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FE333" w14:textId="29605FDA" w:rsidR="00E178EA" w:rsidRPr="00330E85" w:rsidRDefault="00A10CF9" w:rsidP="00F827FF">
      <w:pPr>
        <w:pStyle w:val="FootnoteText"/>
        <w:ind w:left="0" w:firstLine="0"/>
      </w:pPr>
      <w:r w:rsidRPr="00330E85">
        <w:rPr>
          <w:noProof/>
        </w:rPr>
        <mc:AlternateContent>
          <mc:Choice Requires="wps">
            <w:drawing>
              <wp:anchor distT="0" distB="0" distL="114300" distR="114300" simplePos="0" relativeHeight="251658275" behindDoc="1" locked="0" layoutInCell="1" allowOverlap="1" wp14:anchorId="32EE35F3" wp14:editId="1FCA680C">
                <wp:simplePos x="0" y="0"/>
                <wp:positionH relativeFrom="column">
                  <wp:posOffset>-906145</wp:posOffset>
                </wp:positionH>
                <wp:positionV relativeFrom="paragraph">
                  <wp:posOffset>-1028700</wp:posOffset>
                </wp:positionV>
                <wp:extent cx="7200265" cy="1158240"/>
                <wp:effectExtent l="0" t="0" r="0" b="0"/>
                <wp:wrapNone/>
                <wp:docPr id="1584072943" name="Freeform: Shape 158407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0ABE75" id="Freeform: Shape 1584072943" o:spid="_x0000_s1026" style="position:absolute;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35pt,10.2pt,495.6pt,10.2pt,495.6pt,-81pt,-71.35pt,-81pt,-71.35pt,10.2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0YwbTgAAAADAEAAA8AAABkcnMv&#10;ZG93bnJldi54bWxMj01rwzAMhu+D/Qejwm6tE1P6kcUpZWzXwdoO1psaa0loLGex2yb/fu5pu0no&#10;4dXz5pvBtuJKvW8ca0hnCQji0pmGKw2H/dt0BcIHZIOtY9IwkodN8fiQY2bcjT/ouguViCHsM9RQ&#10;h9BlUvqyJot+5jriePt2vcUQ176SpsdbDLetVEmykBYbjh9q7OilpvK8u1gN2/3xqw7Nkt/V62o8&#10;jhLLz/RH66fJsH0GEWgIfzDc9aM6FNHp5C5svGg1TNO5Wkb2Pi1UrBWZ9TpVIE4aVDIHWeTyf4n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" stroked="f">
                <v:fill r:id="rId13" o:title="" recolor="t" rotate="t" type="frame"/>
                <v:path arrowok="t" o:connecttype="custom" o:connectlocs="0,1337945;7200265,1337945;7200265,179705;0,179705;0,1337945" o:connectangles="0,0,0,0,0"/>
              </v:polyline>
            </w:pict>
          </mc:Fallback>
        </mc:AlternateContent>
      </w:r>
      <w:r w:rsidR="00280F56" w:rsidRPr="00330E85">
        <w:rPr>
          <w:noProof/>
        </w:rPr>
        <mc:AlternateContent>
          <mc:Choice Requires="wps">
            <w:drawing>
              <wp:anchor distT="0" distB="0" distL="114300" distR="114300" simplePos="0" relativeHeight="251658274" behindDoc="0" locked="0" layoutInCell="1" allowOverlap="1" wp14:anchorId="7532BB64" wp14:editId="1C8E727A">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0D55CF31"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F1279A" w:rsidRPr="00F1279A">
                              <w:rPr>
                                <w:rFonts w:ascii="Metropolis" w:hAnsi="Metropolis"/>
                                <w:b/>
                                <w:color w:val="5CA0B9"/>
                                <w:szCs w:val="20"/>
                              </w:rPr>
                              <w:t>Pipiri</w:t>
                            </w:r>
                            <w:r w:rsidR="00F1279A" w:rsidRPr="00F1279A" w:rsidDel="00F1279A">
                              <w:rPr>
                                <w:rFonts w:ascii="Metropolis" w:hAnsi="Metropolis"/>
                                <w:b/>
                                <w:color w:val="5CA0B9"/>
                                <w:szCs w:val="20"/>
                              </w:rPr>
                              <w:t xml:space="preserve"> </w:t>
                            </w:r>
                            <w:r w:rsidR="008C2005" w:rsidRPr="00F1279A">
                              <w:rPr>
                                <w:rFonts w:ascii="Metropolis" w:hAnsi="Metropolis"/>
                                <w:b/>
                                <w:color w:val="5CA0B9"/>
                                <w:szCs w:val="20"/>
                              </w:rPr>
                              <w:t xml:space="preserve">| </w:t>
                            </w:r>
                            <w:r w:rsidR="00F314D2" w:rsidRPr="00F1279A">
                              <w:rPr>
                                <w:rFonts w:ascii="Metropolis" w:hAnsi="Metropolis"/>
                                <w:b/>
                                <w:color w:val="5CA0B9"/>
                                <w:szCs w:val="20"/>
                              </w:rPr>
                              <w:t>June</w:t>
                            </w:r>
                            <w:r w:rsidR="008C2005" w:rsidRPr="00F1279A">
                              <w:rPr>
                                <w:rFonts w:ascii="Metropolis" w:hAnsi="Metropolis"/>
                                <w:b/>
                                <w:color w:val="5CA0B9"/>
                                <w:szCs w:val="20"/>
                              </w:rPr>
                              <w:t xml:space="preserve"> 202</w:t>
                            </w:r>
                            <w:r w:rsidR="00306A36" w:rsidRPr="00F1279A">
                              <w:rPr>
                                <w:rFonts w:ascii="Metropolis" w:hAnsi="Metropolis"/>
                                <w:b/>
                                <w:color w:val="5CA0B9"/>
                                <w:szCs w:val="20"/>
                              </w:rPr>
                              <w:t>6</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0D55CF31"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F1279A" w:rsidRPr="00F1279A">
                        <w:rPr>
                          <w:rFonts w:ascii="Metropolis" w:hAnsi="Metropolis"/>
                          <w:b/>
                          <w:color w:val="5CA0B9"/>
                          <w:szCs w:val="20"/>
                        </w:rPr>
                        <w:t>Pipiri</w:t>
                      </w:r>
                      <w:r w:rsidR="00F1279A" w:rsidRPr="00F1279A" w:rsidDel="00F1279A">
                        <w:rPr>
                          <w:rFonts w:ascii="Metropolis" w:hAnsi="Metropolis"/>
                          <w:b/>
                          <w:color w:val="5CA0B9"/>
                          <w:szCs w:val="20"/>
                        </w:rPr>
                        <w:t xml:space="preserve"> </w:t>
                      </w:r>
                      <w:r w:rsidR="008C2005" w:rsidRPr="00F1279A">
                        <w:rPr>
                          <w:rFonts w:ascii="Metropolis" w:hAnsi="Metropolis"/>
                          <w:b/>
                          <w:color w:val="5CA0B9"/>
                          <w:szCs w:val="20"/>
                        </w:rPr>
                        <w:t xml:space="preserve">| </w:t>
                      </w:r>
                      <w:r w:rsidR="00F314D2" w:rsidRPr="00F1279A">
                        <w:rPr>
                          <w:rFonts w:ascii="Metropolis" w:hAnsi="Metropolis"/>
                          <w:b/>
                          <w:color w:val="5CA0B9"/>
                          <w:szCs w:val="20"/>
                        </w:rPr>
                        <w:t>June</w:t>
                      </w:r>
                      <w:r w:rsidR="008C2005" w:rsidRPr="00F1279A">
                        <w:rPr>
                          <w:rFonts w:ascii="Metropolis" w:hAnsi="Metropolis"/>
                          <w:b/>
                          <w:color w:val="5CA0B9"/>
                          <w:szCs w:val="20"/>
                        </w:rPr>
                        <w:t xml:space="preserve"> 202</w:t>
                      </w:r>
                      <w:r w:rsidR="00306A36" w:rsidRPr="00F1279A">
                        <w:rPr>
                          <w:rFonts w:ascii="Metropolis" w:hAnsi="Metropolis"/>
                          <w:b/>
                          <w:color w:val="5CA0B9"/>
                          <w:szCs w:val="20"/>
                        </w:rPr>
                        <w:t>6</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sidRPr="00330E85">
        <w:rPr>
          <w:noProof/>
        </w:rPr>
        <w:drawing>
          <wp:anchor distT="0" distB="0" distL="114300" distR="114300" simplePos="0" relativeHeight="251658276" behindDoc="0" locked="0" layoutInCell="1" allowOverlap="1" wp14:anchorId="6670B1D6" wp14:editId="330650E7">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F47" w:rsidRPr="00330E85">
        <w:t xml:space="preserve">   </w:t>
      </w:r>
    </w:p>
    <w:p w14:paraId="43EBECAD" w14:textId="77777777" w:rsidR="006273A0" w:rsidRPr="00330E85" w:rsidRDefault="006273A0">
      <w:pPr>
        <w:rPr>
          <w:szCs w:val="20"/>
        </w:rPr>
      </w:pPr>
    </w:p>
    <w:p w14:paraId="4CE377D2" w14:textId="77777777" w:rsidR="006273A0" w:rsidRPr="00330E85" w:rsidRDefault="006273A0">
      <w:pPr>
        <w:rPr>
          <w:szCs w:val="20"/>
        </w:rPr>
      </w:pPr>
    </w:p>
    <w:p w14:paraId="27601EEB" w14:textId="77777777" w:rsidR="005B7B4B" w:rsidRPr="00330E85" w:rsidRDefault="005B7B4B" w:rsidP="005B7B4B">
      <w:pPr>
        <w:spacing w:before="51"/>
        <w:ind w:right="-20"/>
        <w:rPr>
          <w:rFonts w:ascii="Metropolis Extra Bold" w:eastAsia="Metropolis Extra Bold" w:hAnsi="Metropolis Extra Bold"/>
          <w:color w:val="414042"/>
          <w:spacing w:val="-1"/>
          <w:sz w:val="33"/>
        </w:rPr>
      </w:pPr>
    </w:p>
    <w:p w14:paraId="5C8CD3E1" w14:textId="3213EA8E" w:rsidR="00BF4D11" w:rsidRPr="00330E85" w:rsidRDefault="00D375E7" w:rsidP="005B7B4B">
      <w:pPr>
        <w:spacing w:before="51"/>
        <w:ind w:right="-20"/>
        <w:rPr>
          <w:rFonts w:ascii="Metropolis Extra Bold" w:eastAsia="Metropolis Extra Bold" w:hAnsi="Metropolis Extra Bold" w:cs="Metropolis Extra Bold"/>
          <w:color w:val="262626" w:themeColor="text1" w:themeTint="D9"/>
          <w:sz w:val="33"/>
          <w:szCs w:val="33"/>
        </w:rPr>
      </w:pPr>
      <w:r w:rsidRPr="00330E85">
        <w:rPr>
          <w:rFonts w:ascii="Metropolis Extra Bold" w:eastAsia="Metropolis Extra Bold" w:hAnsi="Metropolis Extra Bold"/>
          <w:color w:val="262626" w:themeColor="text1" w:themeTint="D9"/>
          <w:sz w:val="33"/>
        </w:rPr>
        <w:t xml:space="preserve">Pūrongo | </w:t>
      </w:r>
      <w:r w:rsidR="005B7B4B" w:rsidRPr="00330E85">
        <w:rPr>
          <w:rFonts w:ascii="Metropolis Extra Bold" w:eastAsia="Metropolis Extra Bold" w:hAnsi="Metropolis Extra Bold"/>
          <w:color w:val="262626" w:themeColor="text1" w:themeTint="D9"/>
          <w:spacing w:val="-1"/>
          <w:sz w:val="33"/>
        </w:rPr>
        <w:t>R</w:t>
      </w:r>
      <w:r w:rsidR="005B7B4B" w:rsidRPr="00330E85">
        <w:rPr>
          <w:rFonts w:ascii="Metropolis Extra Bold" w:eastAsia="Metropolis Extra Bold" w:hAnsi="Metropolis Extra Bold"/>
          <w:color w:val="262626" w:themeColor="text1" w:themeTint="D9"/>
          <w:spacing w:val="1"/>
          <w:sz w:val="33"/>
        </w:rPr>
        <w:t>epo</w:t>
      </w:r>
      <w:r w:rsidR="005B7B4B" w:rsidRPr="00330E85">
        <w:rPr>
          <w:rFonts w:ascii="Metropolis Extra Bold" w:eastAsia="Metropolis Extra Bold" w:hAnsi="Metropolis Extra Bold"/>
          <w:color w:val="262626" w:themeColor="text1" w:themeTint="D9"/>
          <w:spacing w:val="3"/>
          <w:sz w:val="33"/>
        </w:rPr>
        <w:t>r</w:t>
      </w:r>
      <w:r w:rsidR="005B7B4B" w:rsidRPr="00330E85">
        <w:rPr>
          <w:rFonts w:ascii="Metropolis Extra Bold" w:eastAsia="Metropolis Extra Bold" w:hAnsi="Metropolis Extra Bold"/>
          <w:color w:val="262626" w:themeColor="text1" w:themeTint="D9"/>
          <w:sz w:val="33"/>
        </w:rPr>
        <w:t xml:space="preserve">t </w:t>
      </w:r>
      <w:r w:rsidR="00C276E4" w:rsidRPr="00330E85">
        <w:rPr>
          <w:rFonts w:ascii="Metropolis Extra Bold" w:eastAsia="Metropolis Extra Bold" w:hAnsi="Metropolis Extra Bold"/>
          <w:color w:val="262626" w:themeColor="text1" w:themeTint="D9"/>
          <w:spacing w:val="-3"/>
          <w:sz w:val="33"/>
        </w:rPr>
        <w:t>1</w:t>
      </w:r>
      <w:r w:rsidR="00975593" w:rsidRPr="00330E85">
        <w:rPr>
          <w:rFonts w:ascii="Metropolis Extra Bold" w:eastAsia="Metropolis Extra Bold" w:hAnsi="Metropolis Extra Bold"/>
          <w:color w:val="262626" w:themeColor="text1" w:themeTint="D9"/>
          <w:spacing w:val="-3"/>
          <w:sz w:val="33"/>
        </w:rPr>
        <w:t>5</w:t>
      </w:r>
      <w:r w:rsidR="00306A36">
        <w:rPr>
          <w:rFonts w:ascii="Metropolis Extra Bold" w:eastAsia="Metropolis Extra Bold" w:hAnsi="Metropolis Extra Bold"/>
          <w:color w:val="262626" w:themeColor="text1" w:themeTint="D9"/>
          <w:spacing w:val="-3"/>
          <w:sz w:val="33"/>
        </w:rPr>
        <w:t>2</w:t>
      </w:r>
    </w:p>
    <w:p w14:paraId="0EF5B523" w14:textId="77777777" w:rsidR="00AA0D5A" w:rsidRDefault="00AA0D5A" w:rsidP="005B7B4B">
      <w:pPr>
        <w:spacing w:before="51"/>
        <w:ind w:right="-20"/>
        <w:rPr>
          <w:rFonts w:ascii="Metropolis Extra Bold" w:eastAsia="Metropolis Extra Bold" w:hAnsi="Metropolis Extra Bold" w:cs="Metropolis Extra Bold"/>
          <w:sz w:val="33"/>
          <w:szCs w:val="33"/>
        </w:rPr>
      </w:pPr>
    </w:p>
    <w:p w14:paraId="0C100B77" w14:textId="77777777" w:rsidR="00127787" w:rsidRDefault="00127787" w:rsidP="005B7B4B">
      <w:pPr>
        <w:spacing w:before="51"/>
        <w:ind w:right="-20"/>
        <w:rPr>
          <w:rFonts w:ascii="Metropolis Extra Bold" w:eastAsia="Metropolis Extra Bold" w:hAnsi="Metropolis Extra Bold" w:cs="Metropolis Extra Bold"/>
          <w:sz w:val="33"/>
          <w:szCs w:val="33"/>
        </w:rPr>
      </w:pPr>
    </w:p>
    <w:p w14:paraId="04F8A77B" w14:textId="77777777" w:rsidR="00127787" w:rsidRPr="00330E85" w:rsidRDefault="00127787" w:rsidP="005B7B4B">
      <w:pPr>
        <w:spacing w:before="51"/>
        <w:ind w:right="-20"/>
        <w:rPr>
          <w:rFonts w:ascii="Metropolis Extra Bold" w:eastAsia="Metropolis Extra Bold" w:hAnsi="Metropolis Extra Bold" w:cs="Metropolis Extra Bold"/>
          <w:sz w:val="33"/>
          <w:szCs w:val="33"/>
        </w:rPr>
      </w:pPr>
    </w:p>
    <w:p w14:paraId="4861B42A" w14:textId="1CA0C5A0" w:rsidR="006708DE" w:rsidRPr="00DD69C6" w:rsidRDefault="001C2356" w:rsidP="00EA3CB4">
      <w:pPr>
        <w:pStyle w:val="Heading1-Mainpart"/>
        <w:spacing w:after="120" w:line="276" w:lineRule="auto"/>
        <w:rPr>
          <w:color w:val="262626" w:themeColor="text1" w:themeTint="D9"/>
          <w:sz w:val="72"/>
          <w:szCs w:val="72"/>
        </w:rPr>
      </w:pPr>
      <w:bookmarkStart w:id="0" w:name="_Toc226020389"/>
      <w:bookmarkStart w:id="1" w:name="_Toc226023394"/>
      <w:bookmarkStart w:id="2" w:name="_Toc226023806"/>
      <w:bookmarkStart w:id="3" w:name="_Toc231467805"/>
      <w:bookmarkStart w:id="4" w:name="_Toc535415426"/>
      <w:bookmarkStart w:id="5" w:name="_Toc536016604"/>
      <w:bookmarkStart w:id="6" w:name="_Toc536017098"/>
      <w:bookmarkStart w:id="7" w:name="_Toc536024598"/>
      <w:bookmarkStart w:id="8" w:name="_Toc536024919"/>
      <w:bookmarkStart w:id="9" w:name="_Toc536025796"/>
      <w:bookmarkStart w:id="10" w:name="_Toc86749"/>
      <w:bookmarkStart w:id="11" w:name="_Toc530579141"/>
      <w:bookmarkStart w:id="12" w:name="_Toc530583475"/>
      <w:bookmarkStart w:id="13" w:name="_Toc522498"/>
      <w:bookmarkStart w:id="14" w:name="_Toc527180"/>
      <w:bookmarkStart w:id="15" w:name="_Toc527781"/>
      <w:bookmarkStart w:id="16" w:name="_Toc527928"/>
      <w:bookmarkStart w:id="17" w:name="_Toc528075"/>
      <w:bookmarkStart w:id="18" w:name="_Toc524937755"/>
      <w:bookmarkStart w:id="19" w:name="_Toc525193301"/>
      <w:bookmarkStart w:id="20" w:name="_Toc525193599"/>
      <w:bookmarkStart w:id="21" w:name="_Toc525212106"/>
      <w:bookmarkStart w:id="22" w:name="_Toc525220783"/>
      <w:bookmarkStart w:id="23" w:name="_Toc525226197"/>
      <w:bookmarkStart w:id="24" w:name="_Toc525228418"/>
      <w:bookmarkStart w:id="25" w:name="_Toc525313605"/>
      <w:bookmarkStart w:id="26" w:name="_Toc525313969"/>
      <w:bookmarkStart w:id="27" w:name="_Toc525544879"/>
      <w:bookmarkStart w:id="28" w:name="_Toc524505561"/>
      <w:r w:rsidRPr="00DD69C6">
        <w:rPr>
          <w:color w:val="262626" w:themeColor="text1" w:themeTint="D9"/>
          <w:sz w:val="72"/>
          <w:szCs w:val="72"/>
        </w:rPr>
        <w:t>Hara ngākau kino</w:t>
      </w:r>
      <w:bookmarkEnd w:id="0"/>
      <w:bookmarkEnd w:id="1"/>
      <w:bookmarkEnd w:id="2"/>
      <w:bookmarkEnd w:id="3"/>
    </w:p>
    <w:bookmarkEnd w:id="4"/>
    <w:bookmarkEnd w:id="5"/>
    <w:bookmarkEnd w:id="6"/>
    <w:bookmarkEnd w:id="7"/>
    <w:bookmarkEnd w:id="8"/>
    <w:bookmarkEnd w:id="9"/>
    <w:bookmarkEnd w:id="10"/>
    <w:bookmarkEnd w:id="11"/>
    <w:bookmarkEnd w:id="12"/>
    <w:bookmarkEnd w:id="13"/>
    <w:bookmarkEnd w:id="14"/>
    <w:bookmarkEnd w:id="15"/>
    <w:bookmarkEnd w:id="16"/>
    <w:bookmarkEnd w:id="17"/>
    <w:p w14:paraId="31F64C81" w14:textId="4D125ACD" w:rsidR="005B7B4B" w:rsidRPr="00330E85" w:rsidRDefault="00E347CA" w:rsidP="006708DE">
      <w:pPr>
        <w:pStyle w:val="BodyText1"/>
        <w:tabs>
          <w:tab w:val="clear" w:pos="360"/>
          <w:tab w:val="left" w:pos="1651"/>
          <w:tab w:val="left" w:pos="7431"/>
        </w:tabs>
        <w:rPr>
          <w:rFonts w:ascii="Metropolis Black" w:hAnsi="Metropolis Black"/>
          <w:sz w:val="24"/>
          <w:szCs w:val="66"/>
        </w:rPr>
      </w:pPr>
      <w:r w:rsidRPr="00330E85">
        <w:rPr>
          <w:noProof/>
        </w:rPr>
        <mc:AlternateContent>
          <mc:Choice Requires="wpg">
            <w:drawing>
              <wp:anchor distT="0" distB="0" distL="114300" distR="114300" simplePos="0" relativeHeight="251658271" behindDoc="1" locked="0" layoutInCell="1" allowOverlap="1" wp14:anchorId="59F5BCDF" wp14:editId="1B548C7C">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85942" id="Group 105" o:spid="_x0000_s1026" style="position:absolute;margin-left:85.95pt;margin-top:17.4pt;width:141.75pt;height:.1pt;z-index:-251658209;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r w:rsidR="00991C29" w:rsidRPr="00330E85">
        <w:rPr>
          <w:rFonts w:ascii="Metropolis Black" w:hAnsi="Metropolis Black"/>
          <w:sz w:val="24"/>
          <w:szCs w:val="66"/>
        </w:rPr>
        <w:tab/>
      </w:r>
      <w:r w:rsidR="006708DE" w:rsidRPr="00330E85">
        <w:rPr>
          <w:rFonts w:ascii="Metropolis Black" w:hAnsi="Metropolis Black"/>
          <w:sz w:val="24"/>
          <w:szCs w:val="66"/>
        </w:rPr>
        <w:tab/>
      </w:r>
    </w:p>
    <w:bookmarkEnd w:id="18"/>
    <w:bookmarkEnd w:id="19"/>
    <w:bookmarkEnd w:id="20"/>
    <w:bookmarkEnd w:id="21"/>
    <w:bookmarkEnd w:id="22"/>
    <w:bookmarkEnd w:id="23"/>
    <w:bookmarkEnd w:id="24"/>
    <w:bookmarkEnd w:id="25"/>
    <w:bookmarkEnd w:id="26"/>
    <w:bookmarkEnd w:id="27"/>
    <w:bookmarkEnd w:id="28"/>
    <w:p w14:paraId="1AF2F8DD" w14:textId="77777777" w:rsidR="00C938FA" w:rsidRPr="00330E85" w:rsidRDefault="00C938FA" w:rsidP="00C938FA">
      <w:pPr>
        <w:pStyle w:val="Heading1-Mainpart"/>
        <w:spacing w:line="276" w:lineRule="auto"/>
        <w:rPr>
          <w:sz w:val="20"/>
          <w:szCs w:val="2"/>
        </w:rPr>
      </w:pPr>
    </w:p>
    <w:p w14:paraId="69A23A38" w14:textId="655F23CD" w:rsidR="00C938FA" w:rsidRPr="00330E85" w:rsidRDefault="00670D15" w:rsidP="004A0996">
      <w:pPr>
        <w:pStyle w:val="Heading1-Mainpart"/>
        <w:rPr>
          <w:color w:val="404040" w:themeColor="text1" w:themeTint="BF"/>
          <w:szCs w:val="32"/>
        </w:rPr>
      </w:pPr>
      <w:bookmarkStart w:id="29" w:name="_Toc226020390"/>
      <w:bookmarkStart w:id="30" w:name="_Toc226023395"/>
      <w:bookmarkStart w:id="31" w:name="_Toc226023807"/>
      <w:bookmarkStart w:id="32" w:name="_Toc231467806"/>
      <w:r w:rsidRPr="00733EA7">
        <w:rPr>
          <w:szCs w:val="32"/>
        </w:rPr>
        <w:t>Review of h</w:t>
      </w:r>
      <w:r w:rsidR="000E2072" w:rsidRPr="00733EA7">
        <w:rPr>
          <w:szCs w:val="32"/>
        </w:rPr>
        <w:t>ate crime</w:t>
      </w:r>
      <w:bookmarkEnd w:id="29"/>
      <w:bookmarkEnd w:id="30"/>
      <w:bookmarkEnd w:id="31"/>
      <w:r w:rsidRPr="00733EA7">
        <w:rPr>
          <w:szCs w:val="32"/>
        </w:rPr>
        <w:t xml:space="preserve"> law</w:t>
      </w:r>
      <w:bookmarkEnd w:id="32"/>
    </w:p>
    <w:p w14:paraId="119542A2" w14:textId="77777777" w:rsidR="002F19AA" w:rsidRPr="00330E85" w:rsidRDefault="002F19AA" w:rsidP="0051775E"/>
    <w:p w14:paraId="262A0B8F" w14:textId="77777777" w:rsidR="00C96C2D" w:rsidRPr="00330E85" w:rsidRDefault="00C96C2D" w:rsidP="0051775E"/>
    <w:p w14:paraId="360A2419" w14:textId="77777777" w:rsidR="00C96C2D" w:rsidRPr="00330E85" w:rsidRDefault="00C96C2D" w:rsidP="0051775E"/>
    <w:p w14:paraId="3E17A0EF" w14:textId="0D0E1B25" w:rsidR="0051775E" w:rsidRPr="00330E85" w:rsidRDefault="00E347CA" w:rsidP="0051775E">
      <w:pPr>
        <w:sectPr w:rsidR="0051775E" w:rsidRPr="00330E85" w:rsidSect="00624222">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814" w:right="1134" w:bottom="1134" w:left="1701" w:header="499" w:footer="499" w:gutter="0"/>
          <w:cols w:space="720"/>
          <w:noEndnote/>
          <w:titlePg/>
          <w:docGrid w:linePitch="272"/>
        </w:sectPr>
      </w:pPr>
      <w:r w:rsidRPr="00330E85">
        <w:rPr>
          <w:noProof/>
        </w:rPr>
        <w:drawing>
          <wp:anchor distT="0" distB="0" distL="114300" distR="114300" simplePos="0" relativeHeight="251658273" behindDoc="0" locked="0" layoutInCell="1" allowOverlap="1" wp14:anchorId="09C72C25" wp14:editId="72C8CDDC">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59381" w14:textId="77777777" w:rsidR="00EA5E0E" w:rsidRPr="003C7245" w:rsidRDefault="00EA5E0E" w:rsidP="00143D85">
      <w:pPr>
        <w:ind w:right="992"/>
        <w:rPr>
          <w:sz w:val="18"/>
          <w:szCs w:val="18"/>
        </w:rPr>
      </w:pPr>
      <w:bookmarkStart w:id="33" w:name="_Toc530579143"/>
      <w:bookmarkStart w:id="34" w:name="_Toc530583477"/>
      <w:bookmarkStart w:id="35" w:name="_Toc535415428"/>
      <w:bookmarkStart w:id="36" w:name="_Toc536016608"/>
      <w:bookmarkStart w:id="37" w:name="_Toc536017102"/>
      <w:bookmarkStart w:id="38" w:name="_Toc536024601"/>
      <w:bookmarkStart w:id="39" w:name="_Toc536024922"/>
      <w:bookmarkStart w:id="40" w:name="_Toc536025799"/>
      <w:bookmarkStart w:id="41" w:name="_Toc86753"/>
      <w:bookmarkStart w:id="42" w:name="_Toc522502"/>
      <w:bookmarkStart w:id="43" w:name="_Toc527184"/>
      <w:bookmarkStart w:id="44" w:name="_Toc527785"/>
      <w:bookmarkStart w:id="45" w:name="_Toc527932"/>
      <w:bookmarkStart w:id="46" w:name="_Toc86761982"/>
      <w:bookmarkStart w:id="47" w:name="_Toc86909416"/>
      <w:bookmarkStart w:id="48" w:name="_Toc90292267"/>
      <w:bookmarkStart w:id="49" w:name="_Toc90292298"/>
      <w:bookmarkStart w:id="50" w:name="_Toc97825381"/>
      <w:bookmarkStart w:id="51" w:name="_Toc99710121"/>
      <w:bookmarkStart w:id="52" w:name="_Toc100783336"/>
      <w:bookmarkStart w:id="53" w:name="_Toc103345807"/>
      <w:bookmarkStart w:id="54" w:name="_Toc104388921"/>
      <w:bookmarkStart w:id="55" w:name="_Toc157601932"/>
      <w:bookmarkStart w:id="56" w:name="_Toc157679645"/>
      <w:bookmarkStart w:id="57" w:name="_Toc189662661"/>
      <w:bookmarkStart w:id="58" w:name="_Toc189823870"/>
      <w:bookmarkStart w:id="59" w:name="_Toc189824960"/>
      <w:bookmarkStart w:id="60" w:name="_Toc191636903"/>
      <w:bookmarkStart w:id="61" w:name="_Toc192844194"/>
      <w:bookmarkStart w:id="62" w:name="_Toc197684740"/>
      <w:bookmarkStart w:id="63" w:name="_Toc204780444"/>
      <w:bookmarkStart w:id="64" w:name="_Toc204784181"/>
      <w:bookmarkStart w:id="65" w:name="_Toc213076374"/>
      <w:bookmarkStart w:id="66" w:name="_Toc226020101"/>
      <w:bookmarkStart w:id="67" w:name="_Toc226020391"/>
      <w:bookmarkStart w:id="68" w:name="_Toc226023396"/>
      <w:bookmarkStart w:id="69" w:name="_Toc226023808"/>
      <w:r w:rsidRPr="003C7245">
        <w:rPr>
          <w:sz w:val="18"/>
          <w:szCs w:val="18"/>
        </w:rPr>
        <w:lastRenderedPageBreak/>
        <w:t xml:space="preserve">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2F38A8CF" w14:textId="77777777" w:rsidR="00EA5E0E" w:rsidRDefault="00EA5E0E" w:rsidP="00143D85">
      <w:pPr>
        <w:ind w:right="992"/>
        <w:rPr>
          <w:sz w:val="18"/>
          <w:szCs w:val="18"/>
        </w:rPr>
      </w:pPr>
      <w:r w:rsidRPr="003C7245">
        <w:rPr>
          <w:sz w:val="18"/>
          <w:szCs w:val="18"/>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2BB0EB16" w14:textId="77777777" w:rsidR="00EA5E0E" w:rsidRPr="00697835" w:rsidRDefault="00EA5E0E" w:rsidP="00EA5E0E">
      <w:pPr>
        <w:spacing w:before="240"/>
        <w:ind w:left="142" w:hanging="142"/>
        <w:rPr>
          <w:rFonts w:ascii="Metropolis" w:hAnsi="Metropolis"/>
          <w:b/>
          <w:bCs/>
          <w:i/>
          <w:iCs/>
          <w:color w:val="5CA0B9"/>
          <w:szCs w:val="20"/>
        </w:rPr>
      </w:pPr>
      <w:r w:rsidRPr="00697835">
        <w:rPr>
          <w:rFonts w:ascii="Metropolis" w:hAnsi="Metropolis"/>
          <w:b/>
          <w:bCs/>
          <w:i/>
          <w:iCs/>
          <w:color w:val="5CA0B9"/>
          <w:szCs w:val="20"/>
        </w:rPr>
        <w:t xml:space="preserve">Kia whanake ngā ture o Aotearoa mā te arotake motuhake  </w:t>
      </w:r>
    </w:p>
    <w:p w14:paraId="3D377552" w14:textId="77777777" w:rsidR="00EA5E0E" w:rsidRPr="00697835" w:rsidRDefault="00EA5E0E" w:rsidP="00EA5E0E">
      <w:pPr>
        <w:ind w:left="142" w:hanging="142"/>
        <w:rPr>
          <w:rFonts w:ascii="Metropolis" w:hAnsi="Metropolis"/>
          <w:b/>
          <w:bCs/>
          <w:i/>
          <w:iCs/>
          <w:color w:val="5CA0B9"/>
          <w:sz w:val="18"/>
          <w:szCs w:val="18"/>
        </w:rPr>
      </w:pPr>
      <w:r w:rsidRPr="00697835">
        <w:rPr>
          <w:rFonts w:ascii="Metropolis" w:hAnsi="Metropolis"/>
          <w:b/>
          <w:bCs/>
          <w:i/>
          <w:iCs/>
          <w:color w:val="5CA0B9"/>
          <w:szCs w:val="20"/>
        </w:rPr>
        <w:t>Better law for Aotearoa New Zealand through independent review</w:t>
      </w:r>
    </w:p>
    <w:p w14:paraId="139CABD3" w14:textId="77777777" w:rsidR="00EA5E0E" w:rsidRDefault="00EA5E0E" w:rsidP="00EA5E0E">
      <w:pPr>
        <w:spacing w:before="360" w:after="80"/>
        <w:ind w:right="2931"/>
        <w:rPr>
          <w:rFonts w:ascii="ZWAdobeF" w:hAnsi="ZWAdobeF" w:cs="ZWAdobeF"/>
          <w:sz w:val="2"/>
          <w:szCs w:val="2"/>
        </w:rPr>
      </w:pPr>
      <w:r>
        <w:rPr>
          <w:rFonts w:ascii="ZWAdobeF" w:hAnsi="ZWAdobeF" w:cs="ZWAdobeF"/>
          <w:sz w:val="2"/>
          <w:szCs w:val="2"/>
        </w:rPr>
        <w:t>1000B1000B1000B</w:t>
      </w:r>
    </w:p>
    <w:p w14:paraId="7C7879BE" w14:textId="77777777" w:rsidR="00EA5E0E" w:rsidRPr="00D37FCE" w:rsidRDefault="00EA5E0E" w:rsidP="00EA5E0E">
      <w:pPr>
        <w:spacing w:before="360" w:after="80"/>
        <w:ind w:right="2931"/>
        <w:rPr>
          <w:b/>
          <w:sz w:val="18"/>
        </w:rPr>
      </w:pPr>
      <w:r w:rsidRPr="00D37FCE">
        <w:rPr>
          <w:b/>
          <w:sz w:val="18"/>
        </w:rPr>
        <w:t>The Commissioners are:</w:t>
      </w:r>
    </w:p>
    <w:p w14:paraId="34E361CA" w14:textId="5E8DC237" w:rsidR="00EA5E0E" w:rsidRPr="00754FBD" w:rsidRDefault="008B657F" w:rsidP="00EA5E0E">
      <w:pPr>
        <w:ind w:right="3243"/>
        <w:rPr>
          <w:rFonts w:eastAsia="Times"/>
          <w:sz w:val="18"/>
        </w:rPr>
      </w:pPr>
      <w:r>
        <w:rPr>
          <w:rFonts w:eastAsia="Times"/>
          <w:sz w:val="18"/>
        </w:rPr>
        <w:t xml:space="preserve">Hon </w:t>
      </w:r>
      <w:r w:rsidR="00EA5E0E" w:rsidRPr="00754FBD">
        <w:rPr>
          <w:rFonts w:eastAsia="Times"/>
          <w:sz w:val="18"/>
        </w:rPr>
        <w:t>Judith Collins</w:t>
      </w:r>
      <w:r w:rsidR="005D03ED">
        <w:rPr>
          <w:rFonts w:eastAsia="Times"/>
          <w:sz w:val="18"/>
        </w:rPr>
        <w:t xml:space="preserve"> KC</w:t>
      </w:r>
      <w:r w:rsidR="00EA5E0E" w:rsidRPr="00754FBD">
        <w:rPr>
          <w:rFonts w:eastAsia="Times"/>
          <w:sz w:val="18"/>
        </w:rPr>
        <w:t xml:space="preserve"> </w:t>
      </w:r>
      <w:r w:rsidR="001E176E">
        <w:rPr>
          <w:rFonts w:eastAsia="Times"/>
          <w:sz w:val="18"/>
        </w:rPr>
        <w:t>—</w:t>
      </w:r>
      <w:r w:rsidR="00EA5E0E" w:rsidRPr="00754FBD">
        <w:rPr>
          <w:rFonts w:eastAsia="Times"/>
          <w:sz w:val="18"/>
        </w:rPr>
        <w:t xml:space="preserve"> Tumu Whakarae | President </w:t>
      </w:r>
    </w:p>
    <w:p w14:paraId="122B4E4A" w14:textId="39AC9598" w:rsidR="00EA5E0E" w:rsidRPr="00130394" w:rsidRDefault="00EA5E0E" w:rsidP="00EA5E0E">
      <w:pPr>
        <w:ind w:right="3243"/>
        <w:rPr>
          <w:rFonts w:eastAsia="Times"/>
          <w:sz w:val="18"/>
        </w:rPr>
      </w:pPr>
      <w:r w:rsidRPr="00130394">
        <w:rPr>
          <w:rFonts w:eastAsia="Times"/>
          <w:sz w:val="18"/>
        </w:rPr>
        <w:t xml:space="preserve">Claudia Geiringer </w:t>
      </w:r>
      <w:r w:rsidR="001E176E">
        <w:rPr>
          <w:rFonts w:eastAsia="Times"/>
          <w:sz w:val="18"/>
        </w:rPr>
        <w:t>—</w:t>
      </w:r>
      <w:r w:rsidRPr="00130394">
        <w:rPr>
          <w:rFonts w:eastAsia="Times"/>
          <w:sz w:val="18"/>
        </w:rPr>
        <w:t xml:space="preserve"> Kaikōmihana | Commissioner </w:t>
      </w:r>
    </w:p>
    <w:p w14:paraId="22672070" w14:textId="1FFAF905" w:rsidR="00EA5E0E" w:rsidRDefault="00EA5E0E" w:rsidP="00EA5E0E">
      <w:pPr>
        <w:ind w:right="3243"/>
        <w:rPr>
          <w:rFonts w:eastAsia="Times"/>
          <w:sz w:val="18"/>
          <w:highlight w:val="yellow"/>
        </w:rPr>
      </w:pPr>
      <w:r w:rsidRPr="00130394">
        <w:rPr>
          <w:rFonts w:eastAsia="Times"/>
          <w:sz w:val="18"/>
        </w:rPr>
        <w:t xml:space="preserve">Mark Hickford </w:t>
      </w:r>
      <w:r w:rsidR="001E176E">
        <w:rPr>
          <w:rFonts w:eastAsia="Times"/>
          <w:sz w:val="18"/>
        </w:rPr>
        <w:t>—</w:t>
      </w:r>
      <w:r w:rsidRPr="00130394">
        <w:rPr>
          <w:rFonts w:eastAsia="Times"/>
          <w:sz w:val="18"/>
        </w:rPr>
        <w:t xml:space="preserve"> Kaikōmihana | Commissioner </w:t>
      </w:r>
    </w:p>
    <w:p w14:paraId="69541AF6" w14:textId="1AA49A48" w:rsidR="00EA5E0E" w:rsidRPr="00130394" w:rsidRDefault="00EA5E0E" w:rsidP="00EA5E0E">
      <w:pPr>
        <w:ind w:right="3243"/>
        <w:rPr>
          <w:rFonts w:eastAsia="Times"/>
          <w:sz w:val="18"/>
        </w:rPr>
      </w:pPr>
      <w:r w:rsidRPr="00130394">
        <w:rPr>
          <w:rFonts w:eastAsia="Times"/>
          <w:sz w:val="18"/>
        </w:rPr>
        <w:t xml:space="preserve">Geof Shirtcliffe </w:t>
      </w:r>
      <w:r w:rsidR="001E176E">
        <w:rPr>
          <w:rFonts w:eastAsia="Times"/>
          <w:sz w:val="18"/>
        </w:rPr>
        <w:t>—</w:t>
      </w:r>
      <w:r w:rsidRPr="00130394">
        <w:rPr>
          <w:rFonts w:eastAsia="Times"/>
          <w:sz w:val="18"/>
        </w:rPr>
        <w:t xml:space="preserve"> Kaikōmihana | Commissioner</w:t>
      </w:r>
    </w:p>
    <w:p w14:paraId="5A9B4AFF" w14:textId="77777777" w:rsidR="00EA5E0E" w:rsidRDefault="00EA5E0E" w:rsidP="00EA5E0E">
      <w:pPr>
        <w:spacing w:before="240"/>
        <w:ind w:left="113" w:right="2931"/>
        <w:rPr>
          <w:sz w:val="18"/>
        </w:rPr>
      </w:pPr>
    </w:p>
    <w:p w14:paraId="12990D9A" w14:textId="77777777" w:rsidR="00EA5E0E" w:rsidRPr="00D37FCE" w:rsidRDefault="00EA5E0E" w:rsidP="00143D85">
      <w:pPr>
        <w:spacing w:before="240"/>
        <w:ind w:right="992"/>
        <w:rPr>
          <w:sz w:val="18"/>
        </w:rPr>
      </w:pPr>
      <w:r w:rsidRPr="00D37FCE">
        <w:rPr>
          <w:sz w:val="18"/>
        </w:rPr>
        <w:t xml:space="preserve">The Māori language version of </w:t>
      </w:r>
      <w:r w:rsidRPr="00130394">
        <w:rPr>
          <w:sz w:val="18"/>
        </w:rPr>
        <w:t>this Report’s title was developed for Te Aka Matua o te Ture | Law Commission by Kiwa Hammond and Maakere Edwards, of Aatea Solutions Limited. The title was finalised in conjunction with the Commission’s Māori Liaison Committee</w:t>
      </w:r>
      <w:r>
        <w:rPr>
          <w:sz w:val="18"/>
        </w:rPr>
        <w:t>.</w:t>
      </w:r>
    </w:p>
    <w:p w14:paraId="12DF8B10" w14:textId="77777777" w:rsidR="00143D85" w:rsidRDefault="00143D85" w:rsidP="00B910C0"/>
    <w:p w14:paraId="4359E1E8" w14:textId="77777777" w:rsidR="00B910C0" w:rsidRPr="00330E85" w:rsidRDefault="00B910C0" w:rsidP="00B910C0">
      <w:r w:rsidRPr="00330E85">
        <w:rPr>
          <w:noProof/>
        </w:rPr>
        <mc:AlternateContent>
          <mc:Choice Requires="wps">
            <w:drawing>
              <wp:anchor distT="4294967295" distB="4294967295" distL="114300" distR="114300" simplePos="0" relativeHeight="251662420" behindDoc="0" locked="0" layoutInCell="1" allowOverlap="1" wp14:anchorId="371174AB" wp14:editId="33B596D8">
                <wp:simplePos x="0" y="0"/>
                <wp:positionH relativeFrom="column">
                  <wp:posOffset>0</wp:posOffset>
                </wp:positionH>
                <wp:positionV relativeFrom="paragraph">
                  <wp:posOffset>85743</wp:posOffset>
                </wp:positionV>
                <wp:extent cx="2721610" cy="0"/>
                <wp:effectExtent l="0" t="19050" r="21590" b="19050"/>
                <wp:wrapNone/>
                <wp:docPr id="1747917070" name="Straight Connector 1747917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9FE0C2" id="Straight Connector 1747917070" o:spid="_x0000_s1026" style="position:absolute;z-index:251662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1B021F24" w14:textId="77777777" w:rsidR="00F65B0B" w:rsidRDefault="00F65B0B" w:rsidP="00557DF1">
      <w:pPr>
        <w:tabs>
          <w:tab w:val="left" w:pos="5387"/>
        </w:tabs>
        <w:ind w:right="567"/>
        <w:rPr>
          <w:sz w:val="18"/>
          <w:szCs w:val="18"/>
        </w:rPr>
      </w:pPr>
    </w:p>
    <w:p w14:paraId="3EA2A2C5" w14:textId="71DF3506" w:rsidR="00557DF1" w:rsidRDefault="00557DF1" w:rsidP="00557DF1">
      <w:pPr>
        <w:tabs>
          <w:tab w:val="left" w:pos="5387"/>
        </w:tabs>
        <w:ind w:right="567"/>
        <w:rPr>
          <w:sz w:val="18"/>
          <w:szCs w:val="18"/>
        </w:rPr>
      </w:pPr>
      <w:r w:rsidRPr="005D251C">
        <w:rPr>
          <w:sz w:val="18"/>
          <w:szCs w:val="18"/>
        </w:rPr>
        <w:t xml:space="preserve">Kei te pātengi raraunga o Te Puna Mātauranga o Aotearoa te whakarārangi o tēnei pukapuka. </w:t>
      </w:r>
    </w:p>
    <w:p w14:paraId="004B3331" w14:textId="77777777" w:rsidR="00557DF1" w:rsidRPr="005D251C" w:rsidRDefault="00557DF1" w:rsidP="00557DF1">
      <w:pPr>
        <w:tabs>
          <w:tab w:val="left" w:pos="5387"/>
        </w:tabs>
        <w:ind w:right="567"/>
        <w:rPr>
          <w:sz w:val="18"/>
          <w:szCs w:val="18"/>
        </w:rPr>
      </w:pPr>
      <w:r w:rsidRPr="005D251C">
        <w:rPr>
          <w:sz w:val="18"/>
          <w:szCs w:val="18"/>
        </w:rPr>
        <w:t xml:space="preserve">A catalogue record for this title is available from the National Library of New Zealand. </w:t>
      </w:r>
    </w:p>
    <w:p w14:paraId="5FF7872F" w14:textId="77777777" w:rsidR="00557DF1" w:rsidRPr="00AF12F3" w:rsidRDefault="00557DF1" w:rsidP="00557DF1">
      <w:pPr>
        <w:tabs>
          <w:tab w:val="left" w:pos="5387"/>
        </w:tabs>
        <w:ind w:right="3118"/>
        <w:rPr>
          <w:sz w:val="18"/>
          <w:szCs w:val="18"/>
        </w:rPr>
      </w:pPr>
      <w:r w:rsidRPr="00AF12F3">
        <w:rPr>
          <w:sz w:val="18"/>
          <w:szCs w:val="18"/>
        </w:rPr>
        <w:t>ISBN 978-1-0670173-8-5 (Print)</w:t>
      </w:r>
    </w:p>
    <w:p w14:paraId="360A129C" w14:textId="77777777" w:rsidR="00557DF1" w:rsidRDefault="00557DF1" w:rsidP="00557DF1">
      <w:pPr>
        <w:tabs>
          <w:tab w:val="left" w:pos="5387"/>
        </w:tabs>
        <w:ind w:right="3118"/>
        <w:rPr>
          <w:sz w:val="18"/>
          <w:szCs w:val="18"/>
        </w:rPr>
      </w:pPr>
      <w:r w:rsidRPr="00AF12F3">
        <w:rPr>
          <w:sz w:val="18"/>
          <w:szCs w:val="18"/>
        </w:rPr>
        <w:t>ISBN 978-1-0670173-9-2 (Online)</w:t>
      </w:r>
    </w:p>
    <w:p w14:paraId="3B78A830" w14:textId="77777777" w:rsidR="00557DF1" w:rsidRPr="005D251C" w:rsidRDefault="00557DF1" w:rsidP="00557DF1">
      <w:pPr>
        <w:tabs>
          <w:tab w:val="left" w:pos="5387"/>
        </w:tabs>
        <w:ind w:right="3118"/>
        <w:rPr>
          <w:sz w:val="18"/>
          <w:szCs w:val="18"/>
        </w:rPr>
      </w:pPr>
      <w:r w:rsidRPr="005D251C">
        <w:rPr>
          <w:sz w:val="18"/>
          <w:szCs w:val="18"/>
        </w:rPr>
        <w:t xml:space="preserve">ISSN 0113-2334 (Print) </w:t>
      </w:r>
    </w:p>
    <w:p w14:paraId="1ED91826" w14:textId="77777777" w:rsidR="00557DF1" w:rsidRDefault="00557DF1" w:rsidP="00557DF1">
      <w:pPr>
        <w:tabs>
          <w:tab w:val="left" w:pos="5387"/>
        </w:tabs>
        <w:ind w:right="3118"/>
        <w:rPr>
          <w:sz w:val="18"/>
          <w:szCs w:val="18"/>
        </w:rPr>
      </w:pPr>
      <w:r w:rsidRPr="005D251C">
        <w:rPr>
          <w:sz w:val="18"/>
          <w:szCs w:val="18"/>
        </w:rPr>
        <w:t>ISSN 1177-6196 (Online)</w:t>
      </w:r>
      <w:r w:rsidRPr="005D251C" w:rsidDel="000036C4">
        <w:rPr>
          <w:sz w:val="18"/>
          <w:szCs w:val="18"/>
        </w:rPr>
        <w:t xml:space="preserve"> </w:t>
      </w:r>
    </w:p>
    <w:p w14:paraId="09803410" w14:textId="77777777" w:rsidR="00557DF1" w:rsidRPr="00D00F3D" w:rsidRDefault="00557DF1" w:rsidP="00557DF1">
      <w:pPr>
        <w:tabs>
          <w:tab w:val="left" w:pos="5387"/>
        </w:tabs>
        <w:ind w:right="3118"/>
        <w:rPr>
          <w:sz w:val="10"/>
          <w:szCs w:val="10"/>
        </w:rPr>
      </w:pPr>
    </w:p>
    <w:p w14:paraId="1659FD84" w14:textId="77777777" w:rsidR="00557DF1" w:rsidRPr="00840BC4" w:rsidRDefault="00557DF1" w:rsidP="00557DF1">
      <w:pPr>
        <w:tabs>
          <w:tab w:val="left" w:pos="5387"/>
        </w:tabs>
        <w:ind w:right="1134"/>
        <w:rPr>
          <w:sz w:val="18"/>
          <w:szCs w:val="18"/>
        </w:rPr>
      </w:pPr>
      <w:r w:rsidRPr="005D251C">
        <w:rPr>
          <w:sz w:val="18"/>
          <w:szCs w:val="18"/>
        </w:rPr>
        <w:t xml:space="preserve">This title may be cited </w:t>
      </w:r>
      <w:r w:rsidRPr="00AF12F3">
        <w:rPr>
          <w:sz w:val="18"/>
          <w:szCs w:val="18"/>
        </w:rPr>
        <w:t>as NZLC R152. This</w:t>
      </w:r>
      <w:r w:rsidRPr="005D251C">
        <w:rPr>
          <w:sz w:val="18"/>
          <w:szCs w:val="18"/>
        </w:rPr>
        <w:t xml:space="preserve"> title is available on the internet </w:t>
      </w:r>
      <w:r w:rsidRPr="00D37FCE">
        <w:rPr>
          <w:sz w:val="18"/>
          <w:szCs w:val="18"/>
        </w:rPr>
        <w:t xml:space="preserve">at the </w:t>
      </w:r>
      <w:r w:rsidRPr="00840BC4">
        <w:rPr>
          <w:sz w:val="18"/>
          <w:szCs w:val="18"/>
        </w:rPr>
        <w:t xml:space="preserve">website of Te Aka Matua o te Ture | Law Commission: </w:t>
      </w:r>
      <w:hyperlink r:id="rId22" w:history="1">
        <w:r w:rsidRPr="00840BC4">
          <w:rPr>
            <w:rStyle w:val="Hyperlink"/>
            <w:sz w:val="18"/>
            <w:szCs w:val="18"/>
          </w:rPr>
          <w:t>www.lawcom.govt.nz</w:t>
        </w:r>
      </w:hyperlink>
    </w:p>
    <w:p w14:paraId="155F712B" w14:textId="77777777" w:rsidR="00557DF1" w:rsidRPr="005D251C" w:rsidRDefault="00557DF1" w:rsidP="00557DF1">
      <w:pPr>
        <w:tabs>
          <w:tab w:val="left" w:pos="5387"/>
        </w:tabs>
        <w:spacing w:before="360"/>
        <w:ind w:right="1985"/>
        <w:rPr>
          <w:sz w:val="18"/>
          <w:szCs w:val="18"/>
        </w:rPr>
      </w:pPr>
      <w:r w:rsidRPr="00840BC4">
        <w:rPr>
          <w:rFonts w:eastAsia="Arial Unicode MS"/>
          <w:sz w:val="18"/>
          <w:szCs w:val="18"/>
        </w:rPr>
        <w:t xml:space="preserve">Copyright </w:t>
      </w:r>
      <w:r w:rsidRPr="00840BC4">
        <w:rPr>
          <w:rFonts w:ascii="Courier New" w:eastAsia="Arial Unicode MS" w:hAnsi="Courier New" w:cs="Courier New"/>
          <w:sz w:val="18"/>
          <w:szCs w:val="18"/>
        </w:rPr>
        <w:t>©</w:t>
      </w:r>
      <w:r w:rsidRPr="00840BC4">
        <w:rPr>
          <w:rFonts w:eastAsia="Arial Unicode MS"/>
          <w:sz w:val="18"/>
          <w:szCs w:val="18"/>
        </w:rPr>
        <w:t xml:space="preserve"> 2026 </w:t>
      </w:r>
      <w:r w:rsidRPr="00840BC4">
        <w:rPr>
          <w:sz w:val="18"/>
          <w:szCs w:val="18"/>
        </w:rPr>
        <w:t>Te</w:t>
      </w:r>
      <w:r w:rsidRPr="005D251C">
        <w:rPr>
          <w:sz w:val="18"/>
          <w:szCs w:val="18"/>
        </w:rPr>
        <w:t xml:space="preserve"> Aka Matua o te Ture |</w:t>
      </w:r>
      <w:r w:rsidRPr="005D251C">
        <w:rPr>
          <w:rFonts w:eastAsia="Arial Unicode MS"/>
          <w:sz w:val="18"/>
          <w:szCs w:val="18"/>
        </w:rPr>
        <w:t xml:space="preserve"> Law Commission. </w:t>
      </w:r>
      <w:r w:rsidRPr="005D251C">
        <w:rPr>
          <w:sz w:val="18"/>
          <w:szCs w:val="18"/>
        </w:rPr>
        <w:t xml:space="preserve"> </w:t>
      </w:r>
    </w:p>
    <w:p w14:paraId="06B05DF7" w14:textId="1D3E841A" w:rsidR="00B910C0" w:rsidRPr="00F65B0B" w:rsidRDefault="00557DF1" w:rsidP="00F65B0B">
      <w:pPr>
        <w:spacing w:before="3" w:line="180" w:lineRule="exact"/>
        <w:ind w:right="567"/>
        <w:rPr>
          <w:color w:val="262626"/>
          <w:sz w:val="14"/>
        </w:rPr>
      </w:pPr>
      <w:r>
        <w:rPr>
          <w:noProof/>
        </w:rPr>
        <w:drawing>
          <wp:anchor distT="0" distB="0" distL="114300" distR="114300" simplePos="0" relativeHeight="251669588" behindDoc="1" locked="0" layoutInCell="1" allowOverlap="1" wp14:anchorId="59B3EEA7" wp14:editId="66D76438">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230399445" name="Picture 93" descr="Creative Commons Attribution ">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C7A">
        <w:rPr>
          <w:color w:val="262626"/>
          <w:sz w:val="14"/>
        </w:rPr>
        <w:t>T</w:t>
      </w:r>
      <w:r w:rsidRPr="00F44C7A">
        <w:rPr>
          <w:color w:val="262626"/>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p>
    <w:p w14:paraId="17C8387C" w14:textId="77777777" w:rsidR="00B910C0" w:rsidRDefault="00B910C0" w:rsidP="00EA5E0E">
      <w:pPr>
        <w:tabs>
          <w:tab w:val="left" w:pos="5387"/>
        </w:tabs>
        <w:ind w:right="567"/>
        <w:rPr>
          <w:sz w:val="18"/>
          <w:szCs w:val="18"/>
        </w:rPr>
        <w:sectPr w:rsidR="00B910C0" w:rsidSect="00EA5E0E">
          <w:headerReference w:type="even" r:id="rId25"/>
          <w:headerReference w:type="default" r:id="rId26"/>
          <w:pgSz w:w="11907" w:h="16840" w:code="9"/>
          <w:pgMar w:top="1134" w:right="1134" w:bottom="1134" w:left="1701" w:header="499" w:footer="499" w:gutter="0"/>
          <w:cols w:space="720"/>
          <w:docGrid w:linePitch="299"/>
        </w:sectPr>
      </w:pPr>
    </w:p>
    <w:p w14:paraId="23399438" w14:textId="77777777" w:rsidR="00EA5E0E" w:rsidRPr="00AD0A29" w:rsidRDefault="00EA5E0E" w:rsidP="00EA5E0E">
      <w:pPr>
        <w:spacing w:before="3" w:line="120" w:lineRule="exact"/>
        <w:rPr>
          <w:sz w:val="12"/>
          <w:szCs w:val="12"/>
        </w:rPr>
      </w:pPr>
    </w:p>
    <w:p w14:paraId="68B0D4CA" w14:textId="77777777" w:rsidR="00BB24D1" w:rsidRPr="00BB24D1" w:rsidRDefault="00BB24D1" w:rsidP="00BB24D1">
      <w:pPr>
        <w:spacing w:after="0" w:line="200" w:lineRule="atLeast"/>
        <w:ind w:left="5529"/>
        <w:textAlignment w:val="center"/>
        <w:rPr>
          <w:color w:val="000000" w:themeColor="text1"/>
        </w:rPr>
      </w:pPr>
      <w:r w:rsidRPr="00BB24D1">
        <w:rPr>
          <w:noProof/>
          <w:color w:val="000000" w:themeColor="text1"/>
          <w:lang w:eastAsia="en-NZ"/>
        </w:rPr>
        <w:lastRenderedPageBreak/>
        <w:drawing>
          <wp:anchor distT="0" distB="0" distL="114300" distR="114300" simplePos="0" relativeHeight="251667540" behindDoc="0" locked="0" layoutInCell="1" allowOverlap="1" wp14:anchorId="56CE67D1" wp14:editId="4771AA79">
            <wp:simplePos x="0" y="0"/>
            <wp:positionH relativeFrom="column">
              <wp:posOffset>-1962</wp:posOffset>
            </wp:positionH>
            <wp:positionV relativeFrom="paragraph">
              <wp:posOffset>69859</wp:posOffset>
            </wp:positionV>
            <wp:extent cx="2164487" cy="923027"/>
            <wp:effectExtent l="0" t="0" r="7620" b="0"/>
            <wp:wrapSquare wrapText="bothSides"/>
            <wp:docPr id="1072205986" name="Picture 1072205986" descr="TE AKA MATUA O TE TURE | LAW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05986" name="Picture 1072205986" descr="TE AKA MATUA O TE TURE | LAW COMMISSION "/>
                    <pic:cNvPicPr/>
                  </pic:nvPicPr>
                  <pic:blipFill rotWithShape="1">
                    <a:blip r:embed="rId27">
                      <a:extLst>
                        <a:ext uri="{28A0092B-C50C-407E-A947-70E740481C1C}">
                          <a14:useLocalDpi xmlns:a14="http://schemas.microsoft.com/office/drawing/2010/main" val="0"/>
                        </a:ext>
                      </a:extLst>
                    </a:blip>
                    <a:srcRect l="3677" t="6910" b="10937"/>
                    <a:stretch/>
                  </pic:blipFill>
                  <pic:spPr bwMode="auto">
                    <a:xfrm>
                      <a:off x="0" y="0"/>
                      <a:ext cx="2164487" cy="923027"/>
                    </a:xfrm>
                    <a:prstGeom prst="rect">
                      <a:avLst/>
                    </a:prstGeom>
                    <a:ln>
                      <a:noFill/>
                    </a:ln>
                    <a:extLst>
                      <a:ext uri="{53640926-AAD7-44D8-BBD7-CCE9431645EC}">
                        <a14:shadowObscured xmlns:a14="http://schemas.microsoft.com/office/drawing/2010/main"/>
                      </a:ext>
                    </a:extLst>
                  </pic:spPr>
                </pic:pic>
              </a:graphicData>
            </a:graphic>
          </wp:anchor>
        </w:drawing>
      </w:r>
      <w:r w:rsidRPr="00BB24D1">
        <w:rPr>
          <w:b/>
          <w:bCs/>
          <w:color w:val="000000" w:themeColor="text1"/>
          <w:sz w:val="16"/>
          <w:szCs w:val="16"/>
          <w:lang w:val="de-DE"/>
        </w:rPr>
        <w:t xml:space="preserve">Tumu Whakarae | President </w:t>
      </w:r>
    </w:p>
    <w:p w14:paraId="62E04204" w14:textId="77777777" w:rsidR="00BB24D1" w:rsidRPr="00BB24D1" w:rsidRDefault="00BB24D1" w:rsidP="00BB24D1">
      <w:pPr>
        <w:spacing w:line="200" w:lineRule="atLeast"/>
        <w:ind w:left="5529"/>
        <w:textAlignment w:val="center"/>
        <w:rPr>
          <w:color w:val="000000" w:themeColor="text1"/>
        </w:rPr>
      </w:pPr>
      <w:r w:rsidRPr="00BB24D1">
        <w:rPr>
          <w:color w:val="000000" w:themeColor="text1"/>
          <w:sz w:val="16"/>
          <w:szCs w:val="16"/>
          <w:lang w:val="de-DE"/>
        </w:rPr>
        <w:t>Hon Judith Collins KC</w:t>
      </w:r>
    </w:p>
    <w:p w14:paraId="50517E3A" w14:textId="77777777" w:rsidR="00BB24D1" w:rsidRPr="00BB24D1" w:rsidRDefault="00BB24D1" w:rsidP="00BB24D1">
      <w:pPr>
        <w:spacing w:line="200" w:lineRule="atLeast"/>
        <w:ind w:left="5529"/>
        <w:textAlignment w:val="center"/>
        <w:rPr>
          <w:color w:val="000000" w:themeColor="text1"/>
        </w:rPr>
      </w:pPr>
      <w:r w:rsidRPr="00BB24D1">
        <w:rPr>
          <w:b/>
          <w:bCs/>
          <w:color w:val="000000" w:themeColor="text1"/>
          <w:sz w:val="16"/>
          <w:szCs w:val="16"/>
          <w:lang w:val="de-DE"/>
        </w:rPr>
        <w:t>Kaikōmihana | Commissioners</w:t>
      </w:r>
    </w:p>
    <w:p w14:paraId="61644AB0" w14:textId="77777777" w:rsidR="00BB24D1" w:rsidRPr="00BB24D1" w:rsidRDefault="00BB24D1" w:rsidP="00BB24D1">
      <w:pPr>
        <w:spacing w:line="200" w:lineRule="atLeast"/>
        <w:ind w:left="5529"/>
        <w:textAlignment w:val="center"/>
        <w:rPr>
          <w:color w:val="000000" w:themeColor="text1"/>
        </w:rPr>
      </w:pPr>
      <w:r w:rsidRPr="00BB24D1">
        <w:rPr>
          <w:color w:val="000000" w:themeColor="text1"/>
          <w:sz w:val="16"/>
          <w:szCs w:val="16"/>
          <w:lang w:val="en-US"/>
        </w:rPr>
        <w:t>Claudia Geiringer FRSNZ</w:t>
      </w:r>
    </w:p>
    <w:p w14:paraId="5F92370C" w14:textId="77777777" w:rsidR="00BB24D1" w:rsidRPr="00BB24D1" w:rsidRDefault="00BB24D1" w:rsidP="00BB24D1">
      <w:pPr>
        <w:spacing w:after="0" w:line="240" w:lineRule="auto"/>
        <w:ind w:left="5529"/>
        <w:rPr>
          <w:color w:val="000000" w:themeColor="text1"/>
        </w:rPr>
      </w:pPr>
      <w:r w:rsidRPr="00BB24D1">
        <w:rPr>
          <w:color w:val="000000" w:themeColor="text1"/>
          <w:sz w:val="16"/>
          <w:szCs w:val="16"/>
          <w:lang w:val="de-DE"/>
        </w:rPr>
        <w:t>Mark Hickford</w:t>
      </w:r>
    </w:p>
    <w:p w14:paraId="0756C3E5" w14:textId="77777777" w:rsidR="00BB24D1" w:rsidRPr="00BB24D1" w:rsidRDefault="00BB24D1" w:rsidP="00BB24D1">
      <w:pPr>
        <w:spacing w:after="0" w:line="240" w:lineRule="auto"/>
        <w:ind w:left="5529"/>
        <w:rPr>
          <w:color w:val="000000" w:themeColor="text1"/>
        </w:rPr>
      </w:pPr>
      <w:r w:rsidRPr="00BB24D1">
        <w:rPr>
          <w:color w:val="000000" w:themeColor="text1"/>
          <w:sz w:val="16"/>
          <w:szCs w:val="16"/>
          <w:lang w:val="en-US"/>
        </w:rPr>
        <w:t>Geof Shirtcliffe</w:t>
      </w:r>
    </w:p>
    <w:p w14:paraId="26A5D753" w14:textId="77777777" w:rsidR="00BB24D1" w:rsidRPr="00BB24D1" w:rsidRDefault="00BB24D1" w:rsidP="00BB24D1">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4342484B" w14:textId="77777777" w:rsidR="00BB24D1" w:rsidRPr="00BB24D1" w:rsidRDefault="00BB24D1" w:rsidP="00BB24D1">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60DC477A" w14:textId="77777777" w:rsidR="00BB24D1" w:rsidRPr="00BB24D1" w:rsidRDefault="00BB24D1" w:rsidP="00BB24D1">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2C24C66E" w14:textId="77777777" w:rsidR="00BB24D1" w:rsidRPr="00BB24D1" w:rsidRDefault="00BB24D1" w:rsidP="00BB24D1">
      <w:pPr>
        <w:rPr>
          <w:color w:val="000000" w:themeColor="text1"/>
        </w:rPr>
      </w:pPr>
      <w:r w:rsidRPr="00BB24D1">
        <w:rPr>
          <w:color w:val="000000" w:themeColor="text1"/>
        </w:rPr>
        <w:t>Hon Paul Goldsmith</w:t>
      </w:r>
    </w:p>
    <w:p w14:paraId="19DD2981" w14:textId="77777777" w:rsidR="00BB24D1" w:rsidRPr="00BB24D1" w:rsidRDefault="00BB24D1" w:rsidP="00BB24D1">
      <w:pPr>
        <w:rPr>
          <w:color w:val="000000" w:themeColor="text1"/>
        </w:rPr>
      </w:pPr>
      <w:r w:rsidRPr="00BB24D1">
        <w:rPr>
          <w:color w:val="000000" w:themeColor="text1"/>
        </w:rPr>
        <w:t>Minister Responsible for the Law Commission</w:t>
      </w:r>
    </w:p>
    <w:p w14:paraId="548DEE89" w14:textId="77777777" w:rsidR="00BB24D1" w:rsidRPr="00BB24D1" w:rsidRDefault="00BB24D1" w:rsidP="00BB24D1">
      <w:pPr>
        <w:rPr>
          <w:color w:val="000000" w:themeColor="text1"/>
        </w:rPr>
      </w:pPr>
      <w:r w:rsidRPr="00BB24D1">
        <w:rPr>
          <w:color w:val="000000" w:themeColor="text1"/>
        </w:rPr>
        <w:t>Parliament Buildings</w:t>
      </w:r>
    </w:p>
    <w:p w14:paraId="598E33C8" w14:textId="6404F235" w:rsidR="00BB24D1" w:rsidRDefault="00BB24D1" w:rsidP="00BB24D1">
      <w:pPr>
        <w:rPr>
          <w:color w:val="000000" w:themeColor="text1"/>
        </w:rPr>
      </w:pPr>
      <w:r w:rsidRPr="00BB24D1">
        <w:rPr>
          <w:color w:val="000000" w:themeColor="text1"/>
        </w:rPr>
        <w:t>WELLINGTON</w:t>
      </w:r>
    </w:p>
    <w:p w14:paraId="0D10A7C4" w14:textId="77777777" w:rsidR="00BB24D1" w:rsidRPr="006E67F9" w:rsidRDefault="00BB24D1" w:rsidP="00BB24D1">
      <w:pPr>
        <w:rPr>
          <w:color w:val="000000" w:themeColor="text1"/>
        </w:rPr>
      </w:pPr>
    </w:p>
    <w:p w14:paraId="31F5A2F8" w14:textId="63971C24" w:rsidR="00BB24D1" w:rsidRDefault="006E67F9" w:rsidP="00BB24D1">
      <w:pPr>
        <w:spacing w:before="60" w:after="60" w:line="240" w:lineRule="auto"/>
        <w:textAlignment w:val="center"/>
        <w:rPr>
          <w:color w:val="000000" w:themeColor="text1"/>
        </w:rPr>
      </w:pPr>
      <w:r w:rsidRPr="006E67F9">
        <w:rPr>
          <w:color w:val="000000" w:themeColor="text1"/>
        </w:rPr>
        <w:t>23 June 2026</w:t>
      </w:r>
    </w:p>
    <w:p w14:paraId="4F12BFFA" w14:textId="77777777" w:rsidR="006E67F9" w:rsidRPr="00BB24D1" w:rsidRDefault="006E67F9" w:rsidP="00BB24D1">
      <w:pPr>
        <w:spacing w:before="60" w:after="60" w:line="240" w:lineRule="auto"/>
        <w:textAlignment w:val="center"/>
        <w:rPr>
          <w:color w:val="000000" w:themeColor="text1"/>
        </w:rPr>
      </w:pPr>
    </w:p>
    <w:p w14:paraId="3779CD86" w14:textId="77777777" w:rsidR="00BB24D1" w:rsidRPr="00BB24D1" w:rsidRDefault="00BB24D1" w:rsidP="00BB24D1">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r w:rsidRPr="00BB24D1">
        <w:rPr>
          <w:rFonts w:eastAsiaTheme="minorHAnsi" w:cs="Metropolis Light"/>
          <w:color w:val="000000" w:themeColor="text1"/>
          <w:szCs w:val="22"/>
          <w:lang w:val="en-US" w:eastAsia="en-US"/>
        </w:rPr>
        <w:t>Tēnā koe Minister</w:t>
      </w:r>
    </w:p>
    <w:p w14:paraId="408F79B1" w14:textId="77777777" w:rsidR="00EA5E0E" w:rsidRDefault="00EA5E0E" w:rsidP="00EA5E0E">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34561ADB" w14:textId="77777777" w:rsidR="00EA5E0E" w:rsidRPr="00714C90" w:rsidRDefault="00EA5E0E" w:rsidP="00EA5E0E">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27417573" w14:textId="1101BBAB" w:rsidR="00EA5E0E" w:rsidRPr="00130394" w:rsidRDefault="00EA5E0E" w:rsidP="00EA5E0E">
      <w:pPr>
        <w:rPr>
          <w:b/>
          <w:bCs/>
          <w:color w:val="000000" w:themeColor="text1"/>
        </w:rPr>
      </w:pPr>
      <w:r w:rsidRPr="00130394">
        <w:rPr>
          <w:b/>
          <w:bCs/>
          <w:color w:val="000000" w:themeColor="text1"/>
        </w:rPr>
        <w:t xml:space="preserve">NZLC R152 </w:t>
      </w:r>
      <w:r w:rsidR="00D84F1C">
        <w:rPr>
          <w:b/>
          <w:bCs/>
          <w:color w:val="000000" w:themeColor="text1"/>
        </w:rPr>
        <w:t>—</w:t>
      </w:r>
      <w:r w:rsidRPr="00130394">
        <w:rPr>
          <w:b/>
          <w:bCs/>
          <w:color w:val="000000" w:themeColor="text1"/>
        </w:rPr>
        <w:t xml:space="preserve"> Hara ngākau kino | </w:t>
      </w:r>
      <w:r w:rsidR="000A18E7">
        <w:rPr>
          <w:b/>
          <w:bCs/>
          <w:color w:val="000000" w:themeColor="text1"/>
        </w:rPr>
        <w:t>Review of hate crime law</w:t>
      </w:r>
      <w:r w:rsidRPr="00130394">
        <w:rPr>
          <w:b/>
          <w:bCs/>
          <w:color w:val="000000" w:themeColor="text1"/>
        </w:rPr>
        <w:t xml:space="preserve"> </w:t>
      </w:r>
    </w:p>
    <w:p w14:paraId="154386A9" w14:textId="77777777" w:rsidR="00EA5E0E" w:rsidRPr="00130394" w:rsidRDefault="00EA5E0E" w:rsidP="00EA5E0E">
      <w:pPr>
        <w:rPr>
          <w:b/>
          <w:bCs/>
          <w:color w:val="000000" w:themeColor="text1"/>
        </w:rPr>
      </w:pPr>
    </w:p>
    <w:p w14:paraId="5A91B89E" w14:textId="56220E53" w:rsidR="00EA5E0E" w:rsidRPr="00130394" w:rsidRDefault="00EA5E0E" w:rsidP="00EA5E0E">
      <w:pPr>
        <w:rPr>
          <w:color w:val="000000" w:themeColor="text1"/>
        </w:rPr>
      </w:pPr>
      <w:r w:rsidRPr="00130394">
        <w:rPr>
          <w:color w:val="000000" w:themeColor="text1"/>
        </w:rPr>
        <w:t>I am pleased to submit to you the above report under section 16 of the Law Commission Act 1985</w:t>
      </w:r>
      <w:r w:rsidR="008615E9">
        <w:rPr>
          <w:color w:val="000000" w:themeColor="text1"/>
        </w:rPr>
        <w:t>.</w:t>
      </w:r>
    </w:p>
    <w:p w14:paraId="23645A38" w14:textId="77777777" w:rsidR="00EA5E0E" w:rsidRPr="00130394" w:rsidRDefault="00EA5E0E" w:rsidP="00EA5E0E">
      <w:pPr>
        <w:contextualSpacing/>
        <w:rPr>
          <w:color w:val="000000" w:themeColor="text1"/>
          <w:szCs w:val="22"/>
        </w:rPr>
      </w:pPr>
    </w:p>
    <w:p w14:paraId="5BE5E17F" w14:textId="77777777" w:rsidR="00EA5E0E" w:rsidRPr="000B57A2" w:rsidRDefault="00EA5E0E" w:rsidP="00EA5E0E">
      <w:pPr>
        <w:rPr>
          <w:color w:val="000000" w:themeColor="text1"/>
          <w:szCs w:val="22"/>
          <w:lang w:val="de-DE"/>
        </w:rPr>
      </w:pPr>
      <w:r w:rsidRPr="000B57A2">
        <w:rPr>
          <w:color w:val="000000" w:themeColor="text1"/>
          <w:szCs w:val="22"/>
          <w:lang w:val="de-DE"/>
        </w:rPr>
        <w:t>Nāku noa, nā</w:t>
      </w:r>
    </w:p>
    <w:p w14:paraId="1D08A619" w14:textId="77777777" w:rsidR="00EA5E0E" w:rsidRPr="000B57A2" w:rsidRDefault="00EA5E0E" w:rsidP="00EA5E0E">
      <w:pPr>
        <w:rPr>
          <w:color w:val="000000" w:themeColor="text1"/>
          <w:sz w:val="8"/>
          <w:szCs w:val="10"/>
          <w:lang w:val="de-DE"/>
        </w:rPr>
      </w:pPr>
    </w:p>
    <w:p w14:paraId="6FD8C234" w14:textId="27E3F5B2" w:rsidR="00EA5E0E" w:rsidRPr="000B57A2" w:rsidRDefault="00811A5B" w:rsidP="00EA5E0E">
      <w:pPr>
        <w:rPr>
          <w:color w:val="000000" w:themeColor="text1"/>
          <w:szCs w:val="22"/>
          <w:lang w:val="de-DE"/>
        </w:rPr>
      </w:pPr>
      <w:r>
        <w:rPr>
          <w:noProof/>
          <w:color w:val="000000" w:themeColor="text1"/>
          <w:szCs w:val="22"/>
          <w:lang w:val="de-DE"/>
        </w:rPr>
        <w:drawing>
          <wp:inline distT="0" distB="0" distL="0" distR="0" wp14:anchorId="1D061EE0" wp14:editId="60F02E35">
            <wp:extent cx="1705170" cy="829340"/>
            <wp:effectExtent l="0" t="0" r="0" b="8890"/>
            <wp:docPr id="182885529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6015" cy="834615"/>
                    </a:xfrm>
                    <a:prstGeom prst="rect">
                      <a:avLst/>
                    </a:prstGeom>
                    <a:noFill/>
                    <a:ln>
                      <a:noFill/>
                    </a:ln>
                  </pic:spPr>
                </pic:pic>
              </a:graphicData>
            </a:graphic>
          </wp:inline>
        </w:drawing>
      </w:r>
    </w:p>
    <w:p w14:paraId="1CEB69C0" w14:textId="77777777" w:rsidR="00EA5E0E" w:rsidRPr="000B57A2" w:rsidRDefault="00EA5E0E" w:rsidP="00EA5E0E">
      <w:pPr>
        <w:rPr>
          <w:b/>
          <w:color w:val="000000" w:themeColor="text1"/>
          <w:szCs w:val="22"/>
          <w:lang w:val="de-DE"/>
        </w:rPr>
      </w:pPr>
      <w:r w:rsidRPr="000B57A2">
        <w:rPr>
          <w:b/>
          <w:color w:val="000000" w:themeColor="text1"/>
          <w:szCs w:val="22"/>
          <w:lang w:val="de-DE"/>
        </w:rPr>
        <w:t>Mark Hickford</w:t>
      </w:r>
    </w:p>
    <w:p w14:paraId="0E449ADB" w14:textId="77777777" w:rsidR="00EA5E0E" w:rsidRPr="000B57A2" w:rsidRDefault="00EA5E0E" w:rsidP="00EA5E0E">
      <w:pPr>
        <w:rPr>
          <w:color w:val="000000" w:themeColor="text1"/>
          <w:szCs w:val="22"/>
          <w:lang w:val="de-DE"/>
        </w:rPr>
      </w:pPr>
      <w:r w:rsidRPr="000B57A2">
        <w:rPr>
          <w:color w:val="000000" w:themeColor="text1"/>
          <w:szCs w:val="22"/>
          <w:lang w:val="de-DE"/>
        </w:rPr>
        <w:t>Kaikōmihana | Commissioner</w:t>
      </w:r>
      <w:r w:rsidRPr="000B57A2" w:rsidDel="0067568A">
        <w:rPr>
          <w:color w:val="000000" w:themeColor="text1"/>
          <w:szCs w:val="22"/>
          <w:lang w:val="de-DE"/>
        </w:rPr>
        <w:t xml:space="preserve"> </w:t>
      </w:r>
    </w:p>
    <w:p w14:paraId="7F6AFD54" w14:textId="77777777" w:rsidR="00EA5E0E" w:rsidRPr="00F5516E" w:rsidRDefault="00EA5E0E" w:rsidP="00EA5E0E">
      <w:pPr>
        <w:rPr>
          <w:lang w:val="de-DE"/>
        </w:rPr>
      </w:pPr>
      <w:r w:rsidRPr="00130394">
        <w:rPr>
          <w:noProof/>
        </w:rPr>
        <w:drawing>
          <wp:anchor distT="0" distB="0" distL="114300" distR="114300" simplePos="0" relativeHeight="251658284" behindDoc="0" locked="0" layoutInCell="1" allowOverlap="1" wp14:anchorId="55FE9ADD" wp14:editId="41D0FFE2">
            <wp:simplePos x="0" y="0"/>
            <wp:positionH relativeFrom="column">
              <wp:posOffset>-890905</wp:posOffset>
            </wp:positionH>
            <wp:positionV relativeFrom="page">
              <wp:posOffset>9448347</wp:posOffset>
            </wp:positionV>
            <wp:extent cx="7171055" cy="1148080"/>
            <wp:effectExtent l="0" t="0" r="0" b="0"/>
            <wp:wrapNone/>
            <wp:docPr id="134" name="Picture 134"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logo of a company&#10;&#10;AI-generated content may be incorrect."/>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899C" w14:textId="77777777" w:rsidR="00EA5E0E" w:rsidRPr="00F5516E" w:rsidRDefault="00EA5E0E" w:rsidP="00EA5E0E">
      <w:pPr>
        <w:rPr>
          <w:rFonts w:ascii="Metropolis Black" w:eastAsia="Metropolis Black" w:hAnsi="Metropolis Black"/>
          <w:b/>
          <w:color w:val="5CA0B9"/>
          <w:spacing w:val="-7"/>
          <w:sz w:val="66"/>
          <w:lang w:val="de-DE"/>
        </w:rPr>
        <w:sectPr w:rsidR="00EA5E0E" w:rsidRPr="00F5516E" w:rsidSect="00B910C0">
          <w:type w:val="continuous"/>
          <w:pgSz w:w="11907" w:h="16840" w:code="9"/>
          <w:pgMar w:top="1134" w:right="1134" w:bottom="1134" w:left="1701" w:header="499" w:footer="499" w:gutter="0"/>
          <w:cols w:space="720"/>
          <w:docGrid w:linePitch="299"/>
        </w:sectPr>
      </w:pPr>
    </w:p>
    <w:p w14:paraId="0BFCF686" w14:textId="77777777" w:rsidR="00EA5E0E" w:rsidRPr="00AD0A29" w:rsidRDefault="00EA5E0E" w:rsidP="00EA5E0E">
      <w:pPr>
        <w:pStyle w:val="Prelimheadings"/>
        <w:spacing w:before="120"/>
        <w:rPr>
          <w:rFonts w:eastAsia="Metropolis Black" w:cs="Metropolis Black"/>
          <w:szCs w:val="66"/>
        </w:rPr>
      </w:pPr>
      <w:bookmarkStart w:id="70" w:name="_Toc536025798"/>
      <w:bookmarkStart w:id="71" w:name="_Toc527182"/>
      <w:bookmarkStart w:id="72" w:name="_Toc527783"/>
      <w:bookmarkStart w:id="73" w:name="_Toc527930"/>
      <w:bookmarkStart w:id="74" w:name="_Toc86909414"/>
      <w:bookmarkStart w:id="75" w:name="_Toc231467807"/>
      <w:r w:rsidRPr="00F44C7A">
        <w:rPr>
          <w:rFonts w:eastAsia="SimSun"/>
          <w:lang w:eastAsia="en-NZ"/>
        </w:rPr>
        <w:lastRenderedPageBreak/>
        <w:t>Foreword</w:t>
      </w:r>
      <w:bookmarkEnd w:id="70"/>
      <w:bookmarkEnd w:id="71"/>
      <w:bookmarkEnd w:id="72"/>
      <w:bookmarkEnd w:id="73"/>
      <w:bookmarkEnd w:id="74"/>
      <w:bookmarkEnd w:id="75"/>
      <w:r w:rsidRPr="00AD0A29">
        <w:rPr>
          <w:rFonts w:eastAsia="Metropolis Black"/>
          <w:b w:val="0"/>
        </w:rPr>
        <w:t xml:space="preserve"> </w:t>
      </w:r>
    </w:p>
    <w:p w14:paraId="028A25C9" w14:textId="77777777" w:rsidR="00EA5E0E" w:rsidRPr="009E50D2" w:rsidRDefault="00EA5E0E" w:rsidP="00D8103B">
      <w:pPr>
        <w:pStyle w:val="BodyText"/>
        <w:numPr>
          <w:ilvl w:val="0"/>
          <w:numId w:val="46"/>
        </w:numPr>
        <w:tabs>
          <w:tab w:val="left" w:pos="0"/>
        </w:tabs>
      </w:pPr>
      <w:r w:rsidRPr="009E50D2">
        <w:t>On 25 March 2019, an offender opened fire on worshippers at two masjidain</w:t>
      </w:r>
      <w:r w:rsidRPr="009E50D2">
        <w:rPr>
          <w:rFonts w:ascii="Calibri" w:hAnsi="Calibri" w:cs="Calibri"/>
        </w:rPr>
        <w:t> </w:t>
      </w:r>
      <w:r w:rsidRPr="009E50D2">
        <w:t xml:space="preserve">(Muslim places of worship) in Christchurch. Fifty-one people died and another 40 were injured as a result of gunshot wounds. This horrific attack was both an act of terrorism and a hate crime, targeting members of the Muslim community because of their faith. The offender was sentenced to life imprisonment without parole — the first time such a sentence has been imposed in New Zealand history. </w:t>
      </w:r>
    </w:p>
    <w:p w14:paraId="08D83EDA" w14:textId="4E666349" w:rsidR="00EA5E0E" w:rsidRPr="009E50D2" w:rsidRDefault="00EA5E0E" w:rsidP="00D8103B">
      <w:pPr>
        <w:pStyle w:val="BodyText"/>
        <w:numPr>
          <w:ilvl w:val="0"/>
          <w:numId w:val="46"/>
        </w:numPr>
        <w:tabs>
          <w:tab w:val="left" w:pos="0"/>
        </w:tabs>
      </w:pPr>
      <w:r w:rsidRPr="009E50D2">
        <w:t>The 2019 attack and the Royal Commission of Inquiry that followed</w:t>
      </w:r>
      <w:r w:rsidR="00685B3E">
        <w:t xml:space="preserve"> it</w:t>
      </w:r>
      <w:r w:rsidRPr="009E50D2">
        <w:t xml:space="preserve"> brought hate crime into the public consciousness and </w:t>
      </w:r>
      <w:r>
        <w:t>prompted discussion</w:t>
      </w:r>
      <w:r w:rsidRPr="009E50D2">
        <w:t xml:space="preserve"> about how the law should respond. Like </w:t>
      </w:r>
      <w:r>
        <w:t>in</w:t>
      </w:r>
      <w:r w:rsidRPr="009E50D2">
        <w:t xml:space="preserve"> many countries, New Zealand </w:t>
      </w:r>
      <w:r>
        <w:t xml:space="preserve">law </w:t>
      </w:r>
      <w:r w:rsidRPr="009E50D2">
        <w:t>already treat</w:t>
      </w:r>
      <w:r>
        <w:t>s</w:t>
      </w:r>
      <w:r w:rsidRPr="009E50D2">
        <w:t xml:space="preserve"> hate crimes differently to other crimes. If an offence is committed because of hostility toward</w:t>
      </w:r>
      <w:r w:rsidR="000733AB">
        <w:t>s</w:t>
      </w:r>
      <w:r w:rsidRPr="009E50D2">
        <w:t xml:space="preserve"> a group of people (such as those with a shared race, religion or sexual orientation), that is treated as an aggravating factor </w:t>
      </w:r>
      <w:r>
        <w:t xml:space="preserve">at sentencing </w:t>
      </w:r>
      <w:r w:rsidRPr="009E50D2">
        <w:t xml:space="preserve">and may </w:t>
      </w:r>
      <w:r>
        <w:t>lead to a</w:t>
      </w:r>
      <w:r w:rsidRPr="009E50D2">
        <w:t xml:space="preserve"> harsher sentence</w:t>
      </w:r>
      <w:r>
        <w:t xml:space="preserve"> for the offender</w:t>
      </w:r>
      <w:r w:rsidRPr="009E50D2">
        <w:t xml:space="preserve">. </w:t>
      </w:r>
      <w:r>
        <w:t>This review considered</w:t>
      </w:r>
      <w:r w:rsidRPr="009E50D2">
        <w:t xml:space="preserve"> whether </w:t>
      </w:r>
      <w:r>
        <w:t>the</w:t>
      </w:r>
      <w:r w:rsidRPr="009E50D2">
        <w:t xml:space="preserve"> existing law </w:t>
      </w:r>
      <w:r>
        <w:t xml:space="preserve">effectively </w:t>
      </w:r>
      <w:r w:rsidRPr="009E50D2">
        <w:t xml:space="preserve">responds to hate crime or whether changes </w:t>
      </w:r>
      <w:r>
        <w:t>are needed.</w:t>
      </w:r>
    </w:p>
    <w:p w14:paraId="6AEFF8D4" w14:textId="77777777" w:rsidR="00EA5E0E" w:rsidRPr="009E50D2" w:rsidRDefault="00EA5E0E" w:rsidP="00D8103B">
      <w:pPr>
        <w:pStyle w:val="BodyText"/>
        <w:numPr>
          <w:ilvl w:val="0"/>
          <w:numId w:val="46"/>
        </w:numPr>
        <w:tabs>
          <w:tab w:val="left" w:pos="0"/>
        </w:tabs>
      </w:pPr>
      <w:r w:rsidRPr="009E50D2">
        <w:t xml:space="preserve">Hate crimes send a message to members of the targeted group that they are not welcome in our society and that any one of them may be next. They undermine the values of tolerance and human dignity that </w:t>
      </w:r>
      <w:r>
        <w:t>underpin</w:t>
      </w:r>
      <w:r w:rsidRPr="009E50D2">
        <w:t xml:space="preserve"> a cohesive society in which everyone can participate and live a fulfilling life.  </w:t>
      </w:r>
    </w:p>
    <w:p w14:paraId="1329C05D" w14:textId="76632599" w:rsidR="00EA5E0E" w:rsidRPr="009E50D2" w:rsidRDefault="00EA5E0E" w:rsidP="00EA5E0E">
      <w:pPr>
        <w:pStyle w:val="ChapterSummaryBulleting"/>
        <w:numPr>
          <w:ilvl w:val="0"/>
          <w:numId w:val="0"/>
        </w:numPr>
      </w:pPr>
      <w:r>
        <w:t>This Report recommends reforms</w:t>
      </w:r>
      <w:r w:rsidRPr="009E50D2">
        <w:t xml:space="preserve"> </w:t>
      </w:r>
      <w:r>
        <w:t>to</w:t>
      </w:r>
      <w:r w:rsidRPr="009E50D2">
        <w:t xml:space="preserve"> </w:t>
      </w:r>
      <w:r>
        <w:t xml:space="preserve">ensure </w:t>
      </w:r>
      <w:r w:rsidR="00311113">
        <w:t>that</w:t>
      </w:r>
      <w:r>
        <w:t xml:space="preserve"> hate crimes are consistently identified, recorded and denounced in the courts. These changes are needed to hold</w:t>
      </w:r>
      <w:r w:rsidRPr="009E50D2">
        <w:t xml:space="preserve"> offenders accountable, </w:t>
      </w:r>
      <w:r>
        <w:t xml:space="preserve">recognise </w:t>
      </w:r>
      <w:r w:rsidRPr="009E50D2">
        <w:t xml:space="preserve">the impact of their actions on victims and communities and </w:t>
      </w:r>
      <w:r>
        <w:t xml:space="preserve">reduce </w:t>
      </w:r>
      <w:r w:rsidR="00177F2E">
        <w:t>the risk of further hate crimes</w:t>
      </w:r>
      <w:r w:rsidR="006E46CF">
        <w:t xml:space="preserve"> occurring</w:t>
      </w:r>
      <w:r>
        <w:t>.</w:t>
      </w:r>
    </w:p>
    <w:p w14:paraId="43C574F2" w14:textId="29E36C1D" w:rsidR="00EA5E0E" w:rsidRDefault="00EA5E0E" w:rsidP="00D8103B">
      <w:pPr>
        <w:pStyle w:val="BodyText"/>
        <w:numPr>
          <w:ilvl w:val="0"/>
          <w:numId w:val="46"/>
        </w:numPr>
        <w:tabs>
          <w:tab w:val="left" w:pos="0"/>
        </w:tabs>
      </w:pPr>
      <w:r>
        <w:t>H</w:t>
      </w:r>
      <w:r w:rsidRPr="009E50D2">
        <w:t xml:space="preserve">igh-profile </w:t>
      </w:r>
      <w:r>
        <w:t>incidents</w:t>
      </w:r>
      <w:r w:rsidRPr="009E50D2">
        <w:t xml:space="preserve"> around the world </w:t>
      </w:r>
      <w:r>
        <w:t xml:space="preserve">such as </w:t>
      </w:r>
      <w:r w:rsidRPr="009E50D2">
        <w:t>the Bondi Beach shooting on 14 December 2025</w:t>
      </w:r>
      <w:r>
        <w:t xml:space="preserve"> have prompted </w:t>
      </w:r>
      <w:r w:rsidRPr="009E50D2">
        <w:t xml:space="preserve">many countries </w:t>
      </w:r>
      <w:r>
        <w:t xml:space="preserve">to </w:t>
      </w:r>
      <w:r w:rsidRPr="009E50D2">
        <w:t>re-examin</w:t>
      </w:r>
      <w:r>
        <w:t>e</w:t>
      </w:r>
      <w:r w:rsidRPr="009E50D2">
        <w:t xml:space="preserve"> how they respond to hate crime. In some cases, governments have introduced new laws dealing not only with hate crime but also with hate speech. Our review </w:t>
      </w:r>
      <w:r w:rsidR="006E7CFB">
        <w:t>related to</w:t>
      </w:r>
      <w:r w:rsidRPr="009E50D2">
        <w:t xml:space="preserve"> hate crime</w:t>
      </w:r>
      <w:r>
        <w:t>.</w:t>
      </w:r>
      <w:r w:rsidRPr="009E50D2">
        <w:t xml:space="preserve"> </w:t>
      </w:r>
      <w:r w:rsidR="007816CE">
        <w:t xml:space="preserve">Recommendations on hate speech </w:t>
      </w:r>
      <w:r w:rsidR="0045156B">
        <w:t xml:space="preserve">law </w:t>
      </w:r>
      <w:r w:rsidR="007816CE">
        <w:t xml:space="preserve">were outside </w:t>
      </w:r>
      <w:r w:rsidR="006B585C">
        <w:t xml:space="preserve">our scope, </w:t>
      </w:r>
      <w:r w:rsidR="00612A0F">
        <w:t xml:space="preserve">although we received significant feedback about </w:t>
      </w:r>
      <w:r w:rsidR="00820D34">
        <w:t>hate speech</w:t>
      </w:r>
      <w:r w:rsidR="00A212F8">
        <w:t>.</w:t>
      </w:r>
    </w:p>
    <w:p w14:paraId="0924347F" w14:textId="4871B301" w:rsidR="00EA5E0E" w:rsidRPr="009E50D2" w:rsidRDefault="00EA5E0E" w:rsidP="00F91B2E">
      <w:pPr>
        <w:pStyle w:val="BodyText"/>
        <w:numPr>
          <w:ilvl w:val="0"/>
          <w:numId w:val="0"/>
        </w:numPr>
        <w:tabs>
          <w:tab w:val="left" w:pos="0"/>
        </w:tabs>
      </w:pPr>
      <w:r>
        <w:t xml:space="preserve">The law influences </w:t>
      </w:r>
      <w:r w:rsidRPr="002A5452">
        <w:t xml:space="preserve">how the justice system responds after a hate crime has occurred, but it is only one part of the picture. </w:t>
      </w:r>
      <w:r w:rsidR="5F01F208" w:rsidRPr="00616987">
        <w:rPr>
          <w:rFonts w:eastAsia="Segoe UI"/>
        </w:rPr>
        <w:t>Other</w:t>
      </w:r>
      <w:r w:rsidR="7A9DEEE1" w:rsidRPr="00616987">
        <w:t xml:space="preserve"> interventions</w:t>
      </w:r>
      <w:r w:rsidR="5F01F208" w:rsidRPr="00616987">
        <w:rPr>
          <w:rFonts w:eastAsia="Segoe UI"/>
        </w:rPr>
        <w:t xml:space="preserve"> are needed to address the societal conditions that </w:t>
      </w:r>
      <w:r w:rsidR="00D00A10" w:rsidRPr="00616987">
        <w:t xml:space="preserve">can </w:t>
      </w:r>
      <w:r w:rsidR="5F01F208" w:rsidRPr="00616987">
        <w:rPr>
          <w:rFonts w:eastAsia="Segoe UI"/>
        </w:rPr>
        <w:t xml:space="preserve">lead to hate </w:t>
      </w:r>
      <w:r w:rsidR="00D00A10" w:rsidRPr="00616987">
        <w:t>crimes</w:t>
      </w:r>
      <w:r w:rsidRPr="002A5452">
        <w:t>. National</w:t>
      </w:r>
      <w:r>
        <w:t xml:space="preserve"> security and law enforcement agencies also play a crucial role in identifying and mitigating risks and intervening before hate crimes occur. These matters are beyond the scope of our review but their importance cannot be understated.</w:t>
      </w:r>
    </w:p>
    <w:p w14:paraId="4CFE91AD" w14:textId="1B357FB3" w:rsidR="00EA5E0E" w:rsidRPr="009E50D2" w:rsidRDefault="0012509A" w:rsidP="00EA5E0E">
      <w:pPr>
        <w:pStyle w:val="ChapterSummaryBulleting"/>
        <w:numPr>
          <w:ilvl w:val="0"/>
          <w:numId w:val="0"/>
        </w:numPr>
      </w:pPr>
      <w:r w:rsidRPr="00F22A8B">
        <w:t xml:space="preserve">As the Commissioner responsible for this review and President of the Law Commission at the time this Report was approved for submission, </w:t>
      </w:r>
      <w:r w:rsidR="00EA5E0E" w:rsidRPr="00F22A8B">
        <w:t>I</w:t>
      </w:r>
      <w:r w:rsidR="00EA5E0E" w:rsidRPr="009E50D2">
        <w:t xml:space="preserve"> am grateful to the many people and groups who shared their perspectives and ideas with </w:t>
      </w:r>
      <w:r w:rsidR="006E29D6">
        <w:t>us</w:t>
      </w:r>
      <w:r w:rsidR="00EA5E0E" w:rsidRPr="009E50D2">
        <w:t xml:space="preserve">. I am confident our recommendations will </w:t>
      </w:r>
      <w:r w:rsidR="00EA5E0E">
        <w:t>improve</w:t>
      </w:r>
      <w:r w:rsidR="00EA5E0E" w:rsidRPr="009E50D2">
        <w:t xml:space="preserve"> how hate crime is addressed </w:t>
      </w:r>
      <w:r w:rsidR="00EA5E0E">
        <w:t>and contribute toward</w:t>
      </w:r>
      <w:r w:rsidR="000733AB">
        <w:t>s</w:t>
      </w:r>
      <w:r w:rsidR="00EA5E0E">
        <w:t xml:space="preserve"> a safer, more inclusive</w:t>
      </w:r>
      <w:r w:rsidR="00EA5E0E" w:rsidRPr="009E50D2">
        <w:t xml:space="preserve"> Aotearoa New Zealand. </w:t>
      </w:r>
    </w:p>
    <w:p w14:paraId="61B668C1" w14:textId="60A4875B" w:rsidR="00EA5E0E" w:rsidRPr="00E62F09" w:rsidRDefault="009F6AC8" w:rsidP="00AD27AC">
      <w:pPr>
        <w:spacing w:before="12" w:line="240" w:lineRule="exact"/>
        <w:rPr>
          <w:rFonts w:eastAsia="Metropolis Semi Bold"/>
          <w:b/>
          <w:bCs/>
          <w:color w:val="231F20"/>
          <w:szCs w:val="20"/>
        </w:rPr>
      </w:pPr>
      <w:r>
        <w:rPr>
          <w:noProof/>
          <w:color w:val="000000" w:themeColor="text1"/>
          <w:szCs w:val="22"/>
          <w:lang w:val="de-DE"/>
        </w:rPr>
        <w:drawing>
          <wp:anchor distT="0" distB="0" distL="114300" distR="114300" simplePos="0" relativeHeight="251670612" behindDoc="0" locked="0" layoutInCell="1" allowOverlap="1" wp14:anchorId="4A7373ED" wp14:editId="22E9873A">
            <wp:simplePos x="1079500" y="8001000"/>
            <wp:positionH relativeFrom="column">
              <wp:align>left</wp:align>
            </wp:positionH>
            <wp:positionV relativeFrom="paragraph">
              <wp:align>top</wp:align>
            </wp:positionV>
            <wp:extent cx="1705170" cy="829340"/>
            <wp:effectExtent l="0" t="0" r="0" b="8890"/>
            <wp:wrapSquare wrapText="bothSides"/>
            <wp:docPr id="28251896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5170" cy="829340"/>
                    </a:xfrm>
                    <a:prstGeom prst="rect">
                      <a:avLst/>
                    </a:prstGeom>
                    <a:noFill/>
                    <a:ln>
                      <a:noFill/>
                    </a:ln>
                  </pic:spPr>
                </pic:pic>
              </a:graphicData>
            </a:graphic>
          </wp:anchor>
        </w:drawing>
      </w:r>
      <w:r w:rsidR="00AD27AC">
        <w:br w:type="textWrapping" w:clear="all"/>
      </w:r>
      <w:r w:rsidR="00EA5E0E">
        <w:rPr>
          <w:rFonts w:eastAsia="Metropolis Semi Bold"/>
          <w:b/>
          <w:bCs/>
          <w:color w:val="231F20"/>
          <w:szCs w:val="20"/>
        </w:rPr>
        <w:t xml:space="preserve">Mark Hickford </w:t>
      </w:r>
    </w:p>
    <w:p w14:paraId="2DDD91DA" w14:textId="77777777" w:rsidR="00EA5E0E" w:rsidRDefault="00EA5E0E" w:rsidP="00EA5E0E">
      <w:pPr>
        <w:pStyle w:val="BodyTextnonum"/>
        <w:numPr>
          <w:ilvl w:val="0"/>
          <w:numId w:val="0"/>
        </w:numPr>
        <w:tabs>
          <w:tab w:val="left" w:pos="709"/>
        </w:tabs>
        <w:spacing w:before="100"/>
        <w:ind w:right="-20"/>
        <w:rPr>
          <w:rFonts w:eastAsia="Times"/>
          <w:szCs w:val="20"/>
        </w:rPr>
      </w:pPr>
      <w:r w:rsidRPr="00FE52EE">
        <w:rPr>
          <w:rFonts w:eastAsia="Times"/>
          <w:szCs w:val="20"/>
        </w:rPr>
        <w:t>Kaikōmihana | Commissioner</w:t>
      </w:r>
      <w:r w:rsidRPr="00FE52EE" w:rsidDel="00FE52EE">
        <w:rPr>
          <w:rFonts w:eastAsia="Times"/>
          <w:szCs w:val="20"/>
        </w:rPr>
        <w:t xml:space="preserve"> </w:t>
      </w:r>
    </w:p>
    <w:p w14:paraId="7DEFA7C3" w14:textId="77777777" w:rsidR="00EA5E0E" w:rsidRPr="00AD0A29" w:rsidRDefault="00EA5E0E" w:rsidP="00EA5E0E">
      <w:pPr>
        <w:pStyle w:val="Prelimheadings"/>
        <w:spacing w:before="120"/>
        <w:rPr>
          <w:rFonts w:eastAsia="Metropolis Black" w:cs="Metropolis Black"/>
          <w:szCs w:val="66"/>
        </w:rPr>
      </w:pPr>
      <w:bookmarkStart w:id="76" w:name="_Toc527183"/>
      <w:bookmarkStart w:id="77" w:name="_Toc527784"/>
      <w:bookmarkStart w:id="78" w:name="_Toc527931"/>
      <w:bookmarkStart w:id="79" w:name="_Toc86909415"/>
      <w:bookmarkStart w:id="80" w:name="_Toc231467808"/>
      <w:r w:rsidRPr="00AD0A29">
        <w:lastRenderedPageBreak/>
        <w:t>Acknowledgements</w:t>
      </w:r>
      <w:bookmarkEnd w:id="76"/>
      <w:bookmarkEnd w:id="77"/>
      <w:bookmarkEnd w:id="78"/>
      <w:bookmarkEnd w:id="79"/>
      <w:bookmarkEnd w:id="80"/>
      <w:r w:rsidRPr="00AD0A29">
        <w:rPr>
          <w:rFonts w:eastAsia="Metropolis Black"/>
          <w:b w:val="0"/>
        </w:rPr>
        <w:t xml:space="preserve"> </w:t>
      </w:r>
    </w:p>
    <w:p w14:paraId="6E03EBE8" w14:textId="77777777" w:rsidR="00EA5E0E" w:rsidRDefault="00EA5E0E" w:rsidP="00EA5E0E">
      <w:r w:rsidRPr="00F20FA4">
        <w:t xml:space="preserve">Te Aka Matua o te Ture | Law Commission gratefully acknowledges </w:t>
      </w:r>
      <w:r>
        <w:t>everyone who has</w:t>
      </w:r>
      <w:r w:rsidRPr="00F20FA4">
        <w:t xml:space="preserve"> </w:t>
      </w:r>
      <w:r>
        <w:t xml:space="preserve">contributed to </w:t>
      </w:r>
      <w:r w:rsidRPr="00F20FA4">
        <w:t>this review.</w:t>
      </w:r>
    </w:p>
    <w:p w14:paraId="277E1E17" w14:textId="77777777" w:rsidR="00EA5E0E" w:rsidRDefault="00EA5E0E" w:rsidP="00EA5E0E">
      <w:r w:rsidRPr="00C034BB">
        <w:t xml:space="preserve">We thank the many people and groups who </w:t>
      </w:r>
      <w:r>
        <w:t xml:space="preserve">gave their time to </w:t>
      </w:r>
      <w:r w:rsidRPr="00C034BB">
        <w:t>me</w:t>
      </w:r>
      <w:r>
        <w:t>e</w:t>
      </w:r>
      <w:r w:rsidRPr="00C034BB">
        <w:t>t with us, ma</w:t>
      </w:r>
      <w:r>
        <w:t>k</w:t>
      </w:r>
      <w:r w:rsidRPr="00C034BB">
        <w:t xml:space="preserve">e submissions or </w:t>
      </w:r>
      <w:r>
        <w:t>provide</w:t>
      </w:r>
      <w:r w:rsidRPr="00C034BB">
        <w:t xml:space="preserve"> other feedback.</w:t>
      </w:r>
      <w:r>
        <w:t xml:space="preserve"> </w:t>
      </w:r>
      <w:r w:rsidRPr="003B2A9C">
        <w:t>The issues addressed in this review hold great significance for many people and groups, and we are grateful to them for engaging with u</w:t>
      </w:r>
      <w:r>
        <w:t xml:space="preserve">s. Their feedback has been invaluable in developing our recommendations for reform. </w:t>
      </w:r>
    </w:p>
    <w:p w14:paraId="2C55271B" w14:textId="56463735" w:rsidR="00EA5E0E" w:rsidRDefault="00EA5E0E" w:rsidP="00EA5E0E">
      <w:r w:rsidRPr="00BE59DD">
        <w:t>We acknowledge with gratitude the contribution</w:t>
      </w:r>
      <w:r>
        <w:t>s</w:t>
      </w:r>
      <w:r w:rsidRPr="00BE59DD">
        <w:t xml:space="preserve"> of our </w:t>
      </w:r>
      <w:r>
        <w:t>Technical</w:t>
      </w:r>
      <w:r w:rsidRPr="00BE59DD">
        <w:t xml:space="preserve"> Advisory Group</w:t>
      </w:r>
      <w:r w:rsidR="00FB5245">
        <w:t xml:space="preserve"> and</w:t>
      </w:r>
      <w:r w:rsidR="001368A4">
        <w:t xml:space="preserve"> of</w:t>
      </w:r>
      <w:r w:rsidR="00FB5245">
        <w:t xml:space="preserve"> the legal professional bodies</w:t>
      </w:r>
      <w:r w:rsidR="00E97D66">
        <w:t xml:space="preserve"> and members of the judiciary</w:t>
      </w:r>
      <w:r w:rsidR="00FB5245">
        <w:t xml:space="preserve"> that </w:t>
      </w:r>
      <w:r w:rsidR="00344481">
        <w:t>assisted us in testing our proposals for reform</w:t>
      </w:r>
      <w:r w:rsidR="00D40D4F">
        <w:t xml:space="preserve">. </w:t>
      </w:r>
      <w:r w:rsidR="00784A02">
        <w:t>The members of our Technical Advisory Group</w:t>
      </w:r>
      <w:r w:rsidR="001D212F">
        <w:t xml:space="preserve"> </w:t>
      </w:r>
      <w:r w:rsidR="00ED410E">
        <w:t>were:</w:t>
      </w:r>
    </w:p>
    <w:p w14:paraId="59CA0CFA" w14:textId="77777777" w:rsidR="00EA5E0E" w:rsidRPr="00E20344" w:rsidRDefault="00EA5E0E" w:rsidP="00EA5E0E">
      <w:pPr>
        <w:pStyle w:val="ChapterSummaryBulleting"/>
        <w:ind w:left="709"/>
      </w:pPr>
      <w:r w:rsidRPr="00E20344">
        <w:rPr>
          <w:color w:val="000000"/>
        </w:rPr>
        <w:t xml:space="preserve">Charlotte Brook </w:t>
      </w:r>
    </w:p>
    <w:p w14:paraId="3760A850" w14:textId="77777777" w:rsidR="00EA5E0E" w:rsidRPr="003536C0" w:rsidRDefault="00EA5E0E" w:rsidP="00EA5E0E">
      <w:pPr>
        <w:pStyle w:val="ChapterSummaryBulleting"/>
        <w:ind w:left="709"/>
      </w:pPr>
      <w:r w:rsidRPr="00E20344">
        <w:rPr>
          <w:color w:val="000000"/>
        </w:rPr>
        <w:t>Dr Warren Brookbanks</w:t>
      </w:r>
    </w:p>
    <w:p w14:paraId="1225E892" w14:textId="34E33439" w:rsidR="00EA5E0E" w:rsidRPr="00E20344" w:rsidRDefault="00EA5E0E" w:rsidP="00EA5E0E">
      <w:pPr>
        <w:pStyle w:val="ChapterSummaryBulleting"/>
        <w:ind w:left="709"/>
      </w:pPr>
      <w:r w:rsidRPr="00E20344">
        <w:rPr>
          <w:color w:val="000000"/>
        </w:rPr>
        <w:t>Professor John Ip</w:t>
      </w:r>
    </w:p>
    <w:p w14:paraId="5357E4E8" w14:textId="77777777" w:rsidR="00EA5E0E" w:rsidRDefault="00EA5E0E" w:rsidP="00EA5E0E">
      <w:pPr>
        <w:pStyle w:val="ChapterSummaryBulleting"/>
        <w:ind w:left="709"/>
      </w:pPr>
      <w:r w:rsidRPr="00965775">
        <w:t>Mark Lillico (Te Tari Ture o te Karauna | Crown Law)</w:t>
      </w:r>
    </w:p>
    <w:p w14:paraId="6DF57723" w14:textId="6B4CC3E4" w:rsidR="00EA5E0E" w:rsidRPr="00D564D1" w:rsidRDefault="00EA5E0E" w:rsidP="00EA5E0E">
      <w:pPr>
        <w:pStyle w:val="ChapterSummaryBulleting"/>
        <w:ind w:left="709"/>
      </w:pPr>
      <w:r w:rsidRPr="00E20344">
        <w:t>Bill Peoples</w:t>
      </w:r>
      <w:r>
        <w:t xml:space="preserve"> (</w:t>
      </w:r>
      <w:r w:rsidRPr="003349E4">
        <w:rPr>
          <w:color w:val="000000"/>
        </w:rPr>
        <w:t>Ng</w:t>
      </w:r>
      <w:r w:rsidR="00032E90">
        <w:rPr>
          <w:color w:val="000000"/>
        </w:rPr>
        <w:t>ā</w:t>
      </w:r>
      <w:r w:rsidRPr="003349E4">
        <w:rPr>
          <w:color w:val="000000"/>
        </w:rPr>
        <w:t xml:space="preserve"> Pirihimana </w:t>
      </w:r>
      <w:r w:rsidR="00032E90">
        <w:rPr>
          <w:color w:val="000000"/>
        </w:rPr>
        <w:t>o</w:t>
      </w:r>
      <w:r w:rsidRPr="003349E4">
        <w:rPr>
          <w:color w:val="000000"/>
        </w:rPr>
        <w:t xml:space="preserve"> Aotearoa</w:t>
      </w:r>
      <w:r>
        <w:rPr>
          <w:color w:val="000000"/>
        </w:rPr>
        <w:t xml:space="preserve"> | New Zealand Police)</w:t>
      </w:r>
    </w:p>
    <w:p w14:paraId="7CE87844" w14:textId="77777777" w:rsidR="00EA5E0E" w:rsidRDefault="00EA5E0E" w:rsidP="00EA5E0E">
      <w:pPr>
        <w:pStyle w:val="ChapterSummaryBulleting"/>
        <w:ind w:left="709"/>
      </w:pPr>
      <w:r w:rsidRPr="00D564D1">
        <w:t>Tania Singh (Ratonga Wawao ā-Ture Tūmatanui | Public Defence Service)</w:t>
      </w:r>
    </w:p>
    <w:p w14:paraId="7D5AC0F6" w14:textId="77777777" w:rsidR="00EA5E0E" w:rsidRPr="003349E4" w:rsidRDefault="00EA5E0E" w:rsidP="00EA5E0E">
      <w:pPr>
        <w:pStyle w:val="ChapterSummaryBulleting"/>
        <w:ind w:left="709"/>
      </w:pPr>
      <w:r w:rsidRPr="00E20344">
        <w:rPr>
          <w:color w:val="000000"/>
        </w:rPr>
        <w:t>Annette Sykes</w:t>
      </w:r>
    </w:p>
    <w:p w14:paraId="1DA98BBD" w14:textId="25BB0655" w:rsidR="00EA5E0E" w:rsidRPr="00AD0A29" w:rsidRDefault="00D81DD5" w:rsidP="00EA5E0E">
      <w:pPr>
        <w:pStyle w:val="ChapterSummaryBulleting"/>
        <w:ind w:left="709"/>
      </w:pPr>
      <w:r>
        <w:rPr>
          <w:color w:val="000000"/>
        </w:rPr>
        <w:t xml:space="preserve">Dr </w:t>
      </w:r>
      <w:r w:rsidR="00EA5E0E" w:rsidRPr="00E20344">
        <w:rPr>
          <w:color w:val="000000"/>
        </w:rPr>
        <w:t>Susann Wiedlitzka</w:t>
      </w:r>
    </w:p>
    <w:p w14:paraId="0C629A92" w14:textId="18469E4E" w:rsidR="00EA5E0E" w:rsidRDefault="00EA5E0E" w:rsidP="0081636D">
      <w:r w:rsidRPr="007E58B2">
        <w:t>We are</w:t>
      </w:r>
      <w:r>
        <w:t xml:space="preserve"> also</w:t>
      </w:r>
      <w:r w:rsidRPr="007E58B2">
        <w:t xml:space="preserve"> grateful for the support and guidance of the Commission’s Māori Liaison Committee. </w:t>
      </w:r>
    </w:p>
    <w:p w14:paraId="3DD07C66" w14:textId="77777777" w:rsidR="00EA5E0E" w:rsidRDefault="00EA5E0E" w:rsidP="0081636D">
      <w:r w:rsidRPr="001D2D7B">
        <w:t>Nō reira, ko tēnei mātou e mihi nei ki a koutou, kua whai wā ki te āwhina i a mātou. Tēnā koutou, tēnā koutou, tēnā koutou katoa.</w:t>
      </w:r>
    </w:p>
    <w:p w14:paraId="02413917" w14:textId="305A6F10" w:rsidR="00EA5E0E" w:rsidRDefault="00EA5E0E" w:rsidP="0081636D">
      <w:r w:rsidRPr="00D0044F">
        <w:t xml:space="preserve">We emphasise that the views we express in this </w:t>
      </w:r>
      <w:r w:rsidR="00311A8C">
        <w:t>R</w:t>
      </w:r>
      <w:r w:rsidRPr="00D0044F">
        <w:t xml:space="preserve">eport are those of the Commission and not necessarily those of the people who have assisted our work. </w:t>
      </w:r>
    </w:p>
    <w:p w14:paraId="1B37C747" w14:textId="720161A1" w:rsidR="00EA5E0E" w:rsidRDefault="00EA5E0E" w:rsidP="0081636D">
      <w:r w:rsidRPr="00D0044F">
        <w:t>The Commissioner responsible for this project is</w:t>
      </w:r>
      <w:r>
        <w:t xml:space="preserve"> Mark Hickford. </w:t>
      </w:r>
      <w:r w:rsidRPr="00D82CAA">
        <w:t>The Legal and Policy Advisers who worked on this project are</w:t>
      </w:r>
      <w:r>
        <w:t xml:space="preserve"> Ruth Campbell, Rebecca Garden, Samuel Mellor and Dena Valente. The law clerks who worked on this project are Grace Cartman and Sean McElwain-Wilson.</w:t>
      </w:r>
    </w:p>
    <w:p w14:paraId="45E4B0CF" w14:textId="77777777" w:rsidR="00EA5E0E" w:rsidRDefault="00EA5E0E" w:rsidP="0081636D">
      <w:r>
        <w:t xml:space="preserve">We also acknowledge the significant contribution of </w:t>
      </w:r>
      <w:r w:rsidRPr="00971213">
        <w:t>Amokura Kawharu</w:t>
      </w:r>
      <w:r>
        <w:t xml:space="preserve"> to this review. Amokura</w:t>
      </w:r>
      <w:r w:rsidRPr="00971213">
        <w:t xml:space="preserve"> </w:t>
      </w:r>
      <w:r>
        <w:t>was both the President of the Commission and the Commissioner responsible for this project until September 2025.</w:t>
      </w:r>
    </w:p>
    <w:p w14:paraId="00118CEA" w14:textId="0F22B9F4" w:rsidR="00D009D0" w:rsidRDefault="00D009D0" w:rsidP="0081636D">
      <w:r w:rsidRPr="00AB1C84">
        <w:t>Mark Hickford was</w:t>
      </w:r>
      <w:r>
        <w:t xml:space="preserve"> the</w:t>
      </w:r>
      <w:r w:rsidRPr="00AB1C84">
        <w:t xml:space="preserve"> President of the Commission</w:t>
      </w:r>
      <w:r>
        <w:t xml:space="preserve"> w</w:t>
      </w:r>
      <w:r w:rsidRPr="00AB1C84">
        <w:t>hen the Board approved this Report</w:t>
      </w:r>
      <w:r>
        <w:t xml:space="preserve"> for submission</w:t>
      </w:r>
      <w:r w:rsidRPr="00AB1C84">
        <w:t xml:space="preserve"> in April 2026.</w:t>
      </w:r>
      <w:r w:rsidDel="00C03073">
        <w:t xml:space="preserve"> </w:t>
      </w:r>
      <w:r w:rsidRPr="00A24933">
        <w:t xml:space="preserve">While </w:t>
      </w:r>
      <w:r w:rsidR="007741A3">
        <w:t xml:space="preserve">Hon </w:t>
      </w:r>
      <w:r>
        <w:t>Judith Collins</w:t>
      </w:r>
      <w:r>
        <w:rPr>
          <w:rFonts w:ascii="Calibri" w:hAnsi="Calibri" w:cs="Calibri"/>
        </w:rPr>
        <w:t> </w:t>
      </w:r>
      <w:r>
        <w:t>KC</w:t>
      </w:r>
      <w:r w:rsidRPr="00A24933">
        <w:t xml:space="preserve"> held a warrant as </w:t>
      </w:r>
      <w:r>
        <w:t>President of the Commission</w:t>
      </w:r>
      <w:r w:rsidRPr="00A24933">
        <w:t xml:space="preserve"> </w:t>
      </w:r>
      <w:r w:rsidRPr="00AB1C84">
        <w:t>from 1</w:t>
      </w:r>
      <w:r w:rsidRPr="00AB1C84">
        <w:rPr>
          <w:rFonts w:ascii="Calibri" w:hAnsi="Calibri" w:cs="Calibri"/>
        </w:rPr>
        <w:t> </w:t>
      </w:r>
      <w:r w:rsidRPr="000538F9">
        <w:rPr>
          <w:rFonts w:cs="Calibri"/>
        </w:rPr>
        <w:t>June 2026</w:t>
      </w:r>
      <w:r w:rsidRPr="00A24933">
        <w:t xml:space="preserve">, </w:t>
      </w:r>
      <w:r>
        <w:t>s</w:t>
      </w:r>
      <w:r w:rsidRPr="00A24933">
        <w:t>he did not participate in this project</w:t>
      </w:r>
      <w:r w:rsidR="00F17783">
        <w:t>,</w:t>
      </w:r>
      <w:r w:rsidRPr="00A24933">
        <w:t xml:space="preserve"> which was largely completed prior to that date. </w:t>
      </w:r>
    </w:p>
    <w:p w14:paraId="18638E56" w14:textId="77777777" w:rsidR="00826E2B" w:rsidRDefault="00EB7EEB">
      <w:pPr>
        <w:spacing w:before="0" w:after="0" w:line="240" w:lineRule="auto"/>
        <w:rPr>
          <w:rFonts w:eastAsia="SimSun"/>
          <w:lang w:eastAsia="en-NZ"/>
        </w:rPr>
        <w:sectPr w:rsidR="00826E2B" w:rsidSect="002D0709">
          <w:headerReference w:type="even" r:id="rId31"/>
          <w:headerReference w:type="default" r:id="rId32"/>
          <w:footnotePr>
            <w:numRestart w:val="eachSect"/>
          </w:footnotePr>
          <w:pgSz w:w="11907" w:h="16840" w:code="9"/>
          <w:pgMar w:top="1134" w:right="1134" w:bottom="1134" w:left="1701" w:header="499" w:footer="46" w:gutter="0"/>
          <w:pgNumType w:fmt="lowerRoman"/>
          <w:cols w:space="720"/>
        </w:sectPr>
      </w:pPr>
      <w:r>
        <w:rPr>
          <w:rFonts w:eastAsia="SimSun"/>
          <w:lang w:eastAsia="en-NZ"/>
        </w:rPr>
        <w:br w:type="page"/>
      </w:r>
    </w:p>
    <w:p w14:paraId="08340A3B" w14:textId="4C31FDEA" w:rsidR="002B146F" w:rsidRPr="00330E85" w:rsidRDefault="009866E0" w:rsidP="00086853">
      <w:pPr>
        <w:pStyle w:val="Prelimheadings"/>
        <w:spacing w:before="360"/>
        <w:ind w:left="0"/>
        <w:rPr>
          <w:rFonts w:eastAsia="SimSun"/>
          <w:lang w:eastAsia="en-NZ"/>
        </w:rPr>
      </w:pPr>
      <w:bookmarkStart w:id="81" w:name="_Toc231467809"/>
      <w:r w:rsidRPr="00330E85">
        <w:rPr>
          <w:rFonts w:eastAsia="SimSun"/>
          <w:lang w:eastAsia="en-NZ"/>
        </w:rPr>
        <w:t>Contents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1"/>
    </w:p>
    <w:bookmarkStart w:id="82" w:name="_Toc525212108"/>
    <w:bookmarkStart w:id="83" w:name="_Toc525220785"/>
    <w:bookmarkStart w:id="84" w:name="_Toc525226199"/>
    <w:bookmarkStart w:id="85" w:name="_Toc525228420"/>
    <w:p w14:paraId="3E761A01" w14:textId="77777777" w:rsidR="003A349D" w:rsidRDefault="00CF7284" w:rsidP="00C64DA1">
      <w:pPr>
        <w:pStyle w:val="TOC1"/>
      </w:pPr>
      <w:r w:rsidRPr="00330E85">
        <mc:AlternateContent>
          <mc:Choice Requires="wpg">
            <w:drawing>
              <wp:anchor distT="0" distB="0" distL="114300" distR="114300" simplePos="0" relativeHeight="251658281" behindDoc="1" locked="0" layoutInCell="1" allowOverlap="1" wp14:anchorId="2CC9C2EB" wp14:editId="461BC6D4">
                <wp:simplePos x="0" y="0"/>
                <wp:positionH relativeFrom="page">
                  <wp:posOffset>1080135</wp:posOffset>
                </wp:positionH>
                <wp:positionV relativeFrom="paragraph">
                  <wp:posOffset>18415</wp:posOffset>
                </wp:positionV>
                <wp:extent cx="1332230" cy="1270"/>
                <wp:effectExtent l="0" t="19050" r="1270" b="0"/>
                <wp:wrapNone/>
                <wp:docPr id="1792270789" name="Group 1792270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8301241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35EB4" id="Group 1792270789" o:spid="_x0000_s1026" style="position:absolute;margin-left:85.05pt;margin-top:1.45pt;width:104.9pt;height:.1pt;z-index:-25165819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Fh/Q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003020FA">
        <w:rPr>
          <w:rFonts w:eastAsia="SimSun"/>
          <w:b w:val="0"/>
          <w:color w:val="auto"/>
          <w:lang w:eastAsia="en-NZ"/>
        </w:rPr>
        <w:fldChar w:fldCharType="begin"/>
      </w:r>
      <w:r w:rsidR="003020FA">
        <w:rPr>
          <w:rFonts w:eastAsia="SimSun"/>
          <w:b w:val="0"/>
          <w:color w:val="auto"/>
          <w:lang w:eastAsia="en-NZ"/>
        </w:rPr>
        <w:instrText xml:space="preserve"> TOC \o "2-2" \h \z \t "Heading 1,1,Subtitle,1,Title,1,Cover Title,1,Cover Subtitle,1,Heading 1 (no num),1,Option list subheading,3,Prelim headings,1,Heading 1 - Main part,1,Thesis,1" </w:instrText>
      </w:r>
      <w:r w:rsidR="003020FA">
        <w:rPr>
          <w:rFonts w:eastAsia="SimSun"/>
          <w:b w:val="0"/>
          <w:color w:val="auto"/>
          <w:lang w:eastAsia="en-NZ"/>
        </w:rPr>
        <w:fldChar w:fldCharType="separate"/>
      </w:r>
    </w:p>
    <w:p w14:paraId="79037FED" w14:textId="44B2A7CE" w:rsidR="003A349D" w:rsidRDefault="003A349D">
      <w:pPr>
        <w:pStyle w:val="TOC1"/>
        <w:rPr>
          <w:rFonts w:asciiTheme="minorHAnsi" w:eastAsiaTheme="minorEastAsia" w:hAnsiTheme="minorHAnsi" w:cstheme="minorBidi"/>
          <w:b w:val="0"/>
          <w:color w:val="auto"/>
          <w:kern w:val="2"/>
          <w:sz w:val="24"/>
          <w:lang w:eastAsia="en-NZ"/>
          <w14:ligatures w14:val="standardContextual"/>
        </w:rPr>
      </w:pPr>
      <w:hyperlink w:anchor="_Toc231467807" w:history="1">
        <w:r w:rsidRPr="00BD3FD3">
          <w:rPr>
            <w:rStyle w:val="Hyperlink"/>
            <w:rFonts w:eastAsia="SimSun"/>
            <w:lang w:eastAsia="en-NZ"/>
          </w:rPr>
          <w:t>Foreword</w:t>
        </w:r>
        <w:r>
          <w:rPr>
            <w:webHidden/>
          </w:rPr>
          <w:tab/>
        </w:r>
        <w:r>
          <w:rPr>
            <w:webHidden/>
          </w:rPr>
          <w:fldChar w:fldCharType="begin"/>
        </w:r>
        <w:r>
          <w:rPr>
            <w:webHidden/>
          </w:rPr>
          <w:instrText xml:space="preserve"> PAGEREF _Toc231467807 \h </w:instrText>
        </w:r>
        <w:r>
          <w:rPr>
            <w:webHidden/>
          </w:rPr>
        </w:r>
        <w:r>
          <w:rPr>
            <w:webHidden/>
          </w:rPr>
          <w:fldChar w:fldCharType="separate"/>
        </w:r>
        <w:r w:rsidR="00557DF1">
          <w:rPr>
            <w:webHidden/>
          </w:rPr>
          <w:t>iv</w:t>
        </w:r>
        <w:r>
          <w:rPr>
            <w:webHidden/>
          </w:rPr>
          <w:fldChar w:fldCharType="end"/>
        </w:r>
      </w:hyperlink>
    </w:p>
    <w:p w14:paraId="164FA475" w14:textId="03A1E666" w:rsidR="003A349D" w:rsidRDefault="003A349D">
      <w:pPr>
        <w:pStyle w:val="TOC1"/>
        <w:rPr>
          <w:rFonts w:asciiTheme="minorHAnsi" w:eastAsiaTheme="minorEastAsia" w:hAnsiTheme="minorHAnsi" w:cstheme="minorBidi"/>
          <w:b w:val="0"/>
          <w:color w:val="auto"/>
          <w:kern w:val="2"/>
          <w:sz w:val="24"/>
          <w:lang w:eastAsia="en-NZ"/>
          <w14:ligatures w14:val="standardContextual"/>
        </w:rPr>
      </w:pPr>
      <w:hyperlink w:anchor="_Toc231467808" w:history="1">
        <w:r w:rsidRPr="00BD3FD3">
          <w:rPr>
            <w:rStyle w:val="Hyperlink"/>
          </w:rPr>
          <w:t>Acknowledgements</w:t>
        </w:r>
        <w:r>
          <w:rPr>
            <w:webHidden/>
          </w:rPr>
          <w:tab/>
        </w:r>
        <w:r>
          <w:rPr>
            <w:webHidden/>
          </w:rPr>
          <w:fldChar w:fldCharType="begin"/>
        </w:r>
        <w:r>
          <w:rPr>
            <w:webHidden/>
          </w:rPr>
          <w:instrText xml:space="preserve"> PAGEREF _Toc231467808 \h </w:instrText>
        </w:r>
        <w:r>
          <w:rPr>
            <w:webHidden/>
          </w:rPr>
        </w:r>
        <w:r>
          <w:rPr>
            <w:webHidden/>
          </w:rPr>
          <w:fldChar w:fldCharType="separate"/>
        </w:r>
        <w:r w:rsidR="00557DF1">
          <w:rPr>
            <w:webHidden/>
          </w:rPr>
          <w:t>v</w:t>
        </w:r>
        <w:r>
          <w:rPr>
            <w:webHidden/>
          </w:rPr>
          <w:fldChar w:fldCharType="end"/>
        </w:r>
      </w:hyperlink>
    </w:p>
    <w:p w14:paraId="1DE4E95C" w14:textId="1685763F" w:rsidR="003A349D" w:rsidRDefault="003A349D">
      <w:pPr>
        <w:pStyle w:val="TOC1"/>
        <w:rPr>
          <w:rFonts w:asciiTheme="minorHAnsi" w:eastAsiaTheme="minorEastAsia" w:hAnsiTheme="minorHAnsi" w:cstheme="minorBidi"/>
          <w:b w:val="0"/>
          <w:color w:val="auto"/>
          <w:kern w:val="2"/>
          <w:sz w:val="24"/>
          <w:lang w:eastAsia="en-NZ"/>
          <w14:ligatures w14:val="standardContextual"/>
        </w:rPr>
      </w:pPr>
      <w:hyperlink w:anchor="_Toc231467810" w:history="1">
        <w:r w:rsidRPr="00BD3FD3">
          <w:rPr>
            <w:rStyle w:val="Hyperlink"/>
            <w:rFonts w:eastAsia="Metropolis Black"/>
          </w:rPr>
          <w:t>Recommendations</w:t>
        </w:r>
        <w:r>
          <w:rPr>
            <w:webHidden/>
          </w:rPr>
          <w:tab/>
        </w:r>
        <w:r>
          <w:rPr>
            <w:webHidden/>
          </w:rPr>
          <w:fldChar w:fldCharType="begin"/>
        </w:r>
        <w:r>
          <w:rPr>
            <w:webHidden/>
          </w:rPr>
          <w:instrText xml:space="preserve"> PAGEREF _Toc231467810 \h </w:instrText>
        </w:r>
        <w:r>
          <w:rPr>
            <w:webHidden/>
          </w:rPr>
        </w:r>
        <w:r>
          <w:rPr>
            <w:webHidden/>
          </w:rPr>
          <w:fldChar w:fldCharType="separate"/>
        </w:r>
        <w:r w:rsidR="00557DF1">
          <w:rPr>
            <w:webHidden/>
          </w:rPr>
          <w:t>4</w:t>
        </w:r>
        <w:r>
          <w:rPr>
            <w:webHidden/>
          </w:rPr>
          <w:fldChar w:fldCharType="end"/>
        </w:r>
      </w:hyperlink>
    </w:p>
    <w:p w14:paraId="71D92A49" w14:textId="7C263E4C"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11" w:history="1">
        <w:r>
          <w:rPr>
            <w:rStyle w:val="Hyperlink"/>
            <w:rFonts w:eastAsia="Metropolis Black"/>
          </w:rPr>
          <w:t xml:space="preserve">Chapter 1: </w:t>
        </w:r>
        <w:r w:rsidR="003A349D" w:rsidRPr="00BD3FD3">
          <w:rPr>
            <w:rStyle w:val="Hyperlink"/>
            <w:rFonts w:eastAsia="Metropolis Black"/>
          </w:rPr>
          <w:t>Introduction</w:t>
        </w:r>
        <w:r w:rsidR="003A349D">
          <w:rPr>
            <w:webHidden/>
          </w:rPr>
          <w:tab/>
        </w:r>
        <w:r w:rsidR="003A349D">
          <w:rPr>
            <w:webHidden/>
          </w:rPr>
          <w:fldChar w:fldCharType="begin"/>
        </w:r>
        <w:r w:rsidR="003A349D">
          <w:rPr>
            <w:webHidden/>
          </w:rPr>
          <w:instrText xml:space="preserve"> PAGEREF _Toc231467811 \h </w:instrText>
        </w:r>
        <w:r w:rsidR="003A349D">
          <w:rPr>
            <w:webHidden/>
          </w:rPr>
        </w:r>
        <w:r w:rsidR="003A349D">
          <w:rPr>
            <w:webHidden/>
          </w:rPr>
          <w:fldChar w:fldCharType="separate"/>
        </w:r>
        <w:r w:rsidR="00557DF1">
          <w:rPr>
            <w:webHidden/>
          </w:rPr>
          <w:t>6</w:t>
        </w:r>
        <w:r w:rsidR="003A349D">
          <w:rPr>
            <w:webHidden/>
          </w:rPr>
          <w:fldChar w:fldCharType="end"/>
        </w:r>
      </w:hyperlink>
    </w:p>
    <w:p w14:paraId="333837BE" w14:textId="0B8C0B09"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2" w:history="1">
        <w:r w:rsidRPr="00BD3FD3">
          <w:rPr>
            <w:rStyle w:val="Hyperlink"/>
            <w:noProof/>
          </w:rPr>
          <w:t>Summary of findings and recommendations</w:t>
        </w:r>
        <w:r>
          <w:rPr>
            <w:noProof/>
            <w:webHidden/>
          </w:rPr>
          <w:tab/>
        </w:r>
        <w:r>
          <w:rPr>
            <w:noProof/>
            <w:webHidden/>
          </w:rPr>
          <w:fldChar w:fldCharType="begin"/>
        </w:r>
        <w:r>
          <w:rPr>
            <w:noProof/>
            <w:webHidden/>
          </w:rPr>
          <w:instrText xml:space="preserve"> PAGEREF _Toc231467812 \h </w:instrText>
        </w:r>
        <w:r>
          <w:rPr>
            <w:noProof/>
            <w:webHidden/>
          </w:rPr>
        </w:r>
        <w:r>
          <w:rPr>
            <w:noProof/>
            <w:webHidden/>
          </w:rPr>
          <w:fldChar w:fldCharType="separate"/>
        </w:r>
        <w:r w:rsidR="00557DF1">
          <w:rPr>
            <w:noProof/>
            <w:webHidden/>
          </w:rPr>
          <w:t>6</w:t>
        </w:r>
        <w:r>
          <w:rPr>
            <w:noProof/>
            <w:webHidden/>
          </w:rPr>
          <w:fldChar w:fldCharType="end"/>
        </w:r>
      </w:hyperlink>
    </w:p>
    <w:p w14:paraId="0EBF4C5E" w14:textId="2E2B1B0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3" w:history="1">
        <w:r w:rsidRPr="00BD3FD3">
          <w:rPr>
            <w:rStyle w:val="Hyperlink"/>
            <w:noProof/>
          </w:rPr>
          <w:t>Background to this review</w:t>
        </w:r>
        <w:r>
          <w:rPr>
            <w:noProof/>
            <w:webHidden/>
          </w:rPr>
          <w:tab/>
        </w:r>
        <w:r>
          <w:rPr>
            <w:noProof/>
            <w:webHidden/>
          </w:rPr>
          <w:fldChar w:fldCharType="begin"/>
        </w:r>
        <w:r>
          <w:rPr>
            <w:noProof/>
            <w:webHidden/>
          </w:rPr>
          <w:instrText xml:space="preserve"> PAGEREF _Toc231467813 \h </w:instrText>
        </w:r>
        <w:r>
          <w:rPr>
            <w:noProof/>
            <w:webHidden/>
          </w:rPr>
        </w:r>
        <w:r>
          <w:rPr>
            <w:noProof/>
            <w:webHidden/>
          </w:rPr>
          <w:fldChar w:fldCharType="separate"/>
        </w:r>
        <w:r w:rsidR="00557DF1">
          <w:rPr>
            <w:noProof/>
            <w:webHidden/>
          </w:rPr>
          <w:t>7</w:t>
        </w:r>
        <w:r>
          <w:rPr>
            <w:noProof/>
            <w:webHidden/>
          </w:rPr>
          <w:fldChar w:fldCharType="end"/>
        </w:r>
      </w:hyperlink>
    </w:p>
    <w:p w14:paraId="5BE16B8B" w14:textId="5A410D1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4" w:history="1">
        <w:r w:rsidRPr="00BD3FD3">
          <w:rPr>
            <w:rStyle w:val="Hyperlink"/>
            <w:noProof/>
          </w:rPr>
          <w:t>Scope of this review</w:t>
        </w:r>
        <w:r>
          <w:rPr>
            <w:noProof/>
            <w:webHidden/>
          </w:rPr>
          <w:tab/>
        </w:r>
        <w:r>
          <w:rPr>
            <w:noProof/>
            <w:webHidden/>
          </w:rPr>
          <w:fldChar w:fldCharType="begin"/>
        </w:r>
        <w:r>
          <w:rPr>
            <w:noProof/>
            <w:webHidden/>
          </w:rPr>
          <w:instrText xml:space="preserve"> PAGEREF _Toc231467814 \h </w:instrText>
        </w:r>
        <w:r>
          <w:rPr>
            <w:noProof/>
            <w:webHidden/>
          </w:rPr>
        </w:r>
        <w:r>
          <w:rPr>
            <w:noProof/>
            <w:webHidden/>
          </w:rPr>
          <w:fldChar w:fldCharType="separate"/>
        </w:r>
        <w:r w:rsidR="00557DF1">
          <w:rPr>
            <w:noProof/>
            <w:webHidden/>
          </w:rPr>
          <w:t>10</w:t>
        </w:r>
        <w:r>
          <w:rPr>
            <w:noProof/>
            <w:webHidden/>
          </w:rPr>
          <w:fldChar w:fldCharType="end"/>
        </w:r>
      </w:hyperlink>
    </w:p>
    <w:p w14:paraId="71E79294" w14:textId="7A34E1C7"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5" w:history="1">
        <w:r w:rsidRPr="00BD3FD3">
          <w:rPr>
            <w:rStyle w:val="Hyperlink"/>
            <w:noProof/>
          </w:rPr>
          <w:t>Matters that are out of scope</w:t>
        </w:r>
        <w:r>
          <w:rPr>
            <w:noProof/>
            <w:webHidden/>
          </w:rPr>
          <w:tab/>
        </w:r>
        <w:r>
          <w:rPr>
            <w:noProof/>
            <w:webHidden/>
          </w:rPr>
          <w:fldChar w:fldCharType="begin"/>
        </w:r>
        <w:r>
          <w:rPr>
            <w:noProof/>
            <w:webHidden/>
          </w:rPr>
          <w:instrText xml:space="preserve"> PAGEREF _Toc231467815 \h </w:instrText>
        </w:r>
        <w:r>
          <w:rPr>
            <w:noProof/>
            <w:webHidden/>
          </w:rPr>
        </w:r>
        <w:r>
          <w:rPr>
            <w:noProof/>
            <w:webHidden/>
          </w:rPr>
          <w:fldChar w:fldCharType="separate"/>
        </w:r>
        <w:r w:rsidR="00557DF1">
          <w:rPr>
            <w:noProof/>
            <w:webHidden/>
          </w:rPr>
          <w:t>10</w:t>
        </w:r>
        <w:r>
          <w:rPr>
            <w:noProof/>
            <w:webHidden/>
          </w:rPr>
          <w:fldChar w:fldCharType="end"/>
        </w:r>
      </w:hyperlink>
    </w:p>
    <w:p w14:paraId="5BEF24DC" w14:textId="31ACAA9C"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6" w:history="1">
        <w:r w:rsidRPr="00BD3FD3">
          <w:rPr>
            <w:rStyle w:val="Hyperlink"/>
            <w:noProof/>
          </w:rPr>
          <w:t>Terminology</w:t>
        </w:r>
        <w:r>
          <w:rPr>
            <w:noProof/>
            <w:webHidden/>
          </w:rPr>
          <w:tab/>
        </w:r>
        <w:r>
          <w:rPr>
            <w:noProof/>
            <w:webHidden/>
          </w:rPr>
          <w:fldChar w:fldCharType="begin"/>
        </w:r>
        <w:r>
          <w:rPr>
            <w:noProof/>
            <w:webHidden/>
          </w:rPr>
          <w:instrText xml:space="preserve"> PAGEREF _Toc231467816 \h </w:instrText>
        </w:r>
        <w:r>
          <w:rPr>
            <w:noProof/>
            <w:webHidden/>
          </w:rPr>
        </w:r>
        <w:r>
          <w:rPr>
            <w:noProof/>
            <w:webHidden/>
          </w:rPr>
          <w:fldChar w:fldCharType="separate"/>
        </w:r>
        <w:r w:rsidR="00557DF1">
          <w:rPr>
            <w:noProof/>
            <w:webHidden/>
          </w:rPr>
          <w:t>12</w:t>
        </w:r>
        <w:r>
          <w:rPr>
            <w:noProof/>
            <w:webHidden/>
          </w:rPr>
          <w:fldChar w:fldCharType="end"/>
        </w:r>
      </w:hyperlink>
    </w:p>
    <w:p w14:paraId="0065F7BF" w14:textId="28E7948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7" w:history="1">
        <w:r w:rsidRPr="00BD3FD3">
          <w:rPr>
            <w:rStyle w:val="Hyperlink"/>
            <w:noProof/>
          </w:rPr>
          <w:t>Our process</w:t>
        </w:r>
        <w:r>
          <w:rPr>
            <w:noProof/>
            <w:webHidden/>
          </w:rPr>
          <w:tab/>
        </w:r>
        <w:r>
          <w:rPr>
            <w:noProof/>
            <w:webHidden/>
          </w:rPr>
          <w:fldChar w:fldCharType="begin"/>
        </w:r>
        <w:r>
          <w:rPr>
            <w:noProof/>
            <w:webHidden/>
          </w:rPr>
          <w:instrText xml:space="preserve"> PAGEREF _Toc231467817 \h </w:instrText>
        </w:r>
        <w:r>
          <w:rPr>
            <w:noProof/>
            <w:webHidden/>
          </w:rPr>
        </w:r>
        <w:r>
          <w:rPr>
            <w:noProof/>
            <w:webHidden/>
          </w:rPr>
          <w:fldChar w:fldCharType="separate"/>
        </w:r>
        <w:r w:rsidR="00557DF1">
          <w:rPr>
            <w:noProof/>
            <w:webHidden/>
          </w:rPr>
          <w:t>13</w:t>
        </w:r>
        <w:r>
          <w:rPr>
            <w:noProof/>
            <w:webHidden/>
          </w:rPr>
          <w:fldChar w:fldCharType="end"/>
        </w:r>
      </w:hyperlink>
    </w:p>
    <w:p w14:paraId="62DE1C79" w14:textId="61AC82F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18" w:history="1">
        <w:r w:rsidRPr="00BD3FD3">
          <w:rPr>
            <w:rStyle w:val="Hyperlink"/>
            <w:noProof/>
          </w:rPr>
          <w:t>Structure of this Report</w:t>
        </w:r>
        <w:r>
          <w:rPr>
            <w:noProof/>
            <w:webHidden/>
          </w:rPr>
          <w:tab/>
        </w:r>
        <w:r>
          <w:rPr>
            <w:noProof/>
            <w:webHidden/>
          </w:rPr>
          <w:fldChar w:fldCharType="begin"/>
        </w:r>
        <w:r>
          <w:rPr>
            <w:noProof/>
            <w:webHidden/>
          </w:rPr>
          <w:instrText xml:space="preserve"> PAGEREF _Toc231467818 \h </w:instrText>
        </w:r>
        <w:r>
          <w:rPr>
            <w:noProof/>
            <w:webHidden/>
          </w:rPr>
        </w:r>
        <w:r>
          <w:rPr>
            <w:noProof/>
            <w:webHidden/>
          </w:rPr>
          <w:fldChar w:fldCharType="separate"/>
        </w:r>
        <w:r w:rsidR="00557DF1">
          <w:rPr>
            <w:noProof/>
            <w:webHidden/>
          </w:rPr>
          <w:t>15</w:t>
        </w:r>
        <w:r>
          <w:rPr>
            <w:noProof/>
            <w:webHidden/>
          </w:rPr>
          <w:fldChar w:fldCharType="end"/>
        </w:r>
      </w:hyperlink>
    </w:p>
    <w:p w14:paraId="7DF72FBD" w14:textId="100C9F85"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19" w:history="1">
        <w:r>
          <w:rPr>
            <w:rStyle w:val="Hyperlink"/>
          </w:rPr>
          <w:t>PART 1: B</w:t>
        </w:r>
        <w:r w:rsidR="003A349D" w:rsidRPr="00BD3FD3">
          <w:rPr>
            <w:rStyle w:val="Hyperlink"/>
          </w:rPr>
          <w:t>ACKGROUND AND CONCEPTUAL MATTERS</w:t>
        </w:r>
        <w:r w:rsidR="003A349D">
          <w:rPr>
            <w:webHidden/>
          </w:rPr>
          <w:tab/>
        </w:r>
        <w:r w:rsidR="003A349D">
          <w:rPr>
            <w:webHidden/>
          </w:rPr>
          <w:fldChar w:fldCharType="begin"/>
        </w:r>
        <w:r w:rsidR="003A349D">
          <w:rPr>
            <w:webHidden/>
          </w:rPr>
          <w:instrText xml:space="preserve"> PAGEREF _Toc231467819 \h </w:instrText>
        </w:r>
        <w:r w:rsidR="003A349D">
          <w:rPr>
            <w:webHidden/>
          </w:rPr>
        </w:r>
        <w:r w:rsidR="003A349D">
          <w:rPr>
            <w:webHidden/>
          </w:rPr>
          <w:fldChar w:fldCharType="separate"/>
        </w:r>
        <w:r w:rsidR="00557DF1">
          <w:rPr>
            <w:webHidden/>
          </w:rPr>
          <w:t>17</w:t>
        </w:r>
        <w:r w:rsidR="003A349D">
          <w:rPr>
            <w:webHidden/>
          </w:rPr>
          <w:fldChar w:fldCharType="end"/>
        </w:r>
      </w:hyperlink>
    </w:p>
    <w:p w14:paraId="0EEF4F76" w14:textId="5B9361C5"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20" w:history="1">
        <w:r w:rsidRPr="000A1ED3">
          <w:rPr>
            <w:rStyle w:val="Hyperlink"/>
            <w:rFonts w:eastAsia="Metropolis Black"/>
          </w:rPr>
          <w:t xml:space="preserve">Chapter </w:t>
        </w:r>
        <w:r>
          <w:rPr>
            <w:rStyle w:val="Hyperlink"/>
            <w:rFonts w:eastAsia="Metropolis Black"/>
          </w:rPr>
          <w:t>2</w:t>
        </w:r>
        <w:r w:rsidRPr="000A1ED3">
          <w:rPr>
            <w:rStyle w:val="Hyperlink"/>
            <w:rFonts w:eastAsia="Metropolis Black"/>
          </w:rPr>
          <w:t xml:space="preserve">: </w:t>
        </w:r>
        <w:r w:rsidR="003A349D" w:rsidRPr="00BD3FD3">
          <w:rPr>
            <w:rStyle w:val="Hyperlink"/>
            <w:rFonts w:eastAsia="Metropolis Black"/>
          </w:rPr>
          <w:t>Hate crime in Aotearoa New Zealand</w:t>
        </w:r>
        <w:r w:rsidR="003A349D">
          <w:rPr>
            <w:webHidden/>
          </w:rPr>
          <w:tab/>
        </w:r>
        <w:r w:rsidR="003A349D">
          <w:rPr>
            <w:webHidden/>
          </w:rPr>
          <w:fldChar w:fldCharType="begin"/>
        </w:r>
        <w:r w:rsidR="003A349D">
          <w:rPr>
            <w:webHidden/>
          </w:rPr>
          <w:instrText xml:space="preserve"> PAGEREF _Toc231467820 \h </w:instrText>
        </w:r>
        <w:r w:rsidR="003A349D">
          <w:rPr>
            <w:webHidden/>
          </w:rPr>
        </w:r>
        <w:r w:rsidR="003A349D">
          <w:rPr>
            <w:webHidden/>
          </w:rPr>
          <w:fldChar w:fldCharType="separate"/>
        </w:r>
        <w:r w:rsidR="00557DF1">
          <w:rPr>
            <w:webHidden/>
          </w:rPr>
          <w:t>18</w:t>
        </w:r>
        <w:r w:rsidR="003A349D">
          <w:rPr>
            <w:webHidden/>
          </w:rPr>
          <w:fldChar w:fldCharType="end"/>
        </w:r>
      </w:hyperlink>
    </w:p>
    <w:p w14:paraId="0DC827A1" w14:textId="57E0B419"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1" w:history="1">
        <w:r w:rsidRPr="00BD3FD3">
          <w:rPr>
            <w:rStyle w:val="Hyperlink"/>
            <w:noProof/>
          </w:rPr>
          <w:t>Introduction</w:t>
        </w:r>
        <w:r>
          <w:rPr>
            <w:noProof/>
            <w:webHidden/>
          </w:rPr>
          <w:tab/>
        </w:r>
        <w:r>
          <w:rPr>
            <w:noProof/>
            <w:webHidden/>
          </w:rPr>
          <w:fldChar w:fldCharType="begin"/>
        </w:r>
        <w:r>
          <w:rPr>
            <w:noProof/>
            <w:webHidden/>
          </w:rPr>
          <w:instrText xml:space="preserve"> PAGEREF _Toc231467821 \h </w:instrText>
        </w:r>
        <w:r>
          <w:rPr>
            <w:noProof/>
            <w:webHidden/>
          </w:rPr>
        </w:r>
        <w:r>
          <w:rPr>
            <w:noProof/>
            <w:webHidden/>
          </w:rPr>
          <w:fldChar w:fldCharType="separate"/>
        </w:r>
        <w:r w:rsidR="00557DF1">
          <w:rPr>
            <w:noProof/>
            <w:webHidden/>
          </w:rPr>
          <w:t>18</w:t>
        </w:r>
        <w:r>
          <w:rPr>
            <w:noProof/>
            <w:webHidden/>
          </w:rPr>
          <w:fldChar w:fldCharType="end"/>
        </w:r>
      </w:hyperlink>
    </w:p>
    <w:p w14:paraId="52A50316" w14:textId="1A1DF89F"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2" w:history="1">
        <w:r w:rsidRPr="00BD3FD3">
          <w:rPr>
            <w:rStyle w:val="Hyperlink"/>
            <w:noProof/>
          </w:rPr>
          <w:t>The current law</w:t>
        </w:r>
        <w:r>
          <w:rPr>
            <w:noProof/>
            <w:webHidden/>
          </w:rPr>
          <w:tab/>
        </w:r>
        <w:r>
          <w:rPr>
            <w:noProof/>
            <w:webHidden/>
          </w:rPr>
          <w:fldChar w:fldCharType="begin"/>
        </w:r>
        <w:r>
          <w:rPr>
            <w:noProof/>
            <w:webHidden/>
          </w:rPr>
          <w:instrText xml:space="preserve"> PAGEREF _Toc231467822 \h </w:instrText>
        </w:r>
        <w:r>
          <w:rPr>
            <w:noProof/>
            <w:webHidden/>
          </w:rPr>
        </w:r>
        <w:r>
          <w:rPr>
            <w:noProof/>
            <w:webHidden/>
          </w:rPr>
          <w:fldChar w:fldCharType="separate"/>
        </w:r>
        <w:r w:rsidR="00557DF1">
          <w:rPr>
            <w:noProof/>
            <w:webHidden/>
          </w:rPr>
          <w:t>18</w:t>
        </w:r>
        <w:r>
          <w:rPr>
            <w:noProof/>
            <w:webHidden/>
          </w:rPr>
          <w:fldChar w:fldCharType="end"/>
        </w:r>
      </w:hyperlink>
    </w:p>
    <w:p w14:paraId="1F74344B" w14:textId="0D8BD2C2"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3" w:history="1">
        <w:r w:rsidRPr="00BD3FD3">
          <w:rPr>
            <w:rStyle w:val="Hyperlink"/>
            <w:noProof/>
          </w:rPr>
          <w:t>Nature and prevalence of hate crime in Aotearoa New Zealand</w:t>
        </w:r>
        <w:r>
          <w:rPr>
            <w:noProof/>
            <w:webHidden/>
          </w:rPr>
          <w:tab/>
        </w:r>
        <w:r>
          <w:rPr>
            <w:noProof/>
            <w:webHidden/>
          </w:rPr>
          <w:fldChar w:fldCharType="begin"/>
        </w:r>
        <w:r>
          <w:rPr>
            <w:noProof/>
            <w:webHidden/>
          </w:rPr>
          <w:instrText xml:space="preserve"> PAGEREF _Toc231467823 \h </w:instrText>
        </w:r>
        <w:r>
          <w:rPr>
            <w:noProof/>
            <w:webHidden/>
          </w:rPr>
        </w:r>
        <w:r>
          <w:rPr>
            <w:noProof/>
            <w:webHidden/>
          </w:rPr>
          <w:fldChar w:fldCharType="separate"/>
        </w:r>
        <w:r w:rsidR="00557DF1">
          <w:rPr>
            <w:noProof/>
            <w:webHidden/>
          </w:rPr>
          <w:t>20</w:t>
        </w:r>
        <w:r>
          <w:rPr>
            <w:noProof/>
            <w:webHidden/>
          </w:rPr>
          <w:fldChar w:fldCharType="end"/>
        </w:r>
      </w:hyperlink>
    </w:p>
    <w:p w14:paraId="4806D7CB" w14:textId="3714B953"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4" w:history="1">
        <w:r w:rsidRPr="00BD3FD3">
          <w:rPr>
            <w:rStyle w:val="Hyperlink"/>
            <w:noProof/>
          </w:rPr>
          <w:t>How hate crime is addressed in the criminal justice system</w:t>
        </w:r>
        <w:r>
          <w:rPr>
            <w:noProof/>
            <w:webHidden/>
          </w:rPr>
          <w:tab/>
        </w:r>
        <w:r>
          <w:rPr>
            <w:noProof/>
            <w:webHidden/>
          </w:rPr>
          <w:fldChar w:fldCharType="begin"/>
        </w:r>
        <w:r>
          <w:rPr>
            <w:noProof/>
            <w:webHidden/>
          </w:rPr>
          <w:instrText xml:space="preserve"> PAGEREF _Toc231467824 \h </w:instrText>
        </w:r>
        <w:r>
          <w:rPr>
            <w:noProof/>
            <w:webHidden/>
          </w:rPr>
        </w:r>
        <w:r>
          <w:rPr>
            <w:noProof/>
            <w:webHidden/>
          </w:rPr>
          <w:fldChar w:fldCharType="separate"/>
        </w:r>
        <w:r w:rsidR="00557DF1">
          <w:rPr>
            <w:noProof/>
            <w:webHidden/>
          </w:rPr>
          <w:t>25</w:t>
        </w:r>
        <w:r>
          <w:rPr>
            <w:noProof/>
            <w:webHidden/>
          </w:rPr>
          <w:fldChar w:fldCharType="end"/>
        </w:r>
      </w:hyperlink>
    </w:p>
    <w:p w14:paraId="49916994" w14:textId="43277515"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25" w:history="1">
        <w:r w:rsidRPr="000A1ED3">
          <w:rPr>
            <w:rStyle w:val="Hyperlink"/>
            <w:rFonts w:eastAsia="Metropolis Black"/>
          </w:rPr>
          <w:t xml:space="preserve">Chapter </w:t>
        </w:r>
        <w:r>
          <w:rPr>
            <w:rStyle w:val="Hyperlink"/>
            <w:rFonts w:eastAsia="Metropolis Black"/>
          </w:rPr>
          <w:t>3</w:t>
        </w:r>
        <w:r w:rsidRPr="000A1ED3">
          <w:rPr>
            <w:rStyle w:val="Hyperlink"/>
            <w:rFonts w:eastAsia="Metropolis Black"/>
          </w:rPr>
          <w:t xml:space="preserve">: </w:t>
        </w:r>
        <w:r w:rsidR="003A349D" w:rsidRPr="00BD3FD3">
          <w:rPr>
            <w:rStyle w:val="Hyperlink"/>
            <w:rFonts w:eastAsia="Metropolis Black"/>
          </w:rPr>
          <w:t>Reform considerations</w:t>
        </w:r>
        <w:r w:rsidR="003A349D">
          <w:rPr>
            <w:webHidden/>
          </w:rPr>
          <w:tab/>
        </w:r>
        <w:r w:rsidR="003A349D">
          <w:rPr>
            <w:webHidden/>
          </w:rPr>
          <w:fldChar w:fldCharType="begin"/>
        </w:r>
        <w:r w:rsidR="003A349D">
          <w:rPr>
            <w:webHidden/>
          </w:rPr>
          <w:instrText xml:space="preserve"> PAGEREF _Toc231467825 \h </w:instrText>
        </w:r>
        <w:r w:rsidR="003A349D">
          <w:rPr>
            <w:webHidden/>
          </w:rPr>
        </w:r>
        <w:r w:rsidR="003A349D">
          <w:rPr>
            <w:webHidden/>
          </w:rPr>
          <w:fldChar w:fldCharType="separate"/>
        </w:r>
        <w:r w:rsidR="00557DF1">
          <w:rPr>
            <w:webHidden/>
          </w:rPr>
          <w:t>34</w:t>
        </w:r>
        <w:r w:rsidR="003A349D">
          <w:rPr>
            <w:webHidden/>
          </w:rPr>
          <w:fldChar w:fldCharType="end"/>
        </w:r>
      </w:hyperlink>
    </w:p>
    <w:p w14:paraId="6A8C1CA5" w14:textId="7324CFCB"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6" w:history="1">
        <w:r w:rsidRPr="00BD3FD3">
          <w:rPr>
            <w:rStyle w:val="Hyperlink"/>
            <w:noProof/>
          </w:rPr>
          <w:t>Introduction</w:t>
        </w:r>
        <w:r>
          <w:rPr>
            <w:noProof/>
            <w:webHidden/>
          </w:rPr>
          <w:tab/>
        </w:r>
        <w:r>
          <w:rPr>
            <w:noProof/>
            <w:webHidden/>
          </w:rPr>
          <w:fldChar w:fldCharType="begin"/>
        </w:r>
        <w:r>
          <w:rPr>
            <w:noProof/>
            <w:webHidden/>
          </w:rPr>
          <w:instrText xml:space="preserve"> PAGEREF _Toc231467826 \h </w:instrText>
        </w:r>
        <w:r>
          <w:rPr>
            <w:noProof/>
            <w:webHidden/>
          </w:rPr>
        </w:r>
        <w:r>
          <w:rPr>
            <w:noProof/>
            <w:webHidden/>
          </w:rPr>
          <w:fldChar w:fldCharType="separate"/>
        </w:r>
        <w:r w:rsidR="00557DF1">
          <w:rPr>
            <w:noProof/>
            <w:webHidden/>
          </w:rPr>
          <w:t>34</w:t>
        </w:r>
        <w:r>
          <w:rPr>
            <w:noProof/>
            <w:webHidden/>
          </w:rPr>
          <w:fldChar w:fldCharType="end"/>
        </w:r>
      </w:hyperlink>
    </w:p>
    <w:p w14:paraId="1C33C388" w14:textId="6FACD7F4"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7" w:history="1">
        <w:r w:rsidRPr="00BD3FD3">
          <w:rPr>
            <w:rStyle w:val="Hyperlink"/>
            <w:noProof/>
          </w:rPr>
          <w:t>The need to treat hate crime more seriously than other crime</w:t>
        </w:r>
        <w:r>
          <w:rPr>
            <w:noProof/>
            <w:webHidden/>
          </w:rPr>
          <w:tab/>
        </w:r>
        <w:r>
          <w:rPr>
            <w:noProof/>
            <w:webHidden/>
          </w:rPr>
          <w:fldChar w:fldCharType="begin"/>
        </w:r>
        <w:r>
          <w:rPr>
            <w:noProof/>
            <w:webHidden/>
          </w:rPr>
          <w:instrText xml:space="preserve"> PAGEREF _Toc231467827 \h </w:instrText>
        </w:r>
        <w:r>
          <w:rPr>
            <w:noProof/>
            <w:webHidden/>
          </w:rPr>
        </w:r>
        <w:r>
          <w:rPr>
            <w:noProof/>
            <w:webHidden/>
          </w:rPr>
          <w:fldChar w:fldCharType="separate"/>
        </w:r>
        <w:r w:rsidR="00557DF1">
          <w:rPr>
            <w:noProof/>
            <w:webHidden/>
          </w:rPr>
          <w:t>34</w:t>
        </w:r>
        <w:r>
          <w:rPr>
            <w:noProof/>
            <w:webHidden/>
          </w:rPr>
          <w:fldChar w:fldCharType="end"/>
        </w:r>
      </w:hyperlink>
    </w:p>
    <w:p w14:paraId="08E0E6DE" w14:textId="07271004"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8" w:history="1">
        <w:r w:rsidRPr="00BD3FD3">
          <w:rPr>
            <w:rStyle w:val="Hyperlink"/>
            <w:noProof/>
          </w:rPr>
          <w:t>Objectives of hate crime law</w:t>
        </w:r>
        <w:r>
          <w:rPr>
            <w:noProof/>
            <w:webHidden/>
          </w:rPr>
          <w:tab/>
        </w:r>
        <w:r>
          <w:rPr>
            <w:noProof/>
            <w:webHidden/>
          </w:rPr>
          <w:fldChar w:fldCharType="begin"/>
        </w:r>
        <w:r>
          <w:rPr>
            <w:noProof/>
            <w:webHidden/>
          </w:rPr>
          <w:instrText xml:space="preserve"> PAGEREF _Toc231467828 \h </w:instrText>
        </w:r>
        <w:r>
          <w:rPr>
            <w:noProof/>
            <w:webHidden/>
          </w:rPr>
        </w:r>
        <w:r>
          <w:rPr>
            <w:noProof/>
            <w:webHidden/>
          </w:rPr>
          <w:fldChar w:fldCharType="separate"/>
        </w:r>
        <w:r w:rsidR="00557DF1">
          <w:rPr>
            <w:noProof/>
            <w:webHidden/>
          </w:rPr>
          <w:t>38</w:t>
        </w:r>
        <w:r>
          <w:rPr>
            <w:noProof/>
            <w:webHidden/>
          </w:rPr>
          <w:fldChar w:fldCharType="end"/>
        </w:r>
      </w:hyperlink>
    </w:p>
    <w:p w14:paraId="37057770" w14:textId="4A13E74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29" w:history="1">
        <w:r w:rsidRPr="00BD3FD3">
          <w:rPr>
            <w:rStyle w:val="Hyperlink"/>
            <w:noProof/>
          </w:rPr>
          <w:t>Legal principles for the creation of new offences</w:t>
        </w:r>
        <w:r>
          <w:rPr>
            <w:noProof/>
            <w:webHidden/>
          </w:rPr>
          <w:tab/>
        </w:r>
        <w:r>
          <w:rPr>
            <w:noProof/>
            <w:webHidden/>
          </w:rPr>
          <w:fldChar w:fldCharType="begin"/>
        </w:r>
        <w:r>
          <w:rPr>
            <w:noProof/>
            <w:webHidden/>
          </w:rPr>
          <w:instrText xml:space="preserve"> PAGEREF _Toc231467829 \h </w:instrText>
        </w:r>
        <w:r>
          <w:rPr>
            <w:noProof/>
            <w:webHidden/>
          </w:rPr>
        </w:r>
        <w:r>
          <w:rPr>
            <w:noProof/>
            <w:webHidden/>
          </w:rPr>
          <w:fldChar w:fldCharType="separate"/>
        </w:r>
        <w:r w:rsidR="00557DF1">
          <w:rPr>
            <w:noProof/>
            <w:webHidden/>
          </w:rPr>
          <w:t>41</w:t>
        </w:r>
        <w:r>
          <w:rPr>
            <w:noProof/>
            <w:webHidden/>
          </w:rPr>
          <w:fldChar w:fldCharType="end"/>
        </w:r>
      </w:hyperlink>
    </w:p>
    <w:p w14:paraId="67C3E4A5" w14:textId="453046D9"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0" w:history="1">
        <w:r w:rsidRPr="00BD3FD3">
          <w:rPr>
            <w:rStyle w:val="Hyperlink"/>
            <w:noProof/>
          </w:rPr>
          <w:t>The Treaty and tikanga</w:t>
        </w:r>
        <w:r>
          <w:rPr>
            <w:noProof/>
            <w:webHidden/>
          </w:rPr>
          <w:tab/>
        </w:r>
        <w:r>
          <w:rPr>
            <w:noProof/>
            <w:webHidden/>
          </w:rPr>
          <w:fldChar w:fldCharType="begin"/>
        </w:r>
        <w:r>
          <w:rPr>
            <w:noProof/>
            <w:webHidden/>
          </w:rPr>
          <w:instrText xml:space="preserve"> PAGEREF _Toc231467830 \h </w:instrText>
        </w:r>
        <w:r>
          <w:rPr>
            <w:noProof/>
            <w:webHidden/>
          </w:rPr>
        </w:r>
        <w:r>
          <w:rPr>
            <w:noProof/>
            <w:webHidden/>
          </w:rPr>
          <w:fldChar w:fldCharType="separate"/>
        </w:r>
        <w:r w:rsidR="00557DF1">
          <w:rPr>
            <w:noProof/>
            <w:webHidden/>
          </w:rPr>
          <w:t>43</w:t>
        </w:r>
        <w:r>
          <w:rPr>
            <w:noProof/>
            <w:webHidden/>
          </w:rPr>
          <w:fldChar w:fldCharType="end"/>
        </w:r>
      </w:hyperlink>
    </w:p>
    <w:p w14:paraId="6127696D" w14:textId="648FD22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1" w:history="1">
        <w:r w:rsidRPr="00BD3FD3">
          <w:rPr>
            <w:rStyle w:val="Hyperlink"/>
            <w:noProof/>
          </w:rPr>
          <w:t>Human rights obligations</w:t>
        </w:r>
        <w:r>
          <w:rPr>
            <w:noProof/>
            <w:webHidden/>
          </w:rPr>
          <w:tab/>
        </w:r>
        <w:r>
          <w:rPr>
            <w:noProof/>
            <w:webHidden/>
          </w:rPr>
          <w:fldChar w:fldCharType="begin"/>
        </w:r>
        <w:r>
          <w:rPr>
            <w:noProof/>
            <w:webHidden/>
          </w:rPr>
          <w:instrText xml:space="preserve"> PAGEREF _Toc231467831 \h </w:instrText>
        </w:r>
        <w:r>
          <w:rPr>
            <w:noProof/>
            <w:webHidden/>
          </w:rPr>
        </w:r>
        <w:r>
          <w:rPr>
            <w:noProof/>
            <w:webHidden/>
          </w:rPr>
          <w:fldChar w:fldCharType="separate"/>
        </w:r>
        <w:r w:rsidR="00557DF1">
          <w:rPr>
            <w:noProof/>
            <w:webHidden/>
          </w:rPr>
          <w:t>50</w:t>
        </w:r>
        <w:r>
          <w:rPr>
            <w:noProof/>
            <w:webHidden/>
          </w:rPr>
          <w:fldChar w:fldCharType="end"/>
        </w:r>
      </w:hyperlink>
    </w:p>
    <w:p w14:paraId="2764AD29" w14:textId="77777777" w:rsidR="000A1ED3" w:rsidRDefault="000A1ED3">
      <w:pPr>
        <w:spacing w:before="0" w:after="0" w:line="240" w:lineRule="auto"/>
        <w:rPr>
          <w:rStyle w:val="Hyperlink"/>
          <w:b/>
          <w:noProof/>
          <w:sz w:val="22"/>
        </w:rPr>
      </w:pPr>
      <w:r>
        <w:rPr>
          <w:rStyle w:val="Hyperlink"/>
          <w:noProof/>
        </w:rPr>
        <w:br w:type="page"/>
      </w:r>
    </w:p>
    <w:p w14:paraId="4004727C" w14:textId="1334EBEC"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32" w:history="1">
        <w:r>
          <w:rPr>
            <w:rStyle w:val="Hyperlink"/>
          </w:rPr>
          <w:t>PART 2: L</w:t>
        </w:r>
        <w:r w:rsidR="003A349D" w:rsidRPr="00BD3FD3">
          <w:rPr>
            <w:rStyle w:val="Hyperlink"/>
          </w:rPr>
          <w:t>EGAL MODEL FOR ADDRESSING HATE CRIME</w:t>
        </w:r>
        <w:r w:rsidR="003A349D">
          <w:rPr>
            <w:webHidden/>
          </w:rPr>
          <w:tab/>
        </w:r>
        <w:r w:rsidR="003A349D">
          <w:rPr>
            <w:webHidden/>
          </w:rPr>
          <w:fldChar w:fldCharType="begin"/>
        </w:r>
        <w:r w:rsidR="003A349D">
          <w:rPr>
            <w:webHidden/>
          </w:rPr>
          <w:instrText xml:space="preserve"> PAGEREF _Toc231467832 \h </w:instrText>
        </w:r>
        <w:r w:rsidR="003A349D">
          <w:rPr>
            <w:webHidden/>
          </w:rPr>
        </w:r>
        <w:r w:rsidR="003A349D">
          <w:rPr>
            <w:webHidden/>
          </w:rPr>
          <w:fldChar w:fldCharType="separate"/>
        </w:r>
        <w:r w:rsidR="00557DF1">
          <w:rPr>
            <w:webHidden/>
          </w:rPr>
          <w:t>55</w:t>
        </w:r>
        <w:r w:rsidR="003A349D">
          <w:rPr>
            <w:webHidden/>
          </w:rPr>
          <w:fldChar w:fldCharType="end"/>
        </w:r>
      </w:hyperlink>
    </w:p>
    <w:p w14:paraId="05A8CA81" w14:textId="18B51DF3"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33" w:history="1">
        <w:r w:rsidRPr="000A1ED3">
          <w:rPr>
            <w:rStyle w:val="Hyperlink"/>
            <w:rFonts w:eastAsia="Metropolis Black"/>
          </w:rPr>
          <w:t xml:space="preserve">Chapter </w:t>
        </w:r>
        <w:r>
          <w:rPr>
            <w:rStyle w:val="Hyperlink"/>
            <w:rFonts w:eastAsia="Metropolis Black"/>
          </w:rPr>
          <w:t>4</w:t>
        </w:r>
        <w:r w:rsidRPr="000A1ED3">
          <w:rPr>
            <w:rStyle w:val="Hyperlink"/>
            <w:rFonts w:eastAsia="Metropolis Black"/>
          </w:rPr>
          <w:t xml:space="preserve">: </w:t>
        </w:r>
        <w:r w:rsidR="003A349D" w:rsidRPr="00BD3FD3">
          <w:rPr>
            <w:rStyle w:val="Hyperlink"/>
            <w:rFonts w:eastAsia="Metropolis Black"/>
          </w:rPr>
          <w:t>Are there problems with the current law?</w:t>
        </w:r>
        <w:r w:rsidR="003A349D">
          <w:rPr>
            <w:webHidden/>
          </w:rPr>
          <w:tab/>
        </w:r>
        <w:r w:rsidR="003A349D">
          <w:rPr>
            <w:webHidden/>
          </w:rPr>
          <w:fldChar w:fldCharType="begin"/>
        </w:r>
        <w:r w:rsidR="003A349D">
          <w:rPr>
            <w:webHidden/>
          </w:rPr>
          <w:instrText xml:space="preserve"> PAGEREF _Toc231467833 \h </w:instrText>
        </w:r>
        <w:r w:rsidR="003A349D">
          <w:rPr>
            <w:webHidden/>
          </w:rPr>
        </w:r>
        <w:r w:rsidR="003A349D">
          <w:rPr>
            <w:webHidden/>
          </w:rPr>
          <w:fldChar w:fldCharType="separate"/>
        </w:r>
        <w:r w:rsidR="00557DF1">
          <w:rPr>
            <w:webHidden/>
          </w:rPr>
          <w:t>56</w:t>
        </w:r>
        <w:r w:rsidR="003A349D">
          <w:rPr>
            <w:webHidden/>
          </w:rPr>
          <w:fldChar w:fldCharType="end"/>
        </w:r>
      </w:hyperlink>
    </w:p>
    <w:p w14:paraId="376D66F8" w14:textId="051D151A"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4" w:history="1">
        <w:r w:rsidRPr="00BD3FD3">
          <w:rPr>
            <w:rStyle w:val="Hyperlink"/>
            <w:noProof/>
          </w:rPr>
          <w:t>Introduction</w:t>
        </w:r>
        <w:r>
          <w:rPr>
            <w:noProof/>
            <w:webHidden/>
          </w:rPr>
          <w:tab/>
        </w:r>
        <w:r>
          <w:rPr>
            <w:noProof/>
            <w:webHidden/>
          </w:rPr>
          <w:fldChar w:fldCharType="begin"/>
        </w:r>
        <w:r>
          <w:rPr>
            <w:noProof/>
            <w:webHidden/>
          </w:rPr>
          <w:instrText xml:space="preserve"> PAGEREF _Toc231467834 \h </w:instrText>
        </w:r>
        <w:r>
          <w:rPr>
            <w:noProof/>
            <w:webHidden/>
          </w:rPr>
        </w:r>
        <w:r>
          <w:rPr>
            <w:noProof/>
            <w:webHidden/>
          </w:rPr>
          <w:fldChar w:fldCharType="separate"/>
        </w:r>
        <w:r w:rsidR="00557DF1">
          <w:rPr>
            <w:noProof/>
            <w:webHidden/>
          </w:rPr>
          <w:t>56</w:t>
        </w:r>
        <w:r>
          <w:rPr>
            <w:noProof/>
            <w:webHidden/>
          </w:rPr>
          <w:fldChar w:fldCharType="end"/>
        </w:r>
      </w:hyperlink>
    </w:p>
    <w:p w14:paraId="7B140318" w14:textId="0C8B7684"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5" w:history="1">
        <w:r w:rsidRPr="00BD3FD3">
          <w:rPr>
            <w:rStyle w:val="Hyperlink"/>
            <w:noProof/>
          </w:rPr>
          <w:t>Overview of consultation responses</w:t>
        </w:r>
        <w:r>
          <w:rPr>
            <w:noProof/>
            <w:webHidden/>
          </w:rPr>
          <w:tab/>
        </w:r>
        <w:r>
          <w:rPr>
            <w:noProof/>
            <w:webHidden/>
          </w:rPr>
          <w:fldChar w:fldCharType="begin"/>
        </w:r>
        <w:r>
          <w:rPr>
            <w:noProof/>
            <w:webHidden/>
          </w:rPr>
          <w:instrText xml:space="preserve"> PAGEREF _Toc231467835 \h </w:instrText>
        </w:r>
        <w:r>
          <w:rPr>
            <w:noProof/>
            <w:webHidden/>
          </w:rPr>
        </w:r>
        <w:r>
          <w:rPr>
            <w:noProof/>
            <w:webHidden/>
          </w:rPr>
          <w:fldChar w:fldCharType="separate"/>
        </w:r>
        <w:r w:rsidR="00557DF1">
          <w:rPr>
            <w:noProof/>
            <w:webHidden/>
          </w:rPr>
          <w:t>57</w:t>
        </w:r>
        <w:r>
          <w:rPr>
            <w:noProof/>
            <w:webHidden/>
          </w:rPr>
          <w:fldChar w:fldCharType="end"/>
        </w:r>
      </w:hyperlink>
    </w:p>
    <w:p w14:paraId="49C7A91A" w14:textId="21F1E0D3"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6" w:history="1">
        <w:r w:rsidRPr="00BD3FD3">
          <w:rPr>
            <w:rStyle w:val="Hyperlink"/>
            <w:noProof/>
          </w:rPr>
          <w:t>Potential problems with the current law</w:t>
        </w:r>
        <w:r>
          <w:rPr>
            <w:noProof/>
            <w:webHidden/>
          </w:rPr>
          <w:tab/>
        </w:r>
        <w:r>
          <w:rPr>
            <w:noProof/>
            <w:webHidden/>
          </w:rPr>
          <w:fldChar w:fldCharType="begin"/>
        </w:r>
        <w:r>
          <w:rPr>
            <w:noProof/>
            <w:webHidden/>
          </w:rPr>
          <w:instrText xml:space="preserve"> PAGEREF _Toc231467836 \h </w:instrText>
        </w:r>
        <w:r>
          <w:rPr>
            <w:noProof/>
            <w:webHidden/>
          </w:rPr>
        </w:r>
        <w:r>
          <w:rPr>
            <w:noProof/>
            <w:webHidden/>
          </w:rPr>
          <w:fldChar w:fldCharType="separate"/>
        </w:r>
        <w:r w:rsidR="00557DF1">
          <w:rPr>
            <w:noProof/>
            <w:webHidden/>
          </w:rPr>
          <w:t>58</w:t>
        </w:r>
        <w:r>
          <w:rPr>
            <w:noProof/>
            <w:webHidden/>
          </w:rPr>
          <w:fldChar w:fldCharType="end"/>
        </w:r>
      </w:hyperlink>
    </w:p>
    <w:p w14:paraId="0BAF2E2E" w14:textId="6A694D96"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37" w:history="1">
        <w:r w:rsidRPr="000A1ED3">
          <w:rPr>
            <w:rStyle w:val="Hyperlink"/>
            <w:rFonts w:eastAsia="Metropolis Black"/>
          </w:rPr>
          <w:t xml:space="preserve">Chapter </w:t>
        </w:r>
        <w:r>
          <w:rPr>
            <w:rStyle w:val="Hyperlink"/>
            <w:rFonts w:eastAsia="Metropolis Black"/>
          </w:rPr>
          <w:t>5</w:t>
        </w:r>
        <w:r w:rsidRPr="000A1ED3">
          <w:rPr>
            <w:rStyle w:val="Hyperlink"/>
            <w:rFonts w:eastAsia="Metropolis Black"/>
          </w:rPr>
          <w:t xml:space="preserve">: </w:t>
        </w:r>
        <w:r w:rsidR="003A349D" w:rsidRPr="00BD3FD3">
          <w:rPr>
            <w:rStyle w:val="Hyperlink"/>
            <w:rFonts w:eastAsia="Metropolis Black"/>
          </w:rPr>
          <w:t>Comparing legal models</w:t>
        </w:r>
        <w:r w:rsidR="003A349D">
          <w:rPr>
            <w:webHidden/>
          </w:rPr>
          <w:tab/>
        </w:r>
        <w:r w:rsidR="003A349D">
          <w:rPr>
            <w:webHidden/>
          </w:rPr>
          <w:fldChar w:fldCharType="begin"/>
        </w:r>
        <w:r w:rsidR="003A349D">
          <w:rPr>
            <w:webHidden/>
          </w:rPr>
          <w:instrText xml:space="preserve"> PAGEREF _Toc231467837 \h </w:instrText>
        </w:r>
        <w:r w:rsidR="003A349D">
          <w:rPr>
            <w:webHidden/>
          </w:rPr>
        </w:r>
        <w:r w:rsidR="003A349D">
          <w:rPr>
            <w:webHidden/>
          </w:rPr>
          <w:fldChar w:fldCharType="separate"/>
        </w:r>
        <w:r w:rsidR="00557DF1">
          <w:rPr>
            <w:webHidden/>
          </w:rPr>
          <w:t>80</w:t>
        </w:r>
        <w:r w:rsidR="003A349D">
          <w:rPr>
            <w:webHidden/>
          </w:rPr>
          <w:fldChar w:fldCharType="end"/>
        </w:r>
      </w:hyperlink>
    </w:p>
    <w:p w14:paraId="5A8B451E" w14:textId="74ED3087"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8" w:history="1">
        <w:r w:rsidRPr="00BD3FD3">
          <w:rPr>
            <w:rStyle w:val="Hyperlink"/>
            <w:noProof/>
          </w:rPr>
          <w:t>Introduction</w:t>
        </w:r>
        <w:r>
          <w:rPr>
            <w:noProof/>
            <w:webHidden/>
          </w:rPr>
          <w:tab/>
        </w:r>
        <w:r>
          <w:rPr>
            <w:noProof/>
            <w:webHidden/>
          </w:rPr>
          <w:fldChar w:fldCharType="begin"/>
        </w:r>
        <w:r>
          <w:rPr>
            <w:noProof/>
            <w:webHidden/>
          </w:rPr>
          <w:instrText xml:space="preserve"> PAGEREF _Toc231467838 \h </w:instrText>
        </w:r>
        <w:r>
          <w:rPr>
            <w:noProof/>
            <w:webHidden/>
          </w:rPr>
        </w:r>
        <w:r>
          <w:rPr>
            <w:noProof/>
            <w:webHidden/>
          </w:rPr>
          <w:fldChar w:fldCharType="separate"/>
        </w:r>
        <w:r w:rsidR="00557DF1">
          <w:rPr>
            <w:noProof/>
            <w:webHidden/>
          </w:rPr>
          <w:t>80</w:t>
        </w:r>
        <w:r>
          <w:rPr>
            <w:noProof/>
            <w:webHidden/>
          </w:rPr>
          <w:fldChar w:fldCharType="end"/>
        </w:r>
      </w:hyperlink>
    </w:p>
    <w:p w14:paraId="2BE788C2" w14:textId="1ED1EA6E"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39" w:history="1">
        <w:r w:rsidRPr="00BD3FD3">
          <w:rPr>
            <w:rStyle w:val="Hyperlink"/>
            <w:noProof/>
          </w:rPr>
          <w:t>Three legal models for addressing hate crime</w:t>
        </w:r>
        <w:r>
          <w:rPr>
            <w:noProof/>
            <w:webHidden/>
          </w:rPr>
          <w:tab/>
        </w:r>
        <w:r>
          <w:rPr>
            <w:noProof/>
            <w:webHidden/>
          </w:rPr>
          <w:fldChar w:fldCharType="begin"/>
        </w:r>
        <w:r>
          <w:rPr>
            <w:noProof/>
            <w:webHidden/>
          </w:rPr>
          <w:instrText xml:space="preserve"> PAGEREF _Toc231467839 \h </w:instrText>
        </w:r>
        <w:r>
          <w:rPr>
            <w:noProof/>
            <w:webHidden/>
          </w:rPr>
        </w:r>
        <w:r>
          <w:rPr>
            <w:noProof/>
            <w:webHidden/>
          </w:rPr>
          <w:fldChar w:fldCharType="separate"/>
        </w:r>
        <w:r w:rsidR="00557DF1">
          <w:rPr>
            <w:noProof/>
            <w:webHidden/>
          </w:rPr>
          <w:t>81</w:t>
        </w:r>
        <w:r>
          <w:rPr>
            <w:noProof/>
            <w:webHidden/>
          </w:rPr>
          <w:fldChar w:fldCharType="end"/>
        </w:r>
      </w:hyperlink>
    </w:p>
    <w:p w14:paraId="6C7653CA" w14:textId="0EFEE7F0"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0" w:history="1">
        <w:r w:rsidRPr="00BD3FD3">
          <w:rPr>
            <w:rStyle w:val="Hyperlink"/>
            <w:noProof/>
          </w:rPr>
          <w:t>Consultation</w:t>
        </w:r>
        <w:r>
          <w:rPr>
            <w:noProof/>
            <w:webHidden/>
          </w:rPr>
          <w:tab/>
        </w:r>
        <w:r>
          <w:rPr>
            <w:noProof/>
            <w:webHidden/>
          </w:rPr>
          <w:fldChar w:fldCharType="begin"/>
        </w:r>
        <w:r>
          <w:rPr>
            <w:noProof/>
            <w:webHidden/>
          </w:rPr>
          <w:instrText xml:space="preserve"> PAGEREF _Toc231467840 \h </w:instrText>
        </w:r>
        <w:r>
          <w:rPr>
            <w:noProof/>
            <w:webHidden/>
          </w:rPr>
        </w:r>
        <w:r>
          <w:rPr>
            <w:noProof/>
            <w:webHidden/>
          </w:rPr>
          <w:fldChar w:fldCharType="separate"/>
        </w:r>
        <w:r w:rsidR="00557DF1">
          <w:rPr>
            <w:noProof/>
            <w:webHidden/>
          </w:rPr>
          <w:t>86</w:t>
        </w:r>
        <w:r>
          <w:rPr>
            <w:noProof/>
            <w:webHidden/>
          </w:rPr>
          <w:fldChar w:fldCharType="end"/>
        </w:r>
      </w:hyperlink>
    </w:p>
    <w:p w14:paraId="12795A02" w14:textId="0417B3EF"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1" w:history="1">
        <w:r w:rsidRPr="00BD3FD3">
          <w:rPr>
            <w:rStyle w:val="Hyperlink"/>
            <w:noProof/>
          </w:rPr>
          <w:t>Addressing the problems with the current law</w:t>
        </w:r>
        <w:r>
          <w:rPr>
            <w:noProof/>
            <w:webHidden/>
          </w:rPr>
          <w:tab/>
        </w:r>
        <w:r>
          <w:rPr>
            <w:noProof/>
            <w:webHidden/>
          </w:rPr>
          <w:fldChar w:fldCharType="begin"/>
        </w:r>
        <w:r>
          <w:rPr>
            <w:noProof/>
            <w:webHidden/>
          </w:rPr>
          <w:instrText xml:space="preserve"> PAGEREF _Toc231467841 \h </w:instrText>
        </w:r>
        <w:r>
          <w:rPr>
            <w:noProof/>
            <w:webHidden/>
          </w:rPr>
        </w:r>
        <w:r>
          <w:rPr>
            <w:noProof/>
            <w:webHidden/>
          </w:rPr>
          <w:fldChar w:fldCharType="separate"/>
        </w:r>
        <w:r w:rsidR="00557DF1">
          <w:rPr>
            <w:noProof/>
            <w:webHidden/>
          </w:rPr>
          <w:t>91</w:t>
        </w:r>
        <w:r>
          <w:rPr>
            <w:noProof/>
            <w:webHidden/>
          </w:rPr>
          <w:fldChar w:fldCharType="end"/>
        </w:r>
      </w:hyperlink>
    </w:p>
    <w:p w14:paraId="547EA850" w14:textId="7354CC2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2" w:history="1">
        <w:r w:rsidRPr="00BD3FD3">
          <w:rPr>
            <w:rStyle w:val="Hyperlink"/>
            <w:noProof/>
          </w:rPr>
          <w:t>Other disadvantages of the alternative models</w:t>
        </w:r>
        <w:r>
          <w:rPr>
            <w:noProof/>
            <w:webHidden/>
          </w:rPr>
          <w:tab/>
        </w:r>
        <w:r>
          <w:rPr>
            <w:noProof/>
            <w:webHidden/>
          </w:rPr>
          <w:fldChar w:fldCharType="begin"/>
        </w:r>
        <w:r>
          <w:rPr>
            <w:noProof/>
            <w:webHidden/>
          </w:rPr>
          <w:instrText xml:space="preserve"> PAGEREF _Toc231467842 \h </w:instrText>
        </w:r>
        <w:r>
          <w:rPr>
            <w:noProof/>
            <w:webHidden/>
          </w:rPr>
        </w:r>
        <w:r>
          <w:rPr>
            <w:noProof/>
            <w:webHidden/>
          </w:rPr>
          <w:fldChar w:fldCharType="separate"/>
        </w:r>
        <w:r w:rsidR="00557DF1">
          <w:rPr>
            <w:noProof/>
            <w:webHidden/>
          </w:rPr>
          <w:t>97</w:t>
        </w:r>
        <w:r>
          <w:rPr>
            <w:noProof/>
            <w:webHidden/>
          </w:rPr>
          <w:fldChar w:fldCharType="end"/>
        </w:r>
      </w:hyperlink>
    </w:p>
    <w:p w14:paraId="1A0BD7A3" w14:textId="1EB432E4"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3" w:history="1">
        <w:r w:rsidRPr="00BD3FD3">
          <w:rPr>
            <w:rStyle w:val="Hyperlink"/>
            <w:noProof/>
          </w:rPr>
          <w:t>Other potential advantages and disadvantages we considered</w:t>
        </w:r>
        <w:r>
          <w:rPr>
            <w:noProof/>
            <w:webHidden/>
          </w:rPr>
          <w:tab/>
        </w:r>
        <w:r>
          <w:rPr>
            <w:noProof/>
            <w:webHidden/>
          </w:rPr>
          <w:fldChar w:fldCharType="begin"/>
        </w:r>
        <w:r>
          <w:rPr>
            <w:noProof/>
            <w:webHidden/>
          </w:rPr>
          <w:instrText xml:space="preserve"> PAGEREF _Toc231467843 \h </w:instrText>
        </w:r>
        <w:r>
          <w:rPr>
            <w:noProof/>
            <w:webHidden/>
          </w:rPr>
        </w:r>
        <w:r>
          <w:rPr>
            <w:noProof/>
            <w:webHidden/>
          </w:rPr>
          <w:fldChar w:fldCharType="separate"/>
        </w:r>
        <w:r w:rsidR="00557DF1">
          <w:rPr>
            <w:noProof/>
            <w:webHidden/>
          </w:rPr>
          <w:t>100</w:t>
        </w:r>
        <w:r>
          <w:rPr>
            <w:noProof/>
            <w:webHidden/>
          </w:rPr>
          <w:fldChar w:fldCharType="end"/>
        </w:r>
      </w:hyperlink>
    </w:p>
    <w:p w14:paraId="535C4222" w14:textId="658926B3"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4" w:history="1">
        <w:r w:rsidRPr="00BD3FD3">
          <w:rPr>
            <w:rStyle w:val="Hyperlink"/>
            <w:noProof/>
          </w:rPr>
          <w:t>Changing the legal model is neither necessary nor desirable</w:t>
        </w:r>
        <w:r>
          <w:rPr>
            <w:noProof/>
            <w:webHidden/>
          </w:rPr>
          <w:tab/>
        </w:r>
        <w:r>
          <w:rPr>
            <w:noProof/>
            <w:webHidden/>
          </w:rPr>
          <w:fldChar w:fldCharType="begin"/>
        </w:r>
        <w:r>
          <w:rPr>
            <w:noProof/>
            <w:webHidden/>
          </w:rPr>
          <w:instrText xml:space="preserve"> PAGEREF _Toc231467844 \h </w:instrText>
        </w:r>
        <w:r>
          <w:rPr>
            <w:noProof/>
            <w:webHidden/>
          </w:rPr>
        </w:r>
        <w:r>
          <w:rPr>
            <w:noProof/>
            <w:webHidden/>
          </w:rPr>
          <w:fldChar w:fldCharType="separate"/>
        </w:r>
        <w:r w:rsidR="00557DF1">
          <w:rPr>
            <w:noProof/>
            <w:webHidden/>
          </w:rPr>
          <w:t>102</w:t>
        </w:r>
        <w:r>
          <w:rPr>
            <w:noProof/>
            <w:webHidden/>
          </w:rPr>
          <w:fldChar w:fldCharType="end"/>
        </w:r>
      </w:hyperlink>
    </w:p>
    <w:p w14:paraId="1561FBDB" w14:textId="33AAF37C"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45" w:history="1">
        <w:r>
          <w:rPr>
            <w:rStyle w:val="Hyperlink"/>
          </w:rPr>
          <w:t>PART 3: I</w:t>
        </w:r>
        <w:r w:rsidR="003A349D" w:rsidRPr="00BD3FD3">
          <w:rPr>
            <w:rStyle w:val="Hyperlink"/>
          </w:rPr>
          <w:t>MPROVING THE SENTENCE AGGRAVATION MODEL</w:t>
        </w:r>
        <w:r w:rsidR="003A349D">
          <w:rPr>
            <w:webHidden/>
          </w:rPr>
          <w:tab/>
        </w:r>
        <w:r w:rsidR="003A349D">
          <w:rPr>
            <w:webHidden/>
          </w:rPr>
          <w:fldChar w:fldCharType="begin"/>
        </w:r>
        <w:r w:rsidR="003A349D">
          <w:rPr>
            <w:webHidden/>
          </w:rPr>
          <w:instrText xml:space="preserve"> PAGEREF _Toc231467845 \h </w:instrText>
        </w:r>
        <w:r w:rsidR="003A349D">
          <w:rPr>
            <w:webHidden/>
          </w:rPr>
        </w:r>
        <w:r w:rsidR="003A349D">
          <w:rPr>
            <w:webHidden/>
          </w:rPr>
          <w:fldChar w:fldCharType="separate"/>
        </w:r>
        <w:r w:rsidR="00557DF1">
          <w:rPr>
            <w:webHidden/>
          </w:rPr>
          <w:t>105</w:t>
        </w:r>
        <w:r w:rsidR="003A349D">
          <w:rPr>
            <w:webHidden/>
          </w:rPr>
          <w:fldChar w:fldCharType="end"/>
        </w:r>
      </w:hyperlink>
    </w:p>
    <w:p w14:paraId="6B07AA71" w14:textId="2FBC431C" w:rsidR="003A349D" w:rsidRDefault="000A1ED3">
      <w:pPr>
        <w:pStyle w:val="TOC1"/>
        <w:rPr>
          <w:rFonts w:asciiTheme="minorHAnsi" w:eastAsiaTheme="minorEastAsia" w:hAnsiTheme="minorHAnsi" w:cstheme="minorBidi"/>
          <w:b w:val="0"/>
          <w:color w:val="auto"/>
          <w:kern w:val="2"/>
          <w:sz w:val="24"/>
          <w:lang w:eastAsia="en-NZ"/>
          <w14:ligatures w14:val="standardContextual"/>
        </w:rPr>
      </w:pPr>
      <w:hyperlink w:anchor="_Toc231467846" w:history="1">
        <w:r>
          <w:rPr>
            <w:rStyle w:val="Hyperlink"/>
            <w:rFonts w:eastAsia="Metropolis Black"/>
          </w:rPr>
          <w:t xml:space="preserve">Chapter 6: </w:t>
        </w:r>
        <w:r w:rsidR="003A349D" w:rsidRPr="00BD3FD3">
          <w:rPr>
            <w:rStyle w:val="Hyperlink"/>
            <w:rFonts w:eastAsia="Metropolis Black"/>
          </w:rPr>
          <w:t>Identifying and recording hate crime in the courts</w:t>
        </w:r>
        <w:r w:rsidR="003A349D">
          <w:rPr>
            <w:webHidden/>
          </w:rPr>
          <w:tab/>
        </w:r>
        <w:r w:rsidR="003A349D">
          <w:rPr>
            <w:webHidden/>
          </w:rPr>
          <w:fldChar w:fldCharType="begin"/>
        </w:r>
        <w:r w:rsidR="003A349D">
          <w:rPr>
            <w:webHidden/>
          </w:rPr>
          <w:instrText xml:space="preserve"> PAGEREF _Toc231467846 \h </w:instrText>
        </w:r>
        <w:r w:rsidR="003A349D">
          <w:rPr>
            <w:webHidden/>
          </w:rPr>
        </w:r>
        <w:r w:rsidR="003A349D">
          <w:rPr>
            <w:webHidden/>
          </w:rPr>
          <w:fldChar w:fldCharType="separate"/>
        </w:r>
        <w:r w:rsidR="00557DF1">
          <w:rPr>
            <w:webHidden/>
          </w:rPr>
          <w:t>106</w:t>
        </w:r>
        <w:r w:rsidR="003A349D">
          <w:rPr>
            <w:webHidden/>
          </w:rPr>
          <w:fldChar w:fldCharType="end"/>
        </w:r>
      </w:hyperlink>
    </w:p>
    <w:p w14:paraId="20229F7F" w14:textId="6A7F9C17"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7" w:history="1">
        <w:r w:rsidRPr="00BD3FD3">
          <w:rPr>
            <w:rStyle w:val="Hyperlink"/>
            <w:noProof/>
          </w:rPr>
          <w:t>Introduction</w:t>
        </w:r>
        <w:r>
          <w:rPr>
            <w:noProof/>
            <w:webHidden/>
          </w:rPr>
          <w:tab/>
        </w:r>
        <w:r>
          <w:rPr>
            <w:noProof/>
            <w:webHidden/>
          </w:rPr>
          <w:fldChar w:fldCharType="begin"/>
        </w:r>
        <w:r>
          <w:rPr>
            <w:noProof/>
            <w:webHidden/>
          </w:rPr>
          <w:instrText xml:space="preserve"> PAGEREF _Toc231467847 \h </w:instrText>
        </w:r>
        <w:r>
          <w:rPr>
            <w:noProof/>
            <w:webHidden/>
          </w:rPr>
        </w:r>
        <w:r>
          <w:rPr>
            <w:noProof/>
            <w:webHidden/>
          </w:rPr>
          <w:fldChar w:fldCharType="separate"/>
        </w:r>
        <w:r w:rsidR="00557DF1">
          <w:rPr>
            <w:noProof/>
            <w:webHidden/>
          </w:rPr>
          <w:t>106</w:t>
        </w:r>
        <w:r>
          <w:rPr>
            <w:noProof/>
            <w:webHidden/>
          </w:rPr>
          <w:fldChar w:fldCharType="end"/>
        </w:r>
      </w:hyperlink>
    </w:p>
    <w:p w14:paraId="6B4D9B15" w14:textId="187F2FF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8" w:history="1">
        <w:r w:rsidRPr="00BD3FD3">
          <w:rPr>
            <w:rStyle w:val="Hyperlink"/>
            <w:noProof/>
          </w:rPr>
          <w:t>Introducing a court hate crime flag</w:t>
        </w:r>
        <w:r>
          <w:rPr>
            <w:noProof/>
            <w:webHidden/>
          </w:rPr>
          <w:tab/>
        </w:r>
        <w:r>
          <w:rPr>
            <w:noProof/>
            <w:webHidden/>
          </w:rPr>
          <w:fldChar w:fldCharType="begin"/>
        </w:r>
        <w:r>
          <w:rPr>
            <w:noProof/>
            <w:webHidden/>
          </w:rPr>
          <w:instrText xml:space="preserve"> PAGEREF _Toc231467848 \h </w:instrText>
        </w:r>
        <w:r>
          <w:rPr>
            <w:noProof/>
            <w:webHidden/>
          </w:rPr>
        </w:r>
        <w:r>
          <w:rPr>
            <w:noProof/>
            <w:webHidden/>
          </w:rPr>
          <w:fldChar w:fldCharType="separate"/>
        </w:r>
        <w:r w:rsidR="00557DF1">
          <w:rPr>
            <w:noProof/>
            <w:webHidden/>
          </w:rPr>
          <w:t>107</w:t>
        </w:r>
        <w:r>
          <w:rPr>
            <w:noProof/>
            <w:webHidden/>
          </w:rPr>
          <w:fldChar w:fldCharType="end"/>
        </w:r>
      </w:hyperlink>
    </w:p>
    <w:p w14:paraId="1B436D91" w14:textId="18F57C2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49" w:history="1">
        <w:r w:rsidRPr="00BD3FD3">
          <w:rPr>
            <w:rStyle w:val="Hyperlink"/>
            <w:noProof/>
          </w:rPr>
          <w:t>Sharing court information with Police and Corrections</w:t>
        </w:r>
        <w:r>
          <w:rPr>
            <w:noProof/>
            <w:webHidden/>
          </w:rPr>
          <w:tab/>
        </w:r>
        <w:r>
          <w:rPr>
            <w:noProof/>
            <w:webHidden/>
          </w:rPr>
          <w:fldChar w:fldCharType="begin"/>
        </w:r>
        <w:r>
          <w:rPr>
            <w:noProof/>
            <w:webHidden/>
          </w:rPr>
          <w:instrText xml:space="preserve"> PAGEREF _Toc231467849 \h </w:instrText>
        </w:r>
        <w:r>
          <w:rPr>
            <w:noProof/>
            <w:webHidden/>
          </w:rPr>
        </w:r>
        <w:r>
          <w:rPr>
            <w:noProof/>
            <w:webHidden/>
          </w:rPr>
          <w:fldChar w:fldCharType="separate"/>
        </w:r>
        <w:r w:rsidR="00557DF1">
          <w:rPr>
            <w:noProof/>
            <w:webHidden/>
          </w:rPr>
          <w:t>118</w:t>
        </w:r>
        <w:r>
          <w:rPr>
            <w:noProof/>
            <w:webHidden/>
          </w:rPr>
          <w:fldChar w:fldCharType="end"/>
        </w:r>
      </w:hyperlink>
    </w:p>
    <w:p w14:paraId="04CF0DC0" w14:textId="2D2A5AE1"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0" w:history="1">
        <w:r w:rsidRPr="00BD3FD3">
          <w:rPr>
            <w:rStyle w:val="Hyperlink"/>
            <w:noProof/>
          </w:rPr>
          <w:t>Recording additional information about the targeted group</w:t>
        </w:r>
        <w:r>
          <w:rPr>
            <w:noProof/>
            <w:webHidden/>
          </w:rPr>
          <w:tab/>
        </w:r>
        <w:r>
          <w:rPr>
            <w:noProof/>
            <w:webHidden/>
          </w:rPr>
          <w:fldChar w:fldCharType="begin"/>
        </w:r>
        <w:r>
          <w:rPr>
            <w:noProof/>
            <w:webHidden/>
          </w:rPr>
          <w:instrText xml:space="preserve"> PAGEREF _Toc231467850 \h </w:instrText>
        </w:r>
        <w:r>
          <w:rPr>
            <w:noProof/>
            <w:webHidden/>
          </w:rPr>
        </w:r>
        <w:r>
          <w:rPr>
            <w:noProof/>
            <w:webHidden/>
          </w:rPr>
          <w:fldChar w:fldCharType="separate"/>
        </w:r>
        <w:r w:rsidR="00557DF1">
          <w:rPr>
            <w:noProof/>
            <w:webHidden/>
          </w:rPr>
          <w:t>122</w:t>
        </w:r>
        <w:r>
          <w:rPr>
            <w:noProof/>
            <w:webHidden/>
          </w:rPr>
          <w:fldChar w:fldCharType="end"/>
        </w:r>
      </w:hyperlink>
    </w:p>
    <w:p w14:paraId="164F2976" w14:textId="411EC64A"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1" w:history="1">
        <w:r w:rsidRPr="00BD3FD3">
          <w:rPr>
            <w:rStyle w:val="Hyperlink"/>
            <w:noProof/>
          </w:rPr>
          <w:t>Impact on offenders</w:t>
        </w:r>
        <w:r>
          <w:rPr>
            <w:noProof/>
            <w:webHidden/>
          </w:rPr>
          <w:tab/>
        </w:r>
        <w:r>
          <w:rPr>
            <w:noProof/>
            <w:webHidden/>
          </w:rPr>
          <w:fldChar w:fldCharType="begin"/>
        </w:r>
        <w:r>
          <w:rPr>
            <w:noProof/>
            <w:webHidden/>
          </w:rPr>
          <w:instrText xml:space="preserve"> PAGEREF _Toc231467851 \h </w:instrText>
        </w:r>
        <w:r>
          <w:rPr>
            <w:noProof/>
            <w:webHidden/>
          </w:rPr>
        </w:r>
        <w:r>
          <w:rPr>
            <w:noProof/>
            <w:webHidden/>
          </w:rPr>
          <w:fldChar w:fldCharType="separate"/>
        </w:r>
        <w:r w:rsidR="00557DF1">
          <w:rPr>
            <w:noProof/>
            <w:webHidden/>
          </w:rPr>
          <w:t>124</w:t>
        </w:r>
        <w:r>
          <w:rPr>
            <w:noProof/>
            <w:webHidden/>
          </w:rPr>
          <w:fldChar w:fldCharType="end"/>
        </w:r>
      </w:hyperlink>
    </w:p>
    <w:p w14:paraId="75F65BDF" w14:textId="124B427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2" w:history="1">
        <w:r w:rsidRPr="00BD3FD3">
          <w:rPr>
            <w:rStyle w:val="Hyperlink"/>
            <w:noProof/>
          </w:rPr>
          <w:t>Impact on defendants’ willingness to plead guilty</w:t>
        </w:r>
        <w:r>
          <w:rPr>
            <w:noProof/>
            <w:webHidden/>
          </w:rPr>
          <w:tab/>
        </w:r>
        <w:r>
          <w:rPr>
            <w:noProof/>
            <w:webHidden/>
          </w:rPr>
          <w:fldChar w:fldCharType="begin"/>
        </w:r>
        <w:r>
          <w:rPr>
            <w:noProof/>
            <w:webHidden/>
          </w:rPr>
          <w:instrText xml:space="preserve"> PAGEREF _Toc231467852 \h </w:instrText>
        </w:r>
        <w:r>
          <w:rPr>
            <w:noProof/>
            <w:webHidden/>
          </w:rPr>
        </w:r>
        <w:r>
          <w:rPr>
            <w:noProof/>
            <w:webHidden/>
          </w:rPr>
          <w:fldChar w:fldCharType="separate"/>
        </w:r>
        <w:r w:rsidR="00557DF1">
          <w:rPr>
            <w:noProof/>
            <w:webHidden/>
          </w:rPr>
          <w:t>127</w:t>
        </w:r>
        <w:r>
          <w:rPr>
            <w:noProof/>
            <w:webHidden/>
          </w:rPr>
          <w:fldChar w:fldCharType="end"/>
        </w:r>
      </w:hyperlink>
    </w:p>
    <w:p w14:paraId="072F6936" w14:textId="316F81A3" w:rsidR="003A349D" w:rsidRDefault="00314972">
      <w:pPr>
        <w:pStyle w:val="TOC1"/>
        <w:rPr>
          <w:rFonts w:asciiTheme="minorHAnsi" w:eastAsiaTheme="minorEastAsia" w:hAnsiTheme="minorHAnsi" w:cstheme="minorBidi"/>
          <w:b w:val="0"/>
          <w:color w:val="auto"/>
          <w:kern w:val="2"/>
          <w:sz w:val="24"/>
          <w:lang w:eastAsia="en-NZ"/>
          <w14:ligatures w14:val="standardContextual"/>
        </w:rPr>
      </w:pPr>
      <w:hyperlink w:anchor="_Toc231467853" w:history="1">
        <w:r w:rsidRPr="00314972">
          <w:rPr>
            <w:rStyle w:val="Hyperlink"/>
            <w:rFonts w:eastAsia="Metropolis Black"/>
          </w:rPr>
          <w:t xml:space="preserve">Chapter </w:t>
        </w:r>
        <w:r>
          <w:rPr>
            <w:rStyle w:val="Hyperlink"/>
            <w:rFonts w:eastAsia="Metropolis Black"/>
          </w:rPr>
          <w:t>7</w:t>
        </w:r>
        <w:r w:rsidRPr="00314972">
          <w:rPr>
            <w:rStyle w:val="Hyperlink"/>
            <w:rFonts w:eastAsia="Metropolis Black"/>
          </w:rPr>
          <w:t xml:space="preserve">: </w:t>
        </w:r>
        <w:r w:rsidR="003A349D" w:rsidRPr="00BD3FD3">
          <w:rPr>
            <w:rStyle w:val="Hyperlink"/>
            <w:rFonts w:eastAsia="Metropolis Black"/>
          </w:rPr>
          <w:t>Denouncing hate crime in sentencing decisions</w:t>
        </w:r>
        <w:r w:rsidR="003A349D">
          <w:rPr>
            <w:webHidden/>
          </w:rPr>
          <w:tab/>
        </w:r>
        <w:r w:rsidR="003A349D">
          <w:rPr>
            <w:webHidden/>
          </w:rPr>
          <w:fldChar w:fldCharType="begin"/>
        </w:r>
        <w:r w:rsidR="003A349D">
          <w:rPr>
            <w:webHidden/>
          </w:rPr>
          <w:instrText xml:space="preserve"> PAGEREF _Toc231467853 \h </w:instrText>
        </w:r>
        <w:r w:rsidR="003A349D">
          <w:rPr>
            <w:webHidden/>
          </w:rPr>
        </w:r>
        <w:r w:rsidR="003A349D">
          <w:rPr>
            <w:webHidden/>
          </w:rPr>
          <w:fldChar w:fldCharType="separate"/>
        </w:r>
        <w:r w:rsidR="00557DF1">
          <w:rPr>
            <w:webHidden/>
          </w:rPr>
          <w:t>128</w:t>
        </w:r>
        <w:r w:rsidR="003A349D">
          <w:rPr>
            <w:webHidden/>
          </w:rPr>
          <w:fldChar w:fldCharType="end"/>
        </w:r>
      </w:hyperlink>
    </w:p>
    <w:p w14:paraId="40E3DF02" w14:textId="629976FF"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4" w:history="1">
        <w:r w:rsidRPr="00BD3FD3">
          <w:rPr>
            <w:rStyle w:val="Hyperlink"/>
            <w:noProof/>
          </w:rPr>
          <w:t>Introduction</w:t>
        </w:r>
        <w:r>
          <w:rPr>
            <w:noProof/>
            <w:webHidden/>
          </w:rPr>
          <w:tab/>
        </w:r>
        <w:r>
          <w:rPr>
            <w:noProof/>
            <w:webHidden/>
          </w:rPr>
          <w:fldChar w:fldCharType="begin"/>
        </w:r>
        <w:r>
          <w:rPr>
            <w:noProof/>
            <w:webHidden/>
          </w:rPr>
          <w:instrText xml:space="preserve"> PAGEREF _Toc231467854 \h </w:instrText>
        </w:r>
        <w:r>
          <w:rPr>
            <w:noProof/>
            <w:webHidden/>
          </w:rPr>
        </w:r>
        <w:r>
          <w:rPr>
            <w:noProof/>
            <w:webHidden/>
          </w:rPr>
          <w:fldChar w:fldCharType="separate"/>
        </w:r>
        <w:r w:rsidR="00557DF1">
          <w:rPr>
            <w:noProof/>
            <w:webHidden/>
          </w:rPr>
          <w:t>128</w:t>
        </w:r>
        <w:r>
          <w:rPr>
            <w:noProof/>
            <w:webHidden/>
          </w:rPr>
          <w:fldChar w:fldCharType="end"/>
        </w:r>
      </w:hyperlink>
    </w:p>
    <w:p w14:paraId="00EF37E2" w14:textId="54C6AC0A"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5" w:history="1">
        <w:r w:rsidRPr="00BD3FD3">
          <w:rPr>
            <w:rStyle w:val="Hyperlink"/>
            <w:noProof/>
          </w:rPr>
          <w:t>Requiring sentencing judges to state if offending was motivated by hostility</w:t>
        </w:r>
        <w:r>
          <w:rPr>
            <w:noProof/>
            <w:webHidden/>
          </w:rPr>
          <w:tab/>
        </w:r>
        <w:r>
          <w:rPr>
            <w:noProof/>
            <w:webHidden/>
          </w:rPr>
          <w:fldChar w:fldCharType="begin"/>
        </w:r>
        <w:r>
          <w:rPr>
            <w:noProof/>
            <w:webHidden/>
          </w:rPr>
          <w:instrText xml:space="preserve"> PAGEREF _Toc231467855 \h </w:instrText>
        </w:r>
        <w:r>
          <w:rPr>
            <w:noProof/>
            <w:webHidden/>
          </w:rPr>
        </w:r>
        <w:r>
          <w:rPr>
            <w:noProof/>
            <w:webHidden/>
          </w:rPr>
          <w:fldChar w:fldCharType="separate"/>
        </w:r>
        <w:r w:rsidR="00557DF1">
          <w:rPr>
            <w:noProof/>
            <w:webHidden/>
          </w:rPr>
          <w:t>129</w:t>
        </w:r>
        <w:r>
          <w:rPr>
            <w:noProof/>
            <w:webHidden/>
          </w:rPr>
          <w:fldChar w:fldCharType="end"/>
        </w:r>
      </w:hyperlink>
    </w:p>
    <w:p w14:paraId="743F78A5" w14:textId="223C4C5B"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6" w:history="1">
        <w:r w:rsidRPr="00BD3FD3">
          <w:rPr>
            <w:rStyle w:val="Hyperlink"/>
            <w:noProof/>
          </w:rPr>
          <w:t>Arrangement of the new provisions we recommend</w:t>
        </w:r>
        <w:r>
          <w:rPr>
            <w:noProof/>
            <w:webHidden/>
          </w:rPr>
          <w:tab/>
        </w:r>
        <w:r>
          <w:rPr>
            <w:noProof/>
            <w:webHidden/>
          </w:rPr>
          <w:fldChar w:fldCharType="begin"/>
        </w:r>
        <w:r>
          <w:rPr>
            <w:noProof/>
            <w:webHidden/>
          </w:rPr>
          <w:instrText xml:space="preserve"> PAGEREF _Toc231467856 \h </w:instrText>
        </w:r>
        <w:r>
          <w:rPr>
            <w:noProof/>
            <w:webHidden/>
          </w:rPr>
        </w:r>
        <w:r>
          <w:rPr>
            <w:noProof/>
            <w:webHidden/>
          </w:rPr>
          <w:fldChar w:fldCharType="separate"/>
        </w:r>
        <w:r w:rsidR="00557DF1">
          <w:rPr>
            <w:noProof/>
            <w:webHidden/>
          </w:rPr>
          <w:t>134</w:t>
        </w:r>
        <w:r>
          <w:rPr>
            <w:noProof/>
            <w:webHidden/>
          </w:rPr>
          <w:fldChar w:fldCharType="end"/>
        </w:r>
      </w:hyperlink>
    </w:p>
    <w:p w14:paraId="42043DD7" w14:textId="7690FBF0"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7" w:history="1">
        <w:r w:rsidRPr="00BD3FD3">
          <w:rPr>
            <w:rStyle w:val="Hyperlink"/>
            <w:noProof/>
          </w:rPr>
          <w:t>Requiring judges to state the difference hostile motivation made to a sentence</w:t>
        </w:r>
        <w:r>
          <w:rPr>
            <w:noProof/>
            <w:webHidden/>
          </w:rPr>
          <w:tab/>
        </w:r>
        <w:r>
          <w:rPr>
            <w:noProof/>
            <w:webHidden/>
          </w:rPr>
          <w:fldChar w:fldCharType="begin"/>
        </w:r>
        <w:r>
          <w:rPr>
            <w:noProof/>
            <w:webHidden/>
          </w:rPr>
          <w:instrText xml:space="preserve"> PAGEREF _Toc231467857 \h </w:instrText>
        </w:r>
        <w:r>
          <w:rPr>
            <w:noProof/>
            <w:webHidden/>
          </w:rPr>
        </w:r>
        <w:r>
          <w:rPr>
            <w:noProof/>
            <w:webHidden/>
          </w:rPr>
          <w:fldChar w:fldCharType="separate"/>
        </w:r>
        <w:r w:rsidR="00557DF1">
          <w:rPr>
            <w:noProof/>
            <w:webHidden/>
          </w:rPr>
          <w:t>135</w:t>
        </w:r>
        <w:r>
          <w:rPr>
            <w:noProof/>
            <w:webHidden/>
          </w:rPr>
          <w:fldChar w:fldCharType="end"/>
        </w:r>
      </w:hyperlink>
    </w:p>
    <w:p w14:paraId="37C535B3" w14:textId="254F2C1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8" w:history="1">
        <w:r w:rsidRPr="00BD3FD3">
          <w:rPr>
            <w:rStyle w:val="Hyperlink"/>
            <w:noProof/>
          </w:rPr>
          <w:t>Sentencing guidelines</w:t>
        </w:r>
        <w:r>
          <w:rPr>
            <w:noProof/>
            <w:webHidden/>
          </w:rPr>
          <w:tab/>
        </w:r>
        <w:r>
          <w:rPr>
            <w:noProof/>
            <w:webHidden/>
          </w:rPr>
          <w:fldChar w:fldCharType="begin"/>
        </w:r>
        <w:r>
          <w:rPr>
            <w:noProof/>
            <w:webHidden/>
          </w:rPr>
          <w:instrText xml:space="preserve"> PAGEREF _Toc231467858 \h </w:instrText>
        </w:r>
        <w:r>
          <w:rPr>
            <w:noProof/>
            <w:webHidden/>
          </w:rPr>
        </w:r>
        <w:r>
          <w:rPr>
            <w:noProof/>
            <w:webHidden/>
          </w:rPr>
          <w:fldChar w:fldCharType="separate"/>
        </w:r>
        <w:r w:rsidR="00557DF1">
          <w:rPr>
            <w:noProof/>
            <w:webHidden/>
          </w:rPr>
          <w:t>140</w:t>
        </w:r>
        <w:r>
          <w:rPr>
            <w:noProof/>
            <w:webHidden/>
          </w:rPr>
          <w:fldChar w:fldCharType="end"/>
        </w:r>
      </w:hyperlink>
    </w:p>
    <w:p w14:paraId="23A9F0A4" w14:textId="0D7DAC4E"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59" w:history="1">
        <w:r w:rsidRPr="00BD3FD3">
          <w:rPr>
            <w:rStyle w:val="Hyperlink"/>
            <w:noProof/>
          </w:rPr>
          <w:t>Express provision for community impact statements at sentencing</w:t>
        </w:r>
        <w:r>
          <w:rPr>
            <w:noProof/>
            <w:webHidden/>
          </w:rPr>
          <w:tab/>
        </w:r>
        <w:r>
          <w:rPr>
            <w:noProof/>
            <w:webHidden/>
          </w:rPr>
          <w:fldChar w:fldCharType="begin"/>
        </w:r>
        <w:r>
          <w:rPr>
            <w:noProof/>
            <w:webHidden/>
          </w:rPr>
          <w:instrText xml:space="preserve"> PAGEREF _Toc231467859 \h </w:instrText>
        </w:r>
        <w:r>
          <w:rPr>
            <w:noProof/>
            <w:webHidden/>
          </w:rPr>
        </w:r>
        <w:r>
          <w:rPr>
            <w:noProof/>
            <w:webHidden/>
          </w:rPr>
          <w:fldChar w:fldCharType="separate"/>
        </w:r>
        <w:r w:rsidR="00557DF1">
          <w:rPr>
            <w:noProof/>
            <w:webHidden/>
          </w:rPr>
          <w:t>142</w:t>
        </w:r>
        <w:r>
          <w:rPr>
            <w:noProof/>
            <w:webHidden/>
          </w:rPr>
          <w:fldChar w:fldCharType="end"/>
        </w:r>
      </w:hyperlink>
    </w:p>
    <w:p w14:paraId="02A7A44F" w14:textId="77777777" w:rsidR="00314972" w:rsidRDefault="00314972">
      <w:pPr>
        <w:spacing w:before="0" w:after="0" w:line="240" w:lineRule="auto"/>
        <w:rPr>
          <w:rStyle w:val="Hyperlink"/>
          <w:b/>
          <w:noProof/>
          <w:sz w:val="22"/>
        </w:rPr>
      </w:pPr>
      <w:r>
        <w:rPr>
          <w:rStyle w:val="Hyperlink"/>
          <w:noProof/>
        </w:rPr>
        <w:br w:type="page"/>
      </w:r>
    </w:p>
    <w:p w14:paraId="49818A89" w14:textId="45875E8E" w:rsidR="003A349D" w:rsidRDefault="00314972">
      <w:pPr>
        <w:pStyle w:val="TOC1"/>
        <w:rPr>
          <w:rFonts w:asciiTheme="minorHAnsi" w:eastAsiaTheme="minorEastAsia" w:hAnsiTheme="minorHAnsi" w:cstheme="minorBidi"/>
          <w:b w:val="0"/>
          <w:color w:val="auto"/>
          <w:kern w:val="2"/>
          <w:sz w:val="24"/>
          <w:lang w:eastAsia="en-NZ"/>
          <w14:ligatures w14:val="standardContextual"/>
        </w:rPr>
      </w:pPr>
      <w:hyperlink w:anchor="_Toc231467860" w:history="1">
        <w:r w:rsidRPr="00314972">
          <w:rPr>
            <w:rStyle w:val="Hyperlink"/>
            <w:rFonts w:eastAsia="Metropolis Black"/>
          </w:rPr>
          <w:t xml:space="preserve">Chapter </w:t>
        </w:r>
        <w:r>
          <w:rPr>
            <w:rStyle w:val="Hyperlink"/>
            <w:rFonts w:eastAsia="Metropolis Black"/>
          </w:rPr>
          <w:t>8</w:t>
        </w:r>
        <w:r w:rsidRPr="00314972">
          <w:rPr>
            <w:rStyle w:val="Hyperlink"/>
            <w:rFonts w:eastAsia="Metropolis Black"/>
          </w:rPr>
          <w:t xml:space="preserve">: </w:t>
        </w:r>
        <w:r w:rsidR="003A349D" w:rsidRPr="00BD3FD3">
          <w:rPr>
            <w:rStyle w:val="Hyperlink"/>
            <w:rFonts w:eastAsia="Metropolis Black"/>
          </w:rPr>
          <w:t>Wording of section 9(1)(h)</w:t>
        </w:r>
        <w:r w:rsidR="003A349D">
          <w:rPr>
            <w:webHidden/>
          </w:rPr>
          <w:tab/>
        </w:r>
        <w:r w:rsidR="003A349D">
          <w:rPr>
            <w:webHidden/>
          </w:rPr>
          <w:fldChar w:fldCharType="begin"/>
        </w:r>
        <w:r w:rsidR="003A349D">
          <w:rPr>
            <w:webHidden/>
          </w:rPr>
          <w:instrText xml:space="preserve"> PAGEREF _Toc231467860 \h </w:instrText>
        </w:r>
        <w:r w:rsidR="003A349D">
          <w:rPr>
            <w:webHidden/>
          </w:rPr>
        </w:r>
        <w:r w:rsidR="003A349D">
          <w:rPr>
            <w:webHidden/>
          </w:rPr>
          <w:fldChar w:fldCharType="separate"/>
        </w:r>
        <w:r w:rsidR="00557DF1">
          <w:rPr>
            <w:webHidden/>
          </w:rPr>
          <w:t>147</w:t>
        </w:r>
        <w:r w:rsidR="003A349D">
          <w:rPr>
            <w:webHidden/>
          </w:rPr>
          <w:fldChar w:fldCharType="end"/>
        </w:r>
      </w:hyperlink>
    </w:p>
    <w:p w14:paraId="09AC8423" w14:textId="2EBF2D4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1" w:history="1">
        <w:r w:rsidRPr="00BD3FD3">
          <w:rPr>
            <w:rStyle w:val="Hyperlink"/>
            <w:noProof/>
          </w:rPr>
          <w:t>Introduction</w:t>
        </w:r>
        <w:r>
          <w:rPr>
            <w:noProof/>
            <w:webHidden/>
          </w:rPr>
          <w:tab/>
        </w:r>
        <w:r>
          <w:rPr>
            <w:noProof/>
            <w:webHidden/>
          </w:rPr>
          <w:fldChar w:fldCharType="begin"/>
        </w:r>
        <w:r>
          <w:rPr>
            <w:noProof/>
            <w:webHidden/>
          </w:rPr>
          <w:instrText xml:space="preserve"> PAGEREF _Toc231467861 \h </w:instrText>
        </w:r>
        <w:r>
          <w:rPr>
            <w:noProof/>
            <w:webHidden/>
          </w:rPr>
        </w:r>
        <w:r>
          <w:rPr>
            <w:noProof/>
            <w:webHidden/>
          </w:rPr>
          <w:fldChar w:fldCharType="separate"/>
        </w:r>
        <w:r w:rsidR="00557DF1">
          <w:rPr>
            <w:noProof/>
            <w:webHidden/>
          </w:rPr>
          <w:t>147</w:t>
        </w:r>
        <w:r>
          <w:rPr>
            <w:noProof/>
            <w:webHidden/>
          </w:rPr>
          <w:fldChar w:fldCharType="end"/>
        </w:r>
      </w:hyperlink>
    </w:p>
    <w:p w14:paraId="3A55E870" w14:textId="79D72E3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2" w:history="1">
        <w:r w:rsidRPr="00BD3FD3">
          <w:rPr>
            <w:rStyle w:val="Hyperlink"/>
            <w:noProof/>
          </w:rPr>
          <w:t>The victim requirement</w:t>
        </w:r>
        <w:r>
          <w:rPr>
            <w:noProof/>
            <w:webHidden/>
          </w:rPr>
          <w:tab/>
        </w:r>
        <w:r>
          <w:rPr>
            <w:noProof/>
            <w:webHidden/>
          </w:rPr>
          <w:fldChar w:fldCharType="begin"/>
        </w:r>
        <w:r>
          <w:rPr>
            <w:noProof/>
            <w:webHidden/>
          </w:rPr>
          <w:instrText xml:space="preserve"> PAGEREF _Toc231467862 \h </w:instrText>
        </w:r>
        <w:r>
          <w:rPr>
            <w:noProof/>
            <w:webHidden/>
          </w:rPr>
        </w:r>
        <w:r>
          <w:rPr>
            <w:noProof/>
            <w:webHidden/>
          </w:rPr>
          <w:fldChar w:fldCharType="separate"/>
        </w:r>
        <w:r w:rsidR="00557DF1">
          <w:rPr>
            <w:noProof/>
            <w:webHidden/>
          </w:rPr>
          <w:t>147</w:t>
        </w:r>
        <w:r>
          <w:rPr>
            <w:noProof/>
            <w:webHidden/>
          </w:rPr>
          <w:fldChar w:fldCharType="end"/>
        </w:r>
      </w:hyperlink>
    </w:p>
    <w:p w14:paraId="0CC2F399" w14:textId="75FED1BE"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3" w:history="1">
        <w:r w:rsidRPr="00BD3FD3">
          <w:rPr>
            <w:rStyle w:val="Hyperlink"/>
            <w:noProof/>
          </w:rPr>
          <w:t>Which characteristics should receive protection</w:t>
        </w:r>
        <w:r>
          <w:rPr>
            <w:noProof/>
            <w:webHidden/>
          </w:rPr>
          <w:tab/>
        </w:r>
        <w:r>
          <w:rPr>
            <w:noProof/>
            <w:webHidden/>
          </w:rPr>
          <w:fldChar w:fldCharType="begin"/>
        </w:r>
        <w:r>
          <w:rPr>
            <w:noProof/>
            <w:webHidden/>
          </w:rPr>
          <w:instrText xml:space="preserve"> PAGEREF _Toc231467863 \h </w:instrText>
        </w:r>
        <w:r>
          <w:rPr>
            <w:noProof/>
            <w:webHidden/>
          </w:rPr>
        </w:r>
        <w:r>
          <w:rPr>
            <w:noProof/>
            <w:webHidden/>
          </w:rPr>
          <w:fldChar w:fldCharType="separate"/>
        </w:r>
        <w:r w:rsidR="00557DF1">
          <w:rPr>
            <w:noProof/>
            <w:webHidden/>
          </w:rPr>
          <w:t>153</w:t>
        </w:r>
        <w:r>
          <w:rPr>
            <w:noProof/>
            <w:webHidden/>
          </w:rPr>
          <w:fldChar w:fldCharType="end"/>
        </w:r>
      </w:hyperlink>
    </w:p>
    <w:p w14:paraId="2E07DF11" w14:textId="55E02C5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4" w:history="1">
        <w:r w:rsidRPr="00BD3FD3">
          <w:rPr>
            <w:rStyle w:val="Hyperlink"/>
            <w:noProof/>
          </w:rPr>
          <w:t>Partial motivation</w:t>
        </w:r>
        <w:r>
          <w:rPr>
            <w:noProof/>
            <w:webHidden/>
          </w:rPr>
          <w:tab/>
        </w:r>
        <w:r>
          <w:rPr>
            <w:noProof/>
            <w:webHidden/>
          </w:rPr>
          <w:fldChar w:fldCharType="begin"/>
        </w:r>
        <w:r>
          <w:rPr>
            <w:noProof/>
            <w:webHidden/>
          </w:rPr>
          <w:instrText xml:space="preserve"> PAGEREF _Toc231467864 \h </w:instrText>
        </w:r>
        <w:r>
          <w:rPr>
            <w:noProof/>
            <w:webHidden/>
          </w:rPr>
        </w:r>
        <w:r>
          <w:rPr>
            <w:noProof/>
            <w:webHidden/>
          </w:rPr>
          <w:fldChar w:fldCharType="separate"/>
        </w:r>
        <w:r w:rsidR="00557DF1">
          <w:rPr>
            <w:noProof/>
            <w:webHidden/>
          </w:rPr>
          <w:t>169</w:t>
        </w:r>
        <w:r>
          <w:rPr>
            <w:noProof/>
            <w:webHidden/>
          </w:rPr>
          <w:fldChar w:fldCharType="end"/>
        </w:r>
      </w:hyperlink>
    </w:p>
    <w:p w14:paraId="7F0568A3" w14:textId="329B559D" w:rsidR="003A349D" w:rsidRDefault="00AD34D9">
      <w:pPr>
        <w:pStyle w:val="TOC1"/>
        <w:rPr>
          <w:rFonts w:asciiTheme="minorHAnsi" w:eastAsiaTheme="minorEastAsia" w:hAnsiTheme="minorHAnsi" w:cstheme="minorBidi"/>
          <w:b w:val="0"/>
          <w:color w:val="auto"/>
          <w:kern w:val="2"/>
          <w:sz w:val="24"/>
          <w:lang w:eastAsia="en-NZ"/>
          <w14:ligatures w14:val="standardContextual"/>
        </w:rPr>
      </w:pPr>
      <w:hyperlink w:anchor="_Toc231467865" w:history="1">
        <w:r w:rsidRPr="00AD34D9">
          <w:rPr>
            <w:rStyle w:val="Hyperlink"/>
            <w:rFonts w:eastAsia="Metropolis Black"/>
          </w:rPr>
          <w:t xml:space="preserve">Chapter </w:t>
        </w:r>
        <w:r>
          <w:rPr>
            <w:rStyle w:val="Hyperlink"/>
            <w:rFonts w:eastAsia="Metropolis Black"/>
          </w:rPr>
          <w:t>9</w:t>
        </w:r>
        <w:r w:rsidRPr="00AD34D9">
          <w:rPr>
            <w:rStyle w:val="Hyperlink"/>
            <w:rFonts w:eastAsia="Metropolis Black"/>
          </w:rPr>
          <w:t xml:space="preserve">: </w:t>
        </w:r>
        <w:r w:rsidR="003A349D" w:rsidRPr="00BD3FD3">
          <w:rPr>
            <w:rStyle w:val="Hyperlink"/>
            <w:rFonts w:eastAsia="Metropolis Black"/>
          </w:rPr>
          <w:t>Operational matters</w:t>
        </w:r>
        <w:r w:rsidR="003A349D">
          <w:rPr>
            <w:webHidden/>
          </w:rPr>
          <w:tab/>
        </w:r>
        <w:r w:rsidR="003A349D">
          <w:rPr>
            <w:webHidden/>
          </w:rPr>
          <w:fldChar w:fldCharType="begin"/>
        </w:r>
        <w:r w:rsidR="003A349D">
          <w:rPr>
            <w:webHidden/>
          </w:rPr>
          <w:instrText xml:space="preserve"> PAGEREF _Toc231467865 \h </w:instrText>
        </w:r>
        <w:r w:rsidR="003A349D">
          <w:rPr>
            <w:webHidden/>
          </w:rPr>
        </w:r>
        <w:r w:rsidR="003A349D">
          <w:rPr>
            <w:webHidden/>
          </w:rPr>
          <w:fldChar w:fldCharType="separate"/>
        </w:r>
        <w:r w:rsidR="00557DF1">
          <w:rPr>
            <w:webHidden/>
          </w:rPr>
          <w:t>171</w:t>
        </w:r>
        <w:r w:rsidR="003A349D">
          <w:rPr>
            <w:webHidden/>
          </w:rPr>
          <w:fldChar w:fldCharType="end"/>
        </w:r>
      </w:hyperlink>
    </w:p>
    <w:p w14:paraId="0D8C30C6" w14:textId="2F23052A"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6" w:history="1">
        <w:r w:rsidRPr="00BD3FD3">
          <w:rPr>
            <w:rStyle w:val="Hyperlink"/>
            <w:noProof/>
          </w:rPr>
          <w:t>Introduction</w:t>
        </w:r>
        <w:r>
          <w:rPr>
            <w:noProof/>
            <w:webHidden/>
          </w:rPr>
          <w:tab/>
        </w:r>
        <w:r>
          <w:rPr>
            <w:noProof/>
            <w:webHidden/>
          </w:rPr>
          <w:fldChar w:fldCharType="begin"/>
        </w:r>
        <w:r>
          <w:rPr>
            <w:noProof/>
            <w:webHidden/>
          </w:rPr>
          <w:instrText xml:space="preserve"> PAGEREF _Toc231467866 \h </w:instrText>
        </w:r>
        <w:r>
          <w:rPr>
            <w:noProof/>
            <w:webHidden/>
          </w:rPr>
        </w:r>
        <w:r>
          <w:rPr>
            <w:noProof/>
            <w:webHidden/>
          </w:rPr>
          <w:fldChar w:fldCharType="separate"/>
        </w:r>
        <w:r w:rsidR="00557DF1">
          <w:rPr>
            <w:noProof/>
            <w:webHidden/>
          </w:rPr>
          <w:t>171</w:t>
        </w:r>
        <w:r>
          <w:rPr>
            <w:noProof/>
            <w:webHidden/>
          </w:rPr>
          <w:fldChar w:fldCharType="end"/>
        </w:r>
      </w:hyperlink>
    </w:p>
    <w:p w14:paraId="5637E3A3" w14:textId="5FA79AC8"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7" w:history="1">
        <w:r w:rsidRPr="00BD3FD3">
          <w:rPr>
            <w:rStyle w:val="Hyperlink"/>
            <w:noProof/>
          </w:rPr>
          <w:t>Guidance for Police and prosecutors</w:t>
        </w:r>
        <w:r>
          <w:rPr>
            <w:noProof/>
            <w:webHidden/>
          </w:rPr>
          <w:tab/>
        </w:r>
        <w:r>
          <w:rPr>
            <w:noProof/>
            <w:webHidden/>
          </w:rPr>
          <w:fldChar w:fldCharType="begin"/>
        </w:r>
        <w:r>
          <w:rPr>
            <w:noProof/>
            <w:webHidden/>
          </w:rPr>
          <w:instrText xml:space="preserve"> PAGEREF _Toc231467867 \h </w:instrText>
        </w:r>
        <w:r>
          <w:rPr>
            <w:noProof/>
            <w:webHidden/>
          </w:rPr>
        </w:r>
        <w:r>
          <w:rPr>
            <w:noProof/>
            <w:webHidden/>
          </w:rPr>
          <w:fldChar w:fldCharType="separate"/>
        </w:r>
        <w:r w:rsidR="00557DF1">
          <w:rPr>
            <w:noProof/>
            <w:webHidden/>
          </w:rPr>
          <w:t>171</w:t>
        </w:r>
        <w:r>
          <w:rPr>
            <w:noProof/>
            <w:webHidden/>
          </w:rPr>
          <w:fldChar w:fldCharType="end"/>
        </w:r>
      </w:hyperlink>
    </w:p>
    <w:p w14:paraId="3924B789" w14:textId="12074F1B"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8" w:history="1">
        <w:r w:rsidRPr="00BD3FD3">
          <w:rPr>
            <w:rStyle w:val="Hyperlink"/>
            <w:noProof/>
          </w:rPr>
          <w:t>Judicial training</w:t>
        </w:r>
        <w:r>
          <w:rPr>
            <w:noProof/>
            <w:webHidden/>
          </w:rPr>
          <w:tab/>
        </w:r>
        <w:r>
          <w:rPr>
            <w:noProof/>
            <w:webHidden/>
          </w:rPr>
          <w:fldChar w:fldCharType="begin"/>
        </w:r>
        <w:r>
          <w:rPr>
            <w:noProof/>
            <w:webHidden/>
          </w:rPr>
          <w:instrText xml:space="preserve"> PAGEREF _Toc231467868 \h </w:instrText>
        </w:r>
        <w:r>
          <w:rPr>
            <w:noProof/>
            <w:webHidden/>
          </w:rPr>
        </w:r>
        <w:r>
          <w:rPr>
            <w:noProof/>
            <w:webHidden/>
          </w:rPr>
          <w:fldChar w:fldCharType="separate"/>
        </w:r>
        <w:r w:rsidR="00557DF1">
          <w:rPr>
            <w:noProof/>
            <w:webHidden/>
          </w:rPr>
          <w:t>174</w:t>
        </w:r>
        <w:r>
          <w:rPr>
            <w:noProof/>
            <w:webHidden/>
          </w:rPr>
          <w:fldChar w:fldCharType="end"/>
        </w:r>
      </w:hyperlink>
    </w:p>
    <w:p w14:paraId="50A1DC02" w14:textId="6AF3280D" w:rsidR="003A349D" w:rsidRDefault="003A349D">
      <w:pPr>
        <w:pStyle w:val="TOC2"/>
        <w:rPr>
          <w:rFonts w:asciiTheme="minorHAnsi" w:eastAsiaTheme="minorEastAsia" w:hAnsiTheme="minorHAnsi" w:cstheme="minorBidi"/>
          <w:noProof/>
          <w:color w:val="auto"/>
          <w:kern w:val="2"/>
          <w:sz w:val="24"/>
          <w:lang w:eastAsia="en-NZ"/>
          <w14:ligatures w14:val="standardContextual"/>
        </w:rPr>
      </w:pPr>
      <w:hyperlink w:anchor="_Toc231467869" w:history="1">
        <w:r w:rsidRPr="00BD3FD3">
          <w:rPr>
            <w:rStyle w:val="Hyperlink"/>
            <w:noProof/>
          </w:rPr>
          <w:t>Publishing data on hate crime cases</w:t>
        </w:r>
        <w:r>
          <w:rPr>
            <w:noProof/>
            <w:webHidden/>
          </w:rPr>
          <w:tab/>
        </w:r>
        <w:r>
          <w:rPr>
            <w:noProof/>
            <w:webHidden/>
          </w:rPr>
          <w:fldChar w:fldCharType="begin"/>
        </w:r>
        <w:r>
          <w:rPr>
            <w:noProof/>
            <w:webHidden/>
          </w:rPr>
          <w:instrText xml:space="preserve"> PAGEREF _Toc231467869 \h </w:instrText>
        </w:r>
        <w:r>
          <w:rPr>
            <w:noProof/>
            <w:webHidden/>
          </w:rPr>
        </w:r>
        <w:r>
          <w:rPr>
            <w:noProof/>
            <w:webHidden/>
          </w:rPr>
          <w:fldChar w:fldCharType="separate"/>
        </w:r>
        <w:r w:rsidR="00557DF1">
          <w:rPr>
            <w:noProof/>
            <w:webHidden/>
          </w:rPr>
          <w:t>175</w:t>
        </w:r>
        <w:r>
          <w:rPr>
            <w:noProof/>
            <w:webHidden/>
          </w:rPr>
          <w:fldChar w:fldCharType="end"/>
        </w:r>
      </w:hyperlink>
    </w:p>
    <w:p w14:paraId="6C821F60" w14:textId="7A678596" w:rsidR="003A349D" w:rsidRDefault="00155BE8">
      <w:pPr>
        <w:pStyle w:val="TOC1"/>
        <w:rPr>
          <w:rFonts w:asciiTheme="minorHAnsi" w:eastAsiaTheme="minorEastAsia" w:hAnsiTheme="minorHAnsi" w:cstheme="minorBidi"/>
          <w:b w:val="0"/>
          <w:color w:val="auto"/>
          <w:kern w:val="2"/>
          <w:sz w:val="24"/>
          <w:lang w:eastAsia="en-NZ"/>
          <w14:ligatures w14:val="standardContextual"/>
        </w:rPr>
      </w:pPr>
      <w:hyperlink w:anchor="_Toc231467870" w:history="1">
        <w:r>
          <w:rPr>
            <w:rStyle w:val="Hyperlink"/>
            <w:rFonts w:eastAsia="Metropolis Black"/>
          </w:rPr>
          <w:t>APPENDIX 1: T</w:t>
        </w:r>
        <w:r w:rsidRPr="00BD3FD3">
          <w:rPr>
            <w:rStyle w:val="Hyperlink"/>
            <w:rFonts w:eastAsia="Metropolis Black"/>
          </w:rPr>
          <w:t>ERMS OF REFERENCE</w:t>
        </w:r>
        <w:r>
          <w:rPr>
            <w:webHidden/>
          </w:rPr>
          <w:tab/>
        </w:r>
        <w:r w:rsidR="003A349D">
          <w:rPr>
            <w:webHidden/>
          </w:rPr>
          <w:fldChar w:fldCharType="begin"/>
        </w:r>
        <w:r w:rsidR="003A349D">
          <w:rPr>
            <w:webHidden/>
          </w:rPr>
          <w:instrText xml:space="preserve"> PAGEREF _Toc231467870 \h </w:instrText>
        </w:r>
        <w:r w:rsidR="003A349D">
          <w:rPr>
            <w:webHidden/>
          </w:rPr>
        </w:r>
        <w:r w:rsidR="003A349D">
          <w:rPr>
            <w:webHidden/>
          </w:rPr>
          <w:fldChar w:fldCharType="separate"/>
        </w:r>
        <w:r w:rsidR="00557DF1">
          <w:rPr>
            <w:webHidden/>
          </w:rPr>
          <w:t>179</w:t>
        </w:r>
        <w:r w:rsidR="003A349D">
          <w:rPr>
            <w:webHidden/>
          </w:rPr>
          <w:fldChar w:fldCharType="end"/>
        </w:r>
      </w:hyperlink>
    </w:p>
    <w:p w14:paraId="2692A273" w14:textId="7DEA257B" w:rsidR="003A349D" w:rsidRDefault="00155BE8">
      <w:pPr>
        <w:pStyle w:val="TOC1"/>
        <w:rPr>
          <w:rFonts w:asciiTheme="minorHAnsi" w:eastAsiaTheme="minorEastAsia" w:hAnsiTheme="minorHAnsi" w:cstheme="minorBidi"/>
          <w:b w:val="0"/>
          <w:color w:val="auto"/>
          <w:kern w:val="2"/>
          <w:sz w:val="24"/>
          <w:lang w:eastAsia="en-NZ"/>
          <w14:ligatures w14:val="standardContextual"/>
        </w:rPr>
      </w:pPr>
      <w:hyperlink w:anchor="_Toc231467875" w:history="1">
        <w:r>
          <w:rPr>
            <w:rStyle w:val="Hyperlink"/>
            <w:rFonts w:eastAsia="Metropolis Black"/>
          </w:rPr>
          <w:t>APPENDIX 2: P</w:t>
        </w:r>
        <w:r w:rsidRPr="00BD3FD3">
          <w:rPr>
            <w:rStyle w:val="Hyperlink"/>
            <w:rFonts w:eastAsia="Metropolis Black"/>
          </w:rPr>
          <w:t>UBLIC CONSULTATION</w:t>
        </w:r>
        <w:r>
          <w:rPr>
            <w:webHidden/>
          </w:rPr>
          <w:tab/>
        </w:r>
        <w:r w:rsidR="003A349D">
          <w:rPr>
            <w:webHidden/>
          </w:rPr>
          <w:fldChar w:fldCharType="begin"/>
        </w:r>
        <w:r w:rsidR="003A349D">
          <w:rPr>
            <w:webHidden/>
          </w:rPr>
          <w:instrText xml:space="preserve"> PAGEREF _Toc231467875 \h </w:instrText>
        </w:r>
        <w:r w:rsidR="003A349D">
          <w:rPr>
            <w:webHidden/>
          </w:rPr>
        </w:r>
        <w:r w:rsidR="003A349D">
          <w:rPr>
            <w:webHidden/>
          </w:rPr>
          <w:fldChar w:fldCharType="separate"/>
        </w:r>
        <w:r w:rsidR="00557DF1">
          <w:rPr>
            <w:webHidden/>
          </w:rPr>
          <w:t>181</w:t>
        </w:r>
        <w:r w:rsidR="003A349D">
          <w:rPr>
            <w:webHidden/>
          </w:rPr>
          <w:fldChar w:fldCharType="end"/>
        </w:r>
      </w:hyperlink>
    </w:p>
    <w:p w14:paraId="300E0933" w14:textId="73B1693F" w:rsidR="003A349D" w:rsidRDefault="00155BE8">
      <w:pPr>
        <w:pStyle w:val="TOC1"/>
        <w:rPr>
          <w:rFonts w:asciiTheme="minorHAnsi" w:eastAsiaTheme="minorEastAsia" w:hAnsiTheme="minorHAnsi" w:cstheme="minorBidi"/>
          <w:b w:val="0"/>
          <w:color w:val="auto"/>
          <w:kern w:val="2"/>
          <w:sz w:val="24"/>
          <w:lang w:eastAsia="en-NZ"/>
          <w14:ligatures w14:val="standardContextual"/>
        </w:rPr>
      </w:pPr>
      <w:hyperlink w:anchor="_Toc231467878" w:history="1">
        <w:r>
          <w:rPr>
            <w:rStyle w:val="Hyperlink"/>
            <w:rFonts w:eastAsia="Metropolis Black"/>
          </w:rPr>
          <w:t>APPENDIX 3: T</w:t>
        </w:r>
        <w:r w:rsidRPr="00BD3FD3">
          <w:rPr>
            <w:rStyle w:val="Hyperlink"/>
            <w:rFonts w:eastAsia="Metropolis Black"/>
          </w:rPr>
          <w:t>ECHNICAL ADVISORY GROUP</w:t>
        </w:r>
        <w:r>
          <w:rPr>
            <w:webHidden/>
          </w:rPr>
          <w:tab/>
        </w:r>
        <w:r w:rsidR="003A349D">
          <w:rPr>
            <w:webHidden/>
          </w:rPr>
          <w:fldChar w:fldCharType="begin"/>
        </w:r>
        <w:r w:rsidR="003A349D">
          <w:rPr>
            <w:webHidden/>
          </w:rPr>
          <w:instrText xml:space="preserve"> PAGEREF _Toc231467878 \h </w:instrText>
        </w:r>
        <w:r w:rsidR="003A349D">
          <w:rPr>
            <w:webHidden/>
          </w:rPr>
        </w:r>
        <w:r w:rsidR="003A349D">
          <w:rPr>
            <w:webHidden/>
          </w:rPr>
          <w:fldChar w:fldCharType="separate"/>
        </w:r>
        <w:r w:rsidR="00557DF1">
          <w:rPr>
            <w:webHidden/>
          </w:rPr>
          <w:t>183</w:t>
        </w:r>
        <w:r w:rsidR="003A349D">
          <w:rPr>
            <w:webHidden/>
          </w:rPr>
          <w:fldChar w:fldCharType="end"/>
        </w:r>
      </w:hyperlink>
    </w:p>
    <w:p w14:paraId="5704F754" w14:textId="3F2C64B6" w:rsidR="00D860BC" w:rsidRDefault="003020FA" w:rsidP="00D860BC">
      <w:pPr>
        <w:pStyle w:val="TOC1"/>
        <w:spacing w:after="0"/>
        <w:rPr>
          <w:rFonts w:eastAsiaTheme="minorEastAsia"/>
        </w:rPr>
      </w:pPr>
      <w:r>
        <w:rPr>
          <w:rFonts w:eastAsia="SimSun"/>
          <w:b w:val="0"/>
          <w:color w:val="auto"/>
          <w:lang w:eastAsia="en-NZ"/>
        </w:rPr>
        <w:fldChar w:fldCharType="end"/>
      </w:r>
    </w:p>
    <w:p w14:paraId="7F309FA0" w14:textId="77777777" w:rsidR="00D860BC" w:rsidRDefault="00D860BC" w:rsidP="00AC3931"/>
    <w:p w14:paraId="447F1335" w14:textId="77777777" w:rsidR="00D860BC" w:rsidRPr="00330E85" w:rsidRDefault="00D860BC" w:rsidP="00D860BC">
      <w:pPr>
        <w:sectPr w:rsidR="00D860BC" w:rsidRPr="00330E85" w:rsidSect="006E514D">
          <w:headerReference w:type="even" r:id="rId33"/>
          <w:headerReference w:type="default" r:id="rId34"/>
          <w:footnotePr>
            <w:numRestart w:val="eachSect"/>
          </w:footnotePr>
          <w:pgSz w:w="11907" w:h="16840" w:code="9"/>
          <w:pgMar w:top="1134" w:right="1134" w:bottom="1134" w:left="1701" w:header="499" w:footer="46" w:gutter="0"/>
          <w:pgNumType w:start="1"/>
          <w:cols w:space="720"/>
        </w:sectPr>
      </w:pPr>
      <w:r w:rsidRPr="00330E85">
        <w:tab/>
      </w:r>
      <w:r w:rsidRPr="00330E85">
        <w:rPr>
          <w:noProof/>
        </w:rPr>
        <mc:AlternateContent>
          <mc:Choice Requires="wps">
            <w:drawing>
              <wp:anchor distT="4294967295" distB="4294967295" distL="114300" distR="114300" simplePos="0" relativeHeight="251658283" behindDoc="0" locked="0" layoutInCell="1" allowOverlap="1" wp14:anchorId="6A9E8EE0" wp14:editId="62FB6666">
                <wp:simplePos x="0" y="0"/>
                <wp:positionH relativeFrom="column">
                  <wp:posOffset>0</wp:posOffset>
                </wp:positionH>
                <wp:positionV relativeFrom="paragraph">
                  <wp:posOffset>-248285</wp:posOffset>
                </wp:positionV>
                <wp:extent cx="2721610" cy="0"/>
                <wp:effectExtent l="0" t="19050" r="2540" b="0"/>
                <wp:wrapNone/>
                <wp:docPr id="857487729" name="Straight Connector 857487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E97A20" id="Straight Connector 857487729" o:spid="_x0000_s1026" style="position:absolute;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214.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" strokecolor="#5ca0b9" strokeweight="2.5pt">
                <o:lock v:ext="edit" shapetype="f"/>
              </v:line>
            </w:pict>
          </mc:Fallback>
        </mc:AlternateContent>
      </w:r>
    </w:p>
    <w:p w14:paraId="5963ED72" w14:textId="26159E69" w:rsidR="00D860BC" w:rsidRPr="00330E85" w:rsidRDefault="00D860BC" w:rsidP="00086853">
      <w:pPr>
        <w:pStyle w:val="Heading1nonum"/>
        <w:spacing w:before="360"/>
      </w:pPr>
      <w:bookmarkStart w:id="86" w:name="_Toc231467810"/>
      <w:r>
        <w:rPr>
          <w:rFonts w:eastAsia="Metropolis Black"/>
        </w:rPr>
        <w:t>Recommendations</w:t>
      </w:r>
      <w:bookmarkEnd w:id="86"/>
    </w:p>
    <w:p w14:paraId="69990315" w14:textId="77777777" w:rsidR="00D860BC" w:rsidRPr="00330E85" w:rsidRDefault="00D860BC" w:rsidP="00D860BC">
      <w:pPr>
        <w:spacing w:after="0" w:line="200" w:lineRule="exact"/>
        <w:rPr>
          <w:szCs w:val="20"/>
        </w:rPr>
      </w:pPr>
      <w:r w:rsidRPr="00330E85">
        <w:rPr>
          <w:noProof/>
        </w:rPr>
        <mc:AlternateContent>
          <mc:Choice Requires="wpg">
            <w:drawing>
              <wp:anchor distT="0" distB="0" distL="114300" distR="114300" simplePos="0" relativeHeight="251658282" behindDoc="1" locked="0" layoutInCell="1" allowOverlap="1" wp14:anchorId="0E9C9E40" wp14:editId="32A79B3E">
                <wp:simplePos x="0" y="0"/>
                <wp:positionH relativeFrom="page">
                  <wp:posOffset>1076960</wp:posOffset>
                </wp:positionH>
                <wp:positionV relativeFrom="paragraph">
                  <wp:posOffset>74295</wp:posOffset>
                </wp:positionV>
                <wp:extent cx="1332230" cy="1270"/>
                <wp:effectExtent l="0" t="19050" r="1270" b="0"/>
                <wp:wrapNone/>
                <wp:docPr id="925648804" name="Group 925648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96208931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0D803" id="Group 925648804" o:spid="_x0000_s1026" style="position:absolute;margin-left:84.8pt;margin-top:5.85pt;width:104.9pt;height:.1pt;z-index:-25165819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hw/QIAAOI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zYi4cP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0C973A0F" w14:textId="11A2B054" w:rsidR="002F3A3B" w:rsidRDefault="002F3A3B" w:rsidP="00D860BC">
      <w:pPr>
        <w:spacing w:after="0" w:line="240" w:lineRule="auto"/>
      </w:pPr>
    </w:p>
    <w:p w14:paraId="7589103C" w14:textId="77777777" w:rsidR="002F3A3B" w:rsidRDefault="002F3A3B" w:rsidP="00D860BC">
      <w:pPr>
        <w:spacing w:after="0" w:line="240" w:lineRule="auto"/>
      </w:pPr>
    </w:p>
    <w:p w14:paraId="2E182036" w14:textId="295345E8" w:rsidR="00D860BC" w:rsidRDefault="00F51FD9" w:rsidP="00F51FD9">
      <w:pPr>
        <w:pStyle w:val="BodyText1"/>
      </w:pPr>
      <w:r w:rsidRPr="00663187">
        <w:rPr>
          <w:noProof/>
        </w:rPr>
        <mc:AlternateContent>
          <mc:Choice Requires="wpg">
            <w:drawing>
              <wp:anchor distT="0" distB="0" distL="114300" distR="114300" simplePos="0" relativeHeight="251658287" behindDoc="1" locked="0" layoutInCell="1" allowOverlap="1" wp14:anchorId="233D6DBC" wp14:editId="73F076A3">
                <wp:simplePos x="0" y="0"/>
                <wp:positionH relativeFrom="margin">
                  <wp:posOffset>-6672</wp:posOffset>
                </wp:positionH>
                <wp:positionV relativeFrom="paragraph">
                  <wp:posOffset>235585</wp:posOffset>
                </wp:positionV>
                <wp:extent cx="5759450" cy="7263440"/>
                <wp:effectExtent l="0" t="0" r="0" b="0"/>
                <wp:wrapNone/>
                <wp:docPr id="903398386" name="Group 903398386"/>
                <wp:cNvGraphicFramePr/>
                <a:graphic xmlns:a="http://schemas.openxmlformats.org/drawingml/2006/main">
                  <a:graphicData uri="http://schemas.microsoft.com/office/word/2010/wordprocessingGroup">
                    <wpg:wgp>
                      <wpg:cNvGrpSpPr/>
                      <wpg:grpSpPr>
                        <a:xfrm>
                          <a:off x="0" y="0"/>
                          <a:ext cx="5759450" cy="7263440"/>
                          <a:chOff x="-1" y="26408"/>
                          <a:chExt cx="5760000" cy="5994113"/>
                        </a:xfrm>
                      </wpg:grpSpPr>
                      <wps:wsp>
                        <wps:cNvPr id="1884475475" name="Freeform 51"/>
                        <wps:cNvSpPr>
                          <a:spLocks/>
                        </wps:cNvSpPr>
                        <wps:spPr bwMode="auto">
                          <a:xfrm>
                            <a:off x="-1" y="26408"/>
                            <a:ext cx="5760000" cy="599411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E4AB5B" w14:textId="77777777" w:rsidR="002F3A3B" w:rsidRDefault="002F3A3B" w:rsidP="002F3A3B">
                              <w:r>
                                <w:t xml:space="preserve"> </w:t>
                              </w:r>
                            </w:p>
                          </w:txbxContent>
                        </wps:txbx>
                        <wps:bodyPr rot="0" vert="horz" wrap="square" lIns="91440" tIns="45720" rIns="91440" bIns="45720" anchor="t" anchorCtr="0" upright="1">
                          <a:noAutofit/>
                        </wps:bodyPr>
                      </wps:wsp>
                      <wpg:grpSp>
                        <wpg:cNvPr id="213413318" name="Group 213413318"/>
                        <wpg:cNvGrpSpPr/>
                        <wpg:grpSpPr>
                          <a:xfrm>
                            <a:off x="0" y="170822"/>
                            <a:ext cx="1282065" cy="237618"/>
                            <a:chOff x="0" y="0"/>
                            <a:chExt cx="1282672" cy="238125"/>
                          </a:xfrm>
                        </wpg:grpSpPr>
                        <wpg:grpSp>
                          <wpg:cNvPr id="1497709102" name="Group 52"/>
                          <wpg:cNvGrpSpPr>
                            <a:grpSpLocks/>
                          </wpg:cNvGrpSpPr>
                          <wpg:grpSpPr bwMode="auto">
                            <a:xfrm>
                              <a:off x="172528" y="2540"/>
                              <a:ext cx="1110144" cy="1270"/>
                              <a:chOff x="1417" y="1374"/>
                              <a:chExt cx="1814" cy="2"/>
                            </a:xfrm>
                          </wpg:grpSpPr>
                          <wps:wsp>
                            <wps:cNvPr id="20119071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425518" name="Group 54"/>
                          <wpg:cNvGrpSpPr>
                            <a:grpSpLocks/>
                          </wpg:cNvGrpSpPr>
                          <wpg:grpSpPr bwMode="auto">
                            <a:xfrm>
                              <a:off x="0" y="0"/>
                              <a:ext cx="492038" cy="238125"/>
                              <a:chOff x="1134" y="1366"/>
                              <a:chExt cx="804" cy="375"/>
                            </a:xfrm>
                          </wpg:grpSpPr>
                          <wps:wsp>
                            <wps:cNvPr id="1361428406" name="Freeform 55"/>
                            <wps:cNvSpPr>
                              <a:spLocks/>
                            </wps:cNvSpPr>
                            <wps:spPr bwMode="auto">
                              <a:xfrm>
                                <a:off x="1134" y="1366"/>
                                <a:ext cx="804" cy="375"/>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04D571" w14:textId="77777777" w:rsidR="002F3A3B" w:rsidRPr="008D464F" w:rsidRDefault="002F3A3B" w:rsidP="002F3A3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3D6DBC" id="Group 903398386" o:spid="_x0000_s1027" style="position:absolute;left:0;text-align:left;margin-left:-.55pt;margin-top:18.55pt;width:453.5pt;height:571.9pt;z-index:-251658193;mso-position-horizontal-relative:margin;mso-width-relative:margin;mso-height-relative:margin" coordorigin=",264" coordsize="57600,5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">
                <v:shape id="Freeform 51" o:spid="_x0000_s1028" style="position:absolute;top:264;width:57599;height:5994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" adj="-11796480,,5400" path="m,l9354,r,1638l,1638,,e" fillcolor="#e2eaef" stroked="f">
                  <v:stroke joinstyle="round"/>
                  <v:formulas/>
                  <v:path arrowok="t" o:connecttype="custom" o:connectlocs="0,3857018;5760000,3857018;5760000,9851131;0,9851131;0,3857018" o:connectangles="0,0,0,0,0" textboxrect="0,0,9354,1638"/>
                  <v:textbox>
                    <w:txbxContent>
                      <w:p w14:paraId="48E4AB5B" w14:textId="77777777" w:rsidR="002F3A3B" w:rsidRDefault="002F3A3B" w:rsidP="002F3A3B">
                        <w:r>
                          <w:t xml:space="preserve"> </w:t>
                        </w:r>
                      </w:p>
                    </w:txbxContent>
                  </v:textbox>
                </v:shape>
                <v:group id="Group 213413318" o:spid="_x0000_s1029" style="position:absolute;top:1708;width:12820;height:2376" coordsize="1282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" path="m,l1815,e" filled="f" strokecolor="#5ca0b9" strokeweight=".5pt">
                      <v:path arrowok="t" o:connecttype="custom" o:connectlocs="0,0;1815,0" o:connectangles="0,0"/>
                    </v:shape>
                  </v:group>
                  <v:group id="Group 54" o:spid="_x0000_s1032" style="position:absolute;width:4920;height:2381" coordorigin="1134,1366" coordsize="80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">
                    <v:shape id="Freeform 55" o:spid="_x0000_s1033" style="position:absolute;left:1134;top:1366;width:804;height:375;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" adj="-11796480,,5400" path="m,470r642,l642,,,,,470e" fillcolor="#5ca0b9" stroked="f">
                      <v:stroke joinstyle="round"/>
                      <v:formulas/>
                      <v:path arrowok="t" o:connecttype="custom" o:connectlocs="0,1465;803,1465;803,1090;0,1090;0,1465" o:connectangles="0,0,0,0,0" textboxrect="0,0,643,470"/>
                      <v:textbox>
                        <w:txbxContent>
                          <w:p w14:paraId="0804D571" w14:textId="77777777" w:rsidR="002F3A3B" w:rsidRPr="008D464F" w:rsidRDefault="002F3A3B" w:rsidP="002F3A3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36C81641" w14:textId="78DA88EA" w:rsidR="00D860BC" w:rsidRDefault="00D860BC" w:rsidP="00D860BC">
      <w:pPr>
        <w:spacing w:after="0" w:line="240" w:lineRule="auto"/>
      </w:pPr>
    </w:p>
    <w:p w14:paraId="1C372DED" w14:textId="1AC7BAC7" w:rsidR="00341B31" w:rsidRDefault="00341B31" w:rsidP="002F3A3B">
      <w:pPr>
        <w:pStyle w:val="RxListRecommendationText"/>
      </w:pPr>
      <w:r>
        <w:t>The Sentencing Act 2002 and Criminal Procedure Act 2011 should be amended to provide that:</w:t>
      </w:r>
    </w:p>
    <w:p w14:paraId="0BE99FB6" w14:textId="519C0BE5" w:rsidR="00341B31" w:rsidRDefault="00A5297C" w:rsidP="00341B31">
      <w:pPr>
        <w:pStyle w:val="aRecommendationText"/>
      </w:pPr>
      <w:r>
        <w:t>a</w:t>
      </w:r>
      <w:r w:rsidR="00341B31">
        <w:t xml:space="preserve"> charging document may specify that section 9(1)(h) of the Sentencing Act </w:t>
      </w:r>
      <w:r w:rsidR="00DD6038">
        <w:t xml:space="preserve">2002 </w:t>
      </w:r>
      <w:r w:rsidR="00341B31">
        <w:t>is alleged to apply to an offence</w:t>
      </w:r>
      <w:r>
        <w:t>;</w:t>
      </w:r>
    </w:p>
    <w:p w14:paraId="1CA0CEF4" w14:textId="1A475513" w:rsidR="00341B31" w:rsidRDefault="00A5297C" w:rsidP="00341B31">
      <w:pPr>
        <w:pStyle w:val="aRecommendationText"/>
      </w:pPr>
      <w:r>
        <w:t>t</w:t>
      </w:r>
      <w:r w:rsidR="00341B31">
        <w:t>he court may amend the charging document at any time before sentencing to add or remove the specification</w:t>
      </w:r>
      <w:r>
        <w:t>; and</w:t>
      </w:r>
      <w:r w:rsidR="00341B31">
        <w:t xml:space="preserve"> </w:t>
      </w:r>
    </w:p>
    <w:p w14:paraId="7248127B" w14:textId="79D81F88" w:rsidR="00D860BC" w:rsidRDefault="00A5297C" w:rsidP="00341B31">
      <w:pPr>
        <w:pStyle w:val="aRecommendationText"/>
      </w:pPr>
      <w:r>
        <w:t>f</w:t>
      </w:r>
      <w:r w:rsidR="00341B31">
        <w:t xml:space="preserve">f the court determines at sentencing that section 9(1)(h) applies to an offence, it must make an entry on the permanent court record to that effect (whether or not the charging document specifies that section 9(1)(h) is alleged to apply). </w:t>
      </w:r>
    </w:p>
    <w:p w14:paraId="2C5F3FC2" w14:textId="3658D96B" w:rsidR="00341B31" w:rsidRDefault="00F51FD9" w:rsidP="002F3A3B">
      <w:pPr>
        <w:pStyle w:val="aRecommendationText"/>
        <w:numPr>
          <w:ilvl w:val="0"/>
          <w:numId w:val="0"/>
        </w:numPr>
      </w:pPr>
      <w:r>
        <w:rPr>
          <w:noProof/>
          <w14:ligatures w14:val="standardContextual"/>
        </w:rPr>
        <mc:AlternateContent>
          <mc:Choice Requires="wpg">
            <w:drawing>
              <wp:anchor distT="0" distB="0" distL="114300" distR="114300" simplePos="0" relativeHeight="251658296" behindDoc="1" locked="0" layoutInCell="1" allowOverlap="1" wp14:anchorId="5B0A5C3E" wp14:editId="0999C128">
                <wp:simplePos x="0" y="0"/>
                <wp:positionH relativeFrom="column">
                  <wp:posOffset>0</wp:posOffset>
                </wp:positionH>
                <wp:positionV relativeFrom="paragraph">
                  <wp:posOffset>151765</wp:posOffset>
                </wp:positionV>
                <wp:extent cx="1282065" cy="297815"/>
                <wp:effectExtent l="0" t="0" r="32385" b="6985"/>
                <wp:wrapNone/>
                <wp:docPr id="1881010263"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343682783" name="Group 52"/>
                        <wpg:cNvGrpSpPr>
                          <a:grpSpLocks/>
                        </wpg:cNvGrpSpPr>
                        <wpg:grpSpPr bwMode="auto">
                          <a:xfrm>
                            <a:off x="172528" y="2540"/>
                            <a:ext cx="1110144" cy="1270"/>
                            <a:chOff x="1417" y="1374"/>
                            <a:chExt cx="1814" cy="2"/>
                          </a:xfrm>
                        </wpg:grpSpPr>
                        <wps:wsp>
                          <wps:cNvPr id="144118001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962254" name="Group 54"/>
                        <wpg:cNvGrpSpPr>
                          <a:grpSpLocks/>
                        </wpg:cNvGrpSpPr>
                        <wpg:grpSpPr bwMode="auto">
                          <a:xfrm>
                            <a:off x="0" y="0"/>
                            <a:ext cx="492038" cy="298450"/>
                            <a:chOff x="1134" y="1366"/>
                            <a:chExt cx="804" cy="470"/>
                          </a:xfrm>
                        </wpg:grpSpPr>
                        <wps:wsp>
                          <wps:cNvPr id="1915594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4EEFF8" w14:textId="77777777" w:rsidR="00F51FD9" w:rsidRPr="008D464F" w:rsidRDefault="00F51FD9" w:rsidP="00F51FD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0A5C3E" id="Group 2" o:spid="_x0000_s1034" style="position:absolute;left:0;text-align:left;margin-left:0;margin-top:11.95pt;width:100.95pt;height:23.45pt;z-index:-25165818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">
                <v:group id="Group 52" o:spid="_x0000_s10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">
                  <v:shape id="Freeform 53" o:spid="_x0000_s10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" path="m,l1815,e" filled="f" strokecolor="#5ca0b9" strokeweight=".5pt">
                    <v:path arrowok="t" o:connecttype="custom" o:connectlocs="0,0;1815,0" o:connectangles="0,0"/>
                  </v:shape>
                </v:group>
                <v:group id="Group 54" o:spid="_x0000_s10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">
                  <v:shape id="Freeform 55" o:spid="_x0000_s10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24EEFF8" w14:textId="77777777" w:rsidR="00F51FD9" w:rsidRPr="008D464F" w:rsidRDefault="00F51FD9" w:rsidP="00F51FD9">
                          <w:pPr>
                            <w:spacing w:before="80" w:after="0"/>
                            <w:jc w:val="center"/>
                            <w:rPr>
                              <w:rFonts w:ascii="Metropolis" w:hAnsi="Metropolis"/>
                              <w:b/>
                              <w:bCs/>
                              <w:color w:val="FFFFFF" w:themeColor="background1"/>
                              <w:szCs w:val="20"/>
                            </w:rPr>
                          </w:pPr>
                        </w:p>
                      </w:txbxContent>
                    </v:textbox>
                  </v:shape>
                </v:group>
              </v:group>
            </w:pict>
          </mc:Fallback>
        </mc:AlternateContent>
      </w:r>
    </w:p>
    <w:p w14:paraId="4C895033" w14:textId="179FD10B" w:rsidR="00445EB3" w:rsidRDefault="00445EB3" w:rsidP="002F3A3B">
      <w:pPr>
        <w:pStyle w:val="RxListRecommendationText"/>
      </w:pPr>
      <w:r>
        <w:t xml:space="preserve">The courts should share the following information with Ngā Pirihimana o Aotearoa | New Zealand Police and Ara Poutama Aotearoa | Department of Corrections: </w:t>
      </w:r>
    </w:p>
    <w:p w14:paraId="4AD6915D" w14:textId="7916E362" w:rsidR="00445EB3" w:rsidRDefault="00445EB3" w:rsidP="00D8103B">
      <w:pPr>
        <w:pStyle w:val="aRecommendationText"/>
        <w:numPr>
          <w:ilvl w:val="1"/>
          <w:numId w:val="41"/>
        </w:numPr>
        <w:ind w:left="1418" w:hanging="425"/>
      </w:pPr>
      <w:r>
        <w:t xml:space="preserve">The fact that a charging document specifies </w:t>
      </w:r>
      <w:r w:rsidR="003814FA">
        <w:t>that</w:t>
      </w:r>
      <w:r>
        <w:t xml:space="preserve"> section 9(1)(h) of the Sentencing Act 2002 is alleged to apply to an offence</w:t>
      </w:r>
      <w:r w:rsidR="003814FA">
        <w:t>.</w:t>
      </w:r>
    </w:p>
    <w:p w14:paraId="13851669" w14:textId="4A972AFC" w:rsidR="00341B31" w:rsidRDefault="00445EB3" w:rsidP="00445EB3">
      <w:pPr>
        <w:pStyle w:val="aRecommendationText"/>
      </w:pPr>
      <w:r>
        <w:t>Any entry on the permanent court record of a determination by the court that section 9(1)(h) applies to an offence.</w:t>
      </w:r>
    </w:p>
    <w:p w14:paraId="7F033BB4" w14:textId="30457BB4" w:rsidR="00445EB3" w:rsidRDefault="00F51FD9" w:rsidP="002F3A3B">
      <w:pPr>
        <w:pStyle w:val="aRecommendationText"/>
        <w:numPr>
          <w:ilvl w:val="0"/>
          <w:numId w:val="0"/>
        </w:numPr>
      </w:pPr>
      <w:r>
        <w:rPr>
          <w:noProof/>
          <w14:ligatures w14:val="standardContextual"/>
        </w:rPr>
        <mc:AlternateContent>
          <mc:Choice Requires="wpg">
            <w:drawing>
              <wp:anchor distT="0" distB="0" distL="114300" distR="114300" simplePos="0" relativeHeight="251658297" behindDoc="1" locked="0" layoutInCell="1" allowOverlap="1" wp14:anchorId="65D11C2F" wp14:editId="74A784C6">
                <wp:simplePos x="0" y="0"/>
                <wp:positionH relativeFrom="column">
                  <wp:posOffset>0</wp:posOffset>
                </wp:positionH>
                <wp:positionV relativeFrom="paragraph">
                  <wp:posOffset>151765</wp:posOffset>
                </wp:positionV>
                <wp:extent cx="1282065" cy="297815"/>
                <wp:effectExtent l="0" t="0" r="32385" b="6985"/>
                <wp:wrapNone/>
                <wp:docPr id="826470716"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209862481" name="Group 52"/>
                        <wpg:cNvGrpSpPr>
                          <a:grpSpLocks/>
                        </wpg:cNvGrpSpPr>
                        <wpg:grpSpPr bwMode="auto">
                          <a:xfrm>
                            <a:off x="172528" y="2540"/>
                            <a:ext cx="1110144" cy="1270"/>
                            <a:chOff x="1417" y="1374"/>
                            <a:chExt cx="1814" cy="2"/>
                          </a:xfrm>
                        </wpg:grpSpPr>
                        <wps:wsp>
                          <wps:cNvPr id="16862236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610991" name="Group 54"/>
                        <wpg:cNvGrpSpPr>
                          <a:grpSpLocks/>
                        </wpg:cNvGrpSpPr>
                        <wpg:grpSpPr bwMode="auto">
                          <a:xfrm>
                            <a:off x="0" y="0"/>
                            <a:ext cx="492038" cy="298450"/>
                            <a:chOff x="1134" y="1366"/>
                            <a:chExt cx="804" cy="470"/>
                          </a:xfrm>
                        </wpg:grpSpPr>
                        <wps:wsp>
                          <wps:cNvPr id="122449551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E438A" w14:textId="77777777" w:rsidR="00F51FD9" w:rsidRPr="008D464F" w:rsidRDefault="00F51FD9" w:rsidP="00F51FD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5D11C2F" id="_x0000_s1039" style="position:absolute;left:0;text-align:left;margin-left:0;margin-top:11.95pt;width:100.95pt;height:23.45pt;z-index:-25165818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">
                <v:group id="Group 52" o:spid="_x0000_s10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">
                  <v:shape id="Freeform 53" o:spid="_x0000_s10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" path="m,l1815,e" filled="f" strokecolor="#5ca0b9" strokeweight=".5pt">
                    <v:path arrowok="t" o:connecttype="custom" o:connectlocs="0,0;1815,0" o:connectangles="0,0"/>
                  </v:shape>
                </v:group>
                <v:group id="Group 54" o:spid="_x0000_s10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">
                  <v:shape id="Freeform 55" o:spid="_x0000_s10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1CE438A" w14:textId="77777777" w:rsidR="00F51FD9" w:rsidRPr="008D464F" w:rsidRDefault="00F51FD9" w:rsidP="00F51FD9">
                          <w:pPr>
                            <w:spacing w:before="80" w:after="0"/>
                            <w:jc w:val="center"/>
                            <w:rPr>
                              <w:rFonts w:ascii="Metropolis" w:hAnsi="Metropolis"/>
                              <w:b/>
                              <w:bCs/>
                              <w:color w:val="FFFFFF" w:themeColor="background1"/>
                              <w:szCs w:val="20"/>
                            </w:rPr>
                          </w:pPr>
                        </w:p>
                      </w:txbxContent>
                    </v:textbox>
                  </v:shape>
                </v:group>
              </v:group>
            </w:pict>
          </mc:Fallback>
        </mc:AlternateContent>
      </w:r>
    </w:p>
    <w:p w14:paraId="6F36F591" w14:textId="4E7C6C74" w:rsidR="00B01A54" w:rsidRPr="000B029A" w:rsidRDefault="00B01A54" w:rsidP="002F3A3B">
      <w:pPr>
        <w:pStyle w:val="RxListRecommendationText"/>
      </w:pPr>
      <w:r>
        <w:t>The recording and sharing of information by the courts in accordance with r</w:t>
      </w:r>
      <w:r w:rsidRPr="00BA4A29">
        <w:t>ecommendations R1</w:t>
      </w:r>
      <w:r w:rsidRPr="00A83E03">
        <w:rPr>
          <w:rFonts w:cs="Calibri"/>
        </w:rPr>
        <w:t xml:space="preserve">(c) and R2 should also include </w:t>
      </w:r>
      <w:r w:rsidRPr="00BA4A29">
        <w:t>information</w:t>
      </w:r>
      <w:r>
        <w:t xml:space="preserve"> about the characteristic(s) and group(s) of people targeted by the offending if it is technically </w:t>
      </w:r>
      <w:r w:rsidRPr="000B029A">
        <w:t>feasible to record that information.</w:t>
      </w:r>
    </w:p>
    <w:p w14:paraId="7E1E6A96" w14:textId="257308B5" w:rsidR="00D860BC" w:rsidRDefault="00F51FD9" w:rsidP="00D860BC">
      <w:pPr>
        <w:spacing w:after="0" w:line="240" w:lineRule="auto"/>
      </w:pPr>
      <w:r>
        <w:rPr>
          <w:noProof/>
          <w14:ligatures w14:val="standardContextual"/>
        </w:rPr>
        <mc:AlternateContent>
          <mc:Choice Requires="wpg">
            <w:drawing>
              <wp:anchor distT="0" distB="0" distL="114300" distR="114300" simplePos="0" relativeHeight="251658298" behindDoc="1" locked="0" layoutInCell="1" allowOverlap="1" wp14:anchorId="27AAB4E0" wp14:editId="4921D887">
                <wp:simplePos x="0" y="0"/>
                <wp:positionH relativeFrom="column">
                  <wp:posOffset>0</wp:posOffset>
                </wp:positionH>
                <wp:positionV relativeFrom="paragraph">
                  <wp:posOffset>113665</wp:posOffset>
                </wp:positionV>
                <wp:extent cx="1282065" cy="297815"/>
                <wp:effectExtent l="0" t="0" r="32385" b="6985"/>
                <wp:wrapNone/>
                <wp:docPr id="751342515"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92695124" name="Group 52"/>
                        <wpg:cNvGrpSpPr>
                          <a:grpSpLocks/>
                        </wpg:cNvGrpSpPr>
                        <wpg:grpSpPr bwMode="auto">
                          <a:xfrm>
                            <a:off x="172528" y="2540"/>
                            <a:ext cx="1110144" cy="1270"/>
                            <a:chOff x="1417" y="1374"/>
                            <a:chExt cx="1814" cy="2"/>
                          </a:xfrm>
                        </wpg:grpSpPr>
                        <wps:wsp>
                          <wps:cNvPr id="19921964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85339" name="Group 54"/>
                        <wpg:cNvGrpSpPr>
                          <a:grpSpLocks/>
                        </wpg:cNvGrpSpPr>
                        <wpg:grpSpPr bwMode="auto">
                          <a:xfrm>
                            <a:off x="0" y="0"/>
                            <a:ext cx="492038" cy="298450"/>
                            <a:chOff x="1134" y="1366"/>
                            <a:chExt cx="804" cy="470"/>
                          </a:xfrm>
                        </wpg:grpSpPr>
                        <wps:wsp>
                          <wps:cNvPr id="11957851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40C54D" w14:textId="77777777" w:rsidR="00F51FD9" w:rsidRPr="008D464F" w:rsidRDefault="00F51FD9" w:rsidP="00F51FD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7AAB4E0" id="_x0000_s1044" style="position:absolute;margin-left:0;margin-top:8.95pt;width:100.95pt;height:23.45pt;z-index:-25165818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">
                <v:group id="Group 52" o:spid="_x0000_s10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">
                  <v:shape id="Freeform 53" o:spid="_x0000_s10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" path="m,l1815,e" filled="f" strokecolor="#5ca0b9" strokeweight=".5pt">
                    <v:path arrowok="t" o:connecttype="custom" o:connectlocs="0,0;1815,0" o:connectangles="0,0"/>
                  </v:shape>
                </v:group>
                <v:group id="Group 54" o:spid="_x0000_s10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">
                  <v:shape id="Freeform 55" o:spid="_x0000_s10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140C54D" w14:textId="77777777" w:rsidR="00F51FD9" w:rsidRPr="008D464F" w:rsidRDefault="00F51FD9" w:rsidP="00F51FD9">
                          <w:pPr>
                            <w:spacing w:before="80" w:after="0"/>
                            <w:jc w:val="center"/>
                            <w:rPr>
                              <w:rFonts w:ascii="Metropolis" w:hAnsi="Metropolis"/>
                              <w:b/>
                              <w:bCs/>
                              <w:color w:val="FFFFFF" w:themeColor="background1"/>
                              <w:szCs w:val="20"/>
                            </w:rPr>
                          </w:pPr>
                        </w:p>
                      </w:txbxContent>
                    </v:textbox>
                  </v:shape>
                </v:group>
              </v:group>
            </w:pict>
          </mc:Fallback>
        </mc:AlternateContent>
      </w:r>
    </w:p>
    <w:p w14:paraId="1093F979" w14:textId="4AD9CF3E" w:rsidR="00B01A54" w:rsidRDefault="00B01A54" w:rsidP="002F3A3B">
      <w:pPr>
        <w:pStyle w:val="RxListRecommendationText"/>
      </w:pPr>
      <w:r>
        <w:t>T</w:t>
      </w:r>
      <w:r w:rsidRPr="003A537D">
        <w:t>he Sentencing Act 2002</w:t>
      </w:r>
      <w:r>
        <w:t xml:space="preserve"> should be amended</w:t>
      </w:r>
      <w:r w:rsidRPr="003A537D">
        <w:t xml:space="preserve"> to provide that</w:t>
      </w:r>
      <w:r>
        <w:t>, if section 9(1)(h) applies, the court must state (using any words that it thinks fit) that the offence was committed because of hostility toward</w:t>
      </w:r>
      <w:r w:rsidR="000733AB">
        <w:t>s</w:t>
      </w:r>
      <w:r>
        <w:t xml:space="preserve"> a group of people with an enduring common characteristic.</w:t>
      </w:r>
    </w:p>
    <w:p w14:paraId="4133DAAB" w14:textId="05F485A7" w:rsidR="00B01A54" w:rsidRDefault="00F51FD9" w:rsidP="00D860BC">
      <w:pPr>
        <w:spacing w:after="0" w:line="240" w:lineRule="auto"/>
      </w:pPr>
      <w:r>
        <w:rPr>
          <w:noProof/>
          <w14:ligatures w14:val="standardContextual"/>
        </w:rPr>
        <mc:AlternateContent>
          <mc:Choice Requires="wpg">
            <w:drawing>
              <wp:anchor distT="0" distB="0" distL="114300" distR="114300" simplePos="0" relativeHeight="251658299" behindDoc="1" locked="0" layoutInCell="1" allowOverlap="1" wp14:anchorId="4BC7BD5E" wp14:editId="10B7F86A">
                <wp:simplePos x="0" y="0"/>
                <wp:positionH relativeFrom="column">
                  <wp:posOffset>0</wp:posOffset>
                </wp:positionH>
                <wp:positionV relativeFrom="paragraph">
                  <wp:posOffset>100965</wp:posOffset>
                </wp:positionV>
                <wp:extent cx="1282065" cy="297815"/>
                <wp:effectExtent l="0" t="0" r="32385" b="6985"/>
                <wp:wrapNone/>
                <wp:docPr id="798645688"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051697102" name="Group 52"/>
                        <wpg:cNvGrpSpPr>
                          <a:grpSpLocks/>
                        </wpg:cNvGrpSpPr>
                        <wpg:grpSpPr bwMode="auto">
                          <a:xfrm>
                            <a:off x="172528" y="2540"/>
                            <a:ext cx="1110144" cy="1270"/>
                            <a:chOff x="1417" y="1374"/>
                            <a:chExt cx="1814" cy="2"/>
                          </a:xfrm>
                        </wpg:grpSpPr>
                        <wps:wsp>
                          <wps:cNvPr id="14207465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104570" name="Group 54"/>
                        <wpg:cNvGrpSpPr>
                          <a:grpSpLocks/>
                        </wpg:cNvGrpSpPr>
                        <wpg:grpSpPr bwMode="auto">
                          <a:xfrm>
                            <a:off x="0" y="0"/>
                            <a:ext cx="492038" cy="298450"/>
                            <a:chOff x="1134" y="1366"/>
                            <a:chExt cx="804" cy="470"/>
                          </a:xfrm>
                        </wpg:grpSpPr>
                        <wps:wsp>
                          <wps:cNvPr id="15173310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4E5370" w14:textId="77777777" w:rsidR="00F51FD9" w:rsidRPr="008D464F" w:rsidRDefault="00F51FD9" w:rsidP="00F51FD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BC7BD5E" id="_x0000_s1049" style="position:absolute;margin-left:0;margin-top:7.95pt;width:100.95pt;height:23.45pt;z-index:-25165818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">
                <v:group id="Group 52" o:spid="_x0000_s10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">
                  <v:shape id="Freeform 53" o:spid="_x0000_s10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" path="m,l1815,e" filled="f" strokecolor="#5ca0b9" strokeweight=".5pt">
                    <v:path arrowok="t" o:connecttype="custom" o:connectlocs="0,0;1815,0" o:connectangles="0,0"/>
                  </v:shape>
                </v:group>
                <v:group id="Group 54" o:spid="_x0000_s10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">
                  <v:shape id="Freeform 55" o:spid="_x0000_s10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44E5370" w14:textId="77777777" w:rsidR="00F51FD9" w:rsidRPr="008D464F" w:rsidRDefault="00F51FD9" w:rsidP="00F51FD9">
                          <w:pPr>
                            <w:spacing w:before="80" w:after="0"/>
                            <w:jc w:val="center"/>
                            <w:rPr>
                              <w:rFonts w:ascii="Metropolis" w:hAnsi="Metropolis"/>
                              <w:b/>
                              <w:bCs/>
                              <w:color w:val="FFFFFF" w:themeColor="background1"/>
                              <w:szCs w:val="20"/>
                            </w:rPr>
                          </w:pPr>
                        </w:p>
                      </w:txbxContent>
                    </v:textbox>
                  </v:shape>
                </v:group>
              </v:group>
            </w:pict>
          </mc:Fallback>
        </mc:AlternateContent>
      </w:r>
    </w:p>
    <w:p w14:paraId="7D34E511" w14:textId="197B5CC5" w:rsidR="00F91EFA" w:rsidRDefault="00F91EFA" w:rsidP="002F3A3B">
      <w:pPr>
        <w:pStyle w:val="RxListRecommendationText"/>
      </w:pPr>
      <w:r w:rsidRPr="002803B7">
        <w:t>Section 9(1)(h)</w:t>
      </w:r>
      <w:r w:rsidR="00E45D39">
        <w:t>(ii)</w:t>
      </w:r>
      <w:r w:rsidRPr="002803B7">
        <w:t xml:space="preserve"> of the Sentencing Act 2002</w:t>
      </w:r>
      <w:r w:rsidR="00157D56">
        <w:t>, which requires that “the offender believed that the victim has that characteristic”, should be repealed.</w:t>
      </w:r>
      <w:r w:rsidRPr="002803B7">
        <w:t xml:space="preserve"> </w:t>
      </w:r>
    </w:p>
    <w:p w14:paraId="4C389FC0" w14:textId="6D8B49AA" w:rsidR="00D860BC" w:rsidRDefault="00F51FD9" w:rsidP="00D860BC">
      <w:pPr>
        <w:spacing w:after="0" w:line="240" w:lineRule="auto"/>
      </w:pPr>
      <w:r>
        <w:rPr>
          <w:noProof/>
          <w14:ligatures w14:val="standardContextual"/>
        </w:rPr>
        <mc:AlternateContent>
          <mc:Choice Requires="wpg">
            <w:drawing>
              <wp:anchor distT="0" distB="0" distL="114300" distR="114300" simplePos="0" relativeHeight="251658300" behindDoc="1" locked="0" layoutInCell="1" allowOverlap="1" wp14:anchorId="70EE699B" wp14:editId="1395F752">
                <wp:simplePos x="0" y="0"/>
                <wp:positionH relativeFrom="column">
                  <wp:posOffset>0</wp:posOffset>
                </wp:positionH>
                <wp:positionV relativeFrom="paragraph">
                  <wp:posOffset>113665</wp:posOffset>
                </wp:positionV>
                <wp:extent cx="1282065" cy="297815"/>
                <wp:effectExtent l="0" t="0" r="32385" b="6985"/>
                <wp:wrapNone/>
                <wp:docPr id="270506778"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6212249" name="Group 52"/>
                        <wpg:cNvGrpSpPr>
                          <a:grpSpLocks/>
                        </wpg:cNvGrpSpPr>
                        <wpg:grpSpPr bwMode="auto">
                          <a:xfrm>
                            <a:off x="172528" y="2540"/>
                            <a:ext cx="1110144" cy="1270"/>
                            <a:chOff x="1417" y="1374"/>
                            <a:chExt cx="1814" cy="2"/>
                          </a:xfrm>
                        </wpg:grpSpPr>
                        <wps:wsp>
                          <wps:cNvPr id="19760594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579510" name="Group 54"/>
                        <wpg:cNvGrpSpPr>
                          <a:grpSpLocks/>
                        </wpg:cNvGrpSpPr>
                        <wpg:grpSpPr bwMode="auto">
                          <a:xfrm>
                            <a:off x="0" y="0"/>
                            <a:ext cx="492038" cy="298450"/>
                            <a:chOff x="1134" y="1366"/>
                            <a:chExt cx="804" cy="470"/>
                          </a:xfrm>
                        </wpg:grpSpPr>
                        <wps:wsp>
                          <wps:cNvPr id="14972287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7DD0CD" w14:textId="77777777" w:rsidR="00F51FD9" w:rsidRPr="008D464F" w:rsidRDefault="00F51FD9" w:rsidP="00F51FD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0EE699B" id="_x0000_s1054" style="position:absolute;margin-left:0;margin-top:8.95pt;width:100.95pt;height:23.45pt;z-index:-25165818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">
                <v:group id="Group 52" o:spid="_x0000_s10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">
                  <v:shape id="Freeform 53" o:spid="_x0000_s10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" path="m,l1815,e" filled="f" strokecolor="#5ca0b9" strokeweight=".5pt">
                    <v:path arrowok="t" o:connecttype="custom" o:connectlocs="0,0;1815,0" o:connectangles="0,0"/>
                  </v:shape>
                </v:group>
                <v:group id="Group 54" o:spid="_x0000_s10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">
                  <v:shape id="Freeform 55" o:spid="_x0000_s10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17DD0CD" w14:textId="77777777" w:rsidR="00F51FD9" w:rsidRPr="008D464F" w:rsidRDefault="00F51FD9" w:rsidP="00F51FD9">
                          <w:pPr>
                            <w:spacing w:before="80" w:after="0"/>
                            <w:jc w:val="center"/>
                            <w:rPr>
                              <w:rFonts w:ascii="Metropolis" w:hAnsi="Metropolis"/>
                              <w:b/>
                              <w:bCs/>
                              <w:color w:val="FFFFFF" w:themeColor="background1"/>
                              <w:szCs w:val="20"/>
                            </w:rPr>
                          </w:pPr>
                        </w:p>
                      </w:txbxContent>
                    </v:textbox>
                  </v:shape>
                </v:group>
              </v:group>
            </w:pict>
          </mc:Fallback>
        </mc:AlternateContent>
      </w:r>
    </w:p>
    <w:p w14:paraId="4CCECD81" w14:textId="3D2AA6D0" w:rsidR="00F91EFA" w:rsidRDefault="00F91EFA" w:rsidP="002F3A3B">
      <w:pPr>
        <w:pStyle w:val="RxListRecommendationText"/>
      </w:pPr>
      <w:r w:rsidRPr="002803B7">
        <w:t xml:space="preserve">Section 9(1)(h) of the Sentencing Act 2002 </w:t>
      </w:r>
      <w:r w:rsidR="009A71FB" w:rsidRPr="002803B7">
        <w:t xml:space="preserve">should be amended to include </w:t>
      </w:r>
      <w:r w:rsidR="00864C25">
        <w:t>‘</w:t>
      </w:r>
      <w:r w:rsidR="009A71FB" w:rsidRPr="002803B7">
        <w:t>sex</w:t>
      </w:r>
      <w:r w:rsidR="009A71FB">
        <w:t>’</w:t>
      </w:r>
      <w:r w:rsidR="009A71FB" w:rsidRPr="002803B7">
        <w:t xml:space="preserve"> in the illustrative list of characteristics.</w:t>
      </w:r>
      <w:r w:rsidR="00E85A43">
        <w:t xml:space="preserve"> </w:t>
      </w:r>
    </w:p>
    <w:p w14:paraId="461DEF4E" w14:textId="7E5ACB26" w:rsidR="00F51FD9" w:rsidRDefault="00F51FD9" w:rsidP="00F51FD9">
      <w:pPr>
        <w:pStyle w:val="RxListRecommendationText"/>
        <w:numPr>
          <w:ilvl w:val="0"/>
          <w:numId w:val="0"/>
        </w:numPr>
        <w:ind w:left="993"/>
      </w:pPr>
    </w:p>
    <w:p w14:paraId="0D1773EC" w14:textId="6273E6FB" w:rsidR="00F51FD9" w:rsidRDefault="00F51FD9">
      <w:pPr>
        <w:spacing w:before="0" w:after="0" w:line="240" w:lineRule="auto"/>
        <w:rPr>
          <w:color w:val="auto"/>
          <w:szCs w:val="20"/>
          <w:lang w:eastAsia="en-US"/>
        </w:rPr>
      </w:pPr>
    </w:p>
    <w:p w14:paraId="2A7C2593" w14:textId="77777777" w:rsidR="009D6429" w:rsidRDefault="009D6429" w:rsidP="009D6429">
      <w:pPr>
        <w:pStyle w:val="RxListRecommendationText"/>
        <w:numPr>
          <w:ilvl w:val="0"/>
          <w:numId w:val="0"/>
        </w:numPr>
        <w:ind w:left="993"/>
      </w:pPr>
    </w:p>
    <w:p w14:paraId="4122EF82" w14:textId="096054B6" w:rsidR="009D6429" w:rsidRDefault="009D6429" w:rsidP="009D6429">
      <w:pPr>
        <w:pStyle w:val="RxListRecommendationText"/>
        <w:numPr>
          <w:ilvl w:val="0"/>
          <w:numId w:val="0"/>
        </w:numPr>
        <w:ind w:left="142"/>
      </w:pPr>
      <w:r w:rsidRPr="00663187">
        <w:rPr>
          <w:b/>
          <w:noProof/>
        </w:rPr>
        <mc:AlternateContent>
          <mc:Choice Requires="wpg">
            <w:drawing>
              <wp:anchor distT="0" distB="0" distL="114300" distR="114300" simplePos="0" relativeHeight="251658301" behindDoc="1" locked="0" layoutInCell="1" allowOverlap="1" wp14:anchorId="446CDC5C" wp14:editId="3FB546C3">
                <wp:simplePos x="0" y="0"/>
                <wp:positionH relativeFrom="margin">
                  <wp:posOffset>-15610</wp:posOffset>
                </wp:positionH>
                <wp:positionV relativeFrom="paragraph">
                  <wp:posOffset>-10407</wp:posOffset>
                </wp:positionV>
                <wp:extent cx="5759450" cy="4626591"/>
                <wp:effectExtent l="0" t="0" r="0" b="3175"/>
                <wp:wrapNone/>
                <wp:docPr id="310713871" name="Group 310713871"/>
                <wp:cNvGraphicFramePr/>
                <a:graphic xmlns:a="http://schemas.openxmlformats.org/drawingml/2006/main">
                  <a:graphicData uri="http://schemas.microsoft.com/office/word/2010/wordprocessingGroup">
                    <wpg:wgp>
                      <wpg:cNvGrpSpPr/>
                      <wpg:grpSpPr>
                        <a:xfrm>
                          <a:off x="0" y="0"/>
                          <a:ext cx="5759450" cy="4626591"/>
                          <a:chOff x="-1" y="40637"/>
                          <a:chExt cx="5760000" cy="3817100"/>
                        </a:xfrm>
                      </wpg:grpSpPr>
                      <wps:wsp>
                        <wps:cNvPr id="155910525" name="Freeform 51"/>
                        <wps:cNvSpPr>
                          <a:spLocks/>
                        </wps:cNvSpPr>
                        <wps:spPr bwMode="auto">
                          <a:xfrm>
                            <a:off x="-1" y="40637"/>
                            <a:ext cx="5760000" cy="38171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0ECDE7" w14:textId="77777777" w:rsidR="002F3A3B" w:rsidRDefault="002F3A3B" w:rsidP="002F3A3B">
                              <w:r>
                                <w:t xml:space="preserve"> </w:t>
                              </w:r>
                            </w:p>
                          </w:txbxContent>
                        </wps:txbx>
                        <wps:bodyPr rot="0" vert="horz" wrap="square" lIns="91440" tIns="45720" rIns="91440" bIns="45720" anchor="t" anchorCtr="0" upright="1">
                          <a:noAutofit/>
                        </wps:bodyPr>
                      </wps:wsp>
                      <wpg:grpSp>
                        <wpg:cNvPr id="1468307056" name="Group 1468307056"/>
                        <wpg:cNvGrpSpPr/>
                        <wpg:grpSpPr>
                          <a:xfrm>
                            <a:off x="0" y="170822"/>
                            <a:ext cx="1282065" cy="247123"/>
                            <a:chOff x="0" y="0"/>
                            <a:chExt cx="1282672" cy="247650"/>
                          </a:xfrm>
                        </wpg:grpSpPr>
                        <wpg:grpSp>
                          <wpg:cNvPr id="549209236" name="Group 52"/>
                          <wpg:cNvGrpSpPr>
                            <a:grpSpLocks/>
                          </wpg:cNvGrpSpPr>
                          <wpg:grpSpPr bwMode="auto">
                            <a:xfrm>
                              <a:off x="172528" y="2540"/>
                              <a:ext cx="1110144" cy="1270"/>
                              <a:chOff x="1417" y="1374"/>
                              <a:chExt cx="1814" cy="2"/>
                            </a:xfrm>
                          </wpg:grpSpPr>
                          <wps:wsp>
                            <wps:cNvPr id="3513973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55009" name="Group 54"/>
                          <wpg:cNvGrpSpPr>
                            <a:grpSpLocks/>
                          </wpg:cNvGrpSpPr>
                          <wpg:grpSpPr bwMode="auto">
                            <a:xfrm>
                              <a:off x="0" y="0"/>
                              <a:ext cx="492038" cy="247650"/>
                              <a:chOff x="1134" y="1366"/>
                              <a:chExt cx="804" cy="390"/>
                            </a:xfrm>
                          </wpg:grpSpPr>
                          <wps:wsp>
                            <wps:cNvPr id="585243099" name="Freeform 55"/>
                            <wps:cNvSpPr>
                              <a:spLocks/>
                            </wps:cNvSpPr>
                            <wps:spPr bwMode="auto">
                              <a:xfrm>
                                <a:off x="1134" y="1366"/>
                                <a:ext cx="804" cy="39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6E0196" w14:textId="77777777" w:rsidR="002F3A3B" w:rsidRPr="008D464F" w:rsidRDefault="002F3A3B" w:rsidP="002F3A3B">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6CDC5C" id="Group 310713871" o:spid="_x0000_s1059" style="position:absolute;left:0;text-align:left;margin-left:-1.25pt;margin-top:-.8pt;width:453.5pt;height:364.3pt;z-index:-251658179;mso-position-horizontal-relative:margin;mso-width-relative:margin;mso-height-relative:margin" coordorigin=",406" coordsize="57600,3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">
                <v:shape id="Freeform 51" o:spid="_x0000_s1060" style="position:absolute;top:406;width:57599;height:3817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" adj="-11796480,,5400" path="m,l9354,r,1638l,1638,,e" fillcolor="#e2eaef" stroked="f">
                  <v:stroke joinstyle="round"/>
                  <v:formulas/>
                  <v:path arrowok="t" o:connecttype="custom" o:connectlocs="0,2456180;5760000,2456180;5760000,6273280;0,6273280;0,2456180" o:connectangles="0,0,0,0,0" textboxrect="0,0,9354,1638"/>
                  <v:textbox>
                    <w:txbxContent>
                      <w:p w14:paraId="660ECDE7" w14:textId="77777777" w:rsidR="002F3A3B" w:rsidRDefault="002F3A3B" w:rsidP="002F3A3B">
                        <w:r>
                          <w:t xml:space="preserve"> </w:t>
                        </w:r>
                      </w:p>
                    </w:txbxContent>
                  </v:textbox>
                </v:shape>
                <v:group id="Group 1468307056" o:spid="_x0000_s1061" style="position:absolute;top:1708;width:12820;height:2471" coordsize="12826,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">
                  <v:group id="Group 52" o:spid="_x0000_s10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">
                    <v:shape id="Freeform 53" o:spid="_x0000_s10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" path="m,l1815,e" filled="f" strokecolor="#5ca0b9" strokeweight=".5pt">
                      <v:path arrowok="t" o:connecttype="custom" o:connectlocs="0,0;1815,0" o:connectangles="0,0"/>
                    </v:shape>
                  </v:group>
                  <v:group id="Group 54" o:spid="_x0000_s1064" style="position:absolute;width:4920;height:2476" coordorigin="1134,1366" coordsize="8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">
                    <v:shape id="Freeform 55" o:spid="_x0000_s1065" style="position:absolute;left:1134;top:1366;width:804;height:39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" adj="-11796480,,5400" path="m,470r642,l642,,,,,470e" fillcolor="#5ca0b9" stroked="f">
                      <v:stroke joinstyle="round"/>
                      <v:formulas/>
                      <v:path arrowok="t" o:connecttype="custom" o:connectlocs="0,1523;803,1523;803,1133;0,1133;0,1523" o:connectangles="0,0,0,0,0" textboxrect="0,0,643,470"/>
                      <v:textbox>
                        <w:txbxContent>
                          <w:p w14:paraId="0D6E0196" w14:textId="77777777" w:rsidR="002F3A3B" w:rsidRPr="008D464F" w:rsidRDefault="002F3A3B" w:rsidP="002F3A3B">
                            <w:pPr>
                              <w:spacing w:before="80" w:after="0"/>
                              <w:jc w:val="center"/>
                              <w:rPr>
                                <w:rFonts w:ascii="Metropolis" w:hAnsi="Metropolis"/>
                                <w:b/>
                                <w:color w:val="FFFFFF" w:themeColor="background1"/>
                                <w:szCs w:val="20"/>
                              </w:rPr>
                            </w:pPr>
                          </w:p>
                        </w:txbxContent>
                      </v:textbox>
                    </v:shape>
                  </v:group>
                </v:group>
                <w10:wrap anchorx="margin"/>
              </v:group>
            </w:pict>
          </mc:Fallback>
        </mc:AlternateContent>
      </w:r>
    </w:p>
    <w:p w14:paraId="4E270ECB" w14:textId="0E3ECD7F" w:rsidR="00F91EFA" w:rsidRDefault="00F91EFA" w:rsidP="00F51FD9">
      <w:pPr>
        <w:pStyle w:val="RxListRecommendationText"/>
      </w:pPr>
      <w:r>
        <w:t xml:space="preserve">Ngā Pirihimana o Aotearoa | New Zealand </w:t>
      </w:r>
      <w:r w:rsidRPr="00C434B5">
        <w:t xml:space="preserve">Police should review </w:t>
      </w:r>
      <w:r>
        <w:t xml:space="preserve">and update its </w:t>
      </w:r>
      <w:r w:rsidRPr="00C434B5">
        <w:t xml:space="preserve">guidance on hate crimes and </w:t>
      </w:r>
      <w:r w:rsidRPr="00050122">
        <w:t>other</w:t>
      </w:r>
      <w:r>
        <w:t xml:space="preserve"> relevant</w:t>
      </w:r>
      <w:r w:rsidRPr="00C434B5">
        <w:t xml:space="preserve"> guidance to ensure</w:t>
      </w:r>
      <w:r>
        <w:t xml:space="preserve"> </w:t>
      </w:r>
      <w:r w:rsidR="00DA006D">
        <w:t xml:space="preserve">police </w:t>
      </w:r>
      <w:r>
        <w:t xml:space="preserve">officers </w:t>
      </w:r>
      <w:r w:rsidR="00DA006D">
        <w:t xml:space="preserve">and prosecutors </w:t>
      </w:r>
      <w:r>
        <w:t>are informed about any changes to the law as a result of this review</w:t>
      </w:r>
      <w:r w:rsidRPr="00C434B5">
        <w:t>.</w:t>
      </w:r>
    </w:p>
    <w:p w14:paraId="5E28F803" w14:textId="22DABD11" w:rsidR="00F91EFA" w:rsidRDefault="00D37E56" w:rsidP="00D860BC">
      <w:pPr>
        <w:spacing w:after="0" w:line="240" w:lineRule="auto"/>
      </w:pPr>
      <w:r>
        <w:rPr>
          <w:noProof/>
          <w14:ligatures w14:val="standardContextual"/>
        </w:rPr>
        <mc:AlternateContent>
          <mc:Choice Requires="wpg">
            <w:drawing>
              <wp:anchor distT="0" distB="0" distL="114300" distR="114300" simplePos="0" relativeHeight="251658302" behindDoc="1" locked="0" layoutInCell="1" allowOverlap="1" wp14:anchorId="62D85BF7" wp14:editId="46EA77B4">
                <wp:simplePos x="0" y="0"/>
                <wp:positionH relativeFrom="column">
                  <wp:posOffset>0</wp:posOffset>
                </wp:positionH>
                <wp:positionV relativeFrom="paragraph">
                  <wp:posOffset>123190</wp:posOffset>
                </wp:positionV>
                <wp:extent cx="1282065" cy="297815"/>
                <wp:effectExtent l="0" t="0" r="32385" b="6985"/>
                <wp:wrapNone/>
                <wp:docPr id="1782183750"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653624348" name="Group 52"/>
                        <wpg:cNvGrpSpPr>
                          <a:grpSpLocks/>
                        </wpg:cNvGrpSpPr>
                        <wpg:grpSpPr bwMode="auto">
                          <a:xfrm>
                            <a:off x="172528" y="2540"/>
                            <a:ext cx="1110144" cy="1270"/>
                            <a:chOff x="1417" y="1374"/>
                            <a:chExt cx="1814" cy="2"/>
                          </a:xfrm>
                        </wpg:grpSpPr>
                        <wps:wsp>
                          <wps:cNvPr id="16707443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33802" name="Group 54"/>
                        <wpg:cNvGrpSpPr>
                          <a:grpSpLocks/>
                        </wpg:cNvGrpSpPr>
                        <wpg:grpSpPr bwMode="auto">
                          <a:xfrm>
                            <a:off x="0" y="0"/>
                            <a:ext cx="492038" cy="298450"/>
                            <a:chOff x="1134" y="1366"/>
                            <a:chExt cx="804" cy="470"/>
                          </a:xfrm>
                        </wpg:grpSpPr>
                        <wps:wsp>
                          <wps:cNvPr id="11283907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436E0A"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2D85BF7" id="_x0000_s1066" style="position:absolute;margin-left:0;margin-top:9.7pt;width:100.95pt;height:23.45pt;z-index:-25165817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">
                <v:group id="Group 52" o:spid="_x0000_s10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">
                  <v:shape id="Freeform 53" o:spid="_x0000_s10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" path="m,l1815,e" filled="f" strokecolor="#5ca0b9" strokeweight=".5pt">
                    <v:path arrowok="t" o:connecttype="custom" o:connectlocs="0,0;1815,0" o:connectangles="0,0"/>
                  </v:shape>
                </v:group>
                <v:group id="Group 54" o:spid="_x0000_s10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">
                  <v:shape id="Freeform 55" o:spid="_x0000_s10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436E0A"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pict>
          </mc:Fallback>
        </mc:AlternateContent>
      </w:r>
      <w:r>
        <w:rPr>
          <w:noProof/>
          <w14:ligatures w14:val="standardContextual"/>
        </w:rPr>
        <mc:AlternateContent>
          <mc:Choice Requires="wpg">
            <w:drawing>
              <wp:anchor distT="0" distB="0" distL="114300" distR="114300" simplePos="0" relativeHeight="251658303" behindDoc="1" locked="0" layoutInCell="1" allowOverlap="1" wp14:anchorId="32241542" wp14:editId="0B1BDC98">
                <wp:simplePos x="0" y="0"/>
                <wp:positionH relativeFrom="column">
                  <wp:posOffset>0</wp:posOffset>
                </wp:positionH>
                <wp:positionV relativeFrom="paragraph">
                  <wp:posOffset>758190</wp:posOffset>
                </wp:positionV>
                <wp:extent cx="1282065" cy="297815"/>
                <wp:effectExtent l="0" t="0" r="32385" b="6985"/>
                <wp:wrapNone/>
                <wp:docPr id="1950210835"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402721366" name="Group 52"/>
                        <wpg:cNvGrpSpPr>
                          <a:grpSpLocks/>
                        </wpg:cNvGrpSpPr>
                        <wpg:grpSpPr bwMode="auto">
                          <a:xfrm>
                            <a:off x="172528" y="2540"/>
                            <a:ext cx="1110144" cy="1270"/>
                            <a:chOff x="1417" y="1374"/>
                            <a:chExt cx="1814" cy="2"/>
                          </a:xfrm>
                        </wpg:grpSpPr>
                        <wps:wsp>
                          <wps:cNvPr id="10196271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331117" name="Group 54"/>
                        <wpg:cNvGrpSpPr>
                          <a:grpSpLocks/>
                        </wpg:cNvGrpSpPr>
                        <wpg:grpSpPr bwMode="auto">
                          <a:xfrm>
                            <a:off x="0" y="0"/>
                            <a:ext cx="492038" cy="298450"/>
                            <a:chOff x="1134" y="1366"/>
                            <a:chExt cx="804" cy="470"/>
                          </a:xfrm>
                        </wpg:grpSpPr>
                        <wps:wsp>
                          <wps:cNvPr id="2633073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5D52A"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2241542" id="_x0000_s1071" style="position:absolute;margin-left:0;margin-top:59.7pt;width:100.95pt;height:23.45pt;z-index:-251658177"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">
                <v:group id="Group 52" o:spid="_x0000_s10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">
                  <v:shape id="Freeform 53" o:spid="_x0000_s10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" path="m,l1815,e" filled="f" strokecolor="#5ca0b9" strokeweight=".5pt">
                    <v:path arrowok="t" o:connecttype="custom" o:connectlocs="0,0;1815,0" o:connectangles="0,0"/>
                  </v:shape>
                </v:group>
                <v:group id="Group 54" o:spid="_x0000_s10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">
                  <v:shape id="Freeform 55" o:spid="_x0000_s10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FC5D52A"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pict>
          </mc:Fallback>
        </mc:AlternateContent>
      </w:r>
      <w:r>
        <w:rPr>
          <w:noProof/>
          <w14:ligatures w14:val="standardContextual"/>
        </w:rPr>
        <mc:AlternateContent>
          <mc:Choice Requires="wpg">
            <w:drawing>
              <wp:anchor distT="0" distB="0" distL="114300" distR="114300" simplePos="0" relativeHeight="251658304" behindDoc="1" locked="0" layoutInCell="1" allowOverlap="1" wp14:anchorId="7BBCB5EC" wp14:editId="05899B6A">
                <wp:simplePos x="0" y="0"/>
                <wp:positionH relativeFrom="column">
                  <wp:posOffset>0</wp:posOffset>
                </wp:positionH>
                <wp:positionV relativeFrom="paragraph">
                  <wp:posOffset>1583690</wp:posOffset>
                </wp:positionV>
                <wp:extent cx="1282065" cy="297815"/>
                <wp:effectExtent l="0" t="0" r="32385" b="6985"/>
                <wp:wrapNone/>
                <wp:docPr id="181561146"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895968611" name="Group 52"/>
                        <wpg:cNvGrpSpPr>
                          <a:grpSpLocks/>
                        </wpg:cNvGrpSpPr>
                        <wpg:grpSpPr bwMode="auto">
                          <a:xfrm>
                            <a:off x="172528" y="2540"/>
                            <a:ext cx="1110144" cy="1270"/>
                            <a:chOff x="1417" y="1374"/>
                            <a:chExt cx="1814" cy="2"/>
                          </a:xfrm>
                        </wpg:grpSpPr>
                        <wps:wsp>
                          <wps:cNvPr id="14735475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411807" name="Group 54"/>
                        <wpg:cNvGrpSpPr>
                          <a:grpSpLocks/>
                        </wpg:cNvGrpSpPr>
                        <wpg:grpSpPr bwMode="auto">
                          <a:xfrm>
                            <a:off x="0" y="0"/>
                            <a:ext cx="492038" cy="298450"/>
                            <a:chOff x="1134" y="1366"/>
                            <a:chExt cx="804" cy="470"/>
                          </a:xfrm>
                        </wpg:grpSpPr>
                        <wps:wsp>
                          <wps:cNvPr id="17348314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2004CD"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BBCB5EC" id="_x0000_s1076" style="position:absolute;margin-left:0;margin-top:124.7pt;width:100.95pt;height:23.45pt;z-index:-25165817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">
                <v:group id="Group 52" o:spid="_x0000_s10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">
                  <v:shape id="Freeform 53" o:spid="_x0000_s10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" path="m,l1815,e" filled="f" strokecolor="#5ca0b9" strokeweight=".5pt">
                    <v:path arrowok="t" o:connecttype="custom" o:connectlocs="0,0;1815,0" o:connectangles="0,0"/>
                  </v:shape>
                </v:group>
                <v:group id="Group 54" o:spid="_x0000_s10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">
                  <v:shape id="Freeform 55" o:spid="_x0000_s10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" adj="-11796480,,5400" path="m,470r642,l642,,,,,470e" fillcolor="#5ca0b9" stroked="f">
                    <v:stroke joinstyle="round"/>
                    <v:formulas/>
                    <v:path arrowok="t" o:connecttype="custom" o:connectlocs="0,1836;803,1836;803,1366;0,1366;0,1836" o:connectangles="0,0,0,0,0" textboxrect="0,0,643,470"/>
                    <v:textbox>
                      <w:txbxContent>
                        <w:p w14:paraId="052004CD"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pict>
          </mc:Fallback>
        </mc:AlternateContent>
      </w:r>
      <w:r>
        <w:rPr>
          <w:noProof/>
          <w14:ligatures w14:val="standardContextual"/>
        </w:rPr>
        <mc:AlternateContent>
          <mc:Choice Requires="wpg">
            <w:drawing>
              <wp:anchor distT="0" distB="0" distL="114300" distR="114300" simplePos="0" relativeHeight="251658305" behindDoc="1" locked="0" layoutInCell="1" allowOverlap="1" wp14:anchorId="7025F9FB" wp14:editId="2A5477ED">
                <wp:simplePos x="0" y="0"/>
                <wp:positionH relativeFrom="column">
                  <wp:posOffset>0</wp:posOffset>
                </wp:positionH>
                <wp:positionV relativeFrom="paragraph">
                  <wp:posOffset>2409190</wp:posOffset>
                </wp:positionV>
                <wp:extent cx="1282065" cy="297815"/>
                <wp:effectExtent l="0" t="0" r="32385" b="6985"/>
                <wp:wrapNone/>
                <wp:docPr id="2058108270"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226219051" name="Group 52"/>
                        <wpg:cNvGrpSpPr>
                          <a:grpSpLocks/>
                        </wpg:cNvGrpSpPr>
                        <wpg:grpSpPr bwMode="auto">
                          <a:xfrm>
                            <a:off x="172528" y="2540"/>
                            <a:ext cx="1110144" cy="1270"/>
                            <a:chOff x="1417" y="1374"/>
                            <a:chExt cx="1814" cy="2"/>
                          </a:xfrm>
                        </wpg:grpSpPr>
                        <wps:wsp>
                          <wps:cNvPr id="5420994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856054" name="Group 54"/>
                        <wpg:cNvGrpSpPr>
                          <a:grpSpLocks/>
                        </wpg:cNvGrpSpPr>
                        <wpg:grpSpPr bwMode="auto">
                          <a:xfrm>
                            <a:off x="0" y="0"/>
                            <a:ext cx="492038" cy="298450"/>
                            <a:chOff x="1134" y="1366"/>
                            <a:chExt cx="804" cy="470"/>
                          </a:xfrm>
                        </wpg:grpSpPr>
                        <wps:wsp>
                          <wps:cNvPr id="19758141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AF09B6"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025F9FB" id="_x0000_s1081" style="position:absolute;margin-left:0;margin-top:189.7pt;width:100.95pt;height:23.45pt;z-index:-25165817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">
                <v:group id="Group 52" o:spid="_x0000_s10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">
                  <v:shape id="Freeform 53" o:spid="_x0000_s10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" path="m,l1815,e" filled="f" strokecolor="#5ca0b9" strokeweight=".5pt">
                    <v:path arrowok="t" o:connecttype="custom" o:connectlocs="0,0;1815,0" o:connectangles="0,0"/>
                  </v:shape>
                </v:group>
                <v:group id="Group 54" o:spid="_x0000_s10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">
                  <v:shape id="Freeform 55" o:spid="_x0000_s10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CAF09B6"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pict>
          </mc:Fallback>
        </mc:AlternateContent>
      </w:r>
    </w:p>
    <w:p w14:paraId="6516ECA3" w14:textId="16D3619D" w:rsidR="00F91EFA" w:rsidRDefault="00F91EFA" w:rsidP="002F3A3B">
      <w:pPr>
        <w:pStyle w:val="RxListRecommendationText"/>
      </w:pPr>
      <w:r>
        <w:t xml:space="preserve">Updated </w:t>
      </w:r>
      <w:r w:rsidRPr="00F21339">
        <w:t xml:space="preserve">Ngā Pirihimana o </w:t>
      </w:r>
      <w:r>
        <w:t>Aotearoa</w:t>
      </w:r>
      <w:r w:rsidRPr="00F21339">
        <w:t xml:space="preserve"> | New Zealand </w:t>
      </w:r>
      <w:r w:rsidRPr="00C434B5">
        <w:t xml:space="preserve">Police guidance </w:t>
      </w:r>
      <w:r>
        <w:t>relating to hate crime prosecutions</w:t>
      </w:r>
      <w:r w:rsidRPr="00C434B5" w:rsidDel="00350167">
        <w:t xml:space="preserve"> </w:t>
      </w:r>
      <w:r w:rsidRPr="00C434B5">
        <w:t>should be shared with Crown solicitors.</w:t>
      </w:r>
    </w:p>
    <w:p w14:paraId="162FDBD7" w14:textId="090AA68F" w:rsidR="00F91EFA" w:rsidRDefault="00F91EFA" w:rsidP="00D860BC">
      <w:pPr>
        <w:spacing w:after="0" w:line="240" w:lineRule="auto"/>
      </w:pPr>
    </w:p>
    <w:p w14:paraId="2E8896A2" w14:textId="2CD82793" w:rsidR="00F91EFA" w:rsidRDefault="00F91EFA" w:rsidP="002F3A3B">
      <w:pPr>
        <w:pStyle w:val="RxListRecommendationText"/>
      </w:pPr>
      <w:r w:rsidRPr="003015D0">
        <w:t xml:space="preserve">Ngā Pirihimana o </w:t>
      </w:r>
      <w:r>
        <w:t>Aotearoa</w:t>
      </w:r>
      <w:r w:rsidRPr="003015D0">
        <w:t xml:space="preserve"> | New Zealand Police </w:t>
      </w:r>
      <w:r>
        <w:t>and the Crown Solicitor Network (supported by Te Tari Ture o te Karauna | Crown Law) should provide training on any changes to the law as a result of this review.</w:t>
      </w:r>
    </w:p>
    <w:p w14:paraId="51611F68" w14:textId="51F45970" w:rsidR="00F91EFA" w:rsidRDefault="00F91EFA" w:rsidP="00D860BC">
      <w:pPr>
        <w:spacing w:after="0" w:line="240" w:lineRule="auto"/>
      </w:pPr>
    </w:p>
    <w:p w14:paraId="0CC3829D" w14:textId="35A40D8D" w:rsidR="00F91EFA" w:rsidRDefault="00F91EFA" w:rsidP="002F3A3B">
      <w:pPr>
        <w:pStyle w:val="RxListRecommendationText"/>
      </w:pPr>
      <w:r>
        <w:t>Te Kura Kaiwhakawā |</w:t>
      </w:r>
      <w:r w:rsidRPr="00C434B5">
        <w:t xml:space="preserve"> Institute of Judicial Studies should consider </w:t>
      </w:r>
      <w:r w:rsidRPr="00A24927">
        <w:t>developing guidance and</w:t>
      </w:r>
      <w:r>
        <w:t xml:space="preserve"> </w:t>
      </w:r>
      <w:r w:rsidRPr="00C434B5">
        <w:t xml:space="preserve">providing training to judges on </w:t>
      </w:r>
      <w:r>
        <w:t xml:space="preserve">any </w:t>
      </w:r>
      <w:r w:rsidR="00B17EC6" w:rsidRPr="00B17EC6">
        <w:t>changes to the law</w:t>
      </w:r>
      <w:r>
        <w:t xml:space="preserve"> as a result of this review</w:t>
      </w:r>
      <w:r w:rsidRPr="00C434B5">
        <w:t>.</w:t>
      </w:r>
    </w:p>
    <w:p w14:paraId="38BAA38C" w14:textId="49CF5F72" w:rsidR="00F91EFA" w:rsidRDefault="00F91EFA" w:rsidP="00D860BC">
      <w:pPr>
        <w:spacing w:after="0" w:line="240" w:lineRule="auto"/>
      </w:pPr>
    </w:p>
    <w:p w14:paraId="12EA4FCE" w14:textId="1A6F4747" w:rsidR="00F91EFA" w:rsidRDefault="00F91EFA" w:rsidP="002F3A3B">
      <w:pPr>
        <w:pStyle w:val="RxListRecommendationText"/>
      </w:pPr>
      <w:r>
        <w:t>Ng</w:t>
      </w:r>
      <w:r w:rsidR="006206C8">
        <w:t>ā</w:t>
      </w:r>
      <w:r>
        <w:t xml:space="preserve"> Pirihimana o Aotearoa | New Zealand </w:t>
      </w:r>
      <w:r w:rsidRPr="00C434B5">
        <w:t xml:space="preserve">Police </w:t>
      </w:r>
      <w:r>
        <w:t>should publish data on reported hate crimes annually.</w:t>
      </w:r>
    </w:p>
    <w:p w14:paraId="4FD47F18" w14:textId="5AD84349" w:rsidR="00F91EFA" w:rsidRDefault="00887337" w:rsidP="00F51FD9">
      <w:pPr>
        <w:pStyle w:val="RxListRecommendationText"/>
        <w:numPr>
          <w:ilvl w:val="0"/>
          <w:numId w:val="0"/>
        </w:numPr>
        <w:ind w:left="142"/>
      </w:pPr>
      <w:r>
        <w:rPr>
          <w:noProof/>
          <w14:ligatures w14:val="standardContextual"/>
        </w:rPr>
        <mc:AlternateContent>
          <mc:Choice Requires="wpg">
            <w:drawing>
              <wp:anchor distT="0" distB="0" distL="114300" distR="114300" simplePos="0" relativeHeight="251658307" behindDoc="1" locked="0" layoutInCell="1" allowOverlap="1" wp14:anchorId="731A9962" wp14:editId="079CED9E">
                <wp:simplePos x="0" y="0"/>
                <wp:positionH relativeFrom="column">
                  <wp:posOffset>0</wp:posOffset>
                </wp:positionH>
                <wp:positionV relativeFrom="paragraph">
                  <wp:posOffset>151443</wp:posOffset>
                </wp:positionV>
                <wp:extent cx="1282065" cy="297815"/>
                <wp:effectExtent l="0" t="0" r="32385" b="6985"/>
                <wp:wrapNone/>
                <wp:docPr id="641736158"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524113663" name="Group 52"/>
                        <wpg:cNvGrpSpPr>
                          <a:grpSpLocks/>
                        </wpg:cNvGrpSpPr>
                        <wpg:grpSpPr bwMode="auto">
                          <a:xfrm>
                            <a:off x="172528" y="2540"/>
                            <a:ext cx="1110144" cy="1270"/>
                            <a:chOff x="1417" y="1374"/>
                            <a:chExt cx="1814" cy="2"/>
                          </a:xfrm>
                        </wpg:grpSpPr>
                        <wps:wsp>
                          <wps:cNvPr id="12881028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659833" name="Group 54"/>
                        <wpg:cNvGrpSpPr>
                          <a:grpSpLocks/>
                        </wpg:cNvGrpSpPr>
                        <wpg:grpSpPr bwMode="auto">
                          <a:xfrm>
                            <a:off x="0" y="0"/>
                            <a:ext cx="492038" cy="298450"/>
                            <a:chOff x="1134" y="1366"/>
                            <a:chExt cx="804" cy="470"/>
                          </a:xfrm>
                        </wpg:grpSpPr>
                        <wps:wsp>
                          <wps:cNvPr id="2446368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1BC2DE"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31A9962" id="_x0000_s1086" style="position:absolute;left:0;text-align:left;margin-left:0;margin-top:11.9pt;width:100.95pt;height:23.45pt;z-index:-25165817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">
                <v:group id="Group 52" o:spid="_x0000_s10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">
                  <v:shape id="Freeform 53" o:spid="_x0000_s10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" path="m,l1815,e" filled="f" strokecolor="#5ca0b9" strokeweight=".5pt">
                    <v:path arrowok="t" o:connecttype="custom" o:connectlocs="0,0;1815,0" o:connectangles="0,0"/>
                  </v:shape>
                </v:group>
                <v:group id="Group 54" o:spid="_x0000_s10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">
                  <v:shape id="Freeform 55" o:spid="_x0000_s10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71BC2DE"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pict>
          </mc:Fallback>
        </mc:AlternateContent>
      </w:r>
    </w:p>
    <w:p w14:paraId="27630649" w14:textId="24F25FAE" w:rsidR="00F91EFA" w:rsidRDefault="00F91EFA" w:rsidP="002F3A3B">
      <w:pPr>
        <w:pStyle w:val="RxListRecommendationText"/>
      </w:pPr>
      <w:r w:rsidRPr="006440DA">
        <w:t xml:space="preserve">If </w:t>
      </w:r>
      <w:r w:rsidR="00D91301" w:rsidRPr="006440DA">
        <w:t xml:space="preserve">the amendments in </w:t>
      </w:r>
      <w:r w:rsidRPr="006440DA">
        <w:t xml:space="preserve">R1 </w:t>
      </w:r>
      <w:r w:rsidR="00D91301" w:rsidRPr="006440DA">
        <w:t>are made</w:t>
      </w:r>
      <w:r w:rsidRPr="006440DA">
        <w:t>,</w:t>
      </w:r>
      <w:r>
        <w:t xml:space="preserve"> Te Tāhū o te Ture |</w:t>
      </w:r>
      <w:r w:rsidRPr="00C434B5">
        <w:t xml:space="preserve"> Ministry of Justice should publish </w:t>
      </w:r>
      <w:r>
        <w:t xml:space="preserve">court </w:t>
      </w:r>
      <w:r w:rsidRPr="00C434B5">
        <w:t xml:space="preserve">data on hate crime </w:t>
      </w:r>
      <w:r>
        <w:t xml:space="preserve">cases </w:t>
      </w:r>
      <w:r w:rsidRPr="00C434B5">
        <w:t>annually.</w:t>
      </w:r>
    </w:p>
    <w:p w14:paraId="7567D2E9" w14:textId="1CF4D871" w:rsidR="00F91EFA" w:rsidRDefault="00F91EFA" w:rsidP="00D860BC">
      <w:pPr>
        <w:spacing w:after="0" w:line="240" w:lineRule="auto"/>
      </w:pPr>
    </w:p>
    <w:p w14:paraId="7037EF8E" w14:textId="77777777" w:rsidR="00D860BC" w:rsidRDefault="00D860BC" w:rsidP="00D860BC">
      <w:pPr>
        <w:spacing w:after="0" w:line="240" w:lineRule="auto"/>
      </w:pPr>
    </w:p>
    <w:p w14:paraId="169C1F48" w14:textId="77777777" w:rsidR="002F3A3B" w:rsidRDefault="002F3A3B" w:rsidP="00D860BC">
      <w:pPr>
        <w:spacing w:after="0" w:line="240" w:lineRule="auto"/>
      </w:pPr>
    </w:p>
    <w:p w14:paraId="45194E0B" w14:textId="6DCFE0C1" w:rsidR="00D860BC" w:rsidRPr="00330E85" w:rsidRDefault="0060128A" w:rsidP="00D860BC">
      <w:pPr>
        <w:spacing w:after="0" w:line="240" w:lineRule="auto"/>
      </w:pPr>
      <w:r w:rsidRPr="00330E85">
        <w:rPr>
          <w:noProof/>
        </w:rPr>
        <mc:AlternateContent>
          <mc:Choice Requires="wps">
            <w:drawing>
              <wp:anchor distT="4294967295" distB="4294967295" distL="114300" distR="114300" simplePos="0" relativeHeight="251658249" behindDoc="0" locked="0" layoutInCell="1" allowOverlap="1" wp14:anchorId="2EF20345" wp14:editId="70392CAF">
                <wp:simplePos x="0" y="0"/>
                <wp:positionH relativeFrom="column">
                  <wp:posOffset>-15240</wp:posOffset>
                </wp:positionH>
                <wp:positionV relativeFrom="paragraph">
                  <wp:posOffset>171763</wp:posOffset>
                </wp:positionV>
                <wp:extent cx="2721610" cy="0"/>
                <wp:effectExtent l="0" t="19050" r="21590" b="19050"/>
                <wp:wrapNone/>
                <wp:docPr id="986564329" name="Straight Connector 986564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1328CD" id="Straight Connector 986564329" o:spid="_x0000_s1026" style="position:absolute;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3.5pt" to="21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" strokecolor="#5ca0b9" strokeweight="2.5pt">
                <o:lock v:ext="edit" shapetype="f"/>
              </v:line>
            </w:pict>
          </mc:Fallback>
        </mc:AlternateContent>
      </w:r>
    </w:p>
    <w:p w14:paraId="6E987A73" w14:textId="77777777" w:rsidR="00D860BC" w:rsidRDefault="00D860BC" w:rsidP="00D860BC">
      <w:pPr>
        <w:spacing w:after="0" w:line="240" w:lineRule="auto"/>
      </w:pPr>
    </w:p>
    <w:p w14:paraId="59FBD235" w14:textId="77777777" w:rsidR="00157D56" w:rsidRDefault="00EB02E2" w:rsidP="00AC3931">
      <w:r w:rsidRPr="00330E85">
        <w:tab/>
      </w:r>
    </w:p>
    <w:p w14:paraId="49A6E72E" w14:textId="77777777" w:rsidR="00157D56" w:rsidRDefault="00157D56" w:rsidP="00AC3931"/>
    <w:p w14:paraId="6BB78092" w14:textId="2953B909" w:rsidR="00D93848" w:rsidRPr="00330E85" w:rsidRDefault="00D93848" w:rsidP="00AC3931">
      <w:pPr>
        <w:sectPr w:rsidR="00D93848" w:rsidRPr="00330E85" w:rsidSect="00D6439B">
          <w:headerReference w:type="even" r:id="rId35"/>
          <w:headerReference w:type="default" r:id="rId36"/>
          <w:footnotePr>
            <w:numRestart w:val="eachSect"/>
          </w:footnotePr>
          <w:pgSz w:w="11907" w:h="16840" w:code="9"/>
          <w:pgMar w:top="1134" w:right="1134" w:bottom="1134" w:left="1701" w:header="499" w:footer="46" w:gutter="0"/>
          <w:cols w:space="720"/>
        </w:sectPr>
      </w:pPr>
    </w:p>
    <w:p w14:paraId="16EC24FC" w14:textId="6A185939" w:rsidR="0063245E" w:rsidRPr="00330E85" w:rsidRDefault="0063245E" w:rsidP="0063245E">
      <w:pPr>
        <w:pStyle w:val="HEADING2topchapter-notinTOC"/>
        <w:rPr>
          <w:sz w:val="21"/>
          <w:szCs w:val="21"/>
        </w:rPr>
      </w:pPr>
      <w:r w:rsidRPr="00330E85">
        <w:t>CHAPTER</w:t>
      </w:r>
      <w:r w:rsidR="00BD2894" w:rsidRPr="00330E85">
        <w:t xml:space="preserve"> 1</w:t>
      </w:r>
    </w:p>
    <w:p w14:paraId="7C53A23F" w14:textId="266391DE" w:rsidR="0063245E" w:rsidRPr="00330E85" w:rsidRDefault="00E347CA" w:rsidP="0063245E">
      <w:pPr>
        <w:spacing w:after="0" w:line="200" w:lineRule="exact"/>
        <w:rPr>
          <w:szCs w:val="20"/>
        </w:rPr>
      </w:pPr>
      <w:r w:rsidRPr="00330E85">
        <w:rPr>
          <w:noProof/>
        </w:rPr>
        <mc:AlternateContent>
          <mc:Choice Requires="wpg">
            <w:drawing>
              <wp:anchor distT="0" distB="0" distL="114300" distR="114300" simplePos="0" relativeHeight="251658240" behindDoc="1" locked="0" layoutInCell="1" allowOverlap="1" wp14:anchorId="6DC303CC" wp14:editId="3D07C9D8">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F0B86" id="Group 97" o:spid="_x0000_s1026" style="position:absolute;margin-left:85pt;margin-top:9.45pt;width:104.9pt;height:.1pt;z-index:-25165824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wE9Q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Sv&#10;XAT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65394ECE" w:rsidR="0063245E" w:rsidRPr="00330E85" w:rsidRDefault="006F751D" w:rsidP="00007556">
      <w:pPr>
        <w:pStyle w:val="Heading1"/>
      </w:pPr>
      <w:bookmarkStart w:id="87" w:name="_Toc231467811"/>
      <w:r w:rsidRPr="00330E85">
        <w:rPr>
          <w:rFonts w:eastAsia="Metropolis Black"/>
        </w:rPr>
        <w:t>Introduction</w:t>
      </w:r>
      <w:bookmarkEnd w:id="87"/>
    </w:p>
    <w:p w14:paraId="01CE5CB2" w14:textId="5681ABBC" w:rsidR="0063245E" w:rsidRPr="00330E85" w:rsidRDefault="00E347CA" w:rsidP="0063245E">
      <w:pPr>
        <w:spacing w:after="0" w:line="200" w:lineRule="exact"/>
        <w:rPr>
          <w:szCs w:val="20"/>
        </w:rPr>
      </w:pPr>
      <w:r w:rsidRPr="00330E85">
        <w:rPr>
          <w:noProof/>
        </w:rPr>
        <mc:AlternateContent>
          <mc:Choice Requires="wpg">
            <w:drawing>
              <wp:anchor distT="0" distB="0" distL="114300" distR="114300" simplePos="0" relativeHeight="251658241" behindDoc="1" locked="0" layoutInCell="1" allowOverlap="1" wp14:anchorId="312E094E" wp14:editId="6ED72853">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61011" id="Group 103" o:spid="_x0000_s1026" style="position:absolute;margin-left:84.8pt;margin-top:5.85pt;width:104.9pt;height:.1pt;z-index:-25165823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4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Dh&#10;mZaU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4FBD10" w14:textId="77777777" w:rsidR="009B7091" w:rsidRPr="00330E85" w:rsidRDefault="009B7091" w:rsidP="0063245E">
      <w:pPr>
        <w:spacing w:after="0" w:line="240" w:lineRule="auto"/>
      </w:pPr>
    </w:p>
    <w:p w14:paraId="292E3ACA" w14:textId="77777777" w:rsidR="002540BD" w:rsidRDefault="002540BD" w:rsidP="0063245E">
      <w:pPr>
        <w:spacing w:after="0" w:line="240" w:lineRule="auto"/>
      </w:pPr>
    </w:p>
    <w:p w14:paraId="5858E4F6" w14:textId="77777777" w:rsidR="00127787" w:rsidRDefault="00127787" w:rsidP="0063245E">
      <w:pPr>
        <w:spacing w:after="0" w:line="240" w:lineRule="auto"/>
      </w:pPr>
    </w:p>
    <w:p w14:paraId="0B35A4BC" w14:textId="77777777" w:rsidR="00415A8F" w:rsidRDefault="00415A8F" w:rsidP="00415A8F">
      <w:pPr>
        <w:pStyle w:val="BodyText"/>
      </w:pPr>
      <w:r>
        <w:t xml:space="preserve">In March 2024, the Minister of Justice asked Te Aka Matua o te Ture | Law Commission to review the law relating to hate crime in Aotearoa New Zealand, with a </w:t>
      </w:r>
      <w:r w:rsidRPr="00152212">
        <w:t xml:space="preserve">focus on whether the law should be changed to create </w:t>
      </w:r>
      <w:r>
        <w:t>standalone hate crime</w:t>
      </w:r>
      <w:r w:rsidRPr="00152212">
        <w:t xml:space="preserve"> offences.</w:t>
      </w:r>
      <w:r>
        <w:t xml:space="preserve"> </w:t>
      </w:r>
    </w:p>
    <w:p w14:paraId="23FD6F94" w14:textId="77777777" w:rsidR="00415A8F" w:rsidRDefault="00415A8F" w:rsidP="00415A8F">
      <w:pPr>
        <w:pStyle w:val="BodyText"/>
      </w:pPr>
      <w:r>
        <w:t>The term ‘hate crime’ is not used or defined in legislation. In this Report, we use it as a descriptive term (as opposed to a legal one) to refer to conduct that is:</w:t>
      </w:r>
    </w:p>
    <w:p w14:paraId="4CAE4BD8" w14:textId="77777777" w:rsidR="00415A8F" w:rsidRDefault="00415A8F" w:rsidP="00415A8F">
      <w:pPr>
        <w:pStyle w:val="BodyTextalphalist"/>
      </w:pPr>
      <w:r>
        <w:t>an offence under the existing law (for example, assault or wilful damage); and</w:t>
      </w:r>
    </w:p>
    <w:p w14:paraId="55A07775" w14:textId="0E4AE9E6" w:rsidR="00415A8F" w:rsidRDefault="00415A8F" w:rsidP="00415A8F">
      <w:pPr>
        <w:pStyle w:val="BodyTextalphalist"/>
      </w:pPr>
      <w:r>
        <w:t>committed because of hostility toward</w:t>
      </w:r>
      <w:r w:rsidR="00DB0C94">
        <w:t>s</w:t>
      </w:r>
      <w:r>
        <w:t xml:space="preserve"> a group of people who share a </w:t>
      </w:r>
      <w:r w:rsidR="00B47D93">
        <w:t xml:space="preserve">common </w:t>
      </w:r>
      <w:r>
        <w:t>characteristic.</w:t>
      </w:r>
    </w:p>
    <w:p w14:paraId="0813A31E" w14:textId="1E829D73" w:rsidR="00415A8F" w:rsidRDefault="00415A8F" w:rsidP="00415A8F">
      <w:pPr>
        <w:pStyle w:val="BodyText"/>
      </w:pPr>
      <w:r>
        <w:t xml:space="preserve">Under the current law, there are no offences that deal specifically with hate crime. Instead, </w:t>
      </w:r>
      <w:r w:rsidR="00D937CE">
        <w:t>section 9(1)(h) of the Sentencing Act 2002 provides that</w:t>
      </w:r>
      <w:r>
        <w:t xml:space="preserve"> if an offence was committed because of hostility towards a group of people with an </w:t>
      </w:r>
      <w:r w:rsidDel="00690CB0">
        <w:t>‘</w:t>
      </w:r>
      <w:r>
        <w:t>enduring common characteristic’ (</w:t>
      </w:r>
      <w:r w:rsidRPr="00C07557">
        <w:t>such as race, colour, nationality, religion, gender identity, sexual orientation, age</w:t>
      </w:r>
      <w:r>
        <w:t xml:space="preserve"> </w:t>
      </w:r>
      <w:r w:rsidRPr="00C07557">
        <w:t>or disability</w:t>
      </w:r>
      <w:r>
        <w:t xml:space="preserve">), the courts must take that into account as an aggravating factor when sentencing the offender. </w:t>
      </w:r>
      <w:r w:rsidR="00B96BFA">
        <w:t xml:space="preserve">We </w:t>
      </w:r>
      <w:r w:rsidR="00D0608D">
        <w:t>call this</w:t>
      </w:r>
      <w:r w:rsidR="00B96BFA">
        <w:t xml:space="preserve"> the ‘hostility aggravating factor’. </w:t>
      </w:r>
      <w:r w:rsidR="007B499E">
        <w:t>When it applies,</w:t>
      </w:r>
      <w:r>
        <w:t xml:space="preserve"> the courts may impose a harsher sentence than they would have for a</w:t>
      </w:r>
      <w:r w:rsidR="00205DC8">
        <w:t>n</w:t>
      </w:r>
      <w:r>
        <w:t xml:space="preserve"> </w:t>
      </w:r>
      <w:r w:rsidR="00205DC8">
        <w:t>equivalent</w:t>
      </w:r>
      <w:r>
        <w:t xml:space="preserve"> offence that was not motivated by hostility towards a group of people. We refer to this </w:t>
      </w:r>
      <w:r w:rsidR="009A496E">
        <w:t>approach of treating h</w:t>
      </w:r>
      <w:r w:rsidR="000852D6">
        <w:t xml:space="preserve">ostility as an aggravating factor at sentencing </w:t>
      </w:r>
      <w:r>
        <w:t>as the ‘sentence aggravation model’ of hate crime law.</w:t>
      </w:r>
    </w:p>
    <w:p w14:paraId="746560AE" w14:textId="77777777" w:rsidR="00415A8F" w:rsidRDefault="00415A8F" w:rsidP="00415A8F">
      <w:pPr>
        <w:pStyle w:val="BodyText"/>
      </w:pPr>
      <w:r>
        <w:t xml:space="preserve">Hate crimes harm not only the direct victim but also the wider group of people who share the same characteristic. Hate crimes send a message to the affected group that they are not accepted or valued by society. More broadly, both hate crimes themselves and society’s response to them can affect social cohesion. </w:t>
      </w:r>
    </w:p>
    <w:p w14:paraId="703AE88C" w14:textId="1B67DF21" w:rsidR="00415A8F" w:rsidRPr="00A01B6A" w:rsidRDefault="00415A8F" w:rsidP="00415A8F">
      <w:pPr>
        <w:pStyle w:val="BodyText"/>
      </w:pPr>
      <w:r>
        <w:t>This Report considers whether the current law adequately responds to hate crime and, if not, how any concerns about its operation should be addressed</w:t>
      </w:r>
      <w:r w:rsidRPr="00A44490">
        <w:t>.</w:t>
      </w:r>
      <w:r>
        <w:t xml:space="preserve"> </w:t>
      </w:r>
      <w:r w:rsidRPr="00A01B6A">
        <w:t>We</w:t>
      </w:r>
      <w:r w:rsidR="000B604C">
        <w:t xml:space="preserve"> conclude that,</w:t>
      </w:r>
      <w:r w:rsidR="003D4E3D">
        <w:t xml:space="preserve"> </w:t>
      </w:r>
      <w:r w:rsidRPr="00A01B6A">
        <w:t>while there are some problems with current law</w:t>
      </w:r>
      <w:r w:rsidR="009243F6">
        <w:t xml:space="preserve"> and practice</w:t>
      </w:r>
      <w:r w:rsidRPr="00A01B6A">
        <w:t xml:space="preserve">, </w:t>
      </w:r>
      <w:r w:rsidR="00712AE7">
        <w:t xml:space="preserve">these are not fundamental problems with </w:t>
      </w:r>
      <w:r w:rsidRPr="00A01B6A">
        <w:t>the sentence aggravation model</w:t>
      </w:r>
      <w:r w:rsidR="00E95506">
        <w:t>. The sentence aggravation model</w:t>
      </w:r>
      <w:r w:rsidR="00712AE7">
        <w:t xml:space="preserve"> </w:t>
      </w:r>
      <w:r w:rsidRPr="00A01B6A">
        <w:t>remains the most appropriate way to address hate crime in Aotearoa New Zealand. We</w:t>
      </w:r>
      <w:r w:rsidR="00E95506">
        <w:t xml:space="preserve"> recommend a series of reforms to improve its effectiveness. </w:t>
      </w:r>
      <w:r w:rsidRPr="00A01B6A">
        <w:t xml:space="preserve"> </w:t>
      </w:r>
    </w:p>
    <w:p w14:paraId="1EF82E16" w14:textId="77777777" w:rsidR="00415A8F" w:rsidRDefault="00415A8F" w:rsidP="00415A8F">
      <w:pPr>
        <w:pStyle w:val="Heading2"/>
      </w:pPr>
      <w:bookmarkStart w:id="88" w:name="_Toc231467812"/>
      <w:r>
        <w:t>Summary of findings and recommendations</w:t>
      </w:r>
      <w:bookmarkEnd w:id="88"/>
    </w:p>
    <w:p w14:paraId="320CB2C6" w14:textId="4A13601F" w:rsidR="00415A8F" w:rsidRDefault="00415A8F" w:rsidP="00415A8F">
      <w:pPr>
        <w:pStyle w:val="BodyText"/>
      </w:pPr>
      <w:r>
        <w:t>The nature of hate crime and the harm it causes mean it is important for the law to respond to it effectively. The justice system should seek to hold hate crime offenders accountable, send a clear message to the public that hate crimes are unacceptable, reduce occurrences of hate crimes as far as possible and reassure affected communities that hostility toward</w:t>
      </w:r>
      <w:r w:rsidR="00630A35">
        <w:t>s</w:t>
      </w:r>
      <w:r>
        <w:t xml:space="preserve"> them will be treated seriously. </w:t>
      </w:r>
      <w:r w:rsidR="00EC1388">
        <w:t xml:space="preserve">These objectives provide the framework for our assessment of the current law. </w:t>
      </w:r>
    </w:p>
    <w:p w14:paraId="2C3312EC" w14:textId="53D2DA84" w:rsidR="00415A8F" w:rsidRDefault="00415A8F" w:rsidP="00415A8F">
      <w:pPr>
        <w:pStyle w:val="BodyText"/>
      </w:pPr>
      <w:r>
        <w:t xml:space="preserve">We find that there are some problems with how the current law is working: </w:t>
      </w:r>
    </w:p>
    <w:p w14:paraId="1D176D53" w14:textId="6AFBE3F6" w:rsidR="00342223" w:rsidRPr="00836C4B" w:rsidRDefault="00342223" w:rsidP="00342223">
      <w:pPr>
        <w:pStyle w:val="BodyTextalphalist"/>
      </w:pPr>
      <w:r>
        <w:t xml:space="preserve">It does not require the courts </w:t>
      </w:r>
      <w:r w:rsidRPr="00836C4B">
        <w:t xml:space="preserve">to communicate </w:t>
      </w:r>
      <w:r w:rsidRPr="00253AF0">
        <w:t>clearly</w:t>
      </w:r>
      <w:r w:rsidRPr="00836C4B">
        <w:t xml:space="preserve"> to the public </w:t>
      </w:r>
      <w:r>
        <w:t xml:space="preserve">(such as through sentencing decisions) </w:t>
      </w:r>
      <w:r w:rsidRPr="00836C4B">
        <w:t>that an offence was a hate crime and that this makes it more serious.</w:t>
      </w:r>
      <w:r>
        <w:t xml:space="preserve"> This means hate crimes may not be consistently denounced.</w:t>
      </w:r>
    </w:p>
    <w:p w14:paraId="569CCC8D" w14:textId="0E9FBB82" w:rsidR="00711ECF" w:rsidRPr="00836C4B" w:rsidRDefault="00225EE2" w:rsidP="00225EE2">
      <w:pPr>
        <w:pStyle w:val="BodyTextalphalist"/>
      </w:pPr>
      <w:r w:rsidRPr="00225EE2">
        <w:rPr>
          <w:rFonts w:eastAsia="Calibri"/>
          <w:lang w:eastAsia="en-US"/>
        </w:rPr>
        <w:t xml:space="preserve">It does not </w:t>
      </w:r>
      <w:r w:rsidRPr="00225EE2">
        <w:rPr>
          <w:rFonts w:eastAsia="Calibri"/>
        </w:rPr>
        <w:t>provide</w:t>
      </w:r>
      <w:r w:rsidRPr="00225EE2">
        <w:rPr>
          <w:rFonts w:eastAsia="Calibri"/>
          <w:lang w:eastAsia="en-US"/>
        </w:rPr>
        <w:t xml:space="preserve"> a mechanism for systematically documenting court findings that an offence was motivated by hostility. </w:t>
      </w:r>
      <w:r w:rsidR="00711ECF" w:rsidRPr="00225EE2">
        <w:rPr>
          <w:rFonts w:eastAsia="Calibri"/>
          <w:lang w:eastAsia="en-US"/>
        </w:rPr>
        <w:t xml:space="preserve">This limits the ability of </w:t>
      </w:r>
      <w:r w:rsidR="000C5095">
        <w:t>Ng</w:t>
      </w:r>
      <w:r w:rsidR="0005241F">
        <w:t>ā</w:t>
      </w:r>
      <w:r w:rsidR="000C5095">
        <w:t xml:space="preserve"> Pirihimana o Aotearoa | New Zealand </w:t>
      </w:r>
      <w:r w:rsidR="00711ECF" w:rsidRPr="00225EE2">
        <w:rPr>
          <w:rFonts w:eastAsia="Calibri"/>
          <w:lang w:eastAsia="en-US"/>
        </w:rPr>
        <w:t>Police, the courts and Ara Poutama Aotearoa | Department of Corrections to deal with the offender appropriately in future. It also makes it difficult to assess how the justice system is responding to hate crime and to develop appropriate laws and policies to improve that response.</w:t>
      </w:r>
    </w:p>
    <w:p w14:paraId="58601A5B" w14:textId="38CFFC83" w:rsidR="00711ECF" w:rsidRDefault="00711ECF" w:rsidP="00711ECF">
      <w:pPr>
        <w:pStyle w:val="BodyTextalphalist"/>
      </w:pPr>
      <w:r w:rsidRPr="00836C4B">
        <w:t xml:space="preserve">It does not </w:t>
      </w:r>
      <w:r w:rsidR="00035F31">
        <w:t xml:space="preserve">provide </w:t>
      </w:r>
      <w:r w:rsidR="00225EE2">
        <w:t xml:space="preserve">a </w:t>
      </w:r>
      <w:r w:rsidR="00035F31">
        <w:t>mechanism to</w:t>
      </w:r>
      <w:r w:rsidRPr="00836C4B">
        <w:t xml:space="preserve"> </w:t>
      </w:r>
      <w:r>
        <w:t>ensure</w:t>
      </w:r>
      <w:r w:rsidRPr="00836C4B">
        <w:rPr>
          <w:rFonts w:eastAsia="Calibri"/>
        </w:rPr>
        <w:t xml:space="preserve"> </w:t>
      </w:r>
      <w:r>
        <w:rPr>
          <w:rFonts w:eastAsia="Calibri"/>
        </w:rPr>
        <w:t>the courts are aware that the hostility aggravating factor may apply to an offence and consider</w:t>
      </w:r>
      <w:r w:rsidRPr="00836C4B">
        <w:t xml:space="preserve"> </w:t>
      </w:r>
      <w:r>
        <w:t>it</w:t>
      </w:r>
      <w:r w:rsidRPr="00836C4B">
        <w:t xml:space="preserve"> at appropriate points in </w:t>
      </w:r>
      <w:r>
        <w:t xml:space="preserve">a </w:t>
      </w:r>
      <w:r w:rsidRPr="00836C4B">
        <w:t>proceeding.</w:t>
      </w:r>
    </w:p>
    <w:p w14:paraId="7AF21B45" w14:textId="031002A8" w:rsidR="00415A8F" w:rsidRPr="00E77099" w:rsidRDefault="00DD1CB7" w:rsidP="00415A8F">
      <w:pPr>
        <w:pStyle w:val="BodyText"/>
      </w:pPr>
      <w:r>
        <w:t>We</w:t>
      </w:r>
      <w:r w:rsidR="00501C07">
        <w:t xml:space="preserve"> conclude that </w:t>
      </w:r>
      <w:r w:rsidR="005D298E">
        <w:t>these are not fundamental problems with the current sentence aggravation model. They can be addressed through targ</w:t>
      </w:r>
      <w:r w:rsidR="00B65EB8">
        <w:t xml:space="preserve">eted reforms </w:t>
      </w:r>
      <w:r w:rsidR="00625956">
        <w:t>to the existing model.</w:t>
      </w:r>
      <w:r w:rsidR="00501C07">
        <w:t xml:space="preserve"> </w:t>
      </w:r>
      <w:r w:rsidR="00415A8F" w:rsidRPr="00E77099">
        <w:t>We do not recommend creating hate crime offences</w:t>
      </w:r>
      <w:r w:rsidR="00CD550A">
        <w:t>. They</w:t>
      </w:r>
      <w:r w:rsidR="00415A8F" w:rsidRPr="00E77099">
        <w:t xml:space="preserve"> would not </w:t>
      </w:r>
      <w:r w:rsidR="00812114">
        <w:t>comprehensively</w:t>
      </w:r>
      <w:r w:rsidR="00812114" w:rsidRPr="00E77099">
        <w:t xml:space="preserve"> </w:t>
      </w:r>
      <w:r w:rsidR="00415A8F" w:rsidRPr="00E77099">
        <w:t>resolve the problems we have identified</w:t>
      </w:r>
      <w:r w:rsidR="00CD550A">
        <w:t xml:space="preserve"> because it</w:t>
      </w:r>
      <w:r w:rsidR="00415A8F" w:rsidRPr="00E77099" w:rsidDel="008A12B0">
        <w:t xml:space="preserve"> </w:t>
      </w:r>
      <w:r w:rsidR="00470F54">
        <w:t>is unlikely that hate crime offenders would be consistently charged with or convicted of hate crime offences</w:t>
      </w:r>
      <w:r w:rsidR="00CD550A">
        <w:t xml:space="preserve">. </w:t>
      </w:r>
      <w:r w:rsidR="00341EAD">
        <w:t>One reason for th</w:t>
      </w:r>
      <w:r w:rsidR="001E73FA">
        <w:t>is is that</w:t>
      </w:r>
      <w:r w:rsidR="000C247C">
        <w:t xml:space="preserve"> </w:t>
      </w:r>
      <w:r w:rsidR="0061601B">
        <w:t>hate crime offences would be more difficult to prove than the equivalent non-hate o</w:t>
      </w:r>
      <w:r w:rsidR="00187EE3">
        <w:t>ffence, which is likely to affect charg</w:t>
      </w:r>
      <w:r w:rsidR="00AB4291">
        <w:t>ing decisions</w:t>
      </w:r>
      <w:r w:rsidR="005259FC">
        <w:t>.</w:t>
      </w:r>
      <w:r w:rsidR="00AB4291">
        <w:t xml:space="preserve"> </w:t>
      </w:r>
      <w:r w:rsidR="00CD550A">
        <w:t xml:space="preserve">Creating offences would also have </w:t>
      </w:r>
      <w:r w:rsidR="00415A8F" w:rsidRPr="00E77099">
        <w:t>significant downsides.</w:t>
      </w:r>
      <w:r w:rsidR="00CD550A">
        <w:t xml:space="preserve"> </w:t>
      </w:r>
      <w:r w:rsidR="008A12B0">
        <w:t xml:space="preserve">For example, </w:t>
      </w:r>
      <w:r w:rsidR="000B49C5">
        <w:t>it is</w:t>
      </w:r>
      <w:r w:rsidR="00415A8F" w:rsidRPr="00E77099">
        <w:t xml:space="preserve"> likely to increase the</w:t>
      </w:r>
      <w:r w:rsidR="00AC23AA">
        <w:t xml:space="preserve"> </w:t>
      </w:r>
      <w:r w:rsidR="00415A8F" w:rsidRPr="00E77099">
        <w:t xml:space="preserve">complexity of criminal proceedings </w:t>
      </w:r>
      <w:r w:rsidR="00CD550A">
        <w:t xml:space="preserve">and </w:t>
      </w:r>
      <w:r w:rsidR="00A31DF2">
        <w:t xml:space="preserve">could lead in some cases to unintended outcomes such as </w:t>
      </w:r>
      <w:r w:rsidR="002A10AE" w:rsidDel="00E77AFB">
        <w:t>hostile</w:t>
      </w:r>
      <w:r w:rsidR="00CD550A" w:rsidDel="00E77AFB">
        <w:t xml:space="preserve"> motivation not </w:t>
      </w:r>
      <w:r w:rsidR="008245CB" w:rsidDel="00E77AFB">
        <w:t>being addressed at all</w:t>
      </w:r>
      <w:r w:rsidR="00E77AFB">
        <w:t>.</w:t>
      </w:r>
    </w:p>
    <w:p w14:paraId="350D30E9" w14:textId="4ECBB9D1" w:rsidR="00415A8F" w:rsidRDefault="00415A8F" w:rsidP="00415A8F">
      <w:pPr>
        <w:pStyle w:val="BodyText"/>
      </w:pPr>
      <w:r>
        <w:t>In this Report</w:t>
      </w:r>
      <w:r w:rsidR="0056260D">
        <w:t>,</w:t>
      </w:r>
      <w:r>
        <w:t xml:space="preserve"> we make recommendations </w:t>
      </w:r>
      <w:r w:rsidR="00992300">
        <w:t>that would</w:t>
      </w:r>
      <w:r>
        <w:t>:</w:t>
      </w:r>
    </w:p>
    <w:p w14:paraId="561A2473" w14:textId="1B6F6CAD" w:rsidR="00415A8F" w:rsidRPr="008117FD" w:rsidRDefault="0056260D" w:rsidP="00415A8F">
      <w:pPr>
        <w:pStyle w:val="BodyTextalphalist"/>
      </w:pPr>
      <w:r>
        <w:t>i</w:t>
      </w:r>
      <w:r w:rsidR="00415A8F" w:rsidRPr="008117FD">
        <w:t>ncrease the consistency with which hostility is considered in court proceedings by creating a system for flagging hate crime cases in the courts and providing training and guidance for justice system actors</w:t>
      </w:r>
      <w:r w:rsidR="00947640">
        <w:t>; and</w:t>
      </w:r>
    </w:p>
    <w:p w14:paraId="43F52665" w14:textId="18FBC115" w:rsidR="00415A8F" w:rsidRPr="008117FD" w:rsidRDefault="00947640" w:rsidP="00415A8F">
      <w:pPr>
        <w:pStyle w:val="BodyTextalphalist"/>
      </w:pPr>
      <w:r>
        <w:t>r</w:t>
      </w:r>
      <w:r w:rsidR="00415A8F" w:rsidRPr="008117FD">
        <w:t xml:space="preserve">equire the courts to </w:t>
      </w:r>
      <w:r w:rsidR="00B879BE">
        <w:t xml:space="preserve">systematically </w:t>
      </w:r>
      <w:r w:rsidR="00415A8F" w:rsidRPr="008117FD">
        <w:t xml:space="preserve">record the application of the hostility aggravating factor </w:t>
      </w:r>
      <w:r w:rsidR="00EE05B3">
        <w:t>on the permanent court record</w:t>
      </w:r>
      <w:r w:rsidR="00415A8F" w:rsidRPr="008117FD">
        <w:t xml:space="preserve"> and </w:t>
      </w:r>
      <w:r w:rsidR="00B879BE">
        <w:t>to</w:t>
      </w:r>
      <w:r w:rsidR="00415A8F" w:rsidRPr="008117FD">
        <w:t xml:space="preserve"> clearly address it in sentencing decisions</w:t>
      </w:r>
      <w:r w:rsidR="00415A8F">
        <w:t>.</w:t>
      </w:r>
    </w:p>
    <w:p w14:paraId="008B1B4E" w14:textId="430FD9B4" w:rsidR="00007343" w:rsidRDefault="00007343" w:rsidP="00415A8F">
      <w:pPr>
        <w:pStyle w:val="BodyText"/>
      </w:pPr>
      <w:r>
        <w:t xml:space="preserve">Additionally, we </w:t>
      </w:r>
      <w:r w:rsidR="00557322">
        <w:t xml:space="preserve">recommend reform to the wording of section 9(1)(h) to </w:t>
      </w:r>
      <w:r w:rsidR="00CA033D">
        <w:t>clarify</w:t>
      </w:r>
      <w:r w:rsidR="00B27C3C">
        <w:t xml:space="preserve"> that the </w:t>
      </w:r>
      <w:r w:rsidR="00CA033D">
        <w:t>aggravating factor can apply whether or not</w:t>
      </w:r>
      <w:r w:rsidR="00B27C3C">
        <w:t xml:space="preserve"> the offender believes the victim</w:t>
      </w:r>
      <w:r w:rsidR="00CA033D">
        <w:t xml:space="preserve"> is</w:t>
      </w:r>
      <w:r w:rsidR="00B27C3C">
        <w:t xml:space="preserve"> a </w:t>
      </w:r>
      <w:r w:rsidR="00CA033D">
        <w:t>member of the targeted group</w:t>
      </w:r>
      <w:r w:rsidR="00B27C3C">
        <w:t xml:space="preserve"> </w:t>
      </w:r>
      <w:r w:rsidR="00CA033D">
        <w:t>of people</w:t>
      </w:r>
      <w:r w:rsidR="0064565B">
        <w:t>. We also recommend adding</w:t>
      </w:r>
      <w:r w:rsidR="00D775B3">
        <w:t xml:space="preserve"> </w:t>
      </w:r>
      <w:r w:rsidR="00BB4C18">
        <w:t>‘</w:t>
      </w:r>
      <w:r w:rsidR="00B27C3C">
        <w:t>sex</w:t>
      </w:r>
      <w:r w:rsidR="00500C4E">
        <w:t>’</w:t>
      </w:r>
      <w:r w:rsidR="00B27C3C">
        <w:t xml:space="preserve"> to the illustrative list of enduring common characteristics. </w:t>
      </w:r>
    </w:p>
    <w:p w14:paraId="4E1A16A1" w14:textId="64A29D0F" w:rsidR="00415A8F" w:rsidRPr="006F3F24" w:rsidRDefault="00415A8F" w:rsidP="00415A8F">
      <w:pPr>
        <w:pStyle w:val="BodyText"/>
      </w:pPr>
      <w:r w:rsidRPr="006F3F24">
        <w:t xml:space="preserve">A more detailed summary of our findings and recommendations is available on </w:t>
      </w:r>
      <w:r w:rsidR="00AA1357">
        <w:t>our</w:t>
      </w:r>
      <w:r w:rsidRPr="006F3F24">
        <w:t xml:space="preserve"> website, including in accessible formats and a range of languages.</w:t>
      </w:r>
    </w:p>
    <w:p w14:paraId="59E302F7" w14:textId="77777777" w:rsidR="00415A8F" w:rsidRPr="00CB1988" w:rsidRDefault="00415A8F" w:rsidP="00415A8F">
      <w:pPr>
        <w:pStyle w:val="Heading2"/>
      </w:pPr>
      <w:bookmarkStart w:id="89" w:name="_Toc231467813"/>
      <w:r w:rsidRPr="00CB1988">
        <w:t>Background to this review</w:t>
      </w:r>
      <w:bookmarkEnd w:id="89"/>
    </w:p>
    <w:p w14:paraId="74F5ADD2" w14:textId="0C069AD0" w:rsidR="00415A8F" w:rsidRDefault="00415A8F" w:rsidP="00415A8F">
      <w:pPr>
        <w:pStyle w:val="BodyText"/>
      </w:pPr>
      <w:r>
        <w:t xml:space="preserve">This review stems from the Royal Commission of Inquiry into the terrorist attack on Christchurch masjidain </w:t>
      </w:r>
      <w:r w:rsidR="00B7002D">
        <w:t xml:space="preserve">(Muslim places of worship) </w:t>
      </w:r>
      <w:r>
        <w:t xml:space="preserve">on 15 March 2019. The Royal Commission </w:t>
      </w:r>
      <w:r w:rsidRPr="00913AD6">
        <w:t xml:space="preserve">was established to investigate whether </w:t>
      </w:r>
      <w:r>
        <w:t>public</w:t>
      </w:r>
      <w:r w:rsidRPr="00913AD6">
        <w:t xml:space="preserve"> sector agencies had done all they could to </w:t>
      </w:r>
      <w:r>
        <w:t>prevent the</w:t>
      </w:r>
      <w:r w:rsidRPr="00913AD6">
        <w:t xml:space="preserve"> terrorist attack and whether more could be done to prevent </w:t>
      </w:r>
      <w:r>
        <w:t xml:space="preserve">such </w:t>
      </w:r>
      <w:r w:rsidRPr="00913AD6">
        <w:t>attacks in the future.</w:t>
      </w:r>
      <w:r>
        <w:rPr>
          <w:rStyle w:val="FootnoteReference"/>
        </w:rPr>
        <w:footnoteReference w:id="2"/>
      </w:r>
      <w:r>
        <w:t xml:space="preserve"> Its report was delivered in December 2020.</w:t>
      </w:r>
    </w:p>
    <w:p w14:paraId="101A474E" w14:textId="055C10CA" w:rsidR="00415A8F" w:rsidRDefault="00415A8F" w:rsidP="00415A8F">
      <w:pPr>
        <w:pStyle w:val="BodyText"/>
      </w:pPr>
      <w:r>
        <w:t xml:space="preserve">The Royal Commission’s primary focus was on the counter-terrorism efforts of public sector agencies. It also </w:t>
      </w:r>
      <w:r w:rsidR="00EE05B3">
        <w:t>addressed</w:t>
      </w:r>
      <w:r>
        <w:t xml:space="preserve"> improving social cohesion, </w:t>
      </w:r>
      <w:r w:rsidRPr="00C277B2">
        <w:t>inclusion and diversit</w:t>
      </w:r>
      <w:r>
        <w:t>y, given the supporting role they play in preventing terrorism.</w:t>
      </w:r>
      <w:r>
        <w:rPr>
          <w:rStyle w:val="FootnoteReference"/>
        </w:rPr>
        <w:footnoteReference w:id="3"/>
      </w:r>
      <w:r>
        <w:t xml:space="preserve"> The Royal Commission made a range of recommendations aimed at (among other things) improving workforce diversity and cultural competency within the public sector and strengthening community engagement. It also considered hate crime and hate speech laws in the context of improving social cohesion. </w:t>
      </w:r>
    </w:p>
    <w:p w14:paraId="5B2E321B" w14:textId="53D6FE06" w:rsidR="00415A8F" w:rsidRDefault="00415A8F" w:rsidP="00415A8F">
      <w:pPr>
        <w:pStyle w:val="BodyText"/>
      </w:pPr>
      <w:r>
        <w:t xml:space="preserve">In relation to hate crime, the </w:t>
      </w:r>
      <w:r w:rsidRPr="00223500">
        <w:t>Royal Commission</w:t>
      </w:r>
      <w:r>
        <w:t xml:space="preserve"> said that</w:t>
      </w:r>
      <w:r w:rsidR="00D468B9">
        <w:t>,</w:t>
      </w:r>
      <w:r>
        <w:t xml:space="preserve"> under the current law:</w:t>
      </w:r>
      <w:r>
        <w:rPr>
          <w:rStyle w:val="FootnoteReference"/>
        </w:rPr>
        <w:footnoteReference w:id="4"/>
      </w:r>
    </w:p>
    <w:p w14:paraId="16452D8C" w14:textId="77777777" w:rsidR="00415A8F" w:rsidRDefault="00415A8F" w:rsidP="00415A8F">
      <w:pPr>
        <w:pStyle w:val="Quote"/>
      </w:pPr>
      <w:r w:rsidRPr="00C00CA3">
        <w:t>A hate motivation for offences is not recorded in charges and convictions, even if it is taken into account during sentencing. This means that recorded convictions do not capture the full blameworthiness (culpability) of the offenders. This limits the signalling effect of prosecution and conviction and means possible needs for rehabilitative interventions are not highlighted.</w:t>
      </w:r>
    </w:p>
    <w:p w14:paraId="76F1115F" w14:textId="77777777" w:rsidR="00415A8F" w:rsidRDefault="00415A8F" w:rsidP="00415A8F">
      <w:pPr>
        <w:pStyle w:val="BodyText"/>
      </w:pPr>
      <w:r>
        <w:t>To address these issues, the Royal Commission</w:t>
      </w:r>
      <w:r w:rsidRPr="00223500">
        <w:t xml:space="preserve"> recommended </w:t>
      </w:r>
      <w:r>
        <w:t>creating</w:t>
      </w:r>
      <w:r w:rsidRPr="00223500">
        <w:t xml:space="preserve"> new hate</w:t>
      </w:r>
      <w:r>
        <w:t xml:space="preserve">-motivated </w:t>
      </w:r>
      <w:r w:rsidRPr="00223500">
        <w:t>offences</w:t>
      </w:r>
      <w:r>
        <w:t xml:space="preserve"> in:</w:t>
      </w:r>
      <w:r>
        <w:rPr>
          <w:rStyle w:val="FootnoteReference"/>
        </w:rPr>
        <w:footnoteReference w:id="5"/>
      </w:r>
    </w:p>
    <w:p w14:paraId="19346E96" w14:textId="77777777" w:rsidR="00415A8F" w:rsidRDefault="00415A8F" w:rsidP="00415A8F">
      <w:pPr>
        <w:pStyle w:val="BodyTextalphalist"/>
      </w:pPr>
      <w:r w:rsidRPr="00223500">
        <w:t>the Summary Offences Act 1981, corresponding with the existing offences of offensive behaviour or language, assault, wilful damage and intimidation; and</w:t>
      </w:r>
    </w:p>
    <w:p w14:paraId="0B833AC0" w14:textId="77777777" w:rsidR="00415A8F" w:rsidRDefault="00415A8F" w:rsidP="00415A8F">
      <w:pPr>
        <w:pStyle w:val="BodyTextalphalist"/>
      </w:pPr>
      <w:r w:rsidRPr="00223500">
        <w:t>the Crimes Act 1961, corresponding with the existing offences of assaults, arson and intentional damage.</w:t>
      </w:r>
    </w:p>
    <w:p w14:paraId="44718B73" w14:textId="573B85F1" w:rsidR="00415A8F" w:rsidRDefault="00415A8F" w:rsidP="00415A8F">
      <w:pPr>
        <w:pStyle w:val="BodyText"/>
      </w:pPr>
      <w:r>
        <w:t xml:space="preserve">This recommendation was based on the approach taken in England and Wales, where there are </w:t>
      </w:r>
      <w:r w:rsidR="00861FEB">
        <w:t>hostility</w:t>
      </w:r>
      <w:r>
        <w:t>-aggravated versions of certain offences with higher maximum penalties than the underlying (or ‘base’) offence.</w:t>
      </w:r>
      <w:r>
        <w:rPr>
          <w:rStyle w:val="FootnoteReference"/>
        </w:rPr>
        <w:footnoteReference w:id="6"/>
      </w:r>
      <w:r>
        <w:t xml:space="preserve"> </w:t>
      </w:r>
      <w:r w:rsidRPr="00223500">
        <w:t xml:space="preserve">The Royal Commission said </w:t>
      </w:r>
      <w:r>
        <w:t>the proposed offences were likely to:</w:t>
      </w:r>
      <w:r>
        <w:rPr>
          <w:rStyle w:val="FootnoteReference"/>
        </w:rPr>
        <w:footnoteReference w:id="7"/>
      </w:r>
    </w:p>
    <w:p w14:paraId="52FFA15A" w14:textId="77777777" w:rsidR="00415A8F" w:rsidRDefault="00415A8F" w:rsidP="00415A8F">
      <w:pPr>
        <w:pStyle w:val="BodyTextalphalist"/>
      </w:pPr>
      <w:r>
        <w:t>have at least some deterrent effect and effects on societal norms;</w:t>
      </w:r>
      <w:r w:rsidRPr="00223500">
        <w:t xml:space="preserve"> </w:t>
      </w:r>
    </w:p>
    <w:p w14:paraId="33DDED16" w14:textId="787CEA9E" w:rsidR="00415A8F" w:rsidRDefault="00415A8F" w:rsidP="00415A8F">
      <w:pPr>
        <w:pStyle w:val="BodyTextalphalist"/>
      </w:pPr>
      <w:r>
        <w:t>increase reporting of hate crimes to</w:t>
      </w:r>
      <w:r w:rsidRPr="00223500" w:rsidDel="004C67D2">
        <w:t xml:space="preserve"> </w:t>
      </w:r>
      <w:r w:rsidRPr="00223500">
        <w:t>Police</w:t>
      </w:r>
      <w:r>
        <w:t xml:space="preserve"> by showing hate crime is taken seriously;</w:t>
      </w:r>
    </w:p>
    <w:p w14:paraId="63DD3457" w14:textId="77777777" w:rsidR="00415A8F" w:rsidRDefault="00415A8F" w:rsidP="00415A8F">
      <w:pPr>
        <w:pStyle w:val="BodyTextalphalist"/>
      </w:pPr>
      <w:r>
        <w:t>encourage more energetic responses by Police to such reporting, including increased prosecutions;</w:t>
      </w:r>
      <w:r w:rsidRPr="00223500">
        <w:t xml:space="preserve"> </w:t>
      </w:r>
      <w:r>
        <w:t>and</w:t>
      </w:r>
    </w:p>
    <w:p w14:paraId="382DD528" w14:textId="77777777" w:rsidR="00415A8F" w:rsidRDefault="00415A8F" w:rsidP="00415A8F">
      <w:pPr>
        <w:pStyle w:val="BodyTextalphalist"/>
      </w:pPr>
      <w:r w:rsidRPr="00223500">
        <w:t>facilitate the creation of tailored rehabilitation programmes for hate crime offenders.</w:t>
      </w:r>
    </w:p>
    <w:p w14:paraId="51573A6B" w14:textId="463D6954" w:rsidR="00415A8F" w:rsidRPr="00FD2390" w:rsidRDefault="00415A8F" w:rsidP="00415A8F">
      <w:pPr>
        <w:pStyle w:val="BodyText"/>
      </w:pPr>
      <w:r w:rsidRPr="00FD2390">
        <w:t>In November 2022, the Minister of Justice Hon Kiri Allan requested that the Law Commission conduct “a first principles review of legal responses to hate-motivated offending, and to speech that expresses hostility towards, or contempt for, people who share a common characteristic”.</w:t>
      </w:r>
      <w:r w:rsidRPr="00FD2390">
        <w:rPr>
          <w:rStyle w:val="FootnoteReference"/>
        </w:rPr>
        <w:footnoteReference w:id="8"/>
      </w:r>
    </w:p>
    <w:p w14:paraId="1A690160" w14:textId="76F7D0FC" w:rsidR="00415A8F" w:rsidRPr="00FD2390" w:rsidRDefault="00415A8F" w:rsidP="00415A8F">
      <w:pPr>
        <w:pStyle w:val="BodyText"/>
      </w:pPr>
      <w:r w:rsidRPr="00FD2390">
        <w:t xml:space="preserve">In March 2024, before that work had commenced and following a change in Government, the new Minister of Justice Hon Paul Goldsmith </w:t>
      </w:r>
      <w:r w:rsidR="00182B0B">
        <w:t xml:space="preserve">requested that </w:t>
      </w:r>
      <w:r w:rsidRPr="00FD2390">
        <w:t xml:space="preserve">the review of hate speech </w:t>
      </w:r>
      <w:r w:rsidR="0016466E">
        <w:t xml:space="preserve">be withdrawn </w:t>
      </w:r>
      <w:r w:rsidRPr="00FD2390">
        <w:t>from the Law Commission’s work programme.</w:t>
      </w:r>
      <w:r w:rsidRPr="00FD2390">
        <w:rPr>
          <w:rStyle w:val="FootnoteReference"/>
        </w:rPr>
        <w:footnoteReference w:id="9"/>
      </w:r>
      <w:r w:rsidRPr="00FD2390">
        <w:t xml:space="preserve"> The Minister asked that we conduct a narrower review of the law relating to hate crime, focusing on whether the law should be changed to create standalone hate crime offences (as recommended by the Royal Commission).</w:t>
      </w:r>
    </w:p>
    <w:p w14:paraId="496685EF" w14:textId="77777777" w:rsidR="00415A8F" w:rsidRDefault="00415A8F" w:rsidP="00415A8F">
      <w:pPr>
        <w:pStyle w:val="BodyText"/>
      </w:pPr>
      <w:r>
        <w:t xml:space="preserve">In December 2025, the United Nations Committee on the </w:t>
      </w:r>
      <w:r w:rsidRPr="00840029">
        <w:t>Elimination of Racial Discrimination</w:t>
      </w:r>
      <w:r>
        <w:t xml:space="preserve"> recommended that Aotearoa New Zealand:</w:t>
      </w:r>
      <w:r>
        <w:rPr>
          <w:rStyle w:val="FootnoteReference"/>
        </w:rPr>
        <w:footnoteReference w:id="10"/>
      </w:r>
    </w:p>
    <w:p w14:paraId="7D2CF54A" w14:textId="77777777" w:rsidR="00415A8F" w:rsidRDefault="00415A8F" w:rsidP="00415A8F">
      <w:pPr>
        <w:pStyle w:val="Quote"/>
      </w:pPr>
      <w:r w:rsidRPr="005F290F">
        <w:t xml:space="preserve">(a) Accelerate the implementation of the recommendations of the Royal Commission of Inquiry, particularly measures aimed at preventing further racist violence, providing effective remedies to victims of hate crimes and hate speech, and strengthening coexistence, tolerance, and dialogue among diverse communities; </w:t>
      </w:r>
    </w:p>
    <w:p w14:paraId="40CB256C" w14:textId="77777777" w:rsidR="00415A8F" w:rsidRDefault="00415A8F" w:rsidP="00415A8F">
      <w:pPr>
        <w:pStyle w:val="Quote"/>
      </w:pPr>
      <w:r w:rsidRPr="005F290F">
        <w:t xml:space="preserve">(b) Continue efforts to strengthen the legislative framework to be able to sufficiently respond to hate crimes, including by engaging with the Law Commission, New Zealand Human Rights Commission, civil society, and affected communities; </w:t>
      </w:r>
      <w:r>
        <w:t>…</w:t>
      </w:r>
    </w:p>
    <w:p w14:paraId="18D30FB8" w14:textId="6E3D3724" w:rsidR="003B15BA" w:rsidRDefault="003B15BA" w:rsidP="00BB4C18">
      <w:pPr>
        <w:pStyle w:val="BodyText"/>
      </w:pPr>
      <w:r>
        <w:t xml:space="preserve">Internationally, there has been increasing </w:t>
      </w:r>
      <w:r w:rsidR="00941848">
        <w:t>public and political</w:t>
      </w:r>
      <w:r w:rsidR="00F22A61">
        <w:t xml:space="preserve"> attention</w:t>
      </w:r>
      <w:r w:rsidR="00941848">
        <w:t xml:space="preserve"> on hate crime i</w:t>
      </w:r>
      <w:r>
        <w:t>n recent years. Some jurisdictions have reported increases in re</w:t>
      </w:r>
      <w:r w:rsidR="00941848">
        <w:t>c</w:t>
      </w:r>
      <w:r>
        <w:t>or</w:t>
      </w:r>
      <w:r w:rsidR="00941848">
        <w:t>d</w:t>
      </w:r>
      <w:r>
        <w:t>ed hate crime</w:t>
      </w:r>
      <w:r w:rsidR="00CF58F3">
        <w:t>.</w:t>
      </w:r>
      <w:r w:rsidR="00CF58F3">
        <w:rPr>
          <w:rStyle w:val="FootnoteReference"/>
        </w:rPr>
        <w:footnoteReference w:id="11"/>
      </w:r>
      <w:r w:rsidR="00CF58F3">
        <w:t xml:space="preserve"> </w:t>
      </w:r>
      <w:r w:rsidR="0077762D">
        <w:t>Several high-profile events</w:t>
      </w:r>
      <w:r w:rsidR="000A1ACA">
        <w:t xml:space="preserve"> such as the Bondi Beach shootings in Australia in December 2025</w:t>
      </w:r>
      <w:r w:rsidR="0077762D">
        <w:t xml:space="preserve"> have also intensified public</w:t>
      </w:r>
      <w:r w:rsidR="002E50B9">
        <w:t xml:space="preserve"> and political debate about </w:t>
      </w:r>
      <w:r w:rsidR="00606242">
        <w:t>how the law should respond to hate crime.</w:t>
      </w:r>
      <w:r w:rsidR="00F22A61">
        <w:rPr>
          <w:rStyle w:val="FootnoteReference"/>
        </w:rPr>
        <w:footnoteReference w:id="12"/>
      </w:r>
      <w:r w:rsidR="00606242">
        <w:t xml:space="preserve"> However, global tre</w:t>
      </w:r>
      <w:r w:rsidR="007F21DD">
        <w:t xml:space="preserve">nds </w:t>
      </w:r>
      <w:r w:rsidR="00A00CF8">
        <w:t xml:space="preserve">in </w:t>
      </w:r>
      <w:r w:rsidR="00845E82">
        <w:t>the prevalence of hate crime</w:t>
      </w:r>
      <w:r w:rsidR="007F21DD">
        <w:t xml:space="preserve"> </w:t>
      </w:r>
      <w:r w:rsidR="00845E82">
        <w:t>are</w:t>
      </w:r>
      <w:r w:rsidR="007F21DD">
        <w:t xml:space="preserve"> difficult to assess, because jurisdictions </w:t>
      </w:r>
      <w:r w:rsidR="00F22A61">
        <w:t xml:space="preserve">define, record and measure hate crime differently. </w:t>
      </w:r>
      <w:r w:rsidR="007D52B0">
        <w:t xml:space="preserve">Increases in reported hate crimes may also be attributable </w:t>
      </w:r>
      <w:r w:rsidR="002410FF">
        <w:t xml:space="preserve">(at least in part) </w:t>
      </w:r>
      <w:r w:rsidR="007D52B0">
        <w:t xml:space="preserve">to increased public awareness and </w:t>
      </w:r>
      <w:r w:rsidR="00D01D8F">
        <w:t xml:space="preserve">improved </w:t>
      </w:r>
      <w:r w:rsidR="007D52B0">
        <w:t>recording practices rather than increase</w:t>
      </w:r>
      <w:r w:rsidR="002410FF">
        <w:t>s</w:t>
      </w:r>
      <w:r w:rsidR="007D52B0">
        <w:t xml:space="preserve"> in</w:t>
      </w:r>
      <w:r w:rsidR="002410FF">
        <w:t xml:space="preserve"> the occurrence of</w:t>
      </w:r>
      <w:r w:rsidR="007D52B0">
        <w:t xml:space="preserve"> hate crime.</w:t>
      </w:r>
      <w:r w:rsidR="00CA63CF">
        <w:rPr>
          <w:rStyle w:val="FootnoteReference"/>
        </w:rPr>
        <w:footnoteReference w:id="13"/>
      </w:r>
    </w:p>
    <w:p w14:paraId="4C677EB8" w14:textId="77777777" w:rsidR="00415A8F" w:rsidRDefault="00415A8F" w:rsidP="00415A8F">
      <w:pPr>
        <w:pStyle w:val="Heading2"/>
      </w:pPr>
      <w:bookmarkStart w:id="90" w:name="_Toc231467814"/>
      <w:r>
        <w:t>Scope of this review</w:t>
      </w:r>
      <w:bookmarkEnd w:id="90"/>
    </w:p>
    <w:p w14:paraId="3975348F" w14:textId="18A49010" w:rsidR="00415A8F" w:rsidRDefault="00415A8F" w:rsidP="00415A8F">
      <w:pPr>
        <w:pStyle w:val="BodyText"/>
      </w:pPr>
      <w:r>
        <w:t xml:space="preserve">The terms of reference for this review are set out in </w:t>
      </w:r>
      <w:r w:rsidRPr="00D313EC">
        <w:t>Appendix 1</w:t>
      </w:r>
      <w:r>
        <w:t xml:space="preserve"> to this </w:t>
      </w:r>
      <w:r w:rsidR="00231C98">
        <w:t>R</w:t>
      </w:r>
      <w:r>
        <w:t xml:space="preserve">eport. They state that </w:t>
      </w:r>
      <w:r w:rsidR="0020489F">
        <w:t>we</w:t>
      </w:r>
      <w:r>
        <w:t xml:space="preserve"> will review the law relating to hate crime, with a focus on </w:t>
      </w:r>
      <w:r w:rsidRPr="00617205">
        <w:t>whether the law should be changed to create new hate-motivated offences.</w:t>
      </w:r>
      <w:r>
        <w:t xml:space="preserve"> In doing so</w:t>
      </w:r>
      <w:r w:rsidR="00851F3A">
        <w:t>,</w:t>
      </w:r>
      <w:r>
        <w:t xml:space="preserve"> we will consider:</w:t>
      </w:r>
    </w:p>
    <w:p w14:paraId="606E1203" w14:textId="77777777" w:rsidR="00415A8F" w:rsidRDefault="00415A8F" w:rsidP="00415A8F">
      <w:pPr>
        <w:pStyle w:val="BodyTextalphalist"/>
      </w:pPr>
      <w:r>
        <w:t>whether the current law adequately responds to hate crime; and</w:t>
      </w:r>
    </w:p>
    <w:p w14:paraId="79B5E28A" w14:textId="77777777" w:rsidR="00415A8F" w:rsidRDefault="00415A8F" w:rsidP="00415A8F">
      <w:pPr>
        <w:pStyle w:val="BodyTextalphalist"/>
      </w:pPr>
      <w:r>
        <w:t>if not, whether any concerns about the operation of the current law should be addressed through legislative (or operational) measures — for example, the creation of hate crime offences.</w:t>
      </w:r>
    </w:p>
    <w:p w14:paraId="51C0C616" w14:textId="2D16E523" w:rsidR="00415A8F" w:rsidRPr="00C8415B" w:rsidRDefault="00415A8F" w:rsidP="00415A8F">
      <w:pPr>
        <w:pStyle w:val="BodyText"/>
      </w:pPr>
      <w:r w:rsidRPr="00C8415B">
        <w:t>Our primary focus is whether the existing sentence aggravation model is inadequate and should be replaced with hate crime offences. Our terms of reference also envisage that, if the sentence aggravation model is retained, we might make other recommendations for reform to respond to specific problems with the operation of the current law. As we explain further below, this focus on the law relating to hate crime means our review is significantly narrower than the Royal Commission’s report, which considered the broader role of public sector agencies in preventing terrorism.</w:t>
      </w:r>
    </w:p>
    <w:p w14:paraId="6B7C20DE" w14:textId="3CFE8B77" w:rsidR="00415A8F" w:rsidRDefault="00415A8F" w:rsidP="00415A8F">
      <w:pPr>
        <w:pStyle w:val="BodyText"/>
      </w:pPr>
      <w:r>
        <w:t>Our terms of reference state that, in making our recommendations, we will</w:t>
      </w:r>
      <w:r w:rsidRPr="0096017B">
        <w:t xml:space="preserve"> take into account te ao Māori and give consideration to the multicultural character of New Zealand society</w:t>
      </w:r>
      <w:r>
        <w:t>. This is required by the Law Commission Act 1985.</w:t>
      </w:r>
      <w:r>
        <w:rPr>
          <w:rStyle w:val="FootnoteReference"/>
        </w:rPr>
        <w:footnoteReference w:id="14"/>
      </w:r>
      <w:r>
        <w:t xml:space="preserve"> The Act also requires us to “</w:t>
      </w:r>
      <w:r w:rsidRPr="00556F20">
        <w:t>have regard to the desirability of simplifying the expression and content of the law, as far as that is practicable</w:t>
      </w:r>
      <w:r>
        <w:t>”</w:t>
      </w:r>
      <w:r w:rsidRPr="00556F20">
        <w:t>.</w:t>
      </w:r>
      <w:r>
        <w:rPr>
          <w:rStyle w:val="FootnoteReference"/>
        </w:rPr>
        <w:footnoteReference w:id="15"/>
      </w:r>
    </w:p>
    <w:p w14:paraId="1405CD8D" w14:textId="77777777" w:rsidR="00415A8F" w:rsidRDefault="00415A8F" w:rsidP="00415A8F">
      <w:pPr>
        <w:pStyle w:val="Heading2"/>
      </w:pPr>
      <w:bookmarkStart w:id="91" w:name="_Toc231467815"/>
      <w:r>
        <w:t>Matters that are out of scope</w:t>
      </w:r>
      <w:bookmarkEnd w:id="91"/>
    </w:p>
    <w:p w14:paraId="3DAB5917" w14:textId="77777777" w:rsidR="00415A8F" w:rsidRDefault="00415A8F" w:rsidP="00415A8F">
      <w:pPr>
        <w:pStyle w:val="Heading3"/>
      </w:pPr>
      <w:r>
        <w:t>Criminalising additional behaviour that is not an existing offence</w:t>
      </w:r>
    </w:p>
    <w:p w14:paraId="71858A0A" w14:textId="36BB3065" w:rsidR="00415A8F" w:rsidRDefault="00415A8F" w:rsidP="00415A8F">
      <w:pPr>
        <w:pStyle w:val="BodyText"/>
      </w:pPr>
      <w:r>
        <w:t>Our</w:t>
      </w:r>
      <w:r w:rsidRPr="00C17BED">
        <w:t xml:space="preserve"> review </w:t>
      </w:r>
      <w:r>
        <w:t>does</w:t>
      </w:r>
      <w:r w:rsidRPr="00C17BED">
        <w:t xml:space="preserve"> not consider </w:t>
      </w:r>
      <w:r>
        <w:t xml:space="preserve">whether to </w:t>
      </w:r>
      <w:r w:rsidR="003E4856">
        <w:t>make any acts illegal</w:t>
      </w:r>
      <w:r w:rsidRPr="00C17BED">
        <w:t xml:space="preserve"> that do not </w:t>
      </w:r>
      <w:r>
        <w:t>already</w:t>
      </w:r>
      <w:r w:rsidRPr="00C17BED">
        <w:t xml:space="preserve"> amount to an offence under New Zealand law</w:t>
      </w:r>
      <w:r>
        <w:t xml:space="preserve">. </w:t>
      </w:r>
      <w:r w:rsidR="007A0E96">
        <w:t xml:space="preserve">While we </w:t>
      </w:r>
      <w:r w:rsidR="005A6AE9">
        <w:t xml:space="preserve">do consider </w:t>
      </w:r>
      <w:r w:rsidR="00E84C38">
        <w:t>whether to create</w:t>
      </w:r>
      <w:r w:rsidR="0079147C">
        <w:t xml:space="preserve"> new hate crime offences, </w:t>
      </w:r>
      <w:r w:rsidR="00273871">
        <w:t>they</w:t>
      </w:r>
      <w:r w:rsidR="0079147C">
        <w:t xml:space="preserve"> would</w:t>
      </w:r>
      <w:r w:rsidR="00866A76">
        <w:t xml:space="preserve"> </w:t>
      </w:r>
      <w:r w:rsidR="00C76BFB">
        <w:t xml:space="preserve">only apply to </w:t>
      </w:r>
      <w:r w:rsidR="006C7CE9">
        <w:t xml:space="preserve">acts </w:t>
      </w:r>
      <w:r w:rsidR="00A32981">
        <w:t>(such as assault)</w:t>
      </w:r>
      <w:r w:rsidR="00C76BFB">
        <w:t xml:space="preserve"> that </w:t>
      </w:r>
      <w:r w:rsidR="006C7CE9">
        <w:t xml:space="preserve">are </w:t>
      </w:r>
      <w:r w:rsidR="00C76BFB">
        <w:t>already an offence.</w:t>
      </w:r>
      <w:r w:rsidR="00FE2974">
        <w:t xml:space="preserve"> It is outside our scope to consider</w:t>
      </w:r>
      <w:r w:rsidR="0063691F">
        <w:t xml:space="preserve"> criminalising any </w:t>
      </w:r>
      <w:r w:rsidR="00CA664D">
        <w:t xml:space="preserve">entirely </w:t>
      </w:r>
      <w:r w:rsidR="00441799">
        <w:t>new behaviours.</w:t>
      </w:r>
      <w:r>
        <w:t xml:space="preserve"> </w:t>
      </w:r>
      <w:r w:rsidR="00EB6514" w:rsidRPr="00EB6514">
        <w:t xml:space="preserve">Our focus is on how the justice system should respond when offending is </w:t>
      </w:r>
      <w:r w:rsidR="00595E91">
        <w:t>found to have been</w:t>
      </w:r>
      <w:r w:rsidR="00EB6514" w:rsidRPr="00EB6514">
        <w:t xml:space="preserve"> motivated by hostility towards a group of people</w:t>
      </w:r>
      <w:r w:rsidR="00595E91">
        <w:t>.</w:t>
      </w:r>
      <w:r w:rsidR="00EB6514" w:rsidRPr="00EB6514">
        <w:t xml:space="preserve"> </w:t>
      </w:r>
    </w:p>
    <w:p w14:paraId="2B0D94CD" w14:textId="77777777" w:rsidR="00415A8F" w:rsidRDefault="00415A8F" w:rsidP="00415A8F">
      <w:pPr>
        <w:pStyle w:val="Heading3"/>
      </w:pPr>
      <w:r>
        <w:t>Hate speech</w:t>
      </w:r>
    </w:p>
    <w:p w14:paraId="431236FE" w14:textId="1AE0EB39" w:rsidR="00415A8F" w:rsidRDefault="00415A8F" w:rsidP="00415A8F">
      <w:pPr>
        <w:pStyle w:val="BodyText"/>
      </w:pPr>
      <w:r>
        <w:t>This</w:t>
      </w:r>
      <w:r w:rsidRPr="00360934">
        <w:t xml:space="preserve"> review </w:t>
      </w:r>
      <w:r>
        <w:t>does</w:t>
      </w:r>
      <w:r w:rsidRPr="00360934">
        <w:t xml:space="preserve"> not consider hate speech</w:t>
      </w:r>
      <w:r>
        <w:t xml:space="preserve"> laws. By ‘hate speech’</w:t>
      </w:r>
      <w:r w:rsidR="005D1815">
        <w:t>,</w:t>
      </w:r>
      <w:r>
        <w:t xml:space="preserve"> we mean </w:t>
      </w:r>
      <w:r w:rsidRPr="00227BBF">
        <w:t>speech or expression that shows hate or hostility toward</w:t>
      </w:r>
      <w:r w:rsidR="00630A35">
        <w:t>s</w:t>
      </w:r>
      <w:r w:rsidRPr="00227BBF">
        <w:t xml:space="preserve"> a group of people. </w:t>
      </w:r>
    </w:p>
    <w:p w14:paraId="2CD482CB" w14:textId="182A795D" w:rsidR="00415A8F" w:rsidRDefault="005379B2" w:rsidP="00415A8F">
      <w:pPr>
        <w:pStyle w:val="BodyText"/>
      </w:pPr>
      <w:r>
        <w:t>Current New Zealan</w:t>
      </w:r>
      <w:r w:rsidR="00F84C61">
        <w:t>d law contains</w:t>
      </w:r>
      <w:r w:rsidR="00415A8F">
        <w:t xml:space="preserve"> offences that capture some kinds of hate speech. For example, under </w:t>
      </w:r>
      <w:r w:rsidR="00415A8F" w:rsidRPr="00360934">
        <w:t>the Human Rights Act 1993</w:t>
      </w:r>
      <w:r w:rsidR="00486F42">
        <w:t>,</w:t>
      </w:r>
      <w:r w:rsidR="00415A8F">
        <w:t xml:space="preserve"> it is an offence to incite racial disharmony</w:t>
      </w:r>
      <w:r w:rsidR="00415A8F" w:rsidRPr="00360934">
        <w:t>.</w:t>
      </w:r>
      <w:r w:rsidR="00415A8F">
        <w:rPr>
          <w:rStyle w:val="FootnoteReference"/>
        </w:rPr>
        <w:footnoteReference w:id="16"/>
      </w:r>
      <w:r w:rsidR="00415A8F" w:rsidRPr="00360934">
        <w:t xml:space="preserve"> </w:t>
      </w:r>
      <w:r w:rsidR="00415A8F">
        <w:t>The Royal Commission recommended moving that offence to the Crimes Act, sharpening its language and extending it to cover religious belief.</w:t>
      </w:r>
      <w:r w:rsidR="00415A8F">
        <w:rPr>
          <w:rStyle w:val="FootnoteReference"/>
        </w:rPr>
        <w:footnoteReference w:id="17"/>
      </w:r>
    </w:p>
    <w:p w14:paraId="6FAA7B63" w14:textId="53A949B3" w:rsidR="00415A8F" w:rsidRPr="00C8415B" w:rsidRDefault="00415A8F" w:rsidP="00415A8F">
      <w:pPr>
        <w:pStyle w:val="BodyText"/>
      </w:pPr>
      <w:r w:rsidRPr="00C8415B">
        <w:t xml:space="preserve">We heard strong concerns about hate speech from submitters and people we spoke with during public consultation. Some suggested that reviewing hate crime law will be ineffective without also addressing hate speech, as the two are connected. We also heard concerns that regulating hate speech unreasonably limits freedom of expression. </w:t>
      </w:r>
    </w:p>
    <w:p w14:paraId="7A4C7667" w14:textId="0EC9EBD9" w:rsidR="00415A8F" w:rsidRPr="00C8415B" w:rsidRDefault="00415A8F" w:rsidP="00415A8F">
      <w:pPr>
        <w:pStyle w:val="BodyText"/>
      </w:pPr>
      <w:r w:rsidRPr="00C8415B">
        <w:t xml:space="preserve">We </w:t>
      </w:r>
      <w:r w:rsidR="004860BB">
        <w:t>do not</w:t>
      </w:r>
      <w:r w:rsidRPr="00C8415B">
        <w:t xml:space="preserve"> comment on the appropriate approach to hate speech</w:t>
      </w:r>
      <w:r w:rsidR="000B15B6">
        <w:t>,</w:t>
      </w:r>
      <w:r w:rsidRPr="00C8415B">
        <w:t xml:space="preserve"> given the scope of this review. We acknowledge our recommendations do not respond to all hate-related harm experienced by communities. As </w:t>
      </w:r>
      <w:r w:rsidR="00FD68E7">
        <w:t xml:space="preserve">we </w:t>
      </w:r>
      <w:r w:rsidRPr="00C8415B">
        <w:t xml:space="preserve">discuss in Chapter 3, however, we </w:t>
      </w:r>
      <w:r w:rsidR="00824852">
        <w:t>consider</w:t>
      </w:r>
      <w:r w:rsidRPr="00C8415B">
        <w:t xml:space="preserve"> hate crime law can help to influence societal attitudes and behaviours over time. </w:t>
      </w:r>
    </w:p>
    <w:p w14:paraId="62674DEB" w14:textId="77777777" w:rsidR="00415A8F" w:rsidRDefault="00415A8F" w:rsidP="00415A8F">
      <w:pPr>
        <w:pStyle w:val="Heading3"/>
      </w:pPr>
      <w:r>
        <w:t>Wider operational and policy responses to hate crime</w:t>
      </w:r>
    </w:p>
    <w:p w14:paraId="30251DFE" w14:textId="33304D35" w:rsidR="00415A8F" w:rsidRPr="00C8415B" w:rsidRDefault="00415A8F" w:rsidP="00415A8F">
      <w:pPr>
        <w:pStyle w:val="BodyText"/>
      </w:pPr>
      <w:r w:rsidRPr="00C8415B">
        <w:t xml:space="preserve">Preventing hate crime and responding appropriately when it occurs involves many elements. The law has an impact, but it is not the only — or necessarily the most significant — factor. Many submitters and people we spoke with during consultation felt that hate crime would be more effectively addressed through means other than law reform such as: </w:t>
      </w:r>
    </w:p>
    <w:p w14:paraId="1AFC6926" w14:textId="10AA824C" w:rsidR="00415A8F" w:rsidRPr="00C8415B" w:rsidRDefault="00E77761" w:rsidP="00415A8F">
      <w:pPr>
        <w:pStyle w:val="BodyTextalphalist"/>
      </w:pPr>
      <w:r>
        <w:t>a</w:t>
      </w:r>
      <w:r w:rsidR="00415A8F" w:rsidRPr="00C8415B">
        <w:t>ddressing bias or lack of cultural awareness within Police and the wider justice system, the existence of which can discourage people from reporting hate crimes</w:t>
      </w:r>
      <w:r>
        <w:t>;</w:t>
      </w:r>
    </w:p>
    <w:p w14:paraId="605AA268" w14:textId="29BF11AF" w:rsidR="00415A8F" w:rsidRPr="00C8415B" w:rsidRDefault="00E77761" w:rsidP="00415A8F">
      <w:pPr>
        <w:pStyle w:val="BodyTextalphalist"/>
      </w:pPr>
      <w:r>
        <w:t>p</w:t>
      </w:r>
      <w:r w:rsidR="00415A8F" w:rsidRPr="00C8415B">
        <w:t>ublic education to raise awareness of hate crime and to combat the attitudes that underlie it such as racism and bigotry</w:t>
      </w:r>
      <w:r>
        <w:t>;</w:t>
      </w:r>
    </w:p>
    <w:p w14:paraId="10155430" w14:textId="2A7D2EE0" w:rsidR="00415A8F" w:rsidRPr="00C8415B" w:rsidRDefault="00E77761" w:rsidP="00415A8F">
      <w:pPr>
        <w:pStyle w:val="BodyTextalphalist"/>
      </w:pPr>
      <w:r>
        <w:t>f</w:t>
      </w:r>
      <w:r w:rsidR="00415A8F" w:rsidRPr="00C8415B">
        <w:t>unding community organisations to support people who experience hate and to provide education and prevention programmes</w:t>
      </w:r>
      <w:r>
        <w:t>; and</w:t>
      </w:r>
    </w:p>
    <w:p w14:paraId="1D4B7833" w14:textId="76C87B86" w:rsidR="00415A8F" w:rsidRPr="00C8415B" w:rsidRDefault="00E77761" w:rsidP="00415A8F">
      <w:pPr>
        <w:pStyle w:val="BodyTextalphalist"/>
      </w:pPr>
      <w:r>
        <w:t>f</w:t>
      </w:r>
      <w:r w:rsidR="00415A8F" w:rsidRPr="00C8415B">
        <w:t xml:space="preserve">ocusing on restorative approaches and rehabilitation when a hate crime occurs. </w:t>
      </w:r>
    </w:p>
    <w:p w14:paraId="734F104B" w14:textId="77777777" w:rsidR="00415A8F" w:rsidRPr="00C8415B" w:rsidRDefault="00415A8F" w:rsidP="00415A8F">
      <w:pPr>
        <w:pStyle w:val="BodyText"/>
      </w:pPr>
      <w:r w:rsidRPr="00C8415B">
        <w:t>The United Nations Committee on the Elimination of Racial Discrimination also recommended that Aotearoa New Zealand enhance awareness-raising and education programmes to promote tolerance and diversity, including among law enforcement officials and the general public.</w:t>
      </w:r>
      <w:r w:rsidRPr="00C8415B">
        <w:rPr>
          <w:rStyle w:val="FootnoteReference"/>
        </w:rPr>
        <w:footnoteReference w:id="18"/>
      </w:r>
    </w:p>
    <w:p w14:paraId="3B31104C" w14:textId="23918EA9" w:rsidR="00415A8F" w:rsidRPr="00C8415B" w:rsidRDefault="00415A8F" w:rsidP="00415A8F">
      <w:pPr>
        <w:pStyle w:val="BodyText"/>
      </w:pPr>
      <w:r w:rsidRPr="00C8415B">
        <w:t>In addition to the types of initiatives referred to above, the national security system plays an important role in preventing and disrupting terrorist attacks, which overlap to an extent with hate crimes.</w:t>
      </w:r>
      <w:r w:rsidRPr="00C8415B">
        <w:rPr>
          <w:rStyle w:val="FootnoteReference"/>
        </w:rPr>
        <w:footnoteReference w:id="19"/>
      </w:r>
      <w:r w:rsidRPr="00C8415B">
        <w:t xml:space="preserve"> The national security system and counter-terrorism efforts were considered in detail by the Royal Commission.</w:t>
      </w:r>
      <w:r w:rsidRPr="00C8415B">
        <w:rPr>
          <w:rStyle w:val="FootnoteReference"/>
        </w:rPr>
        <w:footnoteReference w:id="20"/>
      </w:r>
      <w:r w:rsidRPr="00C8415B">
        <w:t xml:space="preserve"> </w:t>
      </w:r>
    </w:p>
    <w:p w14:paraId="644B019C" w14:textId="29F11BDF" w:rsidR="00415A8F" w:rsidRPr="00C8415B" w:rsidRDefault="00415A8F" w:rsidP="00415A8F">
      <w:pPr>
        <w:pStyle w:val="BodyText"/>
      </w:pPr>
      <w:r w:rsidRPr="00C8415B">
        <w:t xml:space="preserve">We have not made recommendations about these matters, which fall outside our scope. Our focus is on addressing concerns about the operation of the law. We emphasise, however, that reducing occurrences of hate crime and minimising its impact will require </w:t>
      </w:r>
      <w:r w:rsidR="000447BB">
        <w:t>G</w:t>
      </w:r>
      <w:r w:rsidRPr="00C8415B">
        <w:t xml:space="preserve">overnment policy and practice beyond the recommendations in this </w:t>
      </w:r>
      <w:r w:rsidR="00231C98">
        <w:t>R</w:t>
      </w:r>
      <w:r w:rsidRPr="00C8415B">
        <w:t xml:space="preserve">eport. In some places, we suggest possible areas for further work. </w:t>
      </w:r>
    </w:p>
    <w:p w14:paraId="2E41CFC8" w14:textId="4C395EBE" w:rsidR="002540BD" w:rsidRPr="00FA1DFA" w:rsidRDefault="00415A8F" w:rsidP="00FA1DFA">
      <w:pPr>
        <w:pStyle w:val="BodyText"/>
      </w:pPr>
      <w:r w:rsidRPr="00C8415B" w:rsidDel="00060B47">
        <w:t xml:space="preserve">It is also important to acknowledge that even the most robust efforts to reduce hate crime </w:t>
      </w:r>
      <w:r w:rsidRPr="00C8415B">
        <w:t xml:space="preserve">— both through law reform and other means — </w:t>
      </w:r>
      <w:r w:rsidRPr="00C8415B" w:rsidDel="00060B47">
        <w:t>will not eliminate it entirely. Tolerance for diversity can be promoted</w:t>
      </w:r>
      <w:r w:rsidR="00D54344">
        <w:t>,</w:t>
      </w:r>
      <w:r w:rsidRPr="00C8415B" w:rsidDel="00060B47">
        <w:t xml:space="preserve"> but some prejudice is always likely to exist. It will not always be possible to identify potential hate crime offenders and prevent or disrupt offending. For example, the Royal Commission found there was no information available to public sector agencies that could or should have alerted them to the planned terrorist attack in time to intervene.</w:t>
      </w:r>
      <w:r w:rsidRPr="00C8415B" w:rsidDel="00060B47">
        <w:rPr>
          <w:rStyle w:val="FootnoteReference"/>
        </w:rPr>
        <w:footnoteReference w:id="21"/>
      </w:r>
      <w:r w:rsidRPr="00C8415B" w:rsidDel="00060B47">
        <w:t xml:space="preserve"> </w:t>
      </w:r>
      <w:r w:rsidRPr="00C8415B" w:rsidDel="00196695">
        <w:t>W</w:t>
      </w:r>
      <w:r w:rsidRPr="00C8415B" w:rsidDel="001D658D">
        <w:t>here hate crimes do occur, it is important that they are appropriately denounced and offenders are held accountable to limit the wider impact on social cohesion</w:t>
      </w:r>
      <w:r w:rsidRPr="00C8415B" w:rsidDel="004F30F3">
        <w:t>.</w:t>
      </w:r>
    </w:p>
    <w:p w14:paraId="3607A871" w14:textId="68E4D810" w:rsidR="00415A8F" w:rsidRDefault="00415A8F" w:rsidP="00415A8F">
      <w:pPr>
        <w:pStyle w:val="Heading2"/>
      </w:pPr>
      <w:bookmarkStart w:id="92" w:name="_Toc231467816"/>
      <w:r>
        <w:t>Terminology</w:t>
      </w:r>
      <w:bookmarkEnd w:id="92"/>
    </w:p>
    <w:p w14:paraId="5ED5D6CF" w14:textId="592B42ED" w:rsidR="00415A8F" w:rsidRDefault="00415A8F" w:rsidP="00415A8F">
      <w:pPr>
        <w:pStyle w:val="BodyText"/>
      </w:pPr>
      <w:r>
        <w:t>Some submitters preferred not to use the terms ‘hate’ or ‘hate crime’. Many of these submitters were concerned that the word ‘hate’ can be inflammatory and does not provide enough certainty or objectivity in the criminal law. Some felt that alternative terms such as ‘hostility-aggravated offending’ or offending motivated by ‘prejudice’ were preferable.</w:t>
      </w:r>
    </w:p>
    <w:p w14:paraId="4C9EA248" w14:textId="77777777" w:rsidR="00415A8F" w:rsidRDefault="00415A8F" w:rsidP="00415A8F">
      <w:pPr>
        <w:pStyle w:val="BodyText"/>
      </w:pPr>
      <w:r>
        <w:t>We do not recommend using the words ‘hate’ or ‘hate crime’ in legislation. They are not used in the current sentencing provision. Instead, the provision refers to offending committed because of “hostility towards” a relevant group of people. We do not recommend changing that wording.</w:t>
      </w:r>
    </w:p>
    <w:p w14:paraId="7CC49140" w14:textId="0AA97AE1" w:rsidR="00415A8F" w:rsidRDefault="00415A8F" w:rsidP="00415A8F">
      <w:pPr>
        <w:pStyle w:val="BodyText"/>
      </w:pPr>
      <w:r>
        <w:t xml:space="preserve">Nonetheless, ‘hate crime’ is a commonly used term in ordinary language both in Aotearoa New Zealand and internationally. It also appears in the reference we received from the Minister of Justice to review this area of law. It is more concise and easier to understand than alternatives suggested to us. We have therefore used it in this </w:t>
      </w:r>
      <w:r w:rsidR="00A94122">
        <w:t>R</w:t>
      </w:r>
      <w:r>
        <w:t xml:space="preserve">eport to convey the kind of offending we are concerned with in a general sense. </w:t>
      </w:r>
    </w:p>
    <w:p w14:paraId="1C053013" w14:textId="484E1305" w:rsidR="00415A8F" w:rsidRDefault="00415A8F" w:rsidP="00415A8F">
      <w:pPr>
        <w:pStyle w:val="BodyText"/>
      </w:pPr>
      <w:r>
        <w:t>We use the term ‘hostility’ when referring to the offender’s motivation, since that is the wording used in the legislation. When we use that term, we mean hostility toward</w:t>
      </w:r>
      <w:r w:rsidR="00630A35">
        <w:t>s</w:t>
      </w:r>
      <w:r>
        <w:t xml:space="preserve"> a group of people based on a particular characteristic (as opposed to hostility toward</w:t>
      </w:r>
      <w:r w:rsidR="00630A35">
        <w:t>s</w:t>
      </w:r>
      <w:r>
        <w:t xml:space="preserve"> the individual victim for other reasons).</w:t>
      </w:r>
    </w:p>
    <w:p w14:paraId="32BC3C39" w14:textId="627A0BE5" w:rsidR="004F4631" w:rsidRDefault="000D6889" w:rsidP="00415A8F">
      <w:pPr>
        <w:pStyle w:val="BodyText"/>
      </w:pPr>
      <w:r>
        <w:t xml:space="preserve">Section 9(1)(h) </w:t>
      </w:r>
      <w:r w:rsidR="00C7527B">
        <w:t xml:space="preserve">of the Sentencing Act </w:t>
      </w:r>
      <w:r w:rsidR="00BC5616">
        <w:t>applies to offending motivated by hostility towards a group of people who have an “enduring common characteristic”</w:t>
      </w:r>
      <w:r w:rsidR="00714BE6">
        <w:t xml:space="preserve"> and provides an illustrative list of</w:t>
      </w:r>
      <w:r>
        <w:t xml:space="preserve"> </w:t>
      </w:r>
      <w:r w:rsidR="00097936">
        <w:t xml:space="preserve">characteristics that would be captured. We refer to these throughout the Report as </w:t>
      </w:r>
      <w:r w:rsidR="00616307">
        <w:t>‘</w:t>
      </w:r>
      <w:r w:rsidR="00097936">
        <w:t>protected characteristics</w:t>
      </w:r>
      <w:r w:rsidR="00616307">
        <w:t>’</w:t>
      </w:r>
      <w:r w:rsidR="00097936">
        <w:t xml:space="preserve">. </w:t>
      </w:r>
    </w:p>
    <w:p w14:paraId="425D6B1B" w14:textId="77777777" w:rsidR="00D37E56" w:rsidRDefault="00D37E56">
      <w:pPr>
        <w:spacing w:before="0" w:after="0" w:line="240" w:lineRule="auto"/>
        <w:rPr>
          <w:rFonts w:ascii="Metropolis" w:hAnsi="Metropolis"/>
          <w:b/>
          <w:caps/>
          <w:color w:val="5CA0B9"/>
          <w:sz w:val="22"/>
        </w:rPr>
      </w:pPr>
      <w:bookmarkStart w:id="93" w:name="_Toc231467817"/>
      <w:r>
        <w:br w:type="page"/>
      </w:r>
    </w:p>
    <w:p w14:paraId="0E120B11" w14:textId="77777777" w:rsidR="00415A8F" w:rsidRPr="00563D24" w:rsidRDefault="00415A8F" w:rsidP="00415A8F">
      <w:pPr>
        <w:pStyle w:val="Heading2"/>
      </w:pPr>
      <w:r>
        <w:t>Our process</w:t>
      </w:r>
      <w:bookmarkEnd w:id="93"/>
    </w:p>
    <w:p w14:paraId="668B8B3D" w14:textId="40ACAAE6" w:rsidR="004A5679" w:rsidRPr="004A5679" w:rsidRDefault="004B3F09" w:rsidP="00315EC3">
      <w:pPr>
        <w:pStyle w:val="Heading3"/>
      </w:pPr>
      <w:r>
        <w:t xml:space="preserve">Identifying </w:t>
      </w:r>
      <w:r w:rsidR="003C50EC">
        <w:t xml:space="preserve">potential </w:t>
      </w:r>
      <w:r>
        <w:t xml:space="preserve">issues </w:t>
      </w:r>
    </w:p>
    <w:p w14:paraId="653F4D8F" w14:textId="1F42D9C3" w:rsidR="00415A8F" w:rsidRDefault="00415A8F" w:rsidP="00415A8F">
      <w:pPr>
        <w:pStyle w:val="BodyText"/>
      </w:pPr>
      <w:r>
        <w:t xml:space="preserve">This review commenced in May 2024. We began by conducting research and preliminary engagement with key stakeholders (including </w:t>
      </w:r>
      <w:r w:rsidRPr="00B45438">
        <w:t>Police, Te Tāhū o te Ture | Ministry of Justice</w:t>
      </w:r>
      <w:r w:rsidR="0083634A">
        <w:t>,</w:t>
      </w:r>
      <w:r w:rsidRPr="00B45438">
        <w:t xml:space="preserve"> Corrections</w:t>
      </w:r>
      <w:r w:rsidR="0060593B">
        <w:t xml:space="preserve">, </w:t>
      </w:r>
      <w:r w:rsidR="0060593B" w:rsidRPr="00530D57">
        <w:t xml:space="preserve">Te Tari Ture o te Karauna | </w:t>
      </w:r>
      <w:r w:rsidR="0060593B">
        <w:t>Crown Law</w:t>
      </w:r>
      <w:r w:rsidR="0083634A">
        <w:t xml:space="preserve"> and Crown solicitors</w:t>
      </w:r>
      <w:r>
        <w:t xml:space="preserve">) to get a sense of how the current law is working in practice. </w:t>
      </w:r>
      <w:r w:rsidRPr="005D2C04">
        <w:t xml:space="preserve">We </w:t>
      </w:r>
      <w:r>
        <w:t>were</w:t>
      </w:r>
      <w:r w:rsidRPr="005D2C04">
        <w:t xml:space="preserve"> guided in our approach to te ao Māori by our Māori Liaison Committee and obtained specialist advice on applicable mātauranga and tikanga from Whāia Legal.</w:t>
      </w:r>
    </w:p>
    <w:p w14:paraId="67682BA6" w14:textId="7362916D" w:rsidR="003C50EC" w:rsidRDefault="00685C95" w:rsidP="009A66FA">
      <w:pPr>
        <w:pStyle w:val="BodyText"/>
      </w:pPr>
      <w:r>
        <w:t xml:space="preserve">We also analysed approaches in other jurisdictions. </w:t>
      </w:r>
      <w:r w:rsidR="00CC551E" w:rsidRPr="00051694">
        <w:t>The main overseas jurisdictions we investigated are the Australian states and territories, England and Wales, Scotland, Ireland, Northern Ireland and Canad</w:t>
      </w:r>
      <w:r w:rsidR="00CC551E">
        <w:t>a</w:t>
      </w:r>
      <w:r w:rsidR="00CC551E" w:rsidRPr="00051694">
        <w:t xml:space="preserve"> </w:t>
      </w:r>
      <w:r w:rsidR="00CC551E">
        <w:t xml:space="preserve">(where hate crime law </w:t>
      </w:r>
      <w:r w:rsidR="00574F89">
        <w:t>is</w:t>
      </w:r>
      <w:r w:rsidR="00CC551E">
        <w:t xml:space="preserve"> federal)</w:t>
      </w:r>
      <w:r w:rsidR="00CC551E" w:rsidRPr="00051694">
        <w:t>. We focused our research on these jurisdictions both for practical reasons (in particular, they all include resources in English) and because they have some legal heritage similar to that of Aotearoa New Zealand.</w:t>
      </w:r>
    </w:p>
    <w:p w14:paraId="61C35665" w14:textId="76685590" w:rsidR="00AB2859" w:rsidRDefault="00AB2859" w:rsidP="00315EC3">
      <w:pPr>
        <w:pStyle w:val="Heading3"/>
      </w:pPr>
      <w:r>
        <w:t xml:space="preserve">Consultation </w:t>
      </w:r>
    </w:p>
    <w:p w14:paraId="4EEB9BFE" w14:textId="77777777" w:rsidR="00415A8F" w:rsidRDefault="00415A8F" w:rsidP="00415A8F">
      <w:pPr>
        <w:pStyle w:val="BodyText"/>
      </w:pPr>
      <w:r>
        <w:t>In February 2025 we published a Consultation Paper and called for public submissions.</w:t>
      </w:r>
      <w:r>
        <w:rPr>
          <w:rStyle w:val="FootnoteReference"/>
        </w:rPr>
        <w:footnoteReference w:id="22"/>
      </w:r>
      <w:r>
        <w:t xml:space="preserve"> The Consultation Paper sought feedback on: </w:t>
      </w:r>
    </w:p>
    <w:p w14:paraId="3FCC354B" w14:textId="77777777" w:rsidR="00415A8F" w:rsidRDefault="00415A8F" w:rsidP="00415A8F">
      <w:pPr>
        <w:pStyle w:val="BodyTextalphalist"/>
      </w:pPr>
      <w:r>
        <w:t>whether there are problems with the current law; and</w:t>
      </w:r>
    </w:p>
    <w:p w14:paraId="182545CE" w14:textId="77777777" w:rsidR="00415A8F" w:rsidRDefault="00415A8F" w:rsidP="00415A8F">
      <w:pPr>
        <w:pStyle w:val="BodyTextalphalist"/>
      </w:pPr>
      <w:r>
        <w:t xml:space="preserve">if so, whether those problems: </w:t>
      </w:r>
    </w:p>
    <w:p w14:paraId="68F3B538" w14:textId="77777777" w:rsidR="00415A8F" w:rsidRDefault="00415A8F" w:rsidP="00296B35">
      <w:pPr>
        <w:pStyle w:val="ListRomanNumeral"/>
        <w:ind w:left="1560"/>
      </w:pPr>
      <w:r>
        <w:t xml:space="preserve">could be addressed by making changes to the current sentence aggravation model; or </w:t>
      </w:r>
    </w:p>
    <w:p w14:paraId="687C06D3" w14:textId="77777777" w:rsidR="00415A8F" w:rsidRDefault="00415A8F" w:rsidP="00296B35">
      <w:pPr>
        <w:pStyle w:val="ListRomanNumeral"/>
        <w:ind w:left="1560"/>
      </w:pPr>
      <w:r>
        <w:t>required a change in the legal model.</w:t>
      </w:r>
    </w:p>
    <w:p w14:paraId="791EB28D" w14:textId="51E631A1" w:rsidR="00415A8F" w:rsidRDefault="00415A8F" w:rsidP="00415A8F">
      <w:pPr>
        <w:pStyle w:val="BodyText"/>
      </w:pPr>
      <w:r>
        <w:t>The Consultation Paper discussed some ways the current law could be changed to address the potential problems identified.</w:t>
      </w:r>
      <w:r>
        <w:rPr>
          <w:rStyle w:val="FootnoteReference"/>
        </w:rPr>
        <w:footnoteReference w:id="23"/>
      </w:r>
      <w:r>
        <w:t xml:space="preserve"> It also set out two alternative legal models that could be considered.</w:t>
      </w:r>
      <w:bookmarkStart w:id="94" w:name="_Hlk212129556"/>
      <w:r>
        <w:rPr>
          <w:rStyle w:val="FootnoteReference"/>
        </w:rPr>
        <w:footnoteReference w:id="24"/>
      </w:r>
      <w:r>
        <w:t xml:space="preserve"> The first was specific hate crime offences (as recommended by the Royal Commission). This would involve creating hostility-aggravated versions of certain existing offences, with higher maximum penalties than the existing offence. The second was the Scottish hybrid model. Under this model, hostile </w:t>
      </w:r>
      <w:r w:rsidR="00280E19">
        <w:t>motivation</w:t>
      </w:r>
      <w:r>
        <w:t xml:space="preserve"> could be charged as an additional element alongside any existing offence. </w:t>
      </w:r>
      <w:r w:rsidR="00280E19">
        <w:t>It</w:t>
      </w:r>
      <w:r>
        <w:t xml:space="preserve"> would be recorded as part of the conviction and considered at sentencing</w:t>
      </w:r>
      <w:r w:rsidR="00361E86">
        <w:t>,</w:t>
      </w:r>
      <w:r>
        <w:t xml:space="preserve"> but the maximum penalty for the offence would not change.</w:t>
      </w:r>
    </w:p>
    <w:p w14:paraId="29B4CCA0" w14:textId="6AB4A02E" w:rsidR="00415A8F" w:rsidRPr="008A65A4" w:rsidRDefault="00415A8F" w:rsidP="00415A8F">
      <w:pPr>
        <w:pStyle w:val="BodyText"/>
      </w:pPr>
      <w:r w:rsidRPr="008A65A4">
        <w:t xml:space="preserve">We received 96 submissions on our Consultation Paper — 26 on behalf of organisations and 70 from individuals. We also met with various organisations and individuals during the public consultation period. </w:t>
      </w:r>
      <w:r w:rsidR="00DA0667">
        <w:t>Submitters and organisations we met with</w:t>
      </w:r>
      <w:r w:rsidR="00DA0667" w:rsidRPr="00934BED">
        <w:t xml:space="preserve"> are listed in Appendix </w:t>
      </w:r>
      <w:r w:rsidR="00DA0667">
        <w:t>2</w:t>
      </w:r>
      <w:r w:rsidR="00DA0667" w:rsidRPr="00934BED">
        <w:t>.</w:t>
      </w:r>
      <w:r w:rsidRPr="008A65A4">
        <w:t xml:space="preserve"> Additionally, the Free Speech Union invited feedback on hate crime law and received 4,042 responses, which it collated and provided to us. The submissions we received are available on our website, along with a summary of them. The summary also provides an overview of the feedback received through the Free Speech Union. Both on our website and in this Report, some submissions by individuals are referred to by the submission number (rather than submitter name) where the submitter requested anonymity.</w:t>
      </w:r>
    </w:p>
    <w:p w14:paraId="181AE447" w14:textId="77777777" w:rsidR="00415A8F" w:rsidRPr="008A65A4" w:rsidRDefault="00415A8F" w:rsidP="00415A8F">
      <w:pPr>
        <w:pStyle w:val="BodyText"/>
      </w:pPr>
      <w:r w:rsidRPr="008A65A4">
        <w:t xml:space="preserve">In this Report, we briefly summarise the submissions and other feedback we received on each of the issues raised in our Consultation Paper. We also refer in more detail to any feedback that is particularly relevant to our analysis (for example, feedback from those working in the justice system about how the current law operates). </w:t>
      </w:r>
    </w:p>
    <w:bookmarkEnd w:id="94"/>
    <w:p w14:paraId="5AB43C93" w14:textId="2E9195AF" w:rsidR="00415A8F" w:rsidRPr="00563D24" w:rsidRDefault="00415A8F" w:rsidP="00415A8F">
      <w:pPr>
        <w:pStyle w:val="BodyText"/>
      </w:pPr>
      <w:r>
        <w:t xml:space="preserve">After considering the feedback we received during public consultation, we made a preliminary decision to </w:t>
      </w:r>
      <w:r w:rsidR="00E2571B">
        <w:t xml:space="preserve">recommend </w:t>
      </w:r>
      <w:r>
        <w:t>retain</w:t>
      </w:r>
      <w:r w:rsidR="00E2571B">
        <w:t>ing</w:t>
      </w:r>
      <w:r>
        <w:t xml:space="preserve"> the sentence aggravation model. We developed proposals for reform to address the problems we had identified with the current law. In November 2025, we tested those proposals with </w:t>
      </w:r>
      <w:r w:rsidR="0022292C">
        <w:t xml:space="preserve">a </w:t>
      </w:r>
      <w:r>
        <w:t xml:space="preserve">Technical Advisory Group established for the review, comprising legal </w:t>
      </w:r>
      <w:r w:rsidR="00374BFF">
        <w:t xml:space="preserve">and academic </w:t>
      </w:r>
      <w:r>
        <w:t>experts</w:t>
      </w:r>
      <w:r w:rsidR="00944317">
        <w:t xml:space="preserve"> (</w:t>
      </w:r>
      <w:r w:rsidR="007E480A">
        <w:t>listed in</w:t>
      </w:r>
      <w:r w:rsidR="00944317">
        <w:t xml:space="preserve"> Appendix 3)</w:t>
      </w:r>
      <w:r>
        <w:t>. We also invited feedback from members of the judiciary, law societies and relevant public sector agencies. The comments we received informed our final recommendations set out in this Report.</w:t>
      </w:r>
    </w:p>
    <w:p w14:paraId="7A770180" w14:textId="0D7B9021" w:rsidR="00E76851" w:rsidRDefault="00E76851" w:rsidP="00315EC3">
      <w:pPr>
        <w:pStyle w:val="Heading3"/>
      </w:pPr>
      <w:r>
        <w:t>Our approach to reform</w:t>
      </w:r>
    </w:p>
    <w:p w14:paraId="40E3B723" w14:textId="776A867A" w:rsidR="00AB2859" w:rsidRPr="00C8415B" w:rsidRDefault="00785991" w:rsidP="00AB2859">
      <w:pPr>
        <w:pStyle w:val="BodyText"/>
      </w:pPr>
      <w:r>
        <w:t xml:space="preserve">In </w:t>
      </w:r>
      <w:r w:rsidR="00E861F3">
        <w:t>assessing whether</w:t>
      </w:r>
      <w:r>
        <w:t xml:space="preserve"> </w:t>
      </w:r>
      <w:r w:rsidR="000D58BC">
        <w:t>reform</w:t>
      </w:r>
      <w:r w:rsidR="00E861F3">
        <w:t xml:space="preserve"> is required</w:t>
      </w:r>
      <w:r w:rsidR="000D58BC">
        <w:t>,</w:t>
      </w:r>
      <w:r w:rsidR="001E648E">
        <w:t xml:space="preserve"> our approach has been</w:t>
      </w:r>
      <w:r w:rsidR="00AB2859" w:rsidRPr="00C8415B">
        <w:t xml:space="preserve"> that we </w:t>
      </w:r>
      <w:r w:rsidR="001E648E">
        <w:t>will</w:t>
      </w:r>
      <w:r w:rsidR="00AB2859" w:rsidRPr="00C8415B" w:rsidDel="006964A6">
        <w:t xml:space="preserve"> </w:t>
      </w:r>
      <w:r w:rsidR="001E648E">
        <w:t>recommend</w:t>
      </w:r>
      <w:r w:rsidR="00AB2859" w:rsidRPr="00C8415B">
        <w:t xml:space="preserve"> changing the legal model if:</w:t>
      </w:r>
    </w:p>
    <w:p w14:paraId="59431019" w14:textId="38DF0449" w:rsidR="000B6EE6" w:rsidRDefault="001E648E" w:rsidP="00AB2859">
      <w:pPr>
        <w:pStyle w:val="BodyTextalphalist"/>
      </w:pPr>
      <w:r>
        <w:t>there are</w:t>
      </w:r>
      <w:r w:rsidR="00AB2859" w:rsidRPr="00C8415B">
        <w:t xml:space="preserve"> problems with the current law</w:t>
      </w:r>
      <w:r w:rsidR="000B6EE6">
        <w:t>;</w:t>
      </w:r>
    </w:p>
    <w:p w14:paraId="7AF58E15" w14:textId="75E83DF9" w:rsidR="00AB2859" w:rsidRPr="00C8415B" w:rsidRDefault="000B6EE6" w:rsidP="00AB2859">
      <w:pPr>
        <w:pStyle w:val="BodyTextalphalist"/>
      </w:pPr>
      <w:r>
        <w:t>those problems</w:t>
      </w:r>
      <w:r w:rsidR="00AB2859" w:rsidRPr="00C8415B">
        <w:rPr>
          <w:rFonts w:eastAsia="Calibri"/>
        </w:rPr>
        <w:t xml:space="preserve"> </w:t>
      </w:r>
      <w:r w:rsidR="00AB2859" w:rsidRPr="00C8415B">
        <w:rPr>
          <w:rFonts w:eastAsia="Calibri"/>
          <w:lang w:eastAsia="en-US"/>
        </w:rPr>
        <w:t>cannot be addressed by making changes to the sentence aggravation model (in other words, they are fundamental problems with the model); and</w:t>
      </w:r>
    </w:p>
    <w:p w14:paraId="3958A9B3" w14:textId="54D58CC0" w:rsidR="00AB2859" w:rsidRPr="00C8415B" w:rsidRDefault="00AB2859" w:rsidP="00AB2859">
      <w:pPr>
        <w:pStyle w:val="BodyTextalphalist"/>
      </w:pPr>
      <w:r w:rsidRPr="00C8415B">
        <w:t>an alternative legal model (such as hate crime offences) would address those problems without creating additional problems that would outweigh the benefits.</w:t>
      </w:r>
    </w:p>
    <w:p w14:paraId="19730B6D" w14:textId="64C4B820" w:rsidR="00AB2859" w:rsidDel="00703EB3" w:rsidRDefault="00AB2859" w:rsidP="00315EC3">
      <w:pPr>
        <w:pStyle w:val="BodyText"/>
      </w:pPr>
      <w:r w:rsidRPr="00C8415B" w:rsidDel="00703EB3">
        <w:t xml:space="preserve">We </w:t>
      </w:r>
      <w:r w:rsidR="009C4854">
        <w:t>take</w:t>
      </w:r>
      <w:r w:rsidRPr="00C8415B" w:rsidDel="00703EB3">
        <w:t xml:space="preserve"> that approach because of principles we discuss in Chapter 3 </w:t>
      </w:r>
      <w:r w:rsidRPr="00C8415B">
        <w:t>regarding</w:t>
      </w:r>
      <w:r w:rsidRPr="00C8415B" w:rsidDel="00703EB3">
        <w:t xml:space="preserve"> the creation of criminal offences.</w:t>
      </w:r>
    </w:p>
    <w:p w14:paraId="52E499DF" w14:textId="78250CC1" w:rsidR="00AB2859" w:rsidRDefault="00FE68E6" w:rsidP="00415A8F">
      <w:pPr>
        <w:pStyle w:val="BodyText"/>
      </w:pPr>
      <w:r>
        <w:t xml:space="preserve">This approach also shapes our recommendations for reform. In assessing whether the legal model should be changed, it </w:t>
      </w:r>
      <w:r w:rsidR="00F461D3">
        <w:t>is</w:t>
      </w:r>
      <w:r>
        <w:t xml:space="preserve"> necessary for us to consider whether the problems we </w:t>
      </w:r>
      <w:r w:rsidR="007C3416">
        <w:t>identi</w:t>
      </w:r>
      <w:r w:rsidR="00AE6B13">
        <w:t>fy</w:t>
      </w:r>
      <w:r w:rsidR="007C3416">
        <w:t xml:space="preserve"> with the current law can</w:t>
      </w:r>
      <w:r>
        <w:t xml:space="preserve"> </w:t>
      </w:r>
      <w:r w:rsidR="00510651">
        <w:t>instead</w:t>
      </w:r>
      <w:r w:rsidR="00E608F8">
        <w:t xml:space="preserve"> be addressed through amendments to the existing sentence aggravation model. Our recommendations </w:t>
      </w:r>
      <w:r w:rsidR="009A5130">
        <w:t xml:space="preserve">in Chapters 6 and 7 </w:t>
      </w:r>
      <w:r w:rsidR="00E608F8">
        <w:t xml:space="preserve">reflect our conclusion that they can. </w:t>
      </w:r>
    </w:p>
    <w:p w14:paraId="75B737C4" w14:textId="4AF2E7B3" w:rsidR="00F7360C" w:rsidRDefault="00364498" w:rsidP="00F7360C">
      <w:pPr>
        <w:pStyle w:val="BodyText"/>
        <w:numPr>
          <w:ilvl w:val="1"/>
          <w:numId w:val="31"/>
        </w:numPr>
        <w:ind w:hanging="709"/>
        <w:rPr>
          <w:rFonts w:eastAsia="Calibri" w:cs="Cordia New"/>
          <w:color w:val="auto"/>
          <w:szCs w:val="22"/>
          <w:lang w:eastAsia="en-US"/>
        </w:rPr>
      </w:pPr>
      <w:r>
        <w:t>Because th</w:t>
      </w:r>
      <w:r w:rsidR="00AA2D29">
        <w:t xml:space="preserve">e focus of this review is whether the legal model for hate crime should be changed, we do not </w:t>
      </w:r>
      <w:r w:rsidR="001325CD">
        <w:t xml:space="preserve">undertake a comprehensive redrafting exercise of </w:t>
      </w:r>
      <w:r w:rsidR="000B5DA1">
        <w:t xml:space="preserve">section 9(1)(h) of the Sentencing Act. </w:t>
      </w:r>
      <w:r w:rsidR="00A1149C">
        <w:t xml:space="preserve">As noted above, </w:t>
      </w:r>
      <w:r w:rsidR="009339AB">
        <w:t xml:space="preserve">however, </w:t>
      </w:r>
      <w:r w:rsidR="00A1149C">
        <w:t xml:space="preserve">our </w:t>
      </w:r>
      <w:r w:rsidR="005819CE">
        <w:t>t</w:t>
      </w:r>
      <w:r w:rsidR="00A1149C">
        <w:t xml:space="preserve">erms of </w:t>
      </w:r>
      <w:r w:rsidR="005819CE">
        <w:t>r</w:t>
      </w:r>
      <w:r w:rsidR="00A1149C">
        <w:t xml:space="preserve">eference </w:t>
      </w:r>
      <w:r w:rsidR="00A1149C" w:rsidRPr="00C8415B">
        <w:t>envisage that</w:t>
      </w:r>
      <w:r w:rsidR="006A39A6">
        <w:t xml:space="preserve"> </w:t>
      </w:r>
      <w:r w:rsidR="00A1149C" w:rsidRPr="00C8415B">
        <w:t xml:space="preserve">we might make recommendations for reform to respond to specific problems with the operation of the current law. </w:t>
      </w:r>
      <w:r w:rsidR="00B1673D">
        <w:t xml:space="preserve">In Chapter 8, </w:t>
      </w:r>
      <w:r w:rsidR="00180DD0">
        <w:t xml:space="preserve">we </w:t>
      </w:r>
      <w:r w:rsidR="006C3EB0">
        <w:t xml:space="preserve">recommend </w:t>
      </w:r>
      <w:r w:rsidR="00F7360C">
        <w:t xml:space="preserve">reforms to section 9(1)(h) to respond to </w:t>
      </w:r>
      <w:r w:rsidR="00507F75">
        <w:t xml:space="preserve">a </w:t>
      </w:r>
      <w:r w:rsidR="007E4C8A">
        <w:t xml:space="preserve">clear </w:t>
      </w:r>
      <w:r w:rsidR="00BA55B3">
        <w:t xml:space="preserve">problem </w:t>
      </w:r>
      <w:r w:rsidR="001A2EF5">
        <w:t>with its current wording</w:t>
      </w:r>
      <w:r w:rsidR="00BA55B3">
        <w:t xml:space="preserve"> </w:t>
      </w:r>
      <w:r w:rsidR="00956827">
        <w:t xml:space="preserve">and </w:t>
      </w:r>
      <w:r w:rsidR="00EB3000">
        <w:t xml:space="preserve">to address </w:t>
      </w:r>
      <w:r w:rsidR="00272921">
        <w:t xml:space="preserve">an </w:t>
      </w:r>
      <w:r w:rsidR="00F7360C">
        <w:rPr>
          <w:rFonts w:eastAsia="Calibri" w:cs="Cordia New"/>
          <w:color w:val="auto"/>
          <w:szCs w:val="22"/>
          <w:lang w:eastAsia="en-US"/>
        </w:rPr>
        <w:t>issue that arise</w:t>
      </w:r>
      <w:r w:rsidR="00272921">
        <w:rPr>
          <w:rFonts w:eastAsia="Calibri" w:cs="Cordia New"/>
          <w:color w:val="auto"/>
          <w:szCs w:val="22"/>
          <w:lang w:eastAsia="en-US"/>
        </w:rPr>
        <w:t>s</w:t>
      </w:r>
      <w:r w:rsidR="00F7360C">
        <w:rPr>
          <w:rFonts w:eastAsia="Calibri" w:cs="Cordia New"/>
          <w:color w:val="auto"/>
          <w:szCs w:val="22"/>
          <w:lang w:eastAsia="en-US"/>
        </w:rPr>
        <w:t xml:space="preserve"> as a consequence of other reforms we propose</w:t>
      </w:r>
      <w:r w:rsidR="00956827">
        <w:rPr>
          <w:rFonts w:eastAsia="Calibri" w:cs="Cordia New"/>
          <w:color w:val="auto"/>
          <w:szCs w:val="22"/>
          <w:lang w:eastAsia="en-US"/>
        </w:rPr>
        <w:t>.</w:t>
      </w:r>
    </w:p>
    <w:p w14:paraId="5221F5FB" w14:textId="77777777" w:rsidR="00340CCE" w:rsidRDefault="00340CCE">
      <w:pPr>
        <w:spacing w:before="0" w:after="0" w:line="240" w:lineRule="auto"/>
        <w:rPr>
          <w:rFonts w:ascii="Metropolis" w:hAnsi="Metropolis"/>
          <w:b/>
          <w:caps/>
          <w:color w:val="5CA0B9"/>
          <w:sz w:val="22"/>
        </w:rPr>
      </w:pPr>
      <w:bookmarkStart w:id="95" w:name="_Toc231467818"/>
      <w:r>
        <w:br w:type="page"/>
      </w:r>
    </w:p>
    <w:p w14:paraId="4F84C9DD" w14:textId="3F6B1D6D" w:rsidR="00415A8F" w:rsidRPr="00924001" w:rsidRDefault="00415A8F" w:rsidP="00415A8F">
      <w:pPr>
        <w:pStyle w:val="Heading2"/>
      </w:pPr>
      <w:r w:rsidRPr="00924001">
        <w:t xml:space="preserve">Structure of this </w:t>
      </w:r>
      <w:r w:rsidR="00311A8C">
        <w:t>R</w:t>
      </w:r>
      <w:r w:rsidRPr="00924001">
        <w:t>eport</w:t>
      </w:r>
      <w:bookmarkEnd w:id="95"/>
    </w:p>
    <w:p w14:paraId="344103CB" w14:textId="77777777" w:rsidR="00415A8F" w:rsidRPr="00924001" w:rsidRDefault="00415A8F" w:rsidP="00415A8F">
      <w:pPr>
        <w:pStyle w:val="BodyText"/>
      </w:pPr>
      <w:r w:rsidRPr="00924001">
        <w:t>This Report is divided into three parts.</w:t>
      </w:r>
    </w:p>
    <w:p w14:paraId="3D3B5ACA" w14:textId="31B9EEF7" w:rsidR="00415A8F" w:rsidRPr="00924001" w:rsidRDefault="00415A8F" w:rsidP="00415A8F">
      <w:pPr>
        <w:pStyle w:val="BodyText"/>
      </w:pPr>
      <w:r w:rsidRPr="00924001">
        <w:t xml:space="preserve">Part </w:t>
      </w:r>
      <w:r>
        <w:t>1</w:t>
      </w:r>
      <w:r w:rsidRPr="00924001">
        <w:t xml:space="preserve"> addresses background and conceptual matters that provide context to our analysis and recommendations later in the Report</w:t>
      </w:r>
      <w:r w:rsidR="00266990">
        <w:t>:</w:t>
      </w:r>
    </w:p>
    <w:p w14:paraId="2916BB45" w14:textId="66AA2E07" w:rsidR="00415A8F" w:rsidRPr="00924001" w:rsidRDefault="00415A8F" w:rsidP="00415A8F">
      <w:pPr>
        <w:pStyle w:val="BodyTextalphalist"/>
      </w:pPr>
      <w:r w:rsidRPr="00924001">
        <w:t>In Chapter 2</w:t>
      </w:r>
      <w:r w:rsidR="00D01791">
        <w:t>,</w:t>
      </w:r>
      <w:r w:rsidRPr="00924001">
        <w:t xml:space="preserve"> we discuss hate crime in Aotearoa New Zealand. We describe the current law, what we know about the nature and prevalence of hate crime and how the justice system responds to hate crime.</w:t>
      </w:r>
    </w:p>
    <w:p w14:paraId="681B0F45" w14:textId="0AEF6886" w:rsidR="00415A8F" w:rsidRPr="00924001" w:rsidRDefault="00415A8F" w:rsidP="00415A8F">
      <w:pPr>
        <w:pStyle w:val="BodyTextalphalist"/>
      </w:pPr>
      <w:r w:rsidRPr="00924001">
        <w:t>In Chapter 3</w:t>
      </w:r>
      <w:r w:rsidR="00D01791">
        <w:t>,</w:t>
      </w:r>
      <w:r w:rsidRPr="00924001">
        <w:t xml:space="preserve"> we set out the key reform considerations we have used to guide our review. We discuss the rationale for treating hate crimes more seriously than </w:t>
      </w:r>
      <w:r w:rsidR="00D575F9">
        <w:t>equivalent</w:t>
      </w:r>
      <w:r w:rsidR="00D575F9" w:rsidRPr="00924001">
        <w:t xml:space="preserve"> </w:t>
      </w:r>
      <w:r w:rsidRPr="00924001">
        <w:t xml:space="preserve">crimes that are not motivated by hostility and the objectives hate crime law should seek to fulfil. We explain the criminal law principles that should be taken into account when deciding whether to create new offences and how they have affected our approach to this review. We also discuss the relevance of </w:t>
      </w:r>
      <w:r w:rsidR="00346F5F">
        <w:t>t</w:t>
      </w:r>
      <w:r w:rsidRPr="00924001">
        <w:t>e</w:t>
      </w:r>
      <w:r w:rsidRPr="00924001">
        <w:rPr>
          <w:rFonts w:ascii="Calibri" w:hAnsi="Calibri" w:cs="Calibri"/>
        </w:rPr>
        <w:t xml:space="preserve"> </w:t>
      </w:r>
      <w:r w:rsidRPr="00924001">
        <w:t>Tiriti</w:t>
      </w:r>
      <w:r w:rsidRPr="00924001">
        <w:rPr>
          <w:rFonts w:ascii="Calibri" w:hAnsi="Calibri" w:cs="Calibri"/>
        </w:rPr>
        <w:t xml:space="preserve"> </w:t>
      </w:r>
      <w:r w:rsidRPr="00924001">
        <w:t>o Waitangi | Treaty of Waitangi, tikanga and human rights to this review.</w:t>
      </w:r>
    </w:p>
    <w:p w14:paraId="7125B5A9" w14:textId="2113A97A" w:rsidR="00415A8F" w:rsidRPr="00924001" w:rsidRDefault="00415A8F" w:rsidP="00415A8F">
      <w:pPr>
        <w:pStyle w:val="BodyText"/>
      </w:pPr>
      <w:r w:rsidRPr="00924001">
        <w:t>Part</w:t>
      </w:r>
      <w:r w:rsidRPr="00924001" w:rsidDel="0094365F">
        <w:t xml:space="preserve"> </w:t>
      </w:r>
      <w:r>
        <w:t>2</w:t>
      </w:r>
      <w:r w:rsidRPr="00924001">
        <w:t xml:space="preserve"> considers the appropriate legal model for addressing hate crime in Aotearoa New Zealand</w:t>
      </w:r>
      <w:r w:rsidR="00982843">
        <w:t>:</w:t>
      </w:r>
    </w:p>
    <w:p w14:paraId="4EB70E4D" w14:textId="422E1396" w:rsidR="00415A8F" w:rsidRPr="00924001" w:rsidRDefault="00415A8F" w:rsidP="00415A8F">
      <w:pPr>
        <w:pStyle w:val="BodyTextalphalist"/>
      </w:pPr>
      <w:r w:rsidRPr="00924001">
        <w:t>In Chapter 4</w:t>
      </w:r>
      <w:r w:rsidR="00D01791">
        <w:t>,</w:t>
      </w:r>
      <w:r w:rsidRPr="00924001">
        <w:t xml:space="preserve"> we explore whether there are problems with the current </w:t>
      </w:r>
      <w:r w:rsidR="00845BB2">
        <w:t>law relating to</w:t>
      </w:r>
      <w:r w:rsidRPr="00924001">
        <w:t xml:space="preserve"> hate crime. We </w:t>
      </w:r>
      <w:r w:rsidR="00472689">
        <w:t xml:space="preserve">identify </w:t>
      </w:r>
      <w:r w:rsidR="000369E1">
        <w:t>several</w:t>
      </w:r>
      <w:r w:rsidR="00472689">
        <w:t xml:space="preserve"> issues with how the law operates in practice. </w:t>
      </w:r>
    </w:p>
    <w:p w14:paraId="74EFAE85" w14:textId="0D6F0D26" w:rsidR="00D01791" w:rsidRPr="00924001" w:rsidRDefault="00415A8F" w:rsidP="00D01791">
      <w:pPr>
        <w:pStyle w:val="BodyTextalphalist"/>
      </w:pPr>
      <w:r w:rsidRPr="00924001">
        <w:t>In Chapter 5</w:t>
      </w:r>
      <w:r w:rsidR="00D01791">
        <w:t>,</w:t>
      </w:r>
      <w:r w:rsidRPr="00924001">
        <w:t xml:space="preserve"> we </w:t>
      </w:r>
      <w:r w:rsidR="00FF10B1">
        <w:t xml:space="preserve">outline the key features of the current sentence aggravation model and the two </w:t>
      </w:r>
      <w:r w:rsidRPr="00924001">
        <w:t>alternative legal models we considered in this review —</w:t>
      </w:r>
      <w:r w:rsidR="00342DE3">
        <w:t xml:space="preserve"> </w:t>
      </w:r>
      <w:r w:rsidRPr="00924001">
        <w:t xml:space="preserve">specific hate crime offences and the Scottish hybrid model. We </w:t>
      </w:r>
      <w:r w:rsidR="00647678">
        <w:t xml:space="preserve">assess </w:t>
      </w:r>
      <w:r w:rsidR="00A1569E">
        <w:t>whether the problems identified in Chapter 4 can be addressed by making changes to the sentence aggravation model or whether an alternative model would address t</w:t>
      </w:r>
      <w:r w:rsidR="00223A42">
        <w:t>hem</w:t>
      </w:r>
      <w:r w:rsidR="00A1569E">
        <w:t xml:space="preserve"> more effectively. </w:t>
      </w:r>
      <w:r w:rsidR="00D01791">
        <w:t>We conclude that</w:t>
      </w:r>
      <w:r w:rsidR="004D6F32">
        <w:t xml:space="preserve"> t</w:t>
      </w:r>
      <w:r w:rsidR="00D01791">
        <w:rPr>
          <w:rFonts w:eastAsia="Calibri"/>
        </w:rPr>
        <w:t xml:space="preserve">he problems </w:t>
      </w:r>
      <w:r w:rsidR="00D01791">
        <w:t>identified</w:t>
      </w:r>
      <w:r w:rsidR="00D01791">
        <w:rPr>
          <w:rFonts w:eastAsia="Calibri"/>
        </w:rPr>
        <w:t xml:space="preserve"> are not fundamental problems with the sentence aggravation model and can be addressed by making changes to it. </w:t>
      </w:r>
      <w:r w:rsidR="007C6BDA">
        <w:rPr>
          <w:rFonts w:eastAsia="Calibri"/>
          <w:lang w:eastAsia="en-US"/>
        </w:rPr>
        <w:t>Neither</w:t>
      </w:r>
      <w:r w:rsidR="00D01791">
        <w:t xml:space="preserve"> of the alternative models would effectively address </w:t>
      </w:r>
      <w:r w:rsidR="00C51235">
        <w:t>the</w:t>
      </w:r>
      <w:r w:rsidR="00D01791">
        <w:t xml:space="preserve"> problems</w:t>
      </w:r>
      <w:r w:rsidR="00C51235">
        <w:t xml:space="preserve"> with the current law</w:t>
      </w:r>
      <w:r w:rsidR="00D01791">
        <w:t>. Both alternative models also have significant disadvantages that would outweigh their limited benefits.</w:t>
      </w:r>
      <w:r w:rsidR="00FB75DE">
        <w:t xml:space="preserve"> We do not recommend changing the legal model.</w:t>
      </w:r>
    </w:p>
    <w:p w14:paraId="79D7CF0E" w14:textId="0A4D2457" w:rsidR="00415A8F" w:rsidRPr="00924001" w:rsidRDefault="00415A8F" w:rsidP="00415A8F">
      <w:pPr>
        <w:pStyle w:val="BodyText"/>
      </w:pPr>
      <w:r w:rsidRPr="00924001">
        <w:t>Part</w:t>
      </w:r>
      <w:r w:rsidRPr="00924001" w:rsidDel="0094365F">
        <w:t xml:space="preserve"> </w:t>
      </w:r>
      <w:r>
        <w:t>3</w:t>
      </w:r>
      <w:r w:rsidRPr="00924001">
        <w:t xml:space="preserve"> sets out our recommendations for reform to improve the current sentence aggravation model</w:t>
      </w:r>
      <w:r w:rsidR="009C7E38">
        <w:t>:</w:t>
      </w:r>
    </w:p>
    <w:p w14:paraId="1B3B53E5" w14:textId="6FC8400E" w:rsidR="00415A8F" w:rsidRPr="00924001" w:rsidRDefault="00415A8F" w:rsidP="00415A8F">
      <w:pPr>
        <w:pStyle w:val="BodyTextalphalist"/>
      </w:pPr>
      <w:r w:rsidRPr="00924001">
        <w:t>In Chapter 6</w:t>
      </w:r>
      <w:r w:rsidR="00675524">
        <w:t>,</w:t>
      </w:r>
      <w:r w:rsidRPr="00924001">
        <w:t xml:space="preserve"> we make recommendations to improve</w:t>
      </w:r>
      <w:r>
        <w:t xml:space="preserve"> how hate crimes are identified and recorded</w:t>
      </w:r>
      <w:r w:rsidRPr="00924001">
        <w:t xml:space="preserve"> </w:t>
      </w:r>
      <w:r w:rsidRPr="00924001" w:rsidDel="00091BEC">
        <w:t>in</w:t>
      </w:r>
      <w:r w:rsidRPr="00924001">
        <w:t xml:space="preserve"> the courts</w:t>
      </w:r>
      <w:r>
        <w:t xml:space="preserve">, </w:t>
      </w:r>
      <w:r w:rsidR="00877904">
        <w:t>by creating a court</w:t>
      </w:r>
      <w:r>
        <w:t xml:space="preserve"> hate crime flag</w:t>
      </w:r>
      <w:r w:rsidRPr="00924001">
        <w:t xml:space="preserve">. We recommend </w:t>
      </w:r>
      <w:r>
        <w:t>legislative amendment to allow</w:t>
      </w:r>
      <w:r w:rsidRPr="00924001">
        <w:t xml:space="preserve"> </w:t>
      </w:r>
      <w:r>
        <w:t xml:space="preserve">Police to specify if the </w:t>
      </w:r>
      <w:r w:rsidRPr="006F11CE">
        <w:t>hostility aggravating factor</w:t>
      </w:r>
      <w:r>
        <w:t xml:space="preserve"> is alleged to apply to an offence when laying charges and </w:t>
      </w:r>
      <w:r w:rsidRPr="00924001" w:rsidDel="00C813D1">
        <w:t xml:space="preserve">to </w:t>
      </w:r>
      <w:r>
        <w:t>require</w:t>
      </w:r>
      <w:r w:rsidRPr="00924001" w:rsidDel="001C6E11">
        <w:t xml:space="preserve"> </w:t>
      </w:r>
      <w:r>
        <w:t>judges</w:t>
      </w:r>
      <w:r w:rsidRPr="00924001">
        <w:t xml:space="preserve"> to formally record its application</w:t>
      </w:r>
      <w:r w:rsidRPr="00924001" w:rsidDel="00C813D1">
        <w:t>. We also recommend</w:t>
      </w:r>
      <w:r>
        <w:t xml:space="preserve"> that</w:t>
      </w:r>
      <w:r w:rsidRPr="00924001">
        <w:t xml:space="preserve"> the courts share information about the application of the aggravating factor with Police and Corrections.</w:t>
      </w:r>
    </w:p>
    <w:p w14:paraId="4E0E25BF" w14:textId="634240EE" w:rsidR="00415A8F" w:rsidRPr="00924001" w:rsidRDefault="00415A8F" w:rsidP="00415A8F">
      <w:pPr>
        <w:pStyle w:val="BodyTextalphalist"/>
      </w:pPr>
      <w:r w:rsidRPr="00924001">
        <w:t xml:space="preserve">In Chapter </w:t>
      </w:r>
      <w:r w:rsidR="004E62C2">
        <w:t>7</w:t>
      </w:r>
      <w:r w:rsidR="00675524">
        <w:t>,</w:t>
      </w:r>
      <w:r w:rsidRPr="00924001">
        <w:t xml:space="preserve"> we address denunciation of hate crimes in sentencing decisions. We recommend </w:t>
      </w:r>
      <w:r>
        <w:t xml:space="preserve">legislative amendment to </w:t>
      </w:r>
      <w:r w:rsidRPr="00924001">
        <w:t>requir</w:t>
      </w:r>
      <w:r>
        <w:t>e</w:t>
      </w:r>
      <w:r w:rsidRPr="00924001">
        <w:t xml:space="preserve"> sentencing judges to state if an offence was motivated by hostility when giving reasons for imposing a sentence. We discuss other options but</w:t>
      </w:r>
      <w:r>
        <w:t xml:space="preserve"> </w:t>
      </w:r>
      <w:r w:rsidRPr="00924001">
        <w:t xml:space="preserve">do not recommend reform. </w:t>
      </w:r>
    </w:p>
    <w:p w14:paraId="0FCAFB03" w14:textId="1A82A1D3" w:rsidR="00415A8F" w:rsidRPr="00924001" w:rsidRDefault="00415A8F" w:rsidP="00415A8F">
      <w:pPr>
        <w:pStyle w:val="BodyTextalphalist"/>
      </w:pPr>
      <w:r w:rsidRPr="00924001">
        <w:t xml:space="preserve">In Chapter </w:t>
      </w:r>
      <w:r w:rsidR="004E62C2">
        <w:t>8</w:t>
      </w:r>
      <w:r w:rsidR="00675524">
        <w:t>,</w:t>
      </w:r>
      <w:r w:rsidRPr="00924001">
        <w:t xml:space="preserve"> we </w:t>
      </w:r>
      <w:r w:rsidR="00CF6360">
        <w:t xml:space="preserve">discuss </w:t>
      </w:r>
      <w:r w:rsidR="00DD114F">
        <w:t xml:space="preserve">several potential </w:t>
      </w:r>
      <w:r w:rsidR="00D335AC">
        <w:t xml:space="preserve">problems with the current wording of section 9(1)(h) </w:t>
      </w:r>
      <w:r w:rsidR="003C242F">
        <w:t xml:space="preserve">on which we consulted or </w:t>
      </w:r>
      <w:r w:rsidR="00B63051">
        <w:t>that</w:t>
      </w:r>
      <w:r w:rsidR="003C242F">
        <w:t xml:space="preserve"> were raised with</w:t>
      </w:r>
      <w:r w:rsidR="00D74269">
        <w:t xml:space="preserve"> u</w:t>
      </w:r>
      <w:r w:rsidR="003C242F">
        <w:t>s during consultation</w:t>
      </w:r>
      <w:r w:rsidR="002C1933">
        <w:t xml:space="preserve">. </w:t>
      </w:r>
      <w:r w:rsidR="002C1933" w:rsidRPr="00924001">
        <w:t xml:space="preserve">We recommend an amendment to ensure the aggravating factor can apply where the victim is </w:t>
      </w:r>
      <w:r w:rsidR="00E672A0">
        <w:t>targeted because of their association with</w:t>
      </w:r>
      <w:r w:rsidR="003244D8">
        <w:t xml:space="preserve">, rather than their membership of, </w:t>
      </w:r>
      <w:r w:rsidR="002C1933" w:rsidRPr="00924001">
        <w:t xml:space="preserve">the targeted group of people or is an innocent bystander. </w:t>
      </w:r>
      <w:r w:rsidRPr="00924001">
        <w:t xml:space="preserve">We </w:t>
      </w:r>
      <w:r w:rsidR="002C1933">
        <w:t>also</w:t>
      </w:r>
      <w:r w:rsidRPr="00924001">
        <w:t xml:space="preserve"> recommend adding ‘sex’ to the list of characteristics covered by the aggravating factor</w:t>
      </w:r>
      <w:r>
        <w:t>.</w:t>
      </w:r>
      <w:r w:rsidRPr="00924001">
        <w:t xml:space="preserve"> </w:t>
      </w:r>
      <w:r>
        <w:t>This would</w:t>
      </w:r>
      <w:r w:rsidRPr="00924001">
        <w:t xml:space="preserve"> clarify that the factor </w:t>
      </w:r>
      <w:r w:rsidR="00EB6341">
        <w:t>applies</w:t>
      </w:r>
      <w:r w:rsidRPr="00924001">
        <w:t xml:space="preserve"> to offending motivated by hostility </w:t>
      </w:r>
      <w:r>
        <w:t>based on sex, particularly</w:t>
      </w:r>
      <w:r w:rsidRPr="00924001">
        <w:t xml:space="preserve"> </w:t>
      </w:r>
      <w:r>
        <w:t xml:space="preserve">hostility </w:t>
      </w:r>
      <w:r w:rsidRPr="00924001">
        <w:t>toward</w:t>
      </w:r>
      <w:r>
        <w:t>s</w:t>
      </w:r>
      <w:r w:rsidRPr="00924001">
        <w:t xml:space="preserve"> women. </w:t>
      </w:r>
    </w:p>
    <w:p w14:paraId="790C67C5" w14:textId="0B8D098D" w:rsidR="00415A8F" w:rsidRPr="00924001" w:rsidRDefault="00415A8F" w:rsidP="00415A8F">
      <w:pPr>
        <w:pStyle w:val="BodyTextalphalist"/>
      </w:pPr>
      <w:r w:rsidRPr="00924001">
        <w:t xml:space="preserve">In Chapter </w:t>
      </w:r>
      <w:r w:rsidR="004E62C2">
        <w:t>9</w:t>
      </w:r>
      <w:r w:rsidR="00675524">
        <w:t>,</w:t>
      </w:r>
      <w:r w:rsidRPr="00924001">
        <w:t xml:space="preserve"> we make operational recommendations to support our recommended reforms. We recommend guidance and training for Police, </w:t>
      </w:r>
      <w:r>
        <w:t>prosecutors</w:t>
      </w:r>
      <w:r w:rsidRPr="00924001">
        <w:t xml:space="preserve"> and judges to ensure they are appropriately informed about any changes to the law</w:t>
      </w:r>
      <w:r>
        <w:t xml:space="preserve"> as a result of this review</w:t>
      </w:r>
      <w:r w:rsidRPr="00924001">
        <w:t>. We also recommend that Police and the Ministry of Justice publish data on hate crimes annually.</w:t>
      </w:r>
    </w:p>
    <w:p w14:paraId="7701E28C" w14:textId="77777777" w:rsidR="00657619" w:rsidRPr="00330E85" w:rsidRDefault="00657619" w:rsidP="009D6965"/>
    <w:p w14:paraId="726F5C58" w14:textId="7D14ADD2" w:rsidR="00340CCE" w:rsidRDefault="00140CD5" w:rsidP="009D6965">
      <w:r w:rsidRPr="00330E85">
        <w:rPr>
          <w:noProof/>
        </w:rPr>
        <mc:AlternateContent>
          <mc:Choice Requires="wps">
            <w:drawing>
              <wp:anchor distT="0" distB="0" distL="114300" distR="114300" simplePos="0" relativeHeight="251658248" behindDoc="0" locked="0" layoutInCell="1" allowOverlap="1" wp14:anchorId="2C034BCC" wp14:editId="006A6DDE">
                <wp:simplePos x="0" y="0"/>
                <wp:positionH relativeFrom="margin">
                  <wp:posOffset>0</wp:posOffset>
                </wp:positionH>
                <wp:positionV relativeFrom="paragraph">
                  <wp:posOffset>134307</wp:posOffset>
                </wp:positionV>
                <wp:extent cx="2721610"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BDBA4" id="Straight Connector 25" o:spid="_x0000_s1026" style="position:absolute;z-index:251658248;visibility:visible;mso-wrap-style:square;mso-wrap-distance-left:9pt;mso-wrap-distance-top:0;mso-wrap-distance-right:9pt;mso-wrap-distance-bottom:0;mso-position-horizontal:absolute;mso-position-horizontal-relative:margin;mso-position-vertical:absolute;mso-position-vertical-relative:text" from="0,10.6pt" to="214.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" strokecolor="#5ca0b9" strokeweight="2.5pt">
                <w10:wrap anchorx="margin"/>
              </v:line>
            </w:pict>
          </mc:Fallback>
        </mc:AlternateContent>
      </w:r>
    </w:p>
    <w:p w14:paraId="1FB749BD" w14:textId="160ECE69" w:rsidR="0097234C" w:rsidRPr="00330E85" w:rsidRDefault="0097234C" w:rsidP="00837BEF">
      <w:pPr>
        <w:spacing w:after="0" w:line="240" w:lineRule="auto"/>
      </w:pPr>
    </w:p>
    <w:p w14:paraId="018F6D0C" w14:textId="77777777" w:rsidR="00862717" w:rsidRPr="00330E85" w:rsidRDefault="00862717" w:rsidP="00862717">
      <w:pPr>
        <w:spacing w:after="0" w:line="240" w:lineRule="auto"/>
        <w:rPr>
          <w:color w:val="0D0D0D"/>
        </w:rPr>
      </w:pPr>
    </w:p>
    <w:p w14:paraId="7D97351B" w14:textId="77777777" w:rsidR="00862717" w:rsidRPr="00330E85" w:rsidRDefault="00862717" w:rsidP="00862717">
      <w:pPr>
        <w:spacing w:after="0" w:line="240" w:lineRule="auto"/>
        <w:rPr>
          <w:color w:val="0D0D0D"/>
        </w:rPr>
      </w:pPr>
    </w:p>
    <w:p w14:paraId="11D4BD36" w14:textId="77777777" w:rsidR="00CB6B87" w:rsidRPr="00862717" w:rsidRDefault="00CB6B87" w:rsidP="00CB6B87">
      <w:pPr>
        <w:pStyle w:val="TOC1"/>
        <w:spacing w:after="0"/>
        <w:rPr>
          <w:color w:val="0D0D0D"/>
        </w:rPr>
      </w:pPr>
    </w:p>
    <w:p w14:paraId="296B89AD" w14:textId="77777777" w:rsidR="00CB6B87" w:rsidRPr="00862717" w:rsidRDefault="00CB6B87" w:rsidP="00CB6B87">
      <w:pPr>
        <w:spacing w:before="0" w:after="0" w:line="240" w:lineRule="auto"/>
        <w:rPr>
          <w:color w:val="0D0D0D"/>
        </w:rPr>
        <w:sectPr w:rsidR="00CB6B87" w:rsidRPr="00862717" w:rsidSect="008A729E">
          <w:headerReference w:type="even" r:id="rId37"/>
          <w:headerReference w:type="default" r:id="rId38"/>
          <w:footnotePr>
            <w:numRestart w:val="eachSect"/>
          </w:footnotePr>
          <w:pgSz w:w="11907" w:h="16840" w:code="9"/>
          <w:pgMar w:top="1134" w:right="1134" w:bottom="1134" w:left="1701" w:header="499" w:footer="46" w:gutter="0"/>
          <w:cols w:space="720"/>
        </w:sectPr>
      </w:pPr>
    </w:p>
    <w:p w14:paraId="1D8D6926" w14:textId="77777777" w:rsidR="00CB6B87" w:rsidRPr="00862717" w:rsidRDefault="00CB6B87" w:rsidP="00CB6B87">
      <w:pPr>
        <w:spacing w:before="0" w:after="0" w:line="240" w:lineRule="auto"/>
        <w:rPr>
          <w:color w:val="0D0D0D"/>
        </w:rPr>
      </w:pPr>
    </w:p>
    <w:p w14:paraId="55078C3A" w14:textId="77777777" w:rsidR="00CB6B87" w:rsidRPr="00862717" w:rsidRDefault="00CB6B87" w:rsidP="00CB6B87">
      <w:pPr>
        <w:spacing w:before="0" w:after="0" w:line="240" w:lineRule="auto"/>
        <w:rPr>
          <w:color w:val="0D0D0D"/>
        </w:rPr>
      </w:pPr>
    </w:p>
    <w:p w14:paraId="1D9B7A78" w14:textId="77777777" w:rsidR="00CB6B87" w:rsidRPr="00862717" w:rsidRDefault="00CB6B87" w:rsidP="00CB6B87">
      <w:pPr>
        <w:spacing w:before="0" w:after="0" w:line="240" w:lineRule="auto"/>
        <w:rPr>
          <w:color w:val="0D0D0D"/>
        </w:rPr>
      </w:pPr>
    </w:p>
    <w:p w14:paraId="70B6088F" w14:textId="77777777" w:rsidR="00CB6B87" w:rsidRPr="00862717" w:rsidRDefault="00CB6B87" w:rsidP="00CB6B87">
      <w:pPr>
        <w:spacing w:after="240"/>
        <w:rPr>
          <w:rFonts w:ascii="Metropolis Black" w:eastAsia="Metropolis Black" w:hAnsi="Metropolis Black"/>
          <w:b/>
          <w:color w:val="5CA0B9"/>
          <w:spacing w:val="-7"/>
          <w:sz w:val="66"/>
        </w:rPr>
      </w:pPr>
    </w:p>
    <w:p w14:paraId="12735448" w14:textId="77777777" w:rsidR="00CB6B87" w:rsidRPr="00862717" w:rsidRDefault="00CB6B87" w:rsidP="00CB6B87">
      <w:pPr>
        <w:spacing w:after="240"/>
        <w:rPr>
          <w:rFonts w:ascii="Metropolis Black" w:eastAsia="Metropolis Black" w:hAnsi="Metropolis Black"/>
          <w:b/>
          <w:color w:val="5CA0B9"/>
          <w:spacing w:val="-7"/>
          <w:sz w:val="66"/>
        </w:rPr>
      </w:pPr>
    </w:p>
    <w:p w14:paraId="6D750B38" w14:textId="77777777" w:rsidR="00CB6B87" w:rsidRPr="00862717" w:rsidRDefault="00CB6B87" w:rsidP="00CB6B87">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8268" behindDoc="1" locked="0" layoutInCell="1" allowOverlap="1" wp14:anchorId="04A10F0D" wp14:editId="14773DC8">
                <wp:simplePos x="0" y="0"/>
                <wp:positionH relativeFrom="page">
                  <wp:posOffset>1080135</wp:posOffset>
                </wp:positionH>
                <wp:positionV relativeFrom="paragraph">
                  <wp:posOffset>496570</wp:posOffset>
                </wp:positionV>
                <wp:extent cx="1332230" cy="1270"/>
                <wp:effectExtent l="0" t="19050" r="127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9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32E4C" id="Group 288" o:spid="_x0000_s1026" style="position:absolute;margin-left:85.05pt;margin-top:39.1pt;width:104.9pt;height:.1pt;z-index:-2516582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499g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Pr>
          <w:rFonts w:ascii="Metropolis Black" w:eastAsia="Metropolis Black" w:hAnsi="Metropolis Black"/>
          <w:b/>
          <w:color w:val="5CA0B9"/>
          <w:spacing w:val="-7"/>
          <w:sz w:val="40"/>
          <w:szCs w:val="2"/>
        </w:rPr>
        <w:t>1</w:t>
      </w:r>
      <w:r w:rsidRPr="00862717">
        <w:rPr>
          <w:rFonts w:ascii="Metropolis Black" w:eastAsia="Metropolis Black" w:hAnsi="Metropolis Black"/>
          <w:b/>
          <w:color w:val="5CA0B9"/>
          <w:spacing w:val="-7"/>
          <w:sz w:val="40"/>
          <w:szCs w:val="2"/>
        </w:rPr>
        <w:t>:</w:t>
      </w:r>
    </w:p>
    <w:p w14:paraId="3E3C64F8" w14:textId="77777777" w:rsidR="00CB6B87" w:rsidRPr="00862717" w:rsidRDefault="00CB6B87" w:rsidP="00CB6B87">
      <w:pPr>
        <w:spacing w:after="240"/>
        <w:rPr>
          <w:rFonts w:ascii="Metropolis Black" w:eastAsia="Metropolis Black" w:hAnsi="Metropolis Black"/>
          <w:b/>
          <w:color w:val="5CA0B9"/>
          <w:spacing w:val="-7"/>
          <w:sz w:val="32"/>
          <w:szCs w:val="10"/>
        </w:rPr>
      </w:pPr>
    </w:p>
    <w:p w14:paraId="2DFA613A" w14:textId="3AD32E35" w:rsidR="00CB6B87" w:rsidRPr="00862717" w:rsidRDefault="0004075D" w:rsidP="00CB6B87">
      <w:pPr>
        <w:pStyle w:val="Heading1-Mainpart"/>
        <w:rPr>
          <w:b w:val="0"/>
        </w:rPr>
      </w:pPr>
      <w:bookmarkStart w:id="96" w:name="_Toc231467819"/>
      <w:r w:rsidRPr="0004075D">
        <w:t>BACKGROUND AND CONCEPTUAL MATTERS</w:t>
      </w:r>
      <w:bookmarkEnd w:id="96"/>
      <w:r w:rsidR="00CB6B87" w:rsidRPr="00862717">
        <w:rPr>
          <w:b w:val="0"/>
        </w:rPr>
        <w:t xml:space="preserve"> </w:t>
      </w:r>
    </w:p>
    <w:p w14:paraId="7970AD75" w14:textId="77777777" w:rsidR="00CB6B87" w:rsidRPr="00862717" w:rsidRDefault="00CB6B87" w:rsidP="00CB6B87">
      <w:pPr>
        <w:spacing w:before="0" w:after="0" w:line="240" w:lineRule="auto"/>
        <w:rPr>
          <w:color w:val="0D0D0D"/>
        </w:rPr>
      </w:pPr>
    </w:p>
    <w:p w14:paraId="72BB54F7" w14:textId="77777777" w:rsidR="00CB6B87" w:rsidRPr="00862717" w:rsidRDefault="00CB6B87" w:rsidP="00CB6B87">
      <w:pPr>
        <w:spacing w:before="0" w:after="0" w:line="240" w:lineRule="auto"/>
        <w:rPr>
          <w:color w:val="0D0D0D"/>
        </w:rPr>
      </w:pPr>
    </w:p>
    <w:p w14:paraId="17B7847D" w14:textId="77777777" w:rsidR="00CB6B87" w:rsidRPr="00862717" w:rsidRDefault="00CB6B87" w:rsidP="00CB6B87">
      <w:pPr>
        <w:spacing w:before="0" w:after="0" w:line="240" w:lineRule="auto"/>
        <w:rPr>
          <w:color w:val="0D0D0D"/>
        </w:rPr>
      </w:pPr>
      <w:r w:rsidRPr="00862717">
        <w:rPr>
          <w:noProof/>
          <w:color w:val="0D0D0D"/>
        </w:rPr>
        <w:drawing>
          <wp:anchor distT="0" distB="0" distL="114300" distR="114300" simplePos="0" relativeHeight="251658269" behindDoc="0" locked="0" layoutInCell="1" allowOverlap="1" wp14:anchorId="59083A63" wp14:editId="3D89E445">
            <wp:simplePos x="0" y="0"/>
            <wp:positionH relativeFrom="column">
              <wp:posOffset>-884555</wp:posOffset>
            </wp:positionH>
            <wp:positionV relativeFrom="page">
              <wp:posOffset>9463973</wp:posOffset>
            </wp:positionV>
            <wp:extent cx="7171055" cy="1148080"/>
            <wp:effectExtent l="0" t="0" r="0" b="0"/>
            <wp:wrapNone/>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27384" w14:textId="77777777" w:rsidR="00CB6B87" w:rsidRPr="00862717" w:rsidRDefault="00CB6B87" w:rsidP="00CB6B87">
      <w:pPr>
        <w:spacing w:before="0" w:after="0" w:line="240" w:lineRule="auto"/>
        <w:rPr>
          <w:color w:val="0D0D0D"/>
        </w:rPr>
      </w:pPr>
    </w:p>
    <w:p w14:paraId="39F6936D" w14:textId="77777777" w:rsidR="00CB6B87" w:rsidRDefault="00CB6B87" w:rsidP="00CB6B87">
      <w:pPr>
        <w:spacing w:after="0" w:line="240" w:lineRule="auto"/>
      </w:pPr>
    </w:p>
    <w:p w14:paraId="43829BD5" w14:textId="77777777" w:rsidR="00CB6B87" w:rsidRDefault="00CB6B87" w:rsidP="00CB6B87">
      <w:pPr>
        <w:spacing w:after="0" w:line="240" w:lineRule="auto"/>
      </w:pPr>
    </w:p>
    <w:p w14:paraId="411D3332" w14:textId="5F0BC283" w:rsidR="00657619" w:rsidRPr="00330E85" w:rsidRDefault="00657619" w:rsidP="00837BEF">
      <w:pPr>
        <w:spacing w:after="0" w:line="240" w:lineRule="auto"/>
      </w:pPr>
    </w:p>
    <w:p w14:paraId="2F9C977D" w14:textId="77777777" w:rsidR="00657619" w:rsidRPr="00330E85" w:rsidRDefault="00657619" w:rsidP="00837BEF">
      <w:pPr>
        <w:spacing w:after="0" w:line="240" w:lineRule="auto"/>
      </w:pPr>
    </w:p>
    <w:p w14:paraId="2F67DB9E" w14:textId="77777777" w:rsidR="00837BEF" w:rsidRPr="00330E85" w:rsidRDefault="00837BEF" w:rsidP="00837BEF">
      <w:pPr>
        <w:spacing w:after="0" w:line="240" w:lineRule="auto"/>
        <w:sectPr w:rsidR="00837BEF" w:rsidRPr="00330E85" w:rsidSect="00624222">
          <w:headerReference w:type="default" r:id="rId39"/>
          <w:footnotePr>
            <w:numRestart w:val="eachSect"/>
          </w:footnotePr>
          <w:pgSz w:w="11907" w:h="16840" w:code="9"/>
          <w:pgMar w:top="1134" w:right="1134" w:bottom="1134" w:left="1701" w:header="499" w:footer="46" w:gutter="0"/>
          <w:cols w:space="720"/>
        </w:sectPr>
      </w:pPr>
    </w:p>
    <w:p w14:paraId="3E61053B" w14:textId="7BC06698" w:rsidR="00837BEF" w:rsidRPr="00330E85" w:rsidRDefault="00837BEF" w:rsidP="00837BEF">
      <w:pPr>
        <w:pStyle w:val="HEADING2topchapter-notinTOC"/>
        <w:rPr>
          <w:sz w:val="21"/>
          <w:szCs w:val="21"/>
        </w:rPr>
      </w:pPr>
      <w:r w:rsidRPr="00330E85">
        <w:t>CHAPTER</w:t>
      </w:r>
      <w:r w:rsidR="00862717" w:rsidRPr="00330E85">
        <w:t xml:space="preserve"> 2</w:t>
      </w:r>
    </w:p>
    <w:p w14:paraId="2B127131" w14:textId="77777777" w:rsidR="00837BEF" w:rsidRPr="00330E85" w:rsidRDefault="00837BEF" w:rsidP="00837BEF">
      <w:pPr>
        <w:spacing w:after="0" w:line="200" w:lineRule="exact"/>
        <w:rPr>
          <w:szCs w:val="20"/>
        </w:rPr>
      </w:pPr>
      <w:r w:rsidRPr="00330E85">
        <w:rPr>
          <w:noProof/>
        </w:rPr>
        <mc:AlternateContent>
          <mc:Choice Requires="wpg">
            <w:drawing>
              <wp:anchor distT="0" distB="0" distL="114300" distR="114300" simplePos="0" relativeHeight="251658242" behindDoc="1" locked="0" layoutInCell="1" allowOverlap="1" wp14:anchorId="52F7CC93" wp14:editId="4F32F595">
                <wp:simplePos x="0" y="0"/>
                <wp:positionH relativeFrom="page">
                  <wp:posOffset>1079500</wp:posOffset>
                </wp:positionH>
                <wp:positionV relativeFrom="paragraph">
                  <wp:posOffset>120015</wp:posOffset>
                </wp:positionV>
                <wp:extent cx="1332230" cy="1270"/>
                <wp:effectExtent l="0" t="19050" r="127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467B2" id="Group 32" o:spid="_x0000_s1026" style="position:absolute;margin-left:85pt;margin-top:9.45pt;width:104.9pt;height:.1pt;z-index:-25165823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2Z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RB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W3&#10;bZ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7D8D2696" w14:textId="2AE86F56" w:rsidR="00837BEF" w:rsidRPr="00330E85" w:rsidRDefault="001D1CEF" w:rsidP="00837BEF">
      <w:pPr>
        <w:pStyle w:val="Heading1"/>
      </w:pPr>
      <w:bookmarkStart w:id="97" w:name="_Toc231467820"/>
      <w:r w:rsidRPr="001D1CEF">
        <w:rPr>
          <w:rFonts w:eastAsia="Metropolis Black"/>
        </w:rPr>
        <w:t>Hate crime in Aotearoa New Zealand</w:t>
      </w:r>
      <w:bookmarkEnd w:id="97"/>
      <w:r w:rsidR="00394EA9" w:rsidRPr="00330E85">
        <w:t xml:space="preserve"> </w:t>
      </w:r>
    </w:p>
    <w:p w14:paraId="2B0E34C4" w14:textId="77777777" w:rsidR="00837BEF" w:rsidRPr="00330E85" w:rsidRDefault="00837BEF" w:rsidP="00837BEF">
      <w:pPr>
        <w:spacing w:after="0" w:line="200" w:lineRule="exact"/>
        <w:rPr>
          <w:szCs w:val="20"/>
        </w:rPr>
      </w:pPr>
      <w:r w:rsidRPr="00330E85">
        <w:rPr>
          <w:noProof/>
        </w:rPr>
        <mc:AlternateContent>
          <mc:Choice Requires="wpg">
            <w:drawing>
              <wp:anchor distT="0" distB="0" distL="114300" distR="114300" simplePos="0" relativeHeight="251658243" behindDoc="1" locked="0" layoutInCell="1" allowOverlap="1" wp14:anchorId="7204BAA5" wp14:editId="710431AA">
                <wp:simplePos x="0" y="0"/>
                <wp:positionH relativeFrom="page">
                  <wp:posOffset>1076960</wp:posOffset>
                </wp:positionH>
                <wp:positionV relativeFrom="paragraph">
                  <wp:posOffset>74295</wp:posOffset>
                </wp:positionV>
                <wp:extent cx="1332230" cy="1270"/>
                <wp:effectExtent l="0" t="19050" r="127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5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1DE94" id="Group 44" o:spid="_x0000_s1026" style="position:absolute;margin-left:84.8pt;margin-top:5.85pt;width:104.9pt;height:.1pt;z-index:-25165823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9o/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BDv9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B0B08CF" w14:textId="77777777" w:rsidR="00837BEF" w:rsidRPr="00330E85" w:rsidRDefault="00837BEF" w:rsidP="00AC3931">
      <w:pPr>
        <w:pStyle w:val="ListParagraph"/>
        <w:numPr>
          <w:ilvl w:val="0"/>
          <w:numId w:val="15"/>
        </w:numPr>
        <w:spacing w:before="80" w:after="80"/>
        <w:contextualSpacing w:val="0"/>
        <w:rPr>
          <w:vanish/>
          <w:color w:val="404040"/>
          <w:sz w:val="20"/>
        </w:rPr>
      </w:pPr>
    </w:p>
    <w:p w14:paraId="515DE396" w14:textId="77777777" w:rsidR="00837BEF" w:rsidRPr="00330E85" w:rsidRDefault="00837BEF" w:rsidP="00AC3931">
      <w:pPr>
        <w:pStyle w:val="ListParagraph"/>
        <w:numPr>
          <w:ilvl w:val="0"/>
          <w:numId w:val="18"/>
        </w:numPr>
        <w:spacing w:before="80" w:after="80"/>
        <w:contextualSpacing w:val="0"/>
        <w:rPr>
          <w:vanish/>
          <w:sz w:val="20"/>
        </w:rPr>
      </w:pPr>
    </w:p>
    <w:p w14:paraId="19F0CB09" w14:textId="77777777" w:rsidR="00837BEF" w:rsidRPr="00330E85" w:rsidRDefault="00837BEF" w:rsidP="00837BEF">
      <w:pPr>
        <w:spacing w:after="0" w:line="240" w:lineRule="auto"/>
      </w:pPr>
    </w:p>
    <w:p w14:paraId="45A9CE11" w14:textId="77777777" w:rsidR="00837BEF" w:rsidRPr="00330E85" w:rsidRDefault="00837BEF" w:rsidP="00837BEF">
      <w:pPr>
        <w:spacing w:after="0" w:line="240" w:lineRule="auto"/>
      </w:pPr>
    </w:p>
    <w:p w14:paraId="7C995B72" w14:textId="77777777" w:rsidR="00837BEF" w:rsidRPr="00330E85" w:rsidRDefault="00837BEF" w:rsidP="00AC3931">
      <w:pPr>
        <w:pStyle w:val="ListParagraph"/>
        <w:numPr>
          <w:ilvl w:val="0"/>
          <w:numId w:val="21"/>
        </w:numPr>
        <w:spacing w:before="80" w:after="80"/>
        <w:contextualSpacing w:val="0"/>
        <w:jc w:val="both"/>
        <w:rPr>
          <w:vanish/>
          <w:color w:val="000000"/>
          <w:sz w:val="20"/>
        </w:rPr>
      </w:pPr>
    </w:p>
    <w:p w14:paraId="46BE2B3E" w14:textId="77777777" w:rsidR="00D579DB" w:rsidRDefault="00D579DB" w:rsidP="00D579DB">
      <w:pPr>
        <w:pStyle w:val="Heading2"/>
      </w:pPr>
      <w:bookmarkStart w:id="98" w:name="_Toc231467821"/>
      <w:bookmarkStart w:id="99" w:name="_Toc104388965"/>
      <w:r>
        <w:t>Introduction</w:t>
      </w:r>
      <w:bookmarkEnd w:id="98"/>
    </w:p>
    <w:p w14:paraId="1787535A" w14:textId="77777777" w:rsidR="001D5916" w:rsidRPr="00737B15" w:rsidRDefault="001D5916" w:rsidP="001D5916">
      <w:pPr>
        <w:pStyle w:val="BodyText"/>
        <w:numPr>
          <w:ilvl w:val="1"/>
          <w:numId w:val="15"/>
        </w:numPr>
      </w:pPr>
      <w:r w:rsidRPr="00737B15">
        <w:t>In this chapter, we provide an overview of what we know about hate crime in Aotearoa New Zealand. We discuss the following:</w:t>
      </w:r>
      <w:r>
        <w:t xml:space="preserve">         </w:t>
      </w:r>
    </w:p>
    <w:p w14:paraId="3D9568DB" w14:textId="6452FE84" w:rsidR="001D5916" w:rsidRDefault="00723343" w:rsidP="001D5916">
      <w:pPr>
        <w:pStyle w:val="BodyTextalphalist"/>
        <w:numPr>
          <w:ilvl w:val="3"/>
          <w:numId w:val="15"/>
        </w:numPr>
      </w:pPr>
      <w:r>
        <w:t>T</w:t>
      </w:r>
      <w:r w:rsidR="001D5916" w:rsidRPr="00737B15">
        <w:t xml:space="preserve">he current law </w:t>
      </w:r>
      <w:r w:rsidR="004960AD">
        <w:t>relating to</w:t>
      </w:r>
      <w:r w:rsidR="004960AD" w:rsidRPr="00737B15">
        <w:t xml:space="preserve"> </w:t>
      </w:r>
      <w:r w:rsidR="001D5916" w:rsidRPr="00737B15">
        <w:t>hate crime</w:t>
      </w:r>
      <w:r>
        <w:t>.</w:t>
      </w:r>
    </w:p>
    <w:p w14:paraId="27E46623" w14:textId="6A979421" w:rsidR="001D5916" w:rsidRPr="00737B15" w:rsidRDefault="00723343" w:rsidP="001D5916">
      <w:pPr>
        <w:pStyle w:val="BodyTextalphalist"/>
        <w:numPr>
          <w:ilvl w:val="3"/>
          <w:numId w:val="15"/>
        </w:numPr>
      </w:pPr>
      <w:r>
        <w:t>T</w:t>
      </w:r>
      <w:r w:rsidR="001D5916" w:rsidRPr="00737B15">
        <w:t>he nature and prevalence of hate crime</w:t>
      </w:r>
      <w:r>
        <w:t>.</w:t>
      </w:r>
    </w:p>
    <w:p w14:paraId="002F189F" w14:textId="1EBB33C3" w:rsidR="001D5916" w:rsidRDefault="00723343" w:rsidP="001D5916">
      <w:pPr>
        <w:pStyle w:val="BodyTextalphalist"/>
        <w:numPr>
          <w:ilvl w:val="3"/>
          <w:numId w:val="15"/>
        </w:numPr>
      </w:pPr>
      <w:r>
        <w:t>H</w:t>
      </w:r>
      <w:r w:rsidR="001D5916" w:rsidRPr="00737B15">
        <w:t xml:space="preserve">ow hate crime is currently addressed by the justice system. </w:t>
      </w:r>
    </w:p>
    <w:p w14:paraId="29D03F50" w14:textId="26F2207D" w:rsidR="001D5916" w:rsidRDefault="001D5916" w:rsidP="001D5916">
      <w:pPr>
        <w:pStyle w:val="BodyText"/>
        <w:numPr>
          <w:ilvl w:val="1"/>
          <w:numId w:val="15"/>
        </w:numPr>
      </w:pPr>
      <w:r>
        <w:t>The term ‘hate crime’ is used differently by different people and in different contexts.</w:t>
      </w:r>
      <w:r>
        <w:rPr>
          <w:rStyle w:val="FootnoteReference"/>
        </w:rPr>
        <w:footnoteReference w:id="25"/>
      </w:r>
      <w:r>
        <w:t xml:space="preserve"> As </w:t>
      </w:r>
      <w:r w:rsidR="00E70C88">
        <w:t>explained</w:t>
      </w:r>
      <w:r>
        <w:t xml:space="preserve"> in </w:t>
      </w:r>
      <w:r w:rsidR="008E7AD3">
        <w:t>Chapter 1</w:t>
      </w:r>
      <w:r>
        <w:t xml:space="preserve">, in this </w:t>
      </w:r>
      <w:r w:rsidR="00A94122">
        <w:t>R</w:t>
      </w:r>
      <w:r>
        <w:t>eport, we use ‘hate crime’ as a descriptive term rather than a legal one. We use it to refer to conduct that is already an offence under the existing law and that</w:t>
      </w:r>
      <w:r w:rsidR="00A1063B">
        <w:t>, additionally,</w:t>
      </w:r>
      <w:r>
        <w:t xml:space="preserve"> is committed because of hostility toward</w:t>
      </w:r>
      <w:r w:rsidR="00630A35">
        <w:t>s</w:t>
      </w:r>
      <w:r>
        <w:t xml:space="preserve"> a group of people who share a common characteristic. </w:t>
      </w:r>
    </w:p>
    <w:p w14:paraId="3519B8B5" w14:textId="77777777" w:rsidR="001D5916" w:rsidRDefault="001D5916" w:rsidP="001D5916">
      <w:pPr>
        <w:pStyle w:val="Heading2"/>
      </w:pPr>
      <w:bookmarkStart w:id="100" w:name="_Toc231467822"/>
      <w:r>
        <w:t>The current law</w:t>
      </w:r>
      <w:bookmarkEnd w:id="100"/>
      <w:r>
        <w:t xml:space="preserve"> </w:t>
      </w:r>
    </w:p>
    <w:p w14:paraId="36CFB50C" w14:textId="08A95FF0" w:rsidR="001D5916" w:rsidRDefault="001D5916" w:rsidP="001D5916">
      <w:pPr>
        <w:pStyle w:val="BodyText"/>
        <w:numPr>
          <w:ilvl w:val="1"/>
          <w:numId w:val="15"/>
        </w:numPr>
      </w:pPr>
      <w:r>
        <w:t>Aotearoa New Zealand does not have specific hate crime offences. Instead, the courts take hostile motivation into account as an aggravating factor at sentencing for any criminal offence.</w:t>
      </w:r>
      <w:r w:rsidR="00BD3C4D" w:rsidRPr="00BD3C4D">
        <w:t xml:space="preserve"> </w:t>
      </w:r>
      <w:r w:rsidR="00BD3C4D">
        <w:t>When the aggravating factor applies, the courts may impose a harsher sentence than they would have for an equivalent offence that was not motivated by hostility towards a group of people.</w:t>
      </w:r>
      <w:r w:rsidR="00A96B64">
        <w:t xml:space="preserve"> As we explain below, however, the maximum penalty for the offence </w:t>
      </w:r>
      <w:r w:rsidR="00B3717B">
        <w:t>does not increase.</w:t>
      </w:r>
    </w:p>
    <w:p w14:paraId="5961572A" w14:textId="77777777" w:rsidR="001D5916" w:rsidRDefault="001D5916" w:rsidP="001D5916">
      <w:pPr>
        <w:pStyle w:val="Heading3"/>
      </w:pPr>
      <w:r>
        <w:t>Aggravating factors under section 9(1) of the Sentencing Act 2002</w:t>
      </w:r>
    </w:p>
    <w:p w14:paraId="0659BCE1" w14:textId="406EEF15" w:rsidR="001D5916" w:rsidRDefault="001D5916" w:rsidP="001D5916">
      <w:pPr>
        <w:pStyle w:val="BodyText"/>
        <w:numPr>
          <w:ilvl w:val="1"/>
          <w:numId w:val="15"/>
        </w:numPr>
      </w:pPr>
      <w:r>
        <w:t xml:space="preserve">Under section 9(1) of the Sentencing Act 2002, when sentencing an offender, the court must take into account certain aggravating factors </w:t>
      </w:r>
      <w:r w:rsidR="00977D53">
        <w:t xml:space="preserve">to the extent they are applicable. </w:t>
      </w:r>
      <w:r>
        <w:t>Aggravating factors can increase the sentence imposed on an offender, with the extent of the increase depending on the significance of the aggravating factor in the circumstances of the case.</w:t>
      </w:r>
      <w:r>
        <w:rPr>
          <w:rStyle w:val="FootnoteReference"/>
        </w:rPr>
        <w:footnoteReference w:id="26"/>
      </w:r>
      <w:r>
        <w:t xml:space="preserve"> </w:t>
      </w:r>
      <w:r w:rsidR="00310157">
        <w:t>The c</w:t>
      </w:r>
      <w:r>
        <w:t>ourts are not required to increase the sentence nor</w:t>
      </w:r>
      <w:r w:rsidR="00CB1D6C">
        <w:t xml:space="preserve"> to</w:t>
      </w:r>
      <w:r>
        <w:t xml:space="preserve"> increase it by any particular amount. </w:t>
      </w:r>
    </w:p>
    <w:p w14:paraId="3BAFB651" w14:textId="557797A0" w:rsidR="001D5916" w:rsidRDefault="001D5916" w:rsidP="001D5916">
      <w:pPr>
        <w:pStyle w:val="BodyText"/>
        <w:numPr>
          <w:ilvl w:val="1"/>
          <w:numId w:val="15"/>
        </w:numPr>
      </w:pPr>
      <w:r>
        <w:t xml:space="preserve">There are 16 aggravating factors in section 9(1). These include factors such as actual or threatened violence </w:t>
      </w:r>
      <w:r w:rsidR="00E77D84">
        <w:t xml:space="preserve">or use of </w:t>
      </w:r>
      <w:r>
        <w:t xml:space="preserve">a weapon, particular cruelty in the commission of the offence and the vulnerability of the victim. </w:t>
      </w:r>
    </w:p>
    <w:p w14:paraId="5EF20C34" w14:textId="77777777" w:rsidR="001D5916" w:rsidRDefault="001D5916" w:rsidP="001D5916">
      <w:pPr>
        <w:pStyle w:val="Heading3"/>
      </w:pPr>
      <w:r>
        <w:t>The hostility aggravating factor in section 9(1)(h)</w:t>
      </w:r>
    </w:p>
    <w:p w14:paraId="06CB0B60" w14:textId="3B8B083C" w:rsidR="001D5916" w:rsidRDefault="001D5916" w:rsidP="001D5916">
      <w:pPr>
        <w:pStyle w:val="BodyText"/>
        <w:numPr>
          <w:ilvl w:val="1"/>
          <w:numId w:val="15"/>
        </w:numPr>
      </w:pPr>
      <w:r>
        <w:t>One of the aggravating factors</w:t>
      </w:r>
      <w:r w:rsidR="00D80CF8">
        <w:t>, in section 9(1)(h),</w:t>
      </w:r>
      <w:r>
        <w:t xml:space="preserve"> relates to hostile motivation and requires the court to take into account:</w:t>
      </w:r>
    </w:p>
    <w:p w14:paraId="3680053E" w14:textId="5FC7B12D" w:rsidR="001D5916" w:rsidRDefault="001D5916" w:rsidP="001D5916">
      <w:pPr>
        <w:pStyle w:val="QuoteIndent0"/>
      </w:pPr>
      <w:r>
        <w:t xml:space="preserve"> </w:t>
      </w:r>
      <w:r w:rsidR="008A60AE">
        <w:tab/>
      </w:r>
      <w:r>
        <w:t>that the offender committed the offence partly or wholly because of hostility towards a group of persons who have an enduring common characteristic such as race, colour, nationality, religion, gender identity, sexual orientation, age, or disability; and</w:t>
      </w:r>
    </w:p>
    <w:p w14:paraId="6855EB2C" w14:textId="77777777" w:rsidR="001D5916" w:rsidRDefault="001D5916" w:rsidP="00F1187B">
      <w:pPr>
        <w:pStyle w:val="QuoteIndent1"/>
      </w:pPr>
      <w:r>
        <w:t>(i)</w:t>
      </w:r>
      <w:r>
        <w:tab/>
        <w:t>the hostility is because of the common characteristic; and</w:t>
      </w:r>
    </w:p>
    <w:p w14:paraId="432BD40C" w14:textId="77777777" w:rsidR="001D5916" w:rsidRDefault="001D5916" w:rsidP="00F1187B">
      <w:pPr>
        <w:pStyle w:val="QuoteIndent1"/>
      </w:pPr>
      <w:r>
        <w:t>(ii)</w:t>
      </w:r>
      <w:r>
        <w:tab/>
        <w:t xml:space="preserve">the offender believed that the victim has that characteristic. </w:t>
      </w:r>
    </w:p>
    <w:p w14:paraId="03729AC4" w14:textId="398CFABC" w:rsidR="001D5916" w:rsidRDefault="001D5916" w:rsidP="001D5916">
      <w:pPr>
        <w:pStyle w:val="BodyText"/>
        <w:numPr>
          <w:ilvl w:val="1"/>
          <w:numId w:val="15"/>
        </w:numPr>
      </w:pPr>
      <w:r>
        <w:t xml:space="preserve">We refer to this in our </w:t>
      </w:r>
      <w:r w:rsidR="00BF521D">
        <w:t>R</w:t>
      </w:r>
      <w:r>
        <w:t>eport as the ‘hostility aggravating factor’. This approach, of treating hostile motivation as an aggravating factor at sentencing, is often called the ‘sentence aggravation model’</w:t>
      </w:r>
      <w:r w:rsidR="00D567BD">
        <w:t xml:space="preserve"> of hate crime law</w:t>
      </w:r>
      <w:r>
        <w:t xml:space="preserve">. </w:t>
      </w:r>
      <w:r w:rsidR="00F602C7">
        <w:t>We discuss the</w:t>
      </w:r>
      <w:r w:rsidR="0052656E">
        <w:t xml:space="preserve"> key features of the model and </w:t>
      </w:r>
      <w:r w:rsidR="005746CA">
        <w:t xml:space="preserve">other jurisdictions in which </w:t>
      </w:r>
      <w:r w:rsidR="0052656E">
        <w:t xml:space="preserve">it is used in Chapter </w:t>
      </w:r>
      <w:r w:rsidR="0066224F">
        <w:t>5</w:t>
      </w:r>
      <w:r w:rsidR="0052656E">
        <w:t>.</w:t>
      </w:r>
      <w:r>
        <w:t xml:space="preserve"> </w:t>
      </w:r>
    </w:p>
    <w:p w14:paraId="5EA812D7" w14:textId="1D641603" w:rsidR="001D5916" w:rsidRDefault="00C871C2" w:rsidP="001D5916">
      <w:pPr>
        <w:pStyle w:val="BodyText"/>
        <w:numPr>
          <w:ilvl w:val="1"/>
          <w:numId w:val="15"/>
        </w:numPr>
      </w:pPr>
      <w:r>
        <w:t>In Aotearoa New Zealand, t</w:t>
      </w:r>
      <w:r w:rsidR="001D5916">
        <w:t>he wording of the hostility aggravating factor is reasonably broad. Three features are worth highlighting:</w:t>
      </w:r>
    </w:p>
    <w:p w14:paraId="70E7A070" w14:textId="77777777" w:rsidR="001D5916" w:rsidRPr="00467607" w:rsidRDefault="001D5916" w:rsidP="001D5916">
      <w:pPr>
        <w:pStyle w:val="BodyTextalphalist"/>
        <w:numPr>
          <w:ilvl w:val="3"/>
          <w:numId w:val="15"/>
        </w:numPr>
      </w:pPr>
      <w:r w:rsidRPr="00467607">
        <w:t>It applies where an offence is committed “partly or wholly because of” hostility towards a group of people who have an enduring common characteristic. The hostility need not be the only reason for the offending</w:t>
      </w:r>
      <w:r>
        <w:t>,</w:t>
      </w:r>
      <w:r w:rsidRPr="00467607">
        <w:t xml:space="preserve"> provided there is some link. </w:t>
      </w:r>
    </w:p>
    <w:p w14:paraId="0102DCD5" w14:textId="77777777" w:rsidR="001D5916" w:rsidRPr="00467607" w:rsidRDefault="001D5916" w:rsidP="001D5916">
      <w:pPr>
        <w:pStyle w:val="BodyTextalphalist"/>
        <w:numPr>
          <w:ilvl w:val="3"/>
          <w:numId w:val="15"/>
        </w:numPr>
      </w:pPr>
      <w:r w:rsidRPr="00467607">
        <w:t>While it lists types of “enduring common characteristics”, it is not exhaustive. Offending based on other characteristics may also engage the aggravating factor. We refer to characteristics covered by the aggravating factor as ‘protected characteristics’.</w:t>
      </w:r>
    </w:p>
    <w:p w14:paraId="65DE7978" w14:textId="77777777" w:rsidR="001D5916" w:rsidRDefault="001D5916" w:rsidP="001D5916">
      <w:pPr>
        <w:pStyle w:val="BodyTextalphalist"/>
        <w:numPr>
          <w:ilvl w:val="3"/>
          <w:numId w:val="15"/>
        </w:numPr>
      </w:pPr>
      <w:r w:rsidRPr="00467607">
        <w:t xml:space="preserve">The offender must have “believed that the victim has that characteristic”. The aggravating factor can apply if the offender was mistaken in that belief. </w:t>
      </w:r>
    </w:p>
    <w:p w14:paraId="22E6E33D" w14:textId="01926C0A" w:rsidR="001D5916" w:rsidRDefault="001D5916" w:rsidP="001D5916">
      <w:pPr>
        <w:pStyle w:val="BodyText"/>
        <w:numPr>
          <w:ilvl w:val="1"/>
          <w:numId w:val="15"/>
        </w:numPr>
        <w:tabs>
          <w:tab w:val="left" w:pos="709"/>
          <w:tab w:val="num" w:pos="5416"/>
        </w:tabs>
        <w:spacing w:after="120"/>
      </w:pPr>
      <w:r w:rsidRPr="00D00E3F">
        <w:t xml:space="preserve">The aggravating factor can apply to any offence </w:t>
      </w:r>
      <w:r w:rsidR="001F14A3">
        <w:t>of</w:t>
      </w:r>
      <w:r w:rsidR="001F14A3" w:rsidRPr="00D00E3F">
        <w:t xml:space="preserve"> </w:t>
      </w:r>
      <w:r w:rsidRPr="00D00E3F">
        <w:t>which the offender has been convicted. It does not create any new offences or increase the maximum penalty for the relevant offence. For example, if an offender is convicted of injuring with intent to injure and the aggravating factor applies, the sentence imposed cannot exceed the existing maximum penalty for that offence (five years’ imprisonment).</w:t>
      </w:r>
      <w:r w:rsidRPr="00D00E3F">
        <w:rPr>
          <w:rStyle w:val="FootnoteReference"/>
        </w:rPr>
        <w:footnoteReference w:id="27"/>
      </w:r>
      <w:r w:rsidRPr="00D00E3F">
        <w:t xml:space="preserve"> Maximum penalties for offences should be set high enough to allow for a case </w:t>
      </w:r>
      <w:r w:rsidR="00613D38">
        <w:t>in which</w:t>
      </w:r>
      <w:r w:rsidR="00613D38" w:rsidRPr="00D00E3F">
        <w:t xml:space="preserve"> </w:t>
      </w:r>
      <w:r w:rsidRPr="00D00E3F">
        <w:t>all potentially relevant aggravating factors (and no mitigating factors) apply.</w:t>
      </w:r>
      <w:r w:rsidRPr="00D00E3F">
        <w:rPr>
          <w:rStyle w:val="FootnoteReference"/>
        </w:rPr>
        <w:footnoteReference w:id="28"/>
      </w:r>
      <w:r>
        <w:t xml:space="preserve"> </w:t>
      </w:r>
    </w:p>
    <w:p w14:paraId="0EA856A8" w14:textId="1EBA91A9" w:rsidR="001D5916" w:rsidRDefault="001D5916" w:rsidP="001D5916">
      <w:pPr>
        <w:pStyle w:val="BodyText"/>
        <w:numPr>
          <w:ilvl w:val="1"/>
          <w:numId w:val="15"/>
        </w:numPr>
        <w:tabs>
          <w:tab w:val="left" w:pos="709"/>
        </w:tabs>
      </w:pPr>
      <w:r>
        <w:t>There is a slightly different approach when sentencing an offender for murder. The courts are required to impose a sentence of life imprisonment for murder unless it would be manifestly unjust.</w:t>
      </w:r>
      <w:r>
        <w:rPr>
          <w:rStyle w:val="FootnoteReference"/>
        </w:rPr>
        <w:footnoteReference w:id="29"/>
      </w:r>
      <w:r>
        <w:t xml:space="preserve"> Offenders sentenced to life imprisonment for murder must serve a </w:t>
      </w:r>
      <w:r w:rsidR="0086665C">
        <w:t>‘</w:t>
      </w:r>
      <w:r>
        <w:t>minimum period of imprisonment</w:t>
      </w:r>
      <w:r w:rsidR="0086665C">
        <w:t>’</w:t>
      </w:r>
      <w:r>
        <w:t xml:space="preserve"> (MPI),</w:t>
      </w:r>
      <w:r>
        <w:rPr>
          <w:rStyle w:val="FootnoteReference"/>
        </w:rPr>
        <w:footnoteReference w:id="30"/>
      </w:r>
      <w:r>
        <w:t xml:space="preserve"> after which the Parole Board considers whether to release them on parole.</w:t>
      </w:r>
      <w:r>
        <w:rPr>
          <w:rStyle w:val="FootnoteReference"/>
        </w:rPr>
        <w:footnoteReference w:id="31"/>
      </w:r>
      <w:r>
        <w:t xml:space="preserve"> The MPI must be at least 10 years.</w:t>
      </w:r>
      <w:r>
        <w:rPr>
          <w:rStyle w:val="FootnoteReference"/>
        </w:rPr>
        <w:footnoteReference w:id="32"/>
      </w:r>
      <w:r>
        <w:t xml:space="preserve"> </w:t>
      </w:r>
    </w:p>
    <w:p w14:paraId="6B11270C" w14:textId="115E71EF" w:rsidR="001D5916" w:rsidRDefault="001D5916" w:rsidP="001D5916">
      <w:pPr>
        <w:pStyle w:val="BodyText"/>
        <w:numPr>
          <w:ilvl w:val="1"/>
          <w:numId w:val="15"/>
        </w:numPr>
        <w:tabs>
          <w:tab w:val="left" w:pos="709"/>
          <w:tab w:val="num" w:pos="5416"/>
        </w:tabs>
        <w:spacing w:after="120"/>
      </w:pPr>
      <w:r>
        <w:t>The Sentencing Act requires the courts to impose an MPI of at least 17 years in certain circumstances unless it would be manifestly unjust.</w:t>
      </w:r>
      <w:r>
        <w:rPr>
          <w:rStyle w:val="FootnoteReference"/>
        </w:rPr>
        <w:footnoteReference w:id="33"/>
      </w:r>
      <w:r>
        <w:t xml:space="preserve"> These circumstances include where the murder </w:t>
      </w:r>
      <w:r w:rsidRPr="008F7059">
        <w:t>was committed with a high level of brutality</w:t>
      </w:r>
      <w:r>
        <w:t xml:space="preserve"> or</w:t>
      </w:r>
      <w:r w:rsidRPr="008F7059">
        <w:t xml:space="preserve"> callousness</w:t>
      </w:r>
      <w:r>
        <w:t>, as part of a terrorist act</w:t>
      </w:r>
      <w:r w:rsidR="006F1DE5">
        <w:t xml:space="preserve">, </w:t>
      </w:r>
      <w:r>
        <w:t xml:space="preserve">against a victim who was </w:t>
      </w:r>
      <w:r w:rsidRPr="007637D2">
        <w:t>particularly vulnerable</w:t>
      </w:r>
      <w:r w:rsidR="006F1DE5">
        <w:t xml:space="preserve"> and </w:t>
      </w:r>
      <w:r>
        <w:t xml:space="preserve">any other “exceptional circumstances”. </w:t>
      </w:r>
      <w:r w:rsidRPr="00D00E3F">
        <w:t xml:space="preserve">Hostility-motivated offending is not specifically listed as a circumstance requiring an MPI of at least 17 years. Nonetheless, </w:t>
      </w:r>
      <w:r w:rsidR="000009C0" w:rsidRPr="00D00E3F">
        <w:t>in some cases, the fact that a murder was motivated by hostility has been relied on in concluding that there was a sufficiently high level of cal</w:t>
      </w:r>
      <w:r w:rsidR="005B219A" w:rsidRPr="00D00E3F">
        <w:t xml:space="preserve">lousness to engage the </w:t>
      </w:r>
      <w:r w:rsidR="009C2018">
        <w:t xml:space="preserve">17-year </w:t>
      </w:r>
      <w:r w:rsidR="005B219A" w:rsidRPr="00D00E3F">
        <w:t>MPI requirement</w:t>
      </w:r>
      <w:r w:rsidR="005B219A">
        <w:t>.</w:t>
      </w:r>
      <w:r>
        <w:rPr>
          <w:rStyle w:val="FootnoteReference"/>
        </w:rPr>
        <w:footnoteReference w:id="34"/>
      </w:r>
    </w:p>
    <w:p w14:paraId="0C13E429" w14:textId="77777777" w:rsidR="001D5916" w:rsidRPr="00112745" w:rsidRDefault="001D5916" w:rsidP="001D5916">
      <w:pPr>
        <w:pStyle w:val="BodyText"/>
        <w:numPr>
          <w:ilvl w:val="1"/>
          <w:numId w:val="15"/>
        </w:numPr>
        <w:tabs>
          <w:tab w:val="left" w:pos="709"/>
          <w:tab w:val="num" w:pos="5416"/>
        </w:tabs>
        <w:spacing w:after="120"/>
      </w:pPr>
      <w:r>
        <w:t>Where a court considers that an MPI would be insufficient, it has the option to sentence an offender to life imprisonment without parole.</w:t>
      </w:r>
      <w:r>
        <w:rPr>
          <w:rStyle w:val="FootnoteReference"/>
        </w:rPr>
        <w:footnoteReference w:id="35"/>
      </w:r>
      <w:r>
        <w:t xml:space="preserve"> This has only occurred once, when sentencing the perpetrator of the 15 March 2019 </w:t>
      </w:r>
      <w:r w:rsidRPr="00FE067C">
        <w:t>terrorist attack on Christchurch masjidain</w:t>
      </w:r>
      <w:r>
        <w:t>.</w:t>
      </w:r>
      <w:r>
        <w:rPr>
          <w:rStyle w:val="FootnoteReference"/>
        </w:rPr>
        <w:footnoteReference w:id="36"/>
      </w:r>
      <w:r>
        <w:t xml:space="preserve"> The Court referred to the fact that the offending was a hate crime, alongside other aggravating factors, in reaching the view that life imprisonment without parole was appropriate.</w:t>
      </w:r>
      <w:r>
        <w:rPr>
          <w:rStyle w:val="FootnoteReference"/>
        </w:rPr>
        <w:footnoteReference w:id="37"/>
      </w:r>
    </w:p>
    <w:p w14:paraId="7224A27A" w14:textId="77777777" w:rsidR="001D5916" w:rsidRDefault="001D5916" w:rsidP="001D5916">
      <w:pPr>
        <w:pStyle w:val="Heading2"/>
      </w:pPr>
      <w:bookmarkStart w:id="101" w:name="_Toc231467823"/>
      <w:r>
        <w:t>Nature and prevalence of hate crime in Aotearoa New Zealand</w:t>
      </w:r>
      <w:bookmarkEnd w:id="101"/>
    </w:p>
    <w:p w14:paraId="027A1B42" w14:textId="51875D07" w:rsidR="001D5916" w:rsidRDefault="001D5916" w:rsidP="001D5916">
      <w:pPr>
        <w:pStyle w:val="BodyText"/>
        <w:numPr>
          <w:ilvl w:val="1"/>
          <w:numId w:val="15"/>
        </w:numPr>
      </w:pPr>
      <w:r>
        <w:t>Due to shortcomings in data collection, it is difficult to ascertain the true prevalence of hate crime in Aotearoa New Zealand.</w:t>
      </w:r>
      <w:r>
        <w:rPr>
          <w:rStyle w:val="FootnoteReference"/>
        </w:rPr>
        <w:footnoteReference w:id="38"/>
      </w:r>
      <w:r>
        <w:t xml:space="preserve"> In 2019, Te Kāhui Tika Tangata | Human Rights Commission identified this as making it “difficult to have an informed discussion” about hate crime in Aotearoa New Zealand.</w:t>
      </w:r>
      <w:r>
        <w:rPr>
          <w:rStyle w:val="FootnoteReference"/>
        </w:rPr>
        <w:footnoteReference w:id="39"/>
      </w:r>
      <w:r>
        <w:t xml:space="preserve"> </w:t>
      </w:r>
      <w:r w:rsidR="00C570D7">
        <w:t>T</w:t>
      </w:r>
      <w:r>
        <w:t xml:space="preserve">he Human Rights Commission collected media reports of racially and religiously motivated crime and described around 100 incidents in its report </w:t>
      </w:r>
      <w:r>
        <w:rPr>
          <w:i/>
          <w:iCs/>
        </w:rPr>
        <w:t>It Happened Here.</w:t>
      </w:r>
      <w:r>
        <w:t xml:space="preserve"> It described reported incidents as just “the tip of the iceberg”.</w:t>
      </w:r>
      <w:r>
        <w:rPr>
          <w:rStyle w:val="FootnoteReference"/>
        </w:rPr>
        <w:footnoteReference w:id="40"/>
      </w:r>
    </w:p>
    <w:p w14:paraId="21746D0C" w14:textId="19A3B80E" w:rsidR="001D5916" w:rsidRDefault="001D5916" w:rsidP="001D5916">
      <w:pPr>
        <w:pStyle w:val="BodyText"/>
        <w:numPr>
          <w:ilvl w:val="1"/>
          <w:numId w:val="15"/>
        </w:numPr>
      </w:pPr>
      <w:r>
        <w:t>Ngā Pirihimana o Aotearoa | New Zealand Police collects data on reported hate crimes and Te Tāhū o te Ture | Ministry of Justice includes relevant questions in the New Zealand Crime and Victim Survey. In both cases, the data only dates back a few years.</w:t>
      </w:r>
      <w:r w:rsidDel="0079050A">
        <w:t xml:space="preserve"> </w:t>
      </w:r>
      <w:r>
        <w:t xml:space="preserve">Police and the Ministry of Justice provided us with some of this data, which we summarise below. </w:t>
      </w:r>
      <w:r w:rsidR="00A815B7">
        <w:t>Data about hate crime</w:t>
      </w:r>
      <w:r>
        <w:t xml:space="preserve"> is not currently published in any comprehensive way (as we discuss further in Chapter </w:t>
      </w:r>
      <w:r w:rsidR="000F4675">
        <w:t>9</w:t>
      </w:r>
      <w:r>
        <w:t xml:space="preserve">, where we recommend </w:t>
      </w:r>
      <w:r w:rsidR="007D0DD0">
        <w:t xml:space="preserve">annual publication of </w:t>
      </w:r>
      <w:r>
        <w:t xml:space="preserve">Police and </w:t>
      </w:r>
      <w:r w:rsidR="00FD68ED">
        <w:t>courts</w:t>
      </w:r>
      <w:r w:rsidR="00C57FAE">
        <w:t xml:space="preserve"> </w:t>
      </w:r>
      <w:r>
        <w:t>data).</w:t>
      </w:r>
    </w:p>
    <w:p w14:paraId="0A883670" w14:textId="77777777" w:rsidR="001D5916" w:rsidRDefault="001D5916" w:rsidP="001D5916">
      <w:pPr>
        <w:pStyle w:val="Heading3"/>
      </w:pPr>
      <w:r>
        <w:t xml:space="preserve">Prevalence of hate crime </w:t>
      </w:r>
    </w:p>
    <w:p w14:paraId="269D1F56" w14:textId="570EF53D" w:rsidR="001D5916" w:rsidRDefault="001D5916" w:rsidP="001D5916">
      <w:pPr>
        <w:pStyle w:val="BodyText"/>
        <w:numPr>
          <w:ilvl w:val="1"/>
          <w:numId w:val="15"/>
        </w:numPr>
      </w:pPr>
      <w:r>
        <w:t>Since 2019, Police has been able to flag on its</w:t>
      </w:r>
      <w:r w:rsidDel="0000008A">
        <w:rPr>
          <w:rStyle w:val="CommentReference"/>
          <w:sz w:val="20"/>
          <w:szCs w:val="24"/>
        </w:rPr>
        <w:t xml:space="preserve"> </w:t>
      </w:r>
      <w:r>
        <w:rPr>
          <w:rStyle w:val="CommentReference"/>
          <w:sz w:val="20"/>
          <w:szCs w:val="24"/>
        </w:rPr>
        <w:t>N</w:t>
      </w:r>
      <w:r>
        <w:t>ational Intelligence Application that a reported offence is perceived to be a hate crime.</w:t>
      </w:r>
      <w:r>
        <w:rPr>
          <w:rStyle w:val="FootnoteReference"/>
        </w:rPr>
        <w:footnoteReference w:id="41"/>
      </w:r>
      <w:r>
        <w:t xml:space="preserve"> </w:t>
      </w:r>
      <w:r w:rsidRPr="000850DC">
        <w:t>Th</w:t>
      </w:r>
      <w:r>
        <w:t>e National Intelligence Application</w:t>
      </w:r>
      <w:r w:rsidRPr="000850DC">
        <w:t xml:space="preserve"> is a computer application used to record information about incidents reported to Police and investigations into alleged offences. </w:t>
      </w:r>
      <w:r>
        <w:t xml:space="preserve">The </w:t>
      </w:r>
      <w:r w:rsidR="00961735">
        <w:t xml:space="preserve">hate crime </w:t>
      </w:r>
      <w:r>
        <w:t xml:space="preserve">flag </w:t>
      </w:r>
      <w:r w:rsidR="00F73374">
        <w:t>is applied if</w:t>
      </w:r>
      <w:r>
        <w:t xml:space="preserve"> a victim, police officer or anyone else considers that the </w:t>
      </w:r>
      <w:r w:rsidR="00651A00">
        <w:t xml:space="preserve">alleged </w:t>
      </w:r>
      <w:r>
        <w:t xml:space="preserve">offending was motivated by hostility or prejudice. Since 2021, a national Hate Crime Quality Assurance </w:t>
      </w:r>
      <w:r w:rsidR="009F7F24">
        <w:t>T</w:t>
      </w:r>
      <w:r>
        <w:t xml:space="preserve">eam has carried out a quality assurance process to ensure this flag is being used correctly. We discuss the role of this team further below and in Chapter 4. </w:t>
      </w:r>
    </w:p>
    <w:p w14:paraId="74C7E601" w14:textId="6A6F0002" w:rsidR="001D5916" w:rsidRDefault="001D5916" w:rsidP="001D5916">
      <w:pPr>
        <w:pStyle w:val="BodyText"/>
        <w:numPr>
          <w:ilvl w:val="1"/>
          <w:numId w:val="15"/>
        </w:numPr>
      </w:pPr>
      <w:r>
        <w:t>Perceived hate crimes flagged by Police make up a small proportion of overall reported offences (around 0.</w:t>
      </w:r>
      <w:r w:rsidR="00B53B0F">
        <w:t>8</w:t>
      </w:r>
      <w:r>
        <w:t xml:space="preserve"> per cent). There has been an increase in the number of offences flagged as hate crimes from </w:t>
      </w:r>
      <w:r w:rsidRPr="004552ED">
        <w:t>3,</w:t>
      </w:r>
      <w:r w:rsidRPr="004552ED">
        <w:rPr>
          <w:bCs/>
        </w:rPr>
        <w:t>452</w:t>
      </w:r>
      <w:r w:rsidDel="008657B6">
        <w:rPr>
          <w:b/>
        </w:rPr>
        <w:t xml:space="preserve"> </w:t>
      </w:r>
      <w:r>
        <w:t xml:space="preserve">in 2021 to </w:t>
      </w:r>
      <w:r w:rsidRPr="004552ED">
        <w:t>5,918</w:t>
      </w:r>
      <w:r w:rsidDel="00144CA4">
        <w:rPr>
          <w:b/>
        </w:rPr>
        <w:t xml:space="preserve"> </w:t>
      </w:r>
      <w:r>
        <w:t xml:space="preserve">in 2025. </w:t>
      </w:r>
      <w:r w:rsidR="000C5081">
        <w:t>It is not clear whether this increase is attributable to an i</w:t>
      </w:r>
      <w:r>
        <w:t>ncrease in hate crimes</w:t>
      </w:r>
      <w:r>
        <w:rPr>
          <w:rStyle w:val="CommentReference"/>
          <w:sz w:val="20"/>
          <w:szCs w:val="24"/>
        </w:rPr>
        <w:t xml:space="preserve"> b</w:t>
      </w:r>
      <w:r>
        <w:t>eing committed</w:t>
      </w:r>
      <w:r w:rsidR="000C5081">
        <w:t xml:space="preserve"> or to</w:t>
      </w:r>
      <w:r>
        <w:t xml:space="preserve"> increased awareness and improved reporting and recording practices.</w:t>
      </w:r>
    </w:p>
    <w:p w14:paraId="434E8DDF" w14:textId="4568A0BD" w:rsidR="001D5916" w:rsidRDefault="001D5916" w:rsidP="001D5916">
      <w:pPr>
        <w:pStyle w:val="BodyText"/>
        <w:numPr>
          <w:ilvl w:val="1"/>
          <w:numId w:val="15"/>
        </w:numPr>
      </w:pPr>
      <w:r w:rsidRPr="00642BEC">
        <w:t>Police data only shows the number of perceived hate crimes that have been reported to Police</w:t>
      </w:r>
      <w:r>
        <w:t>.</w:t>
      </w:r>
      <w:r w:rsidDel="00AF3EC1">
        <w:t xml:space="preserve"> </w:t>
      </w:r>
      <w:r>
        <w:t xml:space="preserve">It does not capture any unreported offences. As victims of hate crime do not always report the offending, Police data may not </w:t>
      </w:r>
      <w:r w:rsidR="00C65C4F">
        <w:t xml:space="preserve">provide </w:t>
      </w:r>
      <w:r w:rsidR="00744ADA">
        <w:t>a complete</w:t>
      </w:r>
      <w:r>
        <w:t xml:space="preserve"> </w:t>
      </w:r>
      <w:r w:rsidR="00744ADA">
        <w:t>picture</w:t>
      </w:r>
      <w:r>
        <w:t>.</w:t>
      </w:r>
      <w:r w:rsidRPr="00642BEC">
        <w:rPr>
          <w:rStyle w:val="FootnoteReference"/>
        </w:rPr>
        <w:footnoteReference w:id="42"/>
      </w:r>
      <w:r>
        <w:t xml:space="preserve"> </w:t>
      </w:r>
      <w:r w:rsidR="00A15991">
        <w:t>Conversely</w:t>
      </w:r>
      <w:r>
        <w:t>, because Police recording is based on perception and reported offences, it captures alleged offending that may not ultimately be proven in court or found to be motivated by hostility.</w:t>
      </w:r>
    </w:p>
    <w:p w14:paraId="3FDF2C90" w14:textId="7700A5DA" w:rsidR="001D5916" w:rsidRDefault="001D5916" w:rsidP="001D5916">
      <w:pPr>
        <w:pStyle w:val="BodyText"/>
        <w:numPr>
          <w:ilvl w:val="1"/>
          <w:numId w:val="15"/>
        </w:numPr>
      </w:pPr>
      <w:r>
        <w:t>Further information on the prevalence of hate crime can be found in the Ministry of Justice’s New Zealand Crime and Victim Survey.</w:t>
      </w:r>
      <w:r w:rsidR="002D3CF0">
        <w:rPr>
          <w:rStyle w:val="FootnoteReference"/>
        </w:rPr>
        <w:footnoteReference w:id="43"/>
      </w:r>
      <w:r>
        <w:t xml:space="preserve"> </w:t>
      </w:r>
      <w:r w:rsidR="00360B0C">
        <w:t>As noted above, the Ministry of Justice also provided us with some additional</w:t>
      </w:r>
      <w:r w:rsidR="00FE34FC">
        <w:t xml:space="preserve">, unpublished survey data. </w:t>
      </w:r>
      <w:r>
        <w:t xml:space="preserve">As a direct survey of New Zealanders’ experiences of crime, </w:t>
      </w:r>
      <w:r w:rsidR="00535877">
        <w:t xml:space="preserve">the New Zealand Crime and Victim Survey </w:t>
      </w:r>
      <w:r>
        <w:t>collects information about both reported and unreported crimes. However, the survey does not ask specifically about hostility-motivated offending. It asks whether the victim perceived an alleged offence happened at least partly because of the offender’s attitudes towards a particular characteristic such as race or sexuality. This means the</w:t>
      </w:r>
      <w:r w:rsidR="00F26D0B">
        <w:t xml:space="preserve"> survey</w:t>
      </w:r>
      <w:r>
        <w:t xml:space="preserve"> data</w:t>
      </w:r>
      <w:r w:rsidDel="00DE5592">
        <w:t xml:space="preserve"> </w:t>
      </w:r>
      <w:r>
        <w:t>captures all alleged offences that the victim believes occurred because of a particular characteristic, whether or not it</w:t>
      </w:r>
      <w:r w:rsidDel="00A70A16">
        <w:t xml:space="preserve"> </w:t>
      </w:r>
      <w:r>
        <w:t xml:space="preserve">occurred because of </w:t>
      </w:r>
      <w:r w:rsidRPr="00EB2EEE">
        <w:rPr>
          <w:i/>
          <w:iCs/>
        </w:rPr>
        <w:t>hostility</w:t>
      </w:r>
      <w:r>
        <w:t xml:space="preserve"> based on that characteristic. For example, </w:t>
      </w:r>
      <w:r w:rsidR="00F35BFD">
        <w:t>elder abuse can occur because of hostility towards someone based on their age. However, it can also occur because of the victim’s perceived vulnerability</w:t>
      </w:r>
      <w:r w:rsidR="004B4D30">
        <w:t xml:space="preserve">. In both situations, the offence happened because of the offender’s attitude towards </w:t>
      </w:r>
      <w:r w:rsidR="005053A9">
        <w:t xml:space="preserve">the victim’s age, but </w:t>
      </w:r>
      <w:r w:rsidR="00CB0137">
        <w:t xml:space="preserve">only the former would meet the criteria in section 9(1)(h). </w:t>
      </w:r>
    </w:p>
    <w:p w14:paraId="6FBD5D30" w14:textId="058F1CDF" w:rsidR="001D5916" w:rsidRDefault="001D5916" w:rsidP="001D5916">
      <w:pPr>
        <w:pStyle w:val="BodyText"/>
        <w:numPr>
          <w:ilvl w:val="1"/>
          <w:numId w:val="15"/>
        </w:numPr>
      </w:pPr>
      <w:r>
        <w:t xml:space="preserve">Since 2018, the proportion of alleged offences perceived by the victim to have occurred because of the offender’s attitudes towards a particular characteristic has ranged </w:t>
      </w:r>
      <w:r w:rsidR="00C33020">
        <w:t xml:space="preserve">between </w:t>
      </w:r>
      <w:r w:rsidRPr="009C6492">
        <w:t>1</w:t>
      </w:r>
      <w:r>
        <w:t>1</w:t>
      </w:r>
      <w:r w:rsidR="00C33020">
        <w:t xml:space="preserve"> and </w:t>
      </w:r>
      <w:r w:rsidRPr="009C6492">
        <w:t xml:space="preserve">20 per cent of the alleged offences reported by survey participants. </w:t>
      </w:r>
    </w:p>
    <w:p w14:paraId="4EACE236" w14:textId="14EA8A06" w:rsidR="001D5916" w:rsidRDefault="001D5916" w:rsidP="001D5916">
      <w:pPr>
        <w:pStyle w:val="BodyText"/>
        <w:numPr>
          <w:ilvl w:val="1"/>
          <w:numId w:val="15"/>
        </w:numPr>
      </w:pPr>
      <w:r>
        <w:t xml:space="preserve">Fourteen submitters on our Consultation Paper discussed the prevalence of hate crime in Aotearoa New Zealand. Of these, two considered that hate crime is increasing or is more prevalent than </w:t>
      </w:r>
      <w:r w:rsidR="00AD3181">
        <w:t xml:space="preserve">might be </w:t>
      </w:r>
      <w:r>
        <w:t>expected</w:t>
      </w:r>
      <w:r w:rsidR="00425B0D">
        <w:t>,</w:t>
      </w:r>
      <w:r>
        <w:rPr>
          <w:rStyle w:val="FootnoteReference"/>
        </w:rPr>
        <w:footnoteReference w:id="44"/>
      </w:r>
      <w:r>
        <w:t xml:space="preserve"> while six thought hate crime is not a widespread problem.</w:t>
      </w:r>
      <w:r>
        <w:rPr>
          <w:rStyle w:val="FootnoteReference"/>
        </w:rPr>
        <w:footnoteReference w:id="45"/>
      </w:r>
      <w:r>
        <w:t xml:space="preserve"> One submitter said that little is known about hate crime in Aotearoa New Zealand.</w:t>
      </w:r>
      <w:r>
        <w:rPr>
          <w:rStyle w:val="FootnoteReference"/>
        </w:rPr>
        <w:footnoteReference w:id="46"/>
      </w:r>
    </w:p>
    <w:p w14:paraId="596F217C" w14:textId="77777777" w:rsidR="001D5916" w:rsidRDefault="001D5916" w:rsidP="001D5916">
      <w:pPr>
        <w:pStyle w:val="Heading3"/>
      </w:pPr>
      <w:r>
        <w:t>Features of hate crime offending</w:t>
      </w:r>
    </w:p>
    <w:p w14:paraId="17647328" w14:textId="6A33175D" w:rsidR="001D5916" w:rsidRDefault="001D5916" w:rsidP="001D5916">
      <w:pPr>
        <w:pStyle w:val="BodyText"/>
        <w:numPr>
          <w:ilvl w:val="1"/>
          <w:numId w:val="15"/>
        </w:numPr>
      </w:pPr>
      <w:r>
        <w:t>The types of offences most frequently flagged by Police as perceived hate crimes are</w:t>
      </w:r>
      <w:r w:rsidR="00A753DC">
        <w:t>:</w:t>
      </w:r>
      <w:r>
        <w:t xml:space="preserve"> </w:t>
      </w:r>
      <w:r w:rsidRPr="005B6F43">
        <w:t>offences that harm or endanger persons</w:t>
      </w:r>
      <w:r>
        <w:t xml:space="preserve"> (such as stalking, harassment and threatening behaviour)</w:t>
      </w:r>
      <w:r w:rsidRPr="005B6F43">
        <w:t>; public order, health and safety offences</w:t>
      </w:r>
      <w:r>
        <w:t xml:space="preserve"> (such as offensive behaviour or language)</w:t>
      </w:r>
      <w:r w:rsidRPr="005B6F43">
        <w:t>; assault; and property damage. From 2021 to 2025, these types of offences together accounted for over 90 per cent of perceived hate crimes.</w:t>
      </w:r>
      <w:r>
        <w:rPr>
          <w:rStyle w:val="FootnoteReference"/>
        </w:rPr>
        <w:footnoteReference w:id="47"/>
      </w:r>
    </w:p>
    <w:p w14:paraId="03A28899" w14:textId="257A1473" w:rsidR="001D5916" w:rsidRDefault="003D2F6D" w:rsidP="001D5916">
      <w:pPr>
        <w:pStyle w:val="BodyText"/>
        <w:numPr>
          <w:ilvl w:val="1"/>
          <w:numId w:val="15"/>
        </w:numPr>
      </w:pPr>
      <w:r>
        <w:t xml:space="preserve">In </w:t>
      </w:r>
      <w:r w:rsidR="001D5916">
        <w:t>the N</w:t>
      </w:r>
      <w:r w:rsidR="000223A5">
        <w:t xml:space="preserve">ew </w:t>
      </w:r>
      <w:r w:rsidR="001D5916">
        <w:t>Z</w:t>
      </w:r>
      <w:r w:rsidR="000223A5">
        <w:t xml:space="preserve">ealand </w:t>
      </w:r>
      <w:r w:rsidR="001D5916">
        <w:t>C</w:t>
      </w:r>
      <w:r w:rsidR="000223A5">
        <w:t xml:space="preserve">rime and </w:t>
      </w:r>
      <w:r w:rsidR="001D5916">
        <w:t>V</w:t>
      </w:r>
      <w:r w:rsidR="000223A5">
        <w:t xml:space="preserve">ictim </w:t>
      </w:r>
      <w:r w:rsidR="001D5916">
        <w:t>S</w:t>
      </w:r>
      <w:r w:rsidR="000223A5">
        <w:t>urvey</w:t>
      </w:r>
      <w:r>
        <w:t xml:space="preserve"> data</w:t>
      </w:r>
      <w:r w:rsidR="001D5916">
        <w:t xml:space="preserve">, the most common types of offences reported to be motivated by an offender’s attitudes towards a particular characteristic were sexual assault, threats and property damage, and </w:t>
      </w:r>
      <w:r w:rsidR="00C83A78">
        <w:t>harassment and threatening behaviour.</w:t>
      </w:r>
      <w:r w:rsidR="001D5916">
        <w:rPr>
          <w:rStyle w:val="FootnoteReference"/>
        </w:rPr>
        <w:footnoteReference w:id="48"/>
      </w:r>
      <w:r w:rsidR="001D5916">
        <w:t xml:space="preserve"> The survey does not gather data on public order offences</w:t>
      </w:r>
      <w:r w:rsidR="009827B9">
        <w:t>,</w:t>
      </w:r>
      <w:r w:rsidR="001D5916">
        <w:t xml:space="preserve"> which, as noted above, are among the most common perceived hate crimes reported to Police. </w:t>
      </w:r>
    </w:p>
    <w:p w14:paraId="0D5EF881" w14:textId="77777777" w:rsidR="001D5916" w:rsidRDefault="001D5916" w:rsidP="001D5916">
      <w:pPr>
        <w:pStyle w:val="Heading3"/>
      </w:pPr>
      <w:r>
        <w:t>Characteristics of targeted individuals</w:t>
      </w:r>
    </w:p>
    <w:p w14:paraId="0F7012B5" w14:textId="2E69B9AC" w:rsidR="001D5916" w:rsidRDefault="001D5916" w:rsidP="001D5916">
      <w:pPr>
        <w:pStyle w:val="BodyText"/>
        <w:numPr>
          <w:ilvl w:val="1"/>
          <w:numId w:val="15"/>
        </w:numPr>
      </w:pPr>
      <w:r>
        <w:t xml:space="preserve">Police data captures the percentage of perceived hate crimes that related to each protected characteristic. More than one protected characteristic can be targeted in a single reported offence — for example, if a gay South Asian person experiences a hate crime, they may consider they were targeted because of </w:t>
      </w:r>
      <w:r w:rsidR="000073EA">
        <w:t>both</w:t>
      </w:r>
      <w:r>
        <w:t xml:space="preserve"> their race </w:t>
      </w:r>
      <w:r w:rsidRPr="00CC1FCB">
        <w:rPr>
          <w:i/>
          <w:iCs/>
        </w:rPr>
        <w:t>and</w:t>
      </w:r>
      <w:r>
        <w:t xml:space="preserve"> sexual orientation. </w:t>
      </w:r>
    </w:p>
    <w:p w14:paraId="598A52D0" w14:textId="3647F4F1" w:rsidR="001D5916" w:rsidRDefault="001D5916" w:rsidP="001D5916">
      <w:pPr>
        <w:pStyle w:val="BodyText"/>
        <w:numPr>
          <w:ilvl w:val="1"/>
          <w:numId w:val="15"/>
        </w:numPr>
      </w:pPr>
      <w:r>
        <w:t>The table below shows the percentage of</w:t>
      </w:r>
      <w:r w:rsidDel="00DF7CFD">
        <w:t xml:space="preserve"> </w:t>
      </w:r>
      <w:r>
        <w:t>perceived hate crimes that related to each protected characteristic from 2021 to 2025</w:t>
      </w:r>
      <w:r w:rsidR="00994117">
        <w:t xml:space="preserve">, </w:t>
      </w:r>
      <w:r w:rsidR="00F17B57">
        <w:t xml:space="preserve">based on </w:t>
      </w:r>
      <w:r w:rsidR="00994117">
        <w:t>Police data.</w:t>
      </w:r>
    </w:p>
    <w:p w14:paraId="6B8B206A" w14:textId="77777777" w:rsidR="002C2A34" w:rsidRDefault="002C2A34" w:rsidP="002C2A34">
      <w:pPr>
        <w:pStyle w:val="BodyText"/>
        <w:numPr>
          <w:ilvl w:val="0"/>
          <w:numId w:val="0"/>
        </w:numPr>
        <w:ind w:left="709"/>
      </w:pPr>
    </w:p>
    <w:tbl>
      <w:tblPr>
        <w:tblStyle w:val="LightList-Accent51"/>
        <w:tblW w:w="0" w:type="auto"/>
        <w:tblInd w:w="704" w:type="dxa"/>
        <w:tblLook w:val="04A0" w:firstRow="1" w:lastRow="0" w:firstColumn="1" w:lastColumn="0" w:noHBand="0" w:noVBand="1"/>
      </w:tblPr>
      <w:tblGrid>
        <w:gridCol w:w="1657"/>
        <w:gridCol w:w="1357"/>
        <w:gridCol w:w="1372"/>
        <w:gridCol w:w="1371"/>
        <w:gridCol w:w="1374"/>
        <w:gridCol w:w="1217"/>
      </w:tblGrid>
      <w:tr w:rsidR="00A95107" w14:paraId="2015D066" w14:textId="77777777" w:rsidTr="00A42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6"/>
          </w:tcPr>
          <w:p w14:paraId="2A97E415" w14:textId="41CBD9CA" w:rsidR="001D5916" w:rsidRPr="00017246" w:rsidRDefault="001D5916" w:rsidP="003B0A8B">
            <w:pPr>
              <w:pStyle w:val="TableHeading"/>
              <w:rPr>
                <w:bCs w:val="0"/>
                <w:sz w:val="20"/>
                <w:szCs w:val="20"/>
              </w:rPr>
            </w:pPr>
            <w:r w:rsidRPr="00017246">
              <w:rPr>
                <w:bCs w:val="0"/>
                <w:sz w:val="20"/>
                <w:szCs w:val="20"/>
              </w:rPr>
              <w:t>P</w:t>
            </w:r>
            <w:r w:rsidR="00F02CAE" w:rsidRPr="00017246">
              <w:rPr>
                <w:bCs w:val="0"/>
                <w:sz w:val="20"/>
                <w:szCs w:val="20"/>
              </w:rPr>
              <w:t xml:space="preserve">olice data: </w:t>
            </w:r>
            <w:r w:rsidR="00B72517">
              <w:rPr>
                <w:bCs w:val="0"/>
                <w:sz w:val="20"/>
                <w:szCs w:val="20"/>
              </w:rPr>
              <w:t xml:space="preserve">characteristics targeted </w:t>
            </w:r>
            <w:r w:rsidR="000C6440">
              <w:rPr>
                <w:bCs w:val="0"/>
                <w:sz w:val="20"/>
                <w:szCs w:val="20"/>
              </w:rPr>
              <w:t>in alleged offences</w:t>
            </w:r>
            <w:r w:rsidRPr="00017246">
              <w:rPr>
                <w:bCs w:val="0"/>
                <w:sz w:val="20"/>
                <w:szCs w:val="20"/>
              </w:rPr>
              <w:t xml:space="preserve"> </w:t>
            </w:r>
            <w:r w:rsidR="000C6440">
              <w:rPr>
                <w:bCs w:val="0"/>
                <w:sz w:val="20"/>
                <w:szCs w:val="20"/>
              </w:rPr>
              <w:t xml:space="preserve">flagged as </w:t>
            </w:r>
            <w:r w:rsidRPr="00017246">
              <w:rPr>
                <w:bCs w:val="0"/>
                <w:sz w:val="20"/>
                <w:szCs w:val="20"/>
              </w:rPr>
              <w:t>perceived hate crime</w:t>
            </w:r>
            <w:r w:rsidR="00E2251B">
              <w:rPr>
                <w:bCs w:val="0"/>
                <w:sz w:val="20"/>
                <w:szCs w:val="20"/>
              </w:rPr>
              <w:t>s</w:t>
            </w:r>
            <w:r w:rsidRPr="00017246">
              <w:rPr>
                <w:bCs w:val="0"/>
                <w:sz w:val="20"/>
                <w:szCs w:val="20"/>
              </w:rPr>
              <w:t xml:space="preserve"> </w:t>
            </w:r>
          </w:p>
        </w:tc>
      </w:tr>
      <w:tr w:rsidR="00475B5C" w14:paraId="267CBC46" w14:textId="77777777" w:rsidTr="00A4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7FE89990" w14:textId="77777777" w:rsidR="001D5916" w:rsidRDefault="001D5916" w:rsidP="00864A20">
            <w:pPr>
              <w:pStyle w:val="BodyText"/>
              <w:numPr>
                <w:ilvl w:val="0"/>
                <w:numId w:val="0"/>
              </w:numPr>
            </w:pPr>
          </w:p>
        </w:tc>
        <w:tc>
          <w:tcPr>
            <w:tcW w:w="1358" w:type="dxa"/>
          </w:tcPr>
          <w:p w14:paraId="19583894" w14:textId="77777777" w:rsidR="001D5916" w:rsidRPr="003B0369" w:rsidRDefault="001D5916" w:rsidP="00994117">
            <w:pPr>
              <w:pStyle w:val="TableSubheadingGreen"/>
              <w:cnfStyle w:val="000000100000" w:firstRow="0" w:lastRow="0" w:firstColumn="0" w:lastColumn="0" w:oddVBand="0" w:evenVBand="0" w:oddHBand="1" w:evenHBand="0" w:firstRowFirstColumn="0" w:firstRowLastColumn="0" w:lastRowFirstColumn="0" w:lastRowLastColumn="0"/>
            </w:pPr>
            <w:r w:rsidRPr="003B0369">
              <w:t>2021</w:t>
            </w:r>
          </w:p>
        </w:tc>
        <w:tc>
          <w:tcPr>
            <w:tcW w:w="1373" w:type="dxa"/>
          </w:tcPr>
          <w:p w14:paraId="687F44A1" w14:textId="77777777" w:rsidR="001D5916" w:rsidRPr="003B0369" w:rsidRDefault="001D5916" w:rsidP="00994117">
            <w:pPr>
              <w:pStyle w:val="TableSubheadingGreen"/>
              <w:cnfStyle w:val="000000100000" w:firstRow="0" w:lastRow="0" w:firstColumn="0" w:lastColumn="0" w:oddVBand="0" w:evenVBand="0" w:oddHBand="1" w:evenHBand="0" w:firstRowFirstColumn="0" w:firstRowLastColumn="0" w:lastRowFirstColumn="0" w:lastRowLastColumn="0"/>
            </w:pPr>
            <w:r w:rsidRPr="003B0369">
              <w:t>2022</w:t>
            </w:r>
          </w:p>
        </w:tc>
        <w:tc>
          <w:tcPr>
            <w:tcW w:w="1372" w:type="dxa"/>
          </w:tcPr>
          <w:p w14:paraId="7578BD89" w14:textId="77777777" w:rsidR="001D5916" w:rsidRPr="003B0369" w:rsidRDefault="001D5916" w:rsidP="00994117">
            <w:pPr>
              <w:pStyle w:val="TableSubheadingGreen"/>
              <w:cnfStyle w:val="000000100000" w:firstRow="0" w:lastRow="0" w:firstColumn="0" w:lastColumn="0" w:oddVBand="0" w:evenVBand="0" w:oddHBand="1" w:evenHBand="0" w:firstRowFirstColumn="0" w:firstRowLastColumn="0" w:lastRowFirstColumn="0" w:lastRowLastColumn="0"/>
            </w:pPr>
            <w:r w:rsidRPr="003B0369">
              <w:t>2023</w:t>
            </w:r>
          </w:p>
        </w:tc>
        <w:tc>
          <w:tcPr>
            <w:tcW w:w="1375" w:type="dxa"/>
          </w:tcPr>
          <w:p w14:paraId="340C23EF" w14:textId="77777777" w:rsidR="001D5916" w:rsidRPr="003B0369" w:rsidRDefault="001D5916" w:rsidP="00994117">
            <w:pPr>
              <w:pStyle w:val="TableSubheadingGreen"/>
              <w:cnfStyle w:val="000000100000" w:firstRow="0" w:lastRow="0" w:firstColumn="0" w:lastColumn="0" w:oddVBand="0" w:evenVBand="0" w:oddHBand="1" w:evenHBand="0" w:firstRowFirstColumn="0" w:firstRowLastColumn="0" w:lastRowFirstColumn="0" w:lastRowLastColumn="0"/>
            </w:pPr>
            <w:r w:rsidRPr="003B0369">
              <w:t>2024</w:t>
            </w:r>
          </w:p>
        </w:tc>
        <w:tc>
          <w:tcPr>
            <w:tcW w:w="1218" w:type="dxa"/>
          </w:tcPr>
          <w:p w14:paraId="50CB68B5" w14:textId="77777777" w:rsidR="001D5916" w:rsidRPr="003B0369" w:rsidRDefault="001D5916" w:rsidP="00994117">
            <w:pPr>
              <w:pStyle w:val="TableSubheadingGreen"/>
              <w:cnfStyle w:val="000000100000" w:firstRow="0" w:lastRow="0" w:firstColumn="0" w:lastColumn="0" w:oddVBand="0" w:evenVBand="0" w:oddHBand="1" w:evenHBand="0" w:firstRowFirstColumn="0" w:firstRowLastColumn="0" w:lastRowFirstColumn="0" w:lastRowLastColumn="0"/>
            </w:pPr>
            <w:r>
              <w:t>2025</w:t>
            </w:r>
          </w:p>
        </w:tc>
      </w:tr>
      <w:tr w:rsidR="00475B5C" w14:paraId="57DD5189" w14:textId="77777777" w:rsidTr="00A42BC3">
        <w:tc>
          <w:tcPr>
            <w:cnfStyle w:val="001000000000" w:firstRow="0" w:lastRow="0" w:firstColumn="1" w:lastColumn="0" w:oddVBand="0" w:evenVBand="0" w:oddHBand="0" w:evenHBand="0" w:firstRowFirstColumn="0" w:firstRowLastColumn="0" w:lastRowFirstColumn="0" w:lastRowLastColumn="0"/>
            <w:tcW w:w="1656" w:type="dxa"/>
          </w:tcPr>
          <w:p w14:paraId="1A4F9F13" w14:textId="77777777" w:rsidR="001D5916" w:rsidRPr="004E2BFD" w:rsidRDefault="001D5916" w:rsidP="00864A20">
            <w:pPr>
              <w:pStyle w:val="TableSubheadingGreen"/>
              <w:rPr>
                <w:b/>
              </w:rPr>
            </w:pPr>
            <w:r w:rsidRPr="004E2BFD">
              <w:rPr>
                <w:b/>
              </w:rPr>
              <w:t>Age</w:t>
            </w:r>
          </w:p>
        </w:tc>
        <w:tc>
          <w:tcPr>
            <w:tcW w:w="1358" w:type="dxa"/>
          </w:tcPr>
          <w:p w14:paraId="7B9666FA"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1%</w:t>
            </w:r>
          </w:p>
        </w:tc>
        <w:tc>
          <w:tcPr>
            <w:tcW w:w="1373" w:type="dxa"/>
          </w:tcPr>
          <w:p w14:paraId="53F9852C"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1%</w:t>
            </w:r>
          </w:p>
        </w:tc>
        <w:tc>
          <w:tcPr>
            <w:tcW w:w="1372" w:type="dxa"/>
          </w:tcPr>
          <w:p w14:paraId="2676C8AB"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1%</w:t>
            </w:r>
          </w:p>
        </w:tc>
        <w:tc>
          <w:tcPr>
            <w:tcW w:w="1375" w:type="dxa"/>
          </w:tcPr>
          <w:p w14:paraId="35FD203D"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0%</w:t>
            </w:r>
          </w:p>
        </w:tc>
        <w:tc>
          <w:tcPr>
            <w:tcW w:w="1218" w:type="dxa"/>
          </w:tcPr>
          <w:p w14:paraId="4ACA8F03"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0%</w:t>
            </w:r>
          </w:p>
        </w:tc>
      </w:tr>
      <w:tr w:rsidR="00475B5C" w14:paraId="52349ADC" w14:textId="77777777" w:rsidTr="00A4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608DE0BD" w14:textId="77777777" w:rsidR="001D5916" w:rsidRPr="004E2BFD" w:rsidRDefault="001D5916" w:rsidP="00864A20">
            <w:pPr>
              <w:pStyle w:val="TableSubheadingGreen"/>
              <w:rPr>
                <w:b/>
              </w:rPr>
            </w:pPr>
            <w:r w:rsidRPr="004E2BFD">
              <w:rPr>
                <w:b/>
              </w:rPr>
              <w:t>Disability</w:t>
            </w:r>
          </w:p>
        </w:tc>
        <w:tc>
          <w:tcPr>
            <w:tcW w:w="1358" w:type="dxa"/>
          </w:tcPr>
          <w:p w14:paraId="3DF3A90C"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1%</w:t>
            </w:r>
          </w:p>
        </w:tc>
        <w:tc>
          <w:tcPr>
            <w:tcW w:w="1373" w:type="dxa"/>
          </w:tcPr>
          <w:p w14:paraId="47A90AE6"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2%</w:t>
            </w:r>
          </w:p>
        </w:tc>
        <w:tc>
          <w:tcPr>
            <w:tcW w:w="1372" w:type="dxa"/>
          </w:tcPr>
          <w:p w14:paraId="3B13F5B8"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2%</w:t>
            </w:r>
          </w:p>
        </w:tc>
        <w:tc>
          <w:tcPr>
            <w:tcW w:w="1375" w:type="dxa"/>
          </w:tcPr>
          <w:p w14:paraId="07C6575C"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2%</w:t>
            </w:r>
          </w:p>
        </w:tc>
        <w:tc>
          <w:tcPr>
            <w:tcW w:w="1218" w:type="dxa"/>
          </w:tcPr>
          <w:p w14:paraId="5F120AC9"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1%</w:t>
            </w:r>
          </w:p>
        </w:tc>
      </w:tr>
      <w:tr w:rsidR="00475B5C" w14:paraId="6C512F57" w14:textId="77777777" w:rsidTr="00A42BC3">
        <w:tc>
          <w:tcPr>
            <w:cnfStyle w:val="001000000000" w:firstRow="0" w:lastRow="0" w:firstColumn="1" w:lastColumn="0" w:oddVBand="0" w:evenVBand="0" w:oddHBand="0" w:evenHBand="0" w:firstRowFirstColumn="0" w:firstRowLastColumn="0" w:lastRowFirstColumn="0" w:lastRowLastColumn="0"/>
            <w:tcW w:w="1656" w:type="dxa"/>
          </w:tcPr>
          <w:p w14:paraId="4725BB98" w14:textId="77777777" w:rsidR="001D5916" w:rsidRPr="004E2BFD" w:rsidRDefault="001D5916" w:rsidP="00864A20">
            <w:pPr>
              <w:pStyle w:val="TableSubheadingGreen"/>
              <w:rPr>
                <w:b/>
              </w:rPr>
            </w:pPr>
            <w:r w:rsidRPr="004E2BFD">
              <w:rPr>
                <w:b/>
              </w:rPr>
              <w:t>Gender identity</w:t>
            </w:r>
          </w:p>
        </w:tc>
        <w:tc>
          <w:tcPr>
            <w:tcW w:w="1358" w:type="dxa"/>
          </w:tcPr>
          <w:p w14:paraId="0D9A8F9D"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3%</w:t>
            </w:r>
          </w:p>
        </w:tc>
        <w:tc>
          <w:tcPr>
            <w:tcW w:w="1373" w:type="dxa"/>
          </w:tcPr>
          <w:p w14:paraId="7D8421E5"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4%</w:t>
            </w:r>
          </w:p>
        </w:tc>
        <w:tc>
          <w:tcPr>
            <w:tcW w:w="1372" w:type="dxa"/>
          </w:tcPr>
          <w:p w14:paraId="5115404E"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4%</w:t>
            </w:r>
          </w:p>
        </w:tc>
        <w:tc>
          <w:tcPr>
            <w:tcW w:w="1375" w:type="dxa"/>
          </w:tcPr>
          <w:p w14:paraId="3750E2C1"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4%</w:t>
            </w:r>
          </w:p>
        </w:tc>
        <w:tc>
          <w:tcPr>
            <w:tcW w:w="1218" w:type="dxa"/>
          </w:tcPr>
          <w:p w14:paraId="3517C79A"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5%</w:t>
            </w:r>
          </w:p>
        </w:tc>
      </w:tr>
      <w:tr w:rsidR="00475B5C" w14:paraId="6CF727E7" w14:textId="77777777" w:rsidTr="00A4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019218FE" w14:textId="77777777" w:rsidR="001D5916" w:rsidRPr="004E2BFD" w:rsidRDefault="001D5916" w:rsidP="00864A20">
            <w:pPr>
              <w:pStyle w:val="TableSubheadingGreen"/>
              <w:rPr>
                <w:b/>
              </w:rPr>
            </w:pPr>
            <w:r w:rsidRPr="004E2BFD">
              <w:rPr>
                <w:b/>
              </w:rPr>
              <w:t>Race/ethnicity</w:t>
            </w:r>
          </w:p>
        </w:tc>
        <w:tc>
          <w:tcPr>
            <w:tcW w:w="1358" w:type="dxa"/>
          </w:tcPr>
          <w:p w14:paraId="5CD56977"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82%</w:t>
            </w:r>
          </w:p>
        </w:tc>
        <w:tc>
          <w:tcPr>
            <w:tcW w:w="1373" w:type="dxa"/>
          </w:tcPr>
          <w:p w14:paraId="023BE5FC"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79%</w:t>
            </w:r>
          </w:p>
        </w:tc>
        <w:tc>
          <w:tcPr>
            <w:tcW w:w="1372" w:type="dxa"/>
          </w:tcPr>
          <w:p w14:paraId="4EF294C4"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78%</w:t>
            </w:r>
          </w:p>
        </w:tc>
        <w:tc>
          <w:tcPr>
            <w:tcW w:w="1375" w:type="dxa"/>
          </w:tcPr>
          <w:p w14:paraId="4B420117"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79%</w:t>
            </w:r>
          </w:p>
        </w:tc>
        <w:tc>
          <w:tcPr>
            <w:tcW w:w="1218" w:type="dxa"/>
          </w:tcPr>
          <w:p w14:paraId="3E30B0B0"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79%</w:t>
            </w:r>
          </w:p>
        </w:tc>
      </w:tr>
      <w:tr w:rsidR="00475B5C" w14:paraId="48A092C7" w14:textId="77777777" w:rsidTr="00A42BC3">
        <w:tc>
          <w:tcPr>
            <w:cnfStyle w:val="001000000000" w:firstRow="0" w:lastRow="0" w:firstColumn="1" w:lastColumn="0" w:oddVBand="0" w:evenVBand="0" w:oddHBand="0" w:evenHBand="0" w:firstRowFirstColumn="0" w:firstRowLastColumn="0" w:lastRowFirstColumn="0" w:lastRowLastColumn="0"/>
            <w:tcW w:w="1656" w:type="dxa"/>
          </w:tcPr>
          <w:p w14:paraId="60C2AC32" w14:textId="77777777" w:rsidR="001D5916" w:rsidRPr="004E2BFD" w:rsidRDefault="001D5916" w:rsidP="00864A20">
            <w:pPr>
              <w:pStyle w:val="TableSubheadingGreen"/>
              <w:rPr>
                <w:b/>
              </w:rPr>
            </w:pPr>
            <w:r w:rsidRPr="004E2BFD">
              <w:rPr>
                <w:b/>
              </w:rPr>
              <w:t>Religion/faith</w:t>
            </w:r>
          </w:p>
        </w:tc>
        <w:tc>
          <w:tcPr>
            <w:tcW w:w="1358" w:type="dxa"/>
          </w:tcPr>
          <w:p w14:paraId="2754EDEE"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7%</w:t>
            </w:r>
          </w:p>
        </w:tc>
        <w:tc>
          <w:tcPr>
            <w:tcW w:w="1373" w:type="dxa"/>
          </w:tcPr>
          <w:p w14:paraId="00388F4B"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6%</w:t>
            </w:r>
          </w:p>
        </w:tc>
        <w:tc>
          <w:tcPr>
            <w:tcW w:w="1372" w:type="dxa"/>
          </w:tcPr>
          <w:p w14:paraId="14DDDCD5"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6%</w:t>
            </w:r>
          </w:p>
        </w:tc>
        <w:tc>
          <w:tcPr>
            <w:tcW w:w="1375" w:type="dxa"/>
          </w:tcPr>
          <w:p w14:paraId="1E6D8DC8"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5%</w:t>
            </w:r>
          </w:p>
        </w:tc>
        <w:tc>
          <w:tcPr>
            <w:tcW w:w="1218" w:type="dxa"/>
          </w:tcPr>
          <w:p w14:paraId="6BE4EE8D" w14:textId="77777777" w:rsidR="001D5916" w:rsidRDefault="001D5916" w:rsidP="00DF0065">
            <w:pPr>
              <w:pStyle w:val="TableText"/>
              <w:cnfStyle w:val="000000000000" w:firstRow="0" w:lastRow="0" w:firstColumn="0" w:lastColumn="0" w:oddVBand="0" w:evenVBand="0" w:oddHBand="0" w:evenHBand="0" w:firstRowFirstColumn="0" w:firstRowLastColumn="0" w:lastRowFirstColumn="0" w:lastRowLastColumn="0"/>
            </w:pPr>
            <w:r>
              <w:t>6%</w:t>
            </w:r>
          </w:p>
        </w:tc>
      </w:tr>
      <w:tr w:rsidR="00475B5C" w14:paraId="56A01B45" w14:textId="77777777" w:rsidTr="00A4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532BCA5D" w14:textId="77777777" w:rsidR="001D5916" w:rsidRPr="004E2BFD" w:rsidRDefault="001D5916" w:rsidP="00864A20">
            <w:pPr>
              <w:pStyle w:val="TableSubheadingGreen"/>
              <w:rPr>
                <w:b/>
              </w:rPr>
            </w:pPr>
            <w:r w:rsidRPr="004E2BFD">
              <w:rPr>
                <w:b/>
              </w:rPr>
              <w:t>Sexual orientation</w:t>
            </w:r>
          </w:p>
        </w:tc>
        <w:tc>
          <w:tcPr>
            <w:tcW w:w="1358" w:type="dxa"/>
          </w:tcPr>
          <w:p w14:paraId="51FF251B"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7%</w:t>
            </w:r>
          </w:p>
        </w:tc>
        <w:tc>
          <w:tcPr>
            <w:tcW w:w="1373" w:type="dxa"/>
          </w:tcPr>
          <w:p w14:paraId="443F560C"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9%</w:t>
            </w:r>
          </w:p>
        </w:tc>
        <w:tc>
          <w:tcPr>
            <w:tcW w:w="1372" w:type="dxa"/>
          </w:tcPr>
          <w:p w14:paraId="4CD4F103"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9%</w:t>
            </w:r>
          </w:p>
        </w:tc>
        <w:tc>
          <w:tcPr>
            <w:tcW w:w="1375" w:type="dxa"/>
          </w:tcPr>
          <w:p w14:paraId="202ED416"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10%</w:t>
            </w:r>
          </w:p>
        </w:tc>
        <w:tc>
          <w:tcPr>
            <w:tcW w:w="1218" w:type="dxa"/>
          </w:tcPr>
          <w:p w14:paraId="3F8B1B38" w14:textId="77777777" w:rsidR="001D5916" w:rsidRDefault="001D5916" w:rsidP="00DF0065">
            <w:pPr>
              <w:pStyle w:val="TableText"/>
              <w:cnfStyle w:val="000000100000" w:firstRow="0" w:lastRow="0" w:firstColumn="0" w:lastColumn="0" w:oddVBand="0" w:evenVBand="0" w:oddHBand="1" w:evenHBand="0" w:firstRowFirstColumn="0" w:firstRowLastColumn="0" w:lastRowFirstColumn="0" w:lastRowLastColumn="0"/>
            </w:pPr>
            <w:r>
              <w:t>9%</w:t>
            </w:r>
          </w:p>
        </w:tc>
      </w:tr>
    </w:tbl>
    <w:p w14:paraId="5742FD6F" w14:textId="77777777" w:rsidR="001D5916" w:rsidRDefault="001D5916" w:rsidP="001D5916">
      <w:pPr>
        <w:pStyle w:val="BodyText"/>
        <w:numPr>
          <w:ilvl w:val="0"/>
          <w:numId w:val="0"/>
        </w:numPr>
        <w:ind w:left="709"/>
      </w:pPr>
    </w:p>
    <w:p w14:paraId="40015D39" w14:textId="4C00E77A" w:rsidR="001D5916" w:rsidRDefault="001D5916" w:rsidP="001D5916">
      <w:pPr>
        <w:pStyle w:val="BodyText"/>
        <w:numPr>
          <w:ilvl w:val="1"/>
          <w:numId w:val="15"/>
        </w:numPr>
      </w:pPr>
      <w:r>
        <w:t>Since 2022, Police has recorded further detail on the protected characteristics perceived to be targeted</w:t>
      </w:r>
      <w:r w:rsidR="00051163">
        <w:t xml:space="preserve"> by an alleged offence</w:t>
      </w:r>
      <w:r>
        <w:t xml:space="preserve"> such as the type of race or religion. From 2022 to 2025, the most recorded ethnicities were South Asian (including Indian) and Asian. In 2025, these accounted for 27 per cent and 15 per cent of perceived hate crimes targeting race/ethnicity, respectively. ‘People of colour’ and Māori were the next most recorded races or ethnicities (at 13 per cent and 8 per cent, respectively). Islam and Judaism were the most recorded religions, accounting for 51 per cent and 16 per cent of perceived hate crimes targeting religion in 2025, respectively. </w:t>
      </w:r>
    </w:p>
    <w:p w14:paraId="0F621BA4" w14:textId="665766DA" w:rsidR="001D5916" w:rsidRDefault="001D5916" w:rsidP="001D5916">
      <w:pPr>
        <w:pStyle w:val="BodyText"/>
        <w:numPr>
          <w:ilvl w:val="1"/>
          <w:numId w:val="15"/>
        </w:numPr>
      </w:pPr>
      <w:r>
        <w:t>The N</w:t>
      </w:r>
      <w:r w:rsidR="0061313C">
        <w:t xml:space="preserve">ew </w:t>
      </w:r>
      <w:r>
        <w:t>Z</w:t>
      </w:r>
      <w:r w:rsidR="0061313C">
        <w:t xml:space="preserve">ealand </w:t>
      </w:r>
      <w:r>
        <w:t>C</w:t>
      </w:r>
      <w:r w:rsidR="0061313C">
        <w:t xml:space="preserve">rime and </w:t>
      </w:r>
      <w:r>
        <w:t>V</w:t>
      </w:r>
      <w:r w:rsidR="0061313C">
        <w:t xml:space="preserve">ictim </w:t>
      </w:r>
      <w:r>
        <w:t>S</w:t>
      </w:r>
      <w:r w:rsidR="0061313C">
        <w:t>urvey</w:t>
      </w:r>
      <w:r>
        <w:t xml:space="preserve"> also looks at what percentage of alleged offences relate to particular characteristics, as shown in the table below. The percentage is out of the total alleged offences </w:t>
      </w:r>
      <w:r w:rsidR="00477825">
        <w:t xml:space="preserve">respondents thought were </w:t>
      </w:r>
      <w:r>
        <w:t>motivated by the offender’s attitude towards a characteristic. As with Police data, more than one characteristic can be recorded for a single alleged offence.</w:t>
      </w:r>
    </w:p>
    <w:p w14:paraId="41CB2471" w14:textId="26C78434" w:rsidR="001D5916" w:rsidRDefault="001D5916" w:rsidP="001D5916">
      <w:pPr>
        <w:pStyle w:val="BodyText"/>
        <w:numPr>
          <w:ilvl w:val="1"/>
          <w:numId w:val="15"/>
        </w:numPr>
      </w:pPr>
      <w:r>
        <w:t>There are two preliminary points to make about this data</w:t>
      </w:r>
      <w:r w:rsidR="00BC24E0">
        <w:t>, which means it should be treated with caution.</w:t>
      </w:r>
    </w:p>
    <w:p w14:paraId="2941CFEE" w14:textId="187F93E2" w:rsidR="001D5916" w:rsidRDefault="001D5916" w:rsidP="001D5916">
      <w:pPr>
        <w:pStyle w:val="BodyTextalphalist"/>
        <w:numPr>
          <w:ilvl w:val="3"/>
          <w:numId w:val="15"/>
        </w:numPr>
      </w:pPr>
      <w:r>
        <w:t>In the table, ‘S’ means suppressed estimates</w:t>
      </w:r>
      <w:r w:rsidR="00BC24E0">
        <w:t xml:space="preserve">. Estimates were suppressed if </w:t>
      </w:r>
      <w:r>
        <w:t>they ha</w:t>
      </w:r>
      <w:r w:rsidR="00BC24E0">
        <w:t>d</w:t>
      </w:r>
      <w:r>
        <w:t xml:space="preserve"> either a margin of error of 20 percentage points or greater, a relative standard error of 50 per cent or greater or an underlying sample count of fewer than six, making them too unreliable for general use.</w:t>
      </w:r>
    </w:p>
    <w:p w14:paraId="0F46F186" w14:textId="39E2FD59" w:rsidR="00BC24E0" w:rsidRDefault="001D5916" w:rsidP="00A0692B">
      <w:pPr>
        <w:pStyle w:val="BodyTextalphalist"/>
        <w:numPr>
          <w:ilvl w:val="3"/>
          <w:numId w:val="15"/>
        </w:numPr>
      </w:pPr>
      <w:r>
        <w:t>There are some statistical limits to most of the data presented here. From 2019 to 202</w:t>
      </w:r>
      <w:r w:rsidR="00B83CB5">
        <w:t>5</w:t>
      </w:r>
      <w:r w:rsidR="00F05D80">
        <w:t>,</w:t>
      </w:r>
      <w:r>
        <w:t xml:space="preserve"> most of the percentages presented have a margin of error of 10–20 percentage points or a relative standard error of 20–50 per cent. </w:t>
      </w:r>
    </w:p>
    <w:p w14:paraId="1DC99279" w14:textId="77777777" w:rsidR="002205E1" w:rsidRDefault="002205E1" w:rsidP="002205E1">
      <w:pPr>
        <w:pStyle w:val="BodyText"/>
        <w:numPr>
          <w:ilvl w:val="0"/>
          <w:numId w:val="0"/>
        </w:numPr>
        <w:ind w:left="709" w:hanging="709"/>
      </w:pPr>
    </w:p>
    <w:p w14:paraId="68304227" w14:textId="77777777" w:rsidR="002205E1" w:rsidRDefault="002205E1" w:rsidP="002205E1">
      <w:pPr>
        <w:pStyle w:val="BodyText"/>
        <w:numPr>
          <w:ilvl w:val="0"/>
          <w:numId w:val="0"/>
        </w:numPr>
        <w:ind w:left="709" w:hanging="709"/>
      </w:pPr>
    </w:p>
    <w:p w14:paraId="1725C0CF" w14:textId="337C83B7" w:rsidR="001D5916" w:rsidRDefault="001D5916" w:rsidP="00BC24E0">
      <w:pPr>
        <w:spacing w:before="0" w:after="0" w:line="240" w:lineRule="auto"/>
      </w:pPr>
    </w:p>
    <w:tbl>
      <w:tblPr>
        <w:tblStyle w:val="LightList-Accent5"/>
        <w:tblW w:w="8376" w:type="dxa"/>
        <w:tblInd w:w="676" w:type="dxa"/>
        <w:tblLook w:val="04A0" w:firstRow="1" w:lastRow="0" w:firstColumn="1" w:lastColumn="0" w:noHBand="0" w:noVBand="1"/>
      </w:tblPr>
      <w:tblGrid>
        <w:gridCol w:w="1971"/>
        <w:gridCol w:w="797"/>
        <w:gridCol w:w="871"/>
        <w:gridCol w:w="804"/>
        <w:gridCol w:w="749"/>
        <w:gridCol w:w="856"/>
        <w:gridCol w:w="803"/>
        <w:gridCol w:w="805"/>
        <w:gridCol w:w="720"/>
      </w:tblGrid>
      <w:tr w:rsidR="00C4759F" w:rsidRPr="00B250B3" w14:paraId="42C7D601" w14:textId="69396FBC" w:rsidTr="00C42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6" w:type="dxa"/>
            <w:gridSpan w:val="8"/>
          </w:tcPr>
          <w:p w14:paraId="1E6278FA" w14:textId="346A9F87" w:rsidR="00C4254A" w:rsidRPr="00017246" w:rsidRDefault="00C4254A" w:rsidP="003B0A8B">
            <w:pPr>
              <w:pStyle w:val="TableHeading"/>
              <w:rPr>
                <w:bCs w:val="0"/>
                <w:sz w:val="20"/>
                <w:szCs w:val="20"/>
              </w:rPr>
            </w:pPr>
            <w:r w:rsidRPr="00017246">
              <w:rPr>
                <w:bCs w:val="0"/>
                <w:sz w:val="20"/>
                <w:szCs w:val="20"/>
              </w:rPr>
              <w:t>New Zealand Crime and Victim Survey data: Characteristics targeted in alleged offences perceived to be motivated by offender’s attitude</w:t>
            </w:r>
          </w:p>
        </w:tc>
        <w:tc>
          <w:tcPr>
            <w:tcW w:w="650" w:type="dxa"/>
          </w:tcPr>
          <w:p w14:paraId="5B806F77" w14:textId="77777777" w:rsidR="00C4254A" w:rsidRDefault="00C4254A" w:rsidP="00864A20">
            <w:pPr>
              <w:pStyle w:val="TableHeading"/>
              <w:cnfStyle w:val="100000000000" w:firstRow="1" w:lastRow="0" w:firstColumn="0" w:lastColumn="0" w:oddVBand="0" w:evenVBand="0" w:oddHBand="0" w:evenHBand="0" w:firstRowFirstColumn="0" w:firstRowLastColumn="0" w:lastRowFirstColumn="0" w:lastRowLastColumn="0"/>
              <w:rPr>
                <w:sz w:val="20"/>
                <w:szCs w:val="20"/>
                <w:lang w:eastAsia="en-NZ"/>
              </w:rPr>
            </w:pPr>
          </w:p>
        </w:tc>
      </w:tr>
      <w:tr w:rsidR="006C3F79" w:rsidRPr="00726977" w14:paraId="027EA7CE" w14:textId="5800ADB5" w:rsidTr="00C4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14:paraId="0769AD46" w14:textId="77777777" w:rsidR="00C4254A" w:rsidRPr="00A0692B" w:rsidRDefault="00C4254A" w:rsidP="00864A20">
            <w:pPr>
              <w:rPr>
                <w:sz w:val="20"/>
                <w:szCs w:val="20"/>
              </w:rPr>
            </w:pPr>
            <w:r w:rsidRPr="00A0692B">
              <w:rPr>
                <w:rFonts w:ascii="Calibri" w:hAnsi="Calibri" w:cs="Calibri"/>
                <w:color w:val="000000"/>
                <w:sz w:val="20"/>
                <w:szCs w:val="20"/>
                <w:lang w:eastAsia="en-NZ"/>
              </w:rPr>
              <w:t> </w:t>
            </w:r>
          </w:p>
        </w:tc>
        <w:tc>
          <w:tcPr>
            <w:tcW w:w="804" w:type="dxa"/>
          </w:tcPr>
          <w:p w14:paraId="7C28FFC9"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2018</w:t>
            </w:r>
          </w:p>
        </w:tc>
        <w:tc>
          <w:tcPr>
            <w:tcW w:w="882" w:type="dxa"/>
          </w:tcPr>
          <w:p w14:paraId="4BE9CC69"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2019</w:t>
            </w:r>
          </w:p>
        </w:tc>
        <w:tc>
          <w:tcPr>
            <w:tcW w:w="808" w:type="dxa"/>
          </w:tcPr>
          <w:p w14:paraId="6353C4DD"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2020</w:t>
            </w:r>
          </w:p>
        </w:tc>
        <w:tc>
          <w:tcPr>
            <w:tcW w:w="753" w:type="dxa"/>
          </w:tcPr>
          <w:p w14:paraId="1FB441A2"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2021</w:t>
            </w:r>
          </w:p>
        </w:tc>
        <w:tc>
          <w:tcPr>
            <w:tcW w:w="864" w:type="dxa"/>
          </w:tcPr>
          <w:p w14:paraId="6146942E"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2022</w:t>
            </w:r>
          </w:p>
        </w:tc>
        <w:tc>
          <w:tcPr>
            <w:tcW w:w="808" w:type="dxa"/>
          </w:tcPr>
          <w:p w14:paraId="6BAF889E"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2023</w:t>
            </w:r>
          </w:p>
        </w:tc>
        <w:tc>
          <w:tcPr>
            <w:tcW w:w="810" w:type="dxa"/>
          </w:tcPr>
          <w:p w14:paraId="4819026B" w14:textId="77777777" w:rsidR="00C4254A" w:rsidRPr="00A0692B"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bCs/>
                <w:sz w:val="20"/>
                <w:szCs w:val="20"/>
              </w:rPr>
            </w:pPr>
            <w:r w:rsidRPr="00A0692B">
              <w:rPr>
                <w:bCs/>
                <w:sz w:val="20"/>
                <w:szCs w:val="20"/>
              </w:rPr>
              <w:t>2024</w:t>
            </w:r>
          </w:p>
        </w:tc>
        <w:tc>
          <w:tcPr>
            <w:tcW w:w="650" w:type="dxa"/>
          </w:tcPr>
          <w:p w14:paraId="2D14DD62" w14:textId="26E2E6F4" w:rsidR="00C4254A" w:rsidRPr="00B83CB5" w:rsidRDefault="00C4254A" w:rsidP="00864A20">
            <w:pPr>
              <w:pStyle w:val="TableSubheadingGreen"/>
              <w:cnfStyle w:val="000000100000" w:firstRow="0" w:lastRow="0" w:firstColumn="0" w:lastColumn="0" w:oddVBand="0" w:evenVBand="0" w:oddHBand="1" w:evenHBand="0" w:firstRowFirstColumn="0" w:firstRowLastColumn="0" w:lastRowFirstColumn="0" w:lastRowLastColumn="0"/>
              <w:rPr>
                <w:szCs w:val="16"/>
              </w:rPr>
            </w:pPr>
            <w:r w:rsidRPr="00B83CB5">
              <w:rPr>
                <w:bCs/>
                <w:sz w:val="20"/>
                <w:szCs w:val="16"/>
              </w:rPr>
              <w:t>2025</w:t>
            </w:r>
          </w:p>
        </w:tc>
      </w:tr>
      <w:tr w:rsidR="006C3F79" w:rsidRPr="000442AC" w14:paraId="6F88DCAC" w14:textId="0A5135C5" w:rsidTr="00C4254A">
        <w:trPr>
          <w:trHeight w:val="415"/>
        </w:trPr>
        <w:tc>
          <w:tcPr>
            <w:cnfStyle w:val="001000000000" w:firstRow="0" w:lastRow="0" w:firstColumn="1" w:lastColumn="0" w:oddVBand="0" w:evenVBand="0" w:oddHBand="0" w:evenHBand="0" w:firstRowFirstColumn="0" w:firstRowLastColumn="0" w:lastRowFirstColumn="0" w:lastRowLastColumn="0"/>
            <w:tcW w:w="1997" w:type="dxa"/>
          </w:tcPr>
          <w:p w14:paraId="4FF830A6" w14:textId="77777777" w:rsidR="00C4254A" w:rsidRPr="004E2BFD" w:rsidRDefault="00C4254A" w:rsidP="00864A20">
            <w:pPr>
              <w:pStyle w:val="TableSubheadingGreen"/>
              <w:rPr>
                <w:b/>
                <w:sz w:val="20"/>
                <w:szCs w:val="20"/>
              </w:rPr>
            </w:pPr>
            <w:r w:rsidRPr="004E2BFD">
              <w:rPr>
                <w:b/>
                <w:sz w:val="20"/>
                <w:szCs w:val="20"/>
              </w:rPr>
              <w:t>Race, ethnicity or nationality</w:t>
            </w:r>
          </w:p>
        </w:tc>
        <w:tc>
          <w:tcPr>
            <w:tcW w:w="804" w:type="dxa"/>
          </w:tcPr>
          <w:p w14:paraId="7F6F2D97"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color w:val="000000"/>
                <w:sz w:val="20"/>
                <w:szCs w:val="20"/>
                <w:lang w:eastAsia="en-NZ"/>
              </w:rPr>
              <w:t xml:space="preserve">29% </w:t>
            </w:r>
          </w:p>
        </w:tc>
        <w:tc>
          <w:tcPr>
            <w:tcW w:w="882" w:type="dxa"/>
          </w:tcPr>
          <w:p w14:paraId="6734F02A"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rFonts w:cs="Calibri"/>
                <w:color w:val="000000"/>
                <w:sz w:val="20"/>
                <w:szCs w:val="20"/>
                <w:lang w:eastAsia="zh-CN" w:bidi="th-TH"/>
              </w:rPr>
              <w:t>36%</w:t>
            </w:r>
          </w:p>
        </w:tc>
        <w:tc>
          <w:tcPr>
            <w:tcW w:w="808" w:type="dxa"/>
          </w:tcPr>
          <w:p w14:paraId="74EE7444"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rFonts w:cs="Calibri"/>
                <w:color w:val="000000"/>
                <w:sz w:val="20"/>
                <w:szCs w:val="20"/>
                <w:lang w:eastAsia="en-NZ"/>
              </w:rPr>
              <w:t>31%</w:t>
            </w:r>
          </w:p>
        </w:tc>
        <w:tc>
          <w:tcPr>
            <w:tcW w:w="753" w:type="dxa"/>
          </w:tcPr>
          <w:p w14:paraId="7AEF3BF3"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rFonts w:cs="Calibri"/>
                <w:color w:val="000000"/>
                <w:sz w:val="20"/>
                <w:szCs w:val="20"/>
                <w:lang w:eastAsia="en-NZ"/>
              </w:rPr>
              <w:t xml:space="preserve">35% </w:t>
            </w:r>
          </w:p>
        </w:tc>
        <w:tc>
          <w:tcPr>
            <w:tcW w:w="864" w:type="dxa"/>
          </w:tcPr>
          <w:p w14:paraId="46DBE52B"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rFonts w:cs="Calibri"/>
                <w:color w:val="000000"/>
                <w:sz w:val="20"/>
                <w:szCs w:val="20"/>
                <w:lang w:eastAsia="en-NZ"/>
              </w:rPr>
              <w:t xml:space="preserve">15% </w:t>
            </w:r>
          </w:p>
        </w:tc>
        <w:tc>
          <w:tcPr>
            <w:tcW w:w="808" w:type="dxa"/>
          </w:tcPr>
          <w:p w14:paraId="7CF38141"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rFonts w:cs="Calibri"/>
                <w:color w:val="000000"/>
                <w:sz w:val="20"/>
                <w:szCs w:val="20"/>
                <w:lang w:eastAsia="en-NZ"/>
              </w:rPr>
              <w:t xml:space="preserve">37% </w:t>
            </w:r>
          </w:p>
        </w:tc>
        <w:tc>
          <w:tcPr>
            <w:tcW w:w="810" w:type="dxa"/>
          </w:tcPr>
          <w:p w14:paraId="24B28444" w14:textId="6567C268" w:rsidR="00C4254A" w:rsidRPr="00A0692B" w:rsidRDefault="00A94E72"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S</w:t>
            </w:r>
          </w:p>
        </w:tc>
        <w:tc>
          <w:tcPr>
            <w:tcW w:w="650" w:type="dxa"/>
          </w:tcPr>
          <w:p w14:paraId="688889ED" w14:textId="280CF24E" w:rsidR="00C4254A" w:rsidRPr="00A94E72" w:rsidRDefault="00A94E72"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Cs w:val="16"/>
                <w:lang w:eastAsia="en-NZ"/>
              </w:rPr>
            </w:pPr>
            <w:r w:rsidRPr="00A94E72">
              <w:rPr>
                <w:rFonts w:cs="Calibri"/>
                <w:color w:val="000000"/>
                <w:sz w:val="20"/>
                <w:szCs w:val="16"/>
                <w:lang w:eastAsia="en-NZ"/>
              </w:rPr>
              <w:t>23%</w:t>
            </w:r>
          </w:p>
        </w:tc>
      </w:tr>
      <w:tr w:rsidR="006C3F79" w:rsidRPr="002533E3" w14:paraId="4FE37C91" w14:textId="5673A0CD" w:rsidTr="00C4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14:paraId="7086A69F" w14:textId="77777777" w:rsidR="00C4254A" w:rsidRPr="004E2BFD" w:rsidRDefault="00C4254A" w:rsidP="00864A20">
            <w:pPr>
              <w:pStyle w:val="TableSubheadingGreen"/>
              <w:rPr>
                <w:b/>
                <w:sz w:val="20"/>
                <w:szCs w:val="20"/>
              </w:rPr>
            </w:pPr>
            <w:r w:rsidRPr="004E2BFD">
              <w:rPr>
                <w:b/>
                <w:sz w:val="20"/>
                <w:szCs w:val="20"/>
              </w:rPr>
              <w:t>Sexuality or sexual orientation</w:t>
            </w:r>
          </w:p>
        </w:tc>
        <w:tc>
          <w:tcPr>
            <w:tcW w:w="804" w:type="dxa"/>
          </w:tcPr>
          <w:p w14:paraId="78B31094"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eastAsia="en-NZ"/>
              </w:rPr>
            </w:pPr>
            <w:r w:rsidRPr="00A0692B">
              <w:rPr>
                <w:color w:val="000000"/>
                <w:sz w:val="20"/>
                <w:szCs w:val="20"/>
                <w:lang w:eastAsia="en-NZ"/>
              </w:rPr>
              <w:t>30%</w:t>
            </w:r>
          </w:p>
        </w:tc>
        <w:tc>
          <w:tcPr>
            <w:tcW w:w="882" w:type="dxa"/>
          </w:tcPr>
          <w:p w14:paraId="088FF07C"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A0692B">
              <w:rPr>
                <w:rFonts w:cs="Calibri"/>
                <w:color w:val="000000"/>
                <w:sz w:val="20"/>
                <w:szCs w:val="20"/>
                <w:lang w:eastAsia="en-NZ"/>
              </w:rPr>
              <w:t xml:space="preserve">37% </w:t>
            </w:r>
          </w:p>
        </w:tc>
        <w:tc>
          <w:tcPr>
            <w:tcW w:w="808" w:type="dxa"/>
          </w:tcPr>
          <w:p w14:paraId="15097C1F"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36% </w:t>
            </w:r>
          </w:p>
        </w:tc>
        <w:tc>
          <w:tcPr>
            <w:tcW w:w="753" w:type="dxa"/>
          </w:tcPr>
          <w:p w14:paraId="27EB7825"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40%  </w:t>
            </w:r>
          </w:p>
        </w:tc>
        <w:tc>
          <w:tcPr>
            <w:tcW w:w="864" w:type="dxa"/>
          </w:tcPr>
          <w:p w14:paraId="0F6CF6D7"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17%  </w:t>
            </w:r>
          </w:p>
        </w:tc>
        <w:tc>
          <w:tcPr>
            <w:tcW w:w="808" w:type="dxa"/>
          </w:tcPr>
          <w:p w14:paraId="62464FF3"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25%</w:t>
            </w:r>
          </w:p>
        </w:tc>
        <w:tc>
          <w:tcPr>
            <w:tcW w:w="810" w:type="dxa"/>
          </w:tcPr>
          <w:p w14:paraId="3E75FFCF"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19% </w:t>
            </w:r>
          </w:p>
        </w:tc>
        <w:tc>
          <w:tcPr>
            <w:tcW w:w="650" w:type="dxa"/>
          </w:tcPr>
          <w:p w14:paraId="2CECB8E8" w14:textId="7CA3E75D" w:rsidR="00C4254A" w:rsidRPr="00D83604" w:rsidRDefault="00D83604"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Cs w:val="16"/>
                <w:lang w:eastAsia="en-NZ"/>
              </w:rPr>
            </w:pPr>
            <w:r w:rsidRPr="00D83604">
              <w:rPr>
                <w:rFonts w:cs="Calibri"/>
                <w:color w:val="000000"/>
                <w:sz w:val="20"/>
                <w:szCs w:val="16"/>
                <w:lang w:eastAsia="en-NZ"/>
              </w:rPr>
              <w:t>27%</w:t>
            </w:r>
          </w:p>
        </w:tc>
      </w:tr>
      <w:tr w:rsidR="006C3F79" w:rsidRPr="002533E3" w14:paraId="63AB74DA" w14:textId="7C46C901" w:rsidTr="00C4254A">
        <w:tc>
          <w:tcPr>
            <w:cnfStyle w:val="001000000000" w:firstRow="0" w:lastRow="0" w:firstColumn="1" w:lastColumn="0" w:oddVBand="0" w:evenVBand="0" w:oddHBand="0" w:evenHBand="0" w:firstRowFirstColumn="0" w:firstRowLastColumn="0" w:lastRowFirstColumn="0" w:lastRowLastColumn="0"/>
            <w:tcW w:w="1997" w:type="dxa"/>
          </w:tcPr>
          <w:p w14:paraId="652EB4BE" w14:textId="77777777" w:rsidR="00C4254A" w:rsidRPr="004E2BFD" w:rsidRDefault="00C4254A" w:rsidP="00864A20">
            <w:pPr>
              <w:pStyle w:val="TableSubheadingGreen"/>
              <w:rPr>
                <w:b/>
                <w:sz w:val="20"/>
                <w:szCs w:val="20"/>
              </w:rPr>
            </w:pPr>
            <w:r w:rsidRPr="004E2BFD">
              <w:rPr>
                <w:b/>
                <w:sz w:val="20"/>
                <w:szCs w:val="20"/>
              </w:rPr>
              <w:t>Age</w:t>
            </w:r>
          </w:p>
        </w:tc>
        <w:tc>
          <w:tcPr>
            <w:tcW w:w="804" w:type="dxa"/>
          </w:tcPr>
          <w:p w14:paraId="4BD8D6B5"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color w:val="000000"/>
                <w:sz w:val="20"/>
                <w:szCs w:val="20"/>
                <w:lang w:eastAsia="en-NZ"/>
              </w:rPr>
              <w:t>38%</w:t>
            </w:r>
          </w:p>
        </w:tc>
        <w:tc>
          <w:tcPr>
            <w:tcW w:w="882" w:type="dxa"/>
          </w:tcPr>
          <w:p w14:paraId="58B1B6FE"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41% </w:t>
            </w:r>
          </w:p>
        </w:tc>
        <w:tc>
          <w:tcPr>
            <w:tcW w:w="808" w:type="dxa"/>
          </w:tcPr>
          <w:p w14:paraId="34C614ED"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40% </w:t>
            </w:r>
          </w:p>
        </w:tc>
        <w:tc>
          <w:tcPr>
            <w:tcW w:w="753" w:type="dxa"/>
          </w:tcPr>
          <w:p w14:paraId="2E1D9C18"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35% </w:t>
            </w:r>
          </w:p>
        </w:tc>
        <w:tc>
          <w:tcPr>
            <w:tcW w:w="864" w:type="dxa"/>
          </w:tcPr>
          <w:p w14:paraId="40FA0FF2"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zh-CN" w:bidi="th-TH"/>
              </w:rPr>
              <w:t>S</w:t>
            </w:r>
          </w:p>
        </w:tc>
        <w:tc>
          <w:tcPr>
            <w:tcW w:w="808" w:type="dxa"/>
          </w:tcPr>
          <w:p w14:paraId="54429ED7"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34%</w:t>
            </w:r>
          </w:p>
        </w:tc>
        <w:tc>
          <w:tcPr>
            <w:tcW w:w="810" w:type="dxa"/>
          </w:tcPr>
          <w:p w14:paraId="1AD47579"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S</w:t>
            </w:r>
          </w:p>
        </w:tc>
        <w:tc>
          <w:tcPr>
            <w:tcW w:w="650" w:type="dxa"/>
          </w:tcPr>
          <w:p w14:paraId="429A1A7B" w14:textId="4C6D91B4" w:rsidR="00C4254A" w:rsidRDefault="003A03B4"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Cs w:val="16"/>
                <w:lang w:eastAsia="en-NZ"/>
              </w:rPr>
            </w:pPr>
            <w:r>
              <w:rPr>
                <w:rFonts w:cs="Calibri"/>
                <w:color w:val="000000"/>
                <w:sz w:val="20"/>
                <w:szCs w:val="16"/>
                <w:lang w:eastAsia="en-NZ"/>
              </w:rPr>
              <w:t>33%</w:t>
            </w:r>
          </w:p>
        </w:tc>
      </w:tr>
      <w:tr w:rsidR="006C3F79" w:rsidRPr="002533E3" w14:paraId="33B4B9F8" w14:textId="480B5918" w:rsidTr="00C4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14:paraId="43AEBD7D" w14:textId="77777777" w:rsidR="00C4254A" w:rsidRPr="004E2BFD" w:rsidRDefault="00C4254A" w:rsidP="00864A20">
            <w:pPr>
              <w:pStyle w:val="TableSubheadingGreen"/>
              <w:rPr>
                <w:b/>
                <w:sz w:val="20"/>
                <w:szCs w:val="20"/>
              </w:rPr>
            </w:pPr>
            <w:r w:rsidRPr="004E2BFD">
              <w:rPr>
                <w:b/>
                <w:sz w:val="20"/>
                <w:szCs w:val="20"/>
              </w:rPr>
              <w:t>Gender or sex</w:t>
            </w:r>
          </w:p>
        </w:tc>
        <w:tc>
          <w:tcPr>
            <w:tcW w:w="804" w:type="dxa"/>
          </w:tcPr>
          <w:p w14:paraId="21A84CA3"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eastAsia="en-NZ"/>
              </w:rPr>
            </w:pPr>
            <w:r w:rsidRPr="00A0692B">
              <w:rPr>
                <w:color w:val="000000"/>
                <w:sz w:val="20"/>
                <w:szCs w:val="20"/>
                <w:lang w:eastAsia="en-NZ"/>
              </w:rPr>
              <w:t>68%</w:t>
            </w:r>
          </w:p>
        </w:tc>
        <w:tc>
          <w:tcPr>
            <w:tcW w:w="882" w:type="dxa"/>
          </w:tcPr>
          <w:p w14:paraId="5090D617"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57% </w:t>
            </w:r>
          </w:p>
        </w:tc>
        <w:tc>
          <w:tcPr>
            <w:tcW w:w="808" w:type="dxa"/>
          </w:tcPr>
          <w:p w14:paraId="5F721821"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55% </w:t>
            </w:r>
          </w:p>
        </w:tc>
        <w:tc>
          <w:tcPr>
            <w:tcW w:w="753" w:type="dxa"/>
          </w:tcPr>
          <w:p w14:paraId="371499C8"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53% </w:t>
            </w:r>
          </w:p>
        </w:tc>
        <w:tc>
          <w:tcPr>
            <w:tcW w:w="864" w:type="dxa"/>
          </w:tcPr>
          <w:p w14:paraId="2C5C67CC"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zh-CN" w:bidi="th-TH"/>
              </w:rPr>
            </w:pPr>
            <w:r w:rsidRPr="00A0692B">
              <w:rPr>
                <w:rFonts w:cs="Calibri"/>
                <w:color w:val="000000"/>
                <w:sz w:val="20"/>
                <w:szCs w:val="20"/>
                <w:lang w:eastAsia="en-NZ"/>
              </w:rPr>
              <w:t xml:space="preserve">72% </w:t>
            </w:r>
          </w:p>
        </w:tc>
        <w:tc>
          <w:tcPr>
            <w:tcW w:w="808" w:type="dxa"/>
          </w:tcPr>
          <w:p w14:paraId="7006C44A"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51% </w:t>
            </w:r>
          </w:p>
        </w:tc>
        <w:tc>
          <w:tcPr>
            <w:tcW w:w="810" w:type="dxa"/>
          </w:tcPr>
          <w:p w14:paraId="4EA53A27"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S</w:t>
            </w:r>
          </w:p>
        </w:tc>
        <w:tc>
          <w:tcPr>
            <w:tcW w:w="650" w:type="dxa"/>
          </w:tcPr>
          <w:p w14:paraId="7665B725" w14:textId="24596E67" w:rsidR="00C4254A" w:rsidRPr="00695C2C" w:rsidRDefault="00695C2C"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Cs w:val="16"/>
                <w:lang w:eastAsia="en-NZ"/>
              </w:rPr>
            </w:pPr>
            <w:r w:rsidRPr="00695C2C">
              <w:rPr>
                <w:rFonts w:cs="Calibri"/>
                <w:color w:val="000000"/>
                <w:sz w:val="20"/>
                <w:szCs w:val="16"/>
                <w:lang w:eastAsia="en-NZ"/>
              </w:rPr>
              <w:t>63%</w:t>
            </w:r>
          </w:p>
        </w:tc>
      </w:tr>
      <w:tr w:rsidR="006C3F79" w:rsidRPr="002533E3" w14:paraId="73BC6EFF" w14:textId="06A91CDD" w:rsidTr="00C4254A">
        <w:tc>
          <w:tcPr>
            <w:cnfStyle w:val="001000000000" w:firstRow="0" w:lastRow="0" w:firstColumn="1" w:lastColumn="0" w:oddVBand="0" w:evenVBand="0" w:oddHBand="0" w:evenHBand="0" w:firstRowFirstColumn="0" w:firstRowLastColumn="0" w:lastRowFirstColumn="0" w:lastRowLastColumn="0"/>
            <w:tcW w:w="1997" w:type="dxa"/>
          </w:tcPr>
          <w:p w14:paraId="374F23BB" w14:textId="77777777" w:rsidR="00C4254A" w:rsidRPr="004E2BFD" w:rsidRDefault="00C4254A" w:rsidP="00864A20">
            <w:pPr>
              <w:pStyle w:val="TableSubheadingGreen"/>
              <w:rPr>
                <w:b/>
                <w:sz w:val="20"/>
                <w:szCs w:val="20"/>
              </w:rPr>
            </w:pPr>
            <w:r w:rsidRPr="004E2BFD">
              <w:rPr>
                <w:b/>
                <w:sz w:val="20"/>
                <w:szCs w:val="20"/>
              </w:rPr>
              <w:t>Religion</w:t>
            </w:r>
          </w:p>
        </w:tc>
        <w:tc>
          <w:tcPr>
            <w:tcW w:w="804" w:type="dxa"/>
          </w:tcPr>
          <w:p w14:paraId="721A7F18"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eastAsia="en-NZ"/>
              </w:rPr>
            </w:pPr>
            <w:r w:rsidRPr="00A0692B">
              <w:rPr>
                <w:color w:val="000000"/>
                <w:sz w:val="20"/>
                <w:szCs w:val="20"/>
                <w:lang w:eastAsia="en-NZ"/>
              </w:rPr>
              <w:t>11%</w:t>
            </w:r>
          </w:p>
        </w:tc>
        <w:tc>
          <w:tcPr>
            <w:tcW w:w="882" w:type="dxa"/>
          </w:tcPr>
          <w:p w14:paraId="7D8AA477"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11% </w:t>
            </w:r>
          </w:p>
        </w:tc>
        <w:tc>
          <w:tcPr>
            <w:tcW w:w="808" w:type="dxa"/>
          </w:tcPr>
          <w:p w14:paraId="4AD46709"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10% </w:t>
            </w:r>
          </w:p>
        </w:tc>
        <w:tc>
          <w:tcPr>
            <w:tcW w:w="753" w:type="dxa"/>
          </w:tcPr>
          <w:p w14:paraId="51819D35"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11% </w:t>
            </w:r>
          </w:p>
        </w:tc>
        <w:tc>
          <w:tcPr>
            <w:tcW w:w="864" w:type="dxa"/>
          </w:tcPr>
          <w:p w14:paraId="7478EB65"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20% </w:t>
            </w:r>
          </w:p>
        </w:tc>
        <w:tc>
          <w:tcPr>
            <w:tcW w:w="808" w:type="dxa"/>
          </w:tcPr>
          <w:p w14:paraId="5DEB662B"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14% </w:t>
            </w:r>
          </w:p>
        </w:tc>
        <w:tc>
          <w:tcPr>
            <w:tcW w:w="810" w:type="dxa"/>
          </w:tcPr>
          <w:p w14:paraId="2ABB6FCA" w14:textId="77777777" w:rsidR="00C4254A" w:rsidRPr="00A0692B" w:rsidRDefault="00C4254A" w:rsidP="00864A20">
            <w:pPr>
              <w:cnfStyle w:val="000000000000" w:firstRow="0" w:lastRow="0" w:firstColumn="0" w:lastColumn="0" w:oddVBand="0" w:evenVBand="0" w:oddHBand="0" w:evenHBand="0" w:firstRowFirstColumn="0" w:firstRowLastColumn="0" w:lastRowFirstColumn="0" w:lastRowLastColumn="0"/>
              <w:rPr>
                <w:rFonts w:eastAsia="SimSun"/>
                <w:color w:val="000000"/>
                <w:sz w:val="20"/>
                <w:szCs w:val="20"/>
              </w:rPr>
            </w:pPr>
            <w:r w:rsidRPr="00A0692B">
              <w:rPr>
                <w:rFonts w:eastAsia="SimSun"/>
                <w:color w:val="000000"/>
                <w:sz w:val="20"/>
                <w:szCs w:val="20"/>
              </w:rPr>
              <w:t xml:space="preserve">21% </w:t>
            </w:r>
          </w:p>
        </w:tc>
        <w:tc>
          <w:tcPr>
            <w:tcW w:w="650" w:type="dxa"/>
          </w:tcPr>
          <w:p w14:paraId="20C4EF87" w14:textId="354A2158" w:rsidR="00C4254A" w:rsidRPr="00D92F6B" w:rsidRDefault="00D92F6B" w:rsidP="00864A20">
            <w:pPr>
              <w:cnfStyle w:val="000000000000" w:firstRow="0" w:lastRow="0" w:firstColumn="0" w:lastColumn="0" w:oddVBand="0" w:evenVBand="0" w:oddHBand="0" w:evenHBand="0" w:firstRowFirstColumn="0" w:firstRowLastColumn="0" w:lastRowFirstColumn="0" w:lastRowLastColumn="0"/>
              <w:rPr>
                <w:rFonts w:eastAsia="SimSun"/>
                <w:color w:val="000000"/>
                <w:szCs w:val="16"/>
              </w:rPr>
            </w:pPr>
            <w:r w:rsidRPr="00D92F6B">
              <w:rPr>
                <w:rFonts w:eastAsia="SimSun"/>
                <w:color w:val="000000"/>
                <w:sz w:val="20"/>
                <w:szCs w:val="16"/>
              </w:rPr>
              <w:t>18%</w:t>
            </w:r>
          </w:p>
        </w:tc>
      </w:tr>
      <w:tr w:rsidR="006C3F79" w:rsidRPr="002533E3" w14:paraId="1E4B46FE" w14:textId="395C01E2" w:rsidTr="00C42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dxa"/>
          </w:tcPr>
          <w:p w14:paraId="1EFB2BF1" w14:textId="77777777" w:rsidR="00C4254A" w:rsidRPr="004E2BFD" w:rsidRDefault="00C4254A" w:rsidP="00864A20">
            <w:pPr>
              <w:pStyle w:val="TableSubheadingGreen"/>
              <w:rPr>
                <w:b/>
                <w:sz w:val="20"/>
                <w:szCs w:val="20"/>
              </w:rPr>
            </w:pPr>
            <w:r w:rsidRPr="004E2BFD">
              <w:rPr>
                <w:b/>
                <w:sz w:val="20"/>
                <w:szCs w:val="20"/>
              </w:rPr>
              <w:t>Disability</w:t>
            </w:r>
          </w:p>
        </w:tc>
        <w:tc>
          <w:tcPr>
            <w:tcW w:w="804" w:type="dxa"/>
          </w:tcPr>
          <w:p w14:paraId="24D18768"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color w:val="000000"/>
                <w:sz w:val="20"/>
                <w:szCs w:val="20"/>
                <w:lang w:eastAsia="en-NZ"/>
              </w:rPr>
            </w:pPr>
            <w:r w:rsidRPr="00A0692B">
              <w:rPr>
                <w:color w:val="000000"/>
                <w:sz w:val="20"/>
                <w:szCs w:val="20"/>
                <w:lang w:eastAsia="en-NZ"/>
              </w:rPr>
              <w:t>6%</w:t>
            </w:r>
          </w:p>
        </w:tc>
        <w:tc>
          <w:tcPr>
            <w:tcW w:w="882" w:type="dxa"/>
          </w:tcPr>
          <w:p w14:paraId="154465DE"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13% </w:t>
            </w:r>
          </w:p>
        </w:tc>
        <w:tc>
          <w:tcPr>
            <w:tcW w:w="808" w:type="dxa"/>
          </w:tcPr>
          <w:p w14:paraId="7C04BB41"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12% </w:t>
            </w:r>
          </w:p>
        </w:tc>
        <w:tc>
          <w:tcPr>
            <w:tcW w:w="753" w:type="dxa"/>
          </w:tcPr>
          <w:p w14:paraId="5C90A300"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21% </w:t>
            </w:r>
          </w:p>
        </w:tc>
        <w:tc>
          <w:tcPr>
            <w:tcW w:w="864" w:type="dxa"/>
          </w:tcPr>
          <w:p w14:paraId="33CA108A"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7% </w:t>
            </w:r>
          </w:p>
        </w:tc>
        <w:tc>
          <w:tcPr>
            <w:tcW w:w="808" w:type="dxa"/>
          </w:tcPr>
          <w:p w14:paraId="69E95A4B"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10% </w:t>
            </w:r>
          </w:p>
        </w:tc>
        <w:tc>
          <w:tcPr>
            <w:tcW w:w="810" w:type="dxa"/>
          </w:tcPr>
          <w:p w14:paraId="3839D91F" w14:textId="77777777" w:rsidR="00C4254A" w:rsidRPr="00A0692B" w:rsidRDefault="00C4254A"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7% </w:t>
            </w:r>
          </w:p>
        </w:tc>
        <w:tc>
          <w:tcPr>
            <w:tcW w:w="650" w:type="dxa"/>
          </w:tcPr>
          <w:p w14:paraId="19C117CA" w14:textId="38670F8B" w:rsidR="00C4254A" w:rsidRPr="004C54B9" w:rsidRDefault="004C54B9" w:rsidP="00864A20">
            <w:pPr>
              <w:spacing w:after="0"/>
              <w:cnfStyle w:val="000000100000" w:firstRow="0" w:lastRow="0" w:firstColumn="0" w:lastColumn="0" w:oddVBand="0" w:evenVBand="0" w:oddHBand="1" w:evenHBand="0" w:firstRowFirstColumn="0" w:firstRowLastColumn="0" w:lastRowFirstColumn="0" w:lastRowLastColumn="0"/>
              <w:rPr>
                <w:rFonts w:cs="Calibri"/>
                <w:color w:val="000000"/>
                <w:szCs w:val="16"/>
                <w:lang w:eastAsia="en-NZ"/>
              </w:rPr>
            </w:pPr>
            <w:r w:rsidRPr="004C54B9">
              <w:rPr>
                <w:rFonts w:cs="Calibri"/>
                <w:color w:val="000000"/>
                <w:sz w:val="20"/>
                <w:szCs w:val="16"/>
                <w:lang w:eastAsia="en-NZ"/>
              </w:rPr>
              <w:t>10%</w:t>
            </w:r>
          </w:p>
        </w:tc>
      </w:tr>
      <w:tr w:rsidR="006C3F79" w:rsidRPr="002533E3" w14:paraId="2BEC4A5D" w14:textId="3B45D403" w:rsidTr="00C4254A">
        <w:tc>
          <w:tcPr>
            <w:cnfStyle w:val="001000000000" w:firstRow="0" w:lastRow="0" w:firstColumn="1" w:lastColumn="0" w:oddVBand="0" w:evenVBand="0" w:oddHBand="0" w:evenHBand="0" w:firstRowFirstColumn="0" w:firstRowLastColumn="0" w:lastRowFirstColumn="0" w:lastRowLastColumn="0"/>
            <w:tcW w:w="1997" w:type="dxa"/>
          </w:tcPr>
          <w:p w14:paraId="48EF31C0" w14:textId="77777777" w:rsidR="00C4254A" w:rsidRPr="004E2BFD" w:rsidRDefault="00C4254A" w:rsidP="00864A20">
            <w:pPr>
              <w:pStyle w:val="TableSubheadingGreen"/>
              <w:rPr>
                <w:b/>
                <w:sz w:val="20"/>
                <w:szCs w:val="20"/>
              </w:rPr>
            </w:pPr>
            <w:r w:rsidRPr="004E2BFD">
              <w:rPr>
                <w:b/>
                <w:sz w:val="20"/>
                <w:szCs w:val="20"/>
              </w:rPr>
              <w:t>Race/religion or political opinion</w:t>
            </w:r>
          </w:p>
        </w:tc>
        <w:tc>
          <w:tcPr>
            <w:tcW w:w="804" w:type="dxa"/>
          </w:tcPr>
          <w:p w14:paraId="1B54646D"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35%</w:t>
            </w:r>
          </w:p>
        </w:tc>
        <w:tc>
          <w:tcPr>
            <w:tcW w:w="882" w:type="dxa"/>
          </w:tcPr>
          <w:p w14:paraId="0F9D5CA1"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40%</w:t>
            </w:r>
          </w:p>
        </w:tc>
        <w:tc>
          <w:tcPr>
            <w:tcW w:w="808" w:type="dxa"/>
          </w:tcPr>
          <w:p w14:paraId="22F7345A"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33% </w:t>
            </w:r>
          </w:p>
        </w:tc>
        <w:tc>
          <w:tcPr>
            <w:tcW w:w="753" w:type="dxa"/>
          </w:tcPr>
          <w:p w14:paraId="00A02C74"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40% </w:t>
            </w:r>
          </w:p>
        </w:tc>
        <w:tc>
          <w:tcPr>
            <w:tcW w:w="864" w:type="dxa"/>
          </w:tcPr>
          <w:p w14:paraId="1BD603C2"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S</w:t>
            </w:r>
          </w:p>
        </w:tc>
        <w:tc>
          <w:tcPr>
            <w:tcW w:w="808" w:type="dxa"/>
          </w:tcPr>
          <w:p w14:paraId="7C5AE3FE"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 xml:space="preserve">42% </w:t>
            </w:r>
          </w:p>
        </w:tc>
        <w:tc>
          <w:tcPr>
            <w:tcW w:w="810" w:type="dxa"/>
          </w:tcPr>
          <w:p w14:paraId="45E98DA8" w14:textId="77777777" w:rsidR="00C4254A" w:rsidRPr="00A0692B" w:rsidRDefault="00C4254A"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sidRPr="00A0692B">
              <w:rPr>
                <w:rFonts w:cs="Calibri"/>
                <w:color w:val="000000"/>
                <w:sz w:val="20"/>
                <w:szCs w:val="20"/>
                <w:lang w:eastAsia="en-NZ"/>
              </w:rPr>
              <w:t>S</w:t>
            </w:r>
          </w:p>
        </w:tc>
        <w:tc>
          <w:tcPr>
            <w:tcW w:w="650" w:type="dxa"/>
          </w:tcPr>
          <w:p w14:paraId="00E3567A" w14:textId="7E573C9B" w:rsidR="00C4254A" w:rsidRPr="009B0FBE" w:rsidRDefault="009B0FBE" w:rsidP="00864A20">
            <w:pPr>
              <w:spacing w:after="0"/>
              <w:cnfStyle w:val="000000000000" w:firstRow="0" w:lastRow="0" w:firstColumn="0" w:lastColumn="0" w:oddVBand="0" w:evenVBand="0" w:oddHBand="0" w:evenHBand="0" w:firstRowFirstColumn="0" w:firstRowLastColumn="0" w:lastRowFirstColumn="0" w:lastRowLastColumn="0"/>
              <w:rPr>
                <w:rFonts w:cs="Calibri"/>
                <w:color w:val="000000"/>
                <w:szCs w:val="16"/>
                <w:lang w:eastAsia="en-NZ"/>
              </w:rPr>
            </w:pPr>
            <w:r w:rsidRPr="009B0FBE">
              <w:rPr>
                <w:rFonts w:cs="Calibri"/>
                <w:color w:val="000000"/>
                <w:sz w:val="20"/>
                <w:szCs w:val="16"/>
                <w:lang w:eastAsia="en-NZ"/>
              </w:rPr>
              <w:t>36%</w:t>
            </w:r>
          </w:p>
        </w:tc>
      </w:tr>
    </w:tbl>
    <w:p w14:paraId="22ED8D94" w14:textId="77777777" w:rsidR="001D5916" w:rsidRDefault="001D5916" w:rsidP="001D5916">
      <w:pPr>
        <w:pStyle w:val="BodyText"/>
        <w:numPr>
          <w:ilvl w:val="0"/>
          <w:numId w:val="0"/>
        </w:numPr>
        <w:ind w:left="709"/>
      </w:pPr>
    </w:p>
    <w:p w14:paraId="0E5D3EA9" w14:textId="17B0A75F" w:rsidR="001D5916" w:rsidRPr="009A5E81" w:rsidRDefault="001D5916" w:rsidP="001D5916">
      <w:pPr>
        <w:pStyle w:val="BodyText"/>
        <w:numPr>
          <w:ilvl w:val="1"/>
          <w:numId w:val="15"/>
        </w:numPr>
      </w:pPr>
      <w:r>
        <w:t>The reason</w:t>
      </w:r>
      <w:r w:rsidR="001456CC">
        <w:t>s</w:t>
      </w:r>
      <w:r>
        <w:t xml:space="preserve"> for the difference</w:t>
      </w:r>
      <w:r w:rsidR="00A0692B">
        <w:t xml:space="preserve">s </w:t>
      </w:r>
      <w:r>
        <w:t>between the Police and N</w:t>
      </w:r>
      <w:r w:rsidR="0061313C">
        <w:t>ew Zealand Crime and Victim Survey</w:t>
      </w:r>
      <w:r>
        <w:t xml:space="preserve"> data </w:t>
      </w:r>
      <w:r w:rsidR="001456CC">
        <w:t>are</w:t>
      </w:r>
      <w:r>
        <w:t xml:space="preserve"> unclear. </w:t>
      </w:r>
      <w:r w:rsidR="009C5BE0">
        <w:t>One reason</w:t>
      </w:r>
      <w:r>
        <w:t xml:space="preserve"> may be </w:t>
      </w:r>
      <w:r w:rsidR="009C5BE0">
        <w:t xml:space="preserve">that </w:t>
      </w:r>
      <w:r>
        <w:t xml:space="preserve">the </w:t>
      </w:r>
      <w:r w:rsidR="0061313C">
        <w:t>survey</w:t>
      </w:r>
      <w:r>
        <w:t xml:space="preserve"> data captures unreported offending and different types of offending to Police data (in particular, it does not capture public order offending). </w:t>
      </w:r>
      <w:r w:rsidR="000B0343">
        <w:t>Another reason may be that</w:t>
      </w:r>
      <w:r w:rsidR="00A0692B">
        <w:t>, a</w:t>
      </w:r>
      <w:r>
        <w:t>s we note</w:t>
      </w:r>
      <w:r w:rsidR="00D111F4">
        <w:t>d</w:t>
      </w:r>
      <w:r>
        <w:t xml:space="preserve"> above, the </w:t>
      </w:r>
      <w:r w:rsidR="0061313C">
        <w:t xml:space="preserve">survey </w:t>
      </w:r>
      <w:r>
        <w:t xml:space="preserve">data captures more than just </w:t>
      </w:r>
      <w:r w:rsidR="009C29E5">
        <w:t>hostility-motivated</w:t>
      </w:r>
      <w:r>
        <w:t xml:space="preserve"> offending. </w:t>
      </w:r>
    </w:p>
    <w:p w14:paraId="2A398F58" w14:textId="60D102A1" w:rsidR="001D5916" w:rsidRDefault="001D5916" w:rsidP="001D5916">
      <w:pPr>
        <w:pStyle w:val="BodyText"/>
        <w:numPr>
          <w:ilvl w:val="1"/>
          <w:numId w:val="15"/>
        </w:numPr>
      </w:pPr>
      <w:r>
        <w:t>Twenty-eight submitters</w:t>
      </w:r>
      <w:r w:rsidDel="003D210D">
        <w:t xml:space="preserve"> </w:t>
      </w:r>
      <w:r>
        <w:t xml:space="preserve">discussed the targeting of particular groups, although it was not </w:t>
      </w:r>
      <w:r w:rsidRPr="000A5D07">
        <w:t>always clear if submitters were specifically referring to instances of hate crime.</w:t>
      </w:r>
      <w:r>
        <w:t xml:space="preserve"> Several submitters discussed hate directed at particular religions, including Judaism,</w:t>
      </w:r>
      <w:r>
        <w:rPr>
          <w:rStyle w:val="FootnoteReference"/>
        </w:rPr>
        <w:footnoteReference w:id="49"/>
      </w:r>
      <w:r>
        <w:t xml:space="preserve"> Islam,</w:t>
      </w:r>
      <w:r>
        <w:rPr>
          <w:rStyle w:val="FootnoteReference"/>
        </w:rPr>
        <w:footnoteReference w:id="50"/>
      </w:r>
      <w:r>
        <w:t xml:space="preserve"> Hinduism,</w:t>
      </w:r>
      <w:r>
        <w:rPr>
          <w:rStyle w:val="FootnoteReference"/>
        </w:rPr>
        <w:footnoteReference w:id="51"/>
      </w:r>
      <w:r>
        <w:t xml:space="preserve"> Sikhism</w:t>
      </w:r>
      <w:r>
        <w:rPr>
          <w:rStyle w:val="FootnoteReference"/>
        </w:rPr>
        <w:footnoteReference w:id="52"/>
      </w:r>
      <w:r>
        <w:t xml:space="preserve"> and Christianity.</w:t>
      </w:r>
      <w:r>
        <w:rPr>
          <w:rStyle w:val="FootnoteReference"/>
        </w:rPr>
        <w:footnoteReference w:id="53"/>
      </w:r>
      <w:r>
        <w:t xml:space="preserve"> </w:t>
      </w:r>
    </w:p>
    <w:p w14:paraId="7D3CF46A" w14:textId="5A583BB0" w:rsidR="001D5916" w:rsidRDefault="001D5916" w:rsidP="001D5916">
      <w:pPr>
        <w:pStyle w:val="BodyText"/>
        <w:numPr>
          <w:ilvl w:val="1"/>
          <w:numId w:val="15"/>
        </w:numPr>
      </w:pPr>
      <w:r>
        <w:t xml:space="preserve">Three submitters </w:t>
      </w:r>
      <w:r w:rsidR="00A0692B">
        <w:t xml:space="preserve">expressed concerns about an </w:t>
      </w:r>
      <w:r>
        <w:t xml:space="preserve">increase in violence against the </w:t>
      </w:r>
      <w:r w:rsidRPr="003142B3">
        <w:t>rainbow community</w:t>
      </w:r>
      <w:r>
        <w:t>.</w:t>
      </w:r>
      <w:r>
        <w:rPr>
          <w:rStyle w:val="FootnoteReference"/>
        </w:rPr>
        <w:footnoteReference w:id="54"/>
      </w:r>
      <w:r>
        <w:t xml:space="preserve"> Some submitters referred to particular instances of this such as the arson of the Rainbow Youth Centre in Tauranga in June 2022, the vandalism of the Gloria of Greymouth Church (which included homophobic messages) in June 2022 and </w:t>
      </w:r>
      <w:r w:rsidRPr="003142B3">
        <w:t>the actions</w:t>
      </w:r>
      <w:r>
        <w:t xml:space="preserve"> of members of Destiny Church </w:t>
      </w:r>
      <w:r w:rsidR="00785048">
        <w:t>New Zealand</w:t>
      </w:r>
      <w:r>
        <w:t xml:space="preserve"> that interrupted a drag storytime event at Te Atatū Library in Auckland in 2025. </w:t>
      </w:r>
    </w:p>
    <w:p w14:paraId="2679715C" w14:textId="0E9E9B09" w:rsidR="001D5916" w:rsidRDefault="001D5916" w:rsidP="001D5916">
      <w:pPr>
        <w:pStyle w:val="BodyText"/>
        <w:numPr>
          <w:ilvl w:val="1"/>
          <w:numId w:val="15"/>
        </w:numPr>
      </w:pPr>
      <w:r>
        <w:t>Seven submitters discussed violence or hostility directed at particular ethnicities. Some submitters told us about specific incidents directed at Māori</w:t>
      </w:r>
      <w:r w:rsidR="0001583B">
        <w:t xml:space="preserve"> (for example, acts of arson at several marae)</w:t>
      </w:r>
      <w:r>
        <w:t xml:space="preserve"> </w:t>
      </w:r>
      <w:r w:rsidR="003726F7">
        <w:t>and</w:t>
      </w:r>
      <w:r w:rsidR="00923F80">
        <w:t xml:space="preserve"> at </w:t>
      </w:r>
      <w:r>
        <w:t>members of the Palestinian community.</w:t>
      </w:r>
      <w:r>
        <w:rPr>
          <w:rStyle w:val="FootnoteReference"/>
        </w:rPr>
        <w:footnoteReference w:id="55"/>
      </w:r>
      <w:r>
        <w:t xml:space="preserve"> One submitter emphasised the importance of considering hate crime in the wider socio-historical context of white supremacy and racism in Aotearoa New Zealand, which affects Māori and communities of colour.</w:t>
      </w:r>
      <w:r>
        <w:rPr>
          <w:rStyle w:val="FootnoteReference"/>
        </w:rPr>
        <w:footnoteReference w:id="56"/>
      </w:r>
      <w:r>
        <w:t xml:space="preserve"> Some of these submitters also </w:t>
      </w:r>
      <w:r w:rsidR="00307844">
        <w:t xml:space="preserve">expressed their perception that </w:t>
      </w:r>
      <w:r>
        <w:t>the majority of hate crimes target race or ethnicity</w:t>
      </w:r>
      <w:r>
        <w:rPr>
          <w:rStyle w:val="FootnoteReference"/>
        </w:rPr>
        <w:footnoteReference w:id="57"/>
      </w:r>
      <w:r>
        <w:t xml:space="preserve"> and that these hate crimes are increasing.</w:t>
      </w:r>
      <w:r>
        <w:rPr>
          <w:rStyle w:val="FootnoteReference"/>
        </w:rPr>
        <w:footnoteReference w:id="58"/>
      </w:r>
      <w:r>
        <w:t xml:space="preserve"> </w:t>
      </w:r>
    </w:p>
    <w:p w14:paraId="1BFE8ACD" w14:textId="77777777" w:rsidR="001D5916" w:rsidRDefault="001D5916" w:rsidP="001D5916">
      <w:pPr>
        <w:pStyle w:val="Heading2"/>
      </w:pPr>
      <w:bookmarkStart w:id="102" w:name="_Toc231467824"/>
      <w:r>
        <w:t>How hate crime is addressed in the criminal justice system</w:t>
      </w:r>
      <w:bookmarkEnd w:id="102"/>
    </w:p>
    <w:p w14:paraId="0F1F8CAE" w14:textId="5E261009" w:rsidR="001D5916" w:rsidRPr="00431193" w:rsidRDefault="001D5916" w:rsidP="001D5916">
      <w:pPr>
        <w:pStyle w:val="BodyText"/>
        <w:numPr>
          <w:ilvl w:val="1"/>
          <w:numId w:val="15"/>
        </w:numPr>
      </w:pPr>
      <w:r>
        <w:t xml:space="preserve">This section </w:t>
      </w:r>
      <w:r w:rsidR="00FF6940">
        <w:t>explains</w:t>
      </w:r>
      <w:r>
        <w:t xml:space="preserve"> </w:t>
      </w:r>
      <w:r w:rsidR="00FF6940">
        <w:t>how the criminal justice system</w:t>
      </w:r>
      <w:r>
        <w:t xml:space="preserve"> in Aotearoa New Zealand </w:t>
      </w:r>
      <w:r w:rsidR="00FF6940">
        <w:t xml:space="preserve">responds </w:t>
      </w:r>
      <w:r>
        <w:t>to hate crime</w:t>
      </w:r>
      <w:r w:rsidR="006426E1">
        <w:t>.</w:t>
      </w:r>
      <w:r>
        <w:t xml:space="preserve"> </w:t>
      </w:r>
      <w:r w:rsidR="006426E1">
        <w:t xml:space="preserve">It </w:t>
      </w:r>
      <w:r>
        <w:t xml:space="preserve">provides context for later chapters where we discuss problems with the current law and options for reform. </w:t>
      </w:r>
    </w:p>
    <w:p w14:paraId="48649726" w14:textId="77777777" w:rsidR="001D5916" w:rsidRDefault="001D5916" w:rsidP="001D5916">
      <w:pPr>
        <w:pStyle w:val="Heading3"/>
      </w:pPr>
      <w:r>
        <w:t>Recognising, recording and investigating hate crime</w:t>
      </w:r>
    </w:p>
    <w:p w14:paraId="56075F86" w14:textId="3CC6DFBC" w:rsidR="001D5916" w:rsidRDefault="001D5916" w:rsidP="001D5916">
      <w:pPr>
        <w:pStyle w:val="BodyText"/>
        <w:numPr>
          <w:ilvl w:val="1"/>
          <w:numId w:val="15"/>
        </w:numPr>
      </w:pPr>
      <w:r>
        <w:t>The report of the Royal Commission of Inquiry into the terrorist attack on Christchurch masjidain on 15 March 2019 drew attention to shortcomings in the reporting and recording of hate crime. The Royal Commission repeatedly heard that people were reluctant to report hate crime and that there was a lack of data about hostility-motivated offending and harassment.</w:t>
      </w:r>
      <w:r>
        <w:rPr>
          <w:rStyle w:val="FootnoteReference"/>
        </w:rPr>
        <w:footnoteReference w:id="59"/>
      </w:r>
      <w:r>
        <w:t xml:space="preserve"> Police only began recording hate crime in its National Intelligence Application system in 2019, with the Royal Commission noting that recording was incomplete and inconsistent.</w:t>
      </w:r>
      <w:r>
        <w:rPr>
          <w:rStyle w:val="FootnoteReference"/>
        </w:rPr>
        <w:footnoteReference w:id="60"/>
      </w:r>
      <w:r>
        <w:t xml:space="preserve"> The Royal Commission </w:t>
      </w:r>
      <w:r w:rsidR="000631EC">
        <w:t>considered</w:t>
      </w:r>
      <w:r>
        <w:t xml:space="preserve"> this was due in part to limited training for police officers on hate crime.</w:t>
      </w:r>
      <w:r>
        <w:rPr>
          <w:rStyle w:val="FootnoteReference"/>
        </w:rPr>
        <w:footnoteReference w:id="61"/>
      </w:r>
    </w:p>
    <w:p w14:paraId="73E885E5" w14:textId="4A211875" w:rsidR="001D5916" w:rsidRDefault="001D5916" w:rsidP="001D5916">
      <w:pPr>
        <w:pStyle w:val="BodyText"/>
        <w:numPr>
          <w:ilvl w:val="1"/>
          <w:numId w:val="15"/>
        </w:numPr>
      </w:pPr>
      <w:r>
        <w:t>The Royal Commission said that accurate recording of reported hate crime was desirable and would enhance community trust and increase reporting rates.</w:t>
      </w:r>
      <w:r>
        <w:rPr>
          <w:rStyle w:val="FootnoteReference"/>
        </w:rPr>
        <w:footnoteReference w:id="62"/>
      </w:r>
      <w:r>
        <w:t xml:space="preserve"> </w:t>
      </w:r>
      <w:r w:rsidR="0034211C">
        <w:t>It</w:t>
      </w:r>
      <w:r>
        <w:t xml:space="preserve"> </w:t>
      </w:r>
      <w:r w:rsidR="0034211C">
        <w:t xml:space="preserve">recommended </w:t>
      </w:r>
      <w:r>
        <w:t>that Police improve how it records hate crime and trains frontline staff</w:t>
      </w:r>
      <w:r w:rsidR="0034211C">
        <w:t>.</w:t>
      </w:r>
      <w:r>
        <w:rPr>
          <w:rStyle w:val="FootnoteReference"/>
        </w:rPr>
        <w:footnoteReference w:id="63"/>
      </w:r>
      <w:r>
        <w:t xml:space="preserve"> </w:t>
      </w:r>
      <w:r w:rsidR="0034211C">
        <w:t xml:space="preserve">In response, </w:t>
      </w:r>
      <w:r w:rsidR="002E515C">
        <w:t xml:space="preserve">a four-year interagency programme called </w:t>
      </w:r>
      <w:r>
        <w:t xml:space="preserve">Te Raranga </w:t>
      </w:r>
      <w:r w:rsidR="002E515C">
        <w:t xml:space="preserve">was established to improve the </w:t>
      </w:r>
      <w:r w:rsidR="006D29C3">
        <w:t>G</w:t>
      </w:r>
      <w:r w:rsidR="002E515C">
        <w:t>overnment’s</w:t>
      </w:r>
      <w:r>
        <w:t xml:space="preserve"> response to hate crime, incidents and speech.</w:t>
      </w:r>
      <w:r>
        <w:rPr>
          <w:rStyle w:val="FootnoteReference"/>
        </w:rPr>
        <w:footnoteReference w:id="64"/>
      </w:r>
      <w:r>
        <w:t xml:space="preserve"> Through this programme, Police:</w:t>
      </w:r>
    </w:p>
    <w:p w14:paraId="3A65A9D0" w14:textId="77777777" w:rsidR="001D5916" w:rsidRDefault="001D5916" w:rsidP="001D5916">
      <w:pPr>
        <w:pStyle w:val="BodyTextalphalist"/>
        <w:numPr>
          <w:ilvl w:val="3"/>
          <w:numId w:val="15"/>
        </w:numPr>
      </w:pPr>
      <w:r>
        <w:t>Updated its definition of a hate crime.</w:t>
      </w:r>
    </w:p>
    <w:p w14:paraId="693061B5" w14:textId="77777777" w:rsidR="001D5916" w:rsidRDefault="001D5916" w:rsidP="001D5916">
      <w:pPr>
        <w:pStyle w:val="BodyTextalphalist"/>
        <w:numPr>
          <w:ilvl w:val="3"/>
          <w:numId w:val="15"/>
        </w:numPr>
      </w:pPr>
      <w:r>
        <w:t xml:space="preserve">Updated the Police Instructions and Standard Operating Procedures to include </w:t>
      </w:r>
      <w:r w:rsidRPr="00224F5E">
        <w:t xml:space="preserve">guidance on how to investigate and record </w:t>
      </w:r>
      <w:r>
        <w:t>hate crime.</w:t>
      </w:r>
    </w:p>
    <w:p w14:paraId="00215219" w14:textId="5299811E" w:rsidR="001D5916" w:rsidRDefault="001D5916" w:rsidP="001D5916">
      <w:pPr>
        <w:pStyle w:val="BodyTextalphalist"/>
        <w:numPr>
          <w:ilvl w:val="3"/>
          <w:numId w:val="15"/>
        </w:numPr>
      </w:pPr>
      <w:r>
        <w:t xml:space="preserve">Established a Hate Crime Quality Assurance </w:t>
      </w:r>
      <w:r w:rsidR="0045186F">
        <w:t>T</w:t>
      </w:r>
      <w:r>
        <w:t>eam.</w:t>
      </w:r>
    </w:p>
    <w:p w14:paraId="1957276E" w14:textId="77777777" w:rsidR="001D5916" w:rsidRDefault="001D5916" w:rsidP="001D5916">
      <w:pPr>
        <w:pStyle w:val="BodyTextalphalist"/>
        <w:numPr>
          <w:ilvl w:val="3"/>
          <w:numId w:val="15"/>
        </w:numPr>
      </w:pPr>
      <w:r>
        <w:t>Introduced hate crime training.</w:t>
      </w:r>
    </w:p>
    <w:p w14:paraId="3F907018" w14:textId="1A2FCF3D" w:rsidR="001D5916" w:rsidRDefault="001D5916" w:rsidP="001D5916">
      <w:pPr>
        <w:pStyle w:val="BodyTextalphalist"/>
        <w:numPr>
          <w:ilvl w:val="3"/>
          <w:numId w:val="15"/>
        </w:numPr>
      </w:pPr>
      <w:r>
        <w:t>Developed ‘Standing Together Against Hate’ resources for communities</w:t>
      </w:r>
      <w:r w:rsidRPr="00764FCA">
        <w:rPr>
          <w:vertAlign w:val="superscript"/>
        </w:rPr>
        <w:footnoteReference w:id="65"/>
      </w:r>
      <w:r>
        <w:t xml:space="preserve"> to highlight the harm hate causes and</w:t>
      </w:r>
      <w:r w:rsidR="00881ED5">
        <w:t xml:space="preserve"> support public conversations.</w:t>
      </w:r>
    </w:p>
    <w:p w14:paraId="2329155B" w14:textId="44D76632" w:rsidR="001D5916" w:rsidRDefault="001D5916" w:rsidP="001D5916">
      <w:pPr>
        <w:pStyle w:val="BodyTextalphalist"/>
        <w:numPr>
          <w:ilvl w:val="3"/>
          <w:numId w:val="15"/>
        </w:numPr>
      </w:pPr>
      <w:r>
        <w:t xml:space="preserve">Created dedicated district hate crime </w:t>
      </w:r>
      <w:r w:rsidR="007D5E9C">
        <w:t>leads — senior</w:t>
      </w:r>
      <w:r>
        <w:t xml:space="preserve"> officers in each district who are responsible for keeping hate crime as a live issue in their area and identifying and responding to any emerging trends. These leads work closely with the Quality Assurance Team, receiving direct updates and daily reports on hate crime issues.</w:t>
      </w:r>
    </w:p>
    <w:p w14:paraId="7A24F86E" w14:textId="77777777" w:rsidR="001D5916" w:rsidRPr="00FC00D5" w:rsidRDefault="001D5916" w:rsidP="001D5916">
      <w:pPr>
        <w:pStyle w:val="Heading4"/>
      </w:pPr>
      <w:r>
        <w:t>Recognising hate crime</w:t>
      </w:r>
    </w:p>
    <w:p w14:paraId="775B92E3" w14:textId="40850110" w:rsidR="001D5916" w:rsidRDefault="001D5916" w:rsidP="001D5916">
      <w:pPr>
        <w:pStyle w:val="BodyText"/>
        <w:numPr>
          <w:ilvl w:val="1"/>
          <w:numId w:val="15"/>
        </w:numPr>
      </w:pPr>
      <w:r w:rsidRPr="00FC00D5">
        <w:t>Since 2022, the Police Instructions and Standard Operating Procedures have contained guidance on how to recognise hate crime</w:t>
      </w:r>
      <w:r>
        <w:t>. Police has also developed and introduced training. For example, all new recruits are trained and assessed on hate crime.</w:t>
      </w:r>
      <w:r>
        <w:rPr>
          <w:rStyle w:val="FootnoteReference"/>
        </w:rPr>
        <w:footnoteReference w:id="66"/>
      </w:r>
      <w:r>
        <w:t xml:space="preserve"> Hate crime training </w:t>
      </w:r>
      <w:r w:rsidR="0021083C">
        <w:t xml:space="preserve">is </w:t>
      </w:r>
      <w:r>
        <w:t xml:space="preserve">regularly integrated into training days and </w:t>
      </w:r>
      <w:r w:rsidR="0003362A">
        <w:t xml:space="preserve">forms </w:t>
      </w:r>
      <w:r>
        <w:t>part of promotional exams. Police buildings have posters on how to recognise hate crime</w:t>
      </w:r>
      <w:r w:rsidR="007D6AA6">
        <w:t>,</w:t>
      </w:r>
      <w:r>
        <w:t xml:space="preserve"> and l</w:t>
      </w:r>
      <w:r w:rsidRPr="00FC00D5">
        <w:t>ine-ups (where frontline police officers meet before a shift to discuss issues, trends and handover information) include information on how to recognise, record and respond to hate crime.</w:t>
      </w:r>
    </w:p>
    <w:p w14:paraId="0F1F0348" w14:textId="77777777" w:rsidR="001D5916" w:rsidRPr="00FC00D5" w:rsidRDefault="001D5916" w:rsidP="001D5916">
      <w:pPr>
        <w:pStyle w:val="Heading4"/>
      </w:pPr>
      <w:r w:rsidRPr="00FC00D5">
        <w:t>Recording hate crime</w:t>
      </w:r>
    </w:p>
    <w:p w14:paraId="33CD9B87" w14:textId="32AB1E32" w:rsidR="001D5916" w:rsidRPr="00FC00D5" w:rsidRDefault="001D5916" w:rsidP="001D5916">
      <w:pPr>
        <w:pStyle w:val="BodyText"/>
        <w:numPr>
          <w:ilvl w:val="1"/>
          <w:numId w:val="15"/>
        </w:numPr>
      </w:pPr>
      <w:r w:rsidRPr="00FC00D5">
        <w:t xml:space="preserve">All </w:t>
      </w:r>
      <w:r w:rsidR="00012AB8">
        <w:t>alleged offences</w:t>
      </w:r>
      <w:r w:rsidR="00012AB8" w:rsidRPr="00FC00D5">
        <w:t xml:space="preserve"> </w:t>
      </w:r>
      <w:r w:rsidRPr="00FC00D5">
        <w:t>reported to Police are recorded in the National Intelligence Application. Since 2019, Police has</w:t>
      </w:r>
      <w:r w:rsidR="00810EED">
        <w:t xml:space="preserve"> used a ‘perceived hate crime’ flag to record whether </w:t>
      </w:r>
      <w:r w:rsidR="00AE4E68">
        <w:t>an alleged offence was</w:t>
      </w:r>
      <w:r w:rsidR="00810EED">
        <w:t xml:space="preserve"> perceived to be </w:t>
      </w:r>
      <w:r w:rsidR="00216571">
        <w:t>motivated by hostility.</w:t>
      </w:r>
      <w:r w:rsidR="00701721">
        <w:t xml:space="preserve"> The information the Police records includes the characteristic or group that is perceived to be the target of the hostile motivation and any further information about the </w:t>
      </w:r>
      <w:r>
        <w:t>hostile motivation</w:t>
      </w:r>
      <w:r w:rsidRPr="00FC00D5">
        <w:t xml:space="preserve"> such as any specific words or symbols used.</w:t>
      </w:r>
    </w:p>
    <w:p w14:paraId="71D4509F" w14:textId="48E7A626" w:rsidR="001D5916" w:rsidRPr="00FC00D5" w:rsidRDefault="001D5916" w:rsidP="001D5916">
      <w:pPr>
        <w:pStyle w:val="BodyText"/>
        <w:numPr>
          <w:ilvl w:val="1"/>
          <w:numId w:val="15"/>
        </w:numPr>
      </w:pPr>
      <w:r w:rsidRPr="00FC00D5">
        <w:t xml:space="preserve">Police’s Hate Crime Quality Assurance </w:t>
      </w:r>
      <w:r w:rsidR="00E13E64">
        <w:t>T</w:t>
      </w:r>
      <w:r w:rsidRPr="00FC00D5">
        <w:t xml:space="preserve">eam completes daily quality assurance checks of the </w:t>
      </w:r>
      <w:r>
        <w:t>perceived hate</w:t>
      </w:r>
      <w:r w:rsidRPr="00FC00D5">
        <w:t xml:space="preserve"> </w:t>
      </w:r>
      <w:r w:rsidR="0005037F">
        <w:t xml:space="preserve">crime </w:t>
      </w:r>
      <w:r w:rsidRPr="00FC00D5">
        <w:t>flag. This includes</w:t>
      </w:r>
      <w:r>
        <w:t xml:space="preserve"> conducting keyword searches to identify</w:t>
      </w:r>
      <w:r w:rsidRPr="00FC00D5">
        <w:t xml:space="preserve"> reported </w:t>
      </w:r>
      <w:r>
        <w:t>offences</w:t>
      </w:r>
      <w:r w:rsidRPr="00FC00D5">
        <w:t xml:space="preserve"> that should have been flagged as perceived hate crimes. </w:t>
      </w:r>
      <w:r w:rsidR="00EC74B9">
        <w:t>T</w:t>
      </w:r>
      <w:r w:rsidRPr="00FC00D5">
        <w:t xml:space="preserve">he team fixes any errors and identifies ways to improve Police’s recording of hate crime. </w:t>
      </w:r>
      <w:r w:rsidR="00EC74B9">
        <w:t xml:space="preserve">The team </w:t>
      </w:r>
      <w:r>
        <w:t>works closely with hate crime leads in Police districts to improve recording practices and help to ensure potential hate crimes have been appropriately identified and followed up.</w:t>
      </w:r>
    </w:p>
    <w:p w14:paraId="7925E802" w14:textId="77777777" w:rsidR="001D5916" w:rsidRPr="00FC00D5" w:rsidRDefault="001D5916" w:rsidP="001D5916">
      <w:pPr>
        <w:pStyle w:val="Heading4"/>
      </w:pPr>
      <w:r w:rsidRPr="00FC00D5">
        <w:t>Investigating hate crime</w:t>
      </w:r>
    </w:p>
    <w:p w14:paraId="3E42857E" w14:textId="28805B71" w:rsidR="001D5916" w:rsidRPr="00FC00D5" w:rsidRDefault="001D5916" w:rsidP="001D5916">
      <w:pPr>
        <w:pStyle w:val="BodyText"/>
        <w:numPr>
          <w:ilvl w:val="1"/>
          <w:numId w:val="15"/>
        </w:numPr>
      </w:pPr>
      <w:r w:rsidRPr="00FC00D5">
        <w:t xml:space="preserve">Police is responsible for investigating reported hate crime. </w:t>
      </w:r>
      <w:r w:rsidR="00EC74B9">
        <w:t xml:space="preserve">This includes </w:t>
      </w:r>
      <w:r w:rsidRPr="00FC00D5">
        <w:t xml:space="preserve">recording statements, checking CCTV footage and interviewing </w:t>
      </w:r>
      <w:r w:rsidR="00583E29">
        <w:t xml:space="preserve">alleged </w:t>
      </w:r>
      <w:r w:rsidRPr="00FC00D5">
        <w:t xml:space="preserve">offenders. Police Instructions explain </w:t>
      </w:r>
      <w:r w:rsidR="00EC74B9">
        <w:t xml:space="preserve">that </w:t>
      </w:r>
      <w:r w:rsidRPr="00FC00D5">
        <w:t xml:space="preserve">the investigation file should state in the subject line or first paragraph </w:t>
      </w:r>
      <w:r w:rsidR="00EC74B9">
        <w:t xml:space="preserve">if an alleged offence </w:t>
      </w:r>
      <w:r w:rsidRPr="00FC00D5">
        <w:t xml:space="preserve">is </w:t>
      </w:r>
      <w:r w:rsidR="00B26E8B">
        <w:t>‘</w:t>
      </w:r>
      <w:r w:rsidRPr="00FC00D5">
        <w:t>hate related</w:t>
      </w:r>
      <w:r w:rsidR="00B26E8B">
        <w:t>’</w:t>
      </w:r>
      <w:r w:rsidRPr="00FC00D5">
        <w:t xml:space="preserve"> and </w:t>
      </w:r>
      <w:r w:rsidR="00040A08">
        <w:t xml:space="preserve">that </w:t>
      </w:r>
      <w:r w:rsidRPr="00FC00D5">
        <w:t xml:space="preserve">any information about the </w:t>
      </w:r>
      <w:r>
        <w:t>hostile motivation</w:t>
      </w:r>
      <w:r w:rsidRPr="00FC00D5">
        <w:t xml:space="preserve"> should be recorded in </w:t>
      </w:r>
      <w:r>
        <w:t>the National Intelligence Application</w:t>
      </w:r>
      <w:r w:rsidRPr="00FC00D5">
        <w:t>.</w:t>
      </w:r>
      <w:r>
        <w:t xml:space="preserve"> </w:t>
      </w:r>
    </w:p>
    <w:p w14:paraId="19081ADA" w14:textId="6B6BB047" w:rsidR="001D5916" w:rsidRPr="00FC00D5" w:rsidRDefault="001D5916" w:rsidP="001D5916">
      <w:pPr>
        <w:pStyle w:val="BodyText"/>
        <w:numPr>
          <w:ilvl w:val="1"/>
          <w:numId w:val="15"/>
        </w:numPr>
      </w:pPr>
      <w:r w:rsidRPr="00FC00D5">
        <w:t xml:space="preserve">Police </w:t>
      </w:r>
      <w:r>
        <w:t>I</w:t>
      </w:r>
      <w:r w:rsidRPr="00FC00D5">
        <w:t>nstructions also say that</w:t>
      </w:r>
      <w:r w:rsidR="008F495F">
        <w:t>,</w:t>
      </w:r>
      <w:r w:rsidRPr="00FC00D5">
        <w:t xml:space="preserve"> when a person reports a hate crime, Police should offer them a referral to support agencies such as </w:t>
      </w:r>
      <w:r w:rsidR="004E327F" w:rsidRPr="002650BC">
        <w:t>Manaaki Tāngata</w:t>
      </w:r>
      <w:r w:rsidR="004E327F" w:rsidRPr="00FC00D5">
        <w:t xml:space="preserve"> </w:t>
      </w:r>
      <w:r w:rsidR="004E327F">
        <w:t xml:space="preserve">| </w:t>
      </w:r>
      <w:r w:rsidRPr="00FC00D5">
        <w:t xml:space="preserve">Victim Support. Police also has </w:t>
      </w:r>
      <w:r w:rsidR="002306AC">
        <w:t>l</w:t>
      </w:r>
      <w:r w:rsidRPr="00FC00D5">
        <w:t xml:space="preserve">iaison </w:t>
      </w:r>
      <w:r w:rsidR="002306AC">
        <w:t>o</w:t>
      </w:r>
      <w:r w:rsidRPr="00FC00D5">
        <w:t xml:space="preserve">fficers, whose role includes forming relationships with </w:t>
      </w:r>
      <w:r>
        <w:t>marginalised</w:t>
      </w:r>
      <w:r w:rsidRPr="00FC00D5">
        <w:t xml:space="preserve"> communities.</w:t>
      </w:r>
      <w:r>
        <w:rPr>
          <w:rStyle w:val="FootnoteReference"/>
        </w:rPr>
        <w:footnoteReference w:id="67"/>
      </w:r>
      <w:r w:rsidRPr="00FC00D5">
        <w:t xml:space="preserve"> Liaison </w:t>
      </w:r>
      <w:r w:rsidR="002306AC">
        <w:t>o</w:t>
      </w:r>
      <w:r w:rsidRPr="00FC00D5">
        <w:t xml:space="preserve">fficers are made aware of any reported hate crime and are involved in the investigation as appropriate. </w:t>
      </w:r>
    </w:p>
    <w:p w14:paraId="66FADC22" w14:textId="58245410" w:rsidR="001D5916" w:rsidRPr="00FC00D5" w:rsidRDefault="001D5916" w:rsidP="001D5916">
      <w:pPr>
        <w:pStyle w:val="BodyText"/>
        <w:numPr>
          <w:ilvl w:val="1"/>
          <w:numId w:val="15"/>
        </w:numPr>
      </w:pPr>
      <w:r w:rsidRPr="00FC00D5">
        <w:t xml:space="preserve">Once a matter has been investigated, Police decides how to respond. Sometimes there will not be enough evidence to prosecute the offence. Sometimes Police may consider that alternatives such as </w:t>
      </w:r>
      <w:r>
        <w:t xml:space="preserve">issuing a </w:t>
      </w:r>
      <w:r w:rsidRPr="00FC00D5">
        <w:t>formal warning are more appropriate.</w:t>
      </w:r>
    </w:p>
    <w:p w14:paraId="40DBF45F" w14:textId="77777777" w:rsidR="001D5916" w:rsidRDefault="001D5916" w:rsidP="001D5916">
      <w:pPr>
        <w:pStyle w:val="Heading3"/>
      </w:pPr>
      <w:r>
        <w:t>Prosecuting hate crime</w:t>
      </w:r>
    </w:p>
    <w:p w14:paraId="513AA931" w14:textId="77777777" w:rsidR="001D5916" w:rsidRDefault="001D5916" w:rsidP="001D5916">
      <w:pPr>
        <w:pStyle w:val="BodyText"/>
        <w:numPr>
          <w:ilvl w:val="1"/>
          <w:numId w:val="15"/>
        </w:numPr>
      </w:pPr>
      <w:r>
        <w:t xml:space="preserve">When Police decides to prosecute an offence, the investigating officer </w:t>
      </w:r>
      <w:r w:rsidDel="00113076">
        <w:t xml:space="preserve">files </w:t>
      </w:r>
      <w:r>
        <w:t>a charging document with the relevant court. The charges are reviewed by a prosecutor to ensure prosecution is appropriate.</w:t>
      </w:r>
      <w:r w:rsidDel="00175BE0">
        <w:t xml:space="preserve"> </w:t>
      </w:r>
      <w:r>
        <w:t xml:space="preserve">The charging document does not refer to hostile motivation. </w:t>
      </w:r>
    </w:p>
    <w:p w14:paraId="52799DFB" w14:textId="580B2899" w:rsidR="001D5916" w:rsidRDefault="001D5916" w:rsidP="001D5916">
      <w:pPr>
        <w:pStyle w:val="BodyText"/>
        <w:numPr>
          <w:ilvl w:val="1"/>
          <w:numId w:val="15"/>
        </w:numPr>
      </w:pPr>
      <w:r>
        <w:t>Like other crimes, not all offences that are motivated by hostility will be prosecuted. An offence should only be prosecuted if:</w:t>
      </w:r>
      <w:r>
        <w:rPr>
          <w:rStyle w:val="FootnoteReference"/>
        </w:rPr>
        <w:footnoteReference w:id="68"/>
      </w:r>
    </w:p>
    <w:p w14:paraId="1EAE9694" w14:textId="77777777" w:rsidR="001D5916" w:rsidRDefault="001D5916" w:rsidP="003E75B9">
      <w:pPr>
        <w:pStyle w:val="BodyTextnonum"/>
        <w:numPr>
          <w:ilvl w:val="3"/>
          <w:numId w:val="34"/>
        </w:numPr>
        <w:tabs>
          <w:tab w:val="left" w:pos="709"/>
        </w:tabs>
      </w:pPr>
      <w:r>
        <w:t>there is enough evidence to prove the charge beyond reasonable doubt; and</w:t>
      </w:r>
    </w:p>
    <w:p w14:paraId="2AD370ED" w14:textId="77777777" w:rsidR="001D5916" w:rsidRDefault="001D5916" w:rsidP="003E75B9">
      <w:pPr>
        <w:pStyle w:val="BodyTextnonum"/>
        <w:numPr>
          <w:ilvl w:val="3"/>
          <w:numId w:val="34"/>
        </w:numPr>
        <w:tabs>
          <w:tab w:val="left" w:pos="709"/>
        </w:tabs>
      </w:pPr>
      <w:r>
        <w:t>the public interest requires prosecution.</w:t>
      </w:r>
    </w:p>
    <w:p w14:paraId="0CA000AE" w14:textId="22E522A6" w:rsidR="001D5916" w:rsidRDefault="001D5916" w:rsidP="001D5916">
      <w:pPr>
        <w:pStyle w:val="BodyText"/>
        <w:numPr>
          <w:ilvl w:val="1"/>
          <w:numId w:val="15"/>
        </w:numPr>
      </w:pPr>
      <w:r>
        <w:t>When determining whether the public interest requires prosecution, one of the factors the prosecutor must consider is the seriousness of the offence. In assessing the seriousness of an offence, any applicable aggravating factor</w:t>
      </w:r>
      <w:r w:rsidR="00516CAA">
        <w:t>s</w:t>
      </w:r>
      <w:r>
        <w:t>, including hostile motivation, will be relevant.</w:t>
      </w:r>
      <w:r>
        <w:rPr>
          <w:rStyle w:val="FootnoteReference"/>
        </w:rPr>
        <w:footnoteReference w:id="69"/>
      </w:r>
    </w:p>
    <w:p w14:paraId="7146B8BF" w14:textId="5F4706D9" w:rsidR="001D5916" w:rsidRDefault="001D5916" w:rsidP="001D5916">
      <w:pPr>
        <w:pStyle w:val="BodyText"/>
        <w:numPr>
          <w:ilvl w:val="1"/>
          <w:numId w:val="15"/>
        </w:numPr>
      </w:pPr>
      <w:r>
        <w:t>Prosecutors rely on the investigating police officer to provide evidence of the</w:t>
      </w:r>
      <w:r w:rsidR="001A266A">
        <w:t xml:space="preserve"> offender’s alleged</w:t>
      </w:r>
      <w:r>
        <w:t xml:space="preserve"> hostile motivation. </w:t>
      </w:r>
      <w:r w:rsidR="00B05CE3">
        <w:t xml:space="preserve">As we discuss further in Chapter 4, where </w:t>
      </w:r>
      <w:r w:rsidR="00AE4E90">
        <w:t xml:space="preserve">that does not occur, hostile motivation </w:t>
      </w:r>
      <w:r w:rsidR="00366C8F">
        <w:t>is unlikely to</w:t>
      </w:r>
      <w:r w:rsidR="003D5D39">
        <w:t xml:space="preserve"> be raised at sentencing </w:t>
      </w:r>
      <w:r w:rsidR="00D5527D">
        <w:t>or at other relevant stages in a proceeding</w:t>
      </w:r>
      <w:r w:rsidR="003D5D39">
        <w:t xml:space="preserve">. </w:t>
      </w:r>
    </w:p>
    <w:p w14:paraId="412A77AA" w14:textId="703B1A83" w:rsidR="001D5916" w:rsidRDefault="001D5916" w:rsidP="001D5916">
      <w:pPr>
        <w:pStyle w:val="BodyText"/>
        <w:numPr>
          <w:ilvl w:val="1"/>
          <w:numId w:val="15"/>
        </w:numPr>
      </w:pPr>
      <w:r>
        <w:t>Most offences are prosecuted by the Police Prosecution Service. Crown solicitors prosecute the most serious offences and those where the defendant elects a jury trial.</w:t>
      </w:r>
      <w:r>
        <w:rPr>
          <w:rStyle w:val="FootnoteReference"/>
        </w:rPr>
        <w:footnoteReference w:id="70"/>
      </w:r>
    </w:p>
    <w:p w14:paraId="153D8D67" w14:textId="60F37D44" w:rsidR="001D5916" w:rsidRDefault="001D5916" w:rsidP="001D5916">
      <w:pPr>
        <w:pStyle w:val="BodyText"/>
        <w:numPr>
          <w:ilvl w:val="1"/>
          <w:numId w:val="15"/>
        </w:numPr>
      </w:pPr>
      <w:r>
        <w:t xml:space="preserve">From 2022 to 2025, 13–15 per cent of </w:t>
      </w:r>
      <w:r w:rsidR="00697292">
        <w:t>alleged offences perceived to be motivated by hostility</w:t>
      </w:r>
      <w:r>
        <w:t xml:space="preserve"> were investigated to the point</w:t>
      </w:r>
      <w:r w:rsidR="002C4D68">
        <w:t xml:space="preserve"> where</w:t>
      </w:r>
      <w:r>
        <w:t xml:space="preserve"> there was enough evidence to charge a person with an offence</w:t>
      </w:r>
      <w:r w:rsidR="002C4D68">
        <w:t>.</w:t>
      </w:r>
      <w:r>
        <w:t xml:space="preserve"> In 2025, 64 per cent of these</w:t>
      </w:r>
      <w:r w:rsidR="00004F79">
        <w:t xml:space="preserve"> alleged</w:t>
      </w:r>
      <w:r>
        <w:t xml:space="preserve"> offences were prosecuted. Other actions included formal or informal warnings (10 per cent and 7 per cent</w:t>
      </w:r>
      <w:r w:rsidR="00464233">
        <w:t>,</w:t>
      </w:r>
      <w:r>
        <w:t xml:space="preserve"> respectively).</w:t>
      </w:r>
      <w:r w:rsidR="008F1AB4">
        <w:rPr>
          <w:rStyle w:val="FootnoteReference"/>
        </w:rPr>
        <w:footnoteReference w:id="71"/>
      </w:r>
      <w:r>
        <w:t xml:space="preserve"> </w:t>
      </w:r>
    </w:p>
    <w:p w14:paraId="75665752" w14:textId="77777777" w:rsidR="001D5916" w:rsidRDefault="001D5916" w:rsidP="001D5916">
      <w:pPr>
        <w:pStyle w:val="Heading3"/>
      </w:pPr>
      <w:r>
        <w:t>Sentencing hate crime offenders</w:t>
      </w:r>
    </w:p>
    <w:p w14:paraId="7230D9C0" w14:textId="77777777" w:rsidR="001D5916" w:rsidRPr="00C71F88" w:rsidRDefault="001D5916" w:rsidP="001D5916">
      <w:pPr>
        <w:pStyle w:val="Heading4"/>
      </w:pPr>
      <w:r>
        <w:t>Process for establishing hostile motivation</w:t>
      </w:r>
    </w:p>
    <w:p w14:paraId="571E896B" w14:textId="2E0B215F" w:rsidR="001D5916" w:rsidRDefault="001D5916" w:rsidP="001D5916">
      <w:pPr>
        <w:pStyle w:val="BodyText"/>
        <w:numPr>
          <w:ilvl w:val="1"/>
          <w:numId w:val="15"/>
        </w:numPr>
        <w:tabs>
          <w:tab w:val="left" w:pos="709"/>
          <w:tab w:val="num" w:pos="5416"/>
        </w:tabs>
        <w:spacing w:after="120"/>
      </w:pPr>
      <w:r>
        <w:t>If a defendant is found guilty</w:t>
      </w:r>
      <w:r w:rsidR="002C5031">
        <w:t xml:space="preserve"> of</w:t>
      </w:r>
      <w:r w:rsidR="001A6FAD">
        <w:t xml:space="preserve"> an offence</w:t>
      </w:r>
      <w:r>
        <w:t>, the court determines</w:t>
      </w:r>
      <w:r w:rsidR="00425C20">
        <w:t xml:space="preserve"> at a sentencing hearing</w:t>
      </w:r>
      <w:r>
        <w:t xml:space="preserve"> whether the hostility aggravating factor applies. In </w:t>
      </w:r>
      <w:r w:rsidR="00BF7D74" w:rsidRPr="00BF7D74">
        <w:t>Te Kōti Matua | High Court</w:t>
      </w:r>
      <w:r w:rsidR="00BF7D74">
        <w:t xml:space="preserve"> </w:t>
      </w:r>
      <w:r>
        <w:t xml:space="preserve">and some </w:t>
      </w:r>
      <w:r w:rsidR="0029085A" w:rsidRPr="0029085A">
        <w:t>Te Kōti ā Rohe | District Court</w:t>
      </w:r>
      <w:r w:rsidR="001B74F7">
        <w:t xml:space="preserve"> </w:t>
      </w:r>
      <w:r>
        <w:t>proceedings, the prosecutor must identify any applicable aggravating factors in a sentencing memorandum filed in advance of the hearing.</w:t>
      </w:r>
      <w:r>
        <w:rPr>
          <w:rStyle w:val="FootnoteReference"/>
        </w:rPr>
        <w:footnoteReference w:id="72"/>
      </w:r>
      <w:r>
        <w:t xml:space="preserve"> Aggravating factors are also addressed in oral submissions. The court must take into account</w:t>
      </w:r>
      <w:r w:rsidDel="00C01C5F">
        <w:t xml:space="preserve"> </w:t>
      </w:r>
      <w:r>
        <w:t>any</w:t>
      </w:r>
      <w:r w:rsidR="00A94057">
        <w:t xml:space="preserve"> aggravating</w:t>
      </w:r>
      <w:r>
        <w:t xml:space="preserve"> factors that </w:t>
      </w:r>
      <w:r w:rsidR="00A94057">
        <w:t>are applicable</w:t>
      </w:r>
      <w:r w:rsidR="00400898">
        <w:t xml:space="preserve"> </w:t>
      </w:r>
      <w:r w:rsidR="00ED3C9D">
        <w:t>when sentencing the offender</w:t>
      </w:r>
      <w:r w:rsidR="00A94057">
        <w:t xml:space="preserve"> </w:t>
      </w:r>
      <w:r>
        <w:t xml:space="preserve">(whether or not </w:t>
      </w:r>
      <w:r w:rsidR="00E668B7">
        <w:t xml:space="preserve">those factors have </w:t>
      </w:r>
      <w:r w:rsidR="006C15E5">
        <w:t>been</w:t>
      </w:r>
      <w:r>
        <w:t xml:space="preserve"> raised by the prosecutor).</w:t>
      </w:r>
      <w:r>
        <w:rPr>
          <w:rStyle w:val="FootnoteReference"/>
        </w:rPr>
        <w:footnoteReference w:id="73"/>
      </w:r>
      <w:r>
        <w:t xml:space="preserve"> </w:t>
      </w:r>
    </w:p>
    <w:p w14:paraId="498AB2A6" w14:textId="557B6C2F" w:rsidR="001D5916" w:rsidRDefault="001D5916" w:rsidP="001D5916">
      <w:pPr>
        <w:pStyle w:val="BodyText"/>
        <w:numPr>
          <w:ilvl w:val="1"/>
          <w:numId w:val="15"/>
        </w:numPr>
        <w:tabs>
          <w:tab w:val="left" w:pos="709"/>
          <w:tab w:val="num" w:pos="5416"/>
        </w:tabs>
        <w:spacing w:after="120"/>
      </w:pPr>
      <w:r>
        <w:t xml:space="preserve">When deciding whether offending was motivated by hostility, the court can </w:t>
      </w:r>
      <w:r w:rsidR="00C677ED">
        <w:t xml:space="preserve">consider </w:t>
      </w:r>
      <w:r>
        <w:t>any evidence presented at the trial and any facts agreed on by the prosecution and the defence.</w:t>
      </w:r>
      <w:r>
        <w:rPr>
          <w:rStyle w:val="FootnoteReference"/>
        </w:rPr>
        <w:footnoteReference w:id="74"/>
      </w:r>
      <w:r>
        <w:t xml:space="preserve"> </w:t>
      </w:r>
      <w:r w:rsidR="001F5726" w:rsidRPr="005B779A">
        <w:rPr>
          <w:color w:val="auto"/>
        </w:rPr>
        <w:t>Agreed facts include those in a summary of facts accepted by the defendant when entering a guilty plea</w:t>
      </w:r>
      <w:r w:rsidR="001F5726">
        <w:t>.</w:t>
      </w:r>
      <w:r w:rsidR="001F5726">
        <w:rPr>
          <w:rStyle w:val="FootnoteReference"/>
        </w:rPr>
        <w:footnoteReference w:id="75"/>
      </w:r>
      <w:r w:rsidR="001F5726">
        <w:t xml:space="preserve"> </w:t>
      </w:r>
      <w:r>
        <w:t>If there is a significant dispute about the facts</w:t>
      </w:r>
      <w:r w:rsidR="00427B36">
        <w:t xml:space="preserve">, </w:t>
      </w:r>
      <w:r>
        <w:t>the parties may present further evidence.</w:t>
      </w:r>
      <w:r>
        <w:rPr>
          <w:rStyle w:val="FootnoteReference"/>
        </w:rPr>
        <w:footnoteReference w:id="76"/>
      </w:r>
      <w:r>
        <w:t xml:space="preserve"> The prosecution must prove any disputed facts</w:t>
      </w:r>
      <w:r w:rsidRPr="00511317">
        <w:t xml:space="preserve"> beyond reasonable doubt.</w:t>
      </w:r>
      <w:r w:rsidRPr="00511317">
        <w:rPr>
          <w:vertAlign w:val="superscript"/>
        </w:rPr>
        <w:footnoteReference w:id="77"/>
      </w:r>
      <w:r>
        <w:t xml:space="preserve"> In practice, we understand such disputes occur relatively infrequently.</w:t>
      </w:r>
    </w:p>
    <w:p w14:paraId="68F46FE8" w14:textId="77777777" w:rsidR="001D5916" w:rsidRPr="008676E9" w:rsidRDefault="001D5916" w:rsidP="001D5916">
      <w:pPr>
        <w:pStyle w:val="Heading4"/>
      </w:pPr>
      <w:r>
        <w:t xml:space="preserve">How the courts have applied the aggravating factor </w:t>
      </w:r>
      <w:r>
        <w:tab/>
      </w:r>
    </w:p>
    <w:p w14:paraId="0475FCD0" w14:textId="7C74ACE8" w:rsidR="001D5916" w:rsidRDefault="001D5916" w:rsidP="001D5916">
      <w:pPr>
        <w:pStyle w:val="BodyText"/>
        <w:numPr>
          <w:ilvl w:val="1"/>
          <w:numId w:val="15"/>
        </w:numPr>
        <w:tabs>
          <w:tab w:val="left" w:pos="709"/>
          <w:tab w:val="num" w:pos="5416"/>
        </w:tabs>
        <w:spacing w:after="120"/>
      </w:pPr>
      <w:r>
        <w:t xml:space="preserve">As explained above, the hostility aggravating factor applies to offending committed “wholly or partly because of” hostility towards a group of people who have an enduring common characteristic. </w:t>
      </w:r>
      <w:r w:rsidR="00F92AE3" w:rsidRPr="00F92AE3">
        <w:t>Te Kōti Pīra | Court of Appeal</w:t>
      </w:r>
      <w:r w:rsidR="00F92AE3">
        <w:t xml:space="preserve"> </w:t>
      </w:r>
      <w:r>
        <w:t xml:space="preserve">has </w:t>
      </w:r>
      <w:r w:rsidR="00C01AD0">
        <w:t xml:space="preserve">variously </w:t>
      </w:r>
      <w:r>
        <w:t xml:space="preserve">described the aggravating factor as targeting “offending that </w:t>
      </w:r>
      <w:r w:rsidRPr="00811ABA">
        <w:t>demonstrates</w:t>
      </w:r>
      <w:r w:rsidRPr="00FE7C52">
        <w:t xml:space="preserve"> hostility towards a particular group or groups in society</w:t>
      </w:r>
      <w:r>
        <w:t>”</w:t>
      </w:r>
      <w:r>
        <w:rPr>
          <w:rStyle w:val="FootnoteReference"/>
        </w:rPr>
        <w:footnoteReference w:id="78"/>
      </w:r>
      <w:r w:rsidR="00C01AD0">
        <w:t xml:space="preserve"> </w:t>
      </w:r>
      <w:r w:rsidR="00374F02">
        <w:t>and offending “motivated by” such hostility.</w:t>
      </w:r>
      <w:r w:rsidR="00C75B44">
        <w:rPr>
          <w:rStyle w:val="FootnoteReference"/>
        </w:rPr>
        <w:footnoteReference w:id="79"/>
      </w:r>
      <w:r>
        <w:t xml:space="preserve"> </w:t>
      </w:r>
    </w:p>
    <w:p w14:paraId="3D706FC2" w14:textId="296F2927" w:rsidR="001D5916" w:rsidRDefault="001D5916" w:rsidP="001D5916">
      <w:pPr>
        <w:pStyle w:val="BodyText"/>
        <w:numPr>
          <w:ilvl w:val="1"/>
          <w:numId w:val="15"/>
        </w:numPr>
        <w:tabs>
          <w:tab w:val="left" w:pos="709"/>
          <w:tab w:val="num" w:pos="5416"/>
        </w:tabs>
        <w:spacing w:after="120"/>
      </w:pPr>
      <w:r>
        <w:t>The courts do not tend to undertake a detailed assessment of the offender’s motivation or reasons for the offending. It will generally be sufficient if there is evidence that the offender showed hostility towards the victim based on a common characteristic.</w:t>
      </w:r>
      <w:r w:rsidR="006501A8">
        <w:rPr>
          <w:rStyle w:val="FootnoteReference"/>
        </w:rPr>
        <w:footnoteReference w:id="80"/>
      </w:r>
      <w:r>
        <w:t xml:space="preserve"> For example, the courts have taken evidence of the following into account when applying the hostility aggravating factor:</w:t>
      </w:r>
    </w:p>
    <w:p w14:paraId="1D7C4829" w14:textId="1111172E" w:rsidR="001D5916" w:rsidRPr="00481543" w:rsidRDefault="00303E30" w:rsidP="003E75B9">
      <w:pPr>
        <w:numPr>
          <w:ilvl w:val="3"/>
          <w:numId w:val="33"/>
        </w:numPr>
        <w:tabs>
          <w:tab w:val="clear" w:pos="1134"/>
        </w:tabs>
        <w:rPr>
          <w:szCs w:val="22"/>
        </w:rPr>
      </w:pPr>
      <w:r>
        <w:rPr>
          <w:szCs w:val="22"/>
        </w:rPr>
        <w:t>R</w:t>
      </w:r>
      <w:r w:rsidR="001D5916" w:rsidRPr="00481543">
        <w:rPr>
          <w:szCs w:val="22"/>
        </w:rPr>
        <w:t>acist or homophobic comments made by the offender to the victim before or during the offending</w:t>
      </w:r>
      <w:r>
        <w:rPr>
          <w:szCs w:val="22"/>
        </w:rPr>
        <w:t>.</w:t>
      </w:r>
      <w:r w:rsidR="001D5916" w:rsidRPr="00481543">
        <w:rPr>
          <w:rStyle w:val="FootnoteReference"/>
          <w:sz w:val="16"/>
          <w:szCs w:val="22"/>
        </w:rPr>
        <w:footnoteReference w:id="81"/>
      </w:r>
    </w:p>
    <w:p w14:paraId="43E908D6" w14:textId="3D52667D" w:rsidR="001D5916" w:rsidRPr="00481543" w:rsidRDefault="00303E30" w:rsidP="003E75B9">
      <w:pPr>
        <w:numPr>
          <w:ilvl w:val="3"/>
          <w:numId w:val="32"/>
        </w:numPr>
        <w:rPr>
          <w:szCs w:val="22"/>
        </w:rPr>
      </w:pPr>
      <w:r>
        <w:rPr>
          <w:szCs w:val="22"/>
        </w:rPr>
        <w:t>C</w:t>
      </w:r>
      <w:r w:rsidR="001D5916" w:rsidRPr="00481543">
        <w:rPr>
          <w:szCs w:val="22"/>
        </w:rPr>
        <w:t xml:space="preserve">omments made by the offender to police officers or </w:t>
      </w:r>
      <w:r w:rsidR="003102FF" w:rsidRPr="003102FF">
        <w:rPr>
          <w:szCs w:val="22"/>
        </w:rPr>
        <w:t>Ara Poutama Aotearoa | Department of Corrections</w:t>
      </w:r>
      <w:r w:rsidR="001D5916" w:rsidRPr="00481543">
        <w:rPr>
          <w:szCs w:val="22"/>
        </w:rPr>
        <w:t xml:space="preserve"> staff after the offending</w:t>
      </w:r>
      <w:r w:rsidR="001D5916">
        <w:rPr>
          <w:szCs w:val="22"/>
        </w:rPr>
        <w:t>,</w:t>
      </w:r>
      <w:r w:rsidR="001D5916" w:rsidRPr="00481543">
        <w:rPr>
          <w:szCs w:val="22"/>
        </w:rPr>
        <w:t xml:space="preserve"> showing hostility toward</w:t>
      </w:r>
      <w:r w:rsidR="00630A35">
        <w:rPr>
          <w:szCs w:val="22"/>
        </w:rPr>
        <w:t>s</w:t>
      </w:r>
      <w:r w:rsidR="001D5916" w:rsidRPr="00481543">
        <w:rPr>
          <w:szCs w:val="22"/>
        </w:rPr>
        <w:t xml:space="preserve"> a group of people to which the victim belonged (such as Muslims, Asians or trans people)</w:t>
      </w:r>
      <w:r>
        <w:rPr>
          <w:szCs w:val="22"/>
        </w:rPr>
        <w:t>.</w:t>
      </w:r>
      <w:r w:rsidR="001D5916" w:rsidRPr="00481543">
        <w:rPr>
          <w:rStyle w:val="FootnoteReference"/>
          <w:sz w:val="16"/>
          <w:szCs w:val="22"/>
        </w:rPr>
        <w:footnoteReference w:id="82"/>
      </w:r>
    </w:p>
    <w:p w14:paraId="5E04DF91" w14:textId="318F9413" w:rsidR="001D5916" w:rsidRPr="00481543" w:rsidRDefault="00303E30" w:rsidP="003E75B9">
      <w:pPr>
        <w:numPr>
          <w:ilvl w:val="3"/>
          <w:numId w:val="32"/>
        </w:numPr>
        <w:rPr>
          <w:szCs w:val="22"/>
        </w:rPr>
      </w:pPr>
      <w:r>
        <w:rPr>
          <w:szCs w:val="22"/>
        </w:rPr>
        <w:t>D</w:t>
      </w:r>
      <w:r w:rsidR="001D5916" w:rsidRPr="00481543">
        <w:rPr>
          <w:szCs w:val="22"/>
        </w:rPr>
        <w:t>eliberate targeting of victims based on a protected characteristic such as religion</w:t>
      </w:r>
      <w:r>
        <w:rPr>
          <w:szCs w:val="22"/>
        </w:rPr>
        <w:t>.</w:t>
      </w:r>
      <w:r w:rsidR="001D5916" w:rsidRPr="00481543">
        <w:rPr>
          <w:rStyle w:val="FootnoteReference"/>
          <w:sz w:val="16"/>
          <w:szCs w:val="22"/>
        </w:rPr>
        <w:footnoteReference w:id="83"/>
      </w:r>
    </w:p>
    <w:p w14:paraId="7C01B81B" w14:textId="67A7EF2E" w:rsidR="001D5916" w:rsidRPr="00481543" w:rsidRDefault="00484D87" w:rsidP="003E75B9">
      <w:pPr>
        <w:numPr>
          <w:ilvl w:val="3"/>
          <w:numId w:val="32"/>
        </w:numPr>
        <w:rPr>
          <w:szCs w:val="22"/>
        </w:rPr>
      </w:pPr>
      <w:r>
        <w:rPr>
          <w:szCs w:val="22"/>
        </w:rPr>
        <w:t>A</w:t>
      </w:r>
      <w:r w:rsidR="001D5916" w:rsidRPr="00481543">
        <w:rPr>
          <w:szCs w:val="22"/>
        </w:rPr>
        <w:t xml:space="preserve"> pattern of offending against victims of a particular ethnicity</w:t>
      </w:r>
      <w:r w:rsidR="001D5916" w:rsidRPr="00481543">
        <w:rPr>
          <w:rStyle w:val="FootnoteReference"/>
          <w:sz w:val="16"/>
          <w:szCs w:val="22"/>
        </w:rPr>
        <w:footnoteReference w:id="84"/>
      </w:r>
      <w:r w:rsidR="001D5916" w:rsidRPr="00481543">
        <w:rPr>
          <w:szCs w:val="22"/>
        </w:rPr>
        <w:t xml:space="preserve"> or at a religious site</w:t>
      </w:r>
      <w:r>
        <w:rPr>
          <w:szCs w:val="22"/>
        </w:rPr>
        <w:t>.</w:t>
      </w:r>
      <w:r w:rsidR="001D5916" w:rsidRPr="00481543">
        <w:rPr>
          <w:rStyle w:val="FootnoteReference"/>
          <w:sz w:val="16"/>
          <w:szCs w:val="22"/>
        </w:rPr>
        <w:footnoteReference w:id="85"/>
      </w:r>
    </w:p>
    <w:p w14:paraId="6900DC5E" w14:textId="5241F7B8" w:rsidR="001D5916" w:rsidRPr="00481543" w:rsidRDefault="00484D87" w:rsidP="003E75B9">
      <w:pPr>
        <w:numPr>
          <w:ilvl w:val="3"/>
          <w:numId w:val="32"/>
        </w:numPr>
        <w:rPr>
          <w:szCs w:val="22"/>
        </w:rPr>
      </w:pPr>
      <w:r>
        <w:rPr>
          <w:szCs w:val="22"/>
        </w:rPr>
        <w:t>E</w:t>
      </w:r>
      <w:r w:rsidR="001D5916" w:rsidRPr="00481543">
        <w:rPr>
          <w:szCs w:val="22"/>
        </w:rPr>
        <w:t>vidence of established hostile views towards Muslims</w:t>
      </w:r>
      <w:r>
        <w:rPr>
          <w:szCs w:val="22"/>
        </w:rPr>
        <w:t>.</w:t>
      </w:r>
      <w:r w:rsidR="001D5916" w:rsidRPr="00481543">
        <w:rPr>
          <w:rStyle w:val="FootnoteReference"/>
          <w:sz w:val="16"/>
          <w:szCs w:val="22"/>
        </w:rPr>
        <w:footnoteReference w:id="86"/>
      </w:r>
      <w:r w:rsidR="001D5916" w:rsidRPr="00481543">
        <w:rPr>
          <w:szCs w:val="22"/>
        </w:rPr>
        <w:t xml:space="preserve"> </w:t>
      </w:r>
    </w:p>
    <w:p w14:paraId="6112E607" w14:textId="10184C28" w:rsidR="001D5916" w:rsidRPr="00481543" w:rsidRDefault="00484D87" w:rsidP="003E75B9">
      <w:pPr>
        <w:numPr>
          <w:ilvl w:val="3"/>
          <w:numId w:val="32"/>
        </w:numPr>
        <w:rPr>
          <w:szCs w:val="20"/>
        </w:rPr>
      </w:pPr>
      <w:r>
        <w:rPr>
          <w:szCs w:val="20"/>
        </w:rPr>
        <w:t>M</w:t>
      </w:r>
      <w:r w:rsidR="001D5916" w:rsidRPr="00481543">
        <w:rPr>
          <w:szCs w:val="20"/>
        </w:rPr>
        <w:t xml:space="preserve">embership of a white supremacist </w:t>
      </w:r>
      <w:r w:rsidR="00321BDD">
        <w:rPr>
          <w:szCs w:val="20"/>
        </w:rPr>
        <w:t>n</w:t>
      </w:r>
      <w:r w:rsidR="001D5916" w:rsidRPr="00481543">
        <w:rPr>
          <w:szCs w:val="20"/>
        </w:rPr>
        <w:t>eo-Nazi group.</w:t>
      </w:r>
      <w:r w:rsidR="001D5916" w:rsidRPr="00481543">
        <w:rPr>
          <w:rStyle w:val="FootnoteReference"/>
          <w:sz w:val="20"/>
          <w:szCs w:val="20"/>
        </w:rPr>
        <w:footnoteReference w:id="87"/>
      </w:r>
    </w:p>
    <w:p w14:paraId="2D0F7941" w14:textId="77777777" w:rsidR="001D5916" w:rsidRPr="006C0A43" w:rsidRDefault="001D5916" w:rsidP="001D5916">
      <w:pPr>
        <w:pStyle w:val="Heading4"/>
      </w:pPr>
      <w:r>
        <w:t xml:space="preserve">Effect of the aggravating factor on sentences </w:t>
      </w:r>
    </w:p>
    <w:p w14:paraId="45AB7CDE" w14:textId="0D215044" w:rsidR="001D5916" w:rsidRDefault="001D5916" w:rsidP="001D5916">
      <w:pPr>
        <w:pStyle w:val="BodyText"/>
        <w:numPr>
          <w:ilvl w:val="1"/>
          <w:numId w:val="15"/>
        </w:numPr>
        <w:tabs>
          <w:tab w:val="left" w:pos="709"/>
          <w:tab w:val="num" w:pos="5416"/>
        </w:tabs>
        <w:spacing w:after="120"/>
      </w:pPr>
      <w:r>
        <w:t>The courts generally consider all aggravating factors relating to the seriousness of an offence together when deciding on</w:t>
      </w:r>
      <w:r w:rsidRPr="00BC167D">
        <w:t xml:space="preserve"> the appropriate starting point for the sentence</w:t>
      </w:r>
      <w:r>
        <w:t xml:space="preserve"> (see Chapter </w:t>
      </w:r>
      <w:r w:rsidR="00AE5E91">
        <w:t>7</w:t>
      </w:r>
      <w:r>
        <w:t xml:space="preserve"> for further detail).</w:t>
      </w:r>
      <w:r w:rsidRPr="00BC167D">
        <w:t xml:space="preserve"> </w:t>
      </w:r>
      <w:r>
        <w:t>The court does not usually state how much an individual factor (such as hostile motivation) has affected</w:t>
      </w:r>
      <w:r w:rsidRPr="00BC167D">
        <w:t xml:space="preserve"> </w:t>
      </w:r>
      <w:r>
        <w:t>the starting point</w:t>
      </w:r>
      <w:r w:rsidRPr="00BC167D">
        <w:t>.</w:t>
      </w:r>
      <w:r>
        <w:rPr>
          <w:rStyle w:val="FootnoteReference"/>
        </w:rPr>
        <w:footnoteReference w:id="88"/>
      </w:r>
      <w:r>
        <w:t xml:space="preserve"> This makes it difficult to draw conclusions about the weight the courts give to hostile motivation. </w:t>
      </w:r>
    </w:p>
    <w:p w14:paraId="5EE22AB6" w14:textId="3DC8D7B3" w:rsidR="001D5916" w:rsidRDefault="001D5916" w:rsidP="001D5916">
      <w:pPr>
        <w:pStyle w:val="BodyText"/>
        <w:numPr>
          <w:ilvl w:val="1"/>
          <w:numId w:val="15"/>
        </w:numPr>
        <w:tabs>
          <w:tab w:val="left" w:pos="709"/>
          <w:tab w:val="num" w:pos="5416"/>
        </w:tabs>
        <w:spacing w:after="120"/>
      </w:pPr>
      <w:r>
        <w:t xml:space="preserve">It is likely that the weight given to the </w:t>
      </w:r>
      <w:r w:rsidR="00986008">
        <w:t>hostility</w:t>
      </w:r>
      <w:r>
        <w:t xml:space="preserve"> aggravating factor differs depending on the circumstances of the case. For example, clear targeting of victims on ideological grounds </w:t>
      </w:r>
      <w:r w:rsidR="00F01076">
        <w:t>may be given greater</w:t>
      </w:r>
      <w:r>
        <w:t xml:space="preserve"> weight than an expression of hostility that may not reflect the offender’s main motivation for the offending.</w:t>
      </w:r>
      <w:r>
        <w:rPr>
          <w:rStyle w:val="FootnoteReference"/>
        </w:rPr>
        <w:footnoteReference w:id="89"/>
      </w:r>
    </w:p>
    <w:p w14:paraId="258D6EB2" w14:textId="77777777" w:rsidR="001D5916" w:rsidRDefault="001D5916" w:rsidP="001D5916">
      <w:pPr>
        <w:pStyle w:val="Heading4"/>
      </w:pPr>
      <w:r>
        <w:t>How often the aggravating factor is applied</w:t>
      </w:r>
    </w:p>
    <w:p w14:paraId="3DDC6FB1" w14:textId="007A17F9" w:rsidR="001D5916" w:rsidRDefault="001D5916" w:rsidP="001D5916">
      <w:pPr>
        <w:pStyle w:val="BodyText"/>
        <w:numPr>
          <w:ilvl w:val="1"/>
          <w:numId w:val="15"/>
        </w:numPr>
        <w:tabs>
          <w:tab w:val="left" w:pos="709"/>
          <w:tab w:val="num" w:pos="5416"/>
        </w:tabs>
        <w:spacing w:after="120"/>
      </w:pPr>
      <w:r>
        <w:t xml:space="preserve">We do not know how many times the courts have applied the </w:t>
      </w:r>
      <w:r w:rsidR="00132398">
        <w:t>hostility</w:t>
      </w:r>
      <w:r>
        <w:t xml:space="preserve"> aggravating factor</w:t>
      </w:r>
      <w:r w:rsidRPr="005A4905">
        <w:t>. Neither Police nor Ministry of Justice data</w:t>
      </w:r>
      <w:r>
        <w:t xml:space="preserve"> systems record the factors taken into account at sentencing, including hostile motivation. </w:t>
      </w:r>
    </w:p>
    <w:p w14:paraId="4CB5A8A6" w14:textId="12492E7B" w:rsidR="001D5916" w:rsidRDefault="001D5916" w:rsidP="001D5916">
      <w:pPr>
        <w:pStyle w:val="BodyText"/>
        <w:numPr>
          <w:ilvl w:val="1"/>
          <w:numId w:val="15"/>
        </w:numPr>
        <w:tabs>
          <w:tab w:val="left" w:pos="709"/>
          <w:tab w:val="num" w:pos="5416"/>
        </w:tabs>
        <w:spacing w:after="120"/>
      </w:pPr>
      <w:r>
        <w:t xml:space="preserve">We have identified </w:t>
      </w:r>
      <w:r w:rsidRPr="002D08BC">
        <w:t>29 cases</w:t>
      </w:r>
      <w:r>
        <w:t xml:space="preserve"> in which the </w:t>
      </w:r>
      <w:r w:rsidR="00D946AB">
        <w:t>hostility</w:t>
      </w:r>
      <w:r>
        <w:t xml:space="preserve"> aggravating factor appears to have been applied at sentencing, but this is likely to be only a small proportion of the actual number.</w:t>
      </w:r>
      <w:r>
        <w:rPr>
          <w:rStyle w:val="FootnoteReference"/>
        </w:rPr>
        <w:footnoteReference w:id="90"/>
      </w:r>
      <w:r>
        <w:t xml:space="preserve"> A significant proportion of hate crime offenders are likely to be sentenced in the District </w:t>
      </w:r>
      <w:r w:rsidRPr="004E2956">
        <w:t>Court</w:t>
      </w:r>
      <w:r>
        <w:t>, as</w:t>
      </w:r>
      <w:r w:rsidRPr="004E2956">
        <w:t xml:space="preserve"> many of the offences </w:t>
      </w:r>
      <w:r w:rsidR="00CA23D0">
        <w:t>that tend to be motivated by hostility</w:t>
      </w:r>
      <w:r w:rsidRPr="004E2956">
        <w:t xml:space="preserve"> are relatively low-level (such as public order offences and property damage). </w:t>
      </w:r>
      <w:r>
        <w:t xml:space="preserve">As most District Court decisions and sentencing notes are not published online and will only sometimes be referred to in media reporting, it is difficult to accurately assess how often the aggravating factor is being applied.  </w:t>
      </w:r>
    </w:p>
    <w:p w14:paraId="7013CFDA" w14:textId="77777777" w:rsidR="001D5916" w:rsidRDefault="001D5916" w:rsidP="001D5916">
      <w:pPr>
        <w:pStyle w:val="Heading4"/>
      </w:pPr>
      <w:r>
        <w:t>Types of hate crime recognised in case law</w:t>
      </w:r>
    </w:p>
    <w:p w14:paraId="4319DF72" w14:textId="11773129" w:rsidR="001D5916" w:rsidRDefault="001D5916" w:rsidP="001D5916">
      <w:pPr>
        <w:pStyle w:val="BodyText"/>
        <w:numPr>
          <w:ilvl w:val="1"/>
          <w:numId w:val="15"/>
        </w:numPr>
        <w:tabs>
          <w:tab w:val="left" w:pos="709"/>
          <w:tab w:val="num" w:pos="5416"/>
        </w:tabs>
        <w:spacing w:after="120"/>
      </w:pPr>
      <w:r>
        <w:t>Consistent with the Police data discussed above, hostility based on race, colour or nationality were by far the most common grounds for applying the</w:t>
      </w:r>
      <w:r w:rsidR="00701CE1">
        <w:t xml:space="preserve"> </w:t>
      </w:r>
      <w:r w:rsidR="00B43EFA">
        <w:t>hostility</w:t>
      </w:r>
      <w:r>
        <w:t xml:space="preserve"> aggravating factor in sentencing decisions we located. Other cases involved hostility based on sexual orientation, religion, gender identity, sex and gang membership.</w:t>
      </w:r>
      <w:r w:rsidR="00CE2334">
        <w:rPr>
          <w:rStyle w:val="FootnoteReference"/>
        </w:rPr>
        <w:footnoteReference w:id="91"/>
      </w:r>
      <w:r w:rsidDel="0060616D">
        <w:t xml:space="preserve"> </w:t>
      </w:r>
    </w:p>
    <w:p w14:paraId="529DFEFD" w14:textId="28C7DE3B" w:rsidR="001D5916" w:rsidRDefault="001D5916" w:rsidP="001D5916">
      <w:pPr>
        <w:pStyle w:val="BodyText"/>
        <w:numPr>
          <w:ilvl w:val="1"/>
          <w:numId w:val="15"/>
        </w:numPr>
        <w:tabs>
          <w:tab w:val="left" w:pos="709"/>
          <w:tab w:val="num" w:pos="5416"/>
        </w:tabs>
        <w:spacing w:after="120"/>
      </w:pPr>
      <w:r>
        <w:t xml:space="preserve">None of the cases we found involved hostility based on age or disability, which are also given as examples of enduring common characteristics in the Sentencing Act. The victim’s age or disability are, however, </w:t>
      </w:r>
      <w:r w:rsidR="00DA7B6A">
        <w:t xml:space="preserve">sometimes </w:t>
      </w:r>
      <w:r>
        <w:t>taken into account under a different aggravating factor that focuses on the vulnerability of the victim.</w:t>
      </w:r>
      <w:r>
        <w:rPr>
          <w:rStyle w:val="FootnoteReference"/>
        </w:rPr>
        <w:footnoteReference w:id="92"/>
      </w:r>
      <w:r>
        <w:t xml:space="preserve">  </w:t>
      </w:r>
    </w:p>
    <w:p w14:paraId="124C234E" w14:textId="5B506D81" w:rsidR="001D5916" w:rsidRDefault="001D5916" w:rsidP="001D5916">
      <w:pPr>
        <w:pStyle w:val="BodyText"/>
        <w:numPr>
          <w:ilvl w:val="1"/>
          <w:numId w:val="15"/>
        </w:numPr>
        <w:tabs>
          <w:tab w:val="left" w:pos="709"/>
          <w:tab w:val="num" w:pos="5416"/>
        </w:tabs>
        <w:spacing w:after="120"/>
      </w:pPr>
      <w:r>
        <w:t>The hate crime cases we identified involved the offences</w:t>
      </w:r>
      <w:r w:rsidR="005C62A0">
        <w:t xml:space="preserve"> of</w:t>
      </w:r>
      <w:r>
        <w:t xml:space="preserve">: </w:t>
      </w:r>
    </w:p>
    <w:p w14:paraId="0DF31053" w14:textId="77777777" w:rsidR="001D5916" w:rsidRPr="00481543" w:rsidRDefault="001D5916" w:rsidP="003E75B9">
      <w:pPr>
        <w:numPr>
          <w:ilvl w:val="3"/>
          <w:numId w:val="33"/>
        </w:numPr>
        <w:rPr>
          <w:szCs w:val="22"/>
        </w:rPr>
      </w:pPr>
      <w:r w:rsidRPr="00481543">
        <w:rPr>
          <w:szCs w:val="22"/>
        </w:rPr>
        <w:t>murder, attempted murder and manslaughter;</w:t>
      </w:r>
    </w:p>
    <w:p w14:paraId="40C60157" w14:textId="3785D4BE" w:rsidR="001D5916" w:rsidRPr="00481543" w:rsidRDefault="001D5916" w:rsidP="003E75B9">
      <w:pPr>
        <w:numPr>
          <w:ilvl w:val="3"/>
          <w:numId w:val="33"/>
        </w:numPr>
        <w:rPr>
          <w:szCs w:val="22"/>
        </w:rPr>
      </w:pPr>
      <w:r w:rsidRPr="00481543">
        <w:rPr>
          <w:szCs w:val="22"/>
        </w:rPr>
        <w:t>assault, wounding and injury;</w:t>
      </w:r>
    </w:p>
    <w:p w14:paraId="072E417F" w14:textId="77777777" w:rsidR="001D5916" w:rsidRPr="00481543" w:rsidRDefault="001D5916" w:rsidP="003E75B9">
      <w:pPr>
        <w:numPr>
          <w:ilvl w:val="3"/>
          <w:numId w:val="33"/>
        </w:numPr>
        <w:rPr>
          <w:szCs w:val="22"/>
        </w:rPr>
      </w:pPr>
      <w:r w:rsidRPr="00481543">
        <w:rPr>
          <w:szCs w:val="22"/>
        </w:rPr>
        <w:t>intimidation, unlawful assembly and threatening acts;</w:t>
      </w:r>
    </w:p>
    <w:p w14:paraId="14936547" w14:textId="77777777" w:rsidR="001D5916" w:rsidRPr="00481543" w:rsidRDefault="001D5916" w:rsidP="003E75B9">
      <w:pPr>
        <w:numPr>
          <w:ilvl w:val="3"/>
          <w:numId w:val="33"/>
        </w:numPr>
        <w:rPr>
          <w:szCs w:val="22"/>
        </w:rPr>
      </w:pPr>
      <w:r w:rsidRPr="00481543">
        <w:rPr>
          <w:szCs w:val="22"/>
        </w:rPr>
        <w:t>carrying out a terrorist act;</w:t>
      </w:r>
    </w:p>
    <w:p w14:paraId="75A11AD9" w14:textId="77777777" w:rsidR="001D5916" w:rsidRPr="00481543" w:rsidRDefault="001D5916" w:rsidP="003E75B9">
      <w:pPr>
        <w:numPr>
          <w:ilvl w:val="3"/>
          <w:numId w:val="33"/>
        </w:numPr>
        <w:rPr>
          <w:szCs w:val="22"/>
        </w:rPr>
      </w:pPr>
      <w:r w:rsidRPr="00481543">
        <w:rPr>
          <w:szCs w:val="22"/>
        </w:rPr>
        <w:t>kidnapping;</w:t>
      </w:r>
    </w:p>
    <w:p w14:paraId="408FF0AA" w14:textId="77777777" w:rsidR="001D5916" w:rsidRPr="00481543" w:rsidRDefault="001D5916" w:rsidP="003E75B9">
      <w:pPr>
        <w:numPr>
          <w:ilvl w:val="3"/>
          <w:numId w:val="33"/>
        </w:numPr>
        <w:rPr>
          <w:szCs w:val="22"/>
        </w:rPr>
      </w:pPr>
      <w:r w:rsidRPr="00481543">
        <w:rPr>
          <w:szCs w:val="22"/>
        </w:rPr>
        <w:t>robbery and burglary;</w:t>
      </w:r>
    </w:p>
    <w:p w14:paraId="6D109115" w14:textId="77777777" w:rsidR="001D5916" w:rsidRPr="00481543" w:rsidRDefault="001D5916" w:rsidP="003E75B9">
      <w:pPr>
        <w:numPr>
          <w:ilvl w:val="3"/>
          <w:numId w:val="33"/>
        </w:numPr>
        <w:rPr>
          <w:szCs w:val="22"/>
        </w:rPr>
      </w:pPr>
      <w:r w:rsidRPr="00481543">
        <w:rPr>
          <w:szCs w:val="22"/>
        </w:rPr>
        <w:t>possession and use of explosives;</w:t>
      </w:r>
    </w:p>
    <w:p w14:paraId="2F9ABEFA" w14:textId="77777777" w:rsidR="001D5916" w:rsidRPr="00481543" w:rsidRDefault="001D5916" w:rsidP="003E75B9">
      <w:pPr>
        <w:numPr>
          <w:ilvl w:val="3"/>
          <w:numId w:val="33"/>
        </w:numPr>
        <w:rPr>
          <w:szCs w:val="22"/>
        </w:rPr>
      </w:pPr>
      <w:r w:rsidRPr="00481543">
        <w:rPr>
          <w:szCs w:val="22"/>
        </w:rPr>
        <w:t>distributing objectionable publications;</w:t>
      </w:r>
    </w:p>
    <w:p w14:paraId="5E9D4978" w14:textId="48FDAE71" w:rsidR="001D5916" w:rsidRPr="00481543" w:rsidRDefault="001D5916" w:rsidP="003E75B9">
      <w:pPr>
        <w:numPr>
          <w:ilvl w:val="3"/>
          <w:numId w:val="33"/>
        </w:numPr>
        <w:rPr>
          <w:szCs w:val="22"/>
        </w:rPr>
      </w:pPr>
      <w:r w:rsidRPr="00481543">
        <w:rPr>
          <w:szCs w:val="22"/>
        </w:rPr>
        <w:t>sexual violation;</w:t>
      </w:r>
      <w:r w:rsidR="00D22489">
        <w:rPr>
          <w:szCs w:val="22"/>
        </w:rPr>
        <w:t xml:space="preserve"> and</w:t>
      </w:r>
    </w:p>
    <w:p w14:paraId="531879D4" w14:textId="77777777" w:rsidR="001D5916" w:rsidRPr="00481543" w:rsidRDefault="001D5916" w:rsidP="003E75B9">
      <w:pPr>
        <w:numPr>
          <w:ilvl w:val="3"/>
          <w:numId w:val="33"/>
        </w:numPr>
        <w:rPr>
          <w:szCs w:val="22"/>
        </w:rPr>
      </w:pPr>
      <w:r w:rsidRPr="00481543">
        <w:rPr>
          <w:szCs w:val="22"/>
        </w:rPr>
        <w:t>attempt to corrupt a juror.</w:t>
      </w:r>
    </w:p>
    <w:p w14:paraId="6D068FCE" w14:textId="4A67ACB3" w:rsidR="001D5916" w:rsidRPr="00363C2A" w:rsidRDefault="001D5916" w:rsidP="001D5916">
      <w:pPr>
        <w:pStyle w:val="BodyText"/>
        <w:numPr>
          <w:ilvl w:val="1"/>
          <w:numId w:val="15"/>
        </w:numPr>
        <w:tabs>
          <w:tab w:val="left" w:pos="709"/>
          <w:tab w:val="num" w:pos="5416"/>
        </w:tabs>
        <w:spacing w:after="120"/>
      </w:pPr>
      <w:r>
        <w:t>As explained above, less</w:t>
      </w:r>
      <w:r w:rsidR="00630C33">
        <w:t>-</w:t>
      </w:r>
      <w:r>
        <w:t>serious offending is prosecuted in the District Court, where decisions and sentencing notes are not routinely published online. This</w:t>
      </w:r>
      <w:r w:rsidDel="00871110">
        <w:t xml:space="preserve"> </w:t>
      </w:r>
      <w:r>
        <w:t>includes offences under the Summary Offences Act 1981 such as offensive behaviour or language, wilful damage and graffiti vandalism. This means that these offences were not well</w:t>
      </w:r>
      <w:r w:rsidR="00FE2EFB">
        <w:t xml:space="preserve"> </w:t>
      </w:r>
      <w:r>
        <w:t xml:space="preserve">represented in our case searches. Accordingly, we do not know whether and how often the courts have applied the hostility aggravating factor to these types of offences. </w:t>
      </w:r>
    </w:p>
    <w:p w14:paraId="2FC7D137" w14:textId="18DED969" w:rsidR="001D5916" w:rsidRPr="00220314" w:rsidRDefault="001D5916" w:rsidP="00862C8C">
      <w:pPr>
        <w:pStyle w:val="Heading3"/>
      </w:pPr>
      <w:r w:rsidRPr="00220314">
        <w:t>Restorative justice</w:t>
      </w:r>
    </w:p>
    <w:p w14:paraId="1FB1FCBB" w14:textId="1D259ED4" w:rsidR="001D5916" w:rsidRPr="00220314" w:rsidRDefault="001D5916" w:rsidP="001D5916">
      <w:pPr>
        <w:pStyle w:val="BodyText"/>
        <w:numPr>
          <w:ilvl w:val="1"/>
          <w:numId w:val="15"/>
        </w:numPr>
      </w:pPr>
      <w:r w:rsidRPr="00220314">
        <w:t xml:space="preserve">As with other types of criminal offending, restorative justice may be available to address </w:t>
      </w:r>
      <w:r>
        <w:t>hostility-motivated</w:t>
      </w:r>
      <w:r w:rsidRPr="00220314">
        <w:t xml:space="preserve"> offending.</w:t>
      </w:r>
      <w:r w:rsidRPr="00220314">
        <w:rPr>
          <w:rStyle w:val="FootnoteReference"/>
        </w:rPr>
        <w:footnoteReference w:id="93"/>
      </w:r>
      <w:r w:rsidRPr="00220314">
        <w:t xml:space="preserve"> A restorative justice conference is an informal, facilitated meeting between a victim, offender, support people and any other approved people such as community representatives or interpreters. It provides an opportunity for the offender to take responsibility, apologise to the victim, seek to address the harm caused and find ways to prevent reoffending. </w:t>
      </w:r>
      <w:r>
        <w:t>Restorative justice will not always be available or appropriate — for example, the offender must accept responsibility and both parties must agree to participate.</w:t>
      </w:r>
      <w:r>
        <w:rPr>
          <w:rStyle w:val="FootnoteReference"/>
        </w:rPr>
        <w:footnoteReference w:id="94"/>
      </w:r>
      <w:r>
        <w:t xml:space="preserve"> </w:t>
      </w:r>
    </w:p>
    <w:p w14:paraId="0A394BEF" w14:textId="503E33F1" w:rsidR="001D5916" w:rsidRPr="00220314" w:rsidRDefault="0047588E" w:rsidP="001D5916">
      <w:pPr>
        <w:pStyle w:val="BodyText"/>
        <w:numPr>
          <w:ilvl w:val="1"/>
          <w:numId w:val="15"/>
        </w:numPr>
      </w:pPr>
      <w:r>
        <w:t>Several</w:t>
      </w:r>
      <w:r w:rsidR="001D5916" w:rsidRPr="00220314">
        <w:t xml:space="preserve"> submitters referred to the potential for restorative justice to provide effective remedies to victims and to address some of the underlying causes of </w:t>
      </w:r>
      <w:r w:rsidR="001D5916" w:rsidRPr="00220314" w:rsidDel="00D039B9">
        <w:t>hate</w:t>
      </w:r>
      <w:r w:rsidR="001D5916">
        <w:t xml:space="preserve"> crime</w:t>
      </w:r>
      <w:r w:rsidR="001D5916" w:rsidRPr="00220314">
        <w:t>.</w:t>
      </w:r>
      <w:r w:rsidR="001D5916" w:rsidRPr="00220314">
        <w:rPr>
          <w:rStyle w:val="FootnoteReference"/>
        </w:rPr>
        <w:footnoteReference w:id="95"/>
      </w:r>
      <w:r w:rsidR="001D5916" w:rsidRPr="00220314">
        <w:t xml:space="preserve"> Members of our Technical Advisory Group also noted that restorative justice is an option. </w:t>
      </w:r>
    </w:p>
    <w:p w14:paraId="5322B390" w14:textId="53D8AB92" w:rsidR="001D5916" w:rsidRPr="00220314" w:rsidRDefault="001D5916" w:rsidP="001D5916">
      <w:pPr>
        <w:pStyle w:val="BodyText"/>
        <w:numPr>
          <w:ilvl w:val="1"/>
          <w:numId w:val="15"/>
        </w:numPr>
      </w:pPr>
      <w:r w:rsidRPr="00220314">
        <w:t xml:space="preserve">Given the lack of data generally on </w:t>
      </w:r>
      <w:r>
        <w:t>hostility-motivated</w:t>
      </w:r>
      <w:r w:rsidRPr="00220314">
        <w:t xml:space="preserve"> offending, it is difficult to assess how often restorative justice is being used. </w:t>
      </w:r>
      <w:r>
        <w:t xml:space="preserve">We are aware of one hate crime case </w:t>
      </w:r>
      <w:r w:rsidR="003F6C15">
        <w:t xml:space="preserve">in which </w:t>
      </w:r>
      <w:r>
        <w:t>a restorative justice conference occurred and was taken into account at sentencing.</w:t>
      </w:r>
      <w:r>
        <w:rPr>
          <w:rStyle w:val="FootnoteReference"/>
        </w:rPr>
        <w:footnoteReference w:id="96"/>
      </w:r>
      <w:r>
        <w:t xml:space="preserve"> </w:t>
      </w:r>
    </w:p>
    <w:p w14:paraId="754F8DCD" w14:textId="77777777" w:rsidR="001D5916" w:rsidRDefault="001D5916" w:rsidP="001D5916">
      <w:pPr>
        <w:pStyle w:val="Heading3"/>
      </w:pPr>
      <w:r>
        <w:t>Rehabilitating hate crime offenders</w:t>
      </w:r>
    </w:p>
    <w:p w14:paraId="07FFE04C" w14:textId="77777777" w:rsidR="001D5916" w:rsidRPr="009C7100" w:rsidRDefault="001D5916" w:rsidP="001D5916">
      <w:pPr>
        <w:pStyle w:val="Heading4"/>
      </w:pPr>
      <w:r>
        <w:t>Rehabilitative support offered by Corrections</w:t>
      </w:r>
    </w:p>
    <w:p w14:paraId="7E4C6998" w14:textId="77777777" w:rsidR="001D5916" w:rsidRDefault="001D5916" w:rsidP="00EA415E">
      <w:pPr>
        <w:pStyle w:val="BodyText"/>
        <w:numPr>
          <w:ilvl w:val="1"/>
          <w:numId w:val="15"/>
        </w:numPr>
      </w:pPr>
      <w:r>
        <w:t>Corrections manages all people who are serving sentences for criminal offending, whether they are subject to imprisonment or a community-based sentence. One of its roles is to assist in the rehabilitation of offenders through the provision of programmes and other interventions.</w:t>
      </w:r>
      <w:r>
        <w:rPr>
          <w:rStyle w:val="FootnoteReference"/>
        </w:rPr>
        <w:footnoteReference w:id="97"/>
      </w:r>
      <w:r>
        <w:t xml:space="preserve"> </w:t>
      </w:r>
    </w:p>
    <w:p w14:paraId="547BEFF1" w14:textId="75BEDA98" w:rsidR="001D5916" w:rsidRDefault="00007902" w:rsidP="00EA415E">
      <w:pPr>
        <w:pStyle w:val="BodyText"/>
        <w:numPr>
          <w:ilvl w:val="1"/>
          <w:numId w:val="15"/>
        </w:numPr>
      </w:pPr>
      <w:r>
        <w:t xml:space="preserve">Corrections </w:t>
      </w:r>
      <w:r w:rsidR="00696FCA">
        <w:t>told us</w:t>
      </w:r>
      <w:r>
        <w:t xml:space="preserve"> that t</w:t>
      </w:r>
      <w:r w:rsidR="001D5916">
        <w:t>he rehabilitative support available to offenders depends on a number of factors, including their overall risk of reoffending and (re)imprisonment, any specific features of their offending (such as violence), the availability of programmes at the offender’s location and their willingness or ability to participate in rehabilitation. Rehabilitation</w:t>
      </w:r>
      <w:r w:rsidR="001D5916" w:rsidRPr="000B2F8D">
        <w:t xml:space="preserve"> is </w:t>
      </w:r>
      <w:r w:rsidR="001D5916">
        <w:t xml:space="preserve">also </w:t>
      </w:r>
      <w:r w:rsidR="001D5916" w:rsidRPr="000B2F8D">
        <w:t xml:space="preserve">currently limited </w:t>
      </w:r>
      <w:r w:rsidR="001D5916">
        <w:t>by</w:t>
      </w:r>
      <w:r w:rsidR="001D5916" w:rsidRPr="000B2F8D">
        <w:t xml:space="preserve"> ongoing staff shortages (including shortages of </w:t>
      </w:r>
      <w:r w:rsidR="001D5916">
        <w:t>C</w:t>
      </w:r>
      <w:r w:rsidR="001D5916" w:rsidRPr="000B2F8D">
        <w:t xml:space="preserve">orrections officers, psychologists and programme facilitators). </w:t>
      </w:r>
    </w:p>
    <w:p w14:paraId="31B0D6FB" w14:textId="77777777" w:rsidR="001D5916" w:rsidRDefault="001D5916" w:rsidP="00EA415E">
      <w:pPr>
        <w:pStyle w:val="BodyText"/>
        <w:numPr>
          <w:ilvl w:val="1"/>
          <w:numId w:val="15"/>
        </w:numPr>
      </w:pPr>
      <w:r>
        <w:t>Corrections provides offence-focused rehabilitative programmes that aim to change</w:t>
      </w:r>
      <w:r w:rsidRPr="00902E67">
        <w:t xml:space="preserve"> the attitudes and behaviours that contributed to an individual’s offending.</w:t>
      </w:r>
      <w:r>
        <w:t xml:space="preserve"> These include general rehabilitation programmes for offenders with a medium risk of reoffending as well as specific programmes for high-risk violent and sexual offenders, female offenders and youth offenders. There is also a general programme grounded in te ao Māori (</w:t>
      </w:r>
      <w:r w:rsidRPr="00902E67">
        <w:t>Mauri Tū Pae</w:t>
      </w:r>
      <w:r>
        <w:t>). O</w:t>
      </w:r>
      <w:r w:rsidRPr="0019750F">
        <w:t>ffenders may receive individual treatment</w:t>
      </w:r>
      <w:r>
        <w:t xml:space="preserve"> by a psychologist</w:t>
      </w:r>
      <w:r w:rsidRPr="0019750F">
        <w:t xml:space="preserve"> if </w:t>
      </w:r>
      <w:r>
        <w:t>their rehabilitative needs</w:t>
      </w:r>
      <w:r w:rsidRPr="0019750F">
        <w:t xml:space="preserve"> cannot be adequately addressed through group progra</w:t>
      </w:r>
      <w:r>
        <w:t>mm</w:t>
      </w:r>
      <w:r w:rsidRPr="0019750F">
        <w:t>es.</w:t>
      </w:r>
    </w:p>
    <w:p w14:paraId="68341A45" w14:textId="4A21E6D4" w:rsidR="001D5916" w:rsidRDefault="001D5916" w:rsidP="00EA415E">
      <w:pPr>
        <w:pStyle w:val="BodyText"/>
        <w:numPr>
          <w:ilvl w:val="1"/>
          <w:numId w:val="15"/>
        </w:numPr>
      </w:pPr>
      <w:r>
        <w:t>Rehabilitative programmes are usually only available to offenders who are assessed as having a medium or high risk of reoffending and (re)imprisonment. F</w:t>
      </w:r>
      <w:r w:rsidRPr="00B65220">
        <w:t xml:space="preserve">ocusing rehabilitative efforts on offenders </w:t>
      </w:r>
      <w:r>
        <w:t xml:space="preserve">assessed to pose a </w:t>
      </w:r>
      <w:r w:rsidRPr="00B65220">
        <w:t>low</w:t>
      </w:r>
      <w:r>
        <w:t xml:space="preserve"> </w:t>
      </w:r>
      <w:r w:rsidRPr="00B65220">
        <w:t>risk</w:t>
      </w:r>
      <w:r>
        <w:t xml:space="preserve"> of reoffending is considered to</w:t>
      </w:r>
      <w:r w:rsidRPr="00B65220">
        <w:t xml:space="preserve"> be counter</w:t>
      </w:r>
      <w:r w:rsidR="009B5373">
        <w:t>-</w:t>
      </w:r>
      <w:r w:rsidRPr="00B65220">
        <w:t xml:space="preserve">productive. For example, </w:t>
      </w:r>
      <w:r w:rsidR="00D83802">
        <w:t>these offenders</w:t>
      </w:r>
      <w:r w:rsidR="00D83802" w:rsidRPr="00B65220">
        <w:t xml:space="preserve"> </w:t>
      </w:r>
      <w:r w:rsidRPr="00B65220">
        <w:t xml:space="preserve">may be </w:t>
      </w:r>
      <w:r>
        <w:t>negatively influenced</w:t>
      </w:r>
      <w:r w:rsidRPr="00B65220">
        <w:t xml:space="preserve"> if they are placed into a group </w:t>
      </w:r>
      <w:r>
        <w:t>of other</w:t>
      </w:r>
      <w:r w:rsidRPr="00B65220">
        <w:t xml:space="preserve"> offenders with anti-social behaviour.</w:t>
      </w:r>
      <w:r>
        <w:t xml:space="preserve">  </w:t>
      </w:r>
    </w:p>
    <w:p w14:paraId="31E0C706" w14:textId="0C011B80" w:rsidR="001D5916" w:rsidRDefault="001D5916" w:rsidP="00EA415E">
      <w:pPr>
        <w:pStyle w:val="BodyText"/>
        <w:numPr>
          <w:ilvl w:val="1"/>
          <w:numId w:val="15"/>
        </w:numPr>
      </w:pPr>
      <w:r>
        <w:t>Low-risk offenders may be referred</w:t>
      </w:r>
      <w:r w:rsidRPr="00B65220">
        <w:t xml:space="preserve"> for a psychological assessment or to a community-based service</w:t>
      </w:r>
      <w:r>
        <w:t xml:space="preserve"> if there are concerns about pervasive issues driving their behaviour</w:t>
      </w:r>
      <w:r w:rsidRPr="00B65220">
        <w:t>.</w:t>
      </w:r>
      <w:r>
        <w:t xml:space="preserve"> </w:t>
      </w:r>
      <w:r w:rsidRPr="00B65220">
        <w:t>Examples of community-based services include social cohesion and connectedness groups for youth offenders and He Aranga Ake</w:t>
      </w:r>
      <w:r>
        <w:t>, a</w:t>
      </w:r>
      <w:r w:rsidRPr="00B65220">
        <w:t xml:space="preserve"> multi-agency disengagement framework</w:t>
      </w:r>
      <w:r w:rsidR="001A27B4">
        <w:t xml:space="preserve"> aimed at preventing extremist or terrorist harm.</w:t>
      </w:r>
      <w:r>
        <w:rPr>
          <w:rStyle w:val="FootnoteReference"/>
        </w:rPr>
        <w:footnoteReference w:id="98"/>
      </w:r>
    </w:p>
    <w:p w14:paraId="173FF19F" w14:textId="77777777" w:rsidR="001D5916" w:rsidRPr="00B65220" w:rsidRDefault="001D5916" w:rsidP="001D5916">
      <w:pPr>
        <w:pStyle w:val="Heading4"/>
      </w:pPr>
      <w:r>
        <w:t>How hostile motivation impacts rehabilitation</w:t>
      </w:r>
    </w:p>
    <w:p w14:paraId="0B251C55" w14:textId="088D1ED8" w:rsidR="001D5916" w:rsidRPr="002F3541" w:rsidRDefault="001D5916" w:rsidP="00640763">
      <w:pPr>
        <w:pStyle w:val="BodyText"/>
        <w:numPr>
          <w:ilvl w:val="1"/>
          <w:numId w:val="15"/>
        </w:numPr>
      </w:pPr>
      <w:r w:rsidRPr="002F3541">
        <w:t>Corrections does not have</w:t>
      </w:r>
      <w:r>
        <w:t xml:space="preserve"> specific</w:t>
      </w:r>
      <w:r w:rsidRPr="002F3541">
        <w:t xml:space="preserve"> rehabilitative programmes </w:t>
      </w:r>
      <w:r>
        <w:t>for</w:t>
      </w:r>
      <w:r w:rsidRPr="002F3541">
        <w:t xml:space="preserve"> hate crime offenders. </w:t>
      </w:r>
      <w:r>
        <w:t>It</w:t>
      </w:r>
      <w:r w:rsidRPr="002F3541">
        <w:t xml:space="preserve"> </w:t>
      </w:r>
      <w:r w:rsidR="00696FCA">
        <w:t>told us</w:t>
      </w:r>
      <w:r>
        <w:t xml:space="preserve"> there are</w:t>
      </w:r>
      <w:r w:rsidRPr="002F3541">
        <w:t xml:space="preserve"> several reasons for </w:t>
      </w:r>
      <w:r>
        <w:t>this:</w:t>
      </w:r>
    </w:p>
    <w:p w14:paraId="29BCABDE" w14:textId="77777777" w:rsidR="001D5916" w:rsidRPr="00A6278D" w:rsidRDefault="001D5916" w:rsidP="003E75B9">
      <w:pPr>
        <w:numPr>
          <w:ilvl w:val="3"/>
          <w:numId w:val="33"/>
        </w:numPr>
        <w:rPr>
          <w:szCs w:val="22"/>
        </w:rPr>
      </w:pPr>
      <w:r w:rsidRPr="00A6278D">
        <w:rPr>
          <w:szCs w:val="22"/>
        </w:rPr>
        <w:t xml:space="preserve">It is unlikely there would be enough offenders serving a sentence for </w:t>
      </w:r>
      <w:r>
        <w:rPr>
          <w:szCs w:val="22"/>
        </w:rPr>
        <w:t xml:space="preserve">hostility-motivated offending </w:t>
      </w:r>
      <w:r w:rsidRPr="00A6278D">
        <w:rPr>
          <w:szCs w:val="22"/>
        </w:rPr>
        <w:t>at any one time who could be grouped together safely (having regard to the nature of their beliefs and their individual needs).</w:t>
      </w:r>
    </w:p>
    <w:p w14:paraId="262EF33F" w14:textId="77777777" w:rsidR="004D72A5" w:rsidRDefault="001D5916" w:rsidP="004D72A5">
      <w:pPr>
        <w:numPr>
          <w:ilvl w:val="3"/>
          <w:numId w:val="32"/>
        </w:numPr>
        <w:rPr>
          <w:szCs w:val="22"/>
        </w:rPr>
      </w:pPr>
      <w:r w:rsidRPr="00A6278D">
        <w:rPr>
          <w:szCs w:val="22"/>
        </w:rPr>
        <w:t>Some offenders have specific needs or vulnerabilities (such as learning disabilities) that mean group-based treatment is not suitable for them. Individual treatment (or modified group treatment) may be more appropriate.</w:t>
      </w:r>
      <w:r w:rsidR="004D72A5">
        <w:rPr>
          <w:szCs w:val="22"/>
        </w:rPr>
        <w:tab/>
      </w:r>
    </w:p>
    <w:p w14:paraId="25227D9E" w14:textId="77777777" w:rsidR="00A82420" w:rsidRDefault="001D5916" w:rsidP="004D72A5">
      <w:pPr>
        <w:numPr>
          <w:ilvl w:val="3"/>
          <w:numId w:val="32"/>
        </w:numPr>
        <w:rPr>
          <w:szCs w:val="20"/>
        </w:rPr>
      </w:pPr>
      <w:r w:rsidRPr="004D72A5">
        <w:rPr>
          <w:szCs w:val="20"/>
        </w:rPr>
        <w:t xml:space="preserve">Rehabilitative programmes do not seek to challenge a person’s fundamental beliefs about ideology. They address the patterns of thought that contribute to offending (for example, that it is permissible to use violence to advance one’s beliefs) and how to manage emotions (such as anger or contempt). </w:t>
      </w:r>
    </w:p>
    <w:p w14:paraId="742F1EB0" w14:textId="18343002" w:rsidR="001D5916" w:rsidRPr="004D72A5" w:rsidRDefault="001D5916" w:rsidP="004D72A5">
      <w:pPr>
        <w:numPr>
          <w:ilvl w:val="3"/>
          <w:numId w:val="32"/>
        </w:numPr>
        <w:rPr>
          <w:szCs w:val="20"/>
        </w:rPr>
      </w:pPr>
      <w:r w:rsidRPr="004D72A5">
        <w:rPr>
          <w:szCs w:val="20"/>
        </w:rPr>
        <w:t>Existing rehabilitative programmes can already accommodate hate crime offenders.</w:t>
      </w:r>
    </w:p>
    <w:p w14:paraId="4EB93B59" w14:textId="238E69AD" w:rsidR="001D5916" w:rsidRDefault="001D5916" w:rsidP="00561F89">
      <w:pPr>
        <w:pStyle w:val="BodyText"/>
        <w:numPr>
          <w:ilvl w:val="1"/>
          <w:numId w:val="15"/>
        </w:numPr>
      </w:pPr>
      <w:r>
        <w:t xml:space="preserve">The </w:t>
      </w:r>
      <w:r w:rsidRPr="00561F89">
        <w:rPr>
          <w:szCs w:val="22"/>
        </w:rPr>
        <w:t>fact</w:t>
      </w:r>
      <w:r>
        <w:t xml:space="preserve"> that an offence was motivated by hostility may affect Corrections’ assessment of the offender’s risk of reoffending and their eligibility for rehabilitative programmes or individual treatment. Even if an offender is assessed as low</w:t>
      </w:r>
      <w:r w:rsidR="008F4347">
        <w:t xml:space="preserve"> </w:t>
      </w:r>
      <w:r>
        <w:t xml:space="preserve">risk, unusual features of their offending — such as hostile motivation — may prompt a more in-depth assessment of their rehabilitative needs. Depending on the outcome of that assessment, they may receive individual </w:t>
      </w:r>
      <w:r w:rsidR="008F4347">
        <w:t>support</w:t>
      </w:r>
      <w:r>
        <w:t>.</w:t>
      </w:r>
    </w:p>
    <w:p w14:paraId="3326B773" w14:textId="77777777" w:rsidR="001D5916" w:rsidRDefault="001D5916" w:rsidP="001D5916">
      <w:pPr>
        <w:pStyle w:val="Heading4"/>
      </w:pPr>
      <w:r>
        <w:t>How Corrections identifies hate crime offenders</w:t>
      </w:r>
    </w:p>
    <w:p w14:paraId="6F5882C1" w14:textId="77777777" w:rsidR="001D5916" w:rsidRDefault="001D5916" w:rsidP="00EA415E">
      <w:pPr>
        <w:pStyle w:val="BodyText"/>
        <w:numPr>
          <w:ilvl w:val="1"/>
          <w:numId w:val="15"/>
        </w:numPr>
      </w:pPr>
      <w:r>
        <w:t>Currently, Corrections is not automatically notified if offending has been identified by Police or the courts as a hate crime. It might, nevertheless, become aware that offending was motivated by hostility in several ways:</w:t>
      </w:r>
    </w:p>
    <w:p w14:paraId="319D06FF" w14:textId="6BE19C58" w:rsidR="001D5916" w:rsidRPr="00A6278D" w:rsidRDefault="001D5916" w:rsidP="003E75B9">
      <w:pPr>
        <w:numPr>
          <w:ilvl w:val="3"/>
          <w:numId w:val="33"/>
        </w:numPr>
        <w:rPr>
          <w:szCs w:val="22"/>
        </w:rPr>
      </w:pPr>
      <w:r w:rsidRPr="00A6278D">
        <w:rPr>
          <w:szCs w:val="22"/>
        </w:rPr>
        <w:t xml:space="preserve">For offenders assessed as having a medium or high risk of reoffending, Corrections reviews the court’s sentencing notes and the summary of facts, which may refer to </w:t>
      </w:r>
      <w:r>
        <w:rPr>
          <w:szCs w:val="22"/>
        </w:rPr>
        <w:t>hostile motivation</w:t>
      </w:r>
      <w:r w:rsidRPr="00A6278D">
        <w:rPr>
          <w:szCs w:val="22"/>
        </w:rPr>
        <w:t xml:space="preserve"> (for example, if the </w:t>
      </w:r>
      <w:r>
        <w:rPr>
          <w:szCs w:val="22"/>
        </w:rPr>
        <w:t>hostility</w:t>
      </w:r>
      <w:r w:rsidRPr="00A6278D">
        <w:rPr>
          <w:szCs w:val="22"/>
        </w:rPr>
        <w:t xml:space="preserve"> aggravating factor was applied at sentencing). This </w:t>
      </w:r>
      <w:r>
        <w:rPr>
          <w:szCs w:val="22"/>
        </w:rPr>
        <w:t>scrutiny</w:t>
      </w:r>
      <w:r w:rsidRPr="00A6278D">
        <w:rPr>
          <w:szCs w:val="22"/>
        </w:rPr>
        <w:t xml:space="preserve"> does not usually occur for </w:t>
      </w:r>
      <w:r>
        <w:rPr>
          <w:szCs w:val="22"/>
        </w:rPr>
        <w:t>offenders deemed to pose a</w:t>
      </w:r>
      <w:r w:rsidRPr="00A6278D">
        <w:rPr>
          <w:szCs w:val="22"/>
        </w:rPr>
        <w:t xml:space="preserve"> low</w:t>
      </w:r>
      <w:r>
        <w:rPr>
          <w:szCs w:val="22"/>
        </w:rPr>
        <w:t xml:space="preserve"> </w:t>
      </w:r>
      <w:r w:rsidRPr="00A6278D">
        <w:rPr>
          <w:szCs w:val="22"/>
        </w:rPr>
        <w:t>risk of</w:t>
      </w:r>
      <w:r>
        <w:rPr>
          <w:szCs w:val="22"/>
        </w:rPr>
        <w:t xml:space="preserve"> reoffending. </w:t>
      </w:r>
      <w:r w:rsidR="009C4A01">
        <w:rPr>
          <w:szCs w:val="22"/>
        </w:rPr>
        <w:t>For offenders who receive a sentence</w:t>
      </w:r>
      <w:r w:rsidR="000727BF">
        <w:rPr>
          <w:szCs w:val="22"/>
        </w:rPr>
        <w:t xml:space="preserve"> other than imprisonment or home detention</w:t>
      </w:r>
      <w:r w:rsidR="000E43E3">
        <w:rPr>
          <w:szCs w:val="22"/>
        </w:rPr>
        <w:t xml:space="preserve"> (such as </w:t>
      </w:r>
      <w:r w:rsidR="009C4A01">
        <w:rPr>
          <w:szCs w:val="22"/>
        </w:rPr>
        <w:t>community</w:t>
      </w:r>
      <w:r w:rsidR="000E43E3">
        <w:rPr>
          <w:szCs w:val="22"/>
        </w:rPr>
        <w:t xml:space="preserve"> work)</w:t>
      </w:r>
      <w:r w:rsidR="009C4A01">
        <w:rPr>
          <w:szCs w:val="22"/>
        </w:rPr>
        <w:t xml:space="preserve">, sentencing notes </w:t>
      </w:r>
      <w:r w:rsidR="009C4A01" w:rsidRPr="00CB26C9">
        <w:rPr>
          <w:szCs w:val="22"/>
        </w:rPr>
        <w:t xml:space="preserve">are not usually </w:t>
      </w:r>
      <w:r w:rsidR="000260FC">
        <w:rPr>
          <w:szCs w:val="22"/>
        </w:rPr>
        <w:t xml:space="preserve">transcribed </w:t>
      </w:r>
      <w:r w:rsidR="00F93795">
        <w:rPr>
          <w:szCs w:val="22"/>
        </w:rPr>
        <w:t xml:space="preserve">so are not </w:t>
      </w:r>
      <w:r w:rsidR="009C4A01" w:rsidRPr="00CB26C9">
        <w:rPr>
          <w:szCs w:val="22"/>
        </w:rPr>
        <w:t xml:space="preserve">available </w:t>
      </w:r>
      <w:r w:rsidR="00F93795">
        <w:rPr>
          <w:szCs w:val="22"/>
        </w:rPr>
        <w:t xml:space="preserve">to Corrections </w:t>
      </w:r>
      <w:r w:rsidR="009C4A01">
        <w:rPr>
          <w:szCs w:val="22"/>
        </w:rPr>
        <w:t>at all.</w:t>
      </w:r>
    </w:p>
    <w:p w14:paraId="7022393A" w14:textId="77777777" w:rsidR="001D5916" w:rsidRPr="00A6278D" w:rsidRDefault="001D5916" w:rsidP="003E75B9">
      <w:pPr>
        <w:numPr>
          <w:ilvl w:val="3"/>
          <w:numId w:val="32"/>
        </w:numPr>
        <w:rPr>
          <w:szCs w:val="22"/>
        </w:rPr>
      </w:pPr>
      <w:r w:rsidRPr="00A6278D">
        <w:rPr>
          <w:szCs w:val="22"/>
        </w:rPr>
        <w:t xml:space="preserve">Case managers or probation officers speak with all offenders and try to understand what led to their offending. </w:t>
      </w:r>
      <w:r>
        <w:rPr>
          <w:szCs w:val="22"/>
        </w:rPr>
        <w:t>Hostile motivation</w:t>
      </w:r>
      <w:r w:rsidRPr="00A6278D">
        <w:rPr>
          <w:szCs w:val="22"/>
        </w:rPr>
        <w:t xml:space="preserve"> may become apparent through that process. For high-risk offenders, a psychological assessment is also conducted.</w:t>
      </w:r>
    </w:p>
    <w:p w14:paraId="6BFA690B" w14:textId="77777777" w:rsidR="001D5916" w:rsidRPr="00A6278D" w:rsidRDefault="001D5916" w:rsidP="003E75B9">
      <w:pPr>
        <w:numPr>
          <w:ilvl w:val="3"/>
          <w:numId w:val="32"/>
        </w:numPr>
        <w:rPr>
          <w:szCs w:val="22"/>
        </w:rPr>
      </w:pPr>
      <w:r w:rsidRPr="00A6278D">
        <w:rPr>
          <w:szCs w:val="22"/>
        </w:rPr>
        <w:t>The Corrections intelligence team (which works alongside Police) may identify concerns relating to a particular offender.</w:t>
      </w:r>
    </w:p>
    <w:p w14:paraId="10D52573" w14:textId="0797A098" w:rsidR="00AE30DE" w:rsidRPr="00330E85" w:rsidRDefault="001D5916" w:rsidP="009D6965">
      <w:pPr>
        <w:pStyle w:val="BodyText"/>
        <w:numPr>
          <w:ilvl w:val="1"/>
          <w:numId w:val="15"/>
        </w:numPr>
      </w:pPr>
      <w:r>
        <w:t xml:space="preserve">There is no guarantee, however, that an offender’s hostile motivation will be identified by Corrections. This is particularly so for low-risk offenders, where there is no established process of reviewing the sentencing notes and other background material that might identify hostile motivation as an issue. </w:t>
      </w:r>
      <w:bookmarkEnd w:id="99"/>
    </w:p>
    <w:p w14:paraId="3420F74E" w14:textId="77777777" w:rsidR="00140CD5" w:rsidRDefault="00140CD5" w:rsidP="009D6965"/>
    <w:p w14:paraId="78DCBB07" w14:textId="325743F0" w:rsidR="00F7542F" w:rsidRPr="00330E85" w:rsidRDefault="00140CD5" w:rsidP="00140CD5">
      <w:r w:rsidRPr="00330E85">
        <w:rPr>
          <w:noProof/>
        </w:rPr>
        <mc:AlternateContent>
          <mc:Choice Requires="wps">
            <w:drawing>
              <wp:anchor distT="0" distB="0" distL="114300" distR="114300" simplePos="0" relativeHeight="251658245" behindDoc="0" locked="0" layoutInCell="1" allowOverlap="1" wp14:anchorId="526C8C55" wp14:editId="60DDFA55">
                <wp:simplePos x="0" y="0"/>
                <wp:positionH relativeFrom="margin">
                  <wp:posOffset>0</wp:posOffset>
                </wp:positionH>
                <wp:positionV relativeFrom="paragraph">
                  <wp:posOffset>135577</wp:posOffset>
                </wp:positionV>
                <wp:extent cx="2721610" cy="0"/>
                <wp:effectExtent l="0" t="19050" r="21590" b="19050"/>
                <wp:wrapNone/>
                <wp:docPr id="764517959" name="Straight Connector 7645179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2844E" id="Straight Connector 764517959" o:spid="_x0000_s1026" style="position:absolute;z-index:251658245;visibility:visible;mso-wrap-style:square;mso-wrap-distance-left:9pt;mso-wrap-distance-top:0;mso-wrap-distance-right:9pt;mso-wrap-distance-bottom:0;mso-position-horizontal:absolute;mso-position-horizontal-relative:margin;mso-position-vertical:absolute;mso-position-vertical-relative:text" from="0,10.7pt" to="21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" strokecolor="#5ca0b9" strokeweight="2.5pt">
                <w10:wrap anchorx="margin"/>
              </v:line>
            </w:pict>
          </mc:Fallback>
        </mc:AlternateContent>
      </w:r>
    </w:p>
    <w:p w14:paraId="693259E9" w14:textId="77777777" w:rsidR="001038FE" w:rsidRDefault="001038FE" w:rsidP="001038FE">
      <w:pPr>
        <w:spacing w:after="0" w:line="240" w:lineRule="auto"/>
      </w:pPr>
    </w:p>
    <w:p w14:paraId="3F789EEE" w14:textId="77777777" w:rsidR="00A42BC3" w:rsidRPr="00330E85" w:rsidRDefault="00A42BC3" w:rsidP="00A42BC3">
      <w:pPr>
        <w:spacing w:after="0" w:line="240" w:lineRule="auto"/>
      </w:pPr>
    </w:p>
    <w:p w14:paraId="1175DAA5" w14:textId="77777777" w:rsidR="00A42BC3" w:rsidRPr="00330E85" w:rsidRDefault="00A42BC3" w:rsidP="00A42BC3">
      <w:pPr>
        <w:spacing w:after="0" w:line="240" w:lineRule="auto"/>
      </w:pPr>
    </w:p>
    <w:p w14:paraId="715198AC" w14:textId="77777777" w:rsidR="00A42BC3" w:rsidRPr="00330E85" w:rsidRDefault="00A42BC3" w:rsidP="00A42BC3">
      <w:pPr>
        <w:spacing w:after="0" w:line="240" w:lineRule="auto"/>
        <w:sectPr w:rsidR="00A42BC3" w:rsidRPr="00330E85" w:rsidSect="00A42BC3">
          <w:headerReference w:type="default" r:id="rId40"/>
          <w:footnotePr>
            <w:numRestart w:val="eachSect"/>
          </w:footnotePr>
          <w:pgSz w:w="11907" w:h="16840" w:code="9"/>
          <w:pgMar w:top="1134" w:right="1134" w:bottom="1134" w:left="1701" w:header="499" w:footer="46" w:gutter="0"/>
          <w:cols w:space="720"/>
        </w:sectPr>
      </w:pPr>
    </w:p>
    <w:p w14:paraId="625AE92E" w14:textId="77777777" w:rsidR="00A42BC3" w:rsidRPr="00330E85" w:rsidRDefault="00A42BC3" w:rsidP="00A42BC3">
      <w:pPr>
        <w:pStyle w:val="HEADING2topchapter-notinTOC"/>
        <w:rPr>
          <w:sz w:val="21"/>
          <w:szCs w:val="21"/>
        </w:rPr>
      </w:pPr>
      <w:r w:rsidRPr="00330E85">
        <w:t>CHAPTER 3</w:t>
      </w:r>
    </w:p>
    <w:p w14:paraId="54B07CBA" w14:textId="77777777" w:rsidR="00A42BC3" w:rsidRPr="00330E85" w:rsidRDefault="00A42BC3" w:rsidP="00A42BC3">
      <w:pPr>
        <w:spacing w:after="0" w:line="200" w:lineRule="exact"/>
        <w:rPr>
          <w:szCs w:val="20"/>
        </w:rPr>
      </w:pPr>
      <w:r w:rsidRPr="00330E85">
        <w:rPr>
          <w:noProof/>
        </w:rPr>
        <mc:AlternateContent>
          <mc:Choice Requires="wpg">
            <w:drawing>
              <wp:anchor distT="0" distB="0" distL="114300" distR="114300" simplePos="0" relativeHeight="251658250" behindDoc="1" locked="0" layoutInCell="1" allowOverlap="1" wp14:anchorId="322DAD20" wp14:editId="3CC766CB">
                <wp:simplePos x="0" y="0"/>
                <wp:positionH relativeFrom="page">
                  <wp:posOffset>1079500</wp:posOffset>
                </wp:positionH>
                <wp:positionV relativeFrom="paragraph">
                  <wp:posOffset>120015</wp:posOffset>
                </wp:positionV>
                <wp:extent cx="1332230" cy="1270"/>
                <wp:effectExtent l="0" t="19050" r="1270" b="0"/>
                <wp:wrapNone/>
                <wp:docPr id="645585985" name="Group 645585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4402526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04574" id="Group 645585985" o:spid="_x0000_s1026" style="position:absolute;margin-left:85pt;margin-top:9.45pt;width:104.9pt;height:.1pt;z-index:-25165823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F/AIAAOI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8+OKF/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11ADBE72" w14:textId="77777777" w:rsidR="00A42BC3" w:rsidRPr="00330E85" w:rsidRDefault="00A42BC3" w:rsidP="00A42BC3">
      <w:pPr>
        <w:pStyle w:val="Heading1"/>
        <w:rPr>
          <w:rFonts w:eastAsia="Metropolis Black"/>
        </w:rPr>
      </w:pPr>
      <w:bookmarkStart w:id="103" w:name="_Toc231467825"/>
      <w:r w:rsidRPr="00EC6DB6">
        <w:rPr>
          <w:rFonts w:eastAsia="Metropolis Black"/>
        </w:rPr>
        <w:t>Reform considerations</w:t>
      </w:r>
      <w:bookmarkEnd w:id="103"/>
    </w:p>
    <w:p w14:paraId="516FCAD8" w14:textId="77777777" w:rsidR="00A42BC3" w:rsidRPr="00330E85" w:rsidRDefault="00A42BC3" w:rsidP="00A42BC3">
      <w:pPr>
        <w:spacing w:after="0" w:line="200" w:lineRule="exact"/>
        <w:rPr>
          <w:szCs w:val="20"/>
        </w:rPr>
      </w:pPr>
      <w:r w:rsidRPr="00330E85">
        <w:rPr>
          <w:noProof/>
          <w:lang w:eastAsia="en-NZ"/>
        </w:rPr>
        <mc:AlternateContent>
          <mc:Choice Requires="wpg">
            <w:drawing>
              <wp:anchor distT="0" distB="0" distL="114300" distR="114300" simplePos="0" relativeHeight="251658251" behindDoc="1" locked="0" layoutInCell="1" allowOverlap="1" wp14:anchorId="3C401F15" wp14:editId="48BF5F93">
                <wp:simplePos x="0" y="0"/>
                <wp:positionH relativeFrom="page">
                  <wp:posOffset>1089025</wp:posOffset>
                </wp:positionH>
                <wp:positionV relativeFrom="paragraph">
                  <wp:posOffset>86731</wp:posOffset>
                </wp:positionV>
                <wp:extent cx="1332230" cy="1270"/>
                <wp:effectExtent l="0" t="19050" r="1270" b="17780"/>
                <wp:wrapNone/>
                <wp:docPr id="220638820" name="Group 220638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5634662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D6010" id="Group 220638820" o:spid="_x0000_s1026" style="position:absolute;margin-left:85.75pt;margin-top:6.85pt;width:104.9pt;height:.1pt;z-index:-25165822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48C5997C" w14:textId="77777777" w:rsidR="00A42BC3" w:rsidRPr="00330E85" w:rsidRDefault="00A42BC3" w:rsidP="00A42BC3"/>
    <w:p w14:paraId="5F9DFBCB" w14:textId="77777777" w:rsidR="00A42BC3" w:rsidRDefault="00A42BC3" w:rsidP="00A42BC3">
      <w:pPr>
        <w:pStyle w:val="Heading2"/>
      </w:pPr>
      <w:bookmarkStart w:id="104" w:name="_Toc231467826"/>
      <w:r w:rsidRPr="00E34108">
        <w:t>Introduction</w:t>
      </w:r>
      <w:bookmarkEnd w:id="104"/>
    </w:p>
    <w:p w14:paraId="067254CD" w14:textId="77777777" w:rsidR="00C035B8" w:rsidRPr="00C035B8" w:rsidRDefault="00C035B8" w:rsidP="003E75B9">
      <w:pPr>
        <w:pStyle w:val="ListParagraph"/>
        <w:numPr>
          <w:ilvl w:val="0"/>
          <w:numId w:val="33"/>
        </w:numPr>
        <w:spacing w:before="80" w:after="80"/>
        <w:contextualSpacing w:val="0"/>
        <w:jc w:val="both"/>
        <w:rPr>
          <w:vanish/>
          <w:sz w:val="20"/>
          <w:highlight w:val="yellow"/>
        </w:rPr>
      </w:pPr>
    </w:p>
    <w:p w14:paraId="1BD54021" w14:textId="09EC2471" w:rsidR="0035348E" w:rsidRDefault="0035348E" w:rsidP="0035348E">
      <w:pPr>
        <w:pStyle w:val="BodyText"/>
        <w:numPr>
          <w:ilvl w:val="1"/>
          <w:numId w:val="31"/>
        </w:numPr>
        <w:ind w:hanging="709"/>
      </w:pPr>
      <w:r>
        <w:t xml:space="preserve">In this chapter, we set out the key reform considerations </w:t>
      </w:r>
      <w:r w:rsidR="00C72ADE">
        <w:t xml:space="preserve">that </w:t>
      </w:r>
      <w:r>
        <w:t>have guided this review:</w:t>
      </w:r>
    </w:p>
    <w:p w14:paraId="5F09ED8E" w14:textId="5F013C3D" w:rsidR="0035348E" w:rsidRDefault="00EA1348" w:rsidP="0035348E">
      <w:pPr>
        <w:pStyle w:val="BodyTextalphalist"/>
        <w:numPr>
          <w:ilvl w:val="3"/>
          <w:numId w:val="31"/>
        </w:numPr>
      </w:pPr>
      <w:r>
        <w:t>T</w:t>
      </w:r>
      <w:r w:rsidR="0035348E">
        <w:t>he need to treat hate crime more seriously than other crime</w:t>
      </w:r>
      <w:r>
        <w:t>.</w:t>
      </w:r>
    </w:p>
    <w:p w14:paraId="1AEB49F0" w14:textId="6E44514D" w:rsidR="0035348E" w:rsidRDefault="00EA1348" w:rsidP="0035348E">
      <w:pPr>
        <w:pStyle w:val="BodyTextalphalist"/>
        <w:numPr>
          <w:ilvl w:val="3"/>
          <w:numId w:val="31"/>
        </w:numPr>
      </w:pPr>
      <w:r>
        <w:t>T</w:t>
      </w:r>
      <w:r w:rsidR="0035348E">
        <w:t>he objectives of hate crime law</w:t>
      </w:r>
      <w:r>
        <w:t>.</w:t>
      </w:r>
    </w:p>
    <w:p w14:paraId="4F803E80" w14:textId="6A1246C5" w:rsidR="0035348E" w:rsidRDefault="00EA1348" w:rsidP="0035348E">
      <w:pPr>
        <w:pStyle w:val="BodyTextalphalist"/>
        <w:numPr>
          <w:ilvl w:val="3"/>
          <w:numId w:val="31"/>
        </w:numPr>
      </w:pPr>
      <w:r>
        <w:t>L</w:t>
      </w:r>
      <w:r w:rsidR="0035348E">
        <w:t>egal principles for the creation of new offences</w:t>
      </w:r>
      <w:r>
        <w:t>.</w:t>
      </w:r>
    </w:p>
    <w:p w14:paraId="05EA84D4" w14:textId="672F1883" w:rsidR="0035348E" w:rsidRDefault="0035348E" w:rsidP="0035348E">
      <w:pPr>
        <w:pStyle w:val="BodyTextalphalist"/>
        <w:numPr>
          <w:ilvl w:val="3"/>
          <w:numId w:val="31"/>
        </w:numPr>
      </w:pPr>
      <w:r>
        <w:t xml:space="preserve">Te Tiriti o Waitangi | Treaty of Waitangi </w:t>
      </w:r>
      <w:r w:rsidR="00DE283B">
        <w:t xml:space="preserve">(the Treaty) </w:t>
      </w:r>
      <w:r>
        <w:t>and tikanga</w:t>
      </w:r>
      <w:r w:rsidR="00EA1348">
        <w:t>.</w:t>
      </w:r>
    </w:p>
    <w:p w14:paraId="10F661B4" w14:textId="77777777" w:rsidR="0035348E" w:rsidRDefault="0035348E" w:rsidP="0035348E">
      <w:pPr>
        <w:pStyle w:val="BodyTextalphalist"/>
        <w:numPr>
          <w:ilvl w:val="3"/>
          <w:numId w:val="31"/>
        </w:numPr>
      </w:pPr>
      <w:r>
        <w:t>Aotearoa New Zealand’s human rights obligations in domestic and international law.</w:t>
      </w:r>
    </w:p>
    <w:p w14:paraId="570F0211" w14:textId="566B17CA" w:rsidR="0035348E" w:rsidRDefault="0035348E" w:rsidP="009F4337">
      <w:pPr>
        <w:pStyle w:val="BodyText"/>
        <w:numPr>
          <w:ilvl w:val="1"/>
          <w:numId w:val="31"/>
        </w:numPr>
        <w:ind w:hanging="709"/>
      </w:pPr>
      <w:r>
        <w:t xml:space="preserve">We </w:t>
      </w:r>
      <w:r w:rsidR="00BC75B2">
        <w:t>discuss each of these considerations</w:t>
      </w:r>
      <w:r>
        <w:t xml:space="preserve"> below</w:t>
      </w:r>
      <w:r w:rsidR="00BC75B2">
        <w:t xml:space="preserve"> and explain how they have</w:t>
      </w:r>
      <w:r>
        <w:t xml:space="preserve"> </w:t>
      </w:r>
      <w:r w:rsidR="00BC75B2">
        <w:t xml:space="preserve">influenced </w:t>
      </w:r>
      <w:r>
        <w:t>our analysis</w:t>
      </w:r>
      <w:r w:rsidR="00BC75B2">
        <w:t xml:space="preserve"> and recommendations in this Report</w:t>
      </w:r>
      <w:r>
        <w:t xml:space="preserve">. </w:t>
      </w:r>
    </w:p>
    <w:p w14:paraId="03706E6F" w14:textId="77777777" w:rsidR="0035348E" w:rsidRDefault="0035348E" w:rsidP="0035348E">
      <w:pPr>
        <w:pStyle w:val="Heading2"/>
        <w:spacing w:before="480"/>
      </w:pPr>
      <w:bookmarkStart w:id="105" w:name="_Toc212106737"/>
      <w:bookmarkStart w:id="106" w:name="_Toc231467827"/>
      <w:r>
        <w:t>The need to treat hate crime more seriously than other crime</w:t>
      </w:r>
      <w:bookmarkEnd w:id="105"/>
      <w:bookmarkEnd w:id="106"/>
    </w:p>
    <w:p w14:paraId="0B494B21" w14:textId="0B56E7F3" w:rsidR="0035348E" w:rsidRDefault="0035348E" w:rsidP="00CC3571">
      <w:pPr>
        <w:pStyle w:val="BodyText"/>
        <w:numPr>
          <w:ilvl w:val="1"/>
          <w:numId w:val="31"/>
        </w:numPr>
        <w:ind w:hanging="709"/>
      </w:pPr>
      <w:r>
        <w:t>The first reform consideration we have identified is the need to treat hate crime</w:t>
      </w:r>
      <w:r w:rsidR="00893497">
        <w:t>s</w:t>
      </w:r>
      <w:r>
        <w:t xml:space="preserve"> more seriously than </w:t>
      </w:r>
      <w:r w:rsidR="00D35B2F">
        <w:t>equivalent</w:t>
      </w:r>
      <w:r w:rsidR="00BE72E5">
        <w:t xml:space="preserve"> </w:t>
      </w:r>
      <w:r w:rsidR="005A37C6">
        <w:t>crimes that are not motivated by hostility</w:t>
      </w:r>
      <w:r>
        <w:t xml:space="preserve">. This is necessary to reflect the additional harms hate crimes cause and the moral blameworthiness of the offender. </w:t>
      </w:r>
    </w:p>
    <w:p w14:paraId="15D3EA50" w14:textId="7F285807" w:rsidR="0035348E" w:rsidRDefault="0035348E" w:rsidP="00CB535B">
      <w:pPr>
        <w:pStyle w:val="BodyText"/>
        <w:numPr>
          <w:ilvl w:val="1"/>
          <w:numId w:val="31"/>
        </w:numPr>
        <w:ind w:hanging="709"/>
      </w:pPr>
      <w:r>
        <w:t xml:space="preserve">In our Consultation Paper, we explained that </w:t>
      </w:r>
      <w:r w:rsidR="002C74B5">
        <w:t xml:space="preserve">the enactment of </w:t>
      </w:r>
      <w:r>
        <w:t>hate crime law (whether</w:t>
      </w:r>
      <w:r w:rsidR="007220DC">
        <w:t xml:space="preserve"> in the form of specific</w:t>
      </w:r>
      <w:r>
        <w:t xml:space="preserve"> hate crime offences or an aggravating factor at sentencing) reflect</w:t>
      </w:r>
      <w:r w:rsidR="002C74B5">
        <w:t>s</w:t>
      </w:r>
      <w:r>
        <w:t xml:space="preserve"> the view that hate crime is more serious than other types of offending.</w:t>
      </w:r>
      <w:r>
        <w:rPr>
          <w:rStyle w:val="FootnoteReference"/>
        </w:rPr>
        <w:footnoteReference w:id="99"/>
      </w:r>
      <w:r>
        <w:t xml:space="preserve"> We discussed four possible reasons </w:t>
      </w:r>
      <w:r w:rsidR="002A1AD0">
        <w:t>for that view</w:t>
      </w:r>
      <w:r>
        <w:t>:</w:t>
      </w:r>
      <w:r>
        <w:rPr>
          <w:rStyle w:val="FootnoteReference"/>
        </w:rPr>
        <w:footnoteReference w:id="100"/>
      </w:r>
      <w:r>
        <w:t xml:space="preserve"> </w:t>
      </w:r>
    </w:p>
    <w:p w14:paraId="7DD0B0D0" w14:textId="77777777" w:rsidR="0035348E" w:rsidRDefault="0035348E" w:rsidP="0035348E">
      <w:pPr>
        <w:pStyle w:val="BodyTextalphalist"/>
        <w:numPr>
          <w:ilvl w:val="3"/>
          <w:numId w:val="31"/>
        </w:numPr>
      </w:pPr>
      <w:r>
        <w:t>Hate crimes cause additional types of harm.</w:t>
      </w:r>
    </w:p>
    <w:p w14:paraId="4A1C0CC7" w14:textId="77777777" w:rsidR="0035348E" w:rsidRDefault="0035348E" w:rsidP="0035348E">
      <w:pPr>
        <w:pStyle w:val="BodyTextalphalist"/>
        <w:numPr>
          <w:ilvl w:val="3"/>
          <w:numId w:val="31"/>
        </w:numPr>
      </w:pPr>
      <w:r>
        <w:t>Hate crime offenders are more morally blameworthy or culpable than other offenders.</w:t>
      </w:r>
    </w:p>
    <w:p w14:paraId="312319D1" w14:textId="77777777" w:rsidR="0035348E" w:rsidRDefault="0035348E" w:rsidP="0035348E">
      <w:pPr>
        <w:pStyle w:val="BodyTextalphalist"/>
        <w:numPr>
          <w:ilvl w:val="3"/>
          <w:numId w:val="31"/>
        </w:numPr>
      </w:pPr>
      <w:r>
        <w:t xml:space="preserve">Hate crime requires additional denunciation. </w:t>
      </w:r>
    </w:p>
    <w:p w14:paraId="2AA23381" w14:textId="711B7F7A" w:rsidR="0035348E" w:rsidRDefault="0035348E" w:rsidP="0035348E">
      <w:pPr>
        <w:pStyle w:val="BodyTextalphalist"/>
        <w:numPr>
          <w:ilvl w:val="3"/>
          <w:numId w:val="31"/>
        </w:numPr>
      </w:pPr>
      <w:r>
        <w:t>Treating hate crime more seriously will deter future hate crime</w:t>
      </w:r>
      <w:r w:rsidR="0043030E">
        <w:t>s</w:t>
      </w:r>
      <w:r>
        <w:t>.</w:t>
      </w:r>
    </w:p>
    <w:p w14:paraId="510FF926" w14:textId="1AEE51FA" w:rsidR="00464ABB" w:rsidRDefault="00464ABB" w:rsidP="00464ABB">
      <w:pPr>
        <w:pStyle w:val="Heading3"/>
      </w:pPr>
      <w:r>
        <w:t xml:space="preserve">Additional harm and moral blameworthiness </w:t>
      </w:r>
    </w:p>
    <w:p w14:paraId="2B9EA7C4" w14:textId="49EFBB25" w:rsidR="0035348E" w:rsidRDefault="0035348E" w:rsidP="00CB535B">
      <w:pPr>
        <w:pStyle w:val="BodyText"/>
        <w:numPr>
          <w:ilvl w:val="1"/>
          <w:numId w:val="31"/>
        </w:numPr>
        <w:ind w:hanging="709"/>
      </w:pPr>
      <w:r>
        <w:t>We have concluded that (a) and (b)</w:t>
      </w:r>
      <w:r w:rsidR="00A730C0">
        <w:t xml:space="preserve"> — </w:t>
      </w:r>
      <w:r>
        <w:t>harm and blameworthiness</w:t>
      </w:r>
      <w:r w:rsidR="00A730C0">
        <w:t xml:space="preserve"> —</w:t>
      </w:r>
      <w:r>
        <w:t xml:space="preserve"> are compelling reasons for generally </w:t>
      </w:r>
      <w:r w:rsidR="00397799">
        <w:t>treating</w:t>
      </w:r>
      <w:r>
        <w:t xml:space="preserve"> hate crimes more seriously than </w:t>
      </w:r>
      <w:r w:rsidR="00D35B2F">
        <w:t xml:space="preserve">equivalent </w:t>
      </w:r>
      <w:r>
        <w:t>non-hate crimes. These reasons are reflected in the select committee report on the Sentencing and Parole Reform Bill 2001</w:t>
      </w:r>
      <w:r w:rsidR="00B324E6">
        <w:t xml:space="preserve">, </w:t>
      </w:r>
      <w:r>
        <w:t xml:space="preserve">which became the Sentencing Act 2002. In recommending </w:t>
      </w:r>
      <w:r w:rsidR="000D65BC">
        <w:t>the inclusion of the hostility</w:t>
      </w:r>
      <w:r>
        <w:t xml:space="preserve"> aggravating factor, the committee explained that hate crimes carry “a different moral quality and a different risk to society which we should be reflecting”.</w:t>
      </w:r>
      <w:r>
        <w:rPr>
          <w:rStyle w:val="FootnoteReference"/>
        </w:rPr>
        <w:footnoteReference w:id="101"/>
      </w:r>
      <w:r>
        <w:t xml:space="preserve"> </w:t>
      </w:r>
    </w:p>
    <w:p w14:paraId="0096E41F" w14:textId="77777777" w:rsidR="0035348E" w:rsidRDefault="0035348E" w:rsidP="00CB535B">
      <w:pPr>
        <w:pStyle w:val="BodyText"/>
        <w:numPr>
          <w:ilvl w:val="1"/>
          <w:numId w:val="31"/>
        </w:numPr>
        <w:ind w:hanging="709"/>
      </w:pPr>
      <w:r>
        <w:t>Harm and blameworthiness are also fundamental concepts in the criminal law. The level of harm caused by conduct and the moral blameworthiness of a person engaging in it underlie both the creation of criminal offences</w:t>
      </w:r>
      <w:r>
        <w:rPr>
          <w:rStyle w:val="FootnoteReference"/>
        </w:rPr>
        <w:footnoteReference w:id="102"/>
      </w:r>
      <w:r>
        <w:t xml:space="preserve"> and the courts’ assessment of the seriousness of an offence for sentencing purposes.</w:t>
      </w:r>
      <w:r>
        <w:rPr>
          <w:rStyle w:val="FootnoteReference"/>
        </w:rPr>
        <w:footnoteReference w:id="103"/>
      </w:r>
    </w:p>
    <w:p w14:paraId="0F559367" w14:textId="5DE47D75" w:rsidR="004154ED" w:rsidRDefault="0035348E" w:rsidP="00CC3571">
      <w:pPr>
        <w:pStyle w:val="BodyText"/>
        <w:numPr>
          <w:ilvl w:val="1"/>
          <w:numId w:val="31"/>
        </w:numPr>
        <w:ind w:hanging="709"/>
      </w:pPr>
      <w:r>
        <w:t>As we explain below, both the additional harm caused by hate crimes and the moral blameworthiness of hate crime offenders are linked to the nature of hate crimes as identity-based crimes. Hate crimes target victims for “who they are”</w:t>
      </w:r>
      <w:r w:rsidR="004D369A">
        <w:t xml:space="preserve"> —</w:t>
      </w:r>
      <w:r>
        <w:t xml:space="preserve"> that is, because of their actual or perceived membership of a particular social group.</w:t>
      </w:r>
      <w:r w:rsidR="004D369A">
        <w:rPr>
          <w:rStyle w:val="FootnoteReference"/>
        </w:rPr>
        <w:footnoteReference w:id="104"/>
      </w:r>
      <w:r>
        <w:t xml:space="preserve"> </w:t>
      </w:r>
      <w:r w:rsidR="00D6067E">
        <w:t xml:space="preserve">The victim is often selected, at least partly, as a </w:t>
      </w:r>
      <w:r>
        <w:t>“symbolic” or “interchangeable” representative of that</w:t>
      </w:r>
      <w:r w:rsidR="00CC3571">
        <w:t xml:space="preserve"> </w:t>
      </w:r>
      <w:r>
        <w:t>group.</w:t>
      </w:r>
      <w:r>
        <w:rPr>
          <w:rStyle w:val="FootnoteReference"/>
        </w:rPr>
        <w:footnoteReference w:id="105"/>
      </w:r>
      <w:r>
        <w:t xml:space="preserve"> </w:t>
      </w:r>
      <w:r w:rsidR="00C340D8">
        <w:t>H</w:t>
      </w:r>
      <w:r>
        <w:t xml:space="preserve">ate crimes are </w:t>
      </w:r>
      <w:r w:rsidR="00E57D98">
        <w:t xml:space="preserve">often </w:t>
      </w:r>
      <w:r>
        <w:t>experienced as attacks on the core of a person’s identity and dignity.</w:t>
      </w:r>
      <w:r>
        <w:rPr>
          <w:rStyle w:val="FootnoteReference"/>
        </w:rPr>
        <w:footnoteReference w:id="106"/>
      </w:r>
      <w:r>
        <w:t xml:space="preserve"> </w:t>
      </w:r>
      <w:r w:rsidRPr="00F77274">
        <w:t xml:space="preserve">We return to this concept of identity in Chapter </w:t>
      </w:r>
      <w:r w:rsidR="000D3E41">
        <w:t>8</w:t>
      </w:r>
      <w:r w:rsidRPr="00F77274">
        <w:t xml:space="preserve">, where we discuss the characteristics that should be covered by the hostility aggravating factor and the interpretation of the term </w:t>
      </w:r>
      <w:r w:rsidR="00780E49">
        <w:t>‘</w:t>
      </w:r>
      <w:r w:rsidRPr="00F77274">
        <w:t>enduring common characteristic</w:t>
      </w:r>
      <w:r w:rsidR="00780E49">
        <w:t>’</w:t>
      </w:r>
      <w:r>
        <w:t>.</w:t>
      </w:r>
    </w:p>
    <w:p w14:paraId="37A5A37C" w14:textId="3C085188" w:rsidR="0035348E" w:rsidRDefault="00464FE0" w:rsidP="009F4337">
      <w:pPr>
        <w:pStyle w:val="BodyText"/>
        <w:numPr>
          <w:ilvl w:val="1"/>
          <w:numId w:val="31"/>
        </w:numPr>
        <w:ind w:hanging="709"/>
      </w:pPr>
      <w:r>
        <w:t>I</w:t>
      </w:r>
      <w:r w:rsidR="00332390">
        <w:t xml:space="preserve">n relation to the </w:t>
      </w:r>
      <w:r>
        <w:t xml:space="preserve">additional </w:t>
      </w:r>
      <w:r w:rsidR="00332390">
        <w:t>harm</w:t>
      </w:r>
      <w:r>
        <w:t xml:space="preserve"> caused by hate crime</w:t>
      </w:r>
      <w:r w:rsidR="00332390">
        <w:t xml:space="preserve">, </w:t>
      </w:r>
      <w:r w:rsidR="0035348E">
        <w:t xml:space="preserve">most submitters </w:t>
      </w:r>
      <w:r w:rsidR="00F134A3">
        <w:t xml:space="preserve">on our Consultation Paper </w:t>
      </w:r>
      <w:r w:rsidR="0035348E">
        <w:t xml:space="preserve">agreed that </w:t>
      </w:r>
      <w:r w:rsidR="00332390">
        <w:t xml:space="preserve">the presence of a hostile motivation causes additional harm. </w:t>
      </w:r>
      <w:r w:rsidR="0088776B">
        <w:t>Submitte</w:t>
      </w:r>
      <w:r w:rsidR="009A5491">
        <w:t>rs</w:t>
      </w:r>
      <w:r w:rsidR="0088776B">
        <w:t xml:space="preserve"> referred to </w:t>
      </w:r>
      <w:r w:rsidR="0035348E">
        <w:t>impacts on the victim,</w:t>
      </w:r>
      <w:r w:rsidR="0035348E">
        <w:rPr>
          <w:rStyle w:val="FootnoteReference"/>
        </w:rPr>
        <w:footnoteReference w:id="107"/>
      </w:r>
      <w:r w:rsidR="0035348E">
        <w:t xml:space="preserve"> the community to which the </w:t>
      </w:r>
      <w:r w:rsidR="00406BC8">
        <w:t xml:space="preserve">victim </w:t>
      </w:r>
      <w:r w:rsidR="0035348E">
        <w:t>belongs</w:t>
      </w:r>
      <w:r w:rsidR="0035348E">
        <w:rPr>
          <w:rStyle w:val="FootnoteReference"/>
        </w:rPr>
        <w:footnoteReference w:id="108"/>
      </w:r>
      <w:r w:rsidR="0035348E">
        <w:t xml:space="preserve"> and wider society.</w:t>
      </w:r>
      <w:r w:rsidR="0035348E">
        <w:rPr>
          <w:rStyle w:val="FootnoteReference"/>
        </w:rPr>
        <w:footnoteReference w:id="109"/>
      </w:r>
      <w:r w:rsidR="0035348E">
        <w:t xml:space="preserve"> Views expressed by submitters included</w:t>
      </w:r>
      <w:r w:rsidR="006620B6">
        <w:t xml:space="preserve"> the following</w:t>
      </w:r>
      <w:r w:rsidR="0035348E">
        <w:t>:</w:t>
      </w:r>
    </w:p>
    <w:p w14:paraId="687D8C68" w14:textId="0A12737F" w:rsidR="0035348E" w:rsidRDefault="0035348E" w:rsidP="0035348E">
      <w:pPr>
        <w:pStyle w:val="BodyTextalphalist"/>
      </w:pPr>
      <w:r>
        <w:t>Harm to the individual can be physical, emotional or economic.</w:t>
      </w:r>
      <w:r>
        <w:rPr>
          <w:rStyle w:val="FootnoteReference"/>
        </w:rPr>
        <w:footnoteReference w:id="110"/>
      </w:r>
      <w:r>
        <w:t xml:space="preserve"> Victims may feel unsafe in the future</w:t>
      </w:r>
      <w:r>
        <w:rPr>
          <w:rStyle w:val="FootnoteReference"/>
        </w:rPr>
        <w:footnoteReference w:id="111"/>
      </w:r>
      <w:r>
        <w:t xml:space="preserve"> or modify their behaviour in response to the offending.</w:t>
      </w:r>
      <w:r>
        <w:rPr>
          <w:rStyle w:val="FootnoteReference"/>
        </w:rPr>
        <w:footnoteReference w:id="112"/>
      </w:r>
      <w:r>
        <w:t xml:space="preserve"> </w:t>
      </w:r>
    </w:p>
    <w:p w14:paraId="0071E268" w14:textId="625A22C2" w:rsidR="004624EC" w:rsidRDefault="007909F4" w:rsidP="0035348E">
      <w:pPr>
        <w:pStyle w:val="BodyTextalphalist"/>
      </w:pPr>
      <w:r>
        <w:t>Because</w:t>
      </w:r>
      <w:r w:rsidR="0035348E">
        <w:t xml:space="preserve"> hate crime targets a group of people based on their identity, </w:t>
      </w:r>
      <w:r w:rsidR="00970C15">
        <w:t>it</w:t>
      </w:r>
      <w:r w:rsidR="0035348E">
        <w:t xml:space="preserve"> can cause members of that group to feel fearful, anxious and angry.</w:t>
      </w:r>
      <w:r w:rsidR="0035348E">
        <w:rPr>
          <w:rStyle w:val="FootnoteReference"/>
        </w:rPr>
        <w:footnoteReference w:id="113"/>
      </w:r>
      <w:r w:rsidR="0035348E">
        <w:t xml:space="preserve"> This can lead to members of a group decreasing their public presence,</w:t>
      </w:r>
      <w:r w:rsidR="0035348E">
        <w:rPr>
          <w:rStyle w:val="FootnoteReference"/>
        </w:rPr>
        <w:footnoteReference w:id="114"/>
      </w:r>
      <w:r w:rsidR="0035348E">
        <w:t xml:space="preserve"> restricting their </w:t>
      </w:r>
      <w:r w:rsidR="00E57D98">
        <w:t>enjoyment of their</w:t>
      </w:r>
      <w:r w:rsidR="0035348E">
        <w:t xml:space="preserve"> right to freedom of expression</w:t>
      </w:r>
      <w:r w:rsidR="0035348E">
        <w:rPr>
          <w:rStyle w:val="FootnoteReference"/>
        </w:rPr>
        <w:footnoteReference w:id="115"/>
      </w:r>
      <w:r w:rsidR="0035348E">
        <w:t xml:space="preserve"> or limiting their ability to safely practi</w:t>
      </w:r>
      <w:r w:rsidR="00E608DE">
        <w:t>s</w:t>
      </w:r>
      <w:r w:rsidR="0035348E">
        <w:t>e their culture or religion.</w:t>
      </w:r>
      <w:r w:rsidR="0035348E">
        <w:rPr>
          <w:rStyle w:val="FootnoteReference"/>
        </w:rPr>
        <w:footnoteReference w:id="116"/>
      </w:r>
      <w:r w:rsidR="0035348E">
        <w:t xml:space="preserve"> </w:t>
      </w:r>
    </w:p>
    <w:p w14:paraId="3380731C" w14:textId="67AB08F1" w:rsidR="0035348E" w:rsidRDefault="0035348E" w:rsidP="0035348E">
      <w:pPr>
        <w:pStyle w:val="BodyTextalphalist"/>
      </w:pPr>
      <w:r w:rsidRPr="00554F21">
        <w:t>From an ao Māori perspective</w:t>
      </w:r>
      <w:r>
        <w:t>, hate crimes are a serious transgression of tikanga that has spiritual and wellbeing impacts on the wider whānau, hapū, iwi and hapori.</w:t>
      </w:r>
      <w:r w:rsidR="004624EC">
        <w:rPr>
          <w:rStyle w:val="FootnoteReference"/>
        </w:rPr>
        <w:footnoteReference w:id="117"/>
      </w:r>
    </w:p>
    <w:p w14:paraId="61CCC047" w14:textId="56B46BA6" w:rsidR="0035348E" w:rsidRDefault="0035348E" w:rsidP="0035348E">
      <w:pPr>
        <w:pStyle w:val="BodyTextalphalist"/>
      </w:pPr>
      <w:r>
        <w:t>Hate crimes can undermine liberal democracy and the participation of minority groups in society.</w:t>
      </w:r>
      <w:r>
        <w:rPr>
          <w:rStyle w:val="FootnoteReference"/>
        </w:rPr>
        <w:footnoteReference w:id="118"/>
      </w:r>
      <w:r>
        <w:t xml:space="preserve"> They divide communities and exacerbate tensions between groups.</w:t>
      </w:r>
      <w:r>
        <w:rPr>
          <w:rStyle w:val="FootnoteReference"/>
        </w:rPr>
        <w:footnoteReference w:id="119"/>
      </w:r>
      <w:r>
        <w:t xml:space="preserve"> They can also undermine </w:t>
      </w:r>
      <w:r w:rsidR="00F8131F">
        <w:t>public</w:t>
      </w:r>
      <w:r>
        <w:t xml:space="preserve"> confidence in Ngā Pirihimana o Aotearoa | New Zealand Police and legal institutions.</w:t>
      </w:r>
      <w:r>
        <w:rPr>
          <w:rStyle w:val="FootnoteReference"/>
        </w:rPr>
        <w:footnoteReference w:id="120"/>
      </w:r>
    </w:p>
    <w:p w14:paraId="06F94C19" w14:textId="3C507DB8" w:rsidR="0035348E" w:rsidRDefault="0035348E" w:rsidP="009F4337">
      <w:pPr>
        <w:pStyle w:val="BodyText"/>
        <w:numPr>
          <w:ilvl w:val="1"/>
          <w:numId w:val="31"/>
        </w:numPr>
        <w:ind w:hanging="709"/>
      </w:pPr>
      <w:r>
        <w:t xml:space="preserve">Only one submitter </w:t>
      </w:r>
      <w:r w:rsidR="00F55FBE">
        <w:t>said</w:t>
      </w:r>
      <w:r w:rsidR="00890AE3">
        <w:t xml:space="preserve"> expressly</w:t>
      </w:r>
      <w:r w:rsidR="00F55FBE">
        <w:t xml:space="preserve"> th</w:t>
      </w:r>
      <w:r w:rsidR="003D4983">
        <w:t>at hate crimes are not more serious than equivalent non-hate crimes.</w:t>
      </w:r>
      <w:r>
        <w:rPr>
          <w:rStyle w:val="FootnoteReference"/>
        </w:rPr>
        <w:footnoteReference w:id="121"/>
      </w:r>
      <w:r>
        <w:t xml:space="preserve"> </w:t>
      </w:r>
    </w:p>
    <w:p w14:paraId="24E90891" w14:textId="25BD8D16" w:rsidR="0035348E" w:rsidRDefault="00002D3E" w:rsidP="009F4337">
      <w:pPr>
        <w:pStyle w:val="BodyText"/>
        <w:numPr>
          <w:ilvl w:val="1"/>
          <w:numId w:val="31"/>
        </w:numPr>
        <w:ind w:hanging="709"/>
      </w:pPr>
      <w:r>
        <w:t>Some commentators have identified evidence that h</w:t>
      </w:r>
      <w:r w:rsidR="0035348E">
        <w:t>ate crimes cause additional psychological harm to victims,</w:t>
      </w:r>
      <w:r w:rsidR="0035348E">
        <w:rPr>
          <w:rStyle w:val="FootnoteReference"/>
        </w:rPr>
        <w:footnoteReference w:id="122"/>
      </w:r>
      <w:r w:rsidR="0035348E">
        <w:t xml:space="preserve"> potentially because they are targeted for </w:t>
      </w:r>
      <w:r>
        <w:t>“</w:t>
      </w:r>
      <w:r w:rsidR="0035348E">
        <w:t>who they are</w:t>
      </w:r>
      <w:r>
        <w:t>”</w:t>
      </w:r>
      <w:r w:rsidR="0035348E">
        <w:t>.</w:t>
      </w:r>
      <w:r w:rsidR="0035348E">
        <w:rPr>
          <w:rStyle w:val="FootnoteReference"/>
        </w:rPr>
        <w:footnoteReference w:id="123"/>
      </w:r>
      <w:r w:rsidR="0035348E">
        <w:t xml:space="preserve"> </w:t>
      </w:r>
      <w:r w:rsidR="00617C50">
        <w:t xml:space="preserve">Other commentators point to evidence that hate </w:t>
      </w:r>
      <w:r w:rsidR="0035348E">
        <w:t>crime causes additional harm to the community to which the victim belongs</w:t>
      </w:r>
      <w:r w:rsidR="00617C50">
        <w:t>.</w:t>
      </w:r>
      <w:r w:rsidR="0035348E">
        <w:rPr>
          <w:rStyle w:val="FootnoteReference"/>
        </w:rPr>
        <w:footnoteReference w:id="124"/>
      </w:r>
      <w:r w:rsidR="00617C50">
        <w:t xml:space="preserve"> This may be </w:t>
      </w:r>
      <w:r w:rsidR="0035348E">
        <w:t>because “hate crimes are ‘message crimes’ that emit a distinct warning to all members of the victim’s community”.</w:t>
      </w:r>
      <w:r w:rsidR="0035348E">
        <w:rPr>
          <w:rStyle w:val="FootnoteReference"/>
        </w:rPr>
        <w:footnoteReference w:id="125"/>
      </w:r>
      <w:r w:rsidR="0035348E">
        <w:t xml:space="preserve"> Members of the victim’s community “may also feel threatened and intimidated” or “directly targeted”.</w:t>
      </w:r>
      <w:r w:rsidR="0035348E">
        <w:rPr>
          <w:rStyle w:val="FootnoteReference"/>
        </w:rPr>
        <w:footnoteReference w:id="126"/>
      </w:r>
      <w:r w:rsidR="0035348E">
        <w:t xml:space="preserve"> </w:t>
      </w:r>
    </w:p>
    <w:p w14:paraId="1AFA5FF8" w14:textId="066F762F" w:rsidR="0035348E" w:rsidRDefault="00D216B8" w:rsidP="009F4337">
      <w:pPr>
        <w:pStyle w:val="BodyText"/>
        <w:numPr>
          <w:ilvl w:val="1"/>
          <w:numId w:val="31"/>
        </w:numPr>
        <w:ind w:hanging="709"/>
      </w:pPr>
      <w:r>
        <w:t>It is harder to find</w:t>
      </w:r>
      <w:r w:rsidR="00A72960">
        <w:t xml:space="preserve"> </w:t>
      </w:r>
      <w:r w:rsidR="0035348E">
        <w:t>direct evidence of wider social harm</w:t>
      </w:r>
      <w:r w:rsidR="00A72960">
        <w:t xml:space="preserve">. However, </w:t>
      </w:r>
      <w:r w:rsidR="0035348E">
        <w:t>we agree with submitters that it is a likely consequence</w:t>
      </w:r>
      <w:r w:rsidR="00A72960">
        <w:t xml:space="preserve"> of hate crime</w:t>
      </w:r>
      <w:r w:rsidR="0035348E">
        <w:t>. Commentators suggest</w:t>
      </w:r>
      <w:r w:rsidR="00A72960">
        <w:t>, for example, that</w:t>
      </w:r>
      <w:r w:rsidR="0035348E">
        <w:t xml:space="preserve"> hate crimes divide communities, exacerbate intergroup tensions and increase the risk of social unrest.</w:t>
      </w:r>
      <w:r w:rsidR="0035348E">
        <w:rPr>
          <w:rStyle w:val="FootnoteReference"/>
        </w:rPr>
        <w:footnoteReference w:id="127"/>
      </w:r>
      <w:r w:rsidR="0035348E">
        <w:t xml:space="preserve"> </w:t>
      </w:r>
    </w:p>
    <w:p w14:paraId="124076E7" w14:textId="32CCD708" w:rsidR="0035348E" w:rsidRDefault="00A72960" w:rsidP="009F4337">
      <w:pPr>
        <w:pStyle w:val="BodyText"/>
        <w:numPr>
          <w:ilvl w:val="1"/>
          <w:numId w:val="31"/>
        </w:numPr>
        <w:ind w:hanging="709"/>
      </w:pPr>
      <w:r>
        <w:t>In conclusion, our analysis suggests that</w:t>
      </w:r>
      <w:r w:rsidR="009C53BD">
        <w:t>,</w:t>
      </w:r>
      <w:r>
        <w:t xml:space="preserve"> compared to </w:t>
      </w:r>
      <w:r w:rsidR="00D35B2F">
        <w:t xml:space="preserve">equivalent </w:t>
      </w:r>
      <w:r w:rsidR="0035348E">
        <w:t>non-hate crime</w:t>
      </w:r>
      <w:r w:rsidR="008A3727">
        <w:t>s,</w:t>
      </w:r>
      <w:r w:rsidR="0035348E">
        <w:t xml:space="preserve"> offending that is motivated by hostility cause</w:t>
      </w:r>
      <w:r w:rsidR="008A3727">
        <w:t>s</w:t>
      </w:r>
      <w:r w:rsidR="0035348E">
        <w:t xml:space="preserve"> additional harm to the victim</w:t>
      </w:r>
      <w:r w:rsidR="00765FC7">
        <w:t xml:space="preserve"> and</w:t>
      </w:r>
      <w:r w:rsidR="0035348E">
        <w:t xml:space="preserve"> the affected community</w:t>
      </w:r>
      <w:r w:rsidR="00765FC7">
        <w:t xml:space="preserve">. It is also likely to cause </w:t>
      </w:r>
      <w:r w:rsidR="007A5872">
        <w:t xml:space="preserve">additional harm to </w:t>
      </w:r>
      <w:r w:rsidR="0035348E">
        <w:t xml:space="preserve">wider society. </w:t>
      </w:r>
    </w:p>
    <w:p w14:paraId="76916CEC" w14:textId="56D751A4" w:rsidR="0035348E" w:rsidRPr="00427B54" w:rsidRDefault="0055589D" w:rsidP="009F4337">
      <w:pPr>
        <w:pStyle w:val="BodyText"/>
        <w:numPr>
          <w:ilvl w:val="1"/>
          <w:numId w:val="31"/>
        </w:numPr>
        <w:ind w:hanging="709"/>
      </w:pPr>
      <w:r>
        <w:t>As discussed above, t</w:t>
      </w:r>
      <w:r w:rsidR="0035348E" w:rsidRPr="00427B54">
        <w:t xml:space="preserve">he second </w:t>
      </w:r>
      <w:r w:rsidR="0035348E">
        <w:t>reason</w:t>
      </w:r>
      <w:r>
        <w:t xml:space="preserve"> we identified in the Consultation Paper </w:t>
      </w:r>
      <w:r w:rsidR="0035348E" w:rsidRPr="00427B54">
        <w:t>for treating hate crime</w:t>
      </w:r>
      <w:r w:rsidR="004A0E3D">
        <w:t>s</w:t>
      </w:r>
      <w:r w:rsidR="0035348E" w:rsidRPr="00427B54">
        <w:t xml:space="preserve"> more seriously</w:t>
      </w:r>
      <w:r w:rsidR="0035348E">
        <w:t xml:space="preserve"> than </w:t>
      </w:r>
      <w:r w:rsidR="00D35B2F">
        <w:t xml:space="preserve">equivalent </w:t>
      </w:r>
      <w:r w:rsidR="0035348E">
        <w:t>non-hate crime</w:t>
      </w:r>
      <w:r w:rsidR="004A0E3D">
        <w:t>s</w:t>
      </w:r>
      <w:r w:rsidR="0035348E">
        <w:t xml:space="preserve"> </w:t>
      </w:r>
      <w:r w:rsidR="0035348E" w:rsidRPr="00427B54">
        <w:t>is that hate crime offenders are more morally blameworthy</w:t>
      </w:r>
      <w:r>
        <w:t>.</w:t>
      </w:r>
      <w:r w:rsidR="0035348E" w:rsidRPr="00427B54">
        <w:rPr>
          <w:rStyle w:val="FootnoteReference"/>
        </w:rPr>
        <w:footnoteReference w:id="128"/>
      </w:r>
      <w:r w:rsidR="0035348E" w:rsidRPr="00427B54">
        <w:t xml:space="preserve"> </w:t>
      </w:r>
    </w:p>
    <w:p w14:paraId="440C8AE0" w14:textId="6FAD261D" w:rsidR="0035348E" w:rsidRDefault="0035348E" w:rsidP="009F4337">
      <w:pPr>
        <w:pStyle w:val="BodyText"/>
        <w:numPr>
          <w:ilvl w:val="1"/>
          <w:numId w:val="31"/>
        </w:numPr>
        <w:ind w:hanging="709"/>
      </w:pPr>
      <w:r>
        <w:t>We did not receive many submissions</w:t>
      </w:r>
      <w:r w:rsidR="0055589D">
        <w:t xml:space="preserve"> specifically</w:t>
      </w:r>
      <w:r>
        <w:t xml:space="preserve"> on this point. Two submitters did not think hate crime offenders are more morally culpable than other offenders.</w:t>
      </w:r>
      <w:r>
        <w:rPr>
          <w:rStyle w:val="FootnoteReference"/>
        </w:rPr>
        <w:footnoteReference w:id="129"/>
      </w:r>
      <w:r>
        <w:t xml:space="preserve"> One did not think the law should be a vehicle for “enforcing moral orthodoxy”.</w:t>
      </w:r>
      <w:r>
        <w:rPr>
          <w:rStyle w:val="FootnoteReference"/>
        </w:rPr>
        <w:footnoteReference w:id="130"/>
      </w:r>
      <w:r>
        <w:t xml:space="preserve"> One did not take a clear position but said that, to the extent moral blameworthiness is to be considered, it should only be relevant at sentencing.</w:t>
      </w:r>
      <w:r>
        <w:rPr>
          <w:rStyle w:val="FootnoteReference"/>
        </w:rPr>
        <w:footnoteReference w:id="131"/>
      </w:r>
    </w:p>
    <w:p w14:paraId="634BE726" w14:textId="11C615FE" w:rsidR="00FB56DE" w:rsidRDefault="002D3CBE" w:rsidP="009F4337">
      <w:pPr>
        <w:pStyle w:val="BodyText"/>
        <w:numPr>
          <w:ilvl w:val="1"/>
          <w:numId w:val="31"/>
        </w:numPr>
        <w:ind w:hanging="709"/>
      </w:pPr>
      <w:r>
        <w:t>Although the additional harm caused by hostile motivation is, in our view, the primary justification for having laws that treat hate crime</w:t>
      </w:r>
      <w:r w:rsidR="008D066F">
        <w:t>s</w:t>
      </w:r>
      <w:r>
        <w:t xml:space="preserve"> more seriously that </w:t>
      </w:r>
      <w:r w:rsidR="00031EA9">
        <w:t>equivalent non-hate</w:t>
      </w:r>
      <w:r>
        <w:t xml:space="preserve"> crimes, we agree that moral blameworthiness is an additional reason why hate crime law </w:t>
      </w:r>
      <w:r w:rsidR="008D066F">
        <w:t>is</w:t>
      </w:r>
      <w:r>
        <w:t xml:space="preserve"> justified.</w:t>
      </w:r>
      <w:r w:rsidR="0035348E">
        <w:rPr>
          <w:rStyle w:val="FootnoteReference"/>
        </w:rPr>
        <w:footnoteReference w:id="132"/>
      </w:r>
      <w:r w:rsidR="00B7345D">
        <w:t xml:space="preserve"> </w:t>
      </w:r>
    </w:p>
    <w:p w14:paraId="69219850" w14:textId="7365CF4A" w:rsidR="0035348E" w:rsidRPr="00BD7E41" w:rsidRDefault="0035348E" w:rsidP="009F4337">
      <w:pPr>
        <w:pStyle w:val="BodyText"/>
        <w:numPr>
          <w:ilvl w:val="1"/>
          <w:numId w:val="31"/>
        </w:numPr>
        <w:ind w:hanging="709"/>
      </w:pPr>
      <w:r>
        <w:t>Offending based on hostility is contrary to shared values held by many New Zealanders such as equality, tolerance and human dignity. These values are reflected in New Zealand law.</w:t>
      </w:r>
      <w:r>
        <w:rPr>
          <w:rStyle w:val="FootnoteReference"/>
        </w:rPr>
        <w:footnoteReference w:id="133"/>
      </w:r>
      <w:r>
        <w:t xml:space="preserve"> Hate crime offenders undermine these values by targeting victims based on their identity and signalling to the affected group that they are not welcome in New Zealand society.</w:t>
      </w:r>
      <w:r w:rsidR="00FB56DE">
        <w:t xml:space="preserve"> Further, in</w:t>
      </w:r>
      <w:r w:rsidRPr="00BD7E41">
        <w:t xml:space="preserve"> many cases, hate crime offenders intend to cause, or could reasonably foresee that their actions are likely to cause</w:t>
      </w:r>
      <w:r>
        <w:t>,</w:t>
      </w:r>
      <w:r w:rsidRPr="00BD7E41">
        <w:t xml:space="preserve"> the additional types of harm discussed above. </w:t>
      </w:r>
    </w:p>
    <w:p w14:paraId="48DD12DF" w14:textId="315CAEF5" w:rsidR="0035348E" w:rsidRDefault="00FB56DE" w:rsidP="009F4337">
      <w:pPr>
        <w:pStyle w:val="BodyText"/>
        <w:numPr>
          <w:ilvl w:val="1"/>
          <w:numId w:val="31"/>
        </w:numPr>
        <w:ind w:hanging="709"/>
      </w:pPr>
      <w:r>
        <w:t xml:space="preserve">In summary, </w:t>
      </w:r>
      <w:r w:rsidR="0035348E">
        <w:t xml:space="preserve">the additional harms caused by hate crime and the additional moral blameworthiness of </w:t>
      </w:r>
      <w:r w:rsidR="00E83003">
        <w:t>the offender</w:t>
      </w:r>
      <w:r w:rsidR="0035348E">
        <w:t xml:space="preserve"> justif</w:t>
      </w:r>
      <w:r w:rsidR="00146A3B">
        <w:t>y</w:t>
      </w:r>
      <w:r w:rsidR="0035348E">
        <w:t xml:space="preserve"> hate crimes being treated more seriously than </w:t>
      </w:r>
      <w:r w:rsidR="00D35B2F">
        <w:t xml:space="preserve">equivalent </w:t>
      </w:r>
      <w:r w:rsidR="0035348E">
        <w:t xml:space="preserve">non-hate crimes. </w:t>
      </w:r>
    </w:p>
    <w:p w14:paraId="6429DEBC" w14:textId="0A57D398" w:rsidR="0035348E" w:rsidRDefault="0035348E" w:rsidP="009F4337">
      <w:pPr>
        <w:pStyle w:val="BodyText"/>
        <w:numPr>
          <w:ilvl w:val="1"/>
          <w:numId w:val="31"/>
        </w:numPr>
        <w:ind w:hanging="709"/>
      </w:pPr>
      <w:r>
        <w:t xml:space="preserve">These justifications for treating hate crime more seriously have influenced our assessment of the objectives that hate crime law should seek to achieve, which we discuss below. </w:t>
      </w:r>
      <w:r w:rsidR="006C791A">
        <w:t>They have also</w:t>
      </w:r>
      <w:r w:rsidR="00433331">
        <w:t xml:space="preserve"> influenced our assessment, in Chapter </w:t>
      </w:r>
      <w:r w:rsidR="00962EA0">
        <w:t>8</w:t>
      </w:r>
      <w:r w:rsidR="00433331">
        <w:t xml:space="preserve">, of whether reform is required to the wording of section 9(1)(h). </w:t>
      </w:r>
      <w:r w:rsidR="006C791A">
        <w:t xml:space="preserve"> </w:t>
      </w:r>
    </w:p>
    <w:p w14:paraId="361DA81F" w14:textId="0FD1B3E0" w:rsidR="00226F19" w:rsidRPr="00BD7E41" w:rsidRDefault="00226F19" w:rsidP="00226F19">
      <w:pPr>
        <w:pStyle w:val="Heading3"/>
      </w:pPr>
      <w:r>
        <w:t xml:space="preserve">Denunciation and deterrence </w:t>
      </w:r>
    </w:p>
    <w:p w14:paraId="3552B773" w14:textId="1DBF8B4B" w:rsidR="0035348E" w:rsidRDefault="0035348E" w:rsidP="009F4337">
      <w:pPr>
        <w:pStyle w:val="BodyText"/>
        <w:numPr>
          <w:ilvl w:val="1"/>
          <w:numId w:val="31"/>
        </w:numPr>
        <w:ind w:hanging="709"/>
      </w:pPr>
      <w:r>
        <w:t>As noted above,</w:t>
      </w:r>
      <w:r w:rsidR="00226F19">
        <w:t xml:space="preserve"> </w:t>
      </w:r>
      <w:r w:rsidR="00D855A7">
        <w:t xml:space="preserve">in </w:t>
      </w:r>
      <w:r w:rsidR="00A25E4F">
        <w:t>our</w:t>
      </w:r>
      <w:r w:rsidR="00D855A7">
        <w:t xml:space="preserve"> Consultation Paper</w:t>
      </w:r>
      <w:r w:rsidR="0040671B">
        <w:t>,</w:t>
      </w:r>
      <w:r w:rsidR="00D855A7">
        <w:t xml:space="preserve"> </w:t>
      </w:r>
      <w:r w:rsidR="00A25E4F">
        <w:t xml:space="preserve">we identified two other possible reasons </w:t>
      </w:r>
      <w:r w:rsidR="00D855A7">
        <w:t xml:space="preserve">for </w:t>
      </w:r>
      <w:r w:rsidR="00FC074C">
        <w:t>treating hate crimes</w:t>
      </w:r>
      <w:r>
        <w:t xml:space="preserve"> more seriously than </w:t>
      </w:r>
      <w:r w:rsidR="00D35B2F">
        <w:t xml:space="preserve">equivalent </w:t>
      </w:r>
      <w:r>
        <w:t xml:space="preserve">non-hate crimes </w:t>
      </w:r>
      <w:r w:rsidR="00A25E4F">
        <w:t>—</w:t>
      </w:r>
      <w:r w:rsidR="00D855A7">
        <w:t xml:space="preserve"> </w:t>
      </w:r>
      <w:r>
        <w:t>denunciation and deterrence. On reflection, we consider that these two considerations are more properly described as objectives of hate crime law rather than reasons to treat hate crimes more seriously. We return to</w:t>
      </w:r>
      <w:r w:rsidR="00D855A7">
        <w:t xml:space="preserve"> </w:t>
      </w:r>
      <w:r w:rsidR="002C7C21">
        <w:t>them</w:t>
      </w:r>
      <w:r w:rsidR="00D855A7">
        <w:t xml:space="preserve"> </w:t>
      </w:r>
      <w:r>
        <w:t xml:space="preserve">below. </w:t>
      </w:r>
    </w:p>
    <w:p w14:paraId="415498DC" w14:textId="77777777" w:rsidR="0035348E" w:rsidRDefault="0035348E" w:rsidP="0035348E">
      <w:pPr>
        <w:pStyle w:val="Heading2"/>
      </w:pPr>
      <w:bookmarkStart w:id="107" w:name="_Toc212106738"/>
      <w:bookmarkStart w:id="108" w:name="_Toc231467828"/>
      <w:r>
        <w:t>Objectives of hate crime law</w:t>
      </w:r>
      <w:bookmarkEnd w:id="107"/>
      <w:bookmarkEnd w:id="108"/>
      <w:r>
        <w:t xml:space="preserve"> </w:t>
      </w:r>
    </w:p>
    <w:p w14:paraId="20F6F0EE" w14:textId="42511319" w:rsidR="00794E47" w:rsidRDefault="00D855A7" w:rsidP="009F4337">
      <w:pPr>
        <w:pStyle w:val="BodyText"/>
        <w:numPr>
          <w:ilvl w:val="1"/>
          <w:numId w:val="31"/>
        </w:numPr>
        <w:ind w:hanging="709"/>
      </w:pPr>
      <w:r>
        <w:t xml:space="preserve">It follows from our conclusion </w:t>
      </w:r>
      <w:r w:rsidR="009317FF">
        <w:t>above</w:t>
      </w:r>
      <w:r>
        <w:t xml:space="preserve"> that hate crime laws of some kind are desirable. As </w:t>
      </w:r>
      <w:r w:rsidR="0035348E">
        <w:t xml:space="preserve">explained in Chapter 2, </w:t>
      </w:r>
      <w:r>
        <w:t xml:space="preserve">Aotearoa </w:t>
      </w:r>
      <w:r w:rsidR="0035348E">
        <w:t>New Zealand</w:t>
      </w:r>
      <w:r>
        <w:t xml:space="preserve"> already has such laws. The Sentenc</w:t>
      </w:r>
      <w:r w:rsidR="002172A9">
        <w:t>ing</w:t>
      </w:r>
      <w:r>
        <w:t xml:space="preserve"> Act </w:t>
      </w:r>
      <w:r w:rsidR="0035348E">
        <w:t xml:space="preserve">treats hostile motivation as an aggravating factor at sentencing. </w:t>
      </w:r>
    </w:p>
    <w:p w14:paraId="657900D8" w14:textId="74F9BBA8" w:rsidR="0035348E" w:rsidRDefault="00794E47" w:rsidP="009F4337">
      <w:pPr>
        <w:pStyle w:val="BodyText"/>
        <w:numPr>
          <w:ilvl w:val="1"/>
          <w:numId w:val="31"/>
        </w:numPr>
        <w:ind w:hanging="709"/>
      </w:pPr>
      <w:r>
        <w:t xml:space="preserve">A key question for us is </w:t>
      </w:r>
      <w:r w:rsidR="0035348E">
        <w:t>whether th</w:t>
      </w:r>
      <w:r>
        <w:t xml:space="preserve">is approach </w:t>
      </w:r>
      <w:r w:rsidR="0035348E">
        <w:t>adequately responds to hate crime</w:t>
      </w:r>
      <w:r w:rsidR="00F37177">
        <w:t>s</w:t>
      </w:r>
      <w:r w:rsidR="0035348E">
        <w:t xml:space="preserve">, having regard to the higher levels of harm and moral culpability associated with them. To answer that question, </w:t>
      </w:r>
      <w:r>
        <w:t xml:space="preserve">it is helpful to identify the proper </w:t>
      </w:r>
      <w:r w:rsidR="0035348E">
        <w:t>objectives of hate crime law. We use these objectives in later chapters to assess whether there are problems with the current law and, if so, how they should be addressed.</w:t>
      </w:r>
    </w:p>
    <w:p w14:paraId="6E223EE6" w14:textId="36470AF2" w:rsidR="0035348E" w:rsidRDefault="0035348E" w:rsidP="009F4337">
      <w:pPr>
        <w:pStyle w:val="BodyText"/>
        <w:numPr>
          <w:ilvl w:val="1"/>
          <w:numId w:val="31"/>
        </w:numPr>
        <w:ind w:hanging="709"/>
      </w:pPr>
      <w:r>
        <w:t xml:space="preserve">We </w:t>
      </w:r>
      <w:r w:rsidR="00794E47">
        <w:t xml:space="preserve">have identified </w:t>
      </w:r>
      <w:r>
        <w:t>four objectives of hate crime law</w:t>
      </w:r>
      <w:r w:rsidR="0080124B">
        <w:t xml:space="preserve"> as being</w:t>
      </w:r>
      <w:r>
        <w:t>:</w:t>
      </w:r>
    </w:p>
    <w:p w14:paraId="32D3F4FE" w14:textId="7C240AFE" w:rsidR="0035348E" w:rsidRDefault="0035348E" w:rsidP="0035348E">
      <w:pPr>
        <w:pStyle w:val="BodyTextalphalist"/>
        <w:numPr>
          <w:ilvl w:val="3"/>
          <w:numId w:val="31"/>
        </w:numPr>
      </w:pPr>
      <w:r>
        <w:t>to hold hate crime offenders accountable for the additional harm caused by hate crime;</w:t>
      </w:r>
    </w:p>
    <w:p w14:paraId="086A7C6F" w14:textId="77777777" w:rsidR="0035348E" w:rsidRDefault="0035348E" w:rsidP="0035348E">
      <w:pPr>
        <w:pStyle w:val="BodyTextalphalist"/>
        <w:numPr>
          <w:ilvl w:val="3"/>
          <w:numId w:val="31"/>
        </w:numPr>
      </w:pPr>
      <w:r>
        <w:t>to denounce hate crime;</w:t>
      </w:r>
    </w:p>
    <w:p w14:paraId="78345EBA" w14:textId="77777777" w:rsidR="0035348E" w:rsidRDefault="0035348E" w:rsidP="0035348E">
      <w:pPr>
        <w:pStyle w:val="BodyTextalphalist"/>
        <w:numPr>
          <w:ilvl w:val="3"/>
          <w:numId w:val="31"/>
        </w:numPr>
      </w:pPr>
      <w:r>
        <w:t>to reduce the occurrence of hate crime; and</w:t>
      </w:r>
    </w:p>
    <w:p w14:paraId="0C22EC73" w14:textId="77777777" w:rsidR="0035348E" w:rsidRDefault="0035348E" w:rsidP="0035348E">
      <w:pPr>
        <w:pStyle w:val="BodyTextalphalist"/>
        <w:numPr>
          <w:ilvl w:val="3"/>
          <w:numId w:val="31"/>
        </w:numPr>
      </w:pPr>
      <w:r>
        <w:t xml:space="preserve">to provide reassurance to victims and communities. </w:t>
      </w:r>
    </w:p>
    <w:p w14:paraId="32D5BA64" w14:textId="7F70134C" w:rsidR="0035348E" w:rsidRDefault="0035348E" w:rsidP="009F4337">
      <w:pPr>
        <w:pStyle w:val="BodyText"/>
        <w:numPr>
          <w:ilvl w:val="1"/>
          <w:numId w:val="31"/>
        </w:numPr>
        <w:ind w:hanging="709"/>
      </w:pPr>
      <w:r>
        <w:t xml:space="preserve">These </w:t>
      </w:r>
      <w:r w:rsidR="001F7E2A">
        <w:t>objectives</w:t>
      </w:r>
      <w:r>
        <w:t xml:space="preserve"> a</w:t>
      </w:r>
      <w:r w:rsidR="001F7E2A">
        <w:t xml:space="preserve">re acknowledged </w:t>
      </w:r>
      <w:r w:rsidR="007A6781">
        <w:t xml:space="preserve">in </w:t>
      </w:r>
      <w:r>
        <w:t>commentary on hate crime law (</w:t>
      </w:r>
      <w:r w:rsidR="007A6781">
        <w:t xml:space="preserve">which we </w:t>
      </w:r>
      <w:r>
        <w:t>discuss further below) and reflect Parliament’s intentions in enacting section 9(1)(h) of the Sentencing Act.</w:t>
      </w:r>
      <w:r>
        <w:rPr>
          <w:rStyle w:val="FootnoteReference"/>
        </w:rPr>
        <w:footnoteReference w:id="134"/>
      </w:r>
      <w:r>
        <w:t xml:space="preserve"> They also reflect general purposes of the criminal law</w:t>
      </w:r>
      <w:r>
        <w:rPr>
          <w:rStyle w:val="FootnoteReference"/>
        </w:rPr>
        <w:footnoteReference w:id="135"/>
      </w:r>
      <w:r>
        <w:t xml:space="preserve"> and sentencing.</w:t>
      </w:r>
      <w:r>
        <w:rPr>
          <w:rStyle w:val="FootnoteReference"/>
        </w:rPr>
        <w:footnoteReference w:id="136"/>
      </w:r>
      <w:r>
        <w:t xml:space="preserve"> </w:t>
      </w:r>
    </w:p>
    <w:p w14:paraId="4C5C5429" w14:textId="77777777" w:rsidR="0035348E" w:rsidRDefault="0035348E" w:rsidP="0035348E">
      <w:pPr>
        <w:pStyle w:val="Heading3"/>
      </w:pPr>
      <w:r>
        <w:t>Holding the offender accountable</w:t>
      </w:r>
    </w:p>
    <w:p w14:paraId="0D158DD4" w14:textId="0A1F609A" w:rsidR="0035348E" w:rsidRDefault="0035348E" w:rsidP="009F4337">
      <w:pPr>
        <w:pStyle w:val="BodyText"/>
        <w:numPr>
          <w:ilvl w:val="1"/>
          <w:numId w:val="31"/>
        </w:numPr>
        <w:ind w:hanging="709"/>
      </w:pPr>
      <w:r>
        <w:t xml:space="preserve">First, hate crime law should hold hate crime offenders accountable for the additional harm caused by hate crimes. As explained above, hate crimes cause more significant harms </w:t>
      </w:r>
      <w:r w:rsidR="00733174">
        <w:t>to and are more morally blameworthy than equiv</w:t>
      </w:r>
      <w:r w:rsidR="00D35B2F">
        <w:t xml:space="preserve">alent </w:t>
      </w:r>
      <w:r>
        <w:t>non-hate crimes. A key objective of hate crime law is to ensure that punishment for hate crimes reflects those higher levels of harm and culpability. This is consistent with the principle of proportionality in the criminal law, according to which the punishment imposed on an offender should be proportionate to the seriousness of the offence they have committed.</w:t>
      </w:r>
      <w:r>
        <w:rPr>
          <w:rStyle w:val="FootnoteReference"/>
        </w:rPr>
        <w:footnoteReference w:id="137"/>
      </w:r>
    </w:p>
    <w:p w14:paraId="0EEEA4D5" w14:textId="1329F318" w:rsidR="0035348E" w:rsidRDefault="0035348E" w:rsidP="0035348E">
      <w:pPr>
        <w:pStyle w:val="Heading3"/>
      </w:pPr>
      <w:r>
        <w:t>Denouncing hate crime</w:t>
      </w:r>
    </w:p>
    <w:p w14:paraId="7436364C" w14:textId="46FC8736" w:rsidR="0035348E" w:rsidRDefault="0035348E" w:rsidP="009F4337">
      <w:pPr>
        <w:pStyle w:val="BodyText"/>
        <w:numPr>
          <w:ilvl w:val="1"/>
          <w:numId w:val="31"/>
        </w:numPr>
        <w:ind w:hanging="709"/>
      </w:pPr>
      <w:r>
        <w:t>The second objective of hate crime law is denunciation. The law should send a message that hate crime is a serious wrong and will not be tolerated by society.</w:t>
      </w:r>
      <w:r>
        <w:rPr>
          <w:rStyle w:val="FootnoteReference"/>
        </w:rPr>
        <w:footnoteReference w:id="138"/>
      </w:r>
      <w:r>
        <w:t xml:space="preserve"> </w:t>
      </w:r>
      <w:r w:rsidR="00EE700B">
        <w:t>A number of</w:t>
      </w:r>
      <w:r>
        <w:t xml:space="preserve"> submitters discussed denunciation in their feedback on our </w:t>
      </w:r>
      <w:r w:rsidR="00D82C2A">
        <w:t>C</w:t>
      </w:r>
      <w:r>
        <w:t xml:space="preserve">onsultation </w:t>
      </w:r>
      <w:r w:rsidR="00D82C2A">
        <w:t>P</w:t>
      </w:r>
      <w:r>
        <w:t>aper.</w:t>
      </w:r>
      <w:r>
        <w:rPr>
          <w:rStyle w:val="FootnoteReference"/>
        </w:rPr>
        <w:footnoteReference w:id="139"/>
      </w:r>
      <w:r>
        <w:t xml:space="preserve"> </w:t>
      </w:r>
      <w:r w:rsidR="00EE700B">
        <w:t>Several</w:t>
      </w:r>
      <w:r>
        <w:t xml:space="preserve"> submitters emphasised that the denunciation of hate crime is important. One submitter considered that</w:t>
      </w:r>
      <w:r w:rsidR="00733174">
        <w:t>,</w:t>
      </w:r>
      <w:r>
        <w:t xml:space="preserve"> for this reason</w:t>
      </w:r>
      <w:r w:rsidR="00733174">
        <w:t>,</w:t>
      </w:r>
      <w:r>
        <w:t xml:space="preserve"> there may be important symbolic benefits to labelling certain offending as hate crimes.</w:t>
      </w:r>
      <w:r>
        <w:rPr>
          <w:rStyle w:val="FootnoteReference"/>
        </w:rPr>
        <w:footnoteReference w:id="140"/>
      </w:r>
      <w:r>
        <w:t xml:space="preserve">  </w:t>
      </w:r>
    </w:p>
    <w:p w14:paraId="5ECE0748" w14:textId="3BFD502A" w:rsidR="0035348E" w:rsidRDefault="0035348E" w:rsidP="008A12B9">
      <w:pPr>
        <w:pStyle w:val="BodyText"/>
        <w:numPr>
          <w:ilvl w:val="1"/>
          <w:numId w:val="31"/>
        </w:numPr>
        <w:ind w:hanging="709"/>
      </w:pPr>
      <w:r>
        <w:t xml:space="preserve">Denouncing hate crimes reaffirms </w:t>
      </w:r>
      <w:r w:rsidR="00790949">
        <w:t xml:space="preserve">Aotearoa </w:t>
      </w:r>
      <w:r>
        <w:t>New Zealand’s commitment to the values of tolerance and equality that hate crimes undermine. This may help to influence public attitudes and behaviour over time by making it clear that the offender’s hostile views are not shared or condoned by society at large.</w:t>
      </w:r>
    </w:p>
    <w:p w14:paraId="20FA30CC" w14:textId="1B13701F" w:rsidR="0035348E" w:rsidRDefault="0035348E" w:rsidP="008A12B9">
      <w:pPr>
        <w:pStyle w:val="BodyText"/>
        <w:numPr>
          <w:ilvl w:val="1"/>
          <w:numId w:val="31"/>
        </w:numPr>
        <w:ind w:hanging="709"/>
      </w:pPr>
      <w:r>
        <w:t>Denunciation may occur at different levels. The enactment of hate crime law itself may have an expressive or symbolic function,</w:t>
      </w:r>
      <w:r w:rsidRPr="00AE1317">
        <w:t xml:space="preserve"> </w:t>
      </w:r>
      <w:r>
        <w:t>communicating to the public that hate crime is not acceptable.</w:t>
      </w:r>
      <w:r>
        <w:rPr>
          <w:rStyle w:val="FootnoteReference"/>
        </w:rPr>
        <w:footnoteReference w:id="141"/>
      </w:r>
      <w:r>
        <w:t xml:space="preserve"> Denunciation may also occur through the enforcement of the law, for example, when the courts label an offence as a hate crime or impose a harsher sentence on an offender because of their hostile motivation.</w:t>
      </w:r>
      <w:r>
        <w:rPr>
          <w:rStyle w:val="FootnoteReference"/>
        </w:rPr>
        <w:footnoteReference w:id="142"/>
      </w:r>
      <w:r>
        <w:t xml:space="preserve"> If publicised, this enforcement process serves to remind the public that hate crime laws exist and to demonstrate that they are taken seriously. </w:t>
      </w:r>
    </w:p>
    <w:p w14:paraId="392EBB35" w14:textId="77777777" w:rsidR="0035348E" w:rsidRDefault="0035348E" w:rsidP="0035348E">
      <w:pPr>
        <w:pStyle w:val="Heading3"/>
      </w:pPr>
      <w:r>
        <w:t xml:space="preserve">Reducing the occurrence of hate crimes </w:t>
      </w:r>
    </w:p>
    <w:p w14:paraId="50D0A377" w14:textId="10769E1C" w:rsidR="0035348E" w:rsidRDefault="0035348E" w:rsidP="008A12B9">
      <w:pPr>
        <w:pStyle w:val="BodyText"/>
        <w:numPr>
          <w:ilvl w:val="1"/>
          <w:numId w:val="31"/>
        </w:numPr>
        <w:ind w:hanging="709"/>
      </w:pPr>
      <w:r>
        <w:t>A third objective of hate crime law is to reduce the occurrence of hate crime</w:t>
      </w:r>
      <w:r w:rsidR="00B762BD">
        <w:t>s</w:t>
      </w:r>
      <w:r>
        <w:t xml:space="preserve">. </w:t>
      </w:r>
      <w:r>
        <w:rPr>
          <w:szCs w:val="20"/>
        </w:rPr>
        <w:t>It is well accepted that one purpose of the criminal law is to deter offending</w:t>
      </w:r>
      <w:r>
        <w:t>.</w:t>
      </w:r>
      <w:r>
        <w:rPr>
          <w:rStyle w:val="FootnoteReference"/>
        </w:rPr>
        <w:footnoteReference w:id="143"/>
      </w:r>
      <w:r>
        <w:t xml:space="preserve"> However, of the eight submitters who discussed the relevance of deterrence to hate crime law,</w:t>
      </w:r>
      <w:r>
        <w:rPr>
          <w:rStyle w:val="FootnoteReference"/>
        </w:rPr>
        <w:footnoteReference w:id="144"/>
      </w:r>
      <w:r>
        <w:t xml:space="preserve"> most were sceptical that more punitive sentences act as a deterrent or that hate crime law ma</w:t>
      </w:r>
      <w:r w:rsidR="004E0092">
        <w:t>k</w:t>
      </w:r>
      <w:r>
        <w:t>e</w:t>
      </w:r>
      <w:r w:rsidR="004207F3">
        <w:t>s</w:t>
      </w:r>
      <w:r>
        <w:t xml:space="preserve"> </w:t>
      </w:r>
      <w:r w:rsidR="00790949">
        <w:t xml:space="preserve">Aotearoa </w:t>
      </w:r>
      <w:r>
        <w:t>New Zealand safer.</w:t>
      </w:r>
      <w:r>
        <w:rPr>
          <w:color w:val="262626" w:themeColor="text1" w:themeTint="D9"/>
          <w:sz w:val="18"/>
          <w:szCs w:val="18"/>
          <w:vertAlign w:val="superscript"/>
        </w:rPr>
        <w:footnoteReference w:id="145"/>
      </w:r>
      <w:r>
        <w:t xml:space="preserve"> Two submitters thought that treating hate crimes seriously may have a deterrent effect.</w:t>
      </w:r>
      <w:r>
        <w:rPr>
          <w:color w:val="262626" w:themeColor="text1" w:themeTint="D9"/>
          <w:sz w:val="18"/>
          <w:szCs w:val="18"/>
          <w:vertAlign w:val="superscript"/>
        </w:rPr>
        <w:footnoteReference w:id="146"/>
      </w:r>
      <w:r>
        <w:t xml:space="preserve"> One submitter did not directly discuss deterrence but suggested that treating hate crimes seriously helps to combat </w:t>
      </w:r>
      <w:r w:rsidR="00E275A0">
        <w:t xml:space="preserve">systemic </w:t>
      </w:r>
      <w:r>
        <w:t>racism and promote social cohesion and equality.</w:t>
      </w:r>
      <w:r>
        <w:rPr>
          <w:rStyle w:val="FootnoteReference"/>
        </w:rPr>
        <w:footnoteReference w:id="147"/>
      </w:r>
    </w:p>
    <w:p w14:paraId="6F1BE372" w14:textId="28D9B8C0" w:rsidR="0035348E" w:rsidRDefault="0035348E" w:rsidP="008A12B9">
      <w:pPr>
        <w:pStyle w:val="BodyText"/>
        <w:numPr>
          <w:ilvl w:val="1"/>
          <w:numId w:val="31"/>
        </w:numPr>
        <w:ind w:hanging="709"/>
      </w:pPr>
      <w:r>
        <w:t xml:space="preserve">We agree there is little evidence that </w:t>
      </w:r>
      <w:r w:rsidRPr="003162BD">
        <w:t>imposing more serious consequences on hate crime offenders</w:t>
      </w:r>
      <w:r>
        <w:t xml:space="preserve"> would directly deter people from offending or reoffending.</w:t>
      </w:r>
      <w:r>
        <w:rPr>
          <w:rStyle w:val="FootnoteReference"/>
          <w:szCs w:val="20"/>
        </w:rPr>
        <w:footnoteReference w:id="148"/>
      </w:r>
      <w:r>
        <w:t xml:space="preserve"> However, well</w:t>
      </w:r>
      <w:r w:rsidR="00863265">
        <w:t>-</w:t>
      </w:r>
      <w:r>
        <w:t>designed hate crime law may nevertheless indirectly influence the</w:t>
      </w:r>
      <w:r w:rsidR="00543895">
        <w:t xml:space="preserve"> prevalence of hat</w:t>
      </w:r>
      <w:r w:rsidR="00863265">
        <w:t>e</w:t>
      </w:r>
      <w:r w:rsidR="00543895">
        <w:t xml:space="preserve"> crime. </w:t>
      </w:r>
      <w:r>
        <w:t>We see three ways in which hate crime law may reduce hate crime:</w:t>
      </w:r>
    </w:p>
    <w:p w14:paraId="1BF176BD" w14:textId="77777777" w:rsidR="0035348E" w:rsidRDefault="0035348E" w:rsidP="0035348E">
      <w:pPr>
        <w:pStyle w:val="BodyTextalphalist"/>
      </w:pPr>
      <w:r>
        <w:t xml:space="preserve">As we have noted above, hate crime law has an important denunciatory role. </w:t>
      </w:r>
      <w:r w:rsidRPr="004D0A40">
        <w:rPr>
          <w:szCs w:val="20"/>
        </w:rPr>
        <w:t xml:space="preserve">Having laws that clearly signal </w:t>
      </w:r>
      <w:r>
        <w:rPr>
          <w:szCs w:val="20"/>
        </w:rPr>
        <w:t xml:space="preserve">that </w:t>
      </w:r>
      <w:r w:rsidRPr="004D0A40">
        <w:rPr>
          <w:szCs w:val="20"/>
        </w:rPr>
        <w:t>hate crime (and the prejudice that underlies it) is unacceptable</w:t>
      </w:r>
      <w:r>
        <w:t xml:space="preserve"> might influence societal attitudes, and consequently behaviour, over time.</w:t>
      </w:r>
      <w:r>
        <w:rPr>
          <w:rStyle w:val="FootnoteReference"/>
        </w:rPr>
        <w:footnoteReference w:id="149"/>
      </w:r>
      <w:r>
        <w:t xml:space="preserve"> This may help to reduce the number of hate crimes that occur. </w:t>
      </w:r>
    </w:p>
    <w:p w14:paraId="4C182B8F" w14:textId="3B696D7A" w:rsidR="0035348E" w:rsidRDefault="0035348E" w:rsidP="0035348E">
      <w:pPr>
        <w:pStyle w:val="BodyTextalphalist"/>
      </w:pPr>
      <w:r>
        <w:t>Hate crime law that facilitates appropriate management and rehabilitation of offenders may help to reduce the risk that they will commit further hate crimes in future</w:t>
      </w:r>
      <w:r w:rsidR="0033092C">
        <w:t>.</w:t>
      </w:r>
    </w:p>
    <w:p w14:paraId="52E0B2BA" w14:textId="114D715E" w:rsidR="0035348E" w:rsidRPr="004238AB" w:rsidRDefault="0035348E" w:rsidP="0035348E">
      <w:pPr>
        <w:pStyle w:val="BodyTextalphalist"/>
      </w:pPr>
      <w:r>
        <w:t xml:space="preserve">Hate crime law </w:t>
      </w:r>
      <w:r w:rsidRPr="004238AB">
        <w:t>that supports appropriate decision-making about bail</w:t>
      </w:r>
      <w:r>
        <w:t>, sentence conditions and parole</w:t>
      </w:r>
      <w:r w:rsidRPr="004238AB">
        <w:t xml:space="preserve"> may also help </w:t>
      </w:r>
      <w:r w:rsidR="00543895">
        <w:t xml:space="preserve">to </w:t>
      </w:r>
      <w:r w:rsidRPr="004238AB">
        <w:t xml:space="preserve">reduce </w:t>
      </w:r>
      <w:r w:rsidR="007674E0">
        <w:t>re</w:t>
      </w:r>
      <w:r w:rsidRPr="004238AB">
        <w:t xml:space="preserve">offending. For example, there may be conditions </w:t>
      </w:r>
      <w:r>
        <w:t>that</w:t>
      </w:r>
      <w:r w:rsidRPr="004238AB">
        <w:t xml:space="preserve"> prevent a person from going to certain places</w:t>
      </w:r>
      <w:r>
        <w:t xml:space="preserve"> (such as </w:t>
      </w:r>
      <w:r w:rsidRPr="004238AB">
        <w:t xml:space="preserve">mosques if an individual had committed </w:t>
      </w:r>
      <w:r>
        <w:t>hostility</w:t>
      </w:r>
      <w:r w:rsidRPr="004238AB">
        <w:t>-motivated offending against Muslims</w:t>
      </w:r>
      <w:r>
        <w:t>)</w:t>
      </w:r>
      <w:r w:rsidRPr="004238AB">
        <w:t>.</w:t>
      </w:r>
      <w:r>
        <w:rPr>
          <w:rStyle w:val="FootnoteReference"/>
        </w:rPr>
        <w:footnoteReference w:id="150"/>
      </w:r>
      <w:r w:rsidRPr="004238AB">
        <w:t xml:space="preserve">  </w:t>
      </w:r>
    </w:p>
    <w:p w14:paraId="1135595F" w14:textId="77777777" w:rsidR="0035348E" w:rsidRDefault="0035348E" w:rsidP="0035348E">
      <w:pPr>
        <w:pStyle w:val="Heading3"/>
      </w:pPr>
      <w:r>
        <w:t>Reassuring victims and communities</w:t>
      </w:r>
    </w:p>
    <w:p w14:paraId="46B25625" w14:textId="7EEF9E75" w:rsidR="0035348E" w:rsidRDefault="0035348E" w:rsidP="008A12B9">
      <w:pPr>
        <w:pStyle w:val="BodyText"/>
        <w:numPr>
          <w:ilvl w:val="1"/>
          <w:numId w:val="31"/>
        </w:numPr>
        <w:ind w:hanging="709"/>
      </w:pPr>
      <w:r>
        <w:t xml:space="preserve">The final objective of hate crime law is to provide reassurance to victims and communities. This objective is also related to denunciation but it is sufficiently important to be stated as an objective in its own right. </w:t>
      </w:r>
    </w:p>
    <w:p w14:paraId="429FB1F7" w14:textId="39CE8609" w:rsidR="0035348E" w:rsidRDefault="0035348E" w:rsidP="008A12B9">
      <w:pPr>
        <w:pStyle w:val="BodyText"/>
        <w:numPr>
          <w:ilvl w:val="1"/>
          <w:numId w:val="31"/>
        </w:numPr>
        <w:ind w:hanging="709"/>
      </w:pPr>
      <w:r>
        <w:t xml:space="preserve">As discussed above, the additional harms caused by hate crime largely stem from the fact that they are ‘message crimes’. By targeting people based on their identity, hate crimes send a message to the targeted community that they are not welcome or valued in society. To counter that message, hate crime law should make it clear to affected communities that they are valued members of society and that the </w:t>
      </w:r>
      <w:r w:rsidR="00A147C9">
        <w:t>s</w:t>
      </w:r>
      <w:r>
        <w:t>tate is committed to protecting them.</w:t>
      </w:r>
      <w:r>
        <w:rPr>
          <w:rStyle w:val="FootnoteReference"/>
        </w:rPr>
        <w:footnoteReference w:id="151"/>
      </w:r>
      <w:r>
        <w:t xml:space="preserve"> Treating hate crimes seriously “reaffirms </w:t>
      </w:r>
      <w:r>
        <w:rPr>
          <w:szCs w:val="20"/>
        </w:rPr>
        <w:t>the fundamental equality of all members of a democratic community”.</w:t>
      </w:r>
      <w:r>
        <w:rPr>
          <w:rStyle w:val="FootnoteReference"/>
          <w:szCs w:val="20"/>
        </w:rPr>
        <w:footnoteReference w:id="152"/>
      </w:r>
      <w:r>
        <w:rPr>
          <w:szCs w:val="20"/>
        </w:rPr>
        <w:t xml:space="preserve"> It may help to reduce the additional harms caused by a hate crime by reinforcing that the offender’s hostility is not shared by society at large.</w:t>
      </w:r>
    </w:p>
    <w:p w14:paraId="037B397C" w14:textId="77777777" w:rsidR="0035348E" w:rsidRDefault="0035348E" w:rsidP="0035348E">
      <w:pPr>
        <w:pStyle w:val="Heading2"/>
      </w:pPr>
      <w:bookmarkStart w:id="109" w:name="_Toc231467829"/>
      <w:bookmarkStart w:id="110" w:name="_Toc212106739"/>
      <w:r>
        <w:t>Legal principles for the creation of new offences</w:t>
      </w:r>
      <w:bookmarkEnd w:id="109"/>
    </w:p>
    <w:bookmarkEnd w:id="110"/>
    <w:p w14:paraId="2958FAFA" w14:textId="3520E3CC" w:rsidR="0035348E" w:rsidRDefault="0035348E" w:rsidP="009F4337">
      <w:pPr>
        <w:pStyle w:val="BodyText"/>
        <w:numPr>
          <w:ilvl w:val="1"/>
          <w:numId w:val="31"/>
        </w:numPr>
        <w:ind w:hanging="709"/>
      </w:pPr>
      <w:r>
        <w:t xml:space="preserve">As explained in Chapter </w:t>
      </w:r>
      <w:r w:rsidR="00302689">
        <w:t>2</w:t>
      </w:r>
      <w:r>
        <w:t xml:space="preserve">, New Zealand law currently </w:t>
      </w:r>
      <w:r w:rsidR="00B7125C">
        <w:t xml:space="preserve">treats hostile motivation </w:t>
      </w:r>
      <w:r>
        <w:t>as an aggravating factor at sentencing. The key question in this review is whether the law should (either as well as</w:t>
      </w:r>
      <w:r w:rsidR="0017608C">
        <w:t>,</w:t>
      </w:r>
      <w:r>
        <w:t xml:space="preserve"> or instead of</w:t>
      </w:r>
      <w:r w:rsidR="0017608C">
        <w:t>,</w:t>
      </w:r>
      <w:r>
        <w:t xml:space="preserve"> a sentence aggravation approach) contain </w:t>
      </w:r>
      <w:r w:rsidR="00B720EA">
        <w:t xml:space="preserve">separate </w:t>
      </w:r>
      <w:r>
        <w:t>hate</w:t>
      </w:r>
      <w:r w:rsidR="00B7125C">
        <w:t xml:space="preserve"> crime </w:t>
      </w:r>
      <w:r>
        <w:t xml:space="preserve">offences. </w:t>
      </w:r>
    </w:p>
    <w:p w14:paraId="67CC876C" w14:textId="54184DD1" w:rsidR="00EC6B6E" w:rsidRDefault="0035348E" w:rsidP="009F4337">
      <w:pPr>
        <w:pStyle w:val="BodyText"/>
        <w:numPr>
          <w:ilvl w:val="1"/>
          <w:numId w:val="31"/>
        </w:numPr>
        <w:ind w:hanging="709"/>
      </w:pPr>
      <w:r>
        <w:t>There are well-established principles for deciding when it is appropriate to create new offence</w:t>
      </w:r>
      <w:r w:rsidR="00EF2638">
        <w:t>s</w:t>
      </w:r>
      <w:r>
        <w:t xml:space="preserve">. The starting point is the Legislation Design and Advisory Committee’s </w:t>
      </w:r>
      <w:r w:rsidRPr="009F233C">
        <w:rPr>
          <w:i/>
          <w:iCs/>
        </w:rPr>
        <w:t xml:space="preserve">Legislation Guidelines </w:t>
      </w:r>
      <w:r>
        <w:t>(LDAC Guidelines).</w:t>
      </w:r>
      <w:r>
        <w:rPr>
          <w:rStyle w:val="FootnoteReference"/>
        </w:rPr>
        <w:footnoteReference w:id="153"/>
      </w:r>
      <w:r>
        <w:t xml:space="preserve"> The LDAC Guidelines explain that the purpose of an offence is to “punish, deter, and publicly denounce conduct that society considers to be blameworthy and harmful”.</w:t>
      </w:r>
      <w:r>
        <w:rPr>
          <w:rStyle w:val="FootnoteReference"/>
        </w:rPr>
        <w:footnoteReference w:id="154"/>
      </w:r>
      <w:r>
        <w:t xml:space="preserve"> The Guidelines suggest it may be appropriate to create an offence for conduct that is harmful (to individuals or to public or private interests) and/or morally blameworthy (for example, because the harm is intended or foreseeable).</w:t>
      </w:r>
      <w:r>
        <w:rPr>
          <w:rStyle w:val="FootnoteReference"/>
        </w:rPr>
        <w:footnoteReference w:id="155"/>
      </w:r>
      <w:r>
        <w:t xml:space="preserve"> </w:t>
      </w:r>
    </w:p>
    <w:p w14:paraId="1F7F78CE" w14:textId="29D13251" w:rsidR="0035348E" w:rsidRDefault="0035348E" w:rsidP="009F4337">
      <w:pPr>
        <w:pStyle w:val="BodyText"/>
        <w:numPr>
          <w:ilvl w:val="1"/>
          <w:numId w:val="31"/>
        </w:numPr>
        <w:ind w:hanging="709"/>
      </w:pPr>
      <w:r>
        <w:t xml:space="preserve">As explained above, hate crimes involve additional harm and moral blameworthiness compared to </w:t>
      </w:r>
      <w:r w:rsidR="00D35B2F">
        <w:t xml:space="preserve">equivalent </w:t>
      </w:r>
      <w:r>
        <w:t xml:space="preserve">non-hate </w:t>
      </w:r>
      <w:r w:rsidR="004C04C9">
        <w:t>crimes</w:t>
      </w:r>
      <w:r>
        <w:t>.</w:t>
      </w:r>
      <w:r w:rsidR="00EC6B6E">
        <w:t xml:space="preserve"> The question</w:t>
      </w:r>
      <w:r w:rsidR="002D485F">
        <w:t>,</w:t>
      </w:r>
      <w:r w:rsidR="00EC6B6E">
        <w:t xml:space="preserve"> however, is</w:t>
      </w:r>
      <w:r w:rsidR="00D30356">
        <w:t xml:space="preserve"> </w:t>
      </w:r>
      <w:r>
        <w:t xml:space="preserve">whether the additional harm and blameworthiness associated with hostile motivation </w:t>
      </w:r>
      <w:r w:rsidR="00D30356">
        <w:t>demands</w:t>
      </w:r>
      <w:r>
        <w:t xml:space="preserve"> the creation of separate hate crime offences. That depends, in the first instance, on whether the existing sentence aggravation model is sufficient to </w:t>
      </w:r>
      <w:r w:rsidR="00D30356">
        <w:t>reflect</w:t>
      </w:r>
      <w:r>
        <w:t xml:space="preserve"> th</w:t>
      </w:r>
      <w:r w:rsidR="00D30356">
        <w:t>e</w:t>
      </w:r>
      <w:r>
        <w:t xml:space="preserve"> additional harm and blameworthiness. The LDAC </w:t>
      </w:r>
      <w:r w:rsidR="00572F70">
        <w:t>G</w:t>
      </w:r>
      <w:r>
        <w:t>uidelines state that offences should only be introduced if there are “compelling reasons”.</w:t>
      </w:r>
      <w:r>
        <w:rPr>
          <w:rStyle w:val="FootnoteReference"/>
        </w:rPr>
        <w:footnoteReference w:id="156"/>
      </w:r>
      <w:r>
        <w:t xml:space="preserve"> Conduct that is already an offence should not be further criminalised unless it would serve some additional purpose not achieved by the current law.</w:t>
      </w:r>
      <w:r>
        <w:rPr>
          <w:rStyle w:val="FootnoteReference"/>
        </w:rPr>
        <w:footnoteReference w:id="157"/>
      </w:r>
      <w:r>
        <w:t xml:space="preserve"> </w:t>
      </w:r>
    </w:p>
    <w:p w14:paraId="784A3852" w14:textId="35724B6A" w:rsidR="0035348E" w:rsidRDefault="0035348E" w:rsidP="0035348E">
      <w:pPr>
        <w:pStyle w:val="BodyText"/>
        <w:numPr>
          <w:ilvl w:val="1"/>
          <w:numId w:val="31"/>
        </w:numPr>
        <w:ind w:hanging="709"/>
      </w:pPr>
      <w:r>
        <w:t>For these reasons, we indicated i</w:t>
      </w:r>
      <w:r w:rsidRPr="00136605">
        <w:t xml:space="preserve">n our Consultation Paper </w:t>
      </w:r>
      <w:r>
        <w:t xml:space="preserve">that we would </w:t>
      </w:r>
      <w:r w:rsidRPr="00136605">
        <w:t>only recommend adopti</w:t>
      </w:r>
      <w:r>
        <w:t>ng</w:t>
      </w:r>
      <w:r w:rsidRPr="00136605">
        <w:t xml:space="preserve"> </w:t>
      </w:r>
      <w:r>
        <w:t>hate crime offences</w:t>
      </w:r>
      <w:r w:rsidRPr="00136605">
        <w:t xml:space="preserve"> if </w:t>
      </w:r>
      <w:r>
        <w:t xml:space="preserve">we identified </w:t>
      </w:r>
      <w:r w:rsidRPr="00136605">
        <w:t>problems with the current law that cannot be addressed by making changes to the sentence aggravation model.</w:t>
      </w:r>
      <w:r>
        <w:rPr>
          <w:rStyle w:val="FootnoteReference"/>
        </w:rPr>
        <w:footnoteReference w:id="158"/>
      </w:r>
      <w:r w:rsidRPr="00136605">
        <w:t xml:space="preserve"> Submitters and others </w:t>
      </w:r>
      <w:r w:rsidR="005F05FE">
        <w:t xml:space="preserve">with whom </w:t>
      </w:r>
      <w:r w:rsidRPr="00136605">
        <w:t>we consulted generally agreed with this approach</w:t>
      </w:r>
      <w:r>
        <w:t xml:space="preserve">. </w:t>
      </w:r>
    </w:p>
    <w:p w14:paraId="525F988D" w14:textId="5E4830B9" w:rsidR="0035348E" w:rsidRDefault="0035348E" w:rsidP="009F4337">
      <w:pPr>
        <w:pStyle w:val="BodyText"/>
        <w:numPr>
          <w:ilvl w:val="1"/>
          <w:numId w:val="31"/>
        </w:numPr>
        <w:ind w:hanging="709"/>
      </w:pPr>
      <w:r>
        <w:t>In our Consultation Paper, we also identified some additional questions that need to be considered when deciding whether to create new offences.</w:t>
      </w:r>
      <w:r>
        <w:rPr>
          <w:rStyle w:val="FootnoteReference"/>
        </w:rPr>
        <w:footnoteReference w:id="159"/>
      </w:r>
      <w:r>
        <w:t xml:space="preserve"> They are</w:t>
      </w:r>
      <w:r w:rsidR="00DD4AAE">
        <w:t xml:space="preserve"> as follows</w:t>
      </w:r>
      <w:r>
        <w:t>:</w:t>
      </w:r>
      <w:r>
        <w:rPr>
          <w:rStyle w:val="FootnoteReference"/>
        </w:rPr>
        <w:footnoteReference w:id="160"/>
      </w:r>
    </w:p>
    <w:p w14:paraId="386C2F51" w14:textId="163577F7" w:rsidR="0035348E" w:rsidRPr="00BA7064" w:rsidRDefault="0035348E" w:rsidP="0035348E">
      <w:pPr>
        <w:pStyle w:val="BodyTextalphalist"/>
        <w:numPr>
          <w:ilvl w:val="3"/>
          <w:numId w:val="31"/>
        </w:numPr>
        <w:rPr>
          <w:b/>
        </w:rPr>
      </w:pPr>
      <w:r w:rsidRPr="00BA7064">
        <w:rPr>
          <w:b/>
        </w:rPr>
        <w:t>Can the offence achieve its purpose?</w:t>
      </w:r>
      <w:r>
        <w:rPr>
          <w:b/>
          <w:bCs/>
        </w:rPr>
        <w:t xml:space="preserve"> </w:t>
      </w:r>
      <w:r>
        <w:t xml:space="preserve">This includes </w:t>
      </w:r>
      <w:r w:rsidR="00D448B6">
        <w:t xml:space="preserve">considering </w:t>
      </w:r>
      <w:r>
        <w:t>the practicality of enforcing the offence.</w:t>
      </w:r>
      <w:r>
        <w:rPr>
          <w:rStyle w:val="FootnoteReference"/>
        </w:rPr>
        <w:footnoteReference w:id="161"/>
      </w:r>
      <w:r>
        <w:t xml:space="preserve"> The purpose of creating hate crime offences would be to address the problems with the existing law (</w:t>
      </w:r>
      <w:r w:rsidR="00CB469B">
        <w:t xml:space="preserve">which we </w:t>
      </w:r>
      <w:r>
        <w:t>discuss in Chapter 4) so as to meet the objectives of hate crime law more effectively than the sentence aggravation model.</w:t>
      </w:r>
    </w:p>
    <w:p w14:paraId="296004F4" w14:textId="20D35FC7" w:rsidR="0035348E" w:rsidRPr="00650BF2" w:rsidRDefault="0035348E" w:rsidP="001177A4">
      <w:pPr>
        <w:pStyle w:val="BodyTextalphalist"/>
      </w:pPr>
      <w:r w:rsidRPr="00650BF2">
        <w:rPr>
          <w:b/>
          <w:bCs/>
        </w:rPr>
        <w:t>Are there less</w:t>
      </w:r>
      <w:r w:rsidR="00EC71E5">
        <w:rPr>
          <w:b/>
          <w:bCs/>
        </w:rPr>
        <w:t>-</w:t>
      </w:r>
      <w:r w:rsidRPr="00650BF2">
        <w:rPr>
          <w:b/>
          <w:bCs/>
        </w:rPr>
        <w:t>restrictive ways to achieve the same outcome?</w:t>
      </w:r>
      <w:r w:rsidRPr="00650BF2">
        <w:t xml:space="preserve"> For example, could </w:t>
      </w:r>
      <w:r w:rsidR="00650BF2" w:rsidRPr="00650BF2">
        <w:t xml:space="preserve">any of </w:t>
      </w:r>
      <w:r w:rsidRPr="00650BF2">
        <w:t>the problems identified be addressed by making changes to policy and practice rather than</w:t>
      </w:r>
      <w:r w:rsidR="00650BF2" w:rsidRPr="00650BF2">
        <w:t xml:space="preserve"> by</w:t>
      </w:r>
      <w:r w:rsidRPr="00650BF2">
        <w:t xml:space="preserve"> creating new offences? It is well accepted that the criminal law should be employed sparingly, since it limits the autonomy of the public, involves punishment and stigmatisation of individuals who are convicted and has resource implications for the criminal justice system.</w:t>
      </w:r>
      <w:r w:rsidRPr="00DE6ADC">
        <w:rPr>
          <w:rStyle w:val="FootnoteReference"/>
          <w:szCs w:val="18"/>
        </w:rPr>
        <w:footnoteReference w:id="162"/>
      </w:r>
    </w:p>
    <w:p w14:paraId="63AAC5E7" w14:textId="77777777" w:rsidR="0035348E" w:rsidRPr="00650BF2" w:rsidRDefault="0035348E" w:rsidP="00650BF2">
      <w:pPr>
        <w:pStyle w:val="BodyTextalphalist"/>
      </w:pPr>
      <w:r w:rsidRPr="00650BF2">
        <w:rPr>
          <w:b/>
          <w:bCs/>
        </w:rPr>
        <w:t xml:space="preserve">Do the costs of creating a new offence outweigh the benefits? </w:t>
      </w:r>
      <w:r w:rsidRPr="00650BF2">
        <w:t xml:space="preserve">This includes both financial and social costs associated with the creation and enforcement of the offence. </w:t>
      </w:r>
    </w:p>
    <w:p w14:paraId="09ED0C04" w14:textId="591A052F" w:rsidR="00650BF2" w:rsidRDefault="0035348E" w:rsidP="0035348E">
      <w:pPr>
        <w:pStyle w:val="BodyTextalphalist"/>
        <w:numPr>
          <w:ilvl w:val="3"/>
          <w:numId w:val="31"/>
        </w:numPr>
      </w:pPr>
      <w:r w:rsidRPr="00811147">
        <w:rPr>
          <w:b/>
        </w:rPr>
        <w:t xml:space="preserve">Is the offence consistent with the rule of law and constitutional principles? </w:t>
      </w:r>
      <w:r>
        <w:t>Th</w:t>
      </w:r>
      <w:r w:rsidR="00650BF2">
        <w:t>ese</w:t>
      </w:r>
      <w:r>
        <w:t xml:space="preserve"> include </w:t>
      </w:r>
      <w:r w:rsidR="00790949">
        <w:t xml:space="preserve">Aotearoa </w:t>
      </w:r>
      <w:r>
        <w:t xml:space="preserve">New Zealand’s obligations under </w:t>
      </w:r>
      <w:r w:rsidR="009945CB">
        <w:t>the</w:t>
      </w:r>
      <w:r>
        <w:t xml:space="preserve"> Treaty and human rights obligations in domestic and international law, which we discuss below. Other relevant principles include</w:t>
      </w:r>
      <w:r w:rsidR="00650BF2">
        <w:t>:</w:t>
      </w:r>
    </w:p>
    <w:p w14:paraId="6FACBADC" w14:textId="77777777" w:rsidR="00650BF2" w:rsidRDefault="0035348E" w:rsidP="00650BF2">
      <w:pPr>
        <w:pStyle w:val="BodyTextalphalist"/>
        <w:numPr>
          <w:ilvl w:val="5"/>
          <w:numId w:val="31"/>
        </w:numPr>
      </w:pPr>
      <w:r>
        <w:t>the need for certainty in the criminal law (defining offences clearly so that people can know in advance what is prohibited and the maximum penalty for non-compliance)</w:t>
      </w:r>
      <w:r w:rsidR="00650BF2">
        <w:t>;</w:t>
      </w:r>
      <w:r>
        <w:t xml:space="preserve"> and </w:t>
      </w:r>
    </w:p>
    <w:p w14:paraId="297710C7" w14:textId="39654927" w:rsidR="0035348E" w:rsidRDefault="0035348E" w:rsidP="00650BF2">
      <w:pPr>
        <w:pStyle w:val="BodyTextalphalist"/>
        <w:numPr>
          <w:ilvl w:val="5"/>
          <w:numId w:val="31"/>
        </w:numPr>
      </w:pPr>
      <w:r>
        <w:t xml:space="preserve">the principle of fair labelling (the need to be clear to </w:t>
      </w:r>
      <w:r w:rsidR="00EF1677">
        <w:t>offenders</w:t>
      </w:r>
      <w:r>
        <w:t xml:space="preserve"> and the public what wrong has been committed, why the </w:t>
      </w:r>
      <w:r w:rsidR="00EF1677">
        <w:t>offender</w:t>
      </w:r>
      <w:r>
        <w:t xml:space="preserve"> is being punished and what conduct the state is denouncing).</w:t>
      </w:r>
    </w:p>
    <w:p w14:paraId="525198C6" w14:textId="53BF91FF" w:rsidR="00B71741" w:rsidRDefault="0035348E" w:rsidP="0035348E">
      <w:pPr>
        <w:pStyle w:val="BodyText"/>
        <w:numPr>
          <w:ilvl w:val="1"/>
          <w:numId w:val="31"/>
        </w:numPr>
      </w:pPr>
      <w:r>
        <w:t>No submitters disagreed that these questions are relevant. We remain of the view that they should be taken into account when deciding whether to introduce hate crime offences. In short, before recommending hate crime offences</w:t>
      </w:r>
      <w:r w:rsidR="00001863">
        <w:t>,</w:t>
      </w:r>
      <w:r>
        <w:t xml:space="preserve"> we would need to be satisfied that they would address the problems with the current law without creating additional problems that would outweigh their benefits. We discuss this in Chapter 5.</w:t>
      </w:r>
      <w:r w:rsidR="000D595E">
        <w:t xml:space="preserve"> </w:t>
      </w:r>
    </w:p>
    <w:p w14:paraId="57CB5E4F" w14:textId="7877B7E4" w:rsidR="0035348E" w:rsidRDefault="0083372A" w:rsidP="00BC1925">
      <w:pPr>
        <w:pStyle w:val="BodyText"/>
        <w:numPr>
          <w:ilvl w:val="1"/>
          <w:numId w:val="31"/>
        </w:numPr>
      </w:pPr>
      <w:r>
        <w:t xml:space="preserve">This approach is also consistent with the principles </w:t>
      </w:r>
      <w:r w:rsidR="00B71741">
        <w:t xml:space="preserve">of good law-making </w:t>
      </w:r>
      <w:r>
        <w:t>set out in the Regulatory Standards Act 2025</w:t>
      </w:r>
      <w:r w:rsidR="00B71741">
        <w:t>. Those principles</w:t>
      </w:r>
      <w:r>
        <w:t xml:space="preserve"> </w:t>
      </w:r>
      <w:r w:rsidR="00B71741">
        <w:t xml:space="preserve">include that </w:t>
      </w:r>
      <w:r w:rsidR="00B71741" w:rsidRPr="00B71741">
        <w:t xml:space="preserve">legislation should be expected to produce benefits that exceed </w:t>
      </w:r>
      <w:r w:rsidR="00B71741">
        <w:t>its</w:t>
      </w:r>
      <w:r w:rsidR="00B71741" w:rsidRPr="00B71741">
        <w:t xml:space="preserve"> costs</w:t>
      </w:r>
      <w:r w:rsidR="001C04F7">
        <w:t xml:space="preserve"> and should be the most </w:t>
      </w:r>
      <w:r w:rsidR="001C04F7" w:rsidRPr="00B71741">
        <w:t>effective, efficient and proportionate response to the issue concerned</w:t>
      </w:r>
      <w:r w:rsidR="001C04F7">
        <w:t xml:space="preserve"> that is available.</w:t>
      </w:r>
      <w:r w:rsidR="00BC1925">
        <w:rPr>
          <w:rStyle w:val="FootnoteReference"/>
        </w:rPr>
        <w:footnoteReference w:id="163"/>
      </w:r>
    </w:p>
    <w:p w14:paraId="2FEDE97F" w14:textId="78C550FB" w:rsidR="0035348E" w:rsidRDefault="000E46F4" w:rsidP="0035348E">
      <w:pPr>
        <w:pStyle w:val="Heading2"/>
      </w:pPr>
      <w:bookmarkStart w:id="111" w:name="_Toc231467830"/>
      <w:r>
        <w:t>The</w:t>
      </w:r>
      <w:r w:rsidR="0035348E">
        <w:t xml:space="preserve"> Treaty and tikanga</w:t>
      </w:r>
      <w:bookmarkEnd w:id="111"/>
      <w:r w:rsidR="0035348E">
        <w:t xml:space="preserve"> </w:t>
      </w:r>
    </w:p>
    <w:p w14:paraId="4EF50A17" w14:textId="64663865" w:rsidR="0035348E" w:rsidRDefault="0035348E" w:rsidP="00D8103B">
      <w:pPr>
        <w:pStyle w:val="BodyText"/>
        <w:numPr>
          <w:ilvl w:val="1"/>
          <w:numId w:val="44"/>
        </w:numPr>
        <w:ind w:hanging="709"/>
      </w:pPr>
      <w:r>
        <w:t xml:space="preserve">In our Consultation Paper, we identified </w:t>
      </w:r>
      <w:r w:rsidR="00C10611">
        <w:t>the</w:t>
      </w:r>
      <w:r>
        <w:t xml:space="preserve"> Treaty and tikanga as relevant reform considerations for our review.</w:t>
      </w:r>
      <w:r>
        <w:rPr>
          <w:rStyle w:val="FootnoteReference"/>
        </w:rPr>
        <w:footnoteReference w:id="164"/>
      </w:r>
      <w:r>
        <w:t xml:space="preserve"> </w:t>
      </w:r>
      <w:r w:rsidR="00972F74">
        <w:t>The LDAC Guidelines recognise both as relevant consideration</w:t>
      </w:r>
      <w:r w:rsidR="00F4448F">
        <w:t>s</w:t>
      </w:r>
      <w:r w:rsidR="00972F74">
        <w:t xml:space="preserve"> for law</w:t>
      </w:r>
      <w:r w:rsidR="004C01B3">
        <w:t>-</w:t>
      </w:r>
      <w:r w:rsidR="003C6C62">
        <w:t>making.</w:t>
      </w:r>
      <w:r w:rsidR="003C6C62">
        <w:rPr>
          <w:rStyle w:val="FootnoteReference"/>
        </w:rPr>
        <w:footnoteReference w:id="165"/>
      </w:r>
      <w:r w:rsidR="003C6C62">
        <w:t xml:space="preserve"> </w:t>
      </w:r>
      <w:r w:rsidR="007568C9">
        <w:t xml:space="preserve">Additionally, our governing statute requires </w:t>
      </w:r>
      <w:r w:rsidR="00BC61AF">
        <w:t xml:space="preserve">us </w:t>
      </w:r>
      <w:r w:rsidR="007568C9">
        <w:t xml:space="preserve">to take into account te ao Māori in making any </w:t>
      </w:r>
      <w:r w:rsidR="007568C9" w:rsidRPr="006F096C">
        <w:t>recommendations.</w:t>
      </w:r>
      <w:r w:rsidR="007568C9" w:rsidRPr="006F096C">
        <w:rPr>
          <w:rStyle w:val="FootnoteReference"/>
        </w:rPr>
        <w:footnoteReference w:id="166"/>
      </w:r>
      <w:r w:rsidR="007568C9">
        <w:t xml:space="preserve"> </w:t>
      </w:r>
    </w:p>
    <w:p w14:paraId="58AEB714" w14:textId="38B3FD82" w:rsidR="00820CF4" w:rsidRDefault="00142295" w:rsidP="00D8103B">
      <w:pPr>
        <w:pStyle w:val="BodyText"/>
        <w:numPr>
          <w:ilvl w:val="1"/>
          <w:numId w:val="44"/>
        </w:numPr>
        <w:ind w:hanging="709"/>
      </w:pPr>
      <w:r>
        <w:t xml:space="preserve">In this </w:t>
      </w:r>
      <w:r w:rsidR="00376267">
        <w:t>r</w:t>
      </w:r>
      <w:r>
        <w:t xml:space="preserve">eview, it was important for us to assess whether the Treaty or tikanga affected the appropriate legal model for hate crime or other options for reform. For reasons we explain in this section, however, they did not ultimately have a significant impact on our conclusion that the current model should be retained. Nor have they led us to make any specific recommendations. Accordingly, they do not feature heavily in our analysis in the rest of this Report. </w:t>
      </w:r>
    </w:p>
    <w:p w14:paraId="54162EB7" w14:textId="5CE226EC" w:rsidR="004A49B0" w:rsidRDefault="004A49B0" w:rsidP="004A49B0">
      <w:pPr>
        <w:pStyle w:val="Heading3"/>
      </w:pPr>
      <w:r>
        <w:t xml:space="preserve">The Treaty and hate crime </w:t>
      </w:r>
    </w:p>
    <w:p w14:paraId="41CFD0C5" w14:textId="6004AFBD" w:rsidR="004A49B0" w:rsidRDefault="004A49B0" w:rsidP="009F4337">
      <w:pPr>
        <w:pStyle w:val="BodyText"/>
        <w:numPr>
          <w:ilvl w:val="1"/>
          <w:numId w:val="31"/>
        </w:numPr>
        <w:ind w:hanging="709"/>
      </w:pPr>
      <w:r>
        <w:t xml:space="preserve">The Treaty is an integral part of </w:t>
      </w:r>
      <w:r w:rsidR="009B3F62">
        <w:t xml:space="preserve">Aotearoa </w:t>
      </w:r>
      <w:r>
        <w:t>New Zealand’s constitutional framework</w:t>
      </w:r>
      <w:r w:rsidR="00026098">
        <w:t>, and a</w:t>
      </w:r>
      <w:r>
        <w:t>nalysis of Treaty implications is a longstanding expectation of good policy design.</w:t>
      </w:r>
      <w:r>
        <w:rPr>
          <w:rStyle w:val="FootnoteReference"/>
        </w:rPr>
        <w:footnoteReference w:id="167"/>
      </w:r>
    </w:p>
    <w:p w14:paraId="299102CD" w14:textId="6C1140FC" w:rsidR="0035348E" w:rsidRDefault="0035348E" w:rsidP="009F4337">
      <w:pPr>
        <w:pStyle w:val="BodyText"/>
        <w:numPr>
          <w:ilvl w:val="1"/>
          <w:numId w:val="31"/>
        </w:numPr>
        <w:ind w:hanging="709"/>
      </w:pPr>
      <w:r>
        <w:t xml:space="preserve">There are two preliminary points to make about the way in which </w:t>
      </w:r>
      <w:r w:rsidR="00BC61AF">
        <w:t xml:space="preserve">Te Aka Matua o te Ture | Law Commission </w:t>
      </w:r>
      <w:r>
        <w:t xml:space="preserve">considers the Treaty in its work. First, there are both Māori and English language versions of the Treaty, with significant differences between them. </w:t>
      </w:r>
      <w:r w:rsidR="00026098">
        <w:t>For reasons explained more fully in earlier Law Commission reports, t</w:t>
      </w:r>
      <w:r>
        <w:t>he</w:t>
      </w:r>
      <w:r w:rsidR="00026098">
        <w:t xml:space="preserve"> </w:t>
      </w:r>
      <w:r>
        <w:t>Commission takes the view that, where there are differences, the Māori version is more authoritative.</w:t>
      </w:r>
      <w:r>
        <w:rPr>
          <w:rStyle w:val="FootnoteReference"/>
        </w:rPr>
        <w:footnoteReference w:id="168"/>
      </w:r>
      <w:r>
        <w:t xml:space="preserve"> This is the version signed by signatories (following debate in te reo Māori) and by Lieutenant-Governor Hobson. </w:t>
      </w:r>
    </w:p>
    <w:p w14:paraId="162355CB" w14:textId="77777777" w:rsidR="008D2570" w:rsidRDefault="008D2570">
      <w:pPr>
        <w:spacing w:before="0" w:after="0" w:line="240" w:lineRule="auto"/>
      </w:pPr>
      <w:r>
        <w:br w:type="page"/>
      </w:r>
    </w:p>
    <w:p w14:paraId="3B254246" w14:textId="748464FE" w:rsidR="0035348E" w:rsidRDefault="0035348E" w:rsidP="009F4337">
      <w:pPr>
        <w:pStyle w:val="BodyText"/>
        <w:numPr>
          <w:ilvl w:val="1"/>
          <w:numId w:val="31"/>
        </w:numPr>
        <w:ind w:hanging="709"/>
      </w:pPr>
      <w:r>
        <w:t xml:space="preserve">Second, the </w:t>
      </w:r>
      <w:r w:rsidR="00495C18">
        <w:t xml:space="preserve">Law </w:t>
      </w:r>
      <w:r>
        <w:t>Commission also treats the te</w:t>
      </w:r>
      <w:r w:rsidR="000F2022">
        <w:t>x</w:t>
      </w:r>
      <w:r>
        <w:t>t</w:t>
      </w:r>
      <w:r w:rsidR="00026098">
        <w:t xml:space="preserve"> of the Treaty</w:t>
      </w:r>
      <w:r>
        <w:t xml:space="preserve"> rather than Treaty ‘principles’ as its primary point of reference. Treaty principles have emerged in recent decades from the work of various agencies, especially Te Rōpū Whakamana i te Tiriti o Waitangi | Waitangi Tribunal.</w:t>
      </w:r>
      <w:r>
        <w:rPr>
          <w:rStyle w:val="FootnoteReference"/>
        </w:rPr>
        <w:footnoteReference w:id="169"/>
      </w:r>
      <w:r>
        <w:t xml:space="preserve"> They can be helpful in “enabling the Treaty to be applied in situations that were not foreseen or discussed at the time”.</w:t>
      </w:r>
      <w:r>
        <w:rPr>
          <w:rStyle w:val="FootnoteReference"/>
        </w:rPr>
        <w:footnoteReference w:id="170"/>
      </w:r>
      <w:r>
        <w:t xml:space="preserve"> Ultimately, </w:t>
      </w:r>
      <w:r w:rsidR="00026098">
        <w:t xml:space="preserve">however, </w:t>
      </w:r>
      <w:r>
        <w:t xml:space="preserve">the Crown’s obligations under the Treaty are contained in its text. </w:t>
      </w:r>
    </w:p>
    <w:p w14:paraId="1F6C3C11" w14:textId="77777777" w:rsidR="0035348E" w:rsidRDefault="0035348E" w:rsidP="009F4337">
      <w:pPr>
        <w:pStyle w:val="BodyText"/>
        <w:numPr>
          <w:ilvl w:val="1"/>
          <w:numId w:val="31"/>
        </w:numPr>
        <w:ind w:hanging="709"/>
      </w:pPr>
      <w:r>
        <w:t>The Treaty is engaged in three main ways in this review:</w:t>
      </w:r>
    </w:p>
    <w:p w14:paraId="16491A57" w14:textId="270B4BAF" w:rsidR="0035348E" w:rsidRDefault="0035348E" w:rsidP="0035348E">
      <w:pPr>
        <w:pStyle w:val="BodyTextalphalist"/>
      </w:pPr>
      <w:r>
        <w:t>Under article 1, Māori rangatira granted the Crown kāwanatanga. Kāwanatanga has been translated as government or governorship,</w:t>
      </w:r>
      <w:r w:rsidR="0007506A">
        <w:rPr>
          <w:rStyle w:val="FootnoteReference"/>
        </w:rPr>
        <w:footnoteReference w:id="171"/>
      </w:r>
      <w:r>
        <w:t xml:space="preserve"> which the Waitangi Tribunal has said includes the power to make laws for the “good order and security” and “peace and good order” of Aotearoa New Zealand.</w:t>
      </w:r>
      <w:r w:rsidR="0011169D">
        <w:rPr>
          <w:rStyle w:val="FootnoteReference"/>
        </w:rPr>
        <w:footnoteReference w:id="172"/>
      </w:r>
      <w:r>
        <w:t xml:space="preserve"> This includes laws relating to hate crime. </w:t>
      </w:r>
    </w:p>
    <w:p w14:paraId="0D843DFF" w14:textId="14872F43" w:rsidR="0035348E" w:rsidRDefault="0035348E" w:rsidP="0035348E">
      <w:pPr>
        <w:pStyle w:val="BodyTextalphalist"/>
      </w:pPr>
      <w:r>
        <w:t xml:space="preserve">In article 2, the Crown undertook to protect the exercise by Māori of tino rangatiratanga over their lands, villages and all their treasures. </w:t>
      </w:r>
      <w:r w:rsidR="009058A8">
        <w:t xml:space="preserve">According to the Waitangi Tribunal, tino rangatiratanga </w:t>
      </w:r>
      <w:r w:rsidR="00DF05E0">
        <w:t>requires the Crown “to allow Māori to manage their own affairs in a way that aligns with their customs and values”.</w:t>
      </w:r>
      <w:r w:rsidR="00DF05E0">
        <w:rPr>
          <w:rStyle w:val="FootnoteReference"/>
        </w:rPr>
        <w:footnoteReference w:id="173"/>
      </w:r>
      <w:r>
        <w:t xml:space="preserve"> Tino rangatiratanga is engaged in this review because rangatiratanga was traditionally exercised to respond to or manage behaviour that we now characterise as criminal offending.</w:t>
      </w:r>
      <w:r w:rsidR="00580966">
        <w:rPr>
          <w:rStyle w:val="FootnoteReference"/>
        </w:rPr>
        <w:footnoteReference w:id="174"/>
      </w:r>
      <w:r>
        <w:t xml:space="preserve"> </w:t>
      </w:r>
      <w:r w:rsidR="00411C57">
        <w:t>Hate crime also impacts Māori individuals and communities, both as offenders and victims.</w:t>
      </w:r>
    </w:p>
    <w:p w14:paraId="254B1091" w14:textId="1734B203" w:rsidR="0035348E" w:rsidRDefault="00064E5C" w:rsidP="0035348E">
      <w:pPr>
        <w:pStyle w:val="BodyTextalphalist"/>
      </w:pPr>
      <w:r w:rsidRPr="00064E5C">
        <w:t>In article 3, the Crown agreed to give Māori the Queen’s protection and the same rights and duties as British subjects. According to the Waitangi Tribunal, article</w:t>
      </w:r>
      <w:r>
        <w:t xml:space="preserve"> </w:t>
      </w:r>
      <w:r w:rsidR="0035348E">
        <w:t xml:space="preserve">3 obliges the </w:t>
      </w:r>
      <w:r w:rsidR="00780BD9">
        <w:t>G</w:t>
      </w:r>
      <w:r w:rsidR="0035348E">
        <w:t>overnment to exercise its kāwanatanga (governorship) both to care for Māori and to ensure outcomes for Māori are equivalent to those enjoyed by non-Māori.</w:t>
      </w:r>
      <w:r w:rsidR="004D0235">
        <w:rPr>
          <w:rStyle w:val="FootnoteReference"/>
        </w:rPr>
        <w:footnoteReference w:id="175"/>
      </w:r>
      <w:r w:rsidR="0035348E">
        <w:t xml:space="preserve"> Article 3 is relevant because we are reviewing laws that may have a disproportionate impact on Māori. Māori are overrepresented at all levels of the criminal justice system as victims and offenders. Specifically, in relation to hate crime, Māori are disproportionately represented in Police data as alleged hate crime offenders.</w:t>
      </w:r>
    </w:p>
    <w:p w14:paraId="4BC7559B" w14:textId="77A834B5" w:rsidR="0035348E" w:rsidRPr="003528B6" w:rsidRDefault="0035348E" w:rsidP="009F4337">
      <w:pPr>
        <w:pStyle w:val="BodyText"/>
        <w:numPr>
          <w:ilvl w:val="1"/>
          <w:numId w:val="31"/>
        </w:numPr>
        <w:ind w:hanging="709"/>
      </w:pPr>
      <w:r>
        <w:t xml:space="preserve">Much has been written about the Treaty and the criminal justice system, </w:t>
      </w:r>
      <w:r w:rsidR="00C55DD7">
        <w:t xml:space="preserve">including </w:t>
      </w:r>
      <w:r>
        <w:t>the failure of the system to give effect to the Crown’s article 2 obligations to protect the exercise of tino rangatiratanga and its article</w:t>
      </w:r>
      <w:r>
        <w:rPr>
          <w:rFonts w:ascii="Calibri" w:hAnsi="Calibri" w:cs="Calibri"/>
        </w:rPr>
        <w:t> </w:t>
      </w:r>
      <w:r>
        <w:t>3 obligations to address disparities between Māori and other New Zealanders. The criminal justice system was built on Pākehā attitudes and values, not Māori notions of justice.</w:t>
      </w:r>
      <w:r>
        <w:rPr>
          <w:rStyle w:val="FootnoteReference"/>
        </w:rPr>
        <w:footnoteReference w:id="176"/>
      </w:r>
      <w:r>
        <w:t xml:space="preserve"> It does not therefore recognise “Māori as having their own system of law and cultural traditions pertaining to justice”.</w:t>
      </w:r>
      <w:r>
        <w:rPr>
          <w:rStyle w:val="FootnoteReference"/>
        </w:rPr>
        <w:footnoteReference w:id="177"/>
      </w:r>
      <w:r>
        <w:t xml:space="preserve"> Some have also </w:t>
      </w:r>
      <w:r w:rsidRPr="003528B6">
        <w:t>argued the system “fosters a clear perception of discrimination and institutional racism” towards Māori.</w:t>
      </w:r>
      <w:r w:rsidRPr="003528B6">
        <w:rPr>
          <w:rStyle w:val="FootnoteReference"/>
        </w:rPr>
        <w:footnoteReference w:id="178"/>
      </w:r>
      <w:r w:rsidRPr="003528B6">
        <w:t xml:space="preserve"> These factors have contributed to the overrepresentation of Māori within the criminal justice system.</w:t>
      </w:r>
      <w:r w:rsidRPr="003528B6">
        <w:rPr>
          <w:rStyle w:val="FootnoteReference"/>
        </w:rPr>
        <w:footnoteReference w:id="179"/>
      </w:r>
    </w:p>
    <w:p w14:paraId="085654A1" w14:textId="3CE87615" w:rsidR="002333E7" w:rsidRPr="003528B6" w:rsidRDefault="002333E7" w:rsidP="009F4337">
      <w:pPr>
        <w:pStyle w:val="BodyText"/>
        <w:numPr>
          <w:ilvl w:val="1"/>
          <w:numId w:val="31"/>
        </w:numPr>
        <w:ind w:hanging="709"/>
      </w:pPr>
      <w:r>
        <w:t xml:space="preserve">One of the challenges for </w:t>
      </w:r>
      <w:r w:rsidR="00A41B45">
        <w:t>us</w:t>
      </w:r>
      <w:r>
        <w:t xml:space="preserve"> is how to give effect to the Crown’s Treaty obligations</w:t>
      </w:r>
      <w:r w:rsidR="009D5593">
        <w:t>,</w:t>
      </w:r>
      <w:r>
        <w:t xml:space="preserve"> given </w:t>
      </w:r>
      <w:r w:rsidR="00A41B45">
        <w:t xml:space="preserve">the </w:t>
      </w:r>
      <w:r>
        <w:t>limited scope</w:t>
      </w:r>
      <w:r w:rsidR="00A41B45">
        <w:t xml:space="preserve"> of this review</w:t>
      </w:r>
      <w:r>
        <w:t>. Commentators have repeatedly said the Treaty requires radical reform of the criminal justice system.</w:t>
      </w:r>
      <w:r>
        <w:rPr>
          <w:rStyle w:val="FootnoteReference"/>
        </w:rPr>
        <w:footnoteReference w:id="180"/>
      </w:r>
      <w:r>
        <w:t xml:space="preserve"> That is outside the scope of this review, which focuses on whether to introduce hate crime offences into New Zealand law. </w:t>
      </w:r>
    </w:p>
    <w:p w14:paraId="392BE75D" w14:textId="77777777" w:rsidR="0035348E" w:rsidRPr="003528B6" w:rsidRDefault="0035348E" w:rsidP="005B418B">
      <w:pPr>
        <w:pStyle w:val="BodyText"/>
        <w:numPr>
          <w:ilvl w:val="1"/>
          <w:numId w:val="31"/>
        </w:numPr>
        <w:ind w:hanging="709"/>
      </w:pPr>
      <w:r w:rsidRPr="003528B6">
        <w:t>In our Consultation Paper, we referred to Police data showing Māori are overrepresented as alleged hate crime offenders.</w:t>
      </w:r>
      <w:r w:rsidRPr="003528B6">
        <w:rPr>
          <w:rStyle w:val="FootnoteReference"/>
        </w:rPr>
        <w:footnoteReference w:id="181"/>
      </w:r>
      <w:r w:rsidRPr="003528B6">
        <w:t xml:space="preserve"> Approximately 40 per cent of alleged hate crime offenders are Māori, while Māori make up 19.6 per cent of Aotearoa New Zealand’s population. We said there is a risk that, if hate crime offences are introduced, they would be disproportionately enforced against Māori.</w:t>
      </w:r>
      <w:r w:rsidRPr="003528B6">
        <w:rPr>
          <w:rStyle w:val="FootnoteReference"/>
        </w:rPr>
        <w:footnoteReference w:id="182"/>
      </w:r>
      <w:r w:rsidRPr="003528B6">
        <w:t xml:space="preserve"> Some commentators have suggested the Crown’s obligations under the Treaty mean that criminal liability should not be expanded.</w:t>
      </w:r>
      <w:r w:rsidRPr="003528B6">
        <w:rPr>
          <w:rStyle w:val="FootnoteReference"/>
        </w:rPr>
        <w:footnoteReference w:id="183"/>
      </w:r>
    </w:p>
    <w:p w14:paraId="260706FB" w14:textId="55217E81" w:rsidR="00047344" w:rsidRDefault="000B2D4F" w:rsidP="005B418B">
      <w:pPr>
        <w:pStyle w:val="BodyText"/>
        <w:numPr>
          <w:ilvl w:val="1"/>
          <w:numId w:val="31"/>
        </w:numPr>
        <w:ind w:hanging="709"/>
      </w:pPr>
      <w:r>
        <w:t xml:space="preserve">In </w:t>
      </w:r>
      <w:r w:rsidR="00BC4352">
        <w:t>consultation</w:t>
      </w:r>
      <w:r>
        <w:t xml:space="preserve">, </w:t>
      </w:r>
      <w:r w:rsidR="00E91688">
        <w:t>56</w:t>
      </w:r>
      <w:r w:rsidR="0035348E">
        <w:t xml:space="preserve"> submitters discussed the Treaty and its impact on this review. </w:t>
      </w:r>
      <w:r w:rsidR="00E91688">
        <w:t>Of these, 27</w:t>
      </w:r>
      <w:r w:rsidR="0035348E">
        <w:t xml:space="preserve"> submitters disagreed the Treaty is relevant to this review or disagreed with the Consultation Paper’s discussion of what the Treaty means.</w:t>
      </w:r>
      <w:r w:rsidR="001F50BC">
        <w:t xml:space="preserve"> Comments included</w:t>
      </w:r>
      <w:r w:rsidR="00686E4B">
        <w:t xml:space="preserve"> the following</w:t>
      </w:r>
      <w:r w:rsidR="00047344">
        <w:t>:</w:t>
      </w:r>
    </w:p>
    <w:p w14:paraId="64579C45" w14:textId="6D27F697" w:rsidR="0035348E" w:rsidRDefault="00047344" w:rsidP="00047344">
      <w:pPr>
        <w:pStyle w:val="BodyTextalphalist"/>
      </w:pPr>
      <w:r>
        <w:t>Māori communities should not be tasked with monitoring hate crimes as this would create racial tensions.</w:t>
      </w:r>
      <w:r>
        <w:rPr>
          <w:rStyle w:val="FootnoteReference"/>
        </w:rPr>
        <w:footnoteReference w:id="184"/>
      </w:r>
      <w:r w:rsidR="002D2057">
        <w:t xml:space="preserve"> </w:t>
      </w:r>
    </w:p>
    <w:p w14:paraId="5B4506E7" w14:textId="672E3F85" w:rsidR="00031A04" w:rsidRDefault="00031A04" w:rsidP="00047344">
      <w:pPr>
        <w:pStyle w:val="BodyTextalphalist"/>
      </w:pPr>
      <w:r>
        <w:t>The Treaty does not refer to hate or hate crime</w:t>
      </w:r>
      <w:r>
        <w:rPr>
          <w:rStyle w:val="FootnoteReference"/>
        </w:rPr>
        <w:footnoteReference w:id="185"/>
      </w:r>
      <w:r w:rsidR="003645EB">
        <w:t xml:space="preserve"> or to equity.</w:t>
      </w:r>
      <w:r w:rsidR="003645EB">
        <w:rPr>
          <w:rStyle w:val="FootnoteReference"/>
        </w:rPr>
        <w:footnoteReference w:id="186"/>
      </w:r>
    </w:p>
    <w:p w14:paraId="4FA73A96" w14:textId="6E41E4B4" w:rsidR="00483AFA" w:rsidRDefault="008B4280" w:rsidP="00047344">
      <w:pPr>
        <w:pStyle w:val="BodyTextalphalist"/>
      </w:pPr>
      <w:r>
        <w:t>Prioritising the Māori language version of the Treaty marginalise</w:t>
      </w:r>
      <w:r w:rsidR="005A0C80">
        <w:t>s</w:t>
      </w:r>
      <w:r>
        <w:t xml:space="preserve"> viewpoints in the English text and risks discouraging open discussion.</w:t>
      </w:r>
      <w:r w:rsidR="00BC4352">
        <w:rPr>
          <w:rStyle w:val="FootnoteReference"/>
        </w:rPr>
        <w:footnoteReference w:id="187"/>
      </w:r>
      <w:r>
        <w:t xml:space="preserve"> </w:t>
      </w:r>
    </w:p>
    <w:p w14:paraId="1012F9D5" w14:textId="7A6EB1B4" w:rsidR="0035348E" w:rsidRDefault="0035348E" w:rsidP="005B418B">
      <w:pPr>
        <w:pStyle w:val="BodyText"/>
        <w:numPr>
          <w:ilvl w:val="1"/>
          <w:numId w:val="31"/>
        </w:numPr>
        <w:ind w:hanging="709"/>
      </w:pPr>
      <w:r>
        <w:t xml:space="preserve">Twenty-two </w:t>
      </w:r>
      <w:r w:rsidR="006A2F91">
        <w:t xml:space="preserve">submitters </w:t>
      </w:r>
      <w:r>
        <w:t xml:space="preserve">considered the Treaty is relevant to this review or discussed what Treaty-consistent reform might look like. </w:t>
      </w:r>
      <w:r w:rsidR="002219A9">
        <w:t>Comments included the following</w:t>
      </w:r>
      <w:r>
        <w:t>:</w:t>
      </w:r>
    </w:p>
    <w:p w14:paraId="43071009" w14:textId="44942071" w:rsidR="0035348E" w:rsidRDefault="0035348E" w:rsidP="0035348E">
      <w:pPr>
        <w:pStyle w:val="BodyTextalphalist"/>
        <w:numPr>
          <w:ilvl w:val="3"/>
          <w:numId w:val="31"/>
        </w:numPr>
      </w:pPr>
      <w:r>
        <w:t xml:space="preserve">Different models of dispute resolution could be used such as restorative justice approaches or access to education about </w:t>
      </w:r>
      <w:r w:rsidR="00161D5F">
        <w:t>the Treaty</w:t>
      </w:r>
      <w:r>
        <w:t>.</w:t>
      </w:r>
      <w:r>
        <w:rPr>
          <w:color w:val="262626" w:themeColor="text1" w:themeTint="D9"/>
          <w:sz w:val="18"/>
          <w:szCs w:val="18"/>
          <w:vertAlign w:val="superscript"/>
        </w:rPr>
        <w:footnoteReference w:id="188"/>
      </w:r>
      <w:r>
        <w:t xml:space="preserve"> </w:t>
      </w:r>
    </w:p>
    <w:p w14:paraId="00FEF0D5" w14:textId="546A6C7D" w:rsidR="0035348E" w:rsidRDefault="0035348E" w:rsidP="0035348E">
      <w:pPr>
        <w:pStyle w:val="BodyTextalphalist"/>
        <w:numPr>
          <w:ilvl w:val="3"/>
          <w:numId w:val="31"/>
        </w:numPr>
      </w:pPr>
      <w:r>
        <w:t>Māori should be resourced and empowered to address hate crimes in accordance with tikanga.</w:t>
      </w:r>
      <w:r>
        <w:rPr>
          <w:color w:val="262626" w:themeColor="text1" w:themeTint="D9"/>
          <w:sz w:val="18"/>
          <w:szCs w:val="18"/>
          <w:vertAlign w:val="superscript"/>
        </w:rPr>
        <w:footnoteReference w:id="189"/>
      </w:r>
      <w:r>
        <w:t xml:space="preserve"> Whānau, hapū or community organisations should be resourced to lead responses to hate crime.</w:t>
      </w:r>
      <w:r>
        <w:rPr>
          <w:color w:val="262626" w:themeColor="text1" w:themeTint="D9"/>
          <w:sz w:val="18"/>
          <w:szCs w:val="18"/>
          <w:vertAlign w:val="superscript"/>
        </w:rPr>
        <w:footnoteReference w:id="190"/>
      </w:r>
      <w:r>
        <w:t xml:space="preserve"> Such initiatives could assist in restoring aspects of tino rangatiratanga.</w:t>
      </w:r>
      <w:r>
        <w:rPr>
          <w:color w:val="262626" w:themeColor="text1" w:themeTint="D9"/>
          <w:sz w:val="18"/>
          <w:szCs w:val="18"/>
          <w:vertAlign w:val="superscript"/>
        </w:rPr>
        <w:footnoteReference w:id="191"/>
      </w:r>
    </w:p>
    <w:p w14:paraId="4F69BA66" w14:textId="77777777" w:rsidR="0035348E" w:rsidRDefault="0035348E" w:rsidP="0035348E">
      <w:pPr>
        <w:pStyle w:val="BodyTextalphalist"/>
        <w:numPr>
          <w:ilvl w:val="3"/>
          <w:numId w:val="31"/>
        </w:numPr>
      </w:pPr>
      <w:r>
        <w:t>We should be cautious about introducing new offences because it risks over-criminalising Māori.</w:t>
      </w:r>
      <w:r>
        <w:rPr>
          <w:color w:val="262626" w:themeColor="text1" w:themeTint="D9"/>
          <w:sz w:val="18"/>
          <w:szCs w:val="18"/>
          <w:vertAlign w:val="superscript"/>
        </w:rPr>
        <w:footnoteReference w:id="192"/>
      </w:r>
      <w:r>
        <w:t xml:space="preserve">  </w:t>
      </w:r>
    </w:p>
    <w:p w14:paraId="2620BC8A" w14:textId="46708D90" w:rsidR="0035348E" w:rsidRDefault="0035348E" w:rsidP="005B418B">
      <w:pPr>
        <w:pStyle w:val="BodyText"/>
        <w:numPr>
          <w:ilvl w:val="1"/>
          <w:numId w:val="31"/>
        </w:numPr>
        <w:ind w:hanging="709"/>
      </w:pPr>
      <w:r>
        <w:t>Seven submitters explicitly addressed the potential for disproportionate enforcement of hate crime offences against Māori. Most said the overrepresentation of Māori means we should be cautious about introducing hate crime offences.</w:t>
      </w:r>
      <w:r>
        <w:rPr>
          <w:rStyle w:val="FootnoteReference"/>
        </w:rPr>
        <w:footnoteReference w:id="193"/>
      </w:r>
      <w:r>
        <w:t xml:space="preserve"> Two submitters said </w:t>
      </w:r>
      <w:r w:rsidR="00457679">
        <w:t xml:space="preserve">concerns about overrepresentation </w:t>
      </w:r>
      <w:r>
        <w:t>should not prevent us from introducing hate crime offences, although neither disputed the risk that Māori would be overrepresented in prosecutions. Madeline Ash submitted that anti-bias training should be introduced alongside hate crime offences to ensure Māori are not overrepresented. Inclusive Aotearoa said the overrepresentation of Māori as hate crime offenders may reflect institutional and systemic racism, which, while a problem, does not undermine the need for hate crime offences.</w:t>
      </w:r>
    </w:p>
    <w:p w14:paraId="50EDC523" w14:textId="77777777" w:rsidR="0035348E" w:rsidRPr="006A5D41" w:rsidRDefault="0035348E" w:rsidP="0035348E">
      <w:pPr>
        <w:pStyle w:val="Heading3"/>
      </w:pPr>
      <w:r>
        <w:t>Tikanga and hate crime</w:t>
      </w:r>
    </w:p>
    <w:p w14:paraId="70C4D161" w14:textId="35F13E43" w:rsidR="0004155E" w:rsidRPr="007B59D1" w:rsidRDefault="004D35C8" w:rsidP="009F4337">
      <w:pPr>
        <w:pStyle w:val="BodyText"/>
        <w:numPr>
          <w:ilvl w:val="1"/>
          <w:numId w:val="31"/>
        </w:numPr>
        <w:ind w:hanging="709"/>
      </w:pPr>
      <w:r w:rsidRPr="007B59D1">
        <w:t>Tikanga means the right way of doing things.</w:t>
      </w:r>
      <w:r w:rsidRPr="007B59D1">
        <w:rPr>
          <w:rStyle w:val="FootnoteReference"/>
        </w:rPr>
        <w:footnoteReference w:id="194"/>
      </w:r>
      <w:r w:rsidR="006309ED" w:rsidRPr="007B59D1">
        <w:t xml:space="preserve"> </w:t>
      </w:r>
      <w:r w:rsidR="00B6174B">
        <w:t>Tikanga includes a system of values and principles that guide and direct rights and obligations in a Māori way of living. It governs relationships</w:t>
      </w:r>
      <w:r w:rsidR="00C34DCC">
        <w:t xml:space="preserve"> by providing a shared basis for “doing things right, doing </w:t>
      </w:r>
      <w:r w:rsidR="006E1FFD">
        <w:t>things the right way, and doing things for the right reasons”.</w:t>
      </w:r>
      <w:r w:rsidR="006E1FFD">
        <w:rPr>
          <w:rStyle w:val="FootnoteReference"/>
        </w:rPr>
        <w:footnoteReference w:id="195"/>
      </w:r>
      <w:r w:rsidR="00CE666A">
        <w:t xml:space="preserve"> </w:t>
      </w:r>
    </w:p>
    <w:p w14:paraId="78D864F6" w14:textId="6CD7232C" w:rsidR="00463FCD" w:rsidRPr="007B59D1" w:rsidRDefault="00FB25CD" w:rsidP="009F4337">
      <w:pPr>
        <w:pStyle w:val="BodyText"/>
        <w:numPr>
          <w:ilvl w:val="1"/>
          <w:numId w:val="31"/>
        </w:numPr>
        <w:ind w:hanging="709"/>
      </w:pPr>
      <w:r>
        <w:t>The kinds of recommendations the Law Commission makes in respect of tikanga can differ substantially depending on the scope and nature of a particular review.</w:t>
      </w:r>
      <w:r>
        <w:rPr>
          <w:rStyle w:val="FootnoteReference"/>
        </w:rPr>
        <w:footnoteReference w:id="196"/>
      </w:r>
      <w:r w:rsidR="008F6C08">
        <w:t xml:space="preserve"> In this </w:t>
      </w:r>
      <w:r w:rsidR="002E7567">
        <w:t xml:space="preserve">review, an important limitation to our consideration of tikanga is the fact that tikanga operates as a complete, interrelated system </w:t>
      </w:r>
      <w:r w:rsidR="00800B1E">
        <w:t>reflecting</w:t>
      </w:r>
      <w:r w:rsidR="002E7567">
        <w:t xml:space="preserve"> a worldview that is fundamentally different to a Western worldview. Tikanga concepts cannot be readily explained in English. This means there are limits to our discussion of tikanga in this </w:t>
      </w:r>
      <w:r w:rsidR="00A06CB7">
        <w:t>R</w:t>
      </w:r>
      <w:r w:rsidR="002E7567">
        <w:t xml:space="preserve">eport and that our discussion is limited to the context of hate crime. </w:t>
      </w:r>
    </w:p>
    <w:p w14:paraId="4CB0A2BC" w14:textId="40F1B0AF" w:rsidR="0035348E" w:rsidRDefault="0035348E" w:rsidP="009F4337">
      <w:pPr>
        <w:pStyle w:val="BodyText"/>
        <w:numPr>
          <w:ilvl w:val="1"/>
          <w:numId w:val="31"/>
        </w:numPr>
        <w:ind w:hanging="709"/>
      </w:pPr>
      <w:r>
        <w:t>In our Consultation Paper, we explained that our preliminary research suggested tikanga does not traditionally have an equivalent concept to hate crime.</w:t>
      </w:r>
      <w:r>
        <w:rPr>
          <w:rStyle w:val="FootnoteReference"/>
        </w:rPr>
        <w:footnoteReference w:id="197"/>
      </w:r>
      <w:r>
        <w:t xml:space="preserve"> As set out below, however, the concepts of hara, kanga and kōhuru suggest the behaviour we call hate crime would be a serious breach of tikanga</w:t>
      </w:r>
      <w:r w:rsidR="00D017B9">
        <w:t>:</w:t>
      </w:r>
    </w:p>
    <w:p w14:paraId="2F5FEA07" w14:textId="4A62CCCF" w:rsidR="0035348E" w:rsidRDefault="0035348E" w:rsidP="0035348E">
      <w:pPr>
        <w:pStyle w:val="BodyTextalphalist"/>
      </w:pPr>
      <w:r>
        <w:t>Hara</w:t>
      </w:r>
      <w:r>
        <w:rPr>
          <w:rStyle w:val="FootnoteReference"/>
        </w:rPr>
        <w:footnoteReference w:id="198"/>
      </w:r>
      <w:r>
        <w:t xml:space="preserve"> is an offence “primarily resulting from the violation of tapu” or any action that disrupts relational stability.</w:t>
      </w:r>
      <w:r>
        <w:rPr>
          <w:vertAlign w:val="superscript"/>
        </w:rPr>
        <w:footnoteReference w:id="199"/>
      </w:r>
      <w:r>
        <w:t xml:space="preserve"> The concept of hara arises from a framework of social relationships based on group rather than individual concerns. This means tikanga recognises that the impacts of offending are experienced by both the victim’s</w:t>
      </w:r>
      <w:r>
        <w:rPr>
          <w:vertAlign w:val="superscript"/>
        </w:rPr>
        <w:footnoteReference w:id="200"/>
      </w:r>
      <w:r>
        <w:t xml:space="preserve"> and the offender’s wider whakapapa.</w:t>
      </w:r>
      <w:r>
        <w:rPr>
          <w:rStyle w:val="FootnoteReference"/>
        </w:rPr>
        <w:footnoteReference w:id="201"/>
      </w:r>
      <w:r>
        <w:t xml:space="preserve"> Responses to hara will consider what might be needed to address the relational instability and achieve a state of ea or balance.</w:t>
      </w:r>
    </w:p>
    <w:p w14:paraId="0DA1DF52" w14:textId="03D7893A" w:rsidR="0035348E" w:rsidRDefault="0035348E" w:rsidP="0035348E">
      <w:pPr>
        <w:pStyle w:val="BodyTextalphalist"/>
      </w:pPr>
      <w:r>
        <w:t>Kanga and kōhuru are both specific types of hara. Kanga covers verbal abuse and angry denouncements, including placing a curse on someone.</w:t>
      </w:r>
      <w:r>
        <w:rPr>
          <w:rStyle w:val="FootnoteReference"/>
        </w:rPr>
        <w:footnoteReference w:id="202"/>
      </w:r>
      <w:r>
        <w:t xml:space="preserve"> Kōhuru has been defined as causing injury or harm to another person without any remorse or justification.</w:t>
      </w:r>
      <w:r>
        <w:rPr>
          <w:rStyle w:val="FootnoteReference"/>
        </w:rPr>
        <w:footnoteReference w:id="203"/>
      </w:r>
      <w:r>
        <w:t xml:space="preserve"> In the past, both kanga and kōhuru were considered significant hara.</w:t>
      </w:r>
      <w:r>
        <w:rPr>
          <w:rStyle w:val="FootnoteReference"/>
        </w:rPr>
        <w:footnoteReference w:id="204"/>
      </w:r>
      <w:r>
        <w:t xml:space="preserve"> </w:t>
      </w:r>
    </w:p>
    <w:p w14:paraId="1600F8ED" w14:textId="18DFDF4A" w:rsidR="0035348E" w:rsidRDefault="00043C0C" w:rsidP="009F4337">
      <w:pPr>
        <w:pStyle w:val="BodyText"/>
        <w:numPr>
          <w:ilvl w:val="1"/>
          <w:numId w:val="31"/>
        </w:numPr>
        <w:ind w:hanging="709"/>
      </w:pPr>
      <w:r>
        <w:t xml:space="preserve">In consultation, </w:t>
      </w:r>
      <w:r w:rsidR="00D94BC3">
        <w:t>11</w:t>
      </w:r>
      <w:r w:rsidR="0035348E">
        <w:t xml:space="preserve"> submitters discussed tikanga as a reform consideration. Of these, eight submitters expressly or impliedly agreed that tikanga should be considered as part of this review</w:t>
      </w:r>
      <w:r w:rsidR="00CC2E92">
        <w:t>,</w:t>
      </w:r>
      <w:r w:rsidR="0035348E">
        <w:rPr>
          <w:color w:val="262626" w:themeColor="text1" w:themeTint="D9"/>
          <w:sz w:val="18"/>
          <w:szCs w:val="18"/>
          <w:vertAlign w:val="superscript"/>
        </w:rPr>
        <w:footnoteReference w:id="205"/>
      </w:r>
      <w:r w:rsidR="0035348E">
        <w:t xml:space="preserve"> and three submitters questioned the relevance of tikanga.</w:t>
      </w:r>
      <w:r w:rsidR="0035348E">
        <w:rPr>
          <w:color w:val="262626" w:themeColor="text1" w:themeTint="D9"/>
          <w:sz w:val="18"/>
          <w:szCs w:val="18"/>
          <w:vertAlign w:val="superscript"/>
        </w:rPr>
        <w:footnoteReference w:id="206"/>
      </w:r>
      <w:r w:rsidR="0035348E">
        <w:t xml:space="preserve">  </w:t>
      </w:r>
    </w:p>
    <w:p w14:paraId="3E5A4F0D" w14:textId="4619906D" w:rsidR="0035348E" w:rsidRDefault="0035348E" w:rsidP="009F4337">
      <w:pPr>
        <w:pStyle w:val="BodyText"/>
        <w:numPr>
          <w:ilvl w:val="1"/>
          <w:numId w:val="31"/>
        </w:numPr>
        <w:ind w:hanging="709"/>
      </w:pPr>
      <w:r>
        <w:t xml:space="preserve">Some submitters and people we spoke </w:t>
      </w:r>
      <w:r w:rsidR="00B02B2E">
        <w:t>with</w:t>
      </w:r>
      <w:r>
        <w:t xml:space="preserve"> during consultation discussed the intersection between hate crime and tikanga. Lawyers from </w:t>
      </w:r>
      <w:r w:rsidR="00ED3DFF" w:rsidRPr="00F176FE">
        <w:t xml:space="preserve">Te Hunga Rōia Māori o Aotearoa </w:t>
      </w:r>
      <w:r w:rsidR="002F4592">
        <w:t xml:space="preserve">| </w:t>
      </w:r>
      <w:r w:rsidR="002F4592" w:rsidRPr="002F4592">
        <w:t xml:space="preserve">the Māori Law Society </w:t>
      </w:r>
      <w:r>
        <w:t xml:space="preserve">noted that, from an ao Māori perspective, hate crime may be considered a category of crime that needs greater denunciation. </w:t>
      </w:r>
      <w:r w:rsidR="00156246" w:rsidRPr="00400349">
        <w:rPr>
          <w:color w:val="auto"/>
        </w:rPr>
        <w:t xml:space="preserve">Te Kāhui </w:t>
      </w:r>
      <w:r w:rsidR="00156246">
        <w:rPr>
          <w:color w:val="auto"/>
        </w:rPr>
        <w:t xml:space="preserve">o </w:t>
      </w:r>
      <w:r w:rsidR="00156246">
        <w:t>In</w:t>
      </w:r>
      <w:r w:rsidR="00156246">
        <w:rPr>
          <w:lang w:val="mi-NZ"/>
        </w:rPr>
        <w:t>ā</w:t>
      </w:r>
      <w:r w:rsidR="00156246">
        <w:t>ia Tonu Nei Charitable Trust</w:t>
      </w:r>
      <w:r>
        <w:t xml:space="preserve"> suggested we consider the concepts of tūkino and utua kia ea. They explained tūkino is a transgression that is unjust, unfair, violent, destructive, cruel or abusive. Utua kia ea is a process that is undertaken to account for tūkino.</w:t>
      </w:r>
      <w:r>
        <w:rPr>
          <w:rFonts w:ascii="Segoe UI" w:hAnsi="Segoe UI" w:cs="Segoe UI"/>
          <w:color w:val="0D0D0D"/>
          <w:sz w:val="18"/>
          <w:szCs w:val="18"/>
        </w:rPr>
        <w:t xml:space="preserve"> </w:t>
      </w:r>
    </w:p>
    <w:p w14:paraId="29976CFB" w14:textId="45E3B781" w:rsidR="0035348E" w:rsidRDefault="0035348E" w:rsidP="009F4337">
      <w:pPr>
        <w:pStyle w:val="BodyText"/>
        <w:numPr>
          <w:ilvl w:val="1"/>
          <w:numId w:val="31"/>
        </w:numPr>
        <w:ind w:hanging="709"/>
      </w:pPr>
      <w:r>
        <w:t>Further research into the concept of tūkino underscores our view that the behaviour we now understand as a hate crime would be considered serious under tikanga. As a matter of ordinary usage, tūkino could be used to describe a hate crime.</w:t>
      </w:r>
      <w:r>
        <w:rPr>
          <w:rStyle w:val="FootnoteReference"/>
        </w:rPr>
        <w:footnoteReference w:id="207"/>
      </w:r>
      <w:r>
        <w:t xml:space="preserve"> Its use historically has included a range of types of wrongdoing, including violation of urupā and ill or unjust treatment of people by the law.</w:t>
      </w:r>
      <w:r>
        <w:rPr>
          <w:rStyle w:val="FootnoteReference"/>
        </w:rPr>
        <w:footnoteReference w:id="208"/>
      </w:r>
      <w:r>
        <w:t xml:space="preserve"> However, tūkino is not necessarily the best term to describe hate crime, as recent usage has taken on a particular association with specific forms of abuse, physical and sexual violence and neglect.</w:t>
      </w:r>
      <w:r>
        <w:rPr>
          <w:rStyle w:val="FootnoteReference"/>
        </w:rPr>
        <w:footnoteReference w:id="209"/>
      </w:r>
    </w:p>
    <w:p w14:paraId="313CA90F" w14:textId="77777777" w:rsidR="0035348E" w:rsidRDefault="0035348E" w:rsidP="0035348E">
      <w:pPr>
        <w:pStyle w:val="Heading3"/>
      </w:pPr>
      <w:r>
        <w:t>The relevance of tikanga and the Treaty to this review</w:t>
      </w:r>
    </w:p>
    <w:p w14:paraId="7F2E700C" w14:textId="77777777" w:rsidR="0035348E" w:rsidRDefault="0035348E" w:rsidP="009F4337">
      <w:pPr>
        <w:pStyle w:val="BodyText"/>
        <w:numPr>
          <w:ilvl w:val="1"/>
          <w:numId w:val="31"/>
        </w:numPr>
        <w:ind w:hanging="709"/>
      </w:pPr>
      <w:r>
        <w:t>In deciding whether the current law in Aotearoa New Zealand adequately responds to hate crime (and, if not, whether and what reform is required) we have considered the implications of the Treaty and tikanga. Ultimately, however, we have not identified any specific implications that can or should be addressed through law reform in the context of this review.</w:t>
      </w:r>
    </w:p>
    <w:p w14:paraId="185E2CD6" w14:textId="77777777" w:rsidR="002C6B7C" w:rsidRDefault="002C6B7C" w:rsidP="002C6B7C">
      <w:pPr>
        <w:pStyle w:val="Heading4"/>
      </w:pPr>
      <w:r>
        <w:t>Relevance of tikanga and the Treaty to consideration of appropriate legal models</w:t>
      </w:r>
    </w:p>
    <w:p w14:paraId="6FEACA95" w14:textId="47F60FE0" w:rsidR="002C6B7C" w:rsidRDefault="002C6B7C" w:rsidP="009F4337">
      <w:pPr>
        <w:pStyle w:val="BodyText"/>
        <w:numPr>
          <w:ilvl w:val="1"/>
          <w:numId w:val="31"/>
        </w:numPr>
        <w:ind w:hanging="709"/>
      </w:pPr>
      <w:r>
        <w:t xml:space="preserve">As we have explained, the key question in this review is, if reform is required, whether a different legal model </w:t>
      </w:r>
      <w:r w:rsidR="00E315E2">
        <w:t xml:space="preserve">(such as specific hate crime offences) </w:t>
      </w:r>
      <w:r>
        <w:t xml:space="preserve">should be adopted. </w:t>
      </w:r>
      <w:r w:rsidR="00543CB5">
        <w:t xml:space="preserve">We discuss </w:t>
      </w:r>
      <w:r w:rsidR="001B39AC">
        <w:t xml:space="preserve">alternative </w:t>
      </w:r>
      <w:r w:rsidR="0002067F">
        <w:t xml:space="preserve">legal models in Chapter 5. </w:t>
      </w:r>
      <w:r>
        <w:t xml:space="preserve">We </w:t>
      </w:r>
      <w:r w:rsidR="00F3193A">
        <w:t>have</w:t>
      </w:r>
      <w:r>
        <w:t xml:space="preserve"> not </w:t>
      </w:r>
      <w:r w:rsidR="00F3193A">
        <w:t xml:space="preserve">identified any specific </w:t>
      </w:r>
      <w:r w:rsidR="001A00C1">
        <w:t>implications</w:t>
      </w:r>
      <w:r>
        <w:t xml:space="preserve"> of tikanga or the Treaty </w:t>
      </w:r>
      <w:r w:rsidR="00055872">
        <w:t xml:space="preserve">that </w:t>
      </w:r>
      <w:r>
        <w:t>strongly favour any one model</w:t>
      </w:r>
      <w:r w:rsidR="00055872">
        <w:t>.</w:t>
      </w:r>
    </w:p>
    <w:p w14:paraId="1D6AA2DA" w14:textId="33BF9604" w:rsidR="002C6B7C" w:rsidRDefault="002C6B7C" w:rsidP="009F4337">
      <w:pPr>
        <w:pStyle w:val="BodyText"/>
        <w:numPr>
          <w:ilvl w:val="1"/>
          <w:numId w:val="31"/>
        </w:numPr>
        <w:ind w:hanging="709"/>
      </w:pPr>
      <w:r>
        <w:t xml:space="preserve">Our tikanga analysis suggests that hate crimes are viewed as serious and as requiring additional denunciation. </w:t>
      </w:r>
      <w:r w:rsidR="0021095D">
        <w:t xml:space="preserve">One possible argument </w:t>
      </w:r>
      <w:r w:rsidR="00AD1411">
        <w:t>is</w:t>
      </w:r>
      <w:r>
        <w:t xml:space="preserve"> that this weighs in favour of </w:t>
      </w:r>
      <w:r w:rsidR="00CD42BC">
        <w:t>adopting</w:t>
      </w:r>
      <w:r w:rsidR="00B2017D" w:rsidDel="0078212C">
        <w:t xml:space="preserve"> </w:t>
      </w:r>
      <w:r w:rsidR="00B2017D">
        <w:t>hate crime offences</w:t>
      </w:r>
      <w:r w:rsidR="00CD42BC">
        <w:t>, as they</w:t>
      </w:r>
      <w:r>
        <w:t xml:space="preserve"> might have a stronger denunciatory effect.</w:t>
      </w:r>
      <w:r>
        <w:rPr>
          <w:vertAlign w:val="superscript"/>
        </w:rPr>
        <w:footnoteReference w:id="210"/>
      </w:r>
      <w:r>
        <w:t xml:space="preserve"> However, all the legal models </w:t>
      </w:r>
      <w:r w:rsidR="0095542C">
        <w:t>(including the current sentence aggravation model)</w:t>
      </w:r>
      <w:r>
        <w:t xml:space="preserve"> </w:t>
      </w:r>
      <w:r w:rsidR="00E16FAC">
        <w:t xml:space="preserve">offer </w:t>
      </w:r>
      <w:r w:rsidR="00462D17">
        <w:t>stronger</w:t>
      </w:r>
      <w:r>
        <w:t xml:space="preserve"> denunciation of hate crimes compared to equivalent non-hate crimes</w:t>
      </w:r>
      <w:r w:rsidR="00462D17">
        <w:t xml:space="preserve"> to some degree</w:t>
      </w:r>
      <w:r w:rsidR="00E16FAC">
        <w:t>.</w:t>
      </w:r>
      <w:r>
        <w:t xml:space="preserve"> Further, as we </w:t>
      </w:r>
      <w:r w:rsidRPr="00E403F4">
        <w:t xml:space="preserve">explain in Chapter </w:t>
      </w:r>
      <w:r>
        <w:t>5</w:t>
      </w:r>
      <w:r w:rsidRPr="00E403F4">
        <w:t xml:space="preserve">, </w:t>
      </w:r>
      <w:r>
        <w:t xml:space="preserve">hate crime offences </w:t>
      </w:r>
      <w:r w:rsidR="005F1488">
        <w:t xml:space="preserve">would not </w:t>
      </w:r>
      <w:r>
        <w:t>necessarily provide greater denunciation than the senten</w:t>
      </w:r>
      <w:r w:rsidR="009D47E8">
        <w:t>ce aggravation</w:t>
      </w:r>
      <w:r>
        <w:t xml:space="preserve"> model (although</w:t>
      </w:r>
      <w:r w:rsidR="00114EDC">
        <w:t xml:space="preserve"> </w:t>
      </w:r>
      <w:r>
        <w:t>some changes</w:t>
      </w:r>
      <w:r w:rsidR="009D47E8">
        <w:t xml:space="preserve"> to the sentence aggravation model</w:t>
      </w:r>
      <w:r>
        <w:t xml:space="preserve"> are desirable to strengthen </w:t>
      </w:r>
      <w:r w:rsidR="009D47E8">
        <w:t>its</w:t>
      </w:r>
      <w:r>
        <w:t xml:space="preserve"> denunciatory effect).</w:t>
      </w:r>
    </w:p>
    <w:p w14:paraId="1EF64E41" w14:textId="31F6716D" w:rsidR="002C6B7C" w:rsidRDefault="001D5616" w:rsidP="009F4337">
      <w:pPr>
        <w:pStyle w:val="BodyText"/>
        <w:numPr>
          <w:ilvl w:val="1"/>
          <w:numId w:val="31"/>
        </w:numPr>
        <w:ind w:hanging="709"/>
      </w:pPr>
      <w:r>
        <w:t>In addition</w:t>
      </w:r>
      <w:r w:rsidR="002C6B7C">
        <w:t>, a</w:t>
      </w:r>
      <w:r w:rsidR="00664D41">
        <w:t xml:space="preserve">n </w:t>
      </w:r>
      <w:r w:rsidR="002C6B7C">
        <w:t>argument</w:t>
      </w:r>
      <w:r w:rsidR="00664D41" w:rsidDel="00022567">
        <w:t xml:space="preserve"> </w:t>
      </w:r>
      <w:r w:rsidR="00664D41">
        <w:t>in favour of the current model is that there is more</w:t>
      </w:r>
      <w:r w:rsidR="002C6B7C">
        <w:t xml:space="preserve"> ability to consider tikanga-related matters at sentencing</w:t>
      </w:r>
      <w:r w:rsidR="00124091">
        <w:t xml:space="preserve"> than at trial.</w:t>
      </w:r>
      <w:r w:rsidR="002C6B7C">
        <w:t xml:space="preserve"> The Sentencing Act already provides that the court must take into account an offender’s whānau and cultural background</w:t>
      </w:r>
      <w:r w:rsidR="002C6B7C">
        <w:rPr>
          <w:rStyle w:val="FootnoteReference"/>
        </w:rPr>
        <w:footnoteReference w:id="211"/>
      </w:r>
      <w:r w:rsidR="002C6B7C">
        <w:t xml:space="preserve"> as well as information provided to help recognise the victim’s needs and the interests of the victim (including the effects of the offending on the victim).</w:t>
      </w:r>
      <w:r w:rsidR="002C6B7C">
        <w:rPr>
          <w:rStyle w:val="FootnoteReference"/>
        </w:rPr>
        <w:footnoteReference w:id="212"/>
      </w:r>
      <w:r w:rsidR="002C6B7C">
        <w:t xml:space="preserve"> In recent decisions, the courts have considered tikanga at sentencing both in relation to the offender and the victim.</w:t>
      </w:r>
      <w:r w:rsidR="002C6B7C">
        <w:rPr>
          <w:rStyle w:val="FootnoteReference"/>
        </w:rPr>
        <w:footnoteReference w:id="213"/>
      </w:r>
      <w:r w:rsidR="002C6B7C">
        <w:t xml:space="preserve"> </w:t>
      </w:r>
    </w:p>
    <w:p w14:paraId="6A24CAE8" w14:textId="0C478C7A" w:rsidR="002C6B7C" w:rsidRDefault="00124091" w:rsidP="009F4337">
      <w:pPr>
        <w:pStyle w:val="BodyText"/>
        <w:numPr>
          <w:ilvl w:val="1"/>
          <w:numId w:val="31"/>
        </w:numPr>
        <w:ind w:hanging="709"/>
      </w:pPr>
      <w:r>
        <w:t>T</w:t>
      </w:r>
      <w:r w:rsidR="002C6B7C">
        <w:t xml:space="preserve">ikanga could </w:t>
      </w:r>
      <w:r>
        <w:t>also</w:t>
      </w:r>
      <w:r w:rsidR="002C6B7C">
        <w:t xml:space="preserve"> be considered </w:t>
      </w:r>
      <w:r>
        <w:t xml:space="preserve">at sentencing </w:t>
      </w:r>
      <w:r w:rsidR="00A92E05">
        <w:t>if</w:t>
      </w:r>
      <w:r w:rsidR="001E2909">
        <w:t xml:space="preserve"> hate crime offence</w:t>
      </w:r>
      <w:r w:rsidR="00A92E05">
        <w:t>s</w:t>
      </w:r>
      <w:r w:rsidR="001E2909">
        <w:t xml:space="preserve"> </w:t>
      </w:r>
      <w:r w:rsidR="00A92E05">
        <w:t>were adopted</w:t>
      </w:r>
      <w:r w:rsidR="001E2909">
        <w:t xml:space="preserve">. </w:t>
      </w:r>
      <w:r w:rsidR="002C6B7C">
        <w:t xml:space="preserve">However, there may be less flexibility to do this </w:t>
      </w:r>
      <w:r w:rsidR="00A92E05">
        <w:t xml:space="preserve">if those offences carried </w:t>
      </w:r>
      <w:r w:rsidR="002C6B7C">
        <w:t>higher maximum penalties</w:t>
      </w:r>
      <w:r w:rsidR="00DC2857">
        <w:t xml:space="preserve"> (as was recommended by the </w:t>
      </w:r>
      <w:r w:rsidR="001D0F07" w:rsidRPr="001D0F07">
        <w:t>Royal Commission of Inquiry into the terrorist attack on Christchurch</w:t>
      </w:r>
      <w:r w:rsidR="001D0F07" w:rsidRPr="001D0F07">
        <w:rPr>
          <w:rFonts w:ascii="Cambria Math" w:hAnsi="Cambria Math" w:cs="Cambria Math"/>
        </w:rPr>
        <w:t> </w:t>
      </w:r>
      <w:r w:rsidR="001D0F07" w:rsidRPr="001D0F07">
        <w:t>masjidain</w:t>
      </w:r>
      <w:r w:rsidR="001D0F07" w:rsidRPr="001D0F07">
        <w:rPr>
          <w:rFonts w:ascii="Cambria Math" w:hAnsi="Cambria Math" w:cs="Cambria Math"/>
        </w:rPr>
        <w:t> </w:t>
      </w:r>
      <w:r w:rsidR="001D0F07" w:rsidRPr="001D0F07">
        <w:t>on 15 March 2019</w:t>
      </w:r>
      <w:r w:rsidR="006E4B96">
        <w:t>)</w:t>
      </w:r>
      <w:r w:rsidR="00E24799">
        <w:t>.</w:t>
      </w:r>
      <w:r w:rsidR="005572EC">
        <w:rPr>
          <w:rStyle w:val="FootnoteReference"/>
        </w:rPr>
        <w:footnoteReference w:id="214"/>
      </w:r>
      <w:r w:rsidR="002C6B7C">
        <w:t xml:space="preserve"> Reform of that kind may be interpreted by the courts as requiring harsher sentences for hostility-motivated offending in general.</w:t>
      </w:r>
      <w:r w:rsidR="002C6B7C">
        <w:rPr>
          <w:rStyle w:val="FootnoteReference"/>
        </w:rPr>
        <w:footnoteReference w:id="215"/>
      </w:r>
      <w:r w:rsidR="002C6B7C">
        <w:t xml:space="preserve"> </w:t>
      </w:r>
      <w:r w:rsidR="006E1760">
        <w:t>In contrast, u</w:t>
      </w:r>
      <w:r w:rsidR="002C6B7C">
        <w:t>nder the sentencing model, the courts decide what weight to give the hostility aggravating factor in the circumstances of the case.</w:t>
      </w:r>
    </w:p>
    <w:p w14:paraId="6A1D17FB" w14:textId="77777777" w:rsidR="006E1760" w:rsidRDefault="002C6B7C" w:rsidP="009F4337">
      <w:pPr>
        <w:pStyle w:val="BodyText"/>
        <w:numPr>
          <w:ilvl w:val="1"/>
          <w:numId w:val="31"/>
        </w:numPr>
        <w:ind w:hanging="709"/>
      </w:pPr>
      <w:r>
        <w:t>Ultimately, we do not consider that there are strong arguments flowing from tikanga for favouring one model over the other. We</w:t>
      </w:r>
      <w:r w:rsidR="006E1760">
        <w:t xml:space="preserve"> conclude that tikanga considerations do not weigh strongly in respect of the choice of legal models. </w:t>
      </w:r>
    </w:p>
    <w:p w14:paraId="2089286F" w14:textId="6C022236" w:rsidR="002C6B7C" w:rsidRDefault="002C6B7C" w:rsidP="009F4337">
      <w:pPr>
        <w:pStyle w:val="BodyText"/>
        <w:numPr>
          <w:ilvl w:val="1"/>
          <w:numId w:val="31"/>
        </w:numPr>
        <w:ind w:hanging="709"/>
      </w:pPr>
      <w:r>
        <w:t xml:space="preserve">We have reached a similar conclusion in relation to the Treaty. We </w:t>
      </w:r>
      <w:r w:rsidR="006E1760">
        <w:t xml:space="preserve">have not identified implications flowing from the Crown’s </w:t>
      </w:r>
      <w:r>
        <w:t xml:space="preserve">Treaty </w:t>
      </w:r>
      <w:r w:rsidR="006E1760">
        <w:t xml:space="preserve">obligations that weigh strongly in favour of </w:t>
      </w:r>
      <w:r>
        <w:t>any one of the legal models</w:t>
      </w:r>
      <w:r w:rsidR="006E1760">
        <w:t>.</w:t>
      </w:r>
      <w:r>
        <w:t xml:space="preserve"> We agree that any new hate crime offences could be disproportionately enforced against Māori. However, the aggravating factor currently applied at sentencing </w:t>
      </w:r>
      <w:r w:rsidR="006E1760">
        <w:t xml:space="preserve">may also </w:t>
      </w:r>
      <w:r>
        <w:t xml:space="preserve">be </w:t>
      </w:r>
      <w:r w:rsidR="000F0AB4">
        <w:t xml:space="preserve">applied </w:t>
      </w:r>
      <w:r>
        <w:t xml:space="preserve">disproportionately to Māori offenders. </w:t>
      </w:r>
      <w:r w:rsidR="00BF58FA">
        <w:t>O</w:t>
      </w:r>
      <w:r>
        <w:t xml:space="preserve">n balance, we do not </w:t>
      </w:r>
      <w:r w:rsidR="001F212B">
        <w:t>consider</w:t>
      </w:r>
      <w:r>
        <w:t xml:space="preserve"> this risk points strongly toward</w:t>
      </w:r>
      <w:r w:rsidR="00E80DA7">
        <w:t>s</w:t>
      </w:r>
      <w:r>
        <w:t xml:space="preserve"> any particular model. </w:t>
      </w:r>
      <w:r w:rsidR="003C5268">
        <w:t>Additionally, o</w:t>
      </w:r>
      <w:r>
        <w:t>verrepresentation is a systemic problem that applies across the criminal justice system and cannot be addressed in the context of hate crime in isolation.</w:t>
      </w:r>
      <w:r w:rsidR="008533CC">
        <w:rPr>
          <w:rStyle w:val="FootnoteReference"/>
        </w:rPr>
        <w:footnoteReference w:id="216"/>
      </w:r>
      <w:r>
        <w:t xml:space="preserve"> </w:t>
      </w:r>
    </w:p>
    <w:p w14:paraId="338D8721" w14:textId="77777777" w:rsidR="0035348E" w:rsidRDefault="0035348E" w:rsidP="0035348E">
      <w:pPr>
        <w:pStyle w:val="Heading4"/>
      </w:pPr>
      <w:r>
        <w:t>Tikanga and the Treaty and the need for reform</w:t>
      </w:r>
    </w:p>
    <w:p w14:paraId="4119FC85" w14:textId="344F9D23" w:rsidR="0035348E" w:rsidRDefault="00455BDC" w:rsidP="004E0AF2">
      <w:pPr>
        <w:pStyle w:val="BodyText"/>
        <w:numPr>
          <w:ilvl w:val="1"/>
          <w:numId w:val="31"/>
        </w:numPr>
        <w:ind w:hanging="709"/>
      </w:pPr>
      <w:r>
        <w:t>We have also considered whether the Treaty or tikanga have implications for reform of the existing sentence aggravation model. However,</w:t>
      </w:r>
      <w:r w:rsidR="0035348E">
        <w:t xml:space="preserve"> we have not identified any Treaty or tikanga implications specific to hate crime that could be addressed as part of this review. </w:t>
      </w:r>
    </w:p>
    <w:p w14:paraId="1CF95701" w14:textId="65707B49" w:rsidR="0035348E" w:rsidRDefault="0035348E" w:rsidP="004E0AF2">
      <w:pPr>
        <w:pStyle w:val="BodyText"/>
        <w:numPr>
          <w:ilvl w:val="1"/>
          <w:numId w:val="31"/>
        </w:numPr>
        <w:ind w:hanging="709"/>
      </w:pPr>
      <w:r>
        <w:t>The options for Treaty- and tikanga-consistent reform suggested by submitters</w:t>
      </w:r>
      <w:r w:rsidR="003757CD">
        <w:t xml:space="preserve"> —</w:t>
      </w:r>
      <w:r>
        <w:t xml:space="preserve"> such as restorative justice or resourcing Māori to address hate crimes</w:t>
      </w:r>
      <w:r w:rsidR="003757CD">
        <w:t xml:space="preserve"> —</w:t>
      </w:r>
      <w:r>
        <w:t xml:space="preserve"> respond to systemic issues within the criminal justice system. As we noted above, our review is limited to consideration of hate crime. </w:t>
      </w:r>
    </w:p>
    <w:p w14:paraId="248B8F4A" w14:textId="77777777" w:rsidR="0035348E" w:rsidRDefault="0035348E" w:rsidP="004E0AF2">
      <w:pPr>
        <w:pStyle w:val="BodyText"/>
        <w:numPr>
          <w:ilvl w:val="1"/>
          <w:numId w:val="31"/>
        </w:numPr>
        <w:ind w:hanging="709"/>
      </w:pPr>
      <w:r>
        <w:t>As explained in Chapter 2, restorative justice is already available in some cases.</w:t>
      </w:r>
      <w:r>
        <w:rPr>
          <w:rStyle w:val="FootnoteReference"/>
        </w:rPr>
        <w:footnoteReference w:id="217"/>
      </w:r>
      <w:r w:rsidDel="005E3FE6">
        <w:t xml:space="preserve"> </w:t>
      </w:r>
      <w:r>
        <w:t xml:space="preserve">We agree that restorative justice may be more aligned with tikanga than a punitive approach to sentencing and should be explored in appropriate cases. Law reform is not required to enable this. </w:t>
      </w:r>
    </w:p>
    <w:p w14:paraId="2F1F47FE" w14:textId="77777777" w:rsidR="0035348E" w:rsidRDefault="0035348E" w:rsidP="0035348E">
      <w:pPr>
        <w:pStyle w:val="Heading2"/>
      </w:pPr>
      <w:bookmarkStart w:id="112" w:name="_Toc231467831"/>
      <w:r>
        <w:t>Human rights obligations</w:t>
      </w:r>
      <w:bookmarkEnd w:id="112"/>
    </w:p>
    <w:p w14:paraId="5E19ADD8" w14:textId="36F00157" w:rsidR="0035348E" w:rsidRDefault="0035348E" w:rsidP="009F4337">
      <w:pPr>
        <w:pStyle w:val="BodyText"/>
        <w:numPr>
          <w:ilvl w:val="1"/>
          <w:numId w:val="31"/>
        </w:numPr>
        <w:ind w:hanging="709"/>
      </w:pPr>
      <w:r>
        <w:t xml:space="preserve">Any law reform must be consistent with </w:t>
      </w:r>
      <w:r w:rsidR="009B3F62">
        <w:t xml:space="preserve">Aotearoa </w:t>
      </w:r>
      <w:r w:rsidR="0070049F">
        <w:t>New Zealand’s</w:t>
      </w:r>
      <w:r>
        <w:t xml:space="preserve"> human rights obligations in domestic and international law. In our Consultation Paper, we explained that human rights are relevant to hate crime in two respects:</w:t>
      </w:r>
      <w:r>
        <w:rPr>
          <w:rStyle w:val="FootnoteReference"/>
        </w:rPr>
        <w:footnoteReference w:id="218"/>
      </w:r>
    </w:p>
    <w:p w14:paraId="1A2F17C1" w14:textId="77777777" w:rsidR="0035348E" w:rsidRDefault="0035348E" w:rsidP="0035348E">
      <w:pPr>
        <w:pStyle w:val="BodyTextalphalist"/>
      </w:pPr>
      <w:r>
        <w:t xml:space="preserve">There is a growing consensus that international human rights obligations require hate crime laws, since hate crimes violate rights to equality and non-discrimination. </w:t>
      </w:r>
    </w:p>
    <w:p w14:paraId="1BAF0A40" w14:textId="7D716D38" w:rsidR="0035348E" w:rsidRDefault="0035348E" w:rsidP="0035348E">
      <w:pPr>
        <w:pStyle w:val="BodyTextalphalist"/>
      </w:pPr>
      <w:r>
        <w:t xml:space="preserve">Some people argue that hate crime laws infringe the rights to freedom of thought, expression and association and the right to equality before the law. </w:t>
      </w:r>
    </w:p>
    <w:p w14:paraId="25290980" w14:textId="3C493F0B" w:rsidR="0035348E" w:rsidRDefault="0035348E" w:rsidP="009F4337">
      <w:pPr>
        <w:pStyle w:val="BodyText"/>
        <w:numPr>
          <w:ilvl w:val="1"/>
          <w:numId w:val="31"/>
        </w:numPr>
        <w:ind w:hanging="709"/>
      </w:pPr>
      <w:r>
        <w:t>Thirty-four submitters to this review discussed human rights. Many emphasised the importance of free speech and related rights.</w:t>
      </w:r>
      <w:r>
        <w:rPr>
          <w:rStyle w:val="FootnoteReference"/>
        </w:rPr>
        <w:footnoteReference w:id="219"/>
      </w:r>
      <w:r>
        <w:t xml:space="preserve"> Some also emphasised the right to equality and non-discrimination.</w:t>
      </w:r>
      <w:r>
        <w:rPr>
          <w:rStyle w:val="FootnoteReference"/>
        </w:rPr>
        <w:footnoteReference w:id="220"/>
      </w:r>
      <w:r>
        <w:t xml:space="preserve"> People and organisations we spoke </w:t>
      </w:r>
      <w:r w:rsidR="00CA624B">
        <w:t xml:space="preserve">with </w:t>
      </w:r>
      <w:r>
        <w:t>during consultation also highlighted these rights. Some submitters thought that</w:t>
      </w:r>
      <w:r w:rsidR="007127E4">
        <w:t>,</w:t>
      </w:r>
      <w:r>
        <w:t xml:space="preserve"> if hate crime offences were created</w:t>
      </w:r>
      <w:r w:rsidR="00CA2D4D">
        <w:t>,</w:t>
      </w:r>
      <w:r>
        <w:t xml:space="preserve"> </w:t>
      </w:r>
      <w:r w:rsidR="00F2458A">
        <w:t xml:space="preserve">they </w:t>
      </w:r>
      <w:r>
        <w:t>would infringe free speech and related rights</w:t>
      </w:r>
      <w:r w:rsidR="006475CC">
        <w:t>.</w:t>
      </w:r>
      <w:r>
        <w:rPr>
          <w:rStyle w:val="FootnoteReference"/>
        </w:rPr>
        <w:footnoteReference w:id="221"/>
      </w:r>
      <w:r>
        <w:t xml:space="preserve"> </w:t>
      </w:r>
      <w:r w:rsidR="006475CC">
        <w:t>Some</w:t>
      </w:r>
      <w:r>
        <w:t xml:space="preserve"> suggested the current legal model is preferable because it allows hostile motivation to be considered in a way that protects individual rights.</w:t>
      </w:r>
      <w:r>
        <w:rPr>
          <w:color w:val="262626" w:themeColor="text1" w:themeTint="D9"/>
          <w:sz w:val="18"/>
          <w:szCs w:val="18"/>
          <w:vertAlign w:val="superscript"/>
        </w:rPr>
        <w:footnoteReference w:id="222"/>
      </w:r>
    </w:p>
    <w:p w14:paraId="3A98EC71" w14:textId="2ACF4A13" w:rsidR="00070E6B" w:rsidRDefault="00070E6B" w:rsidP="00070E6B">
      <w:pPr>
        <w:pStyle w:val="Heading3"/>
      </w:pPr>
      <w:r>
        <w:t>Human rights implications for the choice of models</w:t>
      </w:r>
    </w:p>
    <w:p w14:paraId="437F763E" w14:textId="1261F8C2" w:rsidR="0035348E" w:rsidRDefault="00846BF4" w:rsidP="009F4337">
      <w:pPr>
        <w:pStyle w:val="BodyText"/>
        <w:numPr>
          <w:ilvl w:val="1"/>
          <w:numId w:val="31"/>
        </w:numPr>
        <w:ind w:hanging="709"/>
      </w:pPr>
      <w:r>
        <w:t>Creating</w:t>
      </w:r>
      <w:r w:rsidR="00070E6B">
        <w:t xml:space="preserve"> hate crime offences</w:t>
      </w:r>
      <w:r w:rsidR="00070E6B" w:rsidDel="00846BF4">
        <w:t xml:space="preserve"> </w:t>
      </w:r>
      <w:r w:rsidR="00070E6B">
        <w:t xml:space="preserve">is not required to comply with </w:t>
      </w:r>
      <w:r w:rsidR="009B3F62">
        <w:t xml:space="preserve">Aotearoa </w:t>
      </w:r>
      <w:r w:rsidR="00070E6B">
        <w:t xml:space="preserve">New Zealand’s human rights obligations. </w:t>
      </w:r>
      <w:r w:rsidR="0035348E">
        <w:t>As we noted in our Consultation Paper, international law obligations may require states to have hate crime laws</w:t>
      </w:r>
      <w:r w:rsidR="00502BAE">
        <w:t xml:space="preserve"> but</w:t>
      </w:r>
      <w:r w:rsidR="0035348E">
        <w:t xml:space="preserve"> they do not require those laws to take any particular form.</w:t>
      </w:r>
      <w:r w:rsidR="0035348E">
        <w:rPr>
          <w:rStyle w:val="FootnoteReference"/>
        </w:rPr>
        <w:footnoteReference w:id="223"/>
      </w:r>
      <w:r w:rsidR="0035348E">
        <w:t xml:space="preserve"> </w:t>
      </w:r>
      <w:r w:rsidR="00502BAE">
        <w:t xml:space="preserve">Based on current law and practice, a sentence aggravation model is sufficient. </w:t>
      </w:r>
      <w:r w:rsidR="0035348E">
        <w:t xml:space="preserve">No submitters suggested otherwise. </w:t>
      </w:r>
    </w:p>
    <w:p w14:paraId="0DC36436" w14:textId="6339B992" w:rsidR="00502BAE" w:rsidRDefault="00502BAE" w:rsidP="009F4337">
      <w:pPr>
        <w:pStyle w:val="BodyText"/>
        <w:numPr>
          <w:ilvl w:val="1"/>
          <w:numId w:val="31"/>
        </w:numPr>
        <w:ind w:hanging="709"/>
      </w:pPr>
      <w:r>
        <w:t xml:space="preserve">As noted above, some submitters </w:t>
      </w:r>
      <w:r w:rsidR="00607F5A">
        <w:t>argued</w:t>
      </w:r>
      <w:r>
        <w:t xml:space="preserve"> </w:t>
      </w:r>
      <w:r w:rsidR="00607F5A">
        <w:t xml:space="preserve">that </w:t>
      </w:r>
      <w:r w:rsidR="00342904">
        <w:t>creating</w:t>
      </w:r>
      <w:r w:rsidR="00607F5A">
        <w:t xml:space="preserve"> hate crime offences would infringe free speech and related rights. For reasons we explain in later chapters, there are several strong reasons to retain the current </w:t>
      </w:r>
      <w:r w:rsidR="00B67190">
        <w:t xml:space="preserve">sentence aggravation model. </w:t>
      </w:r>
      <w:r w:rsidR="00D76C94">
        <w:t xml:space="preserve">It is therefore unnecessary for us to analyse the human rights implications of other models. </w:t>
      </w:r>
    </w:p>
    <w:p w14:paraId="06BBD14D" w14:textId="4794DE28" w:rsidR="00607F5A" w:rsidRDefault="00D76C94" w:rsidP="00D76C94">
      <w:pPr>
        <w:pStyle w:val="Heading3"/>
      </w:pPr>
      <w:r>
        <w:t>Human rights implications of the sentence aggravation model</w:t>
      </w:r>
    </w:p>
    <w:p w14:paraId="0BE81147" w14:textId="7141DA96" w:rsidR="0035348E" w:rsidRDefault="0035348E" w:rsidP="009F4337">
      <w:pPr>
        <w:pStyle w:val="BodyText"/>
        <w:numPr>
          <w:ilvl w:val="1"/>
          <w:numId w:val="31"/>
        </w:numPr>
        <w:ind w:hanging="709"/>
      </w:pPr>
      <w:r>
        <w:t xml:space="preserve">Submitters </w:t>
      </w:r>
      <w:r w:rsidR="00D76C94">
        <w:t xml:space="preserve">who expressed concern about the human rights implications of hate crime laws mostly </w:t>
      </w:r>
      <w:r>
        <w:t>referred to hate crime laws generally or focused their concern on the implications of introducing hate crime offences</w:t>
      </w:r>
      <w:r w:rsidR="00264100">
        <w:t xml:space="preserve">. No submitters explicitly stated </w:t>
      </w:r>
      <w:r>
        <w:t>that the current law breaches human rights obligations. Nonetheless, to avoid any doubt</w:t>
      </w:r>
      <w:r w:rsidR="00AF10C0">
        <w:t>,</w:t>
      </w:r>
      <w:r>
        <w:t xml:space="preserve"> we have considered whether </w:t>
      </w:r>
      <w:r w:rsidR="00342904">
        <w:t>Aotearoa New Zealand’s current</w:t>
      </w:r>
      <w:r w:rsidR="00967FC3">
        <w:t xml:space="preserve"> sentence aggravation model infringes human</w:t>
      </w:r>
      <w:r>
        <w:t xml:space="preserve"> rights</w:t>
      </w:r>
      <w:r w:rsidR="00967FC3">
        <w:t xml:space="preserve">. We conclude it does not. </w:t>
      </w:r>
    </w:p>
    <w:p w14:paraId="60EB81B8" w14:textId="77777777" w:rsidR="0035348E" w:rsidRDefault="0035348E" w:rsidP="0035348E">
      <w:pPr>
        <w:pStyle w:val="Heading4"/>
      </w:pPr>
      <w:r>
        <w:t>Freedom of expression</w:t>
      </w:r>
    </w:p>
    <w:p w14:paraId="45DC6123" w14:textId="4FFBB120" w:rsidR="0035348E" w:rsidRDefault="0035348E" w:rsidP="00195D43">
      <w:pPr>
        <w:pStyle w:val="BodyText"/>
        <w:numPr>
          <w:ilvl w:val="1"/>
          <w:numId w:val="31"/>
        </w:numPr>
        <w:ind w:hanging="709"/>
      </w:pPr>
      <w:r>
        <w:t xml:space="preserve">The right to freedom of expression is recognised in section 14 of the New Zealand Bill of Rights Act 1990 (NZ Bill of Rights) </w:t>
      </w:r>
      <w:r w:rsidR="00967FC3" w:rsidDel="009A356D">
        <w:t xml:space="preserve">as </w:t>
      </w:r>
      <w:r w:rsidR="00967FC3">
        <w:t>well as at international law. Section</w:t>
      </w:r>
      <w:r w:rsidR="00EE445F">
        <w:rPr>
          <w:rFonts w:ascii="Calibri" w:hAnsi="Calibri" w:cs="Calibri"/>
        </w:rPr>
        <w:t> </w:t>
      </w:r>
      <w:r w:rsidR="00967FC3">
        <w:t>14</w:t>
      </w:r>
      <w:r w:rsidDel="00EE445F">
        <w:t xml:space="preserve"> </w:t>
      </w:r>
      <w:r>
        <w:t>states that freedom of expression includes “</w:t>
      </w:r>
      <w:r w:rsidRPr="00250403">
        <w:t>freedom to seek, receive, and impart information and opinions of any kind in any form</w:t>
      </w:r>
      <w:r>
        <w:t>”. This right is not absolute. Many rights, including the right to freedom of expression, are capable of some limitation and there can be good reasons to limit rights.</w:t>
      </w:r>
      <w:r>
        <w:rPr>
          <w:rStyle w:val="FootnoteReference"/>
        </w:rPr>
        <w:footnoteReference w:id="224"/>
      </w:r>
      <w:r>
        <w:t xml:space="preserve"> Domestically, this is </w:t>
      </w:r>
      <w:r w:rsidR="004040D0">
        <w:t>reflected</w:t>
      </w:r>
      <w:r>
        <w:t xml:space="preserve"> in section 5 of the NZ Bill of Rights</w:t>
      </w:r>
      <w:r w:rsidR="0025066F">
        <w:t>,</w:t>
      </w:r>
      <w:r>
        <w:t xml:space="preserve"> which states that:</w:t>
      </w:r>
    </w:p>
    <w:p w14:paraId="328747C5" w14:textId="77777777" w:rsidR="0035348E" w:rsidRDefault="0035348E" w:rsidP="0035348E">
      <w:pPr>
        <w:pStyle w:val="QuoteIndent0"/>
        <w:ind w:left="1134" w:firstLine="0"/>
      </w:pPr>
      <w:r w:rsidRPr="00634752">
        <w:t>Subject to</w:t>
      </w:r>
      <w:r w:rsidRPr="00634752">
        <w:rPr>
          <w:rFonts w:ascii="Calibri" w:hAnsi="Calibri" w:cs="Calibri"/>
        </w:rPr>
        <w:t> </w:t>
      </w:r>
      <w:r w:rsidRPr="00634752">
        <w:t>section 4, the rights and freedoms contained in this Bill of Rights may be subject only to such reasonable limits prescribed by law as can be demonstrably justified in a free and democratic society.</w:t>
      </w:r>
    </w:p>
    <w:p w14:paraId="0AD9120F" w14:textId="64D232C7" w:rsidR="0035348E" w:rsidRDefault="0035348E" w:rsidP="00195D43">
      <w:pPr>
        <w:pStyle w:val="BodyText"/>
        <w:numPr>
          <w:ilvl w:val="1"/>
          <w:numId w:val="31"/>
        </w:numPr>
        <w:ind w:hanging="709"/>
      </w:pPr>
      <w:r>
        <w:t xml:space="preserve">Te Kōti Pira | Court of Appeal considered the relationship between the right to freedom of expression and section 9(1)(h) of the Sentencing Act in </w:t>
      </w:r>
      <w:r>
        <w:rPr>
          <w:i/>
          <w:iCs/>
        </w:rPr>
        <w:t>Arps v Police</w:t>
      </w:r>
      <w:r>
        <w:t>.</w:t>
      </w:r>
      <w:r>
        <w:rPr>
          <w:rStyle w:val="FootnoteReference"/>
        </w:rPr>
        <w:footnoteReference w:id="225"/>
      </w:r>
      <w:r>
        <w:t xml:space="preserve"> Mr Arps pleaded guilty to distributing objectionable material, namely, video footage of the Christchurch terror attack on 15 March 2019. At sentencing, </w:t>
      </w:r>
      <w:r w:rsidR="00E046D1" w:rsidRPr="00E046D1">
        <w:t>Te Kōti ā Rohe | District Court</w:t>
      </w:r>
      <w:r>
        <w:t xml:space="preserve"> found the offending was committed because of Mr Arps’ hostility toward</w:t>
      </w:r>
      <w:r w:rsidR="00E80DA7">
        <w:t>s</w:t>
      </w:r>
      <w:r>
        <w:t xml:space="preserve"> Muslim people and applied the aggravating factor.</w:t>
      </w:r>
      <w:r>
        <w:rPr>
          <w:rStyle w:val="FootnoteReference"/>
        </w:rPr>
        <w:footnoteReference w:id="226"/>
      </w:r>
      <w:r>
        <w:t xml:space="preserve"> The District Court decision was affirmed on appeal to </w:t>
      </w:r>
      <w:r w:rsidR="00BF7D74" w:rsidRPr="00BF7D74">
        <w:t>Te Kōti Matua | High Court</w:t>
      </w:r>
      <w:r>
        <w:rPr>
          <w:rStyle w:val="FootnoteReference"/>
        </w:rPr>
        <w:footnoteReference w:id="227"/>
      </w:r>
      <w:r>
        <w:t xml:space="preserve"> and then to the Court of Appeal. One of the issues considered by the Court of Appeal was whether the lower courts had erred in failing to take into account Mr Arps’ right to freedom of expression.  </w:t>
      </w:r>
    </w:p>
    <w:p w14:paraId="4496737C" w14:textId="5A573A57" w:rsidR="0035348E" w:rsidRDefault="0035348E" w:rsidP="00195D43">
      <w:pPr>
        <w:pStyle w:val="BodyText"/>
        <w:numPr>
          <w:ilvl w:val="1"/>
          <w:numId w:val="31"/>
        </w:numPr>
        <w:ind w:hanging="709"/>
      </w:pPr>
      <w:r>
        <w:t xml:space="preserve">The Court of Appeal found that, by distributing video footage of the attack, Mr Arps was conveying an opinion — </w:t>
      </w:r>
      <w:r w:rsidRPr="00B35B1B">
        <w:t>that there is no place for Muslim people in our society</w:t>
      </w:r>
      <w:r>
        <w:t>.</w:t>
      </w:r>
      <w:r>
        <w:rPr>
          <w:rStyle w:val="FootnoteReference"/>
        </w:rPr>
        <w:footnoteReference w:id="228"/>
      </w:r>
      <w:r>
        <w:t xml:space="preserve"> The Court observed that the words “opinions of any kind” in section 14 of the NZ Bill of Rights capture a wide range of beliefs and views, including those that are totally objectionable.</w:t>
      </w:r>
      <w:r>
        <w:rPr>
          <w:rStyle w:val="FootnoteReference"/>
        </w:rPr>
        <w:footnoteReference w:id="229"/>
      </w:r>
      <w:r>
        <w:t xml:space="preserve"> Section 9(1)(h) imposes a punitive consequence where offending is motivated by hostility.</w:t>
      </w:r>
      <w:r>
        <w:rPr>
          <w:rStyle w:val="FootnoteReference"/>
        </w:rPr>
        <w:footnoteReference w:id="230"/>
      </w:r>
      <w:r>
        <w:t xml:space="preserve"> Mr Arps’ motivation was established by reference to the information and opinions he had conveyed. Accordingly, the Court found that section 9(1)(h) limited Mr Arps’ right to freedom of expression. </w:t>
      </w:r>
    </w:p>
    <w:p w14:paraId="5AD93210" w14:textId="77777777" w:rsidR="0035348E" w:rsidRDefault="0035348E" w:rsidP="00195D43">
      <w:pPr>
        <w:pStyle w:val="BodyText"/>
        <w:numPr>
          <w:ilvl w:val="1"/>
          <w:numId w:val="31"/>
        </w:numPr>
        <w:ind w:hanging="709"/>
      </w:pPr>
      <w:r>
        <w:t>The Court concluded, however, that the limit section 9(1)(h) places on the right to freedom of expression is justified in accordance with section 5 of the NZ Bill of Rights.</w:t>
      </w:r>
      <w:r>
        <w:rPr>
          <w:rStyle w:val="FootnoteReference"/>
        </w:rPr>
        <w:footnoteReference w:id="231"/>
      </w:r>
      <w:r>
        <w:t xml:space="preserve"> It found the limit serves important purposes:</w:t>
      </w:r>
      <w:r>
        <w:rPr>
          <w:rStyle w:val="FootnoteReference"/>
        </w:rPr>
        <w:footnoteReference w:id="232"/>
      </w:r>
    </w:p>
    <w:p w14:paraId="59627DBB" w14:textId="77777777" w:rsidR="0035348E" w:rsidRDefault="0035348E" w:rsidP="0035348E">
      <w:pPr>
        <w:pStyle w:val="Quote"/>
      </w:pPr>
      <w:r w:rsidRPr="00460E2F">
        <w:t>As we have noted from the Select Committee Report on s 9(1)(h), the purposes of the measure include marking society’s condemnation of various types of hate motivated offending, holding those who commit such crimes accountable for their motives, deterring others from similarly motivated offending and protecting the interests of victims of such offending. These are very important objectives in a society that wishes to condemn and deter those who are motivated to undermine the</w:t>
      </w:r>
      <w:r>
        <w:t xml:space="preserve"> </w:t>
      </w:r>
      <w:r w:rsidRPr="00FC298A">
        <w:t>wellbeing of society and the interests of individuals by engaging in hate motivated offending of the kind that is the focus of s 9(1)(h) of the Sentencing Act. These very important purposes necessitate the placing of limits on the right to freedom of expression in order to protect the wider interests of society and the rights of victims of crime that are motivated by hate.</w:t>
      </w:r>
    </w:p>
    <w:p w14:paraId="327E5AAE" w14:textId="4D4ECD65" w:rsidR="0035348E" w:rsidRDefault="0035348E" w:rsidP="00195D43">
      <w:pPr>
        <w:pStyle w:val="BodyText"/>
        <w:numPr>
          <w:ilvl w:val="1"/>
          <w:numId w:val="31"/>
        </w:numPr>
        <w:ind w:hanging="709"/>
      </w:pPr>
      <w:r>
        <w:t xml:space="preserve">The Court found that there is a rational </w:t>
      </w:r>
      <w:r w:rsidR="00A50B3F">
        <w:t xml:space="preserve">link </w:t>
      </w:r>
      <w:r>
        <w:t xml:space="preserve">between </w:t>
      </w:r>
      <w:r w:rsidR="00A50B3F">
        <w:t xml:space="preserve">the limit placed on freedom of expression by </w:t>
      </w:r>
      <w:r>
        <w:t xml:space="preserve">section 9(1)(h) and </w:t>
      </w:r>
      <w:r w:rsidR="006320CB">
        <w:t>it</w:t>
      </w:r>
      <w:r w:rsidR="00270CB8">
        <w:t>s</w:t>
      </w:r>
      <w:r w:rsidR="006320CB">
        <w:t xml:space="preserve"> underlying</w:t>
      </w:r>
      <w:r>
        <w:t xml:space="preserve"> purpose, that section 9(1)(h) limits freedom of expression no more than is reasonably necessary to achieve its purpose and </w:t>
      </w:r>
      <w:r w:rsidR="000D7310">
        <w:t xml:space="preserve">that </w:t>
      </w:r>
      <w:r>
        <w:t>the limit is proportionate to the purpose.</w:t>
      </w:r>
      <w:r>
        <w:rPr>
          <w:rStyle w:val="FootnoteReference"/>
        </w:rPr>
        <w:footnoteReference w:id="233"/>
      </w:r>
      <w:r>
        <w:t xml:space="preserve"> The </w:t>
      </w:r>
      <w:r w:rsidR="00270CB8">
        <w:t>Court placed weight on the fact</w:t>
      </w:r>
      <w:r w:rsidR="00BF1735">
        <w:t xml:space="preserve"> that</w:t>
      </w:r>
      <w:r w:rsidR="00270CB8">
        <w:t xml:space="preserve"> t</w:t>
      </w:r>
      <w:r w:rsidR="001A0638">
        <w:t>he</w:t>
      </w:r>
      <w:r>
        <w:t xml:space="preserve"> </w:t>
      </w:r>
      <w:r w:rsidR="00BF1735">
        <w:t xml:space="preserve">provision </w:t>
      </w:r>
      <w:r>
        <w:t>allows the courts to decide by how much to increase an offender’s sentence, having regard to all of the purposes and principles of sentencing as well as any mitigating factors.</w:t>
      </w:r>
    </w:p>
    <w:p w14:paraId="3469A6B2" w14:textId="1AEF288A" w:rsidR="0035348E" w:rsidRDefault="0035348E" w:rsidP="00195D43">
      <w:pPr>
        <w:pStyle w:val="BodyText"/>
        <w:numPr>
          <w:ilvl w:val="1"/>
          <w:numId w:val="31"/>
        </w:numPr>
        <w:ind w:hanging="709"/>
      </w:pPr>
      <w:r>
        <w:t xml:space="preserve">Assuming the NZ Bill of Rights is </w:t>
      </w:r>
      <w:r w:rsidR="00C40E42">
        <w:t xml:space="preserve">even </w:t>
      </w:r>
      <w:r>
        <w:t>engaged</w:t>
      </w:r>
      <w:r w:rsidR="00C40E42">
        <w:t xml:space="preserve"> by section 9(1)(h),</w:t>
      </w:r>
      <w:r w:rsidR="00781995">
        <w:rPr>
          <w:rStyle w:val="FootnoteReference"/>
        </w:rPr>
        <w:footnoteReference w:id="234"/>
      </w:r>
      <w:r>
        <w:t xml:space="preserve"> we agree with the Court of Appeal in </w:t>
      </w:r>
      <w:r w:rsidRPr="003B23FC">
        <w:rPr>
          <w:i/>
          <w:iCs/>
        </w:rPr>
        <w:t xml:space="preserve">Arps </w:t>
      </w:r>
      <w:r>
        <w:t xml:space="preserve">that </w:t>
      </w:r>
      <w:r w:rsidR="008312C7">
        <w:t>the</w:t>
      </w:r>
      <w:r>
        <w:t xml:space="preserve"> limit</w:t>
      </w:r>
      <w:r w:rsidR="008312C7">
        <w:t xml:space="preserve"> on</w:t>
      </w:r>
      <w:r>
        <w:t xml:space="preserve"> the right to freedom of expression is justified</w:t>
      </w:r>
      <w:r w:rsidR="00ED3464">
        <w:t>,</w:t>
      </w:r>
      <w:r>
        <w:t xml:space="preserve"> given the important purposes of the provision. Those purposes, outlined by the Court in the quote above, are consistent with the general objectives of hate crime law identified earlier in this chapter. </w:t>
      </w:r>
    </w:p>
    <w:p w14:paraId="43EC4FF7" w14:textId="77777777" w:rsidR="008D2570" w:rsidRDefault="008D2570">
      <w:pPr>
        <w:spacing w:before="0" w:after="0" w:line="240" w:lineRule="auto"/>
      </w:pPr>
      <w:r>
        <w:br w:type="page"/>
      </w:r>
    </w:p>
    <w:p w14:paraId="542CBA34" w14:textId="649F076A" w:rsidR="0035348E" w:rsidRDefault="0035348E" w:rsidP="00195D43">
      <w:pPr>
        <w:pStyle w:val="BodyText"/>
        <w:numPr>
          <w:ilvl w:val="1"/>
          <w:numId w:val="31"/>
        </w:numPr>
        <w:ind w:hanging="709"/>
      </w:pPr>
      <w:r>
        <w:t>We also agree that the sentencing process provides safeguards to ensure the right is limited no more than is justified. If a case arose that raised concerns about freedom of expression, the court would be required to ensure consistency with the NZ Bill of Rights in deciding whether and by how much to increase the offender’s sentence.</w:t>
      </w:r>
    </w:p>
    <w:p w14:paraId="52F037ED" w14:textId="3FEF8990" w:rsidR="0035348E" w:rsidRDefault="0035348E" w:rsidP="0035348E">
      <w:pPr>
        <w:pStyle w:val="Heading3"/>
      </w:pPr>
      <w:r>
        <w:t xml:space="preserve">Freedom of thought, </w:t>
      </w:r>
      <w:r w:rsidRPr="000D2CA1">
        <w:t>conscience and religion</w:t>
      </w:r>
    </w:p>
    <w:p w14:paraId="649E7389" w14:textId="744FDCE0" w:rsidR="0035348E" w:rsidRPr="00DF3906" w:rsidRDefault="0035348E" w:rsidP="00195D43">
      <w:pPr>
        <w:pStyle w:val="BodyText"/>
        <w:numPr>
          <w:ilvl w:val="1"/>
          <w:numId w:val="31"/>
        </w:numPr>
        <w:ind w:hanging="709"/>
      </w:pPr>
      <w:r w:rsidRPr="00DF3906">
        <w:t>The right to freedom of thought, conscience and religion is recognised in section 13 of the NZ Bill of Rights</w:t>
      </w:r>
      <w:r w:rsidR="0041095C">
        <w:t xml:space="preserve"> as well as at international law.</w:t>
      </w:r>
      <w:r w:rsidRPr="00DF3906">
        <w:t xml:space="preserve"> </w:t>
      </w:r>
      <w:r w:rsidR="008A051B">
        <w:t>Section 13</w:t>
      </w:r>
      <w:r w:rsidRPr="00DF3906">
        <w:t xml:space="preserve"> states that “everyone has the right to freedom of thought, conscience, religion</w:t>
      </w:r>
      <w:r w:rsidR="009F440A">
        <w:t>,</w:t>
      </w:r>
      <w:r w:rsidRPr="00DF3906">
        <w:t xml:space="preserve"> and belief, including the right to adopt and hold opinions without interference</w:t>
      </w:r>
      <w:r>
        <w:t>”</w:t>
      </w:r>
      <w:r w:rsidRPr="00DF3906">
        <w:t xml:space="preserve">.  </w:t>
      </w:r>
    </w:p>
    <w:p w14:paraId="2DC332F3" w14:textId="49E52898" w:rsidR="0035348E" w:rsidRDefault="0035348E" w:rsidP="00195D43">
      <w:pPr>
        <w:pStyle w:val="BodyText"/>
        <w:numPr>
          <w:ilvl w:val="1"/>
          <w:numId w:val="31"/>
        </w:numPr>
        <w:ind w:hanging="709"/>
      </w:pPr>
      <w:r>
        <w:t xml:space="preserve">We do not consider the current law engages the right to freedom of thought. </w:t>
      </w:r>
      <w:r w:rsidR="00B56845">
        <w:t>S</w:t>
      </w:r>
      <w:r>
        <w:t>ection</w:t>
      </w:r>
      <w:r w:rsidR="00E74486">
        <w:rPr>
          <w:rFonts w:ascii="Calibri" w:hAnsi="Calibri" w:cs="Calibri"/>
        </w:rPr>
        <w:t> </w:t>
      </w:r>
      <w:r>
        <w:t>13 only extends to what people are entitled to think or believe, not to whether they are entitled to express those thoughts or beliefs in words or action.</w:t>
      </w:r>
      <w:r>
        <w:rPr>
          <w:rStyle w:val="FootnoteReference"/>
        </w:rPr>
        <w:footnoteReference w:id="235"/>
      </w:r>
      <w:r>
        <w:t xml:space="preserve"> The hostility aggravating factor only applies if a person acts on their thoughts or beliefs in a way that causes harm to others. In other words, some external manifestation of thoughts or beliefs is required. </w:t>
      </w:r>
      <w:r w:rsidRPr="004E3298">
        <w:t xml:space="preserve">The offender is not </w:t>
      </w:r>
      <w:r>
        <w:t>punished</w:t>
      </w:r>
      <w:r w:rsidRPr="004E3298">
        <w:t xml:space="preserve"> simply for holding hateful views</w:t>
      </w:r>
      <w:r>
        <w:t>. Further, it is not unusual in other contexts for the courts to consider an offender’s motive when assessing their culpability at sentencing.</w:t>
      </w:r>
      <w:r>
        <w:rPr>
          <w:rStyle w:val="FootnoteReference"/>
        </w:rPr>
        <w:footnoteReference w:id="236"/>
      </w:r>
    </w:p>
    <w:p w14:paraId="3486687F" w14:textId="77777777" w:rsidR="0035348E" w:rsidRDefault="0035348E" w:rsidP="0035348E">
      <w:pPr>
        <w:pStyle w:val="Heading3"/>
      </w:pPr>
      <w:r>
        <w:t>Rights to equality and non-discrimination</w:t>
      </w:r>
    </w:p>
    <w:p w14:paraId="2363B046" w14:textId="76E68A1A" w:rsidR="0035348E" w:rsidRDefault="0035348E" w:rsidP="00E24D91">
      <w:pPr>
        <w:pStyle w:val="BodyText"/>
        <w:numPr>
          <w:ilvl w:val="1"/>
          <w:numId w:val="31"/>
        </w:numPr>
        <w:ind w:hanging="709"/>
      </w:pPr>
      <w:r>
        <w:t xml:space="preserve">The right to equality before the law is recognised in the International Covenant of Civil and Political Rights, which </w:t>
      </w:r>
      <w:r w:rsidR="009B3F62">
        <w:t xml:space="preserve">Aotearoa </w:t>
      </w:r>
      <w:r>
        <w:t>New Zealand has ratified.</w:t>
      </w:r>
      <w:r>
        <w:rPr>
          <w:rStyle w:val="FootnoteReference"/>
        </w:rPr>
        <w:footnoteReference w:id="237"/>
      </w:r>
      <w:r>
        <w:t xml:space="preserve"> The NZ Bill of Rights does not recognise a right to equality before the law</w:t>
      </w:r>
      <w:r>
        <w:rPr>
          <w:rStyle w:val="FootnoteReference"/>
        </w:rPr>
        <w:footnoteReference w:id="238"/>
      </w:r>
      <w:r>
        <w:t xml:space="preserve"> but it does affirm the right to freedom from discrimination.</w:t>
      </w:r>
      <w:r>
        <w:rPr>
          <w:rStyle w:val="FootnoteReference"/>
        </w:rPr>
        <w:footnoteReference w:id="239"/>
      </w:r>
      <w:r>
        <w:t xml:space="preserve"> This right is only engaged if there is a </w:t>
      </w:r>
      <w:r w:rsidRPr="000666E7">
        <w:t xml:space="preserve">difference in treatment </w:t>
      </w:r>
      <w:r>
        <w:t>on the grounds of</w:t>
      </w:r>
      <w:r w:rsidRPr="000666E7">
        <w:t xml:space="preserve"> one of the prohibited grounds of discrimination listed in section 21 of the Human Rights Act 1993</w:t>
      </w:r>
      <w:r>
        <w:t xml:space="preserve"> (such as race or religious belief)</w:t>
      </w:r>
      <w:r w:rsidRPr="000666E7">
        <w:t xml:space="preserve">. </w:t>
      </w:r>
    </w:p>
    <w:p w14:paraId="426E22A1" w14:textId="77777777" w:rsidR="0035348E" w:rsidRDefault="0035348E" w:rsidP="00E24D91">
      <w:pPr>
        <w:pStyle w:val="BodyText"/>
        <w:numPr>
          <w:ilvl w:val="1"/>
          <w:numId w:val="31"/>
        </w:numPr>
        <w:ind w:hanging="709"/>
      </w:pPr>
      <w:r>
        <w:t>Some submitters suggested that hate crime laws breach the right to equality before the law by treating some groups as more deserving of protection than others.</w:t>
      </w:r>
      <w:r>
        <w:rPr>
          <w:rStyle w:val="FootnoteReference"/>
        </w:rPr>
        <w:footnoteReference w:id="240"/>
      </w:r>
      <w:r>
        <w:t xml:space="preserve"> We do not agree. Equality before the law does not always require identical treatment.</w:t>
      </w:r>
      <w:r>
        <w:rPr>
          <w:rStyle w:val="FootnoteReference"/>
        </w:rPr>
        <w:footnoteReference w:id="241"/>
      </w:r>
      <w:r>
        <w:t xml:space="preserve"> For example, the committee responsible for monitoring the International Covenant of Civil and Political Rights has said that differentiation </w:t>
      </w:r>
      <w:r w:rsidRPr="004E3298">
        <w:t>can occur where there is a legitimate objective and reasonable, objective criteria.</w:t>
      </w:r>
      <w:r w:rsidRPr="004E3298">
        <w:rPr>
          <w:rFonts w:ascii="Metropolis" w:hAnsi="Metropolis"/>
          <w:sz w:val="18"/>
          <w:vertAlign w:val="superscript"/>
        </w:rPr>
        <w:footnoteReference w:id="242"/>
      </w:r>
      <w:r w:rsidRPr="004E3298">
        <w:t xml:space="preserve"> </w:t>
      </w:r>
    </w:p>
    <w:p w14:paraId="163352FB" w14:textId="65128CEC" w:rsidR="0035348E" w:rsidRDefault="0035348E" w:rsidP="00E24D91">
      <w:pPr>
        <w:pStyle w:val="BodyText"/>
        <w:numPr>
          <w:ilvl w:val="1"/>
          <w:numId w:val="31"/>
        </w:numPr>
        <w:ind w:hanging="709"/>
      </w:pPr>
      <w:r>
        <w:t>A common justification given for hate crime laws is that hate crimes “</w:t>
      </w:r>
      <w:r w:rsidRPr="004E3298">
        <w:t>violate the ideal of equality among and between the members of a society</w:t>
      </w:r>
      <w:r>
        <w:t>”.</w:t>
      </w:r>
      <w:r>
        <w:rPr>
          <w:rStyle w:val="FootnoteReference"/>
        </w:rPr>
        <w:footnoteReference w:id="243"/>
      </w:r>
      <w:r>
        <w:t xml:space="preserve"> As discussed earlier in this chapter, recognising and denouncing hate crime reinforces Aotearoa New Zealand’s commitment to values such as equality and tolerance. We </w:t>
      </w:r>
      <w:r w:rsidR="009D47E8">
        <w:t>consider</w:t>
      </w:r>
      <w:r>
        <w:t xml:space="preserve"> the current law supports rather than violates equality.</w:t>
      </w:r>
    </w:p>
    <w:p w14:paraId="1C41CF6E" w14:textId="77777777" w:rsidR="00A42BC3" w:rsidRPr="00A42BC3" w:rsidRDefault="00A42BC3" w:rsidP="009D6965">
      <w:pPr>
        <w:rPr>
          <w:highlight w:val="yellow"/>
        </w:rPr>
      </w:pPr>
    </w:p>
    <w:p w14:paraId="23BF7DA3" w14:textId="77777777" w:rsidR="00A42BC3" w:rsidRPr="00330E85" w:rsidRDefault="00A42BC3" w:rsidP="00A42BC3">
      <w:pPr>
        <w:pStyle w:val="BodyText"/>
        <w:numPr>
          <w:ilvl w:val="0"/>
          <w:numId w:val="0"/>
        </w:numPr>
        <w:ind w:left="709" w:hanging="709"/>
      </w:pPr>
      <w:r w:rsidRPr="00A42BC3">
        <w:rPr>
          <w:noProof/>
          <w:highlight w:val="yellow"/>
        </w:rPr>
        <mc:AlternateContent>
          <mc:Choice Requires="wps">
            <w:drawing>
              <wp:anchor distT="0" distB="0" distL="114300" distR="114300" simplePos="0" relativeHeight="251658252" behindDoc="0" locked="0" layoutInCell="1" allowOverlap="1" wp14:anchorId="141B1D41" wp14:editId="4E87E5CB">
                <wp:simplePos x="0" y="0"/>
                <wp:positionH relativeFrom="margin">
                  <wp:posOffset>0</wp:posOffset>
                </wp:positionH>
                <wp:positionV relativeFrom="paragraph">
                  <wp:posOffset>169223</wp:posOffset>
                </wp:positionV>
                <wp:extent cx="2721610" cy="0"/>
                <wp:effectExtent l="0" t="19050" r="21590" b="19050"/>
                <wp:wrapNone/>
                <wp:docPr id="1898287220" name="Straight Connector 1898287220"/>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2D7858" id="Straight Connector 1898287220" o:spid="_x0000_s1026" style="position:absolute;z-index:251658252;visibility:visible;mso-wrap-style:square;mso-wrap-distance-left:9pt;mso-wrap-distance-top:0;mso-wrap-distance-right:9pt;mso-wrap-distance-bottom:0;mso-position-horizontal:absolute;mso-position-horizontal-relative:margin;mso-position-vertical:absolute;mso-position-vertical-relative:text" from="0,13.3pt" to="214.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" strokecolor="#5ca0b9" strokeweight="2.5pt">
                <w10:wrap anchorx="margin"/>
              </v:line>
            </w:pict>
          </mc:Fallback>
        </mc:AlternateContent>
      </w:r>
    </w:p>
    <w:p w14:paraId="248639E5" w14:textId="77777777" w:rsidR="00CB6B87" w:rsidRPr="00862717" w:rsidRDefault="00CB6B87" w:rsidP="00CB6B87">
      <w:pPr>
        <w:pStyle w:val="TOC1"/>
        <w:spacing w:after="0"/>
        <w:rPr>
          <w:color w:val="0D0D0D"/>
        </w:rPr>
      </w:pPr>
    </w:p>
    <w:p w14:paraId="4C67D77D" w14:textId="77777777" w:rsidR="00CB6B87" w:rsidRPr="00862717" w:rsidRDefault="00CB6B87" w:rsidP="00CB6B87">
      <w:pPr>
        <w:spacing w:before="0" w:after="0" w:line="240" w:lineRule="auto"/>
        <w:rPr>
          <w:color w:val="0D0D0D"/>
        </w:rPr>
        <w:sectPr w:rsidR="00CB6B87" w:rsidRPr="00862717" w:rsidSect="00CC7B3B">
          <w:headerReference w:type="default" r:id="rId41"/>
          <w:footnotePr>
            <w:numRestart w:val="eachSect"/>
          </w:footnotePr>
          <w:pgSz w:w="11907" w:h="16840" w:code="9"/>
          <w:pgMar w:top="1134" w:right="1134" w:bottom="1134" w:left="1701" w:header="499" w:footer="46" w:gutter="0"/>
          <w:cols w:space="720"/>
        </w:sectPr>
      </w:pPr>
    </w:p>
    <w:p w14:paraId="46C2B352" w14:textId="77777777" w:rsidR="00CB6B87" w:rsidRPr="00862717" w:rsidRDefault="00CB6B87" w:rsidP="00CB6B87">
      <w:pPr>
        <w:spacing w:before="0" w:after="0" w:line="240" w:lineRule="auto"/>
        <w:rPr>
          <w:color w:val="0D0D0D"/>
        </w:rPr>
      </w:pPr>
    </w:p>
    <w:p w14:paraId="3666339F" w14:textId="77777777" w:rsidR="00CB6B87" w:rsidRPr="00862717" w:rsidRDefault="00CB6B87" w:rsidP="00CB6B87">
      <w:pPr>
        <w:spacing w:before="0" w:after="0" w:line="240" w:lineRule="auto"/>
        <w:rPr>
          <w:color w:val="0D0D0D"/>
        </w:rPr>
      </w:pPr>
    </w:p>
    <w:p w14:paraId="09D724A5" w14:textId="77777777" w:rsidR="00CB6B87" w:rsidRPr="00862717" w:rsidRDefault="00CB6B87" w:rsidP="00CB6B87">
      <w:pPr>
        <w:spacing w:before="0" w:after="0" w:line="240" w:lineRule="auto"/>
        <w:rPr>
          <w:color w:val="0D0D0D"/>
        </w:rPr>
      </w:pPr>
    </w:p>
    <w:p w14:paraId="1DA5852A" w14:textId="77777777" w:rsidR="00CB6B87" w:rsidRPr="00862717" w:rsidRDefault="00CB6B87" w:rsidP="00CB6B87">
      <w:pPr>
        <w:spacing w:after="240"/>
        <w:rPr>
          <w:rFonts w:ascii="Metropolis Black" w:eastAsia="Metropolis Black" w:hAnsi="Metropolis Black"/>
          <w:b/>
          <w:color w:val="5CA0B9"/>
          <w:spacing w:val="-7"/>
          <w:sz w:val="66"/>
        </w:rPr>
      </w:pPr>
    </w:p>
    <w:p w14:paraId="71F27113" w14:textId="77777777" w:rsidR="00CB6B87" w:rsidRPr="00862717" w:rsidRDefault="00CB6B87" w:rsidP="00CB6B87">
      <w:pPr>
        <w:spacing w:after="240"/>
        <w:rPr>
          <w:rFonts w:ascii="Metropolis Black" w:eastAsia="Metropolis Black" w:hAnsi="Metropolis Black"/>
          <w:b/>
          <w:color w:val="5CA0B9"/>
          <w:spacing w:val="-7"/>
          <w:sz w:val="66"/>
        </w:rPr>
      </w:pPr>
    </w:p>
    <w:p w14:paraId="7CE8D76A" w14:textId="7407EEF2" w:rsidR="00CB6B87" w:rsidRPr="00862717" w:rsidRDefault="00CB6B87" w:rsidP="00CB6B87">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8270" behindDoc="1" locked="0" layoutInCell="1" allowOverlap="1" wp14:anchorId="5E03BD66" wp14:editId="6E06F0E6">
                <wp:simplePos x="0" y="0"/>
                <wp:positionH relativeFrom="page">
                  <wp:posOffset>1080135</wp:posOffset>
                </wp:positionH>
                <wp:positionV relativeFrom="paragraph">
                  <wp:posOffset>496570</wp:posOffset>
                </wp:positionV>
                <wp:extent cx="1332230" cy="1270"/>
                <wp:effectExtent l="0" t="19050" r="1270" b="0"/>
                <wp:wrapNone/>
                <wp:docPr id="2083886237" name="Group 208388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8287319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72872" id="Group 2083886237" o:spid="_x0000_s1026" style="position:absolute;margin-left:85.05pt;margin-top:39.1pt;width:104.9pt;height:.1pt;z-index:-25165821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Pr>
          <w:rFonts w:ascii="Metropolis Black" w:eastAsia="Metropolis Black" w:hAnsi="Metropolis Black"/>
          <w:b/>
          <w:color w:val="5CA0B9"/>
          <w:spacing w:val="-7"/>
          <w:sz w:val="40"/>
          <w:szCs w:val="2"/>
        </w:rPr>
        <w:t>2</w:t>
      </w:r>
      <w:r w:rsidRPr="00862717">
        <w:rPr>
          <w:rFonts w:ascii="Metropolis Black" w:eastAsia="Metropolis Black" w:hAnsi="Metropolis Black"/>
          <w:b/>
          <w:color w:val="5CA0B9"/>
          <w:spacing w:val="-7"/>
          <w:sz w:val="40"/>
          <w:szCs w:val="2"/>
        </w:rPr>
        <w:t>:</w:t>
      </w:r>
    </w:p>
    <w:p w14:paraId="0B9D04E8" w14:textId="77777777" w:rsidR="00CB6B87" w:rsidRPr="00862717" w:rsidRDefault="00CB6B87" w:rsidP="00CB6B87">
      <w:pPr>
        <w:spacing w:after="240"/>
        <w:rPr>
          <w:rFonts w:ascii="Metropolis Black" w:eastAsia="Metropolis Black" w:hAnsi="Metropolis Black"/>
          <w:b/>
          <w:color w:val="5CA0B9"/>
          <w:spacing w:val="-7"/>
          <w:sz w:val="32"/>
          <w:szCs w:val="10"/>
        </w:rPr>
      </w:pPr>
    </w:p>
    <w:p w14:paraId="21D1F473" w14:textId="3BCFD8EB" w:rsidR="00CB6B87" w:rsidRPr="00862717" w:rsidRDefault="00523BE0" w:rsidP="00CB6B87">
      <w:pPr>
        <w:pStyle w:val="Heading1-Mainpart"/>
        <w:rPr>
          <w:b w:val="0"/>
        </w:rPr>
      </w:pPr>
      <w:bookmarkStart w:id="113" w:name="_Toc231467832"/>
      <w:r w:rsidRPr="00523BE0">
        <w:t>LEGAL MODEL FOR ADDRESSING HATE CRIME</w:t>
      </w:r>
      <w:bookmarkEnd w:id="113"/>
      <w:r w:rsidR="00CB6B87" w:rsidRPr="00862717">
        <w:rPr>
          <w:b w:val="0"/>
        </w:rPr>
        <w:t xml:space="preserve"> </w:t>
      </w:r>
    </w:p>
    <w:p w14:paraId="0E9BB426" w14:textId="77777777" w:rsidR="00CB6B87" w:rsidRPr="00862717" w:rsidRDefault="00CB6B87" w:rsidP="00CB6B87">
      <w:pPr>
        <w:spacing w:before="0" w:after="0" w:line="240" w:lineRule="auto"/>
        <w:rPr>
          <w:color w:val="0D0D0D"/>
        </w:rPr>
      </w:pPr>
    </w:p>
    <w:p w14:paraId="065ADD84" w14:textId="77777777" w:rsidR="00CB6B87" w:rsidRPr="00862717" w:rsidRDefault="00CB6B87" w:rsidP="00CB6B87">
      <w:pPr>
        <w:spacing w:before="0" w:after="0" w:line="240" w:lineRule="auto"/>
        <w:rPr>
          <w:color w:val="0D0D0D"/>
        </w:rPr>
      </w:pPr>
    </w:p>
    <w:p w14:paraId="66F0BDE8" w14:textId="77777777" w:rsidR="00CB6B87" w:rsidRPr="00862717" w:rsidRDefault="00CB6B87" w:rsidP="00CB6B87">
      <w:pPr>
        <w:spacing w:before="0" w:after="0" w:line="240" w:lineRule="auto"/>
        <w:rPr>
          <w:color w:val="0D0D0D"/>
        </w:rPr>
      </w:pPr>
      <w:r w:rsidRPr="00862717">
        <w:rPr>
          <w:noProof/>
          <w:color w:val="0D0D0D"/>
        </w:rPr>
        <w:drawing>
          <wp:anchor distT="0" distB="0" distL="114300" distR="114300" simplePos="0" relativeHeight="251658278" behindDoc="0" locked="0" layoutInCell="1" allowOverlap="1" wp14:anchorId="3A08498D" wp14:editId="6EBDFEAA">
            <wp:simplePos x="0" y="0"/>
            <wp:positionH relativeFrom="column">
              <wp:posOffset>-884555</wp:posOffset>
            </wp:positionH>
            <wp:positionV relativeFrom="page">
              <wp:posOffset>9463973</wp:posOffset>
            </wp:positionV>
            <wp:extent cx="7171055" cy="1148080"/>
            <wp:effectExtent l="0" t="0" r="0" b="0"/>
            <wp:wrapNone/>
            <wp:docPr id="1819741165" name="Picture 1819741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26CE2" w14:textId="77777777" w:rsidR="00CB6B87" w:rsidRPr="00862717" w:rsidRDefault="00CB6B87" w:rsidP="00CB6B87">
      <w:pPr>
        <w:spacing w:before="0" w:after="0" w:line="240" w:lineRule="auto"/>
        <w:rPr>
          <w:color w:val="0D0D0D"/>
        </w:rPr>
      </w:pPr>
    </w:p>
    <w:p w14:paraId="240800C1" w14:textId="77777777" w:rsidR="00CB6B87" w:rsidRDefault="00CB6B87" w:rsidP="00CB6B87">
      <w:pPr>
        <w:spacing w:after="0" w:line="240" w:lineRule="auto"/>
      </w:pPr>
    </w:p>
    <w:p w14:paraId="6211C01B" w14:textId="77777777" w:rsidR="00CB6B87" w:rsidRDefault="00CB6B87" w:rsidP="00CB6B87">
      <w:pPr>
        <w:spacing w:after="0" w:line="240" w:lineRule="auto"/>
      </w:pPr>
    </w:p>
    <w:p w14:paraId="0443A56B" w14:textId="77777777" w:rsidR="00A42BC3" w:rsidRPr="00330E85" w:rsidRDefault="00A42BC3" w:rsidP="00A42BC3">
      <w:pPr>
        <w:pStyle w:val="BodyText"/>
        <w:numPr>
          <w:ilvl w:val="0"/>
          <w:numId w:val="0"/>
        </w:numPr>
        <w:ind w:left="709" w:hanging="709"/>
      </w:pPr>
    </w:p>
    <w:p w14:paraId="094F2F5A" w14:textId="77777777" w:rsidR="00A42BC3" w:rsidRPr="00330E85" w:rsidRDefault="00A42BC3" w:rsidP="001038FE">
      <w:pPr>
        <w:spacing w:after="0" w:line="240" w:lineRule="auto"/>
      </w:pPr>
    </w:p>
    <w:p w14:paraId="4BB01C55" w14:textId="77777777" w:rsidR="001038FE" w:rsidRPr="00330E85" w:rsidRDefault="001038FE" w:rsidP="001038FE">
      <w:pPr>
        <w:spacing w:after="0" w:line="240" w:lineRule="auto"/>
      </w:pPr>
    </w:p>
    <w:p w14:paraId="0BBC40AF" w14:textId="77777777" w:rsidR="001038FE" w:rsidRPr="00330E85" w:rsidRDefault="001038FE" w:rsidP="009C1FC8">
      <w:pPr>
        <w:spacing w:after="0" w:line="240" w:lineRule="auto"/>
        <w:sectPr w:rsidR="001038FE" w:rsidRPr="00330E85" w:rsidSect="00624222">
          <w:headerReference w:type="default" r:id="rId42"/>
          <w:footnotePr>
            <w:numRestart w:val="eachSect"/>
          </w:footnotePr>
          <w:pgSz w:w="11907" w:h="16840" w:code="9"/>
          <w:pgMar w:top="1134" w:right="1134" w:bottom="1134" w:left="1701" w:header="499" w:footer="46" w:gutter="0"/>
          <w:cols w:space="720"/>
        </w:sectPr>
      </w:pPr>
    </w:p>
    <w:p w14:paraId="603D1B79" w14:textId="6D3E19B9" w:rsidR="009C1FC8" w:rsidRPr="00330E85" w:rsidRDefault="009C1FC8" w:rsidP="009C1FC8">
      <w:pPr>
        <w:pStyle w:val="HEADING2topchapter-notinTOC"/>
        <w:rPr>
          <w:sz w:val="21"/>
          <w:szCs w:val="21"/>
        </w:rPr>
      </w:pPr>
      <w:r w:rsidRPr="00330E85">
        <w:t>CHAPTER</w:t>
      </w:r>
      <w:r w:rsidR="00862717" w:rsidRPr="00330E85">
        <w:t xml:space="preserve"> </w:t>
      </w:r>
      <w:r w:rsidR="003C7344">
        <w:t>4</w:t>
      </w:r>
    </w:p>
    <w:p w14:paraId="2353E2A0" w14:textId="77777777" w:rsidR="009C1FC8" w:rsidRPr="00330E85" w:rsidRDefault="009C1FC8" w:rsidP="009C1FC8">
      <w:pPr>
        <w:spacing w:after="0" w:line="200" w:lineRule="exact"/>
        <w:rPr>
          <w:szCs w:val="20"/>
        </w:rPr>
      </w:pPr>
      <w:r w:rsidRPr="00330E85">
        <w:rPr>
          <w:noProof/>
        </w:rPr>
        <mc:AlternateContent>
          <mc:Choice Requires="wpg">
            <w:drawing>
              <wp:anchor distT="0" distB="0" distL="114300" distR="114300" simplePos="0" relativeHeight="251658244" behindDoc="1" locked="0" layoutInCell="1" allowOverlap="1" wp14:anchorId="0E704CF8" wp14:editId="48F22D1C">
                <wp:simplePos x="0" y="0"/>
                <wp:positionH relativeFrom="page">
                  <wp:posOffset>1079500</wp:posOffset>
                </wp:positionH>
                <wp:positionV relativeFrom="paragraph">
                  <wp:posOffset>120015</wp:posOffset>
                </wp:positionV>
                <wp:extent cx="1332230" cy="1270"/>
                <wp:effectExtent l="0" t="19050" r="1270" b="0"/>
                <wp:wrapNone/>
                <wp:docPr id="764517960" name="Group 76451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11405" id="Group 764517960" o:spid="_x0000_s1026" style="position:absolute;margin-left:85pt;margin-top:9.45pt;width:104.9pt;height:.1pt;z-index:-25165823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qe/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6hmKnv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194D659" w14:textId="6E7387DB" w:rsidR="00E0369F" w:rsidRPr="00330E85" w:rsidRDefault="003C7344" w:rsidP="00E0369F">
      <w:pPr>
        <w:pStyle w:val="Heading1"/>
        <w:rPr>
          <w:rFonts w:eastAsia="Metropolis Black"/>
        </w:rPr>
      </w:pPr>
      <w:bookmarkStart w:id="114" w:name="_Toc231467833"/>
      <w:r w:rsidRPr="003C7344">
        <w:rPr>
          <w:rFonts w:eastAsia="Metropolis Black"/>
        </w:rPr>
        <w:t xml:space="preserve">Are there problems with the </w:t>
      </w:r>
      <w:r w:rsidR="000D0354">
        <w:rPr>
          <w:rFonts w:eastAsia="Metropolis Black"/>
        </w:rPr>
        <w:t>current law</w:t>
      </w:r>
      <w:r w:rsidR="00F75EE3" w:rsidRPr="00127787">
        <w:rPr>
          <w:rFonts w:eastAsia="Metropolis Black"/>
        </w:rPr>
        <w:t>?</w:t>
      </w:r>
      <w:bookmarkEnd w:id="114"/>
    </w:p>
    <w:p w14:paraId="15EFC6E9" w14:textId="2E493BF8" w:rsidR="00E0369F" w:rsidRPr="00330E85" w:rsidRDefault="00E0369F" w:rsidP="00E0369F">
      <w:pPr>
        <w:spacing w:after="0" w:line="200" w:lineRule="exact"/>
        <w:rPr>
          <w:szCs w:val="20"/>
        </w:rPr>
      </w:pPr>
      <w:r w:rsidRPr="00330E85">
        <w:rPr>
          <w:noProof/>
          <w:lang w:eastAsia="en-NZ"/>
        </w:rPr>
        <mc:AlternateContent>
          <mc:Choice Requires="wpg">
            <w:drawing>
              <wp:anchor distT="0" distB="0" distL="114300" distR="114300" simplePos="0" relativeHeight="251658246" behindDoc="1" locked="0" layoutInCell="1" allowOverlap="1" wp14:anchorId="06FF88FD" wp14:editId="1D1CED7D">
                <wp:simplePos x="0" y="0"/>
                <wp:positionH relativeFrom="page">
                  <wp:posOffset>1089025</wp:posOffset>
                </wp:positionH>
                <wp:positionV relativeFrom="paragraph">
                  <wp:posOffset>86731</wp:posOffset>
                </wp:positionV>
                <wp:extent cx="1332230" cy="1270"/>
                <wp:effectExtent l="0" t="19050" r="1270"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FB6B3" id="Group 7" o:spid="_x0000_s1026" style="position:absolute;margin-left:85.75pt;margin-top:6.85pt;width:104.9pt;height:.1pt;z-index:-25165823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CE9QIAANk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" path="m,l2098,e" filled="f" strokecolor="#5ca0b9" strokeweight="3pt">
                  <v:path arrowok="t" o:connecttype="custom" o:connectlocs="0,0;2098,0" o:connectangles="0,0"/>
                </v:shape>
                <w10:wrap anchorx="page"/>
              </v:group>
            </w:pict>
          </mc:Fallback>
        </mc:AlternateContent>
      </w:r>
    </w:p>
    <w:p w14:paraId="2D2832AF" w14:textId="77777777" w:rsidR="00AF5B9D" w:rsidRPr="00330E85" w:rsidRDefault="00AF5B9D" w:rsidP="00AF5B9D"/>
    <w:p w14:paraId="5D7CD724" w14:textId="77777777" w:rsidR="005B18D6" w:rsidRDefault="005B18D6" w:rsidP="005B18D6">
      <w:pPr>
        <w:pStyle w:val="Heading2"/>
      </w:pPr>
      <w:bookmarkStart w:id="115" w:name="_Toc231467834"/>
      <w:r w:rsidRPr="00E34108">
        <w:t>Introduction</w:t>
      </w:r>
      <w:bookmarkEnd w:id="115"/>
    </w:p>
    <w:p w14:paraId="144620EF" w14:textId="77777777" w:rsidR="00684CD4" w:rsidRPr="00684CD4" w:rsidRDefault="00684CD4" w:rsidP="003E75B9">
      <w:pPr>
        <w:pStyle w:val="ListParagraph"/>
        <w:numPr>
          <w:ilvl w:val="0"/>
          <w:numId w:val="28"/>
        </w:numPr>
        <w:spacing w:before="80" w:after="80"/>
        <w:contextualSpacing w:val="0"/>
        <w:jc w:val="both"/>
        <w:rPr>
          <w:vanish/>
          <w:sz w:val="20"/>
        </w:rPr>
      </w:pPr>
    </w:p>
    <w:p w14:paraId="7D0181D4" w14:textId="7D9E975C" w:rsidR="007C1CFD" w:rsidRPr="0020346B" w:rsidRDefault="007C1CFD" w:rsidP="00982D61">
      <w:pPr>
        <w:pStyle w:val="BodyText"/>
        <w:numPr>
          <w:ilvl w:val="1"/>
          <w:numId w:val="31"/>
        </w:numPr>
        <w:ind w:hanging="709"/>
        <w:rPr>
          <w:rFonts w:eastAsia="Calibri"/>
          <w:lang w:eastAsia="en-US"/>
        </w:rPr>
      </w:pPr>
      <w:r w:rsidRPr="00D07A5D">
        <w:rPr>
          <w:rFonts w:eastAsia="Calibri" w:cs="Cordia New"/>
          <w:color w:val="auto"/>
          <w:szCs w:val="22"/>
          <w:lang w:eastAsia="en-US"/>
        </w:rPr>
        <w:t xml:space="preserve">In this </w:t>
      </w:r>
      <w:r w:rsidR="00995EC6">
        <w:rPr>
          <w:rFonts w:eastAsia="Calibri" w:cs="Cordia New"/>
          <w:color w:val="auto"/>
          <w:szCs w:val="22"/>
          <w:lang w:eastAsia="en-US"/>
        </w:rPr>
        <w:t>p</w:t>
      </w:r>
      <w:r w:rsidRPr="00D07A5D">
        <w:rPr>
          <w:rFonts w:eastAsia="Calibri" w:cs="Cordia New"/>
          <w:color w:val="auto"/>
          <w:szCs w:val="22"/>
          <w:lang w:eastAsia="en-US"/>
        </w:rPr>
        <w:t xml:space="preserve">art of our Report, we consider whether the legal model for addressing hate crime in Aotearoa New Zealand should be changed. This chapter considers whether there are problems with </w:t>
      </w:r>
      <w:r w:rsidR="006C7364">
        <w:rPr>
          <w:rFonts w:eastAsia="Calibri" w:cs="Cordia New"/>
          <w:color w:val="auto"/>
          <w:szCs w:val="22"/>
          <w:lang w:eastAsia="en-US"/>
        </w:rPr>
        <w:t xml:space="preserve">how </w:t>
      </w:r>
      <w:r w:rsidRPr="00D07A5D">
        <w:rPr>
          <w:rFonts w:eastAsia="Calibri" w:cs="Cordia New"/>
          <w:color w:val="auto"/>
          <w:szCs w:val="22"/>
          <w:lang w:eastAsia="en-US"/>
        </w:rPr>
        <w:t xml:space="preserve">the </w:t>
      </w:r>
      <w:r w:rsidR="00DE62C8">
        <w:rPr>
          <w:rFonts w:eastAsia="Calibri" w:cs="Cordia New"/>
          <w:color w:val="auto"/>
          <w:szCs w:val="22"/>
          <w:lang w:eastAsia="en-US"/>
        </w:rPr>
        <w:t>current law</w:t>
      </w:r>
      <w:r w:rsidR="006C7364">
        <w:rPr>
          <w:rFonts w:eastAsia="Calibri" w:cs="Cordia New"/>
          <w:color w:val="auto"/>
          <w:szCs w:val="22"/>
          <w:lang w:eastAsia="en-US"/>
        </w:rPr>
        <w:t xml:space="preserve"> is working</w:t>
      </w:r>
      <w:r w:rsidRPr="00D07A5D">
        <w:rPr>
          <w:rFonts w:eastAsia="Calibri" w:cs="Cordia New"/>
          <w:color w:val="auto"/>
          <w:szCs w:val="22"/>
          <w:lang w:eastAsia="en-US"/>
        </w:rPr>
        <w:t xml:space="preserve">. </w:t>
      </w:r>
      <w:r w:rsidRPr="00D07A5D">
        <w:rPr>
          <w:rFonts w:eastAsia="Calibri"/>
          <w:szCs w:val="18"/>
          <w:lang w:eastAsia="en-US"/>
        </w:rPr>
        <w:t xml:space="preserve">In </w:t>
      </w:r>
      <w:r w:rsidRPr="00982D61">
        <w:rPr>
          <w:rFonts w:eastAsia="Calibri" w:cs="Cordia New"/>
          <w:color w:val="auto"/>
          <w:szCs w:val="22"/>
          <w:lang w:eastAsia="en-US"/>
        </w:rPr>
        <w:t>Chapter</w:t>
      </w:r>
      <w:r w:rsidRPr="00D07A5D">
        <w:rPr>
          <w:rFonts w:eastAsia="Calibri"/>
          <w:szCs w:val="18"/>
          <w:lang w:eastAsia="en-US"/>
        </w:rPr>
        <w:t xml:space="preserve"> 5, we assess </w:t>
      </w:r>
      <w:r w:rsidR="00F931DD">
        <w:rPr>
          <w:rFonts w:eastAsia="Calibri"/>
          <w:szCs w:val="18"/>
          <w:lang w:eastAsia="en-US"/>
        </w:rPr>
        <w:t>whether those problems can be addressed by making changes to the sentence aggravation model or whether a</w:t>
      </w:r>
      <w:r w:rsidR="000568F0">
        <w:rPr>
          <w:rFonts w:eastAsia="Calibri"/>
          <w:szCs w:val="18"/>
          <w:lang w:eastAsia="en-US"/>
        </w:rPr>
        <w:t xml:space="preserve">n alternative model </w:t>
      </w:r>
      <w:r w:rsidR="00FD22D7">
        <w:rPr>
          <w:rFonts w:eastAsia="Calibri"/>
          <w:szCs w:val="18"/>
          <w:lang w:eastAsia="en-US"/>
        </w:rPr>
        <w:t>is needed</w:t>
      </w:r>
      <w:r w:rsidR="004A2B7A">
        <w:rPr>
          <w:rFonts w:eastAsia="Calibri"/>
          <w:szCs w:val="18"/>
          <w:lang w:eastAsia="en-US"/>
        </w:rPr>
        <w:t>.</w:t>
      </w:r>
    </w:p>
    <w:p w14:paraId="1D6A397A" w14:textId="09C04670" w:rsidR="007C1CFD" w:rsidRPr="009A60BE" w:rsidRDefault="007C1CFD" w:rsidP="007C1CFD">
      <w:pPr>
        <w:pStyle w:val="BodyText"/>
        <w:numPr>
          <w:ilvl w:val="1"/>
          <w:numId w:val="31"/>
        </w:numPr>
        <w:ind w:hanging="709"/>
        <w:rPr>
          <w:rFonts w:eastAsia="Calibri" w:cs="Cordia New"/>
          <w:color w:val="auto"/>
          <w:szCs w:val="22"/>
          <w:lang w:eastAsia="en-US"/>
        </w:rPr>
      </w:pPr>
      <w:r>
        <w:rPr>
          <w:rFonts w:eastAsia="Calibri" w:cs="Cordia New"/>
          <w:color w:val="auto"/>
          <w:szCs w:val="22"/>
          <w:lang w:eastAsia="en-US"/>
        </w:rPr>
        <w:t xml:space="preserve">In this chapter, </w:t>
      </w:r>
      <w:r w:rsidR="00B72156">
        <w:rPr>
          <w:rFonts w:eastAsia="Calibri" w:cs="Cordia New"/>
          <w:color w:val="auto"/>
          <w:szCs w:val="22"/>
          <w:lang w:eastAsia="en-US"/>
        </w:rPr>
        <w:t>we discuss potential problems</w:t>
      </w:r>
      <w:r w:rsidR="006767D4">
        <w:rPr>
          <w:rFonts w:eastAsia="Calibri" w:cs="Cordia New"/>
          <w:color w:val="auto"/>
          <w:szCs w:val="22"/>
          <w:lang w:eastAsia="en-US"/>
        </w:rPr>
        <w:t xml:space="preserve"> with the current law</w:t>
      </w:r>
      <w:r w:rsidR="00696746">
        <w:rPr>
          <w:rFonts w:eastAsia="Calibri" w:cs="Cordia New"/>
          <w:color w:val="auto"/>
          <w:szCs w:val="22"/>
          <w:lang w:eastAsia="en-US"/>
        </w:rPr>
        <w:t xml:space="preserve"> in the following areas:</w:t>
      </w:r>
      <w:r w:rsidR="00B745BB">
        <w:rPr>
          <w:rFonts w:eastAsia="Calibri" w:cs="Cordia New"/>
          <w:color w:val="auto"/>
          <w:szCs w:val="22"/>
          <w:lang w:eastAsia="en-US"/>
        </w:rPr>
        <w:t xml:space="preserve"> </w:t>
      </w:r>
    </w:p>
    <w:p w14:paraId="57933A7D" w14:textId="43DC63A7" w:rsidR="007419D6" w:rsidRPr="007419D6"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22"/>
          <w:lang w:eastAsia="en-US"/>
        </w:rPr>
        <w:t>D</w:t>
      </w:r>
      <w:r w:rsidR="00E05E55">
        <w:rPr>
          <w:rFonts w:eastAsia="Calibri" w:cs="Cordia New"/>
          <w:color w:val="auto"/>
          <w:szCs w:val="22"/>
          <w:lang w:eastAsia="en-US"/>
        </w:rPr>
        <w:t xml:space="preserve">enouncing </w:t>
      </w:r>
      <w:r w:rsidR="007C1CFD">
        <w:rPr>
          <w:rFonts w:eastAsia="Calibri" w:cs="Cordia New"/>
          <w:color w:val="auto"/>
          <w:szCs w:val="22"/>
          <w:lang w:eastAsia="en-US"/>
        </w:rPr>
        <w:t>hat</w:t>
      </w:r>
      <w:r w:rsidR="007C1CFD" w:rsidRPr="009A60BE">
        <w:rPr>
          <w:rFonts w:eastAsia="Calibri" w:cs="Cordia New"/>
          <w:color w:val="auto"/>
          <w:szCs w:val="22"/>
          <w:lang w:eastAsia="en-US"/>
        </w:rPr>
        <w:t>e crime</w:t>
      </w:r>
      <w:r>
        <w:rPr>
          <w:rFonts w:eastAsia="Calibri" w:cs="Cordia New"/>
          <w:color w:val="auto"/>
          <w:szCs w:val="22"/>
          <w:lang w:eastAsia="en-US"/>
        </w:rPr>
        <w:t>.</w:t>
      </w:r>
    </w:p>
    <w:p w14:paraId="1D4C4FB4" w14:textId="13B42938" w:rsidR="007C1CFD" w:rsidRPr="009A60BE"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18"/>
          <w:lang w:eastAsia="en-US"/>
        </w:rPr>
        <w:t>S</w:t>
      </w:r>
      <w:r w:rsidR="009D4928">
        <w:rPr>
          <w:rFonts w:eastAsia="Calibri" w:cs="Cordia New"/>
          <w:color w:val="auto"/>
          <w:szCs w:val="18"/>
          <w:lang w:eastAsia="en-US"/>
        </w:rPr>
        <w:t xml:space="preserve">ystematic </w:t>
      </w:r>
      <w:r w:rsidR="007C1CFD" w:rsidRPr="009A60BE">
        <w:rPr>
          <w:rFonts w:eastAsia="Calibri" w:cs="Cordia New"/>
          <w:color w:val="auto"/>
          <w:szCs w:val="18"/>
          <w:lang w:eastAsia="en-US"/>
        </w:rPr>
        <w:t xml:space="preserve">recording </w:t>
      </w:r>
      <w:r w:rsidR="009D4928">
        <w:rPr>
          <w:rFonts w:eastAsia="Calibri" w:cs="Cordia New"/>
          <w:color w:val="auto"/>
          <w:szCs w:val="18"/>
          <w:lang w:eastAsia="en-US"/>
        </w:rPr>
        <w:t xml:space="preserve">of </w:t>
      </w:r>
      <w:r w:rsidR="007C1CFD" w:rsidRPr="009A60BE">
        <w:rPr>
          <w:rFonts w:eastAsia="Calibri" w:cs="Cordia New"/>
          <w:color w:val="auto"/>
          <w:szCs w:val="18"/>
          <w:lang w:eastAsia="en-US"/>
        </w:rPr>
        <w:t>hat</w:t>
      </w:r>
      <w:r w:rsidR="007C1CFD" w:rsidRPr="009A60BE">
        <w:rPr>
          <w:rFonts w:eastAsia="Calibri" w:cs="Cordia New"/>
          <w:color w:val="auto"/>
          <w:szCs w:val="22"/>
          <w:lang w:eastAsia="en-US"/>
        </w:rPr>
        <w:t>e crime</w:t>
      </w:r>
      <w:r>
        <w:rPr>
          <w:rFonts w:eastAsia="Calibri" w:cs="Cordia New"/>
          <w:color w:val="auto"/>
          <w:szCs w:val="22"/>
          <w:lang w:eastAsia="en-US"/>
        </w:rPr>
        <w:t>.</w:t>
      </w:r>
    </w:p>
    <w:p w14:paraId="139A608B" w14:textId="16C680B3" w:rsidR="007C1CFD" w:rsidRPr="009A60BE"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22"/>
          <w:lang w:eastAsia="en-US"/>
        </w:rPr>
        <w:t>I</w:t>
      </w:r>
      <w:r w:rsidR="00736432">
        <w:rPr>
          <w:rFonts w:eastAsia="Calibri" w:cs="Cordia New"/>
          <w:color w:val="auto"/>
          <w:szCs w:val="22"/>
          <w:lang w:eastAsia="en-US"/>
        </w:rPr>
        <w:t xml:space="preserve">nvestigating </w:t>
      </w:r>
      <w:r w:rsidR="0032325D">
        <w:rPr>
          <w:rFonts w:eastAsia="Calibri" w:cs="Cordia New"/>
          <w:color w:val="auto"/>
          <w:szCs w:val="22"/>
          <w:lang w:eastAsia="en-US"/>
        </w:rPr>
        <w:t>hate crime</w:t>
      </w:r>
      <w:r>
        <w:rPr>
          <w:rFonts w:eastAsia="Calibri" w:cs="Cordia New"/>
          <w:color w:val="auto"/>
          <w:szCs w:val="22"/>
          <w:lang w:eastAsia="en-US"/>
        </w:rPr>
        <w:t>.</w:t>
      </w:r>
    </w:p>
    <w:p w14:paraId="19AF27EF" w14:textId="3591513F" w:rsidR="0032325D" w:rsidRPr="009A60BE"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22"/>
          <w:lang w:eastAsia="en-US"/>
        </w:rPr>
        <w:t>I</w:t>
      </w:r>
      <w:r w:rsidR="00A754A3">
        <w:rPr>
          <w:rFonts w:eastAsia="Calibri" w:cs="Cordia New"/>
          <w:color w:val="auto"/>
          <w:szCs w:val="22"/>
          <w:lang w:eastAsia="en-US"/>
        </w:rPr>
        <w:t>dentifying hostile motivation as an issue in court proceedings</w:t>
      </w:r>
      <w:r>
        <w:rPr>
          <w:rFonts w:eastAsia="Calibri" w:cs="Cordia New"/>
          <w:color w:val="auto"/>
          <w:szCs w:val="22"/>
          <w:lang w:eastAsia="en-US"/>
        </w:rPr>
        <w:t>.</w:t>
      </w:r>
    </w:p>
    <w:p w14:paraId="24767829" w14:textId="071FBCE9" w:rsidR="007C1CFD" w:rsidRPr="009A60BE"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22"/>
          <w:lang w:eastAsia="en-US"/>
        </w:rPr>
        <w:t>A</w:t>
      </w:r>
      <w:r w:rsidR="00B85BF7">
        <w:rPr>
          <w:rFonts w:eastAsia="Calibri" w:cs="Cordia New"/>
          <w:color w:val="auto"/>
          <w:szCs w:val="22"/>
          <w:lang w:eastAsia="en-US"/>
        </w:rPr>
        <w:t>dequacy of penalties for</w:t>
      </w:r>
      <w:r w:rsidR="007C1CFD" w:rsidRPr="009A60BE">
        <w:rPr>
          <w:rFonts w:eastAsia="Calibri" w:cs="Cordia New"/>
          <w:color w:val="auto"/>
          <w:szCs w:val="22"/>
          <w:lang w:eastAsia="en-US"/>
        </w:rPr>
        <w:t xml:space="preserve"> hate crime</w:t>
      </w:r>
      <w:r>
        <w:rPr>
          <w:rFonts w:eastAsia="Calibri" w:cs="Cordia New"/>
          <w:color w:val="auto"/>
          <w:szCs w:val="22"/>
          <w:lang w:eastAsia="en-US"/>
        </w:rPr>
        <w:t>.</w:t>
      </w:r>
    </w:p>
    <w:p w14:paraId="6FEC7131" w14:textId="76C14F16" w:rsidR="007C1CFD" w:rsidRPr="009A60BE"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22"/>
          <w:lang w:eastAsia="en-US"/>
        </w:rPr>
        <w:t>R</w:t>
      </w:r>
      <w:r w:rsidR="007C1CFD" w:rsidRPr="009A60BE">
        <w:rPr>
          <w:rFonts w:eastAsia="Calibri" w:cs="Cordia New"/>
          <w:color w:val="auto"/>
          <w:szCs w:val="22"/>
          <w:lang w:eastAsia="en-US"/>
        </w:rPr>
        <w:t>eporting hate crime</w:t>
      </w:r>
      <w:r w:rsidR="007C1CFD">
        <w:rPr>
          <w:rFonts w:eastAsia="Calibri" w:cs="Cordia New"/>
          <w:color w:val="auto"/>
          <w:szCs w:val="22"/>
          <w:lang w:eastAsia="en-US"/>
        </w:rPr>
        <w:t xml:space="preserve"> to </w:t>
      </w:r>
      <w:r w:rsidR="00390CDB">
        <w:rPr>
          <w:rFonts w:eastAsia="Calibri" w:cs="Cordia New"/>
          <w:color w:val="auto"/>
          <w:szCs w:val="22"/>
          <w:lang w:eastAsia="en-US"/>
        </w:rPr>
        <w:t xml:space="preserve">Ngā Pirihimana </w:t>
      </w:r>
      <w:r w:rsidR="004B49D5">
        <w:rPr>
          <w:rFonts w:eastAsia="Calibri" w:cs="Cordia New"/>
          <w:color w:val="auto"/>
          <w:szCs w:val="22"/>
          <w:lang w:eastAsia="en-US"/>
        </w:rPr>
        <w:t xml:space="preserve">| New Zealand </w:t>
      </w:r>
      <w:r w:rsidR="007C1CFD">
        <w:rPr>
          <w:rFonts w:eastAsia="Calibri" w:cs="Cordia New"/>
          <w:color w:val="auto"/>
          <w:szCs w:val="22"/>
          <w:lang w:eastAsia="en-US"/>
        </w:rPr>
        <w:t>Police</w:t>
      </w:r>
      <w:r>
        <w:rPr>
          <w:rFonts w:eastAsia="Calibri" w:cs="Cordia New"/>
          <w:color w:val="auto"/>
          <w:szCs w:val="22"/>
          <w:lang w:eastAsia="en-US"/>
        </w:rPr>
        <w:t>.</w:t>
      </w:r>
    </w:p>
    <w:p w14:paraId="5CBF5CC2" w14:textId="50D89D7C" w:rsidR="007C1CFD" w:rsidRPr="009A60BE" w:rsidRDefault="00CA2B9D" w:rsidP="007C1CFD">
      <w:pPr>
        <w:pStyle w:val="BodyTextalphalist"/>
        <w:numPr>
          <w:ilvl w:val="3"/>
          <w:numId w:val="31"/>
        </w:numPr>
        <w:rPr>
          <w:rFonts w:eastAsia="Calibri" w:cs="Cordia New"/>
          <w:color w:val="auto"/>
          <w:szCs w:val="18"/>
          <w:lang w:eastAsia="en-US"/>
        </w:rPr>
      </w:pPr>
      <w:r>
        <w:rPr>
          <w:rFonts w:eastAsia="Calibri" w:cs="Cordia New"/>
          <w:color w:val="auto"/>
          <w:szCs w:val="22"/>
          <w:lang w:eastAsia="en-US"/>
        </w:rPr>
        <w:t>R</w:t>
      </w:r>
      <w:r w:rsidR="007C1CFD" w:rsidRPr="009A60BE">
        <w:rPr>
          <w:rFonts w:eastAsia="Calibri" w:cs="Cordia New"/>
          <w:color w:val="auto"/>
          <w:szCs w:val="22"/>
          <w:lang w:eastAsia="en-US"/>
        </w:rPr>
        <w:t>ehabilitating hate crim</w:t>
      </w:r>
      <w:r w:rsidR="007C1CFD" w:rsidRPr="009A60BE">
        <w:rPr>
          <w:rFonts w:eastAsia="Calibri" w:cs="Cordia New"/>
          <w:color w:val="auto"/>
          <w:szCs w:val="18"/>
          <w:lang w:eastAsia="en-US"/>
        </w:rPr>
        <w:t>e offenders</w:t>
      </w:r>
      <w:r>
        <w:rPr>
          <w:rFonts w:eastAsia="Calibri" w:cs="Cordia New"/>
          <w:color w:val="auto"/>
          <w:szCs w:val="18"/>
          <w:lang w:eastAsia="en-US"/>
        </w:rPr>
        <w:t>.</w:t>
      </w:r>
    </w:p>
    <w:p w14:paraId="34567756" w14:textId="29854A28" w:rsidR="007C1CFD" w:rsidRPr="009A60BE" w:rsidRDefault="00CA2B9D" w:rsidP="007C1CFD">
      <w:pPr>
        <w:pStyle w:val="BodyTextalphalist"/>
        <w:numPr>
          <w:ilvl w:val="3"/>
          <w:numId w:val="31"/>
        </w:numPr>
        <w:rPr>
          <w:rFonts w:eastAsia="Calibri" w:cs="Cordia New"/>
          <w:color w:val="auto"/>
          <w:szCs w:val="22"/>
          <w:lang w:eastAsia="en-US"/>
        </w:rPr>
      </w:pPr>
      <w:r>
        <w:rPr>
          <w:rFonts w:eastAsia="Calibri" w:cs="Cordia New"/>
          <w:color w:val="auto"/>
          <w:szCs w:val="22"/>
          <w:lang w:eastAsia="en-US"/>
        </w:rPr>
        <w:t>S</w:t>
      </w:r>
      <w:r w:rsidR="007C1CFD" w:rsidRPr="009A60BE">
        <w:rPr>
          <w:rFonts w:eastAsia="Calibri" w:cs="Cordia New"/>
          <w:color w:val="auto"/>
          <w:szCs w:val="22"/>
          <w:lang w:eastAsia="en-US"/>
        </w:rPr>
        <w:t>upporting victims of hate crime.</w:t>
      </w:r>
    </w:p>
    <w:p w14:paraId="742CF78E" w14:textId="4DDAEBE4" w:rsidR="007C1CFD" w:rsidRPr="009A60BE" w:rsidRDefault="00CE169A" w:rsidP="007C1CFD">
      <w:pPr>
        <w:pStyle w:val="BodyText"/>
        <w:numPr>
          <w:ilvl w:val="1"/>
          <w:numId w:val="31"/>
        </w:numPr>
        <w:tabs>
          <w:tab w:val="left" w:pos="709"/>
          <w:tab w:val="num" w:pos="5416"/>
        </w:tabs>
        <w:spacing w:after="120"/>
        <w:ind w:hanging="737"/>
      </w:pPr>
      <w:r>
        <w:rPr>
          <w:rFonts w:eastAsia="Calibri" w:cs="Cordia New"/>
          <w:color w:val="auto"/>
          <w:szCs w:val="22"/>
          <w:lang w:eastAsia="en-US"/>
        </w:rPr>
        <w:t>T</w:t>
      </w:r>
      <w:r w:rsidR="00696746">
        <w:rPr>
          <w:rFonts w:eastAsia="Calibri" w:cs="Cordia New"/>
          <w:color w:val="auto"/>
          <w:szCs w:val="22"/>
          <w:lang w:eastAsia="en-US"/>
        </w:rPr>
        <w:t xml:space="preserve">hese </w:t>
      </w:r>
      <w:r w:rsidR="00055FD3">
        <w:rPr>
          <w:rFonts w:eastAsia="Calibri" w:cs="Cordia New"/>
          <w:color w:val="auto"/>
          <w:szCs w:val="22"/>
          <w:lang w:eastAsia="en-US"/>
        </w:rPr>
        <w:t>issues</w:t>
      </w:r>
      <w:r w:rsidR="00696746">
        <w:rPr>
          <w:rFonts w:eastAsia="Calibri" w:cs="Cordia New"/>
          <w:color w:val="auto"/>
          <w:szCs w:val="22"/>
          <w:lang w:eastAsia="en-US"/>
        </w:rPr>
        <w:t xml:space="preserve"> were discussed in our Consultation Paper, except for the final one (supporting victims of hate crime), which was raised by submitters. </w:t>
      </w:r>
      <w:r w:rsidR="00055FD3">
        <w:rPr>
          <w:rFonts w:eastAsia="Calibri"/>
          <w:szCs w:val="18"/>
          <w:lang w:eastAsia="en-US"/>
        </w:rPr>
        <w:t>Matters</w:t>
      </w:r>
      <w:r w:rsidR="007C1CFD" w:rsidRPr="009A60BE">
        <w:rPr>
          <w:rFonts w:eastAsia="Calibri"/>
          <w:szCs w:val="18"/>
          <w:lang w:eastAsia="en-US"/>
        </w:rPr>
        <w:t xml:space="preserve"> relating to </w:t>
      </w:r>
      <w:r w:rsidR="007C1CFD" w:rsidRPr="009A60BE">
        <w:t>the</w:t>
      </w:r>
      <w:r w:rsidR="007C1CFD" w:rsidRPr="009A60BE">
        <w:rPr>
          <w:rFonts w:eastAsia="Calibri"/>
          <w:szCs w:val="18"/>
          <w:lang w:eastAsia="en-US"/>
        </w:rPr>
        <w:t xml:space="preserve"> </w:t>
      </w:r>
      <w:r w:rsidR="005A50A9">
        <w:rPr>
          <w:rFonts w:eastAsia="Calibri"/>
          <w:szCs w:val="18"/>
          <w:lang w:eastAsia="en-US"/>
        </w:rPr>
        <w:t>wording</w:t>
      </w:r>
      <w:r w:rsidR="005A50A9" w:rsidRPr="009A60BE">
        <w:rPr>
          <w:rFonts w:eastAsia="Calibri"/>
          <w:szCs w:val="18"/>
          <w:lang w:eastAsia="en-US"/>
        </w:rPr>
        <w:t xml:space="preserve"> </w:t>
      </w:r>
      <w:r w:rsidR="007C1CFD" w:rsidRPr="009A60BE">
        <w:rPr>
          <w:rFonts w:eastAsia="Calibri"/>
          <w:szCs w:val="18"/>
          <w:lang w:eastAsia="en-US"/>
        </w:rPr>
        <w:t xml:space="preserve">of section 9(1)(h) </w:t>
      </w:r>
      <w:r w:rsidR="007C1CFD">
        <w:rPr>
          <w:rFonts w:eastAsia="Calibri"/>
          <w:szCs w:val="18"/>
          <w:lang w:eastAsia="en-US"/>
        </w:rPr>
        <w:t xml:space="preserve">of the Sentencing Act 2002 </w:t>
      </w:r>
      <w:r w:rsidR="007C1CFD" w:rsidRPr="009A60BE">
        <w:rPr>
          <w:rFonts w:eastAsia="Calibri"/>
          <w:szCs w:val="18"/>
          <w:lang w:eastAsia="en-US"/>
        </w:rPr>
        <w:t>are discussed separately in Chapter</w:t>
      </w:r>
      <w:r w:rsidR="00055FD3">
        <w:rPr>
          <w:rFonts w:ascii="Calibri" w:eastAsia="Calibri" w:hAnsi="Calibri" w:cs="Calibri"/>
          <w:szCs w:val="18"/>
          <w:lang w:eastAsia="en-US"/>
        </w:rPr>
        <w:t> </w:t>
      </w:r>
      <w:r w:rsidR="00055FD3">
        <w:rPr>
          <w:rFonts w:eastAsia="Calibri"/>
          <w:szCs w:val="18"/>
          <w:lang w:eastAsia="en-US"/>
        </w:rPr>
        <w:t>8</w:t>
      </w:r>
      <w:r w:rsidR="007C1CFD" w:rsidRPr="009A60BE">
        <w:rPr>
          <w:rFonts w:eastAsia="Calibri"/>
          <w:szCs w:val="18"/>
          <w:lang w:eastAsia="en-US"/>
        </w:rPr>
        <w:t>, as they do not affect the choice of legal model.</w:t>
      </w:r>
      <w:r w:rsidR="007C1CFD">
        <w:rPr>
          <w:rFonts w:eastAsia="Calibri"/>
          <w:szCs w:val="18"/>
          <w:lang w:eastAsia="en-US"/>
        </w:rPr>
        <w:t xml:space="preserve"> </w:t>
      </w:r>
    </w:p>
    <w:p w14:paraId="6173D9C9" w14:textId="5CF4A0DE" w:rsidR="00D32F7A" w:rsidRPr="00836C4B" w:rsidRDefault="006167A5" w:rsidP="00836C4B">
      <w:pPr>
        <w:pStyle w:val="BodyText"/>
        <w:numPr>
          <w:ilvl w:val="1"/>
          <w:numId w:val="31"/>
        </w:numPr>
        <w:tabs>
          <w:tab w:val="left" w:pos="709"/>
          <w:tab w:val="num" w:pos="5416"/>
        </w:tabs>
        <w:spacing w:after="120"/>
        <w:ind w:hanging="737"/>
      </w:pPr>
      <w:r w:rsidRPr="00836C4B">
        <w:rPr>
          <w:rFonts w:eastAsia="Calibri" w:cs="Cordia New"/>
          <w:color w:val="auto"/>
          <w:szCs w:val="22"/>
          <w:lang w:eastAsia="en-US"/>
        </w:rPr>
        <w:t xml:space="preserve">We </w:t>
      </w:r>
      <w:r w:rsidR="005C7CEB">
        <w:rPr>
          <w:rFonts w:eastAsia="Calibri" w:cs="Cordia New"/>
          <w:color w:val="auto"/>
          <w:szCs w:val="22"/>
          <w:lang w:eastAsia="en-US"/>
        </w:rPr>
        <w:t xml:space="preserve">conclude that </w:t>
      </w:r>
      <w:r w:rsidRPr="00836C4B">
        <w:rPr>
          <w:rFonts w:eastAsia="Calibri" w:cs="Cordia New"/>
          <w:color w:val="auto"/>
          <w:szCs w:val="22"/>
          <w:lang w:eastAsia="en-US"/>
        </w:rPr>
        <w:t>the current law</w:t>
      </w:r>
      <w:r w:rsidR="005C7CEB">
        <w:rPr>
          <w:rFonts w:eastAsia="Calibri" w:cs="Cordia New"/>
          <w:color w:val="auto"/>
          <w:szCs w:val="22"/>
          <w:lang w:eastAsia="en-US"/>
        </w:rPr>
        <w:t xml:space="preserve"> has three main shortcomings</w:t>
      </w:r>
      <w:r w:rsidR="00DA5AB5">
        <w:rPr>
          <w:rFonts w:eastAsia="Calibri" w:cs="Cordia New"/>
          <w:color w:val="auto"/>
          <w:szCs w:val="22"/>
          <w:lang w:eastAsia="en-US"/>
        </w:rPr>
        <w:t>:</w:t>
      </w:r>
    </w:p>
    <w:p w14:paraId="149950DB" w14:textId="429CF104" w:rsidR="00342223" w:rsidRPr="00836C4B" w:rsidRDefault="00342223" w:rsidP="00342223">
      <w:pPr>
        <w:pStyle w:val="BodyTextalphalist"/>
      </w:pPr>
      <w:r>
        <w:t xml:space="preserve">It does not require the courts </w:t>
      </w:r>
      <w:r w:rsidRPr="00836C4B">
        <w:t xml:space="preserve">to communicate </w:t>
      </w:r>
      <w:r>
        <w:t xml:space="preserve">clearly </w:t>
      </w:r>
      <w:r w:rsidRPr="00836C4B">
        <w:t xml:space="preserve">to the public </w:t>
      </w:r>
      <w:r>
        <w:t xml:space="preserve">(such as through their sentencing decisions) </w:t>
      </w:r>
      <w:r w:rsidRPr="00836C4B">
        <w:t>that an offence was a hate crime and that this makes it more serious.</w:t>
      </w:r>
      <w:r>
        <w:t xml:space="preserve"> This means hate crimes may not be consistently denounced.</w:t>
      </w:r>
    </w:p>
    <w:p w14:paraId="4CF8E753" w14:textId="260E479B" w:rsidR="00A41C16" w:rsidRPr="00836C4B" w:rsidRDefault="00D32F7A" w:rsidP="002821B8">
      <w:pPr>
        <w:pStyle w:val="BodyTextalphalist"/>
      </w:pPr>
      <w:r w:rsidRPr="002821B8">
        <w:rPr>
          <w:rFonts w:eastAsia="Calibri"/>
          <w:lang w:eastAsia="en-US"/>
        </w:rPr>
        <w:t>It</w:t>
      </w:r>
      <w:r w:rsidR="009D53FD" w:rsidRPr="002821B8">
        <w:rPr>
          <w:rFonts w:eastAsia="Calibri"/>
          <w:lang w:eastAsia="en-US"/>
        </w:rPr>
        <w:t xml:space="preserve"> </w:t>
      </w:r>
      <w:r w:rsidR="00CF51A5" w:rsidRPr="002821B8">
        <w:rPr>
          <w:rFonts w:eastAsia="Calibri"/>
          <w:lang w:eastAsia="en-US"/>
        </w:rPr>
        <w:t xml:space="preserve">does not </w:t>
      </w:r>
      <w:r w:rsidR="00CF51A5" w:rsidRPr="002821B8">
        <w:rPr>
          <w:rFonts w:eastAsia="Calibri"/>
        </w:rPr>
        <w:t>provide</w:t>
      </w:r>
      <w:r w:rsidR="00CF51A5" w:rsidRPr="002821B8">
        <w:rPr>
          <w:rFonts w:eastAsia="Calibri"/>
          <w:lang w:eastAsia="en-US"/>
        </w:rPr>
        <w:t xml:space="preserve"> a mechanism for systematically documenting court findings that an offence was motivated by hostility.</w:t>
      </w:r>
      <w:r w:rsidR="002821B8">
        <w:rPr>
          <w:rFonts w:eastAsia="Calibri"/>
          <w:lang w:eastAsia="en-US"/>
        </w:rPr>
        <w:t xml:space="preserve"> </w:t>
      </w:r>
      <w:r w:rsidR="004715B1" w:rsidRPr="002821B8">
        <w:rPr>
          <w:rFonts w:eastAsia="Calibri"/>
          <w:lang w:eastAsia="en-US"/>
        </w:rPr>
        <w:t xml:space="preserve">This limits the ability of Police, the courts and </w:t>
      </w:r>
      <w:r w:rsidR="00237349" w:rsidRPr="002821B8">
        <w:rPr>
          <w:rFonts w:eastAsia="Calibri"/>
          <w:lang w:eastAsia="en-US"/>
        </w:rPr>
        <w:t xml:space="preserve">Ara Poutama Aotearoa | Department of </w:t>
      </w:r>
      <w:r w:rsidR="00C1511F" w:rsidRPr="002821B8">
        <w:rPr>
          <w:rFonts w:eastAsia="Calibri"/>
          <w:lang w:eastAsia="en-US"/>
        </w:rPr>
        <w:t xml:space="preserve">Corrections to deal </w:t>
      </w:r>
      <w:r w:rsidR="00141F96" w:rsidRPr="002821B8">
        <w:rPr>
          <w:rFonts w:eastAsia="Calibri"/>
          <w:lang w:eastAsia="en-US"/>
        </w:rPr>
        <w:t>with the offender appropriately in future</w:t>
      </w:r>
      <w:r w:rsidR="00345622" w:rsidRPr="002821B8">
        <w:rPr>
          <w:rFonts w:eastAsia="Calibri"/>
          <w:lang w:eastAsia="en-US"/>
        </w:rPr>
        <w:t>. It also makes it difficult to assess how the justice system is responding to hate crime and to develop appropriate laws and policies to improve that response.</w:t>
      </w:r>
    </w:p>
    <w:p w14:paraId="2A5B9138" w14:textId="20698063" w:rsidR="00EC7335" w:rsidRDefault="00B660BA" w:rsidP="00836C4B">
      <w:pPr>
        <w:pStyle w:val="BodyTextalphalist"/>
      </w:pPr>
      <w:r w:rsidRPr="00836C4B">
        <w:t xml:space="preserve">It does not </w:t>
      </w:r>
      <w:r w:rsidR="002F0663">
        <w:t xml:space="preserve">provide </w:t>
      </w:r>
      <w:r w:rsidR="00AB3C95">
        <w:t xml:space="preserve">a </w:t>
      </w:r>
      <w:r w:rsidR="002F0663">
        <w:t>mechanism to</w:t>
      </w:r>
      <w:r w:rsidRPr="00836C4B">
        <w:t xml:space="preserve"> </w:t>
      </w:r>
      <w:r w:rsidR="00813DEE">
        <w:t>ensure</w:t>
      </w:r>
      <w:r w:rsidR="007C1CFD" w:rsidRPr="00836C4B">
        <w:rPr>
          <w:rFonts w:eastAsia="Calibri"/>
        </w:rPr>
        <w:t xml:space="preserve"> the </w:t>
      </w:r>
      <w:r w:rsidR="00B33138">
        <w:rPr>
          <w:rFonts w:eastAsia="Calibri"/>
        </w:rPr>
        <w:t>court</w:t>
      </w:r>
      <w:r w:rsidR="002065A9">
        <w:rPr>
          <w:rFonts w:eastAsia="Calibri"/>
        </w:rPr>
        <w:t>s</w:t>
      </w:r>
      <w:r w:rsidR="00B33138">
        <w:rPr>
          <w:rFonts w:eastAsia="Calibri"/>
        </w:rPr>
        <w:t xml:space="preserve"> </w:t>
      </w:r>
      <w:r w:rsidR="002065A9">
        <w:rPr>
          <w:rFonts w:eastAsia="Calibri"/>
        </w:rPr>
        <w:t>are</w:t>
      </w:r>
      <w:r w:rsidR="00B33138">
        <w:rPr>
          <w:rFonts w:eastAsia="Calibri"/>
        </w:rPr>
        <w:t xml:space="preserve"> aware that the </w:t>
      </w:r>
      <w:r w:rsidR="00393020">
        <w:rPr>
          <w:rFonts w:eastAsia="Calibri"/>
        </w:rPr>
        <w:t>hostility aggravating factor may apply to an offence</w:t>
      </w:r>
      <w:r w:rsidR="00C4405C">
        <w:rPr>
          <w:rFonts w:eastAsia="Calibri"/>
        </w:rPr>
        <w:t xml:space="preserve"> and consider</w:t>
      </w:r>
      <w:r w:rsidR="00C4405C" w:rsidRPr="00836C4B">
        <w:t xml:space="preserve"> </w:t>
      </w:r>
      <w:r w:rsidR="007977CD" w:rsidRPr="00836C4B">
        <w:t xml:space="preserve">it </w:t>
      </w:r>
      <w:r w:rsidR="00D17189" w:rsidRPr="00836C4B">
        <w:t xml:space="preserve">at appropriate points in </w:t>
      </w:r>
      <w:r w:rsidR="008838FF">
        <w:t xml:space="preserve">a </w:t>
      </w:r>
      <w:r w:rsidR="00D17189" w:rsidRPr="00836C4B">
        <w:t>proceeding.</w:t>
      </w:r>
    </w:p>
    <w:p w14:paraId="7C21F034" w14:textId="5063041E" w:rsidR="007C1CFD" w:rsidRPr="00BC3FE0" w:rsidRDefault="005C7CEB" w:rsidP="00982D61">
      <w:pPr>
        <w:pStyle w:val="BodyText"/>
        <w:numPr>
          <w:ilvl w:val="1"/>
          <w:numId w:val="31"/>
        </w:numPr>
        <w:ind w:hanging="709"/>
        <w:rPr>
          <w:rFonts w:eastAsia="Calibri" w:cs="Cordia New"/>
          <w:color w:val="auto"/>
          <w:szCs w:val="18"/>
          <w:lang w:eastAsia="en-US"/>
        </w:rPr>
      </w:pPr>
      <w:r w:rsidRPr="005C7CEB">
        <w:rPr>
          <w:rFonts w:eastAsia="Calibri"/>
          <w:lang w:eastAsia="en-US"/>
        </w:rPr>
        <w:t xml:space="preserve">Other problems </w:t>
      </w:r>
      <w:r>
        <w:rPr>
          <w:rFonts w:eastAsia="Calibri"/>
          <w:lang w:eastAsia="en-US"/>
        </w:rPr>
        <w:t xml:space="preserve">we </w:t>
      </w:r>
      <w:r w:rsidR="001D2539">
        <w:rPr>
          <w:rFonts w:eastAsia="Calibri"/>
          <w:lang w:eastAsia="en-US"/>
        </w:rPr>
        <w:t>discuss</w:t>
      </w:r>
      <w:r w:rsidR="00FE12AB">
        <w:rPr>
          <w:rFonts w:eastAsia="Calibri"/>
          <w:lang w:eastAsia="en-US"/>
        </w:rPr>
        <w:t>,</w:t>
      </w:r>
      <w:r w:rsidRPr="005C7CEB">
        <w:rPr>
          <w:rFonts w:eastAsia="Calibri"/>
          <w:lang w:eastAsia="en-US"/>
        </w:rPr>
        <w:t xml:space="preserve"> including </w:t>
      </w:r>
      <w:r w:rsidR="00476005">
        <w:rPr>
          <w:rFonts w:eastAsia="Calibri"/>
          <w:lang w:eastAsia="en-US"/>
        </w:rPr>
        <w:t xml:space="preserve">underreporting of hate crime and </w:t>
      </w:r>
      <w:r w:rsidR="00142BF5">
        <w:rPr>
          <w:rFonts w:eastAsia="Calibri"/>
          <w:lang w:eastAsia="en-US"/>
        </w:rPr>
        <w:t>concerns about how Police respond to reports of hate crime</w:t>
      </w:r>
      <w:r w:rsidR="00253556">
        <w:rPr>
          <w:rFonts w:eastAsia="Calibri"/>
          <w:lang w:eastAsia="en-US"/>
        </w:rPr>
        <w:t xml:space="preserve">, </w:t>
      </w:r>
      <w:r w:rsidRPr="005C7CEB">
        <w:rPr>
          <w:rFonts w:eastAsia="Calibri"/>
          <w:lang w:eastAsia="en-US"/>
        </w:rPr>
        <w:t xml:space="preserve">are best addressed through </w:t>
      </w:r>
      <w:r w:rsidR="00047579">
        <w:t xml:space="preserve">changes </w:t>
      </w:r>
      <w:r w:rsidR="004F39AF">
        <w:t>in Police practice</w:t>
      </w:r>
      <w:r w:rsidR="007C1CFD" w:rsidRPr="009A60BE">
        <w:t xml:space="preserve"> or </w:t>
      </w:r>
      <w:r w:rsidR="000E61DF">
        <w:t>G</w:t>
      </w:r>
      <w:r w:rsidR="007C1CFD" w:rsidRPr="009A60BE">
        <w:t>overnment policy</w:t>
      </w:r>
      <w:r w:rsidR="00F53C73">
        <w:t xml:space="preserve"> rather than law reform</w:t>
      </w:r>
      <w:r w:rsidR="007C1CFD" w:rsidRPr="009A60BE">
        <w:t xml:space="preserve">. </w:t>
      </w:r>
      <w:r w:rsidR="00476005">
        <w:t>There is already significant work underway in these areas</w:t>
      </w:r>
      <w:r w:rsidR="007627D6">
        <w:t xml:space="preserve">. </w:t>
      </w:r>
      <w:r w:rsidR="007C1CFD" w:rsidRPr="009A60BE">
        <w:t xml:space="preserve">As this review is focused on the </w:t>
      </w:r>
      <w:r w:rsidR="007C1CFD">
        <w:t xml:space="preserve">operation of the </w:t>
      </w:r>
      <w:r w:rsidR="007C1CFD" w:rsidRPr="009A60BE">
        <w:t xml:space="preserve">law relating to hate crime, it is outside our scope to make specific recommendations about </w:t>
      </w:r>
      <w:r w:rsidR="0044323A">
        <w:t>th</w:t>
      </w:r>
      <w:r w:rsidR="002F63C1">
        <w:t>em</w:t>
      </w:r>
      <w:r w:rsidR="007C1CFD" w:rsidRPr="009A60BE">
        <w:t>. In some cases</w:t>
      </w:r>
      <w:r w:rsidR="007C1CFD">
        <w:t>,</w:t>
      </w:r>
      <w:r w:rsidR="007C1CFD" w:rsidRPr="009A60BE">
        <w:t xml:space="preserve"> we suggest possible areas for further work.</w:t>
      </w:r>
      <w:r w:rsidR="000F3E7A">
        <w:rPr>
          <w:rStyle w:val="FootnoteReference"/>
        </w:rPr>
        <w:footnoteReference w:id="244"/>
      </w:r>
    </w:p>
    <w:p w14:paraId="6B4861F1" w14:textId="7DBA9442" w:rsidR="007C1CFD" w:rsidRPr="009A60BE" w:rsidRDefault="00617FC9" w:rsidP="007C1CFD">
      <w:pPr>
        <w:pStyle w:val="Heading2"/>
      </w:pPr>
      <w:bookmarkStart w:id="116" w:name="_Toc212106746"/>
      <w:bookmarkStart w:id="117" w:name="_Toc231467835"/>
      <w:r>
        <w:t xml:space="preserve">Overview of </w:t>
      </w:r>
      <w:r w:rsidR="00900103">
        <w:t>c</w:t>
      </w:r>
      <w:r w:rsidR="007C1CFD" w:rsidRPr="009A60BE">
        <w:t>onsultation</w:t>
      </w:r>
      <w:bookmarkEnd w:id="116"/>
      <w:r>
        <w:t xml:space="preserve"> responses</w:t>
      </w:r>
      <w:bookmarkEnd w:id="117"/>
    </w:p>
    <w:p w14:paraId="52E23C1B" w14:textId="15530B4F" w:rsidR="007C1CFD" w:rsidRPr="009A60BE" w:rsidRDefault="007C1CFD" w:rsidP="007C1CFD">
      <w:pPr>
        <w:pStyle w:val="BodyText"/>
        <w:numPr>
          <w:ilvl w:val="1"/>
          <w:numId w:val="31"/>
        </w:numPr>
        <w:spacing w:after="120"/>
        <w:ind w:hanging="709"/>
      </w:pPr>
      <w:r w:rsidRPr="009A60BE">
        <w:t>In our Consultation Paper, we sought feedback on whether there are problems with how the current law is working and, if so, whether those problems could be addressed while keeping the sentence aggravation model.</w:t>
      </w:r>
      <w:r>
        <w:rPr>
          <w:rStyle w:val="FootnoteReference"/>
        </w:rPr>
        <w:footnoteReference w:id="245"/>
      </w:r>
      <w:r w:rsidRPr="009A60BE">
        <w:t xml:space="preserve"> </w:t>
      </w:r>
      <w:r w:rsidR="003071DE">
        <w:t xml:space="preserve">Based on our preliminary research and engagement, we </w:t>
      </w:r>
      <w:r w:rsidR="003071DE" w:rsidRPr="00DE56D6">
        <w:t xml:space="preserve">identified a number of </w:t>
      </w:r>
      <w:r w:rsidRPr="009A60BE">
        <w:t xml:space="preserve">potential problems </w:t>
      </w:r>
      <w:r w:rsidR="003071DE" w:rsidRPr="00DE56D6">
        <w:t xml:space="preserve">with </w:t>
      </w:r>
      <w:r w:rsidR="00F069BB">
        <w:t xml:space="preserve">the </w:t>
      </w:r>
      <w:r w:rsidR="003071DE" w:rsidRPr="00DE56D6">
        <w:t>current law and practice</w:t>
      </w:r>
      <w:r w:rsidR="003071DE">
        <w:t>.</w:t>
      </w:r>
      <w:r w:rsidRPr="009A60BE">
        <w:t xml:space="preserve"> Some</w:t>
      </w:r>
      <w:r w:rsidR="00160914">
        <w:t xml:space="preserve"> problems</w:t>
      </w:r>
      <w:r w:rsidRPr="009A60BE">
        <w:t xml:space="preserve"> such as low rates of reporting hate crimes are not necessarily problems with the law</w:t>
      </w:r>
      <w:r w:rsidR="00517067">
        <w:t xml:space="preserve"> itself</w:t>
      </w:r>
      <w:r w:rsidRPr="009A60BE">
        <w:t>. However, we wanted to understand them better to help us assess whether and how changing the law might affect them.</w:t>
      </w:r>
      <w:r>
        <w:t xml:space="preserve"> </w:t>
      </w:r>
    </w:p>
    <w:p w14:paraId="4C28C4D4" w14:textId="002ADB2A" w:rsidR="007C1CFD" w:rsidRPr="009A60BE" w:rsidRDefault="007C1CFD" w:rsidP="007C1CFD">
      <w:pPr>
        <w:pStyle w:val="BodyText"/>
        <w:numPr>
          <w:ilvl w:val="1"/>
          <w:numId w:val="31"/>
        </w:numPr>
        <w:spacing w:after="120"/>
        <w:ind w:hanging="709"/>
      </w:pPr>
      <w:r w:rsidRPr="009A60BE">
        <w:t>Of the 96 submissions we received</w:t>
      </w:r>
      <w:r w:rsidR="006B7CBD">
        <w:t xml:space="preserve"> in total</w:t>
      </w:r>
      <w:r w:rsidRPr="009A60BE">
        <w:t xml:space="preserve">, 22 suggested there are problems with how the current law is working. The following problems were most commonly </w:t>
      </w:r>
      <w:r w:rsidR="00D713E9">
        <w:t>mentioned</w:t>
      </w:r>
      <w:r w:rsidR="00344D10">
        <w:t xml:space="preserve"> </w:t>
      </w:r>
      <w:r w:rsidRPr="009A60BE">
        <w:t>by submitters</w:t>
      </w:r>
      <w:r w:rsidR="005C41BB">
        <w:t>:</w:t>
      </w:r>
    </w:p>
    <w:p w14:paraId="5313DDDE" w14:textId="77777777" w:rsidR="007C1CFD" w:rsidRPr="009A60BE" w:rsidRDefault="007C1CFD" w:rsidP="007C1CFD">
      <w:pPr>
        <w:pStyle w:val="BodyTextalphalist"/>
        <w:numPr>
          <w:ilvl w:val="3"/>
          <w:numId w:val="31"/>
        </w:numPr>
        <w:tabs>
          <w:tab w:val="left" w:pos="709"/>
          <w:tab w:val="num" w:pos="5416"/>
        </w:tabs>
        <w:rPr>
          <w:lang w:eastAsia="en-US"/>
        </w:rPr>
      </w:pPr>
      <w:r w:rsidRPr="009A60BE">
        <w:t>Twelve submitters thought hostile motivation is not consistently investigated by Police, raised by prosecutors or considered at sentencing.</w:t>
      </w:r>
      <w:r w:rsidRPr="009A60BE">
        <w:rPr>
          <w:rStyle w:val="FootnoteReference"/>
        </w:rPr>
        <w:footnoteReference w:id="246"/>
      </w:r>
    </w:p>
    <w:p w14:paraId="3C337A38" w14:textId="1DC33D3B" w:rsidR="007C1CFD" w:rsidRPr="009A60BE" w:rsidRDefault="007C1CFD" w:rsidP="007C1CFD">
      <w:pPr>
        <w:pStyle w:val="BodyTextalphalist"/>
        <w:numPr>
          <w:ilvl w:val="3"/>
          <w:numId w:val="31"/>
        </w:numPr>
        <w:tabs>
          <w:tab w:val="left" w:pos="709"/>
          <w:tab w:val="num" w:pos="5416"/>
        </w:tabs>
        <w:rPr>
          <w:lang w:eastAsia="en-US"/>
        </w:rPr>
      </w:pPr>
      <w:r w:rsidRPr="009A60BE">
        <w:t xml:space="preserve">Eight submitters said there is a lack of accurate data </w:t>
      </w:r>
      <w:r w:rsidR="00D315B2">
        <w:t>about</w:t>
      </w:r>
      <w:r w:rsidR="00D315B2" w:rsidRPr="009A60BE">
        <w:t xml:space="preserve"> </w:t>
      </w:r>
      <w:r w:rsidRPr="009A60BE">
        <w:t xml:space="preserve">hate crimes because hostile motivation is not </w:t>
      </w:r>
      <w:r w:rsidR="00062812">
        <w:t xml:space="preserve">systematically </w:t>
      </w:r>
      <w:r w:rsidRPr="009A60BE">
        <w:t>recorded when a person is convicted of an offence.</w:t>
      </w:r>
      <w:r w:rsidRPr="009A60BE">
        <w:rPr>
          <w:rStyle w:val="FootnoteReference"/>
        </w:rPr>
        <w:footnoteReference w:id="247"/>
      </w:r>
      <w:r w:rsidRPr="009A60BE">
        <w:t xml:space="preserve"> This makes it difficult to assess whether the justice system is responding to hate crimes appropriately and consistently.</w:t>
      </w:r>
    </w:p>
    <w:p w14:paraId="1DE497C1" w14:textId="7A3620BF" w:rsidR="007C1CFD" w:rsidRPr="009A60BE" w:rsidRDefault="007C1CFD" w:rsidP="007C1CFD">
      <w:pPr>
        <w:pStyle w:val="BodyTextalphalist"/>
        <w:numPr>
          <w:ilvl w:val="3"/>
          <w:numId w:val="31"/>
        </w:numPr>
        <w:tabs>
          <w:tab w:val="left" w:pos="709"/>
          <w:tab w:val="num" w:pos="5416"/>
        </w:tabs>
      </w:pPr>
      <w:r w:rsidRPr="009A60BE">
        <w:t>Two submitters said the current law does not do enough to denounce hate crimes.</w:t>
      </w:r>
      <w:r w:rsidRPr="009A60BE">
        <w:rPr>
          <w:vertAlign w:val="superscript"/>
        </w:rPr>
        <w:footnoteReference w:id="248"/>
      </w:r>
      <w:r w:rsidRPr="009A60BE">
        <w:t xml:space="preserve"> Five others implied this was the case by supporting a change in the legal model </w:t>
      </w:r>
      <w:r w:rsidR="00FB32A6">
        <w:t>in part</w:t>
      </w:r>
      <w:r w:rsidRPr="009A60BE">
        <w:t xml:space="preserve"> because </w:t>
      </w:r>
      <w:r w:rsidR="001666A5">
        <w:t xml:space="preserve">they thought </w:t>
      </w:r>
      <w:r w:rsidRPr="009A60BE">
        <w:t>it would provide stronger denunciation.</w:t>
      </w:r>
      <w:r w:rsidRPr="009A60BE">
        <w:rPr>
          <w:vertAlign w:val="superscript"/>
        </w:rPr>
        <w:footnoteReference w:id="249"/>
      </w:r>
      <w:r w:rsidRPr="009A60BE">
        <w:t xml:space="preserve"> </w:t>
      </w:r>
    </w:p>
    <w:p w14:paraId="659E7FAF" w14:textId="5E344CD5" w:rsidR="007C1CFD" w:rsidRPr="009A60BE" w:rsidRDefault="007C1CFD" w:rsidP="007C1CFD">
      <w:pPr>
        <w:pStyle w:val="BodyTextalphalist"/>
        <w:numPr>
          <w:ilvl w:val="3"/>
          <w:numId w:val="31"/>
        </w:numPr>
        <w:tabs>
          <w:tab w:val="left" w:pos="709"/>
          <w:tab w:val="num" w:pos="5416"/>
        </w:tabs>
      </w:pPr>
      <w:r w:rsidRPr="009A60BE">
        <w:t>Six submitters were concerned about the lack of specific rehabilitation programmes for hate crime offenders.</w:t>
      </w:r>
      <w:r w:rsidRPr="009A60BE">
        <w:rPr>
          <w:rStyle w:val="FootnoteReference"/>
        </w:rPr>
        <w:footnoteReference w:id="250"/>
      </w:r>
      <w:r w:rsidRPr="009A60BE">
        <w:t xml:space="preserve"> Three of these also </w:t>
      </w:r>
      <w:r w:rsidR="004A6D00">
        <w:t>said</w:t>
      </w:r>
      <w:r w:rsidR="004A6D00" w:rsidRPr="009A60BE">
        <w:t xml:space="preserve"> </w:t>
      </w:r>
      <w:r w:rsidRPr="009A60BE">
        <w:t>it</w:t>
      </w:r>
      <w:r w:rsidRPr="009A60BE" w:rsidDel="004A6D00">
        <w:t xml:space="preserve"> </w:t>
      </w:r>
      <w:r w:rsidR="004A6D00">
        <w:t>is</w:t>
      </w:r>
      <w:r w:rsidR="004A6D00" w:rsidRPr="009A60BE">
        <w:t xml:space="preserve"> </w:t>
      </w:r>
      <w:r w:rsidRPr="009A60BE">
        <w:t>problematic that Corrections is not notified when a person is convicted of an offence that is found to be motivated by hostility.</w:t>
      </w:r>
      <w:r w:rsidRPr="009A60BE">
        <w:rPr>
          <w:rStyle w:val="FootnoteReference"/>
        </w:rPr>
        <w:footnoteReference w:id="251"/>
      </w:r>
    </w:p>
    <w:p w14:paraId="0C953BBD" w14:textId="77777777" w:rsidR="007C1CFD" w:rsidRPr="009A60BE" w:rsidRDefault="007C1CFD" w:rsidP="007C1CFD">
      <w:pPr>
        <w:pStyle w:val="BodyTextalphalist"/>
        <w:numPr>
          <w:ilvl w:val="3"/>
          <w:numId w:val="31"/>
        </w:numPr>
        <w:tabs>
          <w:tab w:val="left" w:pos="709"/>
          <w:tab w:val="num" w:pos="5416"/>
        </w:tabs>
      </w:pPr>
      <w:r w:rsidRPr="009A60BE">
        <w:t xml:space="preserve">Submitters generally agreed there are barriers to reporting hate crimes. There were mixed views on whether this is attributable (at least in part) to the current law not treating hate crime seriously enough. </w:t>
      </w:r>
    </w:p>
    <w:p w14:paraId="6080C4F0" w14:textId="1EFE59FB" w:rsidR="009821F7" w:rsidRDefault="009821F7" w:rsidP="007C1CFD">
      <w:pPr>
        <w:pStyle w:val="BodyTextalphalist"/>
        <w:numPr>
          <w:ilvl w:val="3"/>
          <w:numId w:val="31"/>
        </w:numPr>
        <w:tabs>
          <w:tab w:val="left" w:pos="709"/>
          <w:tab w:val="num" w:pos="5416"/>
        </w:tabs>
      </w:pPr>
      <w:r>
        <w:t>Two submitters</w:t>
      </w:r>
      <w:r w:rsidR="00EB34AC">
        <w:t xml:space="preserve"> </w:t>
      </w:r>
      <w:r w:rsidR="001E7818">
        <w:t xml:space="preserve">said there is a lack of support for </w:t>
      </w:r>
      <w:r w:rsidR="00EB34AC">
        <w:t xml:space="preserve">disabled </w:t>
      </w:r>
      <w:r w:rsidR="001E7818">
        <w:t>victims of hate crime</w:t>
      </w:r>
      <w:r w:rsidR="00EB34AC">
        <w:t xml:space="preserve"> to navigate justice processes</w:t>
      </w:r>
      <w:r w:rsidR="002463EA">
        <w:t>.</w:t>
      </w:r>
      <w:r w:rsidR="0047043A">
        <w:rPr>
          <w:rStyle w:val="FootnoteReference"/>
        </w:rPr>
        <w:footnoteReference w:id="252"/>
      </w:r>
    </w:p>
    <w:p w14:paraId="1D62D826" w14:textId="48FD804F" w:rsidR="00E81120" w:rsidRDefault="003B7B9A" w:rsidP="006F6A59">
      <w:pPr>
        <w:pStyle w:val="BodyText"/>
        <w:numPr>
          <w:ilvl w:val="1"/>
          <w:numId w:val="31"/>
        </w:numPr>
        <w:ind w:hanging="709"/>
      </w:pPr>
      <w:r>
        <w:t xml:space="preserve">We </w:t>
      </w:r>
      <w:r w:rsidRPr="006F6A59">
        <w:rPr>
          <w:rFonts w:eastAsia="Calibri" w:cs="Cordia New"/>
          <w:color w:val="auto"/>
          <w:szCs w:val="22"/>
          <w:lang w:eastAsia="en-US"/>
        </w:rPr>
        <w:t>heard</w:t>
      </w:r>
      <w:r>
        <w:t xml:space="preserve"> similar </w:t>
      </w:r>
      <w:r w:rsidR="00E373A4">
        <w:t xml:space="preserve">concerns to those listed above </w:t>
      </w:r>
      <w:r>
        <w:t xml:space="preserve">from other </w:t>
      </w:r>
      <w:r w:rsidRPr="00C53326">
        <w:t xml:space="preserve">people and organisations we met with </w:t>
      </w:r>
      <w:r>
        <w:t>as part of our consultation</w:t>
      </w:r>
      <w:r w:rsidRPr="00C53326">
        <w:t>.</w:t>
      </w:r>
      <w:r w:rsidR="00324E1B">
        <w:t xml:space="preserve"> Some of these organisations also raised concerns about lack of support for victims of hate crime more generally.</w:t>
      </w:r>
    </w:p>
    <w:p w14:paraId="6661F964" w14:textId="77777777" w:rsidR="00D65852" w:rsidRDefault="00D65852" w:rsidP="007C1CFD">
      <w:pPr>
        <w:pStyle w:val="Heading2"/>
      </w:pPr>
      <w:bookmarkStart w:id="118" w:name="_Toc231467836"/>
      <w:r>
        <w:t>Potential problems with the current law</w:t>
      </w:r>
      <w:bookmarkEnd w:id="118"/>
    </w:p>
    <w:p w14:paraId="1585E173" w14:textId="374F12A5" w:rsidR="00AB7F01" w:rsidRDefault="00266D00" w:rsidP="006F6A59">
      <w:pPr>
        <w:pStyle w:val="BodyText"/>
        <w:numPr>
          <w:ilvl w:val="1"/>
          <w:numId w:val="31"/>
        </w:numPr>
        <w:ind w:hanging="709"/>
      </w:pPr>
      <w:r w:rsidRPr="007719B7">
        <w:t>Below</w:t>
      </w:r>
      <w:r w:rsidR="00AB7F01" w:rsidRPr="007719B7">
        <w:t xml:space="preserve"> we discuss each of the potential problems with the current law raised in our </w:t>
      </w:r>
      <w:r w:rsidR="00AB7F01" w:rsidRPr="006F6A59">
        <w:rPr>
          <w:rFonts w:eastAsia="Calibri" w:cs="Cordia New"/>
          <w:color w:val="auto"/>
          <w:szCs w:val="22"/>
          <w:lang w:eastAsia="en-US"/>
        </w:rPr>
        <w:t>Consultation</w:t>
      </w:r>
      <w:r w:rsidR="00AB7F01" w:rsidRPr="007719B7">
        <w:t xml:space="preserve"> Paper or </w:t>
      </w:r>
      <w:r w:rsidR="00523AA4" w:rsidRPr="007719B7">
        <w:t xml:space="preserve">in </w:t>
      </w:r>
      <w:r w:rsidRPr="007719B7">
        <w:t>the submissions and other feedback we received.</w:t>
      </w:r>
      <w:r w:rsidR="001C455A" w:rsidRPr="007719B7">
        <w:t xml:space="preserve"> We assess whether there is</w:t>
      </w:r>
      <w:r w:rsidR="00D70D76" w:rsidRPr="007719B7">
        <w:t xml:space="preserve"> evidence of a problem and, if so, whether it is a </w:t>
      </w:r>
      <w:r w:rsidR="00DD132D">
        <w:t>problem with the law itself</w:t>
      </w:r>
      <w:r w:rsidR="00D70D76" w:rsidRPr="007719B7">
        <w:t>.</w:t>
      </w:r>
    </w:p>
    <w:p w14:paraId="4E3ACD06" w14:textId="08F823B3" w:rsidR="007719B7" w:rsidRDefault="007719B7" w:rsidP="006F6A59">
      <w:pPr>
        <w:pStyle w:val="BodyText"/>
        <w:numPr>
          <w:ilvl w:val="1"/>
          <w:numId w:val="31"/>
        </w:numPr>
        <w:ind w:hanging="709"/>
      </w:pPr>
      <w:r>
        <w:t xml:space="preserve">In </w:t>
      </w:r>
      <w:r w:rsidRPr="006F6A59">
        <w:rPr>
          <w:rFonts w:eastAsia="Calibri" w:cs="Cordia New"/>
          <w:color w:val="auto"/>
          <w:szCs w:val="22"/>
          <w:lang w:eastAsia="en-US"/>
        </w:rPr>
        <w:t>assessing</w:t>
      </w:r>
      <w:r>
        <w:t xml:space="preserve"> whether there is a problem, we </w:t>
      </w:r>
      <w:r w:rsidR="00D6679B">
        <w:t>refer</w:t>
      </w:r>
      <w:r>
        <w:t xml:space="preserve"> to</w:t>
      </w:r>
      <w:r w:rsidR="00D6679B">
        <w:t xml:space="preserve"> the objectives of hate crime law set out in Chapter 3. Those objectives are</w:t>
      </w:r>
      <w:r w:rsidR="002E50DD">
        <w:t xml:space="preserve"> to</w:t>
      </w:r>
      <w:r w:rsidR="00D6679B">
        <w:t>:</w:t>
      </w:r>
    </w:p>
    <w:p w14:paraId="7A13247A" w14:textId="312EAF2E" w:rsidR="00D6679B" w:rsidRDefault="00D6679B" w:rsidP="00D6679B">
      <w:pPr>
        <w:pStyle w:val="BodyTextalphalist"/>
      </w:pPr>
      <w:r>
        <w:t>hold offenders accountable</w:t>
      </w:r>
      <w:r w:rsidR="002E50DD">
        <w:t xml:space="preserve"> for the additional harm caused by hate crimes</w:t>
      </w:r>
      <w:r>
        <w:t>;</w:t>
      </w:r>
    </w:p>
    <w:p w14:paraId="4B6B61D8" w14:textId="7CFD1DBB" w:rsidR="00D6679B" w:rsidRDefault="00D6679B" w:rsidP="00D6679B">
      <w:pPr>
        <w:pStyle w:val="BodyTextalphalist"/>
      </w:pPr>
      <w:r>
        <w:t>denounce hate crime</w:t>
      </w:r>
      <w:r w:rsidR="002E50DD">
        <w:t>s</w:t>
      </w:r>
      <w:r>
        <w:t>;</w:t>
      </w:r>
    </w:p>
    <w:p w14:paraId="71956951" w14:textId="72674E64" w:rsidR="00D6679B" w:rsidRDefault="00D6679B" w:rsidP="00D6679B">
      <w:pPr>
        <w:pStyle w:val="BodyTextalphalist"/>
      </w:pPr>
      <w:r>
        <w:t>reduce the occurrence of hate crime</w:t>
      </w:r>
      <w:r w:rsidR="002E50DD">
        <w:t>s</w:t>
      </w:r>
      <w:r>
        <w:t>; and</w:t>
      </w:r>
    </w:p>
    <w:p w14:paraId="48DA6A9E" w14:textId="26CC3D20" w:rsidR="00D6679B" w:rsidRPr="007719B7" w:rsidRDefault="002E50DD" w:rsidP="00FF11F8">
      <w:pPr>
        <w:pStyle w:val="BodyTextalphalist"/>
      </w:pPr>
      <w:r>
        <w:t>reassure</w:t>
      </w:r>
      <w:r w:rsidR="00D6679B">
        <w:t xml:space="preserve"> victims and communities. </w:t>
      </w:r>
    </w:p>
    <w:p w14:paraId="1EB4086F" w14:textId="77777777" w:rsidR="00827ED3" w:rsidRPr="009A60BE" w:rsidRDefault="00827ED3" w:rsidP="00827ED3">
      <w:pPr>
        <w:pStyle w:val="Heading3"/>
      </w:pPr>
      <w:r w:rsidRPr="009A60BE">
        <w:t>Denouncing hate crime</w:t>
      </w:r>
    </w:p>
    <w:p w14:paraId="7BB43C86" w14:textId="77777777" w:rsidR="00827ED3" w:rsidRPr="009918D1" w:rsidRDefault="00827ED3" w:rsidP="00827ED3">
      <w:pPr>
        <w:pStyle w:val="Heading4"/>
      </w:pPr>
      <w:r>
        <w:t>Consultation</w:t>
      </w:r>
    </w:p>
    <w:p w14:paraId="4C82D558" w14:textId="77777777" w:rsidR="00827ED3" w:rsidRPr="00623CAD" w:rsidRDefault="00827ED3" w:rsidP="00D8103B">
      <w:pPr>
        <w:pStyle w:val="BodyText"/>
        <w:numPr>
          <w:ilvl w:val="1"/>
          <w:numId w:val="43"/>
        </w:numPr>
        <w:ind w:hanging="709"/>
      </w:pPr>
      <w:r w:rsidRPr="00623CAD">
        <w:t xml:space="preserve">In our </w:t>
      </w:r>
      <w:r w:rsidRPr="006F6A59">
        <w:rPr>
          <w:rFonts w:eastAsia="Calibri" w:cs="Cordia New"/>
          <w:color w:val="auto"/>
          <w:szCs w:val="22"/>
          <w:lang w:eastAsia="en-US"/>
        </w:rPr>
        <w:t>Consultation</w:t>
      </w:r>
      <w:r w:rsidRPr="00623CAD">
        <w:t xml:space="preserve"> Paper, we sought feedback on whether the current law adequately denounces hate crime.</w:t>
      </w:r>
      <w:r w:rsidRPr="00623CAD">
        <w:rPr>
          <w:rStyle w:val="FootnoteReference"/>
        </w:rPr>
        <w:footnoteReference w:id="253"/>
      </w:r>
      <w:r w:rsidRPr="00623CAD">
        <w:t xml:space="preserve"> Some submitters suggested that, under the current law, hostile motivation may not be </w:t>
      </w:r>
      <w:r>
        <w:t xml:space="preserve">denounced because its presence or seriousness is not </w:t>
      </w:r>
      <w:r w:rsidRPr="00623CAD">
        <w:t xml:space="preserve">adequately communicated to the public. They said: </w:t>
      </w:r>
    </w:p>
    <w:p w14:paraId="523F63C4" w14:textId="251051CC" w:rsidR="00827ED3" w:rsidRPr="00623CAD" w:rsidRDefault="0016423A" w:rsidP="00827ED3">
      <w:pPr>
        <w:pStyle w:val="BodyTextalphalist"/>
        <w:numPr>
          <w:ilvl w:val="3"/>
          <w:numId w:val="31"/>
        </w:numPr>
      </w:pPr>
      <w:r>
        <w:t>t</w:t>
      </w:r>
      <w:r w:rsidR="00827ED3" w:rsidRPr="00623CAD">
        <w:t xml:space="preserve">he law does not require </w:t>
      </w:r>
      <w:r w:rsidR="00827ED3">
        <w:t xml:space="preserve">the presence of a </w:t>
      </w:r>
      <w:r w:rsidR="00827ED3" w:rsidRPr="00623CAD">
        <w:t>hostile motivation to be clearly communicated and recorded (for example, in sentencing notes)</w:t>
      </w:r>
      <w:r>
        <w:t>;</w:t>
      </w:r>
      <w:r w:rsidR="00827ED3" w:rsidRPr="00623CAD">
        <w:rPr>
          <w:vertAlign w:val="superscript"/>
        </w:rPr>
        <w:footnoteReference w:id="254"/>
      </w:r>
    </w:p>
    <w:p w14:paraId="64E32507" w14:textId="7A161D87" w:rsidR="00827ED3" w:rsidRPr="00623CAD" w:rsidRDefault="0016423A" w:rsidP="00827ED3">
      <w:pPr>
        <w:pStyle w:val="BodyTextalphalist"/>
        <w:numPr>
          <w:ilvl w:val="3"/>
          <w:numId w:val="31"/>
        </w:numPr>
      </w:pPr>
      <w:r>
        <w:t>i</w:t>
      </w:r>
      <w:r w:rsidR="00827ED3" w:rsidRPr="00623CAD">
        <w:t>t is unclear from sentencing decisions whether and to what extent the offender’s hostile motivation affected the sentence imposed</w:t>
      </w:r>
      <w:r>
        <w:t>;</w:t>
      </w:r>
      <w:r w:rsidR="00827ED3" w:rsidRPr="00623CAD">
        <w:rPr>
          <w:vertAlign w:val="superscript"/>
        </w:rPr>
        <w:footnoteReference w:id="255"/>
      </w:r>
      <w:r>
        <w:t xml:space="preserve"> and</w:t>
      </w:r>
    </w:p>
    <w:p w14:paraId="79105AAD" w14:textId="3676F939" w:rsidR="00827ED3" w:rsidRPr="00623CAD" w:rsidRDefault="0016423A" w:rsidP="00827ED3">
      <w:pPr>
        <w:pStyle w:val="BodyTextalphalist"/>
        <w:numPr>
          <w:ilvl w:val="3"/>
          <w:numId w:val="31"/>
        </w:numPr>
      </w:pPr>
      <w:r>
        <w:t>t</w:t>
      </w:r>
      <w:r w:rsidR="00827ED3" w:rsidRPr="00623CAD">
        <w:t>here is a lack of media attention on cases where hostility is treated as an aggravating factor.</w:t>
      </w:r>
      <w:r w:rsidR="00827ED3" w:rsidRPr="00623CAD">
        <w:rPr>
          <w:vertAlign w:val="superscript"/>
        </w:rPr>
        <w:footnoteReference w:id="256"/>
      </w:r>
    </w:p>
    <w:p w14:paraId="03739696" w14:textId="2235CD44" w:rsidR="00827ED3" w:rsidRDefault="009D2722" w:rsidP="00827ED3">
      <w:pPr>
        <w:pStyle w:val="BodyText"/>
        <w:numPr>
          <w:ilvl w:val="1"/>
          <w:numId w:val="31"/>
        </w:numPr>
        <w:spacing w:after="120"/>
        <w:ind w:hanging="709"/>
      </w:pPr>
      <w:r w:rsidRPr="00530D57">
        <w:t>Te Tari Ture o te Karauna | Crown Law</w:t>
      </w:r>
      <w:r w:rsidR="00827ED3" w:rsidRPr="00623CAD">
        <w:t xml:space="preserve"> said aggravating factors are usually spelled out in sentencing decisions for more serious crimes. </w:t>
      </w:r>
      <w:r w:rsidR="00AA3690" w:rsidRPr="00AA3690">
        <w:t xml:space="preserve">Ratonga Wawao ā-Ture Tūmatanui | Public Defence Service </w:t>
      </w:r>
      <w:r w:rsidR="00827ED3" w:rsidRPr="00623CAD">
        <w:t>thought hostile motivation is particularly likely to be mentioned (compared to other aggravating factors) because its circumstances are “quite unique”.</w:t>
      </w:r>
    </w:p>
    <w:p w14:paraId="0464B62A" w14:textId="420179C9" w:rsidR="00827ED3" w:rsidRDefault="00827ED3" w:rsidP="00827ED3">
      <w:pPr>
        <w:pStyle w:val="BodyText"/>
        <w:numPr>
          <w:ilvl w:val="1"/>
          <w:numId w:val="31"/>
        </w:numPr>
        <w:spacing w:after="120"/>
        <w:ind w:hanging="709"/>
      </w:pPr>
      <w:r>
        <w:t>In our Consultation Paper</w:t>
      </w:r>
      <w:r w:rsidR="000A1227">
        <w:t>,</w:t>
      </w:r>
      <w:r>
        <w:t xml:space="preserve"> we also discussed </w:t>
      </w:r>
      <w:r w:rsidR="00186D7A">
        <w:t>(</w:t>
      </w:r>
      <w:r>
        <w:t xml:space="preserve">in </w:t>
      </w:r>
      <w:r w:rsidR="00186D7A">
        <w:t>the context of</w:t>
      </w:r>
      <w:r>
        <w:t xml:space="preserve"> denunciation</w:t>
      </w:r>
      <w:r w:rsidR="00186D7A">
        <w:t>)</w:t>
      </w:r>
      <w:r>
        <w:t xml:space="preserve"> whether the penalties available for hostility-motivated offending under the current law are adequate. We discuss that issue separately later in this chapter.</w:t>
      </w:r>
    </w:p>
    <w:p w14:paraId="26AD092E" w14:textId="77777777" w:rsidR="00827ED3" w:rsidRPr="00872D59" w:rsidRDefault="00827ED3" w:rsidP="00827ED3">
      <w:pPr>
        <w:pStyle w:val="Heading4"/>
      </w:pPr>
      <w:r w:rsidRPr="00872D59">
        <w:t>Is there a problem with the current law?</w:t>
      </w:r>
    </w:p>
    <w:p w14:paraId="5745EBB9" w14:textId="77777777" w:rsidR="00827ED3" w:rsidRPr="00836C4B" w:rsidRDefault="00827ED3" w:rsidP="00E50F48">
      <w:pPr>
        <w:pStyle w:val="BodyText"/>
        <w:numPr>
          <w:ilvl w:val="1"/>
          <w:numId w:val="31"/>
        </w:numPr>
        <w:spacing w:after="120"/>
        <w:ind w:hanging="709"/>
      </w:pPr>
      <w:r>
        <w:t xml:space="preserve">Under the current law, the courts are not </w:t>
      </w:r>
      <w:r w:rsidRPr="00836C4B">
        <w:t>require</w:t>
      </w:r>
      <w:r>
        <w:t xml:space="preserve">d </w:t>
      </w:r>
      <w:r w:rsidRPr="00836C4B">
        <w:t xml:space="preserve">to clearly communicate to the public </w:t>
      </w:r>
      <w:r>
        <w:t xml:space="preserve">(whether in their sentencing decisions or in any other way) </w:t>
      </w:r>
      <w:r w:rsidRPr="00836C4B">
        <w:t>that an offence was a hate crime and that this makes it more serious.</w:t>
      </w:r>
      <w:r>
        <w:t xml:space="preserve"> This creates a risk that hate crimes may not be denounced consistently.</w:t>
      </w:r>
    </w:p>
    <w:p w14:paraId="3070F305" w14:textId="346E5208" w:rsidR="00827ED3" w:rsidRPr="00872D59" w:rsidRDefault="00827ED3" w:rsidP="00827ED3">
      <w:pPr>
        <w:pStyle w:val="BodyText"/>
        <w:numPr>
          <w:ilvl w:val="1"/>
          <w:numId w:val="31"/>
        </w:numPr>
        <w:ind w:hanging="709"/>
      </w:pPr>
      <w:r w:rsidRPr="00872D59">
        <w:t xml:space="preserve">As discussed in Chapter 3, one of the objectives of hate crime law is to ensure hate crimes are denounced. Denouncing hate crime is important for several reasons. It reaffirms Aotearoa New Zealand’s commitment to the values of tolerance and equality that hate crime seeks to undermine. It may influence societal attitudes and expectations over time, helping to reduce occurrences of hate crime. It also provides reassurance to affected communities that they are valued by society and </w:t>
      </w:r>
      <w:r w:rsidR="0048136B">
        <w:t xml:space="preserve">that </w:t>
      </w:r>
      <w:r w:rsidRPr="00872D59">
        <w:t>hate crimes against them will be treated seriously.</w:t>
      </w:r>
    </w:p>
    <w:p w14:paraId="7827E659" w14:textId="7FDF32AF" w:rsidR="00827ED3" w:rsidRDefault="00827ED3" w:rsidP="00827ED3">
      <w:pPr>
        <w:pStyle w:val="BodyText"/>
        <w:numPr>
          <w:ilvl w:val="1"/>
          <w:numId w:val="31"/>
        </w:numPr>
        <w:spacing w:after="120"/>
        <w:ind w:hanging="709"/>
      </w:pPr>
      <w:r w:rsidRPr="009A60BE">
        <w:t xml:space="preserve">When the Sentencing Act was enacted, the </w:t>
      </w:r>
      <w:r w:rsidR="00063476">
        <w:t>s</w:t>
      </w:r>
      <w:r w:rsidRPr="009A60BE">
        <w:t xml:space="preserve">elect </w:t>
      </w:r>
      <w:r w:rsidR="00063476">
        <w:t>c</w:t>
      </w:r>
      <w:r w:rsidRPr="009A60BE">
        <w:t xml:space="preserve">ommittee </w:t>
      </w:r>
      <w:r>
        <w:t xml:space="preserve">that considered the Bill </w:t>
      </w:r>
      <w:r w:rsidRPr="009A60BE">
        <w:t>said section 9(1)(h) was intended to denounce hate crimes and encourage awareness of their existence.</w:t>
      </w:r>
      <w:r w:rsidRPr="009A60BE">
        <w:rPr>
          <w:rStyle w:val="FootnoteReference"/>
        </w:rPr>
        <w:footnoteReference w:id="257"/>
      </w:r>
      <w:r w:rsidRPr="009A60BE">
        <w:t xml:space="preserve"> </w:t>
      </w:r>
      <w:r w:rsidR="00DF7FA2">
        <w:t>It</w:t>
      </w:r>
      <w:r w:rsidRPr="009A60BE">
        <w:t xml:space="preserve"> said it was important for the courts to send a message </w:t>
      </w:r>
      <w:r>
        <w:t>about</w:t>
      </w:r>
      <w:r w:rsidRPr="009A60BE">
        <w:t xml:space="preserve"> fundamental values. </w:t>
      </w:r>
    </w:p>
    <w:p w14:paraId="2DBCD4E0" w14:textId="5EA3728E" w:rsidR="00827ED3" w:rsidRPr="009A60BE" w:rsidRDefault="00827ED3" w:rsidP="00827ED3">
      <w:pPr>
        <w:pStyle w:val="BodyText"/>
        <w:numPr>
          <w:ilvl w:val="1"/>
          <w:numId w:val="31"/>
        </w:numPr>
        <w:spacing w:after="120"/>
        <w:ind w:hanging="709"/>
      </w:pPr>
      <w:r>
        <w:t>The view of</w:t>
      </w:r>
      <w:r w:rsidRPr="009A60BE">
        <w:t xml:space="preserve"> the </w:t>
      </w:r>
      <w:r w:rsidR="003279D0" w:rsidRPr="00A30210">
        <w:rPr>
          <w:color w:val="auto"/>
        </w:rPr>
        <w:t>Royal Commission of Inquiry into the terrorist attack on Christchurch masjidain on 15 March 2019</w:t>
      </w:r>
      <w:r w:rsidR="003279D0">
        <w:rPr>
          <w:color w:val="auto"/>
        </w:rPr>
        <w:t xml:space="preserve"> </w:t>
      </w:r>
      <w:r>
        <w:t>was that this denunciative purpose is not adequately performed by the current law. The</w:t>
      </w:r>
      <w:r w:rsidRPr="009A60BE">
        <w:t xml:space="preserve"> </w:t>
      </w:r>
      <w:r>
        <w:t xml:space="preserve">Royal </w:t>
      </w:r>
      <w:r w:rsidRPr="009A60BE">
        <w:t xml:space="preserve">Commission </w:t>
      </w:r>
      <w:r>
        <w:t>said</w:t>
      </w:r>
      <w:r w:rsidRPr="009A60BE">
        <w:t xml:space="preserve"> that the signalling effect of prosecutions and convictions for hate crime </w:t>
      </w:r>
      <w:r w:rsidR="006D30D2" w:rsidRPr="009A60BE">
        <w:t>offen</w:t>
      </w:r>
      <w:r w:rsidR="006D30D2">
        <w:t>ding</w:t>
      </w:r>
      <w:r w:rsidR="006D30D2" w:rsidRPr="009A60BE">
        <w:t xml:space="preserve"> </w:t>
      </w:r>
      <w:r w:rsidRPr="009A60BE">
        <w:t>is limited</w:t>
      </w:r>
      <w:r w:rsidR="00C83276">
        <w:t xml:space="preserve"> </w:t>
      </w:r>
      <w:r w:rsidRPr="009A60BE">
        <w:t>because hostile</w:t>
      </w:r>
      <w:r w:rsidRPr="009A60BE" w:rsidDel="00DD7E1B">
        <w:t xml:space="preserve"> motivation does not form part of a charge or conviction.</w:t>
      </w:r>
      <w:r w:rsidRPr="009A60BE" w:rsidDel="00DD7E1B">
        <w:rPr>
          <w:rStyle w:val="FootnoteReference"/>
        </w:rPr>
        <w:footnoteReference w:id="258"/>
      </w:r>
      <w:r w:rsidRPr="009A60BE" w:rsidDel="00DD7E1B">
        <w:t xml:space="preserve"> </w:t>
      </w:r>
      <w:r w:rsidRPr="009A60BE">
        <w:t>In the Royal Commission’s view, this mean</w:t>
      </w:r>
      <w:r>
        <w:t>s</w:t>
      </w:r>
      <w:r w:rsidRPr="009A60BE">
        <w:t xml:space="preserve"> </w:t>
      </w:r>
      <w:r w:rsidRPr="009A60BE" w:rsidDel="00DD7E1B">
        <w:t xml:space="preserve">recorded convictions do not capture the full blameworthiness of offenders. </w:t>
      </w:r>
    </w:p>
    <w:p w14:paraId="403F689F" w14:textId="77777777" w:rsidR="00827ED3" w:rsidRPr="009A60BE" w:rsidRDefault="00827ED3" w:rsidP="00827ED3">
      <w:pPr>
        <w:pStyle w:val="BodyText"/>
        <w:numPr>
          <w:ilvl w:val="1"/>
          <w:numId w:val="31"/>
        </w:numPr>
        <w:spacing w:after="120"/>
        <w:ind w:hanging="709"/>
      </w:pPr>
      <w:r>
        <w:t>We consider</w:t>
      </w:r>
      <w:r w:rsidRPr="009A60BE" w:rsidDel="00DD7E1B">
        <w:t xml:space="preserve"> the key question </w:t>
      </w:r>
      <w:r>
        <w:t>with respect to denunciation</w:t>
      </w:r>
      <w:r w:rsidRPr="009A60BE" w:rsidDel="00DD7E1B">
        <w:t xml:space="preserve"> is whether </w:t>
      </w:r>
      <w:r w:rsidRPr="009A60BE">
        <w:t xml:space="preserve">the </w:t>
      </w:r>
      <w:r w:rsidRPr="009A60BE" w:rsidDel="00DD7E1B">
        <w:t>criminal justice process as a whole adequately communicates the nature and seriousness of hate crimes</w:t>
      </w:r>
      <w:r w:rsidRPr="009A60BE">
        <w:t xml:space="preserve"> to the public</w:t>
      </w:r>
      <w:r w:rsidRPr="009A60BE" w:rsidDel="00DD7E1B">
        <w:t>.</w:t>
      </w:r>
      <w:r w:rsidRPr="009A60BE">
        <w:t xml:space="preserve"> </w:t>
      </w:r>
      <w:r>
        <w:t>The</w:t>
      </w:r>
      <w:r w:rsidRPr="009A60BE">
        <w:t xml:space="preserve"> way in which a conviction is recorded is </w:t>
      </w:r>
      <w:r>
        <w:t>un</w:t>
      </w:r>
      <w:r w:rsidRPr="009A60BE">
        <w:t>likely to have a significant denunciatory effect on its own, since most members of the public will not view the court record.</w:t>
      </w:r>
      <w:r w:rsidRPr="009A60BE">
        <w:rPr>
          <w:rStyle w:val="FootnoteReference"/>
        </w:rPr>
        <w:footnoteReference w:id="259"/>
      </w:r>
      <w:r w:rsidRPr="009A60BE">
        <w:t xml:space="preserve"> The circumstances of a charge and conviction, and the court’s </w:t>
      </w:r>
      <w:r>
        <w:t>denunciation</w:t>
      </w:r>
      <w:r w:rsidRPr="009A60BE">
        <w:t xml:space="preserve"> of the offending, is primarily communicated through media reporting of charges laid and </w:t>
      </w:r>
      <w:r w:rsidRPr="004F37C5">
        <w:t xml:space="preserve">of </w:t>
      </w:r>
      <w:r w:rsidRPr="009A60BE">
        <w:t xml:space="preserve">subsequent court proceedings (particularly sentencing decisions). </w:t>
      </w:r>
    </w:p>
    <w:p w14:paraId="5B9D6E08" w14:textId="77777777" w:rsidR="00827ED3" w:rsidRPr="004F37C5" w:rsidRDefault="00827ED3" w:rsidP="00827ED3">
      <w:pPr>
        <w:pStyle w:val="BodyText"/>
        <w:numPr>
          <w:ilvl w:val="1"/>
          <w:numId w:val="31"/>
        </w:numPr>
        <w:spacing w:after="120"/>
        <w:ind w:hanging="709"/>
      </w:pPr>
      <w:r w:rsidRPr="004F37C5">
        <w:t xml:space="preserve">For that reason, it is important from the perspective of denunciation that </w:t>
      </w:r>
      <w:r>
        <w:t xml:space="preserve">either the charges laid or </w:t>
      </w:r>
      <w:r w:rsidRPr="004F37C5">
        <w:t xml:space="preserve">sentencing decisions: </w:t>
      </w:r>
    </w:p>
    <w:p w14:paraId="419313AE" w14:textId="77777777" w:rsidR="00827ED3" w:rsidRPr="004F37C5" w:rsidRDefault="00827ED3" w:rsidP="00827ED3">
      <w:pPr>
        <w:pStyle w:val="BodyTextalphalist"/>
        <w:numPr>
          <w:ilvl w:val="3"/>
          <w:numId w:val="31"/>
        </w:numPr>
      </w:pPr>
      <w:r w:rsidRPr="004F37C5">
        <w:t xml:space="preserve">clearly communicate to the public that an offence was </w:t>
      </w:r>
      <w:r>
        <w:t>motivated by hostility</w:t>
      </w:r>
      <w:r w:rsidRPr="004F37C5">
        <w:t xml:space="preserve"> and that this makes it more serious than an equivalent </w:t>
      </w:r>
      <w:r>
        <w:t>non-hate crime</w:t>
      </w:r>
      <w:r w:rsidRPr="004F37C5">
        <w:t>; and</w:t>
      </w:r>
    </w:p>
    <w:p w14:paraId="4266CDD5" w14:textId="77777777" w:rsidR="00827ED3" w:rsidRPr="004F37C5" w:rsidRDefault="00827ED3" w:rsidP="00827ED3">
      <w:pPr>
        <w:pStyle w:val="BodyTextalphalist"/>
        <w:numPr>
          <w:ilvl w:val="3"/>
          <w:numId w:val="31"/>
        </w:numPr>
      </w:pPr>
      <w:r w:rsidRPr="004F37C5">
        <w:t xml:space="preserve">convey to victims and the affected community that crimes targeting them because of their identity </w:t>
      </w:r>
      <w:r w:rsidRPr="009A60BE">
        <w:t xml:space="preserve">are </w:t>
      </w:r>
      <w:r w:rsidRPr="004F37C5">
        <w:t>considered unacceptable by society and will be treated seriously by the justice system.</w:t>
      </w:r>
    </w:p>
    <w:p w14:paraId="7CF33320" w14:textId="20EC3E6E" w:rsidR="00827ED3" w:rsidRDefault="00827ED3" w:rsidP="00827ED3">
      <w:pPr>
        <w:pStyle w:val="BodyText"/>
        <w:numPr>
          <w:ilvl w:val="1"/>
          <w:numId w:val="31"/>
        </w:numPr>
        <w:spacing w:after="120"/>
        <w:ind w:hanging="709"/>
      </w:pPr>
      <w:r w:rsidRPr="004F37C5">
        <w:t xml:space="preserve">Whether that happens consistently under </w:t>
      </w:r>
      <w:r>
        <w:t xml:space="preserve">the </w:t>
      </w:r>
      <w:r w:rsidRPr="004F37C5">
        <w:t xml:space="preserve">current law and practice is unclear. </w:t>
      </w:r>
      <w:r>
        <w:t>As we discuss further below, there is an</w:t>
      </w:r>
      <w:r w:rsidRPr="004F37C5">
        <w:t xml:space="preserve"> absence of readily available information about hate crime cases in the courts</w:t>
      </w:r>
      <w:r>
        <w:t>. This</w:t>
      </w:r>
      <w:r w:rsidRPr="004F37C5">
        <w:t xml:space="preserve"> makes it difficult to identify all relevant sentencing decisions to assess whether they satisfy the denunciatory objective of hate crime law. </w:t>
      </w:r>
      <w:r>
        <w:t xml:space="preserve">We had particular difficulty identifying relevant </w:t>
      </w:r>
      <w:r w:rsidR="00E046D1" w:rsidRPr="00E046D1">
        <w:t>Te Kōti ā Rohe | District Court</w:t>
      </w:r>
      <w:r>
        <w:t xml:space="preserve"> decisions since they are not routinely published.</w:t>
      </w:r>
      <w:r>
        <w:rPr>
          <w:rStyle w:val="FootnoteReference"/>
        </w:rPr>
        <w:footnoteReference w:id="260"/>
      </w:r>
    </w:p>
    <w:p w14:paraId="18FD4F29" w14:textId="57E0ACA9" w:rsidR="00827ED3" w:rsidRDefault="00827ED3" w:rsidP="00827ED3">
      <w:pPr>
        <w:pStyle w:val="BodyText"/>
        <w:numPr>
          <w:ilvl w:val="1"/>
          <w:numId w:val="31"/>
        </w:numPr>
        <w:spacing w:after="120"/>
        <w:ind w:hanging="709"/>
      </w:pPr>
      <w:r w:rsidRPr="004F37C5">
        <w:t xml:space="preserve">In our research, we found </w:t>
      </w:r>
      <w:r>
        <w:t>examples of</w:t>
      </w:r>
      <w:r w:rsidRPr="004F37C5">
        <w:t xml:space="preserve"> sentencing decisions where the courts made it clear that offending was motivated by hostility and that this made the offending more serious.</w:t>
      </w:r>
      <w:r w:rsidRPr="004F37C5">
        <w:rPr>
          <w:rStyle w:val="FootnoteReference"/>
        </w:rPr>
        <w:footnoteReference w:id="261"/>
      </w:r>
      <w:r w:rsidRPr="004F37C5">
        <w:t xml:space="preserve"> On the other hand, a Crown solicitor also informed </w:t>
      </w:r>
      <w:r>
        <w:t>us</w:t>
      </w:r>
      <w:r w:rsidRPr="004F37C5">
        <w:t xml:space="preserve"> of </w:t>
      </w:r>
      <w:r>
        <w:t>one</w:t>
      </w:r>
      <w:r w:rsidRPr="004F37C5">
        <w:t xml:space="preserve"> case</w:t>
      </w:r>
      <w:r w:rsidR="00C83276">
        <w:t xml:space="preserve"> </w:t>
      </w:r>
      <w:r>
        <w:t>in which</w:t>
      </w:r>
      <w:r w:rsidRPr="004F37C5">
        <w:t xml:space="preserve"> the judge appeared to accept</w:t>
      </w:r>
      <w:r>
        <w:t xml:space="preserve"> that</w:t>
      </w:r>
      <w:r w:rsidRPr="004F37C5">
        <w:t xml:space="preserve"> the hostility aggravating factor applied but made no reference to it in the sentencing notes.</w:t>
      </w:r>
      <w:r>
        <w:rPr>
          <w:rStyle w:val="FootnoteReference"/>
        </w:rPr>
        <w:footnoteReference w:id="262"/>
      </w:r>
      <w:r w:rsidRPr="004F37C5">
        <w:t xml:space="preserve"> We do not know how common this </w:t>
      </w:r>
      <w:r>
        <w:t xml:space="preserve">sort of occurrence </w:t>
      </w:r>
      <w:r w:rsidRPr="004F37C5">
        <w:t xml:space="preserve">is, as such cases are unlikely to be identified through keyword searches </w:t>
      </w:r>
      <w:r>
        <w:t>(even where they</w:t>
      </w:r>
      <w:r w:rsidRPr="004F37C5">
        <w:t xml:space="preserve"> are </w:t>
      </w:r>
      <w:r>
        <w:t>published)</w:t>
      </w:r>
      <w:r w:rsidRPr="004F37C5">
        <w:t xml:space="preserve">. </w:t>
      </w:r>
    </w:p>
    <w:p w14:paraId="48D2872D" w14:textId="1EE080A1" w:rsidR="00827ED3" w:rsidRDefault="00827ED3" w:rsidP="00827ED3">
      <w:pPr>
        <w:pStyle w:val="BodyText"/>
        <w:numPr>
          <w:ilvl w:val="1"/>
          <w:numId w:val="31"/>
        </w:numPr>
        <w:spacing w:after="120"/>
        <w:ind w:hanging="709"/>
      </w:pPr>
      <w:r w:rsidRPr="004F37C5">
        <w:t xml:space="preserve">We also located </w:t>
      </w:r>
      <w:r>
        <w:t>through our own research a small number of sentencing decisions in which section</w:t>
      </w:r>
      <w:r>
        <w:rPr>
          <w:rFonts w:ascii="Calibri" w:hAnsi="Calibri" w:cs="Calibri"/>
        </w:rPr>
        <w:t> </w:t>
      </w:r>
      <w:r>
        <w:t>9(1)(h) or hostility towards a group of people is referred to briefly, but it is not entirely clear whether the court considered the aggravating factor applied.</w:t>
      </w:r>
      <w:r>
        <w:rPr>
          <w:rStyle w:val="FootnoteReference"/>
        </w:rPr>
        <w:footnoteReference w:id="263"/>
      </w:r>
    </w:p>
    <w:p w14:paraId="4F98946D" w14:textId="22DBD4F7" w:rsidR="00827ED3" w:rsidRDefault="00827ED3" w:rsidP="00827ED3">
      <w:pPr>
        <w:pStyle w:val="BodyText"/>
        <w:numPr>
          <w:ilvl w:val="1"/>
          <w:numId w:val="31"/>
        </w:numPr>
        <w:spacing w:after="120"/>
        <w:ind w:hanging="709"/>
        <w:rPr>
          <w:rStyle w:val="CommentReference"/>
          <w:sz w:val="20"/>
          <w:szCs w:val="24"/>
        </w:rPr>
      </w:pPr>
      <w:r>
        <w:t>What is clear — as</w:t>
      </w:r>
      <w:r w:rsidDel="006C1A1B">
        <w:t xml:space="preserve"> </w:t>
      </w:r>
      <w:r>
        <w:t>the Royal Commission</w:t>
      </w:r>
      <w:r w:rsidR="006C1A1B">
        <w:t xml:space="preserve"> and some submitters to our review</w:t>
      </w:r>
      <w:r>
        <w:t xml:space="preserve"> pointed out — is that the current law does not require the courts to </w:t>
      </w:r>
      <w:r w:rsidRPr="00623CAD">
        <w:t xml:space="preserve">clearly communicate </w:t>
      </w:r>
      <w:r>
        <w:t>the fact that an offence has been found to be motivated by hostility</w:t>
      </w:r>
      <w:r w:rsidRPr="009A60BE">
        <w:t xml:space="preserve">. </w:t>
      </w:r>
      <w:r>
        <w:t xml:space="preserve">This means </w:t>
      </w:r>
      <w:r w:rsidRPr="009A60BE">
        <w:t xml:space="preserve">hate crimes </w:t>
      </w:r>
      <w:r>
        <w:t xml:space="preserve">may not be </w:t>
      </w:r>
      <w:r w:rsidRPr="009A60BE">
        <w:t>denounced</w:t>
      </w:r>
      <w:r>
        <w:t xml:space="preserve"> consistently</w:t>
      </w:r>
      <w:r w:rsidRPr="009A60BE">
        <w:t>.</w:t>
      </w:r>
      <w:r>
        <w:t xml:space="preserve"> Given that denunciation is one of the objectives of hate crime law (discussed in Chapter 3), we consider that to be a significant problem. It means the current law does not adequately respond to hate crime and the harm it causes.</w:t>
      </w:r>
    </w:p>
    <w:p w14:paraId="0643E434" w14:textId="32AB3163" w:rsidR="00492B04" w:rsidRPr="007719B7" w:rsidRDefault="00B20EFE" w:rsidP="00492B04">
      <w:pPr>
        <w:pStyle w:val="Heading3"/>
      </w:pPr>
      <w:r>
        <w:t>Systematic r</w:t>
      </w:r>
      <w:r w:rsidR="00492B04" w:rsidRPr="007719B7">
        <w:t xml:space="preserve">ecording </w:t>
      </w:r>
      <w:r>
        <w:t xml:space="preserve">of </w:t>
      </w:r>
      <w:r w:rsidR="00492B04" w:rsidRPr="007719B7">
        <w:t>hate crime</w:t>
      </w:r>
    </w:p>
    <w:p w14:paraId="74945B52" w14:textId="77777777" w:rsidR="0057216B" w:rsidRPr="007719B7" w:rsidRDefault="0057216B" w:rsidP="0057216B">
      <w:pPr>
        <w:pStyle w:val="Heading4"/>
      </w:pPr>
      <w:r w:rsidRPr="007719B7">
        <w:t>Consultation</w:t>
      </w:r>
    </w:p>
    <w:p w14:paraId="7A803E63" w14:textId="06D16BBD" w:rsidR="0057216B" w:rsidRPr="007719B7" w:rsidRDefault="003A0145" w:rsidP="0057216B">
      <w:pPr>
        <w:pStyle w:val="BodyText"/>
        <w:numPr>
          <w:ilvl w:val="1"/>
          <w:numId w:val="31"/>
        </w:numPr>
        <w:ind w:hanging="709"/>
      </w:pPr>
      <w:r w:rsidRPr="007719B7">
        <w:t>In our Consultation Paper, we questioned whether information about the outcome of prosecutions for alleged hostility-motivated offences (for example, whether the defendant was convicted, what sentence was imposed and whether hostile motivation was taken into account at sentencing) is readily enough available</w:t>
      </w:r>
      <w:r w:rsidR="0057216B" w:rsidRPr="007719B7">
        <w:t>.</w:t>
      </w:r>
      <w:r w:rsidR="0057216B" w:rsidRPr="007719B7">
        <w:rPr>
          <w:rStyle w:val="FootnoteReference"/>
        </w:rPr>
        <w:footnoteReference w:id="264"/>
      </w:r>
      <w:r w:rsidR="0057216B" w:rsidRPr="007719B7">
        <w:t xml:space="preserve"> We sought feedback on whether there </w:t>
      </w:r>
      <w:r w:rsidRPr="007719B7">
        <w:t>are</w:t>
      </w:r>
      <w:r w:rsidR="0057216B" w:rsidRPr="007719B7">
        <w:t xml:space="preserve"> barriers to accurate recording and data collection. </w:t>
      </w:r>
    </w:p>
    <w:p w14:paraId="745F5FBB" w14:textId="25AE8DF3" w:rsidR="00884307" w:rsidRPr="007719B7" w:rsidRDefault="0057216B" w:rsidP="0006338F">
      <w:pPr>
        <w:pStyle w:val="BodyText"/>
        <w:numPr>
          <w:ilvl w:val="1"/>
          <w:numId w:val="31"/>
        </w:numPr>
        <w:ind w:hanging="709"/>
      </w:pPr>
      <w:r w:rsidRPr="007719B7">
        <w:t xml:space="preserve">Eight submitters said it is difficult to get accurate data </w:t>
      </w:r>
      <w:r w:rsidR="001B0048">
        <w:t>about</w:t>
      </w:r>
      <w:r w:rsidR="001B0048" w:rsidRPr="007719B7">
        <w:t xml:space="preserve"> </w:t>
      </w:r>
      <w:r w:rsidRPr="007719B7">
        <w:t xml:space="preserve">hate crimes because hostile motivation is not recorded </w:t>
      </w:r>
      <w:r w:rsidR="00745AF4" w:rsidRPr="007719B7">
        <w:t xml:space="preserve">(outside of the sentencing notes) </w:t>
      </w:r>
      <w:r w:rsidRPr="007719B7">
        <w:t>when a person is convicted of an offence.</w:t>
      </w:r>
      <w:r w:rsidRPr="007719B7">
        <w:rPr>
          <w:color w:val="262626" w:themeColor="text1" w:themeTint="D9"/>
          <w:sz w:val="18"/>
          <w:szCs w:val="18"/>
          <w:vertAlign w:val="superscript"/>
        </w:rPr>
        <w:footnoteReference w:id="265"/>
      </w:r>
      <w:r w:rsidRPr="007719B7">
        <w:t xml:space="preserve"> </w:t>
      </w:r>
      <w:r w:rsidR="00E12759" w:rsidRPr="007719B7">
        <w:t>Two additional</w:t>
      </w:r>
      <w:r w:rsidR="00511FEA" w:rsidRPr="007719B7">
        <w:t xml:space="preserve"> submitters did not comment specifically on barriers but supported improved recording.</w:t>
      </w:r>
      <w:r w:rsidR="00557045" w:rsidRPr="007719B7">
        <w:rPr>
          <w:rStyle w:val="FootnoteReference"/>
        </w:rPr>
        <w:footnoteReference w:id="266"/>
      </w:r>
      <w:r w:rsidR="00511FEA" w:rsidRPr="007719B7">
        <w:t xml:space="preserve"> </w:t>
      </w:r>
      <w:r w:rsidRPr="007719B7">
        <w:t>S</w:t>
      </w:r>
      <w:r w:rsidR="00FD3E75" w:rsidRPr="007719B7">
        <w:t>ome s</w:t>
      </w:r>
      <w:r w:rsidRPr="007719B7">
        <w:t xml:space="preserve">ubmitters said </w:t>
      </w:r>
      <w:r w:rsidR="00B9498C" w:rsidRPr="007719B7">
        <w:t>recording</w:t>
      </w:r>
      <w:r w:rsidRPr="007719B7">
        <w:t xml:space="preserve"> data on convictions for </w:t>
      </w:r>
      <w:r w:rsidR="00E87E64" w:rsidRPr="007719B7">
        <w:t xml:space="preserve">hostility-motivated </w:t>
      </w:r>
      <w:r w:rsidRPr="007719B7">
        <w:t>offences would</w:t>
      </w:r>
      <w:r w:rsidR="0006338F" w:rsidRPr="007719B7">
        <w:t xml:space="preserve"> </w:t>
      </w:r>
      <w:r w:rsidRPr="007719B7">
        <w:t xml:space="preserve">help </w:t>
      </w:r>
      <w:r w:rsidR="004D0E6A">
        <w:t xml:space="preserve">to </w:t>
      </w:r>
      <w:r w:rsidR="00690ABD" w:rsidRPr="007719B7">
        <w:t>build a picture of how</w:t>
      </w:r>
      <w:r w:rsidRPr="007719B7">
        <w:t xml:space="preserve"> the justice system is responding to hate crimes</w:t>
      </w:r>
      <w:r w:rsidR="00690ABD" w:rsidRPr="007719B7">
        <w:t xml:space="preserve"> and to improve that response</w:t>
      </w:r>
      <w:r w:rsidR="0006338F" w:rsidRPr="007719B7">
        <w:t>.</w:t>
      </w:r>
      <w:r w:rsidRPr="007719B7">
        <w:rPr>
          <w:color w:val="262626" w:themeColor="text1" w:themeTint="D9"/>
          <w:sz w:val="18"/>
          <w:szCs w:val="18"/>
          <w:vertAlign w:val="superscript"/>
        </w:rPr>
        <w:footnoteReference w:id="267"/>
      </w:r>
      <w:r w:rsidR="0006338F" w:rsidRPr="007719B7">
        <w:t xml:space="preserve"> </w:t>
      </w:r>
      <w:r w:rsidR="00FD3E75" w:rsidRPr="007719B7">
        <w:t xml:space="preserve">If published, </w:t>
      </w:r>
      <w:r w:rsidR="00884307" w:rsidRPr="007719B7">
        <w:t>submitters</w:t>
      </w:r>
      <w:r w:rsidR="006F6941" w:rsidRPr="007719B7">
        <w:t xml:space="preserve"> said </w:t>
      </w:r>
      <w:r w:rsidR="008F348B" w:rsidRPr="007719B7">
        <w:t>this</w:t>
      </w:r>
      <w:r w:rsidR="006F6941" w:rsidRPr="007719B7">
        <w:t xml:space="preserve"> data could also</w:t>
      </w:r>
      <w:r w:rsidR="00884307" w:rsidRPr="007719B7">
        <w:t>:</w:t>
      </w:r>
      <w:r w:rsidR="006F6941" w:rsidRPr="007719B7">
        <w:t xml:space="preserve"> </w:t>
      </w:r>
    </w:p>
    <w:p w14:paraId="2AA743A5" w14:textId="511EFA8E" w:rsidR="008345FB" w:rsidRPr="007719B7" w:rsidRDefault="006F6941" w:rsidP="005F4404">
      <w:pPr>
        <w:pStyle w:val="BodyTextalphalist"/>
      </w:pPr>
      <w:r w:rsidRPr="007719B7">
        <w:t>raise public awareness of hate crimes and public confidence that such crimes are taken seriously</w:t>
      </w:r>
      <w:r w:rsidR="005F4404" w:rsidRPr="007719B7">
        <w:t>;</w:t>
      </w:r>
      <w:r w:rsidR="009F39F2" w:rsidRPr="007719B7">
        <w:rPr>
          <w:rStyle w:val="FootnoteReference"/>
        </w:rPr>
        <w:footnoteReference w:id="268"/>
      </w:r>
      <w:r w:rsidR="005F4404" w:rsidRPr="007719B7">
        <w:t xml:space="preserve"> and</w:t>
      </w:r>
    </w:p>
    <w:p w14:paraId="2EBF1073" w14:textId="4FAFD046" w:rsidR="0057216B" w:rsidRPr="007719B7" w:rsidRDefault="0057216B" w:rsidP="0057216B">
      <w:pPr>
        <w:pStyle w:val="BodyTextalphalist"/>
        <w:numPr>
          <w:ilvl w:val="3"/>
          <w:numId w:val="31"/>
        </w:numPr>
      </w:pPr>
      <w:r w:rsidRPr="007719B7">
        <w:t xml:space="preserve">facilitate understanding of why and where hate crimes occur and </w:t>
      </w:r>
      <w:r w:rsidR="00CE7189">
        <w:t xml:space="preserve">the </w:t>
      </w:r>
      <w:r w:rsidRPr="007719B7">
        <w:t xml:space="preserve">factors that give rise to </w:t>
      </w:r>
      <w:r w:rsidR="00CE7189">
        <w:t xml:space="preserve">a </w:t>
      </w:r>
      <w:r w:rsidRPr="007719B7">
        <w:t>heightened risk of hate crimes.</w:t>
      </w:r>
      <w:r w:rsidRPr="007719B7">
        <w:rPr>
          <w:color w:val="262626" w:themeColor="text1" w:themeTint="D9"/>
          <w:sz w:val="18"/>
          <w:szCs w:val="18"/>
          <w:vertAlign w:val="superscript"/>
        </w:rPr>
        <w:footnoteReference w:id="269"/>
      </w:r>
    </w:p>
    <w:p w14:paraId="698582DD" w14:textId="08257C56" w:rsidR="00A369FD" w:rsidRPr="007719B7" w:rsidRDefault="005A791E" w:rsidP="0057216B">
      <w:pPr>
        <w:pStyle w:val="BodyText"/>
        <w:numPr>
          <w:ilvl w:val="1"/>
          <w:numId w:val="31"/>
        </w:numPr>
        <w:ind w:hanging="709"/>
      </w:pPr>
      <w:r w:rsidRPr="007719B7">
        <w:t xml:space="preserve">Two submitters commented on other ways </w:t>
      </w:r>
      <w:r w:rsidR="00DE10AC">
        <w:t>in which</w:t>
      </w:r>
      <w:r w:rsidRPr="007719B7">
        <w:t xml:space="preserve"> information about hostility-motivated offending could be useful. Justice for Palestine, Alternative Jewish Voices and Dayenu said (in their joint submission) that it is important to identify convicted perpetrators of hate crimes for the purposes of vetting individuals for firearms licences. They said minor crimes such as intentional damage are often overlooked in assessing fit and proper status for a firearms licence but these offences may be relevant if </w:t>
      </w:r>
      <w:r w:rsidR="00A94F2A">
        <w:t xml:space="preserve">they </w:t>
      </w:r>
      <w:r w:rsidRPr="007719B7">
        <w:t xml:space="preserve">were motivated by hostility. Another submitter </w:t>
      </w:r>
      <w:r w:rsidR="00A61F27">
        <w:t>said</w:t>
      </w:r>
      <w:r w:rsidRPr="007719B7">
        <w:t xml:space="preserve"> information about hostile motivation should be considered by the Parole Board when making decisions about parole.</w:t>
      </w:r>
      <w:r w:rsidRPr="007719B7">
        <w:rPr>
          <w:rStyle w:val="FootnoteReference"/>
        </w:rPr>
        <w:footnoteReference w:id="270"/>
      </w:r>
      <w:r w:rsidRPr="007719B7">
        <w:t xml:space="preserve"> </w:t>
      </w:r>
    </w:p>
    <w:p w14:paraId="72E6E9F6" w14:textId="52D8FD98" w:rsidR="0057216B" w:rsidRPr="007719B7" w:rsidRDefault="00C12142" w:rsidP="0057216B">
      <w:pPr>
        <w:pStyle w:val="BodyText"/>
        <w:numPr>
          <w:ilvl w:val="1"/>
          <w:numId w:val="31"/>
        </w:numPr>
        <w:ind w:hanging="709"/>
      </w:pPr>
      <w:r w:rsidRPr="007719B7">
        <w:t>Several</w:t>
      </w:r>
      <w:r w:rsidR="0057216B" w:rsidRPr="007719B7">
        <w:t xml:space="preserve"> submitters called for </w:t>
      </w:r>
      <w:r w:rsidRPr="007719B7">
        <w:t>collection and</w:t>
      </w:r>
      <w:r w:rsidR="00622642" w:rsidRPr="007719B7">
        <w:t xml:space="preserve"> publication of </w:t>
      </w:r>
      <w:r w:rsidRPr="007719B7">
        <w:t>additional</w:t>
      </w:r>
      <w:r w:rsidR="00622642" w:rsidRPr="007719B7">
        <w:t xml:space="preserve"> data</w:t>
      </w:r>
      <w:r w:rsidR="0057216B" w:rsidRPr="007719B7">
        <w:t>, including:</w:t>
      </w:r>
    </w:p>
    <w:p w14:paraId="677A7996" w14:textId="3D0A679B" w:rsidR="0057216B" w:rsidRPr="007719B7" w:rsidRDefault="006D07B3" w:rsidP="0057216B">
      <w:pPr>
        <w:pStyle w:val="BodyTextalphalist"/>
        <w:numPr>
          <w:ilvl w:val="3"/>
          <w:numId w:val="31"/>
        </w:numPr>
      </w:pPr>
      <w:r w:rsidRPr="007719B7">
        <w:t>d</w:t>
      </w:r>
      <w:r w:rsidR="0057216B" w:rsidRPr="007719B7">
        <w:t>ata breaking down hostility-motivated offending by the group</w:t>
      </w:r>
      <w:r w:rsidR="00A61F27">
        <w:t xml:space="preserve"> </w:t>
      </w:r>
      <w:r w:rsidR="0057216B" w:rsidRPr="007719B7">
        <w:t>affected</w:t>
      </w:r>
      <w:r w:rsidRPr="007719B7">
        <w:t>;</w:t>
      </w:r>
      <w:r w:rsidR="0057216B" w:rsidRPr="007719B7">
        <w:rPr>
          <w:color w:val="262626" w:themeColor="text1" w:themeTint="D9"/>
          <w:sz w:val="18"/>
          <w:szCs w:val="18"/>
          <w:vertAlign w:val="superscript"/>
        </w:rPr>
        <w:footnoteReference w:id="271"/>
      </w:r>
      <w:r w:rsidR="0057216B" w:rsidRPr="007719B7">
        <w:t xml:space="preserve"> </w:t>
      </w:r>
      <w:r w:rsidRPr="007719B7">
        <w:t>and</w:t>
      </w:r>
    </w:p>
    <w:p w14:paraId="60975372" w14:textId="76679AEC" w:rsidR="0057216B" w:rsidRPr="007719B7" w:rsidRDefault="0081688D" w:rsidP="0057216B">
      <w:pPr>
        <w:pStyle w:val="BodyTextalphalist"/>
        <w:numPr>
          <w:ilvl w:val="3"/>
          <w:numId w:val="31"/>
        </w:numPr>
      </w:pPr>
      <w:r w:rsidRPr="007719B7">
        <w:t>d</w:t>
      </w:r>
      <w:r w:rsidR="0057216B" w:rsidRPr="007719B7">
        <w:t>ata on how often reported hate crimes le</w:t>
      </w:r>
      <w:r w:rsidR="0059297A" w:rsidRPr="007719B7">
        <w:t>a</w:t>
      </w:r>
      <w:r w:rsidR="0057216B" w:rsidRPr="007719B7">
        <w:t>d to prosecution and conviction.</w:t>
      </w:r>
      <w:r w:rsidR="0057216B" w:rsidRPr="007719B7">
        <w:rPr>
          <w:color w:val="262626" w:themeColor="text1" w:themeTint="D9"/>
          <w:sz w:val="18"/>
          <w:szCs w:val="18"/>
          <w:vertAlign w:val="superscript"/>
        </w:rPr>
        <w:footnoteReference w:id="272"/>
      </w:r>
    </w:p>
    <w:p w14:paraId="28692218" w14:textId="16B7378F" w:rsidR="0057216B" w:rsidRPr="007719B7" w:rsidRDefault="00EB7C85" w:rsidP="0057216B">
      <w:pPr>
        <w:pStyle w:val="BodyText"/>
        <w:numPr>
          <w:ilvl w:val="1"/>
          <w:numId w:val="31"/>
        </w:numPr>
        <w:ind w:hanging="709"/>
      </w:pPr>
      <w:r w:rsidRPr="007719B7">
        <w:t>Submitters said this data could inform policy and law enforcement strategies and preventive action.</w:t>
      </w:r>
      <w:r w:rsidRPr="007719B7">
        <w:rPr>
          <w:color w:val="262626" w:themeColor="text1" w:themeTint="D9"/>
          <w:sz w:val="18"/>
          <w:szCs w:val="18"/>
          <w:vertAlign w:val="superscript"/>
        </w:rPr>
        <w:footnoteReference w:id="273"/>
      </w:r>
      <w:r w:rsidRPr="007719B7">
        <w:t xml:space="preserve"> </w:t>
      </w:r>
    </w:p>
    <w:p w14:paraId="1DF91ED9" w14:textId="4BDD15D7" w:rsidR="0057216B" w:rsidRPr="007719B7" w:rsidRDefault="00C52E94" w:rsidP="008E2905">
      <w:pPr>
        <w:pStyle w:val="Heading4"/>
      </w:pPr>
      <w:r w:rsidRPr="007719B7">
        <w:t>Is there a problem with the current law?</w:t>
      </w:r>
    </w:p>
    <w:p w14:paraId="660A7A54" w14:textId="47B60DCB" w:rsidR="006148DC" w:rsidRPr="0099508D" w:rsidRDefault="0082423E" w:rsidP="00492B04">
      <w:pPr>
        <w:pStyle w:val="BodyText"/>
        <w:numPr>
          <w:ilvl w:val="1"/>
          <w:numId w:val="31"/>
        </w:numPr>
        <w:spacing w:after="120"/>
        <w:ind w:hanging="709"/>
      </w:pPr>
      <w:r>
        <w:t>Outside of sentencing decisions (discussed earlier), t</w:t>
      </w:r>
      <w:r w:rsidR="000D4701">
        <w:t>he</w:t>
      </w:r>
      <w:r w:rsidR="00DA5AF7">
        <w:t xml:space="preserve"> current law </w:t>
      </w:r>
      <w:r w:rsidR="00450985">
        <w:t xml:space="preserve">does </w:t>
      </w:r>
      <w:r w:rsidR="00A04BE7" w:rsidRPr="002821B8">
        <w:rPr>
          <w:rFonts w:eastAsia="Calibri"/>
          <w:lang w:eastAsia="en-US"/>
        </w:rPr>
        <w:t xml:space="preserve">not </w:t>
      </w:r>
      <w:r w:rsidR="00A04BE7" w:rsidRPr="002821B8">
        <w:rPr>
          <w:rFonts w:eastAsia="Calibri"/>
        </w:rPr>
        <w:t>provide</w:t>
      </w:r>
      <w:r w:rsidR="00A04BE7" w:rsidRPr="002821B8">
        <w:rPr>
          <w:rFonts w:eastAsia="Calibri"/>
          <w:lang w:eastAsia="en-US"/>
        </w:rPr>
        <w:t xml:space="preserve"> a mechanism for systematically documenting</w:t>
      </w:r>
      <w:r w:rsidR="002B1B2A">
        <w:rPr>
          <w:rFonts w:eastAsia="Calibri"/>
          <w:lang w:eastAsia="en-US"/>
        </w:rPr>
        <w:t xml:space="preserve"> </w:t>
      </w:r>
      <w:r w:rsidR="00A04BE7" w:rsidRPr="002821B8">
        <w:rPr>
          <w:rFonts w:eastAsia="Calibri"/>
          <w:lang w:eastAsia="en-US"/>
        </w:rPr>
        <w:t>court findings that an offence was motivated by hostility</w:t>
      </w:r>
      <w:r w:rsidR="0099508D" w:rsidRPr="00836C4B">
        <w:rPr>
          <w:rFonts w:eastAsia="Calibri"/>
          <w:lang w:eastAsia="en-US"/>
        </w:rPr>
        <w:t xml:space="preserve">. This </w:t>
      </w:r>
      <w:r w:rsidR="0099508D">
        <w:rPr>
          <w:rFonts w:eastAsia="Calibri"/>
          <w:lang w:eastAsia="en-US"/>
        </w:rPr>
        <w:t>creates three distinct problems</w:t>
      </w:r>
      <w:r w:rsidR="00A16910">
        <w:rPr>
          <w:rFonts w:eastAsia="Calibri"/>
          <w:lang w:eastAsia="en-US"/>
        </w:rPr>
        <w:t>:</w:t>
      </w:r>
    </w:p>
    <w:p w14:paraId="279E2195" w14:textId="15F9876D" w:rsidR="002C31DF" w:rsidRPr="002C31DF" w:rsidRDefault="002C31DF" w:rsidP="002C31DF">
      <w:pPr>
        <w:pStyle w:val="BodyTextalphalist"/>
      </w:pPr>
      <w:r>
        <w:rPr>
          <w:rFonts w:eastAsia="Calibri"/>
          <w:lang w:eastAsia="en-US"/>
        </w:rPr>
        <w:t>It</w:t>
      </w:r>
      <w:r w:rsidRPr="00836C4B">
        <w:rPr>
          <w:rFonts w:eastAsia="Calibri"/>
          <w:lang w:eastAsia="en-US"/>
        </w:rPr>
        <w:t xml:space="preserve"> limits the ability of Police, the courts and Corrections to deal with the offender appropriately in future. </w:t>
      </w:r>
    </w:p>
    <w:p w14:paraId="2352E66B" w14:textId="7A8F243E" w:rsidR="002C31DF" w:rsidRPr="002C31DF" w:rsidRDefault="002C31DF" w:rsidP="002C31DF">
      <w:pPr>
        <w:pStyle w:val="BodyTextalphalist"/>
      </w:pPr>
      <w:r w:rsidRPr="00836C4B">
        <w:rPr>
          <w:rFonts w:eastAsia="Calibri"/>
          <w:lang w:eastAsia="en-US"/>
        </w:rPr>
        <w:t>It makes it difficult to assess how the justice system is responding to hate crime and to develop appropriate laws and policies to improve that response.</w:t>
      </w:r>
    </w:p>
    <w:p w14:paraId="79BEDEED" w14:textId="4BA2B563" w:rsidR="002C31DF" w:rsidRDefault="002C31DF" w:rsidP="002C31DF">
      <w:pPr>
        <w:pStyle w:val="BodyTextalphalist"/>
      </w:pPr>
      <w:r>
        <w:t>T</w:t>
      </w:r>
      <w:r w:rsidRPr="007719B7">
        <w:t xml:space="preserve">he lack of publicly available data makes hate crime </w:t>
      </w:r>
      <w:r w:rsidR="000436F6">
        <w:t xml:space="preserve">and the justice system’s response to it </w:t>
      </w:r>
      <w:r w:rsidRPr="007719B7">
        <w:t xml:space="preserve">less visible. </w:t>
      </w:r>
    </w:p>
    <w:p w14:paraId="2FB68CD0" w14:textId="3A0F6341" w:rsidR="00990EF3" w:rsidRDefault="00990EF3" w:rsidP="009A5BE7">
      <w:pPr>
        <w:pStyle w:val="BodyText"/>
        <w:numPr>
          <w:ilvl w:val="1"/>
          <w:numId w:val="31"/>
        </w:numPr>
        <w:spacing w:after="120"/>
        <w:ind w:hanging="709"/>
      </w:pPr>
      <w:r>
        <w:t>We discuss each of these problems below</w:t>
      </w:r>
      <w:r w:rsidR="006D377E">
        <w:t xml:space="preserve">, after outlining </w:t>
      </w:r>
      <w:r w:rsidR="00B544E7">
        <w:t xml:space="preserve">the Royal Commission’s comments on recording </w:t>
      </w:r>
      <w:r w:rsidR="00562992">
        <w:t xml:space="preserve">in its report and </w:t>
      </w:r>
      <w:r w:rsidR="004D36B7">
        <w:t>developments in Police recording since then.</w:t>
      </w:r>
    </w:p>
    <w:p w14:paraId="2E8B44BB" w14:textId="6CCDC57F" w:rsidR="00CC29A0" w:rsidRPr="007719B7" w:rsidRDefault="00CC29A0" w:rsidP="00CC29A0">
      <w:pPr>
        <w:pStyle w:val="Heading5"/>
      </w:pPr>
      <w:r>
        <w:t>The Royal Commission</w:t>
      </w:r>
      <w:r w:rsidR="008A7BAA">
        <w:t>’s</w:t>
      </w:r>
      <w:r>
        <w:t xml:space="preserve"> report and </w:t>
      </w:r>
      <w:r w:rsidR="008A7BAA">
        <w:t>subsequent developments</w:t>
      </w:r>
    </w:p>
    <w:p w14:paraId="0631FB14" w14:textId="27E24136" w:rsidR="00A149D4" w:rsidRPr="007719B7" w:rsidRDefault="00F8220D" w:rsidP="00492B04">
      <w:pPr>
        <w:pStyle w:val="BodyText"/>
        <w:numPr>
          <w:ilvl w:val="1"/>
          <w:numId w:val="31"/>
        </w:numPr>
        <w:spacing w:after="120"/>
        <w:ind w:hanging="709"/>
      </w:pPr>
      <w:r w:rsidRPr="007719B7">
        <w:t xml:space="preserve">The Royal Commission </w:t>
      </w:r>
      <w:r w:rsidR="00224412">
        <w:t xml:space="preserve">considered reporting in the </w:t>
      </w:r>
      <w:r w:rsidR="00CD0C29">
        <w:t xml:space="preserve">context of Police investigations. It </w:t>
      </w:r>
      <w:r w:rsidRPr="007719B7">
        <w:t>found there was a lack of accurate recording of reported hate crimes and data about them.</w:t>
      </w:r>
      <w:r w:rsidR="00F53AE5" w:rsidRPr="007719B7">
        <w:rPr>
          <w:rStyle w:val="FootnoteReference"/>
        </w:rPr>
        <w:footnoteReference w:id="274"/>
      </w:r>
      <w:r w:rsidRPr="007719B7">
        <w:t xml:space="preserve"> It noted Police had been recording perceived hate crimes since 2019 but </w:t>
      </w:r>
      <w:r w:rsidR="00F85218">
        <w:t xml:space="preserve">that </w:t>
      </w:r>
      <w:r w:rsidR="004779EB">
        <w:t xml:space="preserve">the </w:t>
      </w:r>
      <w:r w:rsidRPr="007719B7">
        <w:t xml:space="preserve">record was incomplete and inconsistent. The Royal Commission suggested better recording of </w:t>
      </w:r>
      <w:r w:rsidR="00890824" w:rsidRPr="007719B7">
        <w:t>hostile motivation</w:t>
      </w:r>
      <w:r w:rsidRPr="007719B7">
        <w:t xml:space="preserve"> </w:t>
      </w:r>
      <w:r w:rsidR="004C3A9D">
        <w:t xml:space="preserve">by Police </w:t>
      </w:r>
      <w:r w:rsidRPr="007719B7">
        <w:t xml:space="preserve">would help </w:t>
      </w:r>
      <w:r w:rsidR="00F85218">
        <w:t xml:space="preserve">to </w:t>
      </w:r>
      <w:r w:rsidRPr="007719B7">
        <w:t xml:space="preserve">ensure </w:t>
      </w:r>
      <w:r w:rsidR="00890824" w:rsidRPr="007719B7">
        <w:t>it</w:t>
      </w:r>
      <w:r w:rsidRPr="007719B7">
        <w:t xml:space="preserve"> </w:t>
      </w:r>
      <w:r w:rsidR="00F85218">
        <w:t>is</w:t>
      </w:r>
      <w:r w:rsidRPr="007719B7">
        <w:t xml:space="preserve"> brought to the attention of the sentencing judge and allow links to be made between different events involving the same offender or victim. </w:t>
      </w:r>
      <w:r w:rsidR="00FB71DF">
        <w:t>A</w:t>
      </w:r>
      <w:r w:rsidR="00FB71DF" w:rsidRPr="007719B7">
        <w:t xml:space="preserve">longside data on how complaints are resolved, </w:t>
      </w:r>
      <w:r w:rsidR="00FB71DF" w:rsidRPr="00DD28ED">
        <w:t xml:space="preserve">it would also </w:t>
      </w:r>
      <w:r w:rsidR="00FB71DF" w:rsidRPr="007719B7">
        <w:t xml:space="preserve">help </w:t>
      </w:r>
      <w:r w:rsidR="00FB71DF">
        <w:t xml:space="preserve">in any </w:t>
      </w:r>
      <w:r w:rsidR="00FB71DF" w:rsidRPr="007719B7">
        <w:t>assess</w:t>
      </w:r>
      <w:r w:rsidR="00FB71DF">
        <w:t>ment of</w:t>
      </w:r>
      <w:r w:rsidR="00FB71DF" w:rsidRPr="007719B7">
        <w:t xml:space="preserve"> </w:t>
      </w:r>
      <w:r w:rsidRPr="007719B7">
        <w:t>the Police response and assure targeted communities that their complaints are being treated seriously.</w:t>
      </w:r>
    </w:p>
    <w:p w14:paraId="5B1DFE4A" w14:textId="5E428B47" w:rsidR="00F8220D" w:rsidRPr="007719B7" w:rsidRDefault="00F8220D" w:rsidP="00492B04">
      <w:pPr>
        <w:pStyle w:val="BodyText"/>
        <w:numPr>
          <w:ilvl w:val="1"/>
          <w:numId w:val="31"/>
        </w:numPr>
        <w:spacing w:after="120"/>
        <w:ind w:hanging="709"/>
      </w:pPr>
      <w:r w:rsidRPr="007719B7">
        <w:t>The Royal Commission thought creating hate crime offences would facilitate the recording of reported hate crimes, although it noted the absence of such offences did not make recording impossible.</w:t>
      </w:r>
      <w:r w:rsidR="00503B11" w:rsidRPr="007719B7">
        <w:rPr>
          <w:rStyle w:val="FootnoteReference"/>
        </w:rPr>
        <w:footnoteReference w:id="275"/>
      </w:r>
      <w:r w:rsidRPr="007719B7">
        <w:t xml:space="preserve"> It recommended the Government direct Police to revise how it records complaints of criminal conduct to capture </w:t>
      </w:r>
      <w:r w:rsidR="00AA0283">
        <w:t>hostile</w:t>
      </w:r>
      <w:r w:rsidRPr="007719B7">
        <w:t xml:space="preserve"> motivation and to provide training for staff.</w:t>
      </w:r>
      <w:r w:rsidR="00503B11" w:rsidRPr="007719B7">
        <w:rPr>
          <w:rStyle w:val="FootnoteReference"/>
        </w:rPr>
        <w:footnoteReference w:id="276"/>
      </w:r>
    </w:p>
    <w:p w14:paraId="759649AC" w14:textId="4598D0D2" w:rsidR="00492B04" w:rsidRDefault="00492B04" w:rsidP="00492B04">
      <w:pPr>
        <w:pStyle w:val="BodyText"/>
        <w:numPr>
          <w:ilvl w:val="1"/>
          <w:numId w:val="31"/>
        </w:numPr>
        <w:spacing w:after="120"/>
        <w:ind w:hanging="709"/>
      </w:pPr>
      <w:r w:rsidRPr="007719B7">
        <w:t>As described in Chapter 2, Police</w:t>
      </w:r>
      <w:r w:rsidR="001F0D0B" w:rsidRPr="007719B7">
        <w:t xml:space="preserve"> practices for </w:t>
      </w:r>
      <w:r w:rsidR="002E7454" w:rsidRPr="007719B7">
        <w:t>collecting</w:t>
      </w:r>
      <w:r w:rsidRPr="007719B7">
        <w:t xml:space="preserve"> information about </w:t>
      </w:r>
      <w:r w:rsidR="00E877D8">
        <w:t>perceived</w:t>
      </w:r>
      <w:r w:rsidR="001F0D0B" w:rsidRPr="007719B7">
        <w:t xml:space="preserve"> </w:t>
      </w:r>
      <w:r w:rsidRPr="007719B7">
        <w:t xml:space="preserve">hate crimes has improved </w:t>
      </w:r>
      <w:r w:rsidR="000F095C" w:rsidRPr="007719B7">
        <w:t xml:space="preserve">significantly </w:t>
      </w:r>
      <w:r w:rsidRPr="007719B7">
        <w:t>since the Royal Commission’s report</w:t>
      </w:r>
      <w:r w:rsidR="001310C8">
        <w:t>. Those improvements have resulted from</w:t>
      </w:r>
      <w:r w:rsidRPr="007719B7">
        <w:t xml:space="preserve"> more structured training, recording and quality assurance </w:t>
      </w:r>
      <w:r w:rsidR="005775FB">
        <w:t>processes</w:t>
      </w:r>
      <w:r w:rsidRPr="007719B7">
        <w:t>. However,</w:t>
      </w:r>
      <w:r w:rsidR="000150CD" w:rsidRPr="007719B7">
        <w:t xml:space="preserve"> Police data only provides one part of the picture.</w:t>
      </w:r>
      <w:r w:rsidRPr="007719B7">
        <w:t xml:space="preserve"> </w:t>
      </w:r>
      <w:r w:rsidR="000150CD" w:rsidRPr="007719B7">
        <w:t>T</w:t>
      </w:r>
      <w:r w:rsidRPr="007719B7">
        <w:t>here remain gaps in the</w:t>
      </w:r>
      <w:r w:rsidR="007A2916">
        <w:t xml:space="preserve"> </w:t>
      </w:r>
      <w:r w:rsidR="00FD3AAC">
        <w:t>availability</w:t>
      </w:r>
      <w:r w:rsidR="00FD3AAC" w:rsidRPr="007719B7">
        <w:t xml:space="preserve"> </w:t>
      </w:r>
      <w:r w:rsidR="00395825" w:rsidRPr="007719B7">
        <w:t>of</w:t>
      </w:r>
      <w:r w:rsidRPr="007719B7">
        <w:t xml:space="preserve"> information </w:t>
      </w:r>
      <w:r w:rsidR="00395825" w:rsidRPr="007719B7">
        <w:t>about hostility-motivated offending</w:t>
      </w:r>
      <w:r w:rsidRPr="007719B7">
        <w:t xml:space="preserve"> </w:t>
      </w:r>
      <w:r w:rsidR="000150CD" w:rsidRPr="007719B7">
        <w:t>in the courts</w:t>
      </w:r>
      <w:r w:rsidRPr="007719B7">
        <w:t>. Aside from manually reviewing court sentencing notes, there is no way to identify potential hate crime cases in the court</w:t>
      </w:r>
      <w:r w:rsidR="00B45F1A" w:rsidRPr="007719B7">
        <w:t>s</w:t>
      </w:r>
      <w:r w:rsidRPr="007719B7">
        <w:t xml:space="preserve"> or to determine their outcome (including whether the hostility aggravating factor was applied at sentencing). </w:t>
      </w:r>
      <w:r w:rsidR="003B566F">
        <w:t xml:space="preserve">This </w:t>
      </w:r>
      <w:r w:rsidR="007D51AB" w:rsidRPr="007719B7">
        <w:t>has significant practical implications.</w:t>
      </w:r>
    </w:p>
    <w:p w14:paraId="130672FA" w14:textId="5B941BAC" w:rsidR="007D51AB" w:rsidRPr="007719B7" w:rsidRDefault="008471D4" w:rsidP="007D51AB">
      <w:pPr>
        <w:pStyle w:val="Heading5"/>
      </w:pPr>
      <w:r>
        <w:t>D</w:t>
      </w:r>
      <w:r w:rsidR="007D51AB">
        <w:t>ealing with</w:t>
      </w:r>
      <w:r w:rsidR="00096025">
        <w:t xml:space="preserve"> convicted</w:t>
      </w:r>
      <w:r w:rsidR="007D51AB">
        <w:t xml:space="preserve"> offenders</w:t>
      </w:r>
    </w:p>
    <w:p w14:paraId="7D1CD244" w14:textId="1D904A54" w:rsidR="0067379E" w:rsidRPr="007719B7" w:rsidRDefault="003B566F" w:rsidP="0067379E">
      <w:pPr>
        <w:pStyle w:val="BodyText"/>
        <w:numPr>
          <w:ilvl w:val="1"/>
          <w:numId w:val="31"/>
        </w:numPr>
        <w:spacing w:after="120"/>
        <w:ind w:hanging="709"/>
      </w:pPr>
      <w:r w:rsidRPr="007719B7">
        <w:t xml:space="preserve">The absence of readily available information about hate crime cases in the courts </w:t>
      </w:r>
      <w:r w:rsidR="0067379E" w:rsidRPr="007719B7">
        <w:t>presents challenges for Police and the courts when dealing with repeat offenders and for Corrections when managing hate crime offenders.</w:t>
      </w:r>
      <w:r w:rsidR="00153EF6" w:rsidRPr="007719B7">
        <w:t xml:space="preserve"> </w:t>
      </w:r>
      <w:r w:rsidR="003C5226" w:rsidRPr="007719B7">
        <w:t xml:space="preserve">The </w:t>
      </w:r>
      <w:r w:rsidR="00385481" w:rsidRPr="007719B7">
        <w:t>fact that an off</w:t>
      </w:r>
      <w:r w:rsidR="000A3179" w:rsidRPr="007719B7">
        <w:t>ence was found to be hostility</w:t>
      </w:r>
      <w:r w:rsidR="00AE1F5E" w:rsidRPr="007719B7">
        <w:t>-</w:t>
      </w:r>
      <w:r w:rsidR="000A3179" w:rsidRPr="007719B7">
        <w:t xml:space="preserve">motivated may be relevant </w:t>
      </w:r>
      <w:r w:rsidR="005C7A15" w:rsidRPr="007719B7">
        <w:t>in the following ways</w:t>
      </w:r>
      <w:r w:rsidR="00EF78E4">
        <w:t>:</w:t>
      </w:r>
    </w:p>
    <w:p w14:paraId="1FBECF2A" w14:textId="3285406F" w:rsidR="00E61726" w:rsidRPr="007719B7" w:rsidRDefault="000A5920" w:rsidP="00E61726">
      <w:pPr>
        <w:pStyle w:val="BodyTextalphalist"/>
      </w:pPr>
      <w:r w:rsidRPr="007719B7">
        <w:t>If</w:t>
      </w:r>
      <w:r w:rsidR="00920E91" w:rsidRPr="007719B7">
        <w:t xml:space="preserve"> the courts are dealing with the same offender in future</w:t>
      </w:r>
      <w:r w:rsidR="00E61726" w:rsidRPr="007719B7">
        <w:t xml:space="preserve">, </w:t>
      </w:r>
      <w:r w:rsidR="00AF7AAA">
        <w:t xml:space="preserve">information about </w:t>
      </w:r>
      <w:r w:rsidR="001E0DB0">
        <w:t>previous hostility-motivated offending</w:t>
      </w:r>
      <w:r w:rsidR="00AF529F" w:rsidRPr="007719B7">
        <w:t xml:space="preserve"> </w:t>
      </w:r>
      <w:r w:rsidR="005A0CAF" w:rsidRPr="007719B7">
        <w:t xml:space="preserve">may affect </w:t>
      </w:r>
      <w:r w:rsidR="00C52FB9" w:rsidRPr="007719B7">
        <w:t xml:space="preserve">the sentence imposed </w:t>
      </w:r>
      <w:r w:rsidR="00CD4CD9" w:rsidRPr="007719B7">
        <w:t xml:space="preserve">and decisions about bail. </w:t>
      </w:r>
      <w:r w:rsidR="00AF529F" w:rsidRPr="007719B7">
        <w:t xml:space="preserve">We discuss this further </w:t>
      </w:r>
      <w:r w:rsidR="00B87F6D" w:rsidRPr="007719B7">
        <w:t>below</w:t>
      </w:r>
      <w:r w:rsidR="007B7281" w:rsidRPr="007719B7">
        <w:t xml:space="preserve"> </w:t>
      </w:r>
      <w:r w:rsidR="00915D91" w:rsidRPr="007719B7">
        <w:t xml:space="preserve">when we assess </w:t>
      </w:r>
      <w:r w:rsidR="00E75B6B" w:rsidRPr="007719B7">
        <w:t xml:space="preserve">how </w:t>
      </w:r>
      <w:r w:rsidR="007E493C" w:rsidRPr="007719B7">
        <w:t xml:space="preserve">hostility is </w:t>
      </w:r>
      <w:r w:rsidR="009262E7">
        <w:t>identified as an issue</w:t>
      </w:r>
      <w:r w:rsidR="007E493C" w:rsidRPr="007719B7">
        <w:t xml:space="preserve"> in court proceedings.</w:t>
      </w:r>
    </w:p>
    <w:p w14:paraId="26A62047" w14:textId="4B6B549D" w:rsidR="00B4562E" w:rsidRDefault="000A5920" w:rsidP="00E61726">
      <w:pPr>
        <w:pStyle w:val="BodyTextalphalist"/>
      </w:pPr>
      <w:r w:rsidRPr="007719B7">
        <w:t>If</w:t>
      </w:r>
      <w:r w:rsidR="003F6E19" w:rsidRPr="007719B7">
        <w:t xml:space="preserve"> </w:t>
      </w:r>
      <w:r w:rsidR="00EF796F" w:rsidRPr="007719B7">
        <w:t xml:space="preserve">the same offender </w:t>
      </w:r>
      <w:r w:rsidR="001D1E86" w:rsidRPr="007719B7">
        <w:t xml:space="preserve">is reported to Police </w:t>
      </w:r>
      <w:r w:rsidR="00EF796F" w:rsidRPr="007719B7">
        <w:t xml:space="preserve">for </w:t>
      </w:r>
      <w:r w:rsidR="001D1E86" w:rsidRPr="007719B7">
        <w:t xml:space="preserve">further </w:t>
      </w:r>
      <w:r w:rsidR="00EF796F" w:rsidRPr="007719B7">
        <w:t xml:space="preserve">alleged hostility-motivated offending, it may affect </w:t>
      </w:r>
      <w:r w:rsidR="001D1E86" w:rsidRPr="007719B7">
        <w:t xml:space="preserve">whether Police decides to investigate or </w:t>
      </w:r>
      <w:r w:rsidR="005C2431" w:rsidRPr="007719B7">
        <w:t xml:space="preserve">charge the person. </w:t>
      </w:r>
    </w:p>
    <w:p w14:paraId="565210FD" w14:textId="1A2E2A29" w:rsidR="007E493C" w:rsidRPr="007719B7" w:rsidRDefault="00F1199B" w:rsidP="00E61726">
      <w:pPr>
        <w:pStyle w:val="BodyTextalphalist"/>
      </w:pPr>
      <w:r w:rsidRPr="007719B7">
        <w:t xml:space="preserve">It may </w:t>
      </w:r>
      <w:r w:rsidR="00B205F0" w:rsidRPr="007719B7">
        <w:t xml:space="preserve">affect </w:t>
      </w:r>
      <w:r w:rsidR="00B50185">
        <w:t>Police’s assessment of</w:t>
      </w:r>
      <w:r w:rsidR="00B545E3" w:rsidRPr="007719B7">
        <w:t xml:space="preserve"> </w:t>
      </w:r>
      <w:r w:rsidR="00E5244D" w:rsidRPr="007719B7">
        <w:t>any application</w:t>
      </w:r>
      <w:r w:rsidR="00AD48BB" w:rsidRPr="007719B7">
        <w:t xml:space="preserve"> by the offender for a firearms licen</w:t>
      </w:r>
      <w:r w:rsidR="00E517D6">
        <w:t>c</w:t>
      </w:r>
      <w:r w:rsidR="00AD48BB" w:rsidRPr="007719B7">
        <w:t>e</w:t>
      </w:r>
      <w:r w:rsidR="00785EEC" w:rsidRPr="007719B7">
        <w:t>.</w:t>
      </w:r>
    </w:p>
    <w:p w14:paraId="04F41AD7" w14:textId="101E04E1" w:rsidR="00931861" w:rsidRPr="007719B7" w:rsidRDefault="00282402" w:rsidP="00931861">
      <w:pPr>
        <w:pStyle w:val="BodyTextalphalist"/>
      </w:pPr>
      <w:r w:rsidRPr="007719B7">
        <w:t xml:space="preserve">It </w:t>
      </w:r>
      <w:r w:rsidR="00323DD1" w:rsidRPr="007719B7">
        <w:t xml:space="preserve">would assist Corrections to ensure the safety of staff and other prisoners, </w:t>
      </w:r>
      <w:r w:rsidR="001C54B1" w:rsidRPr="007719B7">
        <w:t>assess the offender</w:t>
      </w:r>
      <w:r w:rsidR="00931861" w:rsidRPr="007719B7">
        <w:t>’</w:t>
      </w:r>
      <w:r w:rsidR="001C54B1" w:rsidRPr="007719B7">
        <w:t xml:space="preserve">s rehabilitative needs and </w:t>
      </w:r>
      <w:r w:rsidR="00F152C3" w:rsidRPr="007719B7">
        <w:t xml:space="preserve">provide </w:t>
      </w:r>
      <w:r w:rsidR="00E961FA" w:rsidRPr="007719B7">
        <w:t>information</w:t>
      </w:r>
      <w:r w:rsidR="00F152C3" w:rsidRPr="007719B7">
        <w:t xml:space="preserve"> </w:t>
      </w:r>
      <w:r w:rsidR="00387C8D" w:rsidRPr="007719B7">
        <w:t xml:space="preserve">to </w:t>
      </w:r>
      <w:r w:rsidR="00931861" w:rsidRPr="007719B7">
        <w:t>the Parole Board to support decisions about parole.</w:t>
      </w:r>
      <w:r w:rsidR="00D35502">
        <w:t xml:space="preserve"> </w:t>
      </w:r>
    </w:p>
    <w:p w14:paraId="3E6A6850" w14:textId="19523C90" w:rsidR="00F92C68" w:rsidRPr="007719B7" w:rsidRDefault="00886687">
      <w:pPr>
        <w:pStyle w:val="BodyTextalphalist"/>
        <w:numPr>
          <w:ilvl w:val="1"/>
          <w:numId w:val="31"/>
        </w:numPr>
        <w:spacing w:after="120"/>
        <w:ind w:hanging="709"/>
      </w:pPr>
      <w:r w:rsidRPr="007719B7">
        <w:t>In</w:t>
      </w:r>
      <w:r w:rsidR="00E51370" w:rsidRPr="007719B7">
        <w:t xml:space="preserve"> Chapter </w:t>
      </w:r>
      <w:r w:rsidR="004C2933">
        <w:t>6</w:t>
      </w:r>
      <w:r w:rsidRPr="007719B7">
        <w:t xml:space="preserve">, we </w:t>
      </w:r>
      <w:r w:rsidR="00350E8F">
        <w:t>discuss</w:t>
      </w:r>
      <w:r w:rsidRPr="007719B7">
        <w:t xml:space="preserve"> in more detail</w:t>
      </w:r>
      <w:r w:rsidR="00F92C68" w:rsidRPr="007719B7">
        <w:t xml:space="preserve"> how having access to accurate court records </w:t>
      </w:r>
      <w:r w:rsidRPr="007719B7">
        <w:t xml:space="preserve">about </w:t>
      </w:r>
      <w:r w:rsidR="00700D23" w:rsidRPr="007719B7">
        <w:t>hostility</w:t>
      </w:r>
      <w:r w:rsidRPr="007719B7">
        <w:t xml:space="preserve">-motivated offending </w:t>
      </w:r>
      <w:r w:rsidR="00F92C68" w:rsidRPr="007719B7">
        <w:t xml:space="preserve">would support </w:t>
      </w:r>
      <w:r w:rsidR="00134942" w:rsidRPr="007719B7">
        <w:t>the functions of Police and Corrections</w:t>
      </w:r>
      <w:r w:rsidR="00F92C68" w:rsidRPr="007719B7">
        <w:t xml:space="preserve">. </w:t>
      </w:r>
    </w:p>
    <w:p w14:paraId="3B2AE41D" w14:textId="470FC133" w:rsidR="001E183A" w:rsidRDefault="001E183A">
      <w:pPr>
        <w:pStyle w:val="BodyTextalphalist"/>
        <w:numPr>
          <w:ilvl w:val="1"/>
          <w:numId w:val="31"/>
        </w:numPr>
        <w:spacing w:after="120"/>
        <w:ind w:hanging="709"/>
      </w:pPr>
      <w:r w:rsidRPr="007719B7">
        <w:t>Currently, there is no systematic way to ensure</w:t>
      </w:r>
      <w:r w:rsidR="00D55929" w:rsidRPr="007719B7">
        <w:t xml:space="preserve"> relevant</w:t>
      </w:r>
      <w:r w:rsidR="00F22B2E" w:rsidRPr="007719B7">
        <w:t xml:space="preserve"> justice system actors are aware tha</w:t>
      </w:r>
      <w:r w:rsidR="00A2095E">
        <w:t>t</w:t>
      </w:r>
      <w:r w:rsidR="00F22B2E" w:rsidRPr="007719B7">
        <w:t xml:space="preserve"> </w:t>
      </w:r>
      <w:r w:rsidR="000A17B5">
        <w:t>a person’s offending</w:t>
      </w:r>
      <w:r w:rsidR="00F22B2E" w:rsidRPr="007719B7">
        <w:t xml:space="preserve"> was found to be </w:t>
      </w:r>
      <w:r w:rsidR="00A2095E">
        <w:t xml:space="preserve">motivated by </w:t>
      </w:r>
      <w:r w:rsidR="00F22B2E" w:rsidRPr="007719B7">
        <w:t xml:space="preserve">hostility. While the sentencing notes for an offence are reviewed by </w:t>
      </w:r>
      <w:r w:rsidR="00210B78" w:rsidRPr="007719B7">
        <w:t xml:space="preserve">Police, prosecutors and Corrections in some cases, </w:t>
      </w:r>
      <w:r w:rsidR="009C067B" w:rsidRPr="007719B7">
        <w:t>that does not occur consistently.</w:t>
      </w:r>
      <w:r w:rsidR="00A73523" w:rsidRPr="00A73523">
        <w:t xml:space="preserve"> As discuss</w:t>
      </w:r>
      <w:r w:rsidR="000352C7">
        <w:t>ed earlier</w:t>
      </w:r>
      <w:r w:rsidR="00A73523" w:rsidRPr="00A73523">
        <w:t xml:space="preserve">, there </w:t>
      </w:r>
      <w:r w:rsidR="00A73523">
        <w:t>is also</w:t>
      </w:r>
      <w:r w:rsidR="00A73523" w:rsidRPr="00A73523">
        <w:t xml:space="preserve"> a small number </w:t>
      </w:r>
      <w:r w:rsidR="0054214D">
        <w:t xml:space="preserve">of </w:t>
      </w:r>
      <w:r w:rsidR="00A73523" w:rsidRPr="00A73523">
        <w:t xml:space="preserve">cases </w:t>
      </w:r>
      <w:r w:rsidR="00A73523">
        <w:t>in which</w:t>
      </w:r>
      <w:r w:rsidR="00A73523" w:rsidRPr="00A73523">
        <w:t xml:space="preserve"> the application of the hostility aggravating factor is not clear from the sentencing notes.</w:t>
      </w:r>
    </w:p>
    <w:p w14:paraId="4BE9D690" w14:textId="7039304E" w:rsidR="00DE22DA" w:rsidRPr="007719B7" w:rsidRDefault="00DE22DA" w:rsidP="00DE22DA">
      <w:pPr>
        <w:pStyle w:val="Heading5"/>
      </w:pPr>
      <w:r>
        <w:t>Assessing the justice system’s response to hate crime</w:t>
      </w:r>
    </w:p>
    <w:p w14:paraId="20656720" w14:textId="7284720F" w:rsidR="00666994" w:rsidRDefault="00DE22DA" w:rsidP="009A5BE7">
      <w:pPr>
        <w:pStyle w:val="BodyText"/>
        <w:numPr>
          <w:ilvl w:val="1"/>
          <w:numId w:val="31"/>
        </w:numPr>
        <w:spacing w:after="120"/>
        <w:ind w:hanging="709"/>
      </w:pPr>
      <w:r>
        <w:t>The</w:t>
      </w:r>
      <w:r w:rsidR="00F92C68" w:rsidRPr="007719B7">
        <w:t xml:space="preserve"> </w:t>
      </w:r>
      <w:r w:rsidR="00B1551B" w:rsidRPr="007719B7">
        <w:t xml:space="preserve">absence of readily available information </w:t>
      </w:r>
      <w:r w:rsidR="00F92C68" w:rsidRPr="007719B7">
        <w:t xml:space="preserve">about hate crime cases in the courts </w:t>
      </w:r>
      <w:r>
        <w:t xml:space="preserve">also </w:t>
      </w:r>
      <w:r w:rsidR="00F92C68" w:rsidRPr="007719B7">
        <w:t>makes it difficult to assess how the justice system is responding to hate crime and at what point</w:t>
      </w:r>
      <w:r w:rsidR="00844F17" w:rsidRPr="007719B7">
        <w:t>s</w:t>
      </w:r>
      <w:r w:rsidR="00F92C68" w:rsidRPr="007719B7">
        <w:t xml:space="preserve"> in the process any problems are occurring. We have attempted to assess </w:t>
      </w:r>
      <w:r w:rsidR="005368F1">
        <w:t>the justice system’s response</w:t>
      </w:r>
      <w:r w:rsidR="00F92C68" w:rsidRPr="007719B7">
        <w:t xml:space="preserve"> </w:t>
      </w:r>
      <w:r w:rsidR="00A144AF" w:rsidRPr="007719B7">
        <w:t xml:space="preserve">based on the sentencing decisions we have been able to locate </w:t>
      </w:r>
      <w:r w:rsidR="00F92C68" w:rsidRPr="007719B7">
        <w:t xml:space="preserve">and anecdotal evidence, but the picture provided is incomplete. </w:t>
      </w:r>
      <w:r w:rsidR="00CE102E">
        <w:t>The difficulties are</w:t>
      </w:r>
      <w:r w:rsidR="00583424">
        <w:t xml:space="preserve"> compounded by the fact that most District Court sentencing decisions are not published</w:t>
      </w:r>
      <w:r w:rsidR="009B40DE">
        <w:t xml:space="preserve"> </w:t>
      </w:r>
      <w:r w:rsidR="00946204">
        <w:t>so cannot be identified through online keyword searches.</w:t>
      </w:r>
      <w:r w:rsidR="00583424">
        <w:t xml:space="preserve"> </w:t>
      </w:r>
      <w:r w:rsidR="00F92C68" w:rsidRPr="007719B7">
        <w:t xml:space="preserve">This </w:t>
      </w:r>
      <w:r w:rsidR="004754AB">
        <w:t>limits</w:t>
      </w:r>
      <w:r w:rsidR="00F92C68" w:rsidRPr="007719B7">
        <w:t xml:space="preserve"> </w:t>
      </w:r>
      <w:r w:rsidR="00AB6707" w:rsidRPr="007719B7">
        <w:t xml:space="preserve">our </w:t>
      </w:r>
      <w:r w:rsidR="004754AB">
        <w:t>ability to</w:t>
      </w:r>
      <w:r w:rsidR="00AB6707" w:rsidRPr="007719B7">
        <w:t xml:space="preserve"> assess</w:t>
      </w:r>
      <w:r w:rsidR="00D65153">
        <w:t xml:space="preserve"> </w:t>
      </w:r>
      <w:r w:rsidR="00CF75B4">
        <w:t>the extent to which</w:t>
      </w:r>
      <w:r w:rsidR="00AB6707" w:rsidRPr="007719B7">
        <w:t xml:space="preserve"> </w:t>
      </w:r>
      <w:r w:rsidR="006513AC" w:rsidRPr="009A60BE">
        <w:t xml:space="preserve">there are problems with how </w:t>
      </w:r>
      <w:r w:rsidR="006513AC">
        <w:t>hostile motivation is addressed in Police investigations and court proceedings</w:t>
      </w:r>
      <w:r w:rsidR="006513AC" w:rsidRPr="009A60BE">
        <w:t>.</w:t>
      </w:r>
    </w:p>
    <w:p w14:paraId="78F6BBD1" w14:textId="6ACD0285" w:rsidR="00666994" w:rsidRDefault="00666994" w:rsidP="006F6A59">
      <w:pPr>
        <w:pStyle w:val="BodyText"/>
        <w:numPr>
          <w:ilvl w:val="1"/>
          <w:numId w:val="31"/>
        </w:numPr>
        <w:ind w:hanging="709"/>
      </w:pPr>
      <w:r w:rsidRPr="009A60BE">
        <w:t>We do not know, for example, how often the hostility aggravating factor is considered or applied by the courts at sentencing in cases identified by Police as potential hate crimes</w:t>
      </w:r>
      <w:r>
        <w:t>. Where</w:t>
      </w:r>
      <w:r w:rsidDel="003010F8">
        <w:t xml:space="preserve"> </w:t>
      </w:r>
      <w:r w:rsidR="003010F8">
        <w:t xml:space="preserve">the aggravating factor </w:t>
      </w:r>
      <w:r>
        <w:t xml:space="preserve">is not considered and applied, </w:t>
      </w:r>
      <w:r w:rsidRPr="009A60BE">
        <w:t xml:space="preserve">we do not know </w:t>
      </w:r>
      <w:r>
        <w:t>if that reflects a problem</w:t>
      </w:r>
      <w:r w:rsidRPr="009A60BE">
        <w:t xml:space="preserve"> </w:t>
      </w:r>
      <w:r>
        <w:t>either</w:t>
      </w:r>
      <w:r w:rsidRPr="009A60BE">
        <w:t xml:space="preserve"> in </w:t>
      </w:r>
      <w:r>
        <w:t>the way offences are being investigated or in the way they are prosecuted</w:t>
      </w:r>
      <w:r w:rsidRPr="009A60BE">
        <w:t xml:space="preserve">. </w:t>
      </w:r>
      <w:r>
        <w:t>For example</w:t>
      </w:r>
      <w:r w:rsidRPr="009A60BE">
        <w:t>, we</w:t>
      </w:r>
      <w:r>
        <w:t xml:space="preserve"> do not know</w:t>
      </w:r>
      <w:r w:rsidRPr="009A60BE">
        <w:t xml:space="preserve"> </w:t>
      </w:r>
      <w:r>
        <w:t xml:space="preserve">whether </w:t>
      </w:r>
      <w:r w:rsidRPr="009A60BE">
        <w:t>investigating</w:t>
      </w:r>
      <w:r>
        <w:t xml:space="preserve"> police</w:t>
      </w:r>
      <w:r w:rsidRPr="009A60BE">
        <w:t xml:space="preserve"> officers </w:t>
      </w:r>
      <w:r>
        <w:t>are consistently</w:t>
      </w:r>
      <w:r w:rsidRPr="009A60BE">
        <w:t xml:space="preserve"> provid</w:t>
      </w:r>
      <w:r>
        <w:t>ing</w:t>
      </w:r>
      <w:r w:rsidRPr="009A60BE">
        <w:t xml:space="preserve"> relevant information to the prosecutor, </w:t>
      </w:r>
      <w:r>
        <w:t xml:space="preserve">whether </w:t>
      </w:r>
      <w:r w:rsidRPr="009A60BE">
        <w:t xml:space="preserve">prosecutors </w:t>
      </w:r>
      <w:r>
        <w:t xml:space="preserve">are consistently </w:t>
      </w:r>
      <w:r w:rsidRPr="009A60BE">
        <w:t>rais</w:t>
      </w:r>
      <w:r>
        <w:t>ing</w:t>
      </w:r>
      <w:r w:rsidRPr="009A60BE">
        <w:t xml:space="preserve"> the aggravating factor with the court</w:t>
      </w:r>
      <w:r>
        <w:t>s where appropriate</w:t>
      </w:r>
      <w:r w:rsidRPr="009A60BE">
        <w:t xml:space="preserve"> or</w:t>
      </w:r>
      <w:r w:rsidR="00AE5291">
        <w:t>, as discussed above,</w:t>
      </w:r>
      <w:r w:rsidRPr="009A60BE">
        <w:t xml:space="preserve"> </w:t>
      </w:r>
      <w:r>
        <w:t xml:space="preserve">whether allegations of hostile motivation are being consistently </w:t>
      </w:r>
      <w:r w:rsidRPr="009A60BE">
        <w:t>addressed by judge</w:t>
      </w:r>
      <w:r>
        <w:t>s</w:t>
      </w:r>
      <w:r w:rsidRPr="009A60BE">
        <w:t xml:space="preserve">. </w:t>
      </w:r>
    </w:p>
    <w:p w14:paraId="1330A25A" w14:textId="76E9CD73" w:rsidR="00F92C68" w:rsidRDefault="00DF1E79" w:rsidP="006F6A59">
      <w:pPr>
        <w:pStyle w:val="BodyText"/>
        <w:numPr>
          <w:ilvl w:val="1"/>
          <w:numId w:val="31"/>
        </w:numPr>
        <w:ind w:hanging="709"/>
      </w:pPr>
      <w:r>
        <w:t xml:space="preserve">These </w:t>
      </w:r>
      <w:r w:rsidRPr="006F6A59">
        <w:rPr>
          <w:rFonts w:eastAsia="Calibri" w:cs="Cordia New"/>
          <w:color w:val="auto"/>
          <w:szCs w:val="22"/>
          <w:lang w:eastAsia="en-US"/>
        </w:rPr>
        <w:t>information</w:t>
      </w:r>
      <w:r>
        <w:t xml:space="preserve"> gaps present </w:t>
      </w:r>
      <w:r w:rsidR="009F5150" w:rsidRPr="007719B7">
        <w:t xml:space="preserve">challenges </w:t>
      </w:r>
      <w:r w:rsidR="003D0EE4">
        <w:t>when seeking to develop</w:t>
      </w:r>
      <w:r w:rsidR="00F92C68" w:rsidRPr="007719B7">
        <w:t xml:space="preserve"> appropriate policies to improve the response to hate crime</w:t>
      </w:r>
      <w:r w:rsidR="009F5150" w:rsidRPr="007719B7">
        <w:t xml:space="preserve">, </w:t>
      </w:r>
      <w:r w:rsidR="00F92C68" w:rsidRPr="007719B7">
        <w:t>both in law reform and operational settings</w:t>
      </w:r>
      <w:r w:rsidR="002841F2" w:rsidRPr="007719B7">
        <w:t xml:space="preserve">, and </w:t>
      </w:r>
      <w:r w:rsidR="007618FC">
        <w:t xml:space="preserve">to </w:t>
      </w:r>
      <w:r w:rsidR="002841F2" w:rsidRPr="007719B7">
        <w:t>gain support for their implementation</w:t>
      </w:r>
      <w:r w:rsidR="00F92C68" w:rsidRPr="007719B7">
        <w:t xml:space="preserve">. </w:t>
      </w:r>
      <w:r w:rsidR="002841F2" w:rsidRPr="007719B7">
        <w:t>The</w:t>
      </w:r>
      <w:r w:rsidR="000E10A4" w:rsidRPr="007719B7">
        <w:t xml:space="preserve"> </w:t>
      </w:r>
      <w:r w:rsidR="00EC26E8">
        <w:t>G</w:t>
      </w:r>
      <w:r w:rsidR="000E10A4" w:rsidRPr="007719B7">
        <w:t xml:space="preserve">overnment </w:t>
      </w:r>
      <w:r w:rsidR="009B6F50" w:rsidRPr="007719B7">
        <w:t>may</w:t>
      </w:r>
      <w:r w:rsidR="000E10A4" w:rsidRPr="007719B7">
        <w:t xml:space="preserve"> </w:t>
      </w:r>
      <w:r w:rsidR="009B6F50" w:rsidRPr="007719B7">
        <w:t>be</w:t>
      </w:r>
      <w:r w:rsidR="000E10A4" w:rsidRPr="007719B7">
        <w:t xml:space="preserve"> less likely to allocate resources to address hate crime and the prejudice </w:t>
      </w:r>
      <w:r w:rsidR="00417015">
        <w:t>underlying</w:t>
      </w:r>
      <w:r w:rsidR="000E10A4" w:rsidRPr="007719B7">
        <w:t xml:space="preserve"> it if the nature and scale of the problem is </w:t>
      </w:r>
      <w:r w:rsidR="00417015">
        <w:t>unclear</w:t>
      </w:r>
      <w:r w:rsidR="000E10A4" w:rsidRPr="007719B7">
        <w:t xml:space="preserve">. </w:t>
      </w:r>
    </w:p>
    <w:p w14:paraId="27BCBDF3" w14:textId="60AE3657" w:rsidR="00B7578B" w:rsidRPr="007719B7" w:rsidRDefault="004E7A62" w:rsidP="00B7578B">
      <w:pPr>
        <w:pStyle w:val="Heading5"/>
      </w:pPr>
      <w:r>
        <w:t>Visibility of hate crime and the justice system’s response to it</w:t>
      </w:r>
    </w:p>
    <w:p w14:paraId="4BD10FA4" w14:textId="7C85AAAC" w:rsidR="00F92C68" w:rsidRPr="007719B7" w:rsidRDefault="004E7A62" w:rsidP="00F92C68">
      <w:pPr>
        <w:pStyle w:val="BodyText"/>
        <w:numPr>
          <w:ilvl w:val="1"/>
          <w:numId w:val="31"/>
        </w:numPr>
        <w:ind w:hanging="709"/>
      </w:pPr>
      <w:r>
        <w:t>Finally</w:t>
      </w:r>
      <w:r w:rsidR="00F92C68" w:rsidRPr="007719B7">
        <w:t xml:space="preserve">, the </w:t>
      </w:r>
      <w:r w:rsidR="00DC7554" w:rsidRPr="007719B7">
        <w:t>lack</w:t>
      </w:r>
      <w:r w:rsidR="00F92C68" w:rsidRPr="007719B7">
        <w:t xml:space="preserve"> of </w:t>
      </w:r>
      <w:r w:rsidR="00D075BC" w:rsidRPr="007719B7">
        <w:t xml:space="preserve">publicly available </w:t>
      </w:r>
      <w:r w:rsidR="00F92C68" w:rsidRPr="007719B7">
        <w:t>data about hate crime cases makes hate crime less visible</w:t>
      </w:r>
      <w:r w:rsidR="002A6DD9">
        <w:t>, with the following results</w:t>
      </w:r>
      <w:r w:rsidR="006A1094">
        <w:t>:</w:t>
      </w:r>
    </w:p>
    <w:p w14:paraId="16603771" w14:textId="01B6DEB3" w:rsidR="00F92C68" w:rsidRPr="007719B7" w:rsidRDefault="00F92C68" w:rsidP="00F92C68">
      <w:pPr>
        <w:pStyle w:val="BodyTextalphalist"/>
      </w:pPr>
      <w:r w:rsidRPr="007719B7">
        <w:t>Affected communities do not know how hostility toward</w:t>
      </w:r>
      <w:r w:rsidR="00E80DA7">
        <w:t>s</w:t>
      </w:r>
      <w:r w:rsidRPr="007719B7">
        <w:t xml:space="preserve"> them is being addressed. Publishing data on hate crime cases (when combined with other measures to improve the consistency of the justice system’s response to hate crime) may provide a measure of assurance that offenders are being prosecuted and their hostility denounced in appropriate cases. </w:t>
      </w:r>
      <w:r w:rsidR="005A1251">
        <w:t>This</w:t>
      </w:r>
      <w:r w:rsidRPr="007719B7">
        <w:t xml:space="preserve"> may also encourage people to report hate crimes to Police.</w:t>
      </w:r>
    </w:p>
    <w:p w14:paraId="043BAD44" w14:textId="7CFEE994" w:rsidR="00F92C68" w:rsidRDefault="00F92C68" w:rsidP="00F92C68">
      <w:pPr>
        <w:pStyle w:val="BodyTextalphalist"/>
      </w:pPr>
      <w:r w:rsidRPr="007719B7">
        <w:t>The public does not know how often hate crimes are occurring or what groups are being targeted. More information about confirmed cases may promote public dialogue and support for government action.</w:t>
      </w:r>
    </w:p>
    <w:p w14:paraId="75BEFA3E" w14:textId="57830D32" w:rsidR="00037B63" w:rsidRPr="007719B7" w:rsidRDefault="004506F4" w:rsidP="00037B63">
      <w:pPr>
        <w:pStyle w:val="Heading5"/>
      </w:pPr>
      <w:r>
        <w:t>Relevance to</w:t>
      </w:r>
      <w:r w:rsidR="00113B49">
        <w:t xml:space="preserve"> the objectives of hate crime law</w:t>
      </w:r>
    </w:p>
    <w:p w14:paraId="77540D18" w14:textId="386B6248" w:rsidR="000C49AD" w:rsidRPr="007719B7" w:rsidRDefault="002B3949" w:rsidP="000C49AD">
      <w:pPr>
        <w:pStyle w:val="BodyText"/>
        <w:numPr>
          <w:ilvl w:val="1"/>
          <w:numId w:val="31"/>
        </w:numPr>
        <w:spacing w:after="120"/>
        <w:ind w:hanging="709"/>
      </w:pPr>
      <w:r w:rsidRPr="007719B7">
        <w:t>T</w:t>
      </w:r>
      <w:r w:rsidR="008D4B4B" w:rsidRPr="007719B7">
        <w:t xml:space="preserve">he </w:t>
      </w:r>
      <w:r w:rsidR="008D4865" w:rsidRPr="007719B7">
        <w:t>absence</w:t>
      </w:r>
      <w:r w:rsidR="008D4B4B" w:rsidRPr="007719B7">
        <w:t xml:space="preserve"> of </w:t>
      </w:r>
      <w:r w:rsidR="00157D05">
        <w:t xml:space="preserve">a </w:t>
      </w:r>
      <w:r w:rsidR="001643EE" w:rsidRPr="007719B7">
        <w:t xml:space="preserve">systematic </w:t>
      </w:r>
      <w:r w:rsidR="00157D05">
        <w:t>and accessible</w:t>
      </w:r>
      <w:r w:rsidR="001643EE" w:rsidRPr="007719B7">
        <w:t xml:space="preserve"> record of information</w:t>
      </w:r>
      <w:r w:rsidR="008D4B4B" w:rsidRPr="007719B7">
        <w:t xml:space="preserve"> about </w:t>
      </w:r>
      <w:r w:rsidR="008057CB" w:rsidRPr="007719B7">
        <w:t xml:space="preserve">hate crime cases in the courts </w:t>
      </w:r>
      <w:r w:rsidR="00EF36C5">
        <w:t>impacts</w:t>
      </w:r>
      <w:r w:rsidR="009C7B99">
        <w:t xml:space="preserve"> the ability of current law</w:t>
      </w:r>
      <w:r w:rsidR="005D4DD9">
        <w:t xml:space="preserve"> and practice</w:t>
      </w:r>
      <w:r w:rsidR="009C7B99">
        <w:t xml:space="preserve"> to meet the objectives</w:t>
      </w:r>
      <w:r w:rsidR="00DA3557" w:rsidRPr="007719B7">
        <w:t xml:space="preserve"> of hate crime law </w:t>
      </w:r>
      <w:r w:rsidR="003B156F">
        <w:t>set out</w:t>
      </w:r>
      <w:r w:rsidR="009C7B99">
        <w:t xml:space="preserve"> in Chapter 3</w:t>
      </w:r>
      <w:r w:rsidR="00B83F63" w:rsidRPr="007719B7">
        <w:t xml:space="preserve">. </w:t>
      </w:r>
      <w:r w:rsidR="000C49AD" w:rsidRPr="007719B7">
        <w:t xml:space="preserve">There is a risk that offenders will not always be held fully accountable — for example, if previous hostility-motivated offending is not identified </w:t>
      </w:r>
      <w:r w:rsidR="00346558">
        <w:t xml:space="preserve">and taken into account </w:t>
      </w:r>
      <w:r w:rsidR="000C49AD" w:rsidRPr="007719B7">
        <w:t xml:space="preserve">when they are sentenced. Opportunities to reduce occurrences of hate crime may also be missed if information about hostile motivation is not available to Corrections when assessing an offender’s rehabilitative needs or to Police when deciding whether to charge </w:t>
      </w:r>
      <w:r w:rsidR="009E317C" w:rsidRPr="007719B7">
        <w:t>them</w:t>
      </w:r>
      <w:r w:rsidR="000C49AD" w:rsidRPr="007719B7">
        <w:t xml:space="preserve"> for later offending.</w:t>
      </w:r>
      <w:r w:rsidR="00947629" w:rsidRPr="007719B7">
        <w:t xml:space="preserve"> Lack of </w:t>
      </w:r>
      <w:r w:rsidR="00DC2688" w:rsidRPr="007719B7">
        <w:t>publicly</w:t>
      </w:r>
      <w:r w:rsidR="001F6FD8">
        <w:t xml:space="preserve"> </w:t>
      </w:r>
      <w:r w:rsidR="00DC2688" w:rsidRPr="007719B7">
        <w:t>available</w:t>
      </w:r>
      <w:r w:rsidR="00947629" w:rsidRPr="007719B7">
        <w:t xml:space="preserve"> data about hate crime</w:t>
      </w:r>
      <w:r w:rsidR="00B60FF4" w:rsidRPr="007719B7">
        <w:t xml:space="preserve"> cases</w:t>
      </w:r>
      <w:r w:rsidR="00947629" w:rsidRPr="007719B7">
        <w:t xml:space="preserve"> and their outcomes may undermine efforts to raise public awareness and to assure affected communities that hate crime is taken seriously.</w:t>
      </w:r>
    </w:p>
    <w:p w14:paraId="097CB793" w14:textId="789EB295" w:rsidR="0046774F" w:rsidRPr="007719B7" w:rsidRDefault="00F92C68" w:rsidP="00F92C68">
      <w:pPr>
        <w:pStyle w:val="BodyText"/>
        <w:numPr>
          <w:ilvl w:val="1"/>
          <w:numId w:val="31"/>
        </w:numPr>
        <w:spacing w:after="120"/>
        <w:ind w:hanging="709"/>
      </w:pPr>
      <w:r w:rsidRPr="007719B7">
        <w:t xml:space="preserve">For these reasons, </w:t>
      </w:r>
      <w:r w:rsidR="000A3D44" w:rsidRPr="007719B7">
        <w:t>change</w:t>
      </w:r>
      <w:r w:rsidRPr="007719B7">
        <w:t xml:space="preserve"> is required to ensure the courts </w:t>
      </w:r>
      <w:r w:rsidR="00CE7E6D" w:rsidRPr="007719B7">
        <w:t xml:space="preserve">systematically </w:t>
      </w:r>
      <w:r w:rsidRPr="007719B7">
        <w:t>record information about hate crimes cases</w:t>
      </w:r>
      <w:r w:rsidR="00586B1E" w:rsidRPr="007719B7">
        <w:t xml:space="preserve"> in a w</w:t>
      </w:r>
      <w:r w:rsidR="00113A87" w:rsidRPr="007719B7">
        <w:t>ay that is</w:t>
      </w:r>
      <w:r w:rsidR="0081571C" w:rsidRPr="007719B7">
        <w:t xml:space="preserve"> readily available for use in later cases and can be used for data purposes</w:t>
      </w:r>
      <w:r w:rsidRPr="007719B7">
        <w:t xml:space="preserve">. </w:t>
      </w:r>
      <w:r w:rsidR="009C0A84" w:rsidRPr="007719B7">
        <w:t xml:space="preserve">We consider this is a </w:t>
      </w:r>
      <w:r w:rsidR="00672345" w:rsidRPr="007719B7">
        <w:t>legal issue within the scope of</w:t>
      </w:r>
      <w:r w:rsidR="009C0A84" w:rsidRPr="007719B7">
        <w:t xml:space="preserve"> this review. </w:t>
      </w:r>
      <w:r w:rsidR="00A015C2" w:rsidRPr="00A015C2">
        <w:t>As we discuss in Chapter</w:t>
      </w:r>
      <w:r w:rsidR="0034767B">
        <w:t>s</w:t>
      </w:r>
      <w:r w:rsidR="00A015C2" w:rsidRPr="00A015C2">
        <w:t xml:space="preserve"> 5</w:t>
      </w:r>
      <w:r w:rsidR="0034767B">
        <w:t xml:space="preserve"> and 6</w:t>
      </w:r>
      <w:r w:rsidR="00A015C2" w:rsidRPr="00A015C2">
        <w:t xml:space="preserve">, law reform </w:t>
      </w:r>
      <w:r w:rsidR="000A5A66">
        <w:t>c</w:t>
      </w:r>
      <w:r w:rsidR="00A015C2" w:rsidRPr="00A015C2">
        <w:t>ould affect how hate crime cases are recorded.</w:t>
      </w:r>
    </w:p>
    <w:p w14:paraId="7DAE3172" w14:textId="3AC7336D" w:rsidR="00D75D28" w:rsidRPr="008F3763" w:rsidRDefault="001E53E6" w:rsidP="008F3763">
      <w:pPr>
        <w:pStyle w:val="Heading3"/>
        <w:rPr>
          <w:rStyle w:val="Heading3Char"/>
          <w:b/>
        </w:rPr>
      </w:pPr>
      <w:r>
        <w:rPr>
          <w:rStyle w:val="Heading3Char"/>
          <w:b/>
        </w:rPr>
        <w:t>Investigating hate crime</w:t>
      </w:r>
    </w:p>
    <w:p w14:paraId="63DB3BC8" w14:textId="73AE382E" w:rsidR="00083610" w:rsidRPr="00083610" w:rsidRDefault="00083610" w:rsidP="00D75D28">
      <w:pPr>
        <w:pStyle w:val="Heading4"/>
      </w:pPr>
      <w:r>
        <w:t>Consultation</w:t>
      </w:r>
    </w:p>
    <w:p w14:paraId="7B798F39" w14:textId="1CBF8C0B" w:rsidR="00D75D28" w:rsidRDefault="002C24B1" w:rsidP="002147DD">
      <w:pPr>
        <w:pStyle w:val="BodyText"/>
        <w:numPr>
          <w:ilvl w:val="1"/>
          <w:numId w:val="31"/>
        </w:numPr>
        <w:spacing w:after="120"/>
        <w:ind w:hanging="709"/>
      </w:pPr>
      <w:r>
        <w:t>In our Consultation Paper, w</w:t>
      </w:r>
      <w:r w:rsidRPr="00482D4D">
        <w:t xml:space="preserve">e </w:t>
      </w:r>
      <w:r>
        <w:t>sought</w:t>
      </w:r>
      <w:r w:rsidRPr="00482D4D">
        <w:t xml:space="preserve"> feedback on whether </w:t>
      </w:r>
      <w:r>
        <w:t>hostile</w:t>
      </w:r>
      <w:r w:rsidRPr="00482D4D">
        <w:t xml:space="preserve"> motivation is being addressed consistently in the investigation of relevant offences</w:t>
      </w:r>
      <w:r w:rsidR="00C61BD7">
        <w:t xml:space="preserve"> by Police</w:t>
      </w:r>
      <w:r w:rsidRPr="00482D4D">
        <w:t>.</w:t>
      </w:r>
      <w:r>
        <w:rPr>
          <w:rStyle w:val="FootnoteReference"/>
        </w:rPr>
        <w:footnoteReference w:id="277"/>
      </w:r>
      <w:r>
        <w:t xml:space="preserve"> </w:t>
      </w:r>
      <w:r w:rsidR="0064073D">
        <w:t xml:space="preserve">We noted it may be too early to assess </w:t>
      </w:r>
      <w:r w:rsidR="00805693" w:rsidRPr="00805693">
        <w:t>the impact of recent changes within Police</w:t>
      </w:r>
      <w:r w:rsidR="00805693">
        <w:t xml:space="preserve"> since the Royal Commission’s report.</w:t>
      </w:r>
      <w:r w:rsidR="00991A9A">
        <w:t xml:space="preserve"> However, we sought</w:t>
      </w:r>
      <w:r w:rsidR="00991A9A" w:rsidRPr="00991A9A">
        <w:t xml:space="preserve"> feedback on whether </w:t>
      </w:r>
      <w:r w:rsidR="00991A9A">
        <w:t>those changes were</w:t>
      </w:r>
      <w:r w:rsidR="00991A9A" w:rsidRPr="00991A9A">
        <w:t xml:space="preserve"> likely to improve the consistency with which </w:t>
      </w:r>
      <w:r w:rsidR="00991A9A">
        <w:t>hostile</w:t>
      </w:r>
      <w:r w:rsidR="00991A9A" w:rsidRPr="00991A9A">
        <w:t xml:space="preserve"> motivation is investigated by Police</w:t>
      </w:r>
      <w:r w:rsidR="00991A9A">
        <w:t>.</w:t>
      </w:r>
    </w:p>
    <w:p w14:paraId="55909852" w14:textId="34D79254" w:rsidR="002147DD" w:rsidRDefault="002147DD" w:rsidP="002147DD">
      <w:pPr>
        <w:pStyle w:val="BodyText"/>
        <w:numPr>
          <w:ilvl w:val="1"/>
          <w:numId w:val="31"/>
        </w:numPr>
        <w:spacing w:after="120"/>
        <w:ind w:hanging="709"/>
      </w:pPr>
      <w:r w:rsidRPr="009A60BE">
        <w:t xml:space="preserve">Six submitters </w:t>
      </w:r>
      <w:r w:rsidR="00192BF3">
        <w:t>said</w:t>
      </w:r>
      <w:r w:rsidRPr="009A60BE">
        <w:t xml:space="preserve"> Police do not always treat reports of hate crimes seriously or investigate them adequately,</w:t>
      </w:r>
      <w:r w:rsidRPr="009A60BE">
        <w:rPr>
          <w:rStyle w:val="FootnoteReference"/>
        </w:rPr>
        <w:footnoteReference w:id="278"/>
      </w:r>
      <w:r w:rsidRPr="009A60BE">
        <w:t xml:space="preserve"> potentially due to a lack of understanding or training.</w:t>
      </w:r>
      <w:r w:rsidRPr="009A60BE">
        <w:rPr>
          <w:rStyle w:val="FootnoteReference"/>
        </w:rPr>
        <w:footnoteReference w:id="279"/>
      </w:r>
      <w:r w:rsidRPr="009A60BE">
        <w:t xml:space="preserve"> Organisations we spoke </w:t>
      </w:r>
      <w:r w:rsidR="00E43E2F">
        <w:t>with</w:t>
      </w:r>
      <w:r w:rsidR="00E43E2F" w:rsidRPr="009A60BE">
        <w:t xml:space="preserve"> </w:t>
      </w:r>
      <w:r w:rsidRPr="009A60BE">
        <w:t>during consultation also raised concerns about Police practice that may affect investigations</w:t>
      </w:r>
      <w:r w:rsidR="00F846B4">
        <w:t xml:space="preserve"> —</w:t>
      </w:r>
      <w:r w:rsidRPr="009A60BE">
        <w:t xml:space="preserve"> such as unconscious bias and a lack of understanding </w:t>
      </w:r>
      <w:r w:rsidR="008E1514">
        <w:t>of</w:t>
      </w:r>
      <w:r w:rsidRPr="009A60BE">
        <w:t xml:space="preserve"> hate crimes and </w:t>
      </w:r>
      <w:r w:rsidR="008E1514">
        <w:t xml:space="preserve">of </w:t>
      </w:r>
      <w:r w:rsidRPr="009A60BE">
        <w:t>issues affecting particular communities. Some suggested there is insufficient resourcing to follow up on reports</w:t>
      </w:r>
      <w:r w:rsidR="00691287">
        <w:t xml:space="preserve"> of alleged hate crimes</w:t>
      </w:r>
      <w:r w:rsidRPr="009A60BE">
        <w:t xml:space="preserve"> or</w:t>
      </w:r>
      <w:r w:rsidR="00691287">
        <w:t xml:space="preserve"> to</w:t>
      </w:r>
      <w:r w:rsidRPr="009A60BE">
        <w:t xml:space="preserve"> dedicate to community liaison roles. </w:t>
      </w:r>
    </w:p>
    <w:p w14:paraId="0EC93F8A" w14:textId="291A9CCD" w:rsidR="00083610" w:rsidRPr="009A60BE" w:rsidRDefault="00A35736" w:rsidP="007B7D86">
      <w:pPr>
        <w:pStyle w:val="Heading4"/>
      </w:pPr>
      <w:r>
        <w:t>Is there a problem with the current law?</w:t>
      </w:r>
    </w:p>
    <w:p w14:paraId="2F4925DC" w14:textId="4A1F3588" w:rsidR="00C51663" w:rsidRDefault="00C83013" w:rsidP="00FD0D42">
      <w:pPr>
        <w:pStyle w:val="BodyText"/>
        <w:numPr>
          <w:ilvl w:val="1"/>
          <w:numId w:val="31"/>
        </w:numPr>
        <w:spacing w:after="120"/>
        <w:ind w:hanging="709"/>
      </w:pPr>
      <w:r>
        <w:t xml:space="preserve">As </w:t>
      </w:r>
      <w:r w:rsidR="00F67981">
        <w:t>we explain below,</w:t>
      </w:r>
      <w:r w:rsidR="0049516E">
        <w:t xml:space="preserve"> significant work has occurred within Police </w:t>
      </w:r>
      <w:r w:rsidR="00B8724A">
        <w:t xml:space="preserve">since the Royal Commission’s report </w:t>
      </w:r>
      <w:r w:rsidR="0049516E">
        <w:t>to improve how it responds to reports of hate crime.</w:t>
      </w:r>
      <w:r w:rsidR="00B50DCB">
        <w:t xml:space="preserve"> That work is ongoing</w:t>
      </w:r>
      <w:r w:rsidR="00B33946">
        <w:t xml:space="preserve"> and it</w:t>
      </w:r>
      <w:r w:rsidR="004F2331" w:rsidRPr="00993B1A">
        <w:t xml:space="preserve"> is too early to tell whether </w:t>
      </w:r>
      <w:r w:rsidR="00186AB2">
        <w:t>it</w:t>
      </w:r>
      <w:r w:rsidR="004F2331" w:rsidRPr="00993B1A">
        <w:t xml:space="preserve"> will address </w:t>
      </w:r>
      <w:r w:rsidR="00270C3F">
        <w:t>submitters’</w:t>
      </w:r>
      <w:r w:rsidR="004F2331" w:rsidRPr="00993B1A">
        <w:t xml:space="preserve"> concerns</w:t>
      </w:r>
      <w:r w:rsidR="004F3491" w:rsidRPr="00993B1A">
        <w:t xml:space="preserve">. </w:t>
      </w:r>
      <w:r w:rsidR="004F3491">
        <w:t xml:space="preserve">Further, </w:t>
      </w:r>
      <w:r w:rsidR="00270C3F">
        <w:t>the matters</w:t>
      </w:r>
      <w:r w:rsidR="004F2331" w:rsidRPr="00993B1A">
        <w:t xml:space="preserve"> raised by submitters are primarily operational </w:t>
      </w:r>
      <w:r w:rsidR="00035B9C">
        <w:t xml:space="preserve">rather than legal </w:t>
      </w:r>
      <w:r w:rsidR="005F20FA">
        <w:t>in nature</w:t>
      </w:r>
      <w:r w:rsidR="00980F85" w:rsidRPr="00980F85">
        <w:t xml:space="preserve"> </w:t>
      </w:r>
      <w:r w:rsidR="00980F85">
        <w:t>so are not all able to be addressed within</w:t>
      </w:r>
      <w:r w:rsidR="00980F85" w:rsidDel="00980F85">
        <w:t xml:space="preserve"> </w:t>
      </w:r>
      <w:r w:rsidR="00D80240">
        <w:t>the scope of this review.</w:t>
      </w:r>
    </w:p>
    <w:p w14:paraId="4C4836C7" w14:textId="683528D7" w:rsidR="009F320C" w:rsidRPr="00C4409B" w:rsidRDefault="008F67AF" w:rsidP="002147DD">
      <w:pPr>
        <w:pStyle w:val="BodyText"/>
        <w:numPr>
          <w:ilvl w:val="1"/>
          <w:numId w:val="31"/>
        </w:numPr>
        <w:spacing w:after="120"/>
        <w:ind w:hanging="709"/>
      </w:pPr>
      <w:r w:rsidRPr="00C4409B">
        <w:t xml:space="preserve">The </w:t>
      </w:r>
      <w:r w:rsidR="009F320C" w:rsidRPr="00C4409B">
        <w:t>Royal Commission</w:t>
      </w:r>
      <w:r w:rsidRPr="00C4409B">
        <w:t xml:space="preserve"> did not </w:t>
      </w:r>
      <w:r w:rsidR="00EC3D89" w:rsidRPr="00C4409B">
        <w:t xml:space="preserve">specifically </w:t>
      </w:r>
      <w:r w:rsidR="00AC0D0D" w:rsidRPr="00C4409B">
        <w:t>state</w:t>
      </w:r>
      <w:r w:rsidR="00EC3D89" w:rsidRPr="00C4409B">
        <w:t xml:space="preserve"> that there </w:t>
      </w:r>
      <w:r w:rsidR="005317B2">
        <w:t>were problems with</w:t>
      </w:r>
      <w:r w:rsidR="00EC3D89" w:rsidRPr="00C4409B">
        <w:t xml:space="preserve"> how Police </w:t>
      </w:r>
      <w:r w:rsidR="005317B2">
        <w:t>was responding</w:t>
      </w:r>
      <w:r w:rsidR="00A35736">
        <w:t xml:space="preserve"> to </w:t>
      </w:r>
      <w:r w:rsidR="00553D09">
        <w:t xml:space="preserve">reports of </w:t>
      </w:r>
      <w:r w:rsidR="00AC0D0D" w:rsidRPr="00C4409B">
        <w:t xml:space="preserve">hate crime. However, it did suggest that </w:t>
      </w:r>
      <w:r w:rsidR="00A60636" w:rsidRPr="00C4409B">
        <w:t>creating hate crime offences was likely to</w:t>
      </w:r>
      <w:r w:rsidR="00C4409B" w:rsidRPr="00C4409B">
        <w:t xml:space="preserve"> promote</w:t>
      </w:r>
      <w:r w:rsidR="00A60636" w:rsidRPr="00C4409B">
        <w:t xml:space="preserve"> “more energetic responses on </w:t>
      </w:r>
      <w:r w:rsidR="00A35736">
        <w:t xml:space="preserve">the </w:t>
      </w:r>
      <w:r w:rsidR="00A60636" w:rsidRPr="00C4409B">
        <w:t xml:space="preserve">part of New Zealand Police </w:t>
      </w:r>
      <w:r w:rsidR="00C4409B" w:rsidRPr="00C4409B">
        <w:t>…</w:t>
      </w:r>
      <w:r w:rsidR="00A60636" w:rsidRPr="00C4409B">
        <w:t xml:space="preserve"> including an increase in prosecutions for hate crimes</w:t>
      </w:r>
      <w:r w:rsidR="00C4409B" w:rsidRPr="00C4409B">
        <w:t>”</w:t>
      </w:r>
      <w:r w:rsidR="009A05A4">
        <w:t>.</w:t>
      </w:r>
      <w:r w:rsidR="001321CF">
        <w:rPr>
          <w:rStyle w:val="FootnoteReference"/>
        </w:rPr>
        <w:footnoteReference w:id="280"/>
      </w:r>
      <w:r w:rsidR="00A50053">
        <w:t xml:space="preserve"> This </w:t>
      </w:r>
      <w:r w:rsidR="005317B2">
        <w:t>suggests</w:t>
      </w:r>
      <w:r w:rsidR="00A50053">
        <w:t xml:space="preserve"> the Royal Commission </w:t>
      </w:r>
      <w:r w:rsidR="00DE44D0">
        <w:t>may have</w:t>
      </w:r>
      <w:r w:rsidR="00A50053">
        <w:t xml:space="preserve"> thought there was room for improvement in the Police response to hate crime, consistent with the comments made by some submitters.</w:t>
      </w:r>
    </w:p>
    <w:p w14:paraId="27306645" w14:textId="4D8BE232" w:rsidR="002147DD" w:rsidRPr="009A60BE" w:rsidRDefault="00921ED0" w:rsidP="002147DD">
      <w:pPr>
        <w:pStyle w:val="BodyText"/>
        <w:numPr>
          <w:ilvl w:val="1"/>
          <w:numId w:val="31"/>
        </w:numPr>
        <w:spacing w:after="120"/>
        <w:ind w:hanging="709"/>
      </w:pPr>
      <w:r>
        <w:t>We</w:t>
      </w:r>
      <w:r w:rsidR="006C1CCF">
        <w:t xml:space="preserve"> </w:t>
      </w:r>
      <w:r w:rsidR="002147DD" w:rsidRPr="009A60BE">
        <w:t xml:space="preserve">received data from Police indicating that, compared to </w:t>
      </w:r>
      <w:r w:rsidR="005B5488">
        <w:t>equivalent</w:t>
      </w:r>
      <w:r w:rsidR="002147DD" w:rsidRPr="009A60BE">
        <w:t xml:space="preserve"> non-hate </w:t>
      </w:r>
      <w:r w:rsidR="002147DD">
        <w:t>crimes</w:t>
      </w:r>
      <w:r w:rsidR="002147DD" w:rsidRPr="009A60BE">
        <w:t>, investigations into perceived hate crimes are more likely to be closed based on ‘police discretion’.</w:t>
      </w:r>
      <w:r w:rsidR="002147DD" w:rsidRPr="009A60BE">
        <w:rPr>
          <w:rStyle w:val="FootnoteReference"/>
        </w:rPr>
        <w:footnoteReference w:id="281"/>
      </w:r>
      <w:r w:rsidR="002147DD" w:rsidRPr="009A60BE">
        <w:t xml:space="preserve"> </w:t>
      </w:r>
      <w:r w:rsidR="006C0060">
        <w:t xml:space="preserve">This means </w:t>
      </w:r>
      <w:r w:rsidR="006C0060" w:rsidRPr="009A60BE">
        <w:t>further lines of inquiry are available but are not pursued because of other priorities</w:t>
      </w:r>
      <w:r w:rsidR="006C0060">
        <w:t xml:space="preserve">. </w:t>
      </w:r>
      <w:r w:rsidR="002147DD" w:rsidRPr="009A60BE">
        <w:t xml:space="preserve">This data could suggest there is a basis for the concerns we heard </w:t>
      </w:r>
      <w:r w:rsidR="00E74815">
        <w:t>from submitters</w:t>
      </w:r>
      <w:r w:rsidR="002147DD" w:rsidRPr="009A60BE">
        <w:t xml:space="preserve"> that reports of hate crime are not being followed up sufficiently</w:t>
      </w:r>
      <w:r w:rsidR="00DD7785">
        <w:t>,</w:t>
      </w:r>
      <w:r w:rsidR="002147DD" w:rsidRPr="009A60BE">
        <w:t xml:space="preserve"> although we acknowledge </w:t>
      </w:r>
      <w:r w:rsidR="002147DD">
        <w:t xml:space="preserve">there may be </w:t>
      </w:r>
      <w:r w:rsidR="002147DD" w:rsidRPr="009A60BE">
        <w:t xml:space="preserve">other factors </w:t>
      </w:r>
      <w:r w:rsidR="002147DD">
        <w:t>at play</w:t>
      </w:r>
      <w:r w:rsidR="002147DD" w:rsidRPr="009A60BE">
        <w:t>.</w:t>
      </w:r>
      <w:r w:rsidR="00565F32">
        <w:t xml:space="preserve"> </w:t>
      </w:r>
    </w:p>
    <w:p w14:paraId="24F6BB5E" w14:textId="5AE1452E" w:rsidR="00EF7244" w:rsidRDefault="002147DD" w:rsidP="00866764">
      <w:pPr>
        <w:pStyle w:val="BodyText"/>
        <w:numPr>
          <w:ilvl w:val="1"/>
          <w:numId w:val="31"/>
        </w:numPr>
        <w:spacing w:after="120"/>
        <w:ind w:hanging="709"/>
      </w:pPr>
      <w:r w:rsidRPr="009A60BE">
        <w:t>Police has made</w:t>
      </w:r>
      <w:r w:rsidR="0023482B">
        <w:t xml:space="preserve"> significant</w:t>
      </w:r>
      <w:r w:rsidRPr="009A60BE">
        <w:t xml:space="preserve"> efforts to improve its response to hate crime since the Royal Commission</w:t>
      </w:r>
      <w:r w:rsidR="00D96628">
        <w:t>’s</w:t>
      </w:r>
      <w:r w:rsidRPr="009A60BE">
        <w:t xml:space="preserve"> report. As discussed in Chapter 2, these changes include the introduction of Police </w:t>
      </w:r>
      <w:r>
        <w:t>I</w:t>
      </w:r>
      <w:r w:rsidRPr="009A60BE">
        <w:t xml:space="preserve">nstructions on hate crime, training for </w:t>
      </w:r>
      <w:r>
        <w:t>p</w:t>
      </w:r>
      <w:r w:rsidRPr="009A60BE">
        <w:t>olice officers, dedicated district hate crime leads and quality assurance from a central Hate Crime Quality Assurance Team that checks hate crime cases are being accurately identified and followed up.</w:t>
      </w:r>
      <w:r w:rsidR="00415A32">
        <w:rPr>
          <w:rStyle w:val="FootnoteReference"/>
        </w:rPr>
        <w:footnoteReference w:id="282"/>
      </w:r>
      <w:r w:rsidR="00367C3D">
        <w:t xml:space="preserve"> </w:t>
      </w:r>
      <w:r w:rsidR="00DD4873">
        <w:t>Improving</w:t>
      </w:r>
      <w:r w:rsidR="00EF7244" w:rsidRPr="009A60BE">
        <w:t xml:space="preserve"> consistency in how hate crime is addressed across an organisation as large and diverse as Police will take time</w:t>
      </w:r>
      <w:r w:rsidR="00247B18">
        <w:t>.</w:t>
      </w:r>
      <w:r w:rsidR="00EF7244" w:rsidRPr="009A60BE">
        <w:t xml:space="preserve"> However, it was clear to us from speaking to people within Police, including frontline officers, that there is a growing awareness of hate crime and that work is underway to improve consistency across the organisation</w:t>
      </w:r>
      <w:r w:rsidR="00F666B4">
        <w:t xml:space="preserve">. </w:t>
      </w:r>
    </w:p>
    <w:p w14:paraId="51AECD35" w14:textId="79B88E44" w:rsidR="00AD4DD8" w:rsidRDefault="00AD4DD8" w:rsidP="00AD4DD8">
      <w:pPr>
        <w:pStyle w:val="BodyText"/>
        <w:numPr>
          <w:ilvl w:val="1"/>
          <w:numId w:val="31"/>
        </w:numPr>
        <w:spacing w:after="120"/>
        <w:ind w:hanging="709"/>
      </w:pPr>
      <w:r>
        <w:t>Police informed us that</w:t>
      </w:r>
      <w:r w:rsidRPr="009A60BE">
        <w:t xml:space="preserve"> funding for the Hate Crime Quality Assurance Team </w:t>
      </w:r>
      <w:r>
        <w:t>has expired</w:t>
      </w:r>
      <w:r w:rsidRPr="009A60BE">
        <w:t xml:space="preserve"> and </w:t>
      </w:r>
      <w:r>
        <w:t>the</w:t>
      </w:r>
      <w:r w:rsidRPr="009A60BE">
        <w:t xml:space="preserve"> future </w:t>
      </w:r>
      <w:r>
        <w:t xml:space="preserve">of the quality assurance function </w:t>
      </w:r>
      <w:r w:rsidRPr="009A60BE">
        <w:t xml:space="preserve">is uncertain. </w:t>
      </w:r>
      <w:r>
        <w:t>Quality assurance is important to ensure</w:t>
      </w:r>
      <w:r w:rsidRPr="009A60BE">
        <w:t xml:space="preserve"> that potential hostile motivation is</w:t>
      </w:r>
      <w:r>
        <w:t xml:space="preserve"> consistently</w:t>
      </w:r>
      <w:r w:rsidRPr="009A60BE">
        <w:t xml:space="preserve"> identified and recorded. Its impact is not limited to ensuring the accuracy of data. If a reported crime is not identified and flagged as a p</w:t>
      </w:r>
      <w:r>
        <w:t>otential</w:t>
      </w:r>
      <w:r w:rsidRPr="009A60BE">
        <w:t xml:space="preserve"> hate crime at the outset, the </w:t>
      </w:r>
      <w:r>
        <w:t>investigating officer</w:t>
      </w:r>
      <w:r w:rsidRPr="009A60BE">
        <w:t xml:space="preserve"> may not </w:t>
      </w:r>
      <w:r>
        <w:t>inquire into</w:t>
      </w:r>
      <w:r w:rsidRPr="009A60BE">
        <w:t xml:space="preserve"> the hostility further, include reference to it in the summary of facts or inform the prosecutor that the aggravating factor may apply. </w:t>
      </w:r>
      <w:r>
        <w:t xml:space="preserve">Police may </w:t>
      </w:r>
      <w:r w:rsidR="008C44BB">
        <w:t xml:space="preserve">therefore </w:t>
      </w:r>
      <w:r>
        <w:t>wish to consider whether s</w:t>
      </w:r>
      <w:r w:rsidRPr="009A60BE">
        <w:t>ome form of quality assurance</w:t>
      </w:r>
      <w:r>
        <w:t xml:space="preserve"> </w:t>
      </w:r>
      <w:r w:rsidR="00242526">
        <w:t>can be continued</w:t>
      </w:r>
      <w:r>
        <w:t xml:space="preserve">. </w:t>
      </w:r>
      <w:r w:rsidR="008479FF">
        <w:t xml:space="preserve">As we </w:t>
      </w:r>
      <w:r w:rsidR="00F95259">
        <w:t>explain</w:t>
      </w:r>
      <w:r w:rsidR="008479FF">
        <w:t xml:space="preserve"> in Chapter 6, that would support the implementation of some of our recommendations in this </w:t>
      </w:r>
      <w:r w:rsidR="00B77EB6">
        <w:t>R</w:t>
      </w:r>
      <w:r w:rsidR="008479FF">
        <w:t>eport.</w:t>
      </w:r>
    </w:p>
    <w:p w14:paraId="247158CF" w14:textId="4A087711" w:rsidR="009E4BF3" w:rsidRPr="00003C07" w:rsidRDefault="004A2C13" w:rsidP="00D8103B">
      <w:pPr>
        <w:pStyle w:val="BodyText"/>
        <w:numPr>
          <w:ilvl w:val="1"/>
          <w:numId w:val="45"/>
        </w:numPr>
      </w:pPr>
      <w:r>
        <w:t>I</w:t>
      </w:r>
      <w:r w:rsidR="007D5180">
        <w:t xml:space="preserve">t is too early to tell </w:t>
      </w:r>
      <w:r w:rsidR="007D5180" w:rsidRPr="00E1589C">
        <w:t xml:space="preserve">whether work already completed or underway within Police </w:t>
      </w:r>
      <w:r w:rsidR="007D5180" w:rsidRPr="000C1AF2">
        <w:t xml:space="preserve">will address the issues raised by submitters. Additionally, we agree with the submitters who said that, if there are problems with how hate crime is investigated, </w:t>
      </w:r>
      <w:r w:rsidR="005B6749">
        <w:t>it</w:t>
      </w:r>
      <w:r w:rsidR="007D5180" w:rsidRPr="000C1AF2">
        <w:t xml:space="preserve"> is primarily an operational issue </w:t>
      </w:r>
      <w:r w:rsidR="007F45B2">
        <w:t>and</w:t>
      </w:r>
      <w:r w:rsidR="007F45B2" w:rsidRPr="000C1AF2">
        <w:t xml:space="preserve"> </w:t>
      </w:r>
      <w:r w:rsidR="007D5180" w:rsidRPr="000C1AF2">
        <w:t>should be addressed (at least in the first instance) through Police and prosecutorial practice rather than law reform.</w:t>
      </w:r>
      <w:r w:rsidR="007D5180" w:rsidRPr="000C1AF2">
        <w:rPr>
          <w:rStyle w:val="FootnoteReference"/>
        </w:rPr>
        <w:footnoteReference w:id="283"/>
      </w:r>
      <w:r w:rsidR="007D5180">
        <w:t xml:space="preserve"> </w:t>
      </w:r>
      <w:r w:rsidR="0072030E" w:rsidRPr="0020506A">
        <w:t xml:space="preserve">Irrespective of the </w:t>
      </w:r>
      <w:r w:rsidR="008F4DC8">
        <w:t>precise content of the law</w:t>
      </w:r>
      <w:r w:rsidR="0072030E" w:rsidRPr="0020506A">
        <w:t xml:space="preserve">, </w:t>
      </w:r>
      <w:r w:rsidR="00CB0AB7" w:rsidRPr="00045FCC">
        <w:t xml:space="preserve">police officers would still need to identify that offending may have been motivated by </w:t>
      </w:r>
      <w:r w:rsidR="00CB0AB7">
        <w:t>hostility</w:t>
      </w:r>
      <w:r w:rsidR="00CB0AB7" w:rsidRPr="00045FCC">
        <w:t xml:space="preserve"> and </w:t>
      </w:r>
      <w:r w:rsidR="00CB0AB7">
        <w:t xml:space="preserve">to </w:t>
      </w:r>
      <w:r w:rsidR="00CB0AB7" w:rsidRPr="00045FCC">
        <w:t xml:space="preserve">gather the evidence needed to prove that. </w:t>
      </w:r>
      <w:r w:rsidR="00CE2699">
        <w:t>C</w:t>
      </w:r>
      <w:r w:rsidR="009E4BF3" w:rsidRPr="00045FCC">
        <w:t xml:space="preserve">onsistent enforcement of the law is likely to depend primarily on having adequate </w:t>
      </w:r>
      <w:r w:rsidR="00375B90">
        <w:t>education</w:t>
      </w:r>
      <w:r w:rsidR="009E4BF3" w:rsidRPr="00045FCC">
        <w:t xml:space="preserve">, resourcing and </w:t>
      </w:r>
      <w:r w:rsidR="003E5A1E" w:rsidRPr="0020506A">
        <w:t>quality assurance processes</w:t>
      </w:r>
      <w:r w:rsidR="003E5A1E">
        <w:t xml:space="preserve"> in place</w:t>
      </w:r>
      <w:r w:rsidR="003E5A1E" w:rsidRPr="0020506A">
        <w:t xml:space="preserve"> to ensure hostile motivation is </w:t>
      </w:r>
      <w:r w:rsidR="003E5A1E" w:rsidRPr="00003C07">
        <w:t>identified and investigated appropriately.</w:t>
      </w:r>
    </w:p>
    <w:p w14:paraId="7B761929" w14:textId="72701014" w:rsidR="007D5180" w:rsidRDefault="004656B0" w:rsidP="00003C07">
      <w:pPr>
        <w:pStyle w:val="BodyText"/>
        <w:numPr>
          <w:ilvl w:val="1"/>
          <w:numId w:val="31"/>
        </w:numPr>
        <w:spacing w:after="120"/>
        <w:ind w:hanging="709"/>
      </w:pPr>
      <w:r>
        <w:t xml:space="preserve">We do not consider it is appropriate, in this review of hate crime law, </w:t>
      </w:r>
      <w:r w:rsidR="0072030E" w:rsidRPr="00003C07">
        <w:t xml:space="preserve">to make recommendations about Police resourcing and training generally. We are conscious that there are competing priorities for Police attention and that recorded hate crime is only a small proportion (0.8 per cent) of overall reported offending. We do recommend, in Chapter </w:t>
      </w:r>
      <w:r w:rsidR="0063180B">
        <w:t>9</w:t>
      </w:r>
      <w:r w:rsidR="0072030E" w:rsidRPr="00003C07">
        <w:t xml:space="preserve">, that Police review its guidance on hate crime to ensure that investigating officers and prosecutors </w:t>
      </w:r>
      <w:r w:rsidR="00C751C0">
        <w:t xml:space="preserve">are informed of any changes </w:t>
      </w:r>
      <w:r w:rsidR="0072030E" w:rsidRPr="00003C07">
        <w:t>to the law</w:t>
      </w:r>
      <w:r w:rsidR="00C751C0">
        <w:t xml:space="preserve"> as a result of</w:t>
      </w:r>
      <w:r w:rsidR="0072030E" w:rsidRPr="00003C07">
        <w:t xml:space="preserve"> this review. In Chapter </w:t>
      </w:r>
      <w:r w:rsidR="0063180B">
        <w:t>6</w:t>
      </w:r>
      <w:r w:rsidR="0072030E" w:rsidRPr="00003C07">
        <w:t>, we also recommend changes to ensure Police is aware if a suspect under investigation has previously been found by a court to have committed a hostility-motivated offence. That information should assist Police to make informed decisions about whether to investigate further or prosecute the person</w:t>
      </w:r>
      <w:r w:rsidR="00003C07" w:rsidRPr="00003C07">
        <w:t>.</w:t>
      </w:r>
    </w:p>
    <w:p w14:paraId="35F2F733" w14:textId="08045E1C" w:rsidR="00F03D13" w:rsidRDefault="007D5180" w:rsidP="006F6A59">
      <w:pPr>
        <w:pStyle w:val="BodyText"/>
        <w:numPr>
          <w:ilvl w:val="1"/>
          <w:numId w:val="31"/>
        </w:numPr>
        <w:ind w:hanging="709"/>
      </w:pPr>
      <w:r>
        <w:t>Finally, i</w:t>
      </w:r>
      <w:r w:rsidR="002147DD">
        <w:t>t is important to acknowledge that Police can only prosecute a person if there is sufficient evidence that an offence has been committed. Many</w:t>
      </w:r>
      <w:r w:rsidR="002147DD" w:rsidRPr="009A60BE">
        <w:t xml:space="preserve"> of the examples given by submitters and people </w:t>
      </w:r>
      <w:r w:rsidR="00336E34">
        <w:t>we spoke with</w:t>
      </w:r>
      <w:r w:rsidR="002147DD" w:rsidRPr="009A60BE">
        <w:t xml:space="preserve"> of hate incidents they felt were not properly investigated or prosecuted did not clearly involve any offence under the current law. </w:t>
      </w:r>
      <w:r w:rsidR="002147DD">
        <w:t>T</w:t>
      </w:r>
      <w:r w:rsidR="002147DD" w:rsidRPr="009A60BE">
        <w:t xml:space="preserve">here was a high level of concern about hate speech and online hate, </w:t>
      </w:r>
      <w:r w:rsidR="002147DD">
        <w:t>much</w:t>
      </w:r>
      <w:r w:rsidR="002147DD" w:rsidRPr="009A60BE">
        <w:t xml:space="preserve"> of which is not covered by existing offences</w:t>
      </w:r>
      <w:r w:rsidR="00130C2D">
        <w:t>.</w:t>
      </w:r>
      <w:r w:rsidR="00E06679">
        <w:t xml:space="preserve"> </w:t>
      </w:r>
      <w:r w:rsidR="00DB1E24">
        <w:t xml:space="preserve">Police is therefore limited in how it can respond to these incidents. </w:t>
      </w:r>
      <w:r w:rsidR="00130C2D">
        <w:t>As</w:t>
      </w:r>
      <w:r w:rsidR="002D79AB">
        <w:t xml:space="preserve"> explained in Chapter 1</w:t>
      </w:r>
      <w:r w:rsidR="00130C2D">
        <w:t xml:space="preserve">, </w:t>
      </w:r>
      <w:r w:rsidR="004E22C8">
        <w:t xml:space="preserve">we have not been asked to review </w:t>
      </w:r>
      <w:r w:rsidR="00F93849">
        <w:t>these areas of law</w:t>
      </w:r>
      <w:r w:rsidR="002D79AB">
        <w:t>.</w:t>
      </w:r>
    </w:p>
    <w:p w14:paraId="7CBA99EA" w14:textId="3B20A121" w:rsidR="002147DD" w:rsidRPr="009A60BE" w:rsidRDefault="00092D1C" w:rsidP="008F3763">
      <w:pPr>
        <w:pStyle w:val="Heading3"/>
      </w:pPr>
      <w:r>
        <w:t>Identifying</w:t>
      </w:r>
      <w:r w:rsidR="008F3763">
        <w:t xml:space="preserve"> hostile motivation </w:t>
      </w:r>
      <w:r w:rsidR="00E8296D">
        <w:t xml:space="preserve">as </w:t>
      </w:r>
      <w:r w:rsidR="008F3763">
        <w:t>an issue in c</w:t>
      </w:r>
      <w:r w:rsidR="002147DD" w:rsidRPr="009A60BE">
        <w:t>ourt proceedings</w:t>
      </w:r>
    </w:p>
    <w:p w14:paraId="5F81B985" w14:textId="77777777" w:rsidR="00116096" w:rsidRPr="0000440A" w:rsidRDefault="00116096" w:rsidP="008F3763">
      <w:pPr>
        <w:pStyle w:val="Heading4"/>
      </w:pPr>
      <w:r w:rsidRPr="0000440A">
        <w:t>Consultation</w:t>
      </w:r>
    </w:p>
    <w:p w14:paraId="73F3DE64" w14:textId="7B100B23" w:rsidR="00C03D77" w:rsidRPr="000C48D4" w:rsidRDefault="00C03D77" w:rsidP="00C03D77">
      <w:pPr>
        <w:pStyle w:val="BodyText"/>
        <w:numPr>
          <w:ilvl w:val="1"/>
          <w:numId w:val="31"/>
        </w:numPr>
        <w:spacing w:after="120"/>
        <w:ind w:hanging="709"/>
      </w:pPr>
      <w:r>
        <w:t>In our Consultation Paper, w</w:t>
      </w:r>
      <w:r w:rsidRPr="00482D4D">
        <w:t xml:space="preserve">e </w:t>
      </w:r>
      <w:r>
        <w:t>sought</w:t>
      </w:r>
      <w:r w:rsidRPr="00482D4D">
        <w:t xml:space="preserve"> feedback on whether </w:t>
      </w:r>
      <w:r w:rsidR="00104557">
        <w:t xml:space="preserve">prosecutors consistently raise </w:t>
      </w:r>
      <w:r>
        <w:t>hostile</w:t>
      </w:r>
      <w:r w:rsidRPr="00482D4D">
        <w:t xml:space="preserve"> motivation in relevant </w:t>
      </w:r>
      <w:r w:rsidR="00C75C13">
        <w:t>cases</w:t>
      </w:r>
      <w:r w:rsidRPr="00482D4D">
        <w:t>.</w:t>
      </w:r>
      <w:r>
        <w:rPr>
          <w:rStyle w:val="FootnoteReference"/>
        </w:rPr>
        <w:footnoteReference w:id="284"/>
      </w:r>
      <w:r>
        <w:t xml:space="preserve"> We </w:t>
      </w:r>
      <w:r w:rsidRPr="000C48D4">
        <w:t>also asked whether hostile motivation should be considered at other stages of court proceedings such as when the court is considering whether to grant a defendant bail or is sentencing the same defendant again for subsequent offending.</w:t>
      </w:r>
      <w:r w:rsidRPr="000C48D4">
        <w:rPr>
          <w:rStyle w:val="FootnoteReference"/>
        </w:rPr>
        <w:footnoteReference w:id="285"/>
      </w:r>
      <w:r w:rsidRPr="000C48D4">
        <w:t xml:space="preserve"> We did not ask specifically about whether judges consistently identify hostile motivation (if the prosecutor fails to do so) but some submitters commented on that as well.</w:t>
      </w:r>
    </w:p>
    <w:p w14:paraId="0EB712E3" w14:textId="30DF774C" w:rsidR="00116096" w:rsidRPr="0000440A" w:rsidRDefault="00116096" w:rsidP="00116096">
      <w:pPr>
        <w:pStyle w:val="BodyText"/>
        <w:numPr>
          <w:ilvl w:val="1"/>
          <w:numId w:val="31"/>
        </w:numPr>
        <w:ind w:hanging="709"/>
      </w:pPr>
      <w:r w:rsidRPr="0000440A">
        <w:t xml:space="preserve">Four submitters (a </w:t>
      </w:r>
      <w:r w:rsidR="00241AF7">
        <w:t>retired</w:t>
      </w:r>
      <w:r w:rsidRPr="0000440A">
        <w:t xml:space="preserve"> judge and three legal professional organisations) suggested that prosecutors do not always raise hostile motivation </w:t>
      </w:r>
      <w:r w:rsidR="00F41226">
        <w:t xml:space="preserve">with the court </w:t>
      </w:r>
      <w:r w:rsidRPr="0000440A">
        <w:t>where it is relevant.</w:t>
      </w:r>
      <w:r w:rsidRPr="0000440A">
        <w:rPr>
          <w:rStyle w:val="FootnoteReference"/>
        </w:rPr>
        <w:footnoteReference w:id="286"/>
      </w:r>
      <w:r w:rsidRPr="0000440A">
        <w:t xml:space="preserve"> A member of </w:t>
      </w:r>
      <w:r w:rsidR="00372790" w:rsidRPr="00F176FE">
        <w:t xml:space="preserve">Te Hunga Rōia Māori o Aotearoa </w:t>
      </w:r>
      <w:r w:rsidR="00372790">
        <w:t xml:space="preserve">| </w:t>
      </w:r>
      <w:r w:rsidR="00372790" w:rsidRPr="002F4592">
        <w:t xml:space="preserve">the Māori Law Society </w:t>
      </w:r>
      <w:r w:rsidRPr="0000440A">
        <w:t xml:space="preserve">said there have been examples of hate crimes against Māori </w:t>
      </w:r>
      <w:r w:rsidR="000F6C23">
        <w:t xml:space="preserve">— </w:t>
      </w:r>
      <w:r w:rsidRPr="0000440A">
        <w:t>such as desecrations of urupā and vandalism of people’s homes</w:t>
      </w:r>
      <w:r w:rsidR="000F6C23">
        <w:t xml:space="preserve"> —</w:t>
      </w:r>
      <w:r w:rsidRPr="0000440A">
        <w:t xml:space="preserve"> where the prosecution did not raise the aggravating factor and the court did not apply it. Dr David Harvey</w:t>
      </w:r>
      <w:r w:rsidR="000E5C48">
        <w:t xml:space="preserve">, </w:t>
      </w:r>
      <w:r w:rsidRPr="0000440A">
        <w:t xml:space="preserve">a </w:t>
      </w:r>
      <w:r w:rsidR="000F6C23">
        <w:t>retired</w:t>
      </w:r>
      <w:r w:rsidRPr="0000440A">
        <w:t xml:space="preserve"> District Court judge</w:t>
      </w:r>
      <w:r w:rsidR="000E5C48">
        <w:t>,</w:t>
      </w:r>
      <w:r w:rsidRPr="0000440A">
        <w:t xml:space="preserve"> told us that the two hate crime cases he dealt with in his career were not identified as such by the prosecutor (although those cases occurred pre-2019 and therefore pre</w:t>
      </w:r>
      <w:r w:rsidR="00116018">
        <w:t>-</w:t>
      </w:r>
      <w:r w:rsidRPr="0000440A">
        <w:t xml:space="preserve">date efforts by </w:t>
      </w:r>
      <w:r w:rsidR="000E5C48">
        <w:t>Police</w:t>
      </w:r>
      <w:r w:rsidRPr="0000440A">
        <w:t xml:space="preserve"> to improve its response to hate crime).</w:t>
      </w:r>
    </w:p>
    <w:p w14:paraId="205C53B3" w14:textId="77777777" w:rsidR="00116096" w:rsidRPr="0000440A" w:rsidRDefault="00116096" w:rsidP="00116096">
      <w:pPr>
        <w:pStyle w:val="BodyText"/>
        <w:numPr>
          <w:ilvl w:val="1"/>
          <w:numId w:val="31"/>
        </w:numPr>
        <w:ind w:hanging="709"/>
      </w:pPr>
      <w:r w:rsidRPr="0000440A">
        <w:t>Four submitters, including three legal professional organisations, also thought it was likely that judges do not always identify hostile motivation or apply the aggravating factor in appropriate cases.</w:t>
      </w:r>
      <w:r w:rsidRPr="0000440A">
        <w:rPr>
          <w:color w:val="262626" w:themeColor="text1" w:themeTint="D9"/>
          <w:sz w:val="18"/>
          <w:szCs w:val="18"/>
          <w:vertAlign w:val="superscript"/>
        </w:rPr>
        <w:footnoteReference w:id="287"/>
      </w:r>
      <w:r w:rsidRPr="0000440A">
        <w:t xml:space="preserve"> Additionally, Inclusive Aotearoa Collective Tāhono suggested the current law is inadequate to ensure hostile motivation is consistently addressed since it is discretionary, relying on judges to ensure hate crimes are recognised in sentencing.</w:t>
      </w:r>
    </w:p>
    <w:p w14:paraId="1103CD93" w14:textId="35BE2390" w:rsidR="00116096" w:rsidRPr="0000440A" w:rsidRDefault="00116096" w:rsidP="00116096">
      <w:pPr>
        <w:pStyle w:val="BodyText"/>
        <w:numPr>
          <w:ilvl w:val="1"/>
          <w:numId w:val="31"/>
        </w:numPr>
        <w:ind w:hanging="709"/>
      </w:pPr>
      <w:r w:rsidRPr="0000440A">
        <w:t xml:space="preserve">Two submitters discussed whether hostile motivation is taken into account in bail decisions </w:t>
      </w:r>
      <w:r w:rsidR="00213324">
        <w:t>and</w:t>
      </w:r>
      <w:r w:rsidRPr="0000440A">
        <w:t xml:space="preserve"> subsequent sentencing decisions</w:t>
      </w:r>
      <w:r w:rsidR="00A11231">
        <w:t>:</w:t>
      </w:r>
    </w:p>
    <w:p w14:paraId="59F2482F" w14:textId="4CD3DC2C" w:rsidR="00116096" w:rsidRPr="0000440A" w:rsidRDefault="00116096" w:rsidP="00116096">
      <w:pPr>
        <w:pStyle w:val="BodyTextalphalist"/>
        <w:numPr>
          <w:ilvl w:val="3"/>
          <w:numId w:val="31"/>
        </w:numPr>
      </w:pPr>
      <w:r w:rsidRPr="0000440A">
        <w:t>The Public Defence Service considered hostile motivation may be relevant to bail decisions and later sentencing decisions</w:t>
      </w:r>
      <w:r w:rsidR="00421DED">
        <w:t>. It</w:t>
      </w:r>
      <w:r w:rsidRPr="0000440A">
        <w:t xml:space="preserve"> said </w:t>
      </w:r>
      <w:r w:rsidR="00421DED">
        <w:t>hostile motivation</w:t>
      </w:r>
      <w:r w:rsidR="00421DED" w:rsidRPr="0000440A">
        <w:t xml:space="preserve"> </w:t>
      </w:r>
      <w:r w:rsidRPr="0000440A">
        <w:t>is already considered under the current law where appropriate</w:t>
      </w:r>
      <w:r w:rsidR="00421DED">
        <w:t>, observing</w:t>
      </w:r>
      <w:r w:rsidRPr="0000440A">
        <w:t xml:space="preserve"> </w:t>
      </w:r>
      <w:r w:rsidR="00421DED">
        <w:t>that</w:t>
      </w:r>
      <w:r w:rsidRPr="0000440A">
        <w:t xml:space="preserve"> Police sometimes notes hostile motivation in bail opposition forms. It observed that some people accused of hostility-motivated crimes against Muslims have had bail conditions restricting them from going near a mosque. In addition, it said previous convictions for hostility-motivated crime may be admissible as propensity evidence in a subsequent case (although it acknowledged this will only occur if the previous sentencing notes have been obtained, since hostile motivation is not recorded on a person’s criminal conviction history).</w:t>
      </w:r>
    </w:p>
    <w:p w14:paraId="3EC80D5D" w14:textId="77777777" w:rsidR="00116096" w:rsidRPr="0000440A" w:rsidRDefault="00116096" w:rsidP="00116096">
      <w:pPr>
        <w:pStyle w:val="BodyTextalphalist"/>
        <w:numPr>
          <w:ilvl w:val="3"/>
          <w:numId w:val="31"/>
        </w:numPr>
      </w:pPr>
      <w:r w:rsidRPr="0000440A">
        <w:t xml:space="preserve">The Law Association Criminal Law Committee said that any previous convictions for hostility-motivated offending are unlikely to be apparent at a bail hearing. This is because the short timeframe between a defendant being charged and applying for bail rarely allows time for the arresting officer to obtain previous sentencing notes or summaries of fact. </w:t>
      </w:r>
    </w:p>
    <w:p w14:paraId="1BB57DE8" w14:textId="77777777" w:rsidR="00116096" w:rsidRPr="00D51B2E" w:rsidRDefault="00116096" w:rsidP="00116096">
      <w:pPr>
        <w:pStyle w:val="BodyText"/>
        <w:numPr>
          <w:ilvl w:val="1"/>
          <w:numId w:val="31"/>
        </w:numPr>
        <w:ind w:hanging="709"/>
        <w:rPr>
          <w:i/>
        </w:rPr>
      </w:pPr>
      <w:r w:rsidRPr="0000440A">
        <w:t>One additional submitter thought hostile motivation should be considered in bail decisions but did not comment on current practice.</w:t>
      </w:r>
      <w:r w:rsidRPr="0000440A">
        <w:rPr>
          <w:rStyle w:val="FootnoteReference"/>
          <w:bCs/>
          <w:iCs/>
        </w:rPr>
        <w:footnoteReference w:id="288"/>
      </w:r>
    </w:p>
    <w:p w14:paraId="315F29D0" w14:textId="758C8B58" w:rsidR="00D51B2E" w:rsidRPr="00D51B2E" w:rsidRDefault="00D51B2E" w:rsidP="00D51B2E">
      <w:pPr>
        <w:pStyle w:val="BodyText"/>
        <w:numPr>
          <w:ilvl w:val="1"/>
          <w:numId w:val="31"/>
        </w:numPr>
        <w:spacing w:after="120"/>
        <w:ind w:hanging="709"/>
      </w:pPr>
      <w:r w:rsidRPr="00C31B50">
        <w:t>When we inquired with police prosecutors and Crown solicitors about their experiences with hate crime cases, their feedback indicated that such cases are rare and most</w:t>
      </w:r>
      <w:r>
        <w:t xml:space="preserve"> prosecutors had </w:t>
      </w:r>
      <w:r w:rsidR="00FC27B6">
        <w:t xml:space="preserve">never </w:t>
      </w:r>
      <w:r>
        <w:t>dealt with the hostility aggravating factor</w:t>
      </w:r>
      <w:r w:rsidR="006113F9">
        <w:t>.</w:t>
      </w:r>
      <w:r>
        <w:t xml:space="preserve"> </w:t>
      </w:r>
      <w:r w:rsidRPr="00E160B5">
        <w:t xml:space="preserve">We also heard </w:t>
      </w:r>
      <w:r>
        <w:t xml:space="preserve">from prosecutors </w:t>
      </w:r>
      <w:r w:rsidRPr="00E160B5">
        <w:t>that, in some cases, the</w:t>
      </w:r>
      <w:r>
        <w:t xml:space="preserve">y are unable to pursue the application of the aggravating factor because inadequate evidence is provided by </w:t>
      </w:r>
      <w:r w:rsidR="00FC27B6">
        <w:t>the investigating officer</w:t>
      </w:r>
      <w:r w:rsidR="00F55EB4">
        <w:t>.</w:t>
      </w:r>
      <w:r>
        <w:t xml:space="preserve"> We heard that</w:t>
      </w:r>
      <w:r w:rsidRPr="00E160B5">
        <w:t xml:space="preserve"> documentation provided to the prosecutor by the investigating officer </w:t>
      </w:r>
      <w:r>
        <w:t xml:space="preserve">sometimes </w:t>
      </w:r>
      <w:r w:rsidRPr="00E160B5">
        <w:t>states that an offence may</w:t>
      </w:r>
      <w:r w:rsidR="002B160A">
        <w:t xml:space="preserve"> have</w:t>
      </w:r>
      <w:r w:rsidRPr="00E160B5">
        <w:t xml:space="preserve"> be</w:t>
      </w:r>
      <w:r w:rsidR="002B160A">
        <w:t>en</w:t>
      </w:r>
      <w:r w:rsidRPr="00E160B5">
        <w:t xml:space="preserve"> motivated by hostility, but there is no relevant evidence included in the summary of facts. Given the short turnaround time on many cases, that may mean the </w:t>
      </w:r>
      <w:r>
        <w:t>prosecutor cannot raise hostile motivation with the court</w:t>
      </w:r>
      <w:r w:rsidRPr="00E160B5">
        <w:t xml:space="preserve">. </w:t>
      </w:r>
    </w:p>
    <w:p w14:paraId="15EE44EB" w14:textId="49404B54" w:rsidR="007F405A" w:rsidRPr="008F3763" w:rsidRDefault="0000440A" w:rsidP="008F3763">
      <w:pPr>
        <w:pStyle w:val="Heading4"/>
      </w:pPr>
      <w:r w:rsidRPr="008F3763">
        <w:t>Is there a problem with the current law?</w:t>
      </w:r>
    </w:p>
    <w:p w14:paraId="58AD1905" w14:textId="76B254FB" w:rsidR="002063BD" w:rsidRPr="002063BD" w:rsidRDefault="00A26890" w:rsidP="002063BD">
      <w:pPr>
        <w:pStyle w:val="Heading5"/>
      </w:pPr>
      <w:r>
        <w:t>Identifying hostile motivation as a factor at sentencing</w:t>
      </w:r>
      <w:r w:rsidR="004D7345">
        <w:t xml:space="preserve"> for the relevant offence</w:t>
      </w:r>
    </w:p>
    <w:p w14:paraId="19C66920" w14:textId="32D99CEC" w:rsidR="00924F23" w:rsidRDefault="00792EC9" w:rsidP="00930903">
      <w:pPr>
        <w:pStyle w:val="BodyText"/>
        <w:numPr>
          <w:ilvl w:val="1"/>
          <w:numId w:val="31"/>
        </w:numPr>
      </w:pPr>
      <w:r w:rsidRPr="009A60BE">
        <w:t xml:space="preserve">The </w:t>
      </w:r>
      <w:r>
        <w:t>absence of readily available information</w:t>
      </w:r>
      <w:r w:rsidRPr="009A60BE">
        <w:t xml:space="preserve"> about hate crime cases in the courts</w:t>
      </w:r>
      <w:r>
        <w:t>, discussed above,</w:t>
      </w:r>
      <w:r w:rsidRPr="009A60BE">
        <w:t xml:space="preserve"> make</w:t>
      </w:r>
      <w:r>
        <w:t>s</w:t>
      </w:r>
      <w:r w:rsidRPr="009A60BE">
        <w:t xml:space="preserve"> it difficult to assess whether there are problems with </w:t>
      </w:r>
      <w:r>
        <w:t>hostile motivation not being identified as an issue in relevant court proceedings</w:t>
      </w:r>
      <w:r w:rsidRPr="009A60BE">
        <w:t xml:space="preserve">. </w:t>
      </w:r>
      <w:r w:rsidR="00F70D13">
        <w:t xml:space="preserve">Our research did not disclose clear </w:t>
      </w:r>
      <w:r w:rsidR="00F70D13" w:rsidRPr="009A60BE">
        <w:t>examples of cases where prosecutors or judges failed to pick up on hostile motivation at sentencing.</w:t>
      </w:r>
      <w:r w:rsidR="00F70D13">
        <w:rPr>
          <w:rStyle w:val="FootnoteReference"/>
        </w:rPr>
        <w:footnoteReference w:id="289"/>
      </w:r>
      <w:r w:rsidR="00F70D13" w:rsidRPr="009A60BE">
        <w:t xml:space="preserve"> However, such cases would be difficult to identify since the hostility would not be referenced in the sentencing notes. </w:t>
      </w:r>
    </w:p>
    <w:p w14:paraId="5A20ECF4" w14:textId="6E3CD064" w:rsidR="009F4531" w:rsidRPr="009919EC" w:rsidRDefault="00DB490D" w:rsidP="009F4531">
      <w:pPr>
        <w:pStyle w:val="BodyText"/>
        <w:numPr>
          <w:ilvl w:val="1"/>
          <w:numId w:val="31"/>
        </w:numPr>
        <w:ind w:hanging="709"/>
        <w:rPr>
          <w:i/>
        </w:rPr>
      </w:pPr>
      <w:r>
        <w:t>What is clear is that there are no structural mechanisms to</w:t>
      </w:r>
      <w:r w:rsidRPr="009919EC">
        <w:t xml:space="preserve"> ensure hostile motivation is </w:t>
      </w:r>
      <w:r>
        <w:t xml:space="preserve">consistently </w:t>
      </w:r>
      <w:r w:rsidRPr="009919EC">
        <w:t>identified as an issue in relevant cases and that evidence is presented to establish it.</w:t>
      </w:r>
      <w:r>
        <w:t xml:space="preserve"> </w:t>
      </w:r>
      <w:r w:rsidR="00FE4F76">
        <w:t xml:space="preserve">We </w:t>
      </w:r>
      <w:r w:rsidR="002651A9">
        <w:t>consider this is</w:t>
      </w:r>
      <w:r w:rsidR="0018655E">
        <w:t xml:space="preserve"> a </w:t>
      </w:r>
      <w:r w:rsidR="005866C8">
        <w:t xml:space="preserve">significant shortcoming in the current </w:t>
      </w:r>
      <w:r w:rsidR="00BE3C8C">
        <w:t xml:space="preserve">operation of the </w:t>
      </w:r>
      <w:r w:rsidR="005866C8">
        <w:t xml:space="preserve">law. </w:t>
      </w:r>
      <w:r w:rsidR="00C6080F" w:rsidRPr="009A60BE">
        <w:t xml:space="preserve">Based on the submissions we received </w:t>
      </w:r>
      <w:r w:rsidR="00C6080F">
        <w:t xml:space="preserve">from those working in the justice sector </w:t>
      </w:r>
      <w:r w:rsidR="00C6080F" w:rsidRPr="009A60BE">
        <w:t xml:space="preserve">and given how few hate crime cases there are in the courts, </w:t>
      </w:r>
      <w:r w:rsidR="00C6080F">
        <w:t xml:space="preserve">there is a risk that </w:t>
      </w:r>
      <w:r w:rsidR="00C6080F" w:rsidRPr="009A60BE">
        <w:t xml:space="preserve">the aggravating factor </w:t>
      </w:r>
      <w:r w:rsidR="00C6080F">
        <w:t>may</w:t>
      </w:r>
      <w:r w:rsidR="00C6080F" w:rsidRPr="009A60BE">
        <w:t xml:space="preserve"> not always </w:t>
      </w:r>
      <w:r w:rsidR="002651A9">
        <w:t xml:space="preserve">be </w:t>
      </w:r>
      <w:r w:rsidR="00C6080F" w:rsidRPr="009A60BE">
        <w:t>front of mind for prosecutors and judges</w:t>
      </w:r>
      <w:r w:rsidR="00C6080F">
        <w:t xml:space="preserve">. </w:t>
      </w:r>
      <w:r w:rsidR="009F4531" w:rsidRPr="00B76087">
        <w:t xml:space="preserve">They are often dealing with high caseloads (particularly in the District Court) and the hostility aggravating factor will only be relevant in a small proportion of cases. </w:t>
      </w:r>
      <w:r w:rsidR="009F4531" w:rsidRPr="009919EC">
        <w:t xml:space="preserve">Judges and prosecutors are also reliant on the information provided by Police. </w:t>
      </w:r>
    </w:p>
    <w:p w14:paraId="78A580B3" w14:textId="0D3D9DFA" w:rsidR="002147DD" w:rsidRDefault="006113F9">
      <w:pPr>
        <w:pStyle w:val="BodyText"/>
        <w:numPr>
          <w:ilvl w:val="1"/>
          <w:numId w:val="31"/>
        </w:numPr>
        <w:spacing w:after="120"/>
        <w:ind w:hanging="709"/>
      </w:pPr>
      <w:r>
        <w:t xml:space="preserve">The risk of hostile motivation </w:t>
      </w:r>
      <w:r w:rsidR="00FC064E">
        <w:t xml:space="preserve">being overlooked </w:t>
      </w:r>
      <w:r>
        <w:t xml:space="preserve">may be heightened </w:t>
      </w:r>
      <w:r w:rsidR="004E2BA4">
        <w:t xml:space="preserve">in relation to </w:t>
      </w:r>
      <w:r w:rsidR="00D50476">
        <w:t xml:space="preserve">prosecutions for </w:t>
      </w:r>
      <w:r w:rsidR="004E2BA4">
        <w:t>lower-level offending</w:t>
      </w:r>
      <w:r>
        <w:t xml:space="preserve"> (including offences under the Summary Offences Act 1981)</w:t>
      </w:r>
      <w:r w:rsidR="0057350E">
        <w:t xml:space="preserve">, which account for many of the </w:t>
      </w:r>
      <w:r w:rsidR="00A563C2">
        <w:t>perceived</w:t>
      </w:r>
      <w:r w:rsidR="0057350E">
        <w:t xml:space="preserve"> hate crimes flagged by Police</w:t>
      </w:r>
      <w:r w:rsidR="002147DD" w:rsidRPr="009A60BE">
        <w:t xml:space="preserve">. </w:t>
      </w:r>
      <w:r w:rsidR="001D2211">
        <w:t xml:space="preserve">These cases are dealt with in </w:t>
      </w:r>
      <w:r w:rsidR="00CA558F">
        <w:t>the</w:t>
      </w:r>
      <w:r w:rsidR="002147DD" w:rsidRPr="009A60BE">
        <w:t xml:space="preserve"> District Court</w:t>
      </w:r>
      <w:r w:rsidR="001D2211">
        <w:t xml:space="preserve"> and, in some instances</w:t>
      </w:r>
      <w:r w:rsidR="002147DD" w:rsidRPr="009A60BE">
        <w:t>, sentencing may occur in a criminal list court</w:t>
      </w:r>
      <w:r w:rsidR="001D2211">
        <w:t>.</w:t>
      </w:r>
      <w:r w:rsidR="00BE5EA8">
        <w:t xml:space="preserve"> List courts</w:t>
      </w:r>
      <w:r w:rsidR="002147DD" w:rsidRPr="009A60BE">
        <w:t xml:space="preserve"> deal with a high volume of cases</w:t>
      </w:r>
      <w:r w:rsidR="00BE5EA8">
        <w:t xml:space="preserve"> and </w:t>
      </w:r>
      <w:r w:rsidR="002147DD" w:rsidRPr="009A60BE">
        <w:t xml:space="preserve">the prosecutor and judge have limited time to become familiar with the case. </w:t>
      </w:r>
    </w:p>
    <w:p w14:paraId="464A7EBD" w14:textId="0DEBD124" w:rsidR="0074588D" w:rsidRPr="00B76087" w:rsidRDefault="00276D0B" w:rsidP="00A26890">
      <w:pPr>
        <w:pStyle w:val="Heading5"/>
      </w:pPr>
      <w:r>
        <w:t>B</w:t>
      </w:r>
      <w:r w:rsidR="0022762D">
        <w:t>ail decisions and subsequent sente</w:t>
      </w:r>
      <w:r w:rsidR="00A0144F">
        <w:t>ncing decisions</w:t>
      </w:r>
    </w:p>
    <w:p w14:paraId="1D685E46" w14:textId="03F398A8" w:rsidR="00BF13D6" w:rsidRDefault="00B76087" w:rsidP="00B76087">
      <w:pPr>
        <w:pStyle w:val="BodyText"/>
        <w:numPr>
          <w:ilvl w:val="1"/>
          <w:numId w:val="31"/>
        </w:numPr>
        <w:ind w:hanging="709"/>
      </w:pPr>
      <w:r w:rsidRPr="009919EC">
        <w:t xml:space="preserve">As well as being relevant </w:t>
      </w:r>
      <w:r w:rsidR="00D218DD">
        <w:t>at</w:t>
      </w:r>
      <w:r w:rsidR="00D218DD" w:rsidRPr="009919EC">
        <w:t xml:space="preserve"> </w:t>
      </w:r>
      <w:r w:rsidRPr="009919EC">
        <w:t xml:space="preserve">sentencing for the </w:t>
      </w:r>
      <w:r w:rsidR="000E277C" w:rsidRPr="009919EC">
        <w:t>offence</w:t>
      </w:r>
      <w:r w:rsidR="0069656D">
        <w:t xml:space="preserve"> </w:t>
      </w:r>
      <w:r w:rsidR="00F5392E">
        <w:t>to which it relates</w:t>
      </w:r>
      <w:r w:rsidR="000E277C" w:rsidRPr="009919EC">
        <w:t xml:space="preserve">, </w:t>
      </w:r>
      <w:r w:rsidRPr="009919EC">
        <w:t xml:space="preserve">hostile motivation may </w:t>
      </w:r>
      <w:r w:rsidR="000E277C" w:rsidRPr="009919EC">
        <w:t>affect</w:t>
      </w:r>
      <w:r w:rsidRPr="009919EC">
        <w:t xml:space="preserve"> bail decisions and subsequent sentencing decisions </w:t>
      </w:r>
      <w:r w:rsidR="006A3B53">
        <w:t xml:space="preserve">involving </w:t>
      </w:r>
      <w:r w:rsidRPr="009919EC">
        <w:t>the same offender</w:t>
      </w:r>
      <w:r w:rsidR="006B5C59">
        <w:t>:</w:t>
      </w:r>
    </w:p>
    <w:p w14:paraId="0A19E994" w14:textId="0F823BD2" w:rsidR="006E1DC5" w:rsidRDefault="00BB6F28" w:rsidP="006E1DC5">
      <w:pPr>
        <w:pStyle w:val="BodyTextalphalist"/>
      </w:pPr>
      <w:r>
        <w:t>For</w:t>
      </w:r>
      <w:r w:rsidR="006E1DC5" w:rsidRPr="009919EC">
        <w:t xml:space="preserve"> bail decisions, hostile motivation may be relevant in relation to</w:t>
      </w:r>
      <w:r>
        <w:t xml:space="preserve"> both</w:t>
      </w:r>
      <w:r w:rsidR="006E1DC5" w:rsidRPr="009919EC">
        <w:t xml:space="preserve"> the current charge and any previous offending. </w:t>
      </w:r>
      <w:r w:rsidR="006E1DC5">
        <w:t xml:space="preserve">The court will consider the nature and seriousness of the current charge </w:t>
      </w:r>
      <w:r w:rsidR="005306F0">
        <w:t>as well as</w:t>
      </w:r>
      <w:r w:rsidR="006E1DC5">
        <w:t xml:space="preserve"> the defendant’s past conduct.</w:t>
      </w:r>
      <w:r w:rsidR="000F2F73">
        <w:rPr>
          <w:rStyle w:val="FootnoteReference"/>
        </w:rPr>
        <w:footnoteReference w:id="290"/>
      </w:r>
    </w:p>
    <w:p w14:paraId="7F758BD0" w14:textId="742780B5" w:rsidR="00BF13D6" w:rsidRDefault="000F2F73" w:rsidP="00BF13D6">
      <w:pPr>
        <w:pStyle w:val="BodyTextalphalist"/>
      </w:pPr>
      <w:r>
        <w:t>At sentencing</w:t>
      </w:r>
      <w:r w:rsidR="003F2A8D">
        <w:t xml:space="preserve">, the nature and seriousness of the offender’s previous convictions </w:t>
      </w:r>
      <w:r w:rsidR="00BF13D6">
        <w:t>is an aggravating factor</w:t>
      </w:r>
      <w:r w:rsidR="00F7481D">
        <w:t>.</w:t>
      </w:r>
      <w:r w:rsidR="00F7481D">
        <w:rPr>
          <w:rStyle w:val="FootnoteReference"/>
        </w:rPr>
        <w:footnoteReference w:id="291"/>
      </w:r>
    </w:p>
    <w:p w14:paraId="5BCBCD77" w14:textId="479AF4A9" w:rsidR="008717AB" w:rsidRDefault="00AA3690" w:rsidP="00B76087">
      <w:pPr>
        <w:pStyle w:val="BodyText"/>
        <w:numPr>
          <w:ilvl w:val="1"/>
          <w:numId w:val="31"/>
        </w:numPr>
        <w:ind w:hanging="709"/>
      </w:pPr>
      <w:r>
        <w:t>The</w:t>
      </w:r>
      <w:r w:rsidR="00B76087" w:rsidRPr="009919EC">
        <w:t xml:space="preserve"> Public Defence Service indicated in its submission that, in some cases, hostile motivation is already considered in bail decisions and subsequent sentencing decisions. As noted above, it said that some defendants have been granted bail with a condition that they avoid mosques (where the alleged offending targeted Muslims). We also located</w:t>
      </w:r>
      <w:r w:rsidR="003111AE">
        <w:t xml:space="preserve"> through our own research</w:t>
      </w:r>
      <w:r w:rsidR="00B76087" w:rsidRPr="009919EC">
        <w:t xml:space="preserve"> one case in which previous hostility-motivated offending was taken into account at sentencing</w:t>
      </w:r>
      <w:r w:rsidR="009841E5">
        <w:t xml:space="preserve"> for subsequent offending</w:t>
      </w:r>
      <w:r w:rsidR="00B76087" w:rsidRPr="009919EC">
        <w:t>.</w:t>
      </w:r>
      <w:r w:rsidR="00B76087" w:rsidRPr="009919EC">
        <w:rPr>
          <w:rStyle w:val="FootnoteReference"/>
        </w:rPr>
        <w:footnoteReference w:id="292"/>
      </w:r>
      <w:r w:rsidR="00B76087" w:rsidRPr="009919EC">
        <w:t xml:space="preserve"> </w:t>
      </w:r>
    </w:p>
    <w:p w14:paraId="0E945ABE" w14:textId="4630DE45" w:rsidR="00B76087" w:rsidRPr="009919EC" w:rsidRDefault="00B76087" w:rsidP="00B76087">
      <w:pPr>
        <w:pStyle w:val="BodyText"/>
        <w:numPr>
          <w:ilvl w:val="1"/>
          <w:numId w:val="31"/>
        </w:numPr>
        <w:ind w:hanging="709"/>
      </w:pPr>
      <w:r w:rsidRPr="009919EC">
        <w:t xml:space="preserve">However, hostile motivation will only be </w:t>
      </w:r>
      <w:r w:rsidR="00F10BC7">
        <w:t>considered</w:t>
      </w:r>
      <w:r w:rsidRPr="009919EC">
        <w:t xml:space="preserve"> in bail decisions and subsequent sentencing decisions if the prosecutor has information to suggest the hostility aggravating factor may apply to the current charge or was applied to a previous offence.</w:t>
      </w:r>
      <w:r w:rsidR="00EE4D02">
        <w:t xml:space="preserve"> </w:t>
      </w:r>
      <w:r w:rsidR="00EE4D02" w:rsidRPr="009919EC">
        <w:t xml:space="preserve">Currently, there is no process to ensure the </w:t>
      </w:r>
      <w:r w:rsidR="00EE4D02">
        <w:t xml:space="preserve">prosecutor or the </w:t>
      </w:r>
      <w:r w:rsidR="00EE4D02" w:rsidRPr="009919EC">
        <w:t>court is aware that hostile motivation may be an issue</w:t>
      </w:r>
      <w:r w:rsidR="00EE4D02">
        <w:t>.</w:t>
      </w:r>
    </w:p>
    <w:p w14:paraId="6C69E1B8" w14:textId="0545C916" w:rsidR="00B76087" w:rsidRPr="009919EC" w:rsidRDefault="00B76087" w:rsidP="00B76087">
      <w:pPr>
        <w:pStyle w:val="BodyText"/>
        <w:numPr>
          <w:ilvl w:val="1"/>
          <w:numId w:val="31"/>
        </w:numPr>
        <w:ind w:hanging="709"/>
      </w:pPr>
      <w:r w:rsidRPr="009919EC">
        <w:t>In relation to the current charge, feedback from our Technical Advisory Group suggests that</w:t>
      </w:r>
      <w:r w:rsidR="00BC6265">
        <w:t>,</w:t>
      </w:r>
      <w:r w:rsidRPr="009919EC">
        <w:t xml:space="preserve"> if bail is opposed, any potential hostile motivation is likely to be raised by the prosecutor based on information provided by the investigating police officer.</w:t>
      </w:r>
      <w:r w:rsidRPr="009919EC">
        <w:rPr>
          <w:rStyle w:val="FootnoteReference"/>
        </w:rPr>
        <w:footnoteReference w:id="293"/>
      </w:r>
      <w:r w:rsidRPr="009919EC">
        <w:t xml:space="preserve"> However, it is not clear that hostility will necessarily be identified as an issue where bail is not opposed (as is often the case for summary offences). </w:t>
      </w:r>
      <w:r w:rsidR="008666DA" w:rsidRPr="009919EC">
        <w:t>In these cases</w:t>
      </w:r>
      <w:r w:rsidRPr="009919EC">
        <w:t>, the fact that the hostility aggravating factor may apply to the alleged offence may still be relevant to bail conditions.</w:t>
      </w:r>
    </w:p>
    <w:p w14:paraId="3505409D" w14:textId="0982166F" w:rsidR="00B76087" w:rsidRDefault="00B76087" w:rsidP="00B76087">
      <w:pPr>
        <w:pStyle w:val="BodyText"/>
        <w:numPr>
          <w:ilvl w:val="1"/>
          <w:numId w:val="31"/>
        </w:numPr>
        <w:ind w:hanging="709"/>
      </w:pPr>
      <w:r w:rsidRPr="009919EC">
        <w:t>In relation to previous hostility-motivated offending by the same defendant, under the current law, prosecutors will not always be able to identify that the court applied the hostility aggravating factor to an offence. The application of the aggravating factor is only evident from a review of the sentencing notes</w:t>
      </w:r>
      <w:r w:rsidR="00791B60">
        <w:t xml:space="preserve"> (assuming it is recorded there)</w:t>
      </w:r>
      <w:r w:rsidRPr="009919EC">
        <w:t>. Prosecutors will not necessarily review the sentencing notes for all a defendant’s previous convictions. According to the submission we received from The Law Association Criminal Law Committee, prosecutors are especially unlikely to review sentencing notes for a previous conviction before a bail hearing. Whether they do so before trial and sentencing will depend on the seriousness of the current offence and how relevant the previous conviction appears to be on its face.</w:t>
      </w:r>
      <w:r w:rsidRPr="009919EC">
        <w:rPr>
          <w:rStyle w:val="FootnoteReference"/>
        </w:rPr>
        <w:footnoteReference w:id="294"/>
      </w:r>
      <w:r w:rsidRPr="009919EC">
        <w:t xml:space="preserve"> </w:t>
      </w:r>
      <w:r w:rsidR="008159BA">
        <w:t xml:space="preserve">This </w:t>
      </w:r>
      <w:r w:rsidR="00ED3548">
        <w:t xml:space="preserve">issue </w:t>
      </w:r>
      <w:r w:rsidR="008159BA">
        <w:t xml:space="preserve">is linked to the </w:t>
      </w:r>
      <w:r w:rsidR="008717AB">
        <w:t xml:space="preserve">earlier </w:t>
      </w:r>
      <w:r w:rsidR="008159BA">
        <w:t xml:space="preserve">problem we discussed — </w:t>
      </w:r>
      <w:r w:rsidR="008717AB">
        <w:t xml:space="preserve">that there is an </w:t>
      </w:r>
      <w:r w:rsidR="008159BA">
        <w:t>absence of readily</w:t>
      </w:r>
      <w:r w:rsidR="0091334E">
        <w:t xml:space="preserve"> </w:t>
      </w:r>
      <w:r w:rsidR="008159BA">
        <w:t xml:space="preserve">available information about </w:t>
      </w:r>
      <w:r w:rsidR="00C75D96">
        <w:t xml:space="preserve">hate crime cases in the courts. If the application of the hostility aggravating factor was recorded in a systematic and more easily accessible way, that would </w:t>
      </w:r>
      <w:r w:rsidR="00107372">
        <w:t xml:space="preserve">help to ensure the courts are aware if an offender has previously been convicted of an offence that was found to be </w:t>
      </w:r>
      <w:r w:rsidR="007900FC">
        <w:t>motivated by hostility</w:t>
      </w:r>
      <w:r w:rsidR="00107372">
        <w:t>.</w:t>
      </w:r>
    </w:p>
    <w:p w14:paraId="5D30D814" w14:textId="274D324E" w:rsidR="00B5728F" w:rsidRDefault="0000501C" w:rsidP="00B5728F">
      <w:pPr>
        <w:pStyle w:val="Heading5"/>
      </w:pPr>
      <w:r>
        <w:t>Propensity</w:t>
      </w:r>
      <w:r w:rsidR="00B5728F">
        <w:t xml:space="preserve"> evidence</w:t>
      </w:r>
    </w:p>
    <w:p w14:paraId="27CBB5F2" w14:textId="099CD9E2" w:rsidR="00FC39A6" w:rsidRDefault="00FC39A6" w:rsidP="00FC39A6">
      <w:pPr>
        <w:pStyle w:val="BodyText"/>
        <w:numPr>
          <w:ilvl w:val="1"/>
          <w:numId w:val="31"/>
        </w:numPr>
        <w:ind w:hanging="709"/>
      </w:pPr>
      <w:r w:rsidRPr="00FC39A6">
        <w:t xml:space="preserve">Finally, as the Public Defence Service noted, </w:t>
      </w:r>
      <w:r w:rsidR="00F75975">
        <w:t xml:space="preserve">it is possible that </w:t>
      </w:r>
      <w:r w:rsidRPr="00FC39A6">
        <w:t xml:space="preserve">evidence of previous hostility-motivated offending could be </w:t>
      </w:r>
      <w:r w:rsidR="00F75975">
        <w:t>admitted</w:t>
      </w:r>
      <w:r w:rsidRPr="00FC39A6">
        <w:t xml:space="preserve"> as propensity evidence in a later trial of the same defendant for similar offending.</w:t>
      </w:r>
      <w:r w:rsidR="00E94FB6">
        <w:rPr>
          <w:rStyle w:val="FootnoteReference"/>
        </w:rPr>
        <w:footnoteReference w:id="295"/>
      </w:r>
      <w:r w:rsidR="009E6E22">
        <w:t xml:space="preserve"> </w:t>
      </w:r>
      <w:r w:rsidR="00977CEE">
        <w:t>F</w:t>
      </w:r>
      <w:r w:rsidR="00E20B60" w:rsidRPr="00FC39A6">
        <w:t xml:space="preserve">or example, if there </w:t>
      </w:r>
      <w:r w:rsidR="000409BD">
        <w:t>was</w:t>
      </w:r>
      <w:r w:rsidR="00E20B60" w:rsidRPr="00FC39A6">
        <w:t xml:space="preserve"> a dispute about the identity of the offender</w:t>
      </w:r>
      <w:r w:rsidR="00F80082">
        <w:t xml:space="preserve"> or whether the </w:t>
      </w:r>
      <w:r w:rsidR="00C11B87">
        <w:t>offence occurred at all</w:t>
      </w:r>
      <w:r w:rsidR="00977CEE">
        <w:t xml:space="preserve">, evidence that the defendant </w:t>
      </w:r>
      <w:r w:rsidR="008732E4">
        <w:t xml:space="preserve">had committed similar hostility-motivated offending in the past could </w:t>
      </w:r>
      <w:r w:rsidR="000409BD">
        <w:t>be relied on to help establish their guilt</w:t>
      </w:r>
      <w:r w:rsidR="00E20B60" w:rsidRPr="00FC39A6">
        <w:t xml:space="preserve">. </w:t>
      </w:r>
      <w:r w:rsidRPr="00FC39A6">
        <w:t xml:space="preserve">We are not aware of any cases where this has occurred. </w:t>
      </w:r>
      <w:r w:rsidR="008F3259">
        <w:t>The</w:t>
      </w:r>
      <w:r w:rsidRPr="00FC39A6">
        <w:t xml:space="preserve"> prosecutor</w:t>
      </w:r>
      <w:r w:rsidR="008F3259">
        <w:t xml:space="preserve"> would first need to</w:t>
      </w:r>
      <w:r w:rsidRPr="00FC39A6">
        <w:t xml:space="preserve"> identify that the previous offence involved similar hostility</w:t>
      </w:r>
      <w:r w:rsidR="009240DF">
        <w:t>.</w:t>
      </w:r>
    </w:p>
    <w:p w14:paraId="6FB755D2" w14:textId="1475D20A" w:rsidR="00AE5BCF" w:rsidRDefault="00604E25" w:rsidP="00DF0911">
      <w:pPr>
        <w:pStyle w:val="Heading5"/>
      </w:pPr>
      <w:r>
        <w:t>Relevance to</w:t>
      </w:r>
      <w:r w:rsidR="00EE5B34">
        <w:t xml:space="preserve"> the objectives of hate crime law</w:t>
      </w:r>
    </w:p>
    <w:p w14:paraId="188AD0F6" w14:textId="571DFB08" w:rsidR="00FD6A98" w:rsidRDefault="00966D51" w:rsidP="00F0559C">
      <w:pPr>
        <w:pStyle w:val="BodyText"/>
        <w:numPr>
          <w:ilvl w:val="1"/>
          <w:numId w:val="31"/>
        </w:numPr>
        <w:spacing w:after="120"/>
        <w:ind w:hanging="709"/>
      </w:pPr>
      <w:r>
        <w:t>The</w:t>
      </w:r>
      <w:r w:rsidR="00F0559C">
        <w:t xml:space="preserve"> absence of clear processes to ensure hostile motivation is raised with the courts in relevant cases </w:t>
      </w:r>
      <w:r w:rsidR="00EF36C5">
        <w:t>impacts</w:t>
      </w:r>
      <w:r w:rsidR="00084FBB">
        <w:t xml:space="preserve"> the ability of current law and practice to meet the objectives</w:t>
      </w:r>
      <w:r w:rsidR="00084FBB" w:rsidRPr="007719B7">
        <w:t xml:space="preserve"> of hate crime law</w:t>
      </w:r>
      <w:r w:rsidR="00F0559C">
        <w:t xml:space="preserve">. If </w:t>
      </w:r>
      <w:r w:rsidR="00F0559C" w:rsidRPr="009A60BE">
        <w:t xml:space="preserve">a court </w:t>
      </w:r>
      <w:r w:rsidR="00F0559C">
        <w:t>does not</w:t>
      </w:r>
      <w:r w:rsidR="00F0559C" w:rsidRPr="009A60BE">
        <w:t xml:space="preserve"> consider section 9(1)(h) in a relevant case, </w:t>
      </w:r>
      <w:r w:rsidR="00F0559C">
        <w:t>the</w:t>
      </w:r>
      <w:r w:rsidR="00F0559C" w:rsidRPr="009A60BE">
        <w:t xml:space="preserve"> offender </w:t>
      </w:r>
      <w:r w:rsidR="00F0559C">
        <w:t>is</w:t>
      </w:r>
      <w:r w:rsidR="00F0559C" w:rsidRPr="009A60BE">
        <w:t xml:space="preserve"> not held accountable for the additional harm caused by their offending. Nor </w:t>
      </w:r>
      <w:r w:rsidR="00F0559C">
        <w:t>does</w:t>
      </w:r>
      <w:r w:rsidR="00F0559C" w:rsidRPr="009A60BE">
        <w:t xml:space="preserve"> the court’s decision denounce </w:t>
      </w:r>
      <w:r w:rsidR="00F0559C" w:rsidRPr="001D7030">
        <w:t>the hostility or provide assurance to victims and communities that hate crime is treated seriously. Opportunities to prevent further offending may also be missed</w:t>
      </w:r>
      <w:r w:rsidR="00F01755">
        <w:t>.</w:t>
      </w:r>
      <w:r w:rsidR="00F0559C" w:rsidRPr="001D7030">
        <w:t xml:space="preserve"> </w:t>
      </w:r>
      <w:r w:rsidR="00D15155">
        <w:t>For example:</w:t>
      </w:r>
    </w:p>
    <w:p w14:paraId="538ADCD6" w14:textId="77777777" w:rsidR="00FD6A98" w:rsidRDefault="00F0559C" w:rsidP="00FD6A98">
      <w:pPr>
        <w:pStyle w:val="BodyTextalphalist"/>
      </w:pPr>
      <w:r w:rsidRPr="001D7030">
        <w:t xml:space="preserve">An offender with a pattern of hostility could be released on bail without appropriate conditions, increasing the risk they will commit further hostility-motivated offending. </w:t>
      </w:r>
    </w:p>
    <w:p w14:paraId="49631B87" w14:textId="18D8E30B" w:rsidR="00917C9E" w:rsidRDefault="00F0559C" w:rsidP="00FD6A98">
      <w:pPr>
        <w:pStyle w:val="BodyTextalphalist"/>
      </w:pPr>
      <w:r w:rsidRPr="001D7030">
        <w:t>At sentencing, failure to account for an offender’s hostility may mean the sentence imposed does not provide adequate opportunity for rehabilitation. For offenders who receive a short-term sentence of imprisonment, special release conditions may also be appropriate to protect the affected community.</w:t>
      </w:r>
      <w:r w:rsidRPr="001D7030">
        <w:rPr>
          <w:rStyle w:val="FootnoteReference"/>
        </w:rPr>
        <w:footnoteReference w:id="296"/>
      </w:r>
    </w:p>
    <w:p w14:paraId="2C1AB498" w14:textId="2DE3D2B4" w:rsidR="007C1CFD" w:rsidRPr="009A60BE" w:rsidRDefault="00350659" w:rsidP="00DA2BC2">
      <w:pPr>
        <w:pStyle w:val="Heading3"/>
      </w:pPr>
      <w:bookmarkStart w:id="119" w:name="_Toc212106747"/>
      <w:r>
        <w:t>Adequacy of penalties for</w:t>
      </w:r>
      <w:r w:rsidR="007C1CFD">
        <w:t xml:space="preserve"> </w:t>
      </w:r>
      <w:r w:rsidR="007C1CFD" w:rsidRPr="009A60BE">
        <w:t xml:space="preserve">hate crime </w:t>
      </w:r>
      <w:bookmarkStart w:id="120" w:name="_Toc212106750"/>
      <w:bookmarkEnd w:id="119"/>
    </w:p>
    <w:p w14:paraId="25DE217D" w14:textId="0DE87D3A" w:rsidR="00D40BD0" w:rsidRPr="00D40BD0" w:rsidRDefault="00D40BD0" w:rsidP="00D40BD0">
      <w:pPr>
        <w:pStyle w:val="Heading4"/>
      </w:pPr>
      <w:r>
        <w:t>Consultation</w:t>
      </w:r>
    </w:p>
    <w:p w14:paraId="6F2B1F60" w14:textId="34B2AA74" w:rsidR="00207BAC" w:rsidRDefault="00207BAC" w:rsidP="007C1CFD">
      <w:pPr>
        <w:pStyle w:val="BodyText"/>
        <w:numPr>
          <w:ilvl w:val="1"/>
          <w:numId w:val="31"/>
        </w:numPr>
        <w:spacing w:after="120"/>
        <w:ind w:hanging="709"/>
      </w:pPr>
      <w:r w:rsidRPr="00B73533">
        <w:t>In our Consultation Pape</w:t>
      </w:r>
      <w:r w:rsidR="002423FF" w:rsidRPr="00B73533">
        <w:t xml:space="preserve">r, we discussed </w:t>
      </w:r>
      <w:r w:rsidR="008A584F">
        <w:t xml:space="preserve">the adequacy of penalties for </w:t>
      </w:r>
      <w:r w:rsidR="00CB65BD">
        <w:t>hostility</w:t>
      </w:r>
      <w:r w:rsidR="000961A3">
        <w:t>-motivated offending</w:t>
      </w:r>
      <w:r w:rsidR="002423FF" w:rsidRPr="00B73533">
        <w:t xml:space="preserve"> alongside denunciation. </w:t>
      </w:r>
      <w:r w:rsidR="00B91A5D" w:rsidRPr="00B73533">
        <w:t xml:space="preserve">We explained that, under the current law, </w:t>
      </w:r>
      <w:r w:rsidR="009D4922" w:rsidRPr="00B73533">
        <w:t>the fact that an offence was motivated by hostility does not change the maximum penalty that can be imposed on the offender</w:t>
      </w:r>
      <w:r w:rsidR="00B91A5D" w:rsidRPr="00B73533">
        <w:t>.</w:t>
      </w:r>
      <w:r w:rsidR="00B73533">
        <w:rPr>
          <w:rStyle w:val="FootnoteReference"/>
        </w:rPr>
        <w:footnoteReference w:id="297"/>
      </w:r>
      <w:r w:rsidR="00B91A5D" w:rsidRPr="00B73533">
        <w:t xml:space="preserve"> </w:t>
      </w:r>
      <w:r w:rsidR="00F91525">
        <w:t xml:space="preserve">Additionally, </w:t>
      </w:r>
      <w:r w:rsidR="00F91525" w:rsidRPr="00F91525">
        <w:t xml:space="preserve">the courts are not required to increase an offender’s sentence </w:t>
      </w:r>
      <w:r w:rsidR="00BB5213">
        <w:t xml:space="preserve">at all or </w:t>
      </w:r>
      <w:r w:rsidR="00F91525" w:rsidRPr="00F91525">
        <w:t>by any particular amount.</w:t>
      </w:r>
      <w:r w:rsidR="00F91525">
        <w:rPr>
          <w:rStyle w:val="FootnoteReference"/>
        </w:rPr>
        <w:footnoteReference w:id="298"/>
      </w:r>
      <w:r w:rsidR="00F91525">
        <w:t xml:space="preserve"> </w:t>
      </w:r>
      <w:r w:rsidR="009D4922" w:rsidRPr="00B73533">
        <w:t xml:space="preserve">We </w:t>
      </w:r>
      <w:r w:rsidR="00685F84" w:rsidRPr="00B73533">
        <w:t>sought feedback on whether</w:t>
      </w:r>
      <w:r w:rsidR="00B91A5D" w:rsidRPr="00B73533">
        <w:t xml:space="preserve"> </w:t>
      </w:r>
      <w:r w:rsidR="00787D8E">
        <w:t xml:space="preserve">these features of the current law </w:t>
      </w:r>
      <w:r w:rsidR="003571A0">
        <w:t>limit the denunciatory effect of sentencing decisions.</w:t>
      </w:r>
      <w:r w:rsidR="00C43FB0">
        <w:rPr>
          <w:rStyle w:val="FootnoteReference"/>
        </w:rPr>
        <w:footnoteReference w:id="299"/>
      </w:r>
    </w:p>
    <w:p w14:paraId="354D184C" w14:textId="14F40780" w:rsidR="00D40BD0" w:rsidRPr="009A60BE" w:rsidRDefault="00D40BD0" w:rsidP="00D40BD0">
      <w:pPr>
        <w:pStyle w:val="BodyText"/>
        <w:numPr>
          <w:ilvl w:val="1"/>
          <w:numId w:val="31"/>
        </w:numPr>
        <w:spacing w:after="120"/>
        <w:ind w:hanging="709"/>
      </w:pPr>
      <w:r w:rsidRPr="009A60BE">
        <w:t>No submitters suggested the maximum penalties for existing offences in the Crimes Act</w:t>
      </w:r>
      <w:r w:rsidR="00CC20EC">
        <w:rPr>
          <w:rFonts w:ascii="Calibri" w:hAnsi="Calibri" w:cs="Calibri"/>
        </w:rPr>
        <w:t> </w:t>
      </w:r>
      <w:r w:rsidRPr="009A60BE">
        <w:t xml:space="preserve">1961 and Summary Offences Act are inadequate to take proper account of hostile motivation (although a few suggested </w:t>
      </w:r>
      <w:r w:rsidR="00AC78DE">
        <w:t>the penalties</w:t>
      </w:r>
      <w:r w:rsidR="00AC78DE" w:rsidRPr="009A60BE">
        <w:t xml:space="preserve"> </w:t>
      </w:r>
      <w:r w:rsidRPr="009A60BE">
        <w:t>could be reviewed to assess their adequacy</w:t>
      </w:r>
      <w:r>
        <w:t>).</w:t>
      </w:r>
      <w:r w:rsidRPr="009A60BE">
        <w:rPr>
          <w:rStyle w:val="FootnoteReference"/>
        </w:rPr>
        <w:footnoteReference w:id="300"/>
      </w:r>
      <w:r w:rsidRPr="009A60BE">
        <w:t xml:space="preserve"> Crown Law said more serious offences that might be motivated by hostility such as wounding or grievous bodily harm usually have plenty of “headroom” in the maximum penalty to reflect the culpability of the offending. It also noted that some offences in the Summary Offences Act commonly involved in hate crimes</w:t>
      </w:r>
      <w:r w:rsidR="00402D8F">
        <w:t xml:space="preserve"> </w:t>
      </w:r>
      <w:r w:rsidRPr="009A60BE">
        <w:t xml:space="preserve">such as assault and wilful damage have near-equivalents in the Crimes Act with higher maximum penalties. </w:t>
      </w:r>
      <w:r>
        <w:t>Therefore, p</w:t>
      </w:r>
      <w:r w:rsidRPr="009A60BE">
        <w:t xml:space="preserve">rosecutors </w:t>
      </w:r>
      <w:r>
        <w:t>can</w:t>
      </w:r>
      <w:r w:rsidRPr="009A60BE">
        <w:t xml:space="preserve"> charge hate crime offenders with a more serious offence in appropriate cases. Crown Law acknowledged this is not the case for some summary offences such as offensive behaviour or language.</w:t>
      </w:r>
    </w:p>
    <w:p w14:paraId="129EA44C" w14:textId="2EF739D5" w:rsidR="0036260C" w:rsidRPr="009A60BE" w:rsidRDefault="0036260C" w:rsidP="0036260C">
      <w:pPr>
        <w:pStyle w:val="BodyText"/>
        <w:numPr>
          <w:ilvl w:val="1"/>
          <w:numId w:val="31"/>
        </w:numPr>
        <w:spacing w:after="120"/>
        <w:ind w:hanging="709"/>
      </w:pPr>
      <w:r>
        <w:t>We also</w:t>
      </w:r>
      <w:r w:rsidRPr="009A60BE">
        <w:t xml:space="preserve"> heard few concerns about the sentences imposed in cases where the hostility aggravating factor was applied. Most submitters and people we spoke </w:t>
      </w:r>
      <w:r w:rsidR="00015BFE">
        <w:t>with</w:t>
      </w:r>
      <w:r w:rsidR="00015BFE" w:rsidRPr="009A60BE">
        <w:t xml:space="preserve"> </w:t>
      </w:r>
      <w:r w:rsidR="00361E9A">
        <w:t xml:space="preserve">were </w:t>
      </w:r>
      <w:r w:rsidRPr="009A60BE">
        <w:t xml:space="preserve">more concerned about offending either not being prosecuted or not treated as a hate crime (as discussed above) than with the sentence imposed when the aggravating factor was applied. </w:t>
      </w:r>
    </w:p>
    <w:p w14:paraId="24AC37ED" w14:textId="2FA69C29" w:rsidR="00D40BD0" w:rsidRDefault="0036260C" w:rsidP="0036260C">
      <w:pPr>
        <w:pStyle w:val="BodyText"/>
        <w:numPr>
          <w:ilvl w:val="1"/>
          <w:numId w:val="31"/>
        </w:numPr>
        <w:spacing w:after="120"/>
        <w:ind w:hanging="709"/>
      </w:pPr>
      <w:r w:rsidRPr="009A60BE">
        <w:rPr>
          <w:lang w:val="en-US"/>
        </w:rPr>
        <w:t xml:space="preserve">One submitter, Luke Cunningham Clere, </w:t>
      </w:r>
      <w:r w:rsidRPr="009A60BE">
        <w:t xml:space="preserve">suggested there is some evidence of inconsistent judicial treatment of hate crime and </w:t>
      </w:r>
      <w:r w:rsidR="00881E60">
        <w:t xml:space="preserve">said </w:t>
      </w:r>
      <w:r w:rsidRPr="009A60BE">
        <w:t xml:space="preserve">this could indicate that sentences being handed down are inadequate. It referred to two cases </w:t>
      </w:r>
      <w:r w:rsidR="00A90F0E">
        <w:t>in which</w:t>
      </w:r>
      <w:r w:rsidR="00A90F0E" w:rsidRPr="009A60BE">
        <w:t xml:space="preserve"> </w:t>
      </w:r>
      <w:r w:rsidRPr="009A60BE">
        <w:t xml:space="preserve">it said </w:t>
      </w:r>
      <w:r>
        <w:t>Te Kōti Pīra |</w:t>
      </w:r>
      <w:r w:rsidRPr="009A60BE">
        <w:t xml:space="preserve"> Court of Appeal took a different view to </w:t>
      </w:r>
      <w:r>
        <w:t>Te Kōti Matua |</w:t>
      </w:r>
      <w:r w:rsidRPr="009A60BE">
        <w:t xml:space="preserve"> High Court on the significance of the</w:t>
      </w:r>
      <w:r>
        <w:t xml:space="preserve"> hostility aggravating</w:t>
      </w:r>
      <w:r w:rsidRPr="009A60BE">
        <w:t xml:space="preserve"> factor.</w:t>
      </w:r>
      <w:r w:rsidR="001D1A66">
        <w:rPr>
          <w:rStyle w:val="FootnoteReference"/>
        </w:rPr>
        <w:footnoteReference w:id="301"/>
      </w:r>
      <w:r w:rsidR="006556AB">
        <w:t xml:space="preserve"> </w:t>
      </w:r>
      <w:r w:rsidR="00CE0446">
        <w:t>We discuss these cases below.</w:t>
      </w:r>
    </w:p>
    <w:p w14:paraId="5962D99D" w14:textId="632CE39F" w:rsidR="001D1A66" w:rsidRPr="00B73533" w:rsidRDefault="001D1A66" w:rsidP="001D1A66">
      <w:pPr>
        <w:pStyle w:val="Heading4"/>
      </w:pPr>
      <w:r>
        <w:t>Is there a problem with the current law?</w:t>
      </w:r>
    </w:p>
    <w:p w14:paraId="25E86099" w14:textId="253E1216" w:rsidR="008B79D6" w:rsidRPr="009A60BE" w:rsidRDefault="008B79D6" w:rsidP="008B79D6">
      <w:pPr>
        <w:pStyle w:val="BodyText"/>
        <w:numPr>
          <w:ilvl w:val="1"/>
          <w:numId w:val="31"/>
        </w:numPr>
        <w:spacing w:after="120"/>
        <w:ind w:hanging="709"/>
      </w:pPr>
      <w:r>
        <w:t>B</w:t>
      </w:r>
      <w:r w:rsidRPr="009A60BE">
        <w:t xml:space="preserve">ased on the information available to us, we have not identified a problem with the sentences available or imposed in cases </w:t>
      </w:r>
      <w:r>
        <w:t>where the hostility aggravating factor is applied</w:t>
      </w:r>
      <w:r w:rsidRPr="009A60BE">
        <w:t>.</w:t>
      </w:r>
      <w:r>
        <w:t xml:space="preserve"> </w:t>
      </w:r>
    </w:p>
    <w:p w14:paraId="178EFF37" w14:textId="0D7B711E" w:rsidR="007C1CFD" w:rsidRPr="009A60BE" w:rsidRDefault="007C1CFD" w:rsidP="007C1CFD">
      <w:pPr>
        <w:pStyle w:val="BodyText"/>
        <w:numPr>
          <w:ilvl w:val="1"/>
          <w:numId w:val="31"/>
        </w:numPr>
        <w:spacing w:after="120"/>
        <w:ind w:hanging="709"/>
      </w:pPr>
      <w:r w:rsidRPr="009A60BE">
        <w:t xml:space="preserve">To ensure that hate crime offenders are held accountable and their offending is appropriately denounced, maximum penalties need to be high enough to allow the courts to reflect the </w:t>
      </w:r>
      <w:r w:rsidR="001059D9">
        <w:t xml:space="preserve">offender’s </w:t>
      </w:r>
      <w:r w:rsidRPr="009A60BE">
        <w:t xml:space="preserve">hostile motivation in the sentence imposed. The courts also need to give adequate weight to </w:t>
      </w:r>
      <w:r w:rsidR="005616A7">
        <w:t>an offender’s</w:t>
      </w:r>
      <w:r w:rsidR="005616A7" w:rsidRPr="009A60BE">
        <w:t xml:space="preserve"> </w:t>
      </w:r>
      <w:r w:rsidRPr="009A60BE">
        <w:t>hostile motivation</w:t>
      </w:r>
      <w:r w:rsidR="00207BAC">
        <w:t xml:space="preserve"> when determining </w:t>
      </w:r>
      <w:r w:rsidR="00A40DAA">
        <w:t>the</w:t>
      </w:r>
      <w:r w:rsidR="005616A7">
        <w:t>ir</w:t>
      </w:r>
      <w:r w:rsidR="00585F68">
        <w:t xml:space="preserve"> </w:t>
      </w:r>
      <w:r w:rsidR="00207BAC">
        <w:t>sentence</w:t>
      </w:r>
      <w:r w:rsidRPr="009A60BE">
        <w:t>.</w:t>
      </w:r>
      <w:r w:rsidR="00D0732F">
        <w:t xml:space="preserve"> </w:t>
      </w:r>
    </w:p>
    <w:p w14:paraId="66089D13" w14:textId="55C8BD65" w:rsidR="007C1CFD" w:rsidRDefault="009B6F9C" w:rsidP="007C1CFD">
      <w:pPr>
        <w:pStyle w:val="BodyText"/>
        <w:numPr>
          <w:ilvl w:val="1"/>
          <w:numId w:val="31"/>
        </w:numPr>
        <w:spacing w:after="120"/>
        <w:ind w:hanging="709"/>
      </w:pPr>
      <w:r>
        <w:t xml:space="preserve">In relation to the adequacy of maximum </w:t>
      </w:r>
      <w:r w:rsidR="00D50DDE">
        <w:t>penalties</w:t>
      </w:r>
      <w:r>
        <w:t xml:space="preserve">, </w:t>
      </w:r>
      <w:r w:rsidR="004609A8">
        <w:t xml:space="preserve">the </w:t>
      </w:r>
      <w:r>
        <w:t>Royal Commission noted that the</w:t>
      </w:r>
      <w:r w:rsidR="007C14F7">
        <w:t xml:space="preserve"> maximum</w:t>
      </w:r>
      <w:r>
        <w:t xml:space="preserve"> penalties </w:t>
      </w:r>
      <w:r w:rsidR="009F5A4D">
        <w:t xml:space="preserve">for summary offences are </w:t>
      </w:r>
      <w:r w:rsidR="007C14F7">
        <w:t xml:space="preserve">low and suggested that may mean </w:t>
      </w:r>
      <w:r w:rsidR="00E15EC9">
        <w:t xml:space="preserve">that </w:t>
      </w:r>
      <w:r w:rsidR="00910D44">
        <w:t>taking hostile motivation into account at sentencing would have little practical effect.</w:t>
      </w:r>
      <w:r w:rsidR="00910D44">
        <w:rPr>
          <w:rStyle w:val="FootnoteReference"/>
        </w:rPr>
        <w:footnoteReference w:id="302"/>
      </w:r>
      <w:r w:rsidR="00E15EC9">
        <w:t xml:space="preserve"> As noted above, however, no submitters </w:t>
      </w:r>
      <w:r w:rsidR="00BD3CDB">
        <w:t>suggested the existing maximum penalties are causing problems in practice.</w:t>
      </w:r>
      <w:r w:rsidR="00C92066">
        <w:t xml:space="preserve"> </w:t>
      </w:r>
      <w:r w:rsidR="007C1CFD" w:rsidRPr="009A60BE">
        <w:t xml:space="preserve">We did not identify a problem with existing maximum penalties from our own </w:t>
      </w:r>
      <w:r w:rsidR="00C92066">
        <w:t>research</w:t>
      </w:r>
      <w:r w:rsidR="007C1CFD" w:rsidRPr="009A60BE">
        <w:t xml:space="preserve"> either. In the cases we identified where the hostility aggravating factor was applied, the sentences imposed were not generally near the maximum. This suggests there is scope within the existing maximum penalties to </w:t>
      </w:r>
      <w:r w:rsidR="000C713B">
        <w:t>adequately reflect</w:t>
      </w:r>
      <w:r w:rsidR="007C1CFD" w:rsidRPr="009A60BE">
        <w:t xml:space="preserve"> hostile motivation. </w:t>
      </w:r>
    </w:p>
    <w:p w14:paraId="30FBB97A" w14:textId="6CDB3E34" w:rsidR="00490CFF" w:rsidRDefault="00490CFF" w:rsidP="00490CFF">
      <w:pPr>
        <w:pStyle w:val="BodyText"/>
        <w:numPr>
          <w:ilvl w:val="1"/>
          <w:numId w:val="31"/>
        </w:numPr>
        <w:spacing w:after="120"/>
        <w:ind w:hanging="709"/>
      </w:pPr>
      <w:r>
        <w:t xml:space="preserve">In England and Wales, where there are hate crime offences with higher maximum penalties, feedback </w:t>
      </w:r>
      <w:r w:rsidR="006B4C95">
        <w:t xml:space="preserve">from </w:t>
      </w:r>
      <w:r>
        <w:t>criminal law practitioners on a review</w:t>
      </w:r>
      <w:r w:rsidR="006B4C95">
        <w:t xml:space="preserve"> </w:t>
      </w:r>
      <w:r w:rsidR="00C04595">
        <w:t>by the Law Commission of England and Wales</w:t>
      </w:r>
      <w:r w:rsidR="006B4C95">
        <w:t xml:space="preserve"> indicated</w:t>
      </w:r>
      <w:r>
        <w:t xml:space="preserve"> that </w:t>
      </w:r>
      <w:r w:rsidRPr="00865BDD">
        <w:t>judges are reluctant to sentence anywhere near the increased maximum</w:t>
      </w:r>
      <w:r>
        <w:t>.</w:t>
      </w:r>
      <w:r>
        <w:rPr>
          <w:rStyle w:val="FootnoteReference"/>
        </w:rPr>
        <w:footnoteReference w:id="303"/>
      </w:r>
      <w:r>
        <w:t xml:space="preserve"> Indeed, it is uncommon for </w:t>
      </w:r>
      <w:r w:rsidRPr="00212FE2">
        <w:t xml:space="preserve">sentences for </w:t>
      </w:r>
      <w:r>
        <w:t>hate crime</w:t>
      </w:r>
      <w:r w:rsidRPr="00212FE2">
        <w:t xml:space="preserve"> offences to exceed the maximum available for the </w:t>
      </w:r>
      <w:r w:rsidR="002A172A">
        <w:t>equivalent non-hate</w:t>
      </w:r>
      <w:r w:rsidR="002A172A" w:rsidRPr="00212FE2">
        <w:t xml:space="preserve"> </w:t>
      </w:r>
      <w:r w:rsidRPr="00212FE2">
        <w:t>offence</w:t>
      </w:r>
      <w:r>
        <w:t>, although it does happen on occasion.</w:t>
      </w:r>
      <w:r>
        <w:rPr>
          <w:rStyle w:val="FootnoteReference"/>
        </w:rPr>
        <w:footnoteReference w:id="304"/>
      </w:r>
      <w:r w:rsidR="00B12B30">
        <w:t xml:space="preserve"> This tends to suggest that higher maximum penalties for hate crime offences </w:t>
      </w:r>
      <w:r w:rsidR="00D4634D">
        <w:t>are</w:t>
      </w:r>
      <w:r w:rsidR="00B12B30">
        <w:t xml:space="preserve"> more symbolic than practical in nature.</w:t>
      </w:r>
      <w:r w:rsidR="003D2DCD">
        <w:t xml:space="preserve"> We return to </w:t>
      </w:r>
      <w:r w:rsidR="00094AD9">
        <w:t>the symbolic value of higher maximum penalties</w:t>
      </w:r>
      <w:r w:rsidR="003D2DCD">
        <w:t xml:space="preserve"> </w:t>
      </w:r>
      <w:r w:rsidR="00FF5D2C">
        <w:t xml:space="preserve">in Chapter 5 </w:t>
      </w:r>
      <w:r w:rsidR="00094AD9">
        <w:t>when discussing</w:t>
      </w:r>
      <w:r w:rsidR="00FF5D2C">
        <w:t xml:space="preserve"> denunciation.</w:t>
      </w:r>
    </w:p>
    <w:p w14:paraId="54E9A86D" w14:textId="18D85E5A" w:rsidR="00CC6269" w:rsidRDefault="00A7048D" w:rsidP="00CC6269">
      <w:pPr>
        <w:pStyle w:val="BodyText"/>
        <w:numPr>
          <w:ilvl w:val="1"/>
          <w:numId w:val="31"/>
        </w:numPr>
        <w:spacing w:after="120"/>
        <w:ind w:hanging="709"/>
      </w:pPr>
      <w:r>
        <w:t>W</w:t>
      </w:r>
      <w:r w:rsidR="00CC6269" w:rsidRPr="009A60BE">
        <w:t>e were unable to conduct a full review of the sentences imposed in all hate crime cases</w:t>
      </w:r>
      <w:r w:rsidR="00CC6269">
        <w:t>, given the difficulties already discussed with identifying those cases</w:t>
      </w:r>
      <w:r w:rsidR="00CC6269" w:rsidRPr="009A60BE">
        <w:t xml:space="preserve">. </w:t>
      </w:r>
      <w:r w:rsidR="00CC6269">
        <w:t xml:space="preserve">In particular, since District Court sentencing decisions are not </w:t>
      </w:r>
      <w:r w:rsidR="0085654F">
        <w:t>routinely</w:t>
      </w:r>
      <w:r w:rsidR="00CC6269">
        <w:t xml:space="preserve"> published, w</w:t>
      </w:r>
      <w:r w:rsidR="00CC6269" w:rsidRPr="009A60BE">
        <w:t xml:space="preserve">e were </w:t>
      </w:r>
      <w:r w:rsidR="0085654F">
        <w:t>mostly</w:t>
      </w:r>
      <w:r w:rsidR="00CC6269" w:rsidRPr="009A60BE">
        <w:t xml:space="preserve"> limited to examining </w:t>
      </w:r>
      <w:r w:rsidR="00CC6269">
        <w:t>cases of</w:t>
      </w:r>
      <w:r w:rsidR="00CC6269" w:rsidRPr="009A60BE">
        <w:t xml:space="preserve"> more serious </w:t>
      </w:r>
      <w:r w:rsidR="00CC6269">
        <w:t xml:space="preserve">hostility-motivated </w:t>
      </w:r>
      <w:r w:rsidR="00CC6269" w:rsidRPr="009A60BE">
        <w:t xml:space="preserve">offending. This reinforces the need for improved recording of hate crime cases </w:t>
      </w:r>
      <w:r w:rsidR="00CC6269">
        <w:t xml:space="preserve">in the courts to </w:t>
      </w:r>
      <w:r w:rsidR="00CC6269" w:rsidRPr="009A60BE">
        <w:t xml:space="preserve">inform any future review of hate crime law. </w:t>
      </w:r>
    </w:p>
    <w:p w14:paraId="415F2AAA" w14:textId="58818DE9" w:rsidR="007C1CFD" w:rsidRPr="009A60BE" w:rsidRDefault="00472D0D" w:rsidP="007C1CFD">
      <w:pPr>
        <w:pStyle w:val="BodyText"/>
        <w:numPr>
          <w:ilvl w:val="1"/>
          <w:numId w:val="31"/>
        </w:numPr>
        <w:spacing w:after="120"/>
        <w:ind w:hanging="709"/>
      </w:pPr>
      <w:r>
        <w:t xml:space="preserve">We also </w:t>
      </w:r>
      <w:r w:rsidR="00BA2F46">
        <w:t xml:space="preserve">did not identify a problem with the weight given to hostile motivation in sentencing decisions. </w:t>
      </w:r>
      <w:r w:rsidR="00882FD4">
        <w:t>The</w:t>
      </w:r>
      <w:r w:rsidR="007C1CFD" w:rsidRPr="009A60BE">
        <w:t xml:space="preserve"> cases referred to </w:t>
      </w:r>
      <w:r w:rsidR="00BA2F46">
        <w:t>by Luke Cunningham Clere</w:t>
      </w:r>
      <w:r w:rsidR="007C1CFD" w:rsidRPr="009A60BE">
        <w:t xml:space="preserve"> do not </w:t>
      </w:r>
      <w:r w:rsidR="00882FD4">
        <w:t>appear to</w:t>
      </w:r>
      <w:r w:rsidR="007C1CFD" w:rsidRPr="009A60BE">
        <w:t xml:space="preserve"> raise general concerns about the adequacy of sentences imposed where hostility is a factor. In </w:t>
      </w:r>
      <w:r w:rsidR="007C1CFD" w:rsidRPr="009A60BE">
        <w:rPr>
          <w:i/>
          <w:iCs/>
        </w:rPr>
        <w:t xml:space="preserve">Solicitor-General v Milne </w:t>
      </w:r>
      <w:r w:rsidR="007C1CFD" w:rsidRPr="009A60BE">
        <w:t>the concern was that the sentencing judge did not apply the aggravating factor at all (as opposed to giving it inadequate weight) and the sentence was increased on appeal.</w:t>
      </w:r>
      <w:r w:rsidR="007C1CFD" w:rsidRPr="009A60BE">
        <w:rPr>
          <w:rStyle w:val="FootnoteReference"/>
        </w:rPr>
        <w:footnoteReference w:id="305"/>
      </w:r>
      <w:r w:rsidR="007C1CFD" w:rsidRPr="009A60BE">
        <w:t xml:space="preserve"> In the 2011 case </w:t>
      </w:r>
      <w:r w:rsidR="007C1CFD" w:rsidRPr="009A60BE">
        <w:rPr>
          <w:i/>
          <w:iCs/>
        </w:rPr>
        <w:t>Galloway v R</w:t>
      </w:r>
      <w:r w:rsidR="007C1CFD" w:rsidRPr="009A60BE">
        <w:t xml:space="preserve">, the Court of Appeal </w:t>
      </w:r>
      <w:r w:rsidR="007C1CFD">
        <w:t xml:space="preserve">reduced the </w:t>
      </w:r>
      <w:r w:rsidR="005678DE">
        <w:t xml:space="preserve">offender’s </w:t>
      </w:r>
      <w:r w:rsidR="007C1CFD">
        <w:t xml:space="preserve">sentence in part because of </w:t>
      </w:r>
      <w:r w:rsidR="007C1CFD" w:rsidRPr="009A60BE">
        <w:t>the need for parity with a co-offender and the fact that the sentencing judge may have double-counted hostility as a factor.</w:t>
      </w:r>
      <w:r w:rsidR="007C1CFD" w:rsidRPr="009A60BE">
        <w:rPr>
          <w:rStyle w:val="FootnoteReference"/>
        </w:rPr>
        <w:footnoteReference w:id="306"/>
      </w:r>
      <w:r w:rsidR="007C1CFD" w:rsidRPr="009A60BE">
        <w:t xml:space="preserve"> Th</w:t>
      </w:r>
      <w:r w:rsidR="007C1CFD">
        <w:t>ese features of the case</w:t>
      </w:r>
      <w:r w:rsidR="007C1CFD" w:rsidRPr="009A60BE">
        <w:t xml:space="preserve"> make it difficult to draw any wider conclusions from the decision. We found nothing in later cases to suggest </w:t>
      </w:r>
      <w:r w:rsidR="00E14066">
        <w:t>this precedent</w:t>
      </w:r>
      <w:r w:rsidR="007C1CFD" w:rsidRPr="009A60BE">
        <w:t xml:space="preserve"> has led to sentencing judges giving inadequate weight to the aggravating factor. </w:t>
      </w:r>
    </w:p>
    <w:p w14:paraId="06E167FF" w14:textId="75C068FE" w:rsidR="007C1CFD" w:rsidRPr="009A60BE" w:rsidRDefault="007C1CFD" w:rsidP="00635011">
      <w:pPr>
        <w:pStyle w:val="Heading3"/>
      </w:pPr>
      <w:r>
        <w:t>Reporting</w:t>
      </w:r>
      <w:r w:rsidRPr="009A60BE">
        <w:t xml:space="preserve"> hate crime</w:t>
      </w:r>
      <w:bookmarkEnd w:id="120"/>
      <w:r>
        <w:t xml:space="preserve"> to </w:t>
      </w:r>
      <w:r w:rsidR="00227218">
        <w:t>P</w:t>
      </w:r>
      <w:r>
        <w:t>olice</w:t>
      </w:r>
    </w:p>
    <w:p w14:paraId="2FADCF3B" w14:textId="1B701838" w:rsidR="00D754A8" w:rsidRPr="007E4F16" w:rsidRDefault="00D754A8" w:rsidP="00D754A8">
      <w:pPr>
        <w:pStyle w:val="Heading4"/>
      </w:pPr>
      <w:r w:rsidRPr="007E4F16">
        <w:t>Consultation</w:t>
      </w:r>
    </w:p>
    <w:p w14:paraId="37E37E99" w14:textId="204CD17F" w:rsidR="007F6177" w:rsidRPr="007E4F16" w:rsidRDefault="007F6177" w:rsidP="007C1CFD">
      <w:pPr>
        <w:pStyle w:val="BodyText"/>
        <w:numPr>
          <w:ilvl w:val="1"/>
          <w:numId w:val="31"/>
        </w:numPr>
        <w:spacing w:after="120"/>
        <w:ind w:hanging="709"/>
      </w:pPr>
      <w:r w:rsidRPr="007E4F16">
        <w:t>In our Consultation Pape</w:t>
      </w:r>
      <w:r w:rsidR="00C50BAA" w:rsidRPr="007E4F16">
        <w:t xml:space="preserve">r, we </w:t>
      </w:r>
      <w:r w:rsidR="00914F4B" w:rsidRPr="007E4F16">
        <w:t xml:space="preserve">referred to observations by the Royal Commission and to overseas data indicating that hate crime is underreported to </w:t>
      </w:r>
      <w:r w:rsidR="00172FD5">
        <w:t>P</w:t>
      </w:r>
      <w:r w:rsidR="00914F4B" w:rsidRPr="007E4F16">
        <w:t>olice.</w:t>
      </w:r>
      <w:r w:rsidR="00914F4B" w:rsidRPr="007E4F16">
        <w:rPr>
          <w:rStyle w:val="FootnoteReference"/>
        </w:rPr>
        <w:footnoteReference w:id="307"/>
      </w:r>
      <w:r w:rsidR="006D6A1B" w:rsidRPr="007E4F16">
        <w:t xml:space="preserve"> </w:t>
      </w:r>
      <w:r w:rsidR="000F33A0" w:rsidRPr="007E4F16">
        <w:t xml:space="preserve">We </w:t>
      </w:r>
      <w:r w:rsidR="001D6EC8">
        <w:t>described</w:t>
      </w:r>
      <w:r w:rsidR="000F33A0" w:rsidRPr="007E4F16">
        <w:t xml:space="preserve"> </w:t>
      </w:r>
      <w:r w:rsidR="00E14CAE" w:rsidRPr="007E4F16">
        <w:t xml:space="preserve">work </w:t>
      </w:r>
      <w:r w:rsidR="001D6EC8">
        <w:t>that has occurred</w:t>
      </w:r>
      <w:r w:rsidR="00E14CAE" w:rsidRPr="007E4F16">
        <w:t xml:space="preserve"> within Police since the Royal Commission’s report to improve how </w:t>
      </w:r>
      <w:r w:rsidR="001D6EC8">
        <w:t>Police</w:t>
      </w:r>
      <w:r w:rsidR="00E14CAE" w:rsidRPr="007E4F16">
        <w:t xml:space="preserve"> responds to reports of hate crime</w:t>
      </w:r>
      <w:r w:rsidR="00E32F70" w:rsidRPr="007E4F16">
        <w:t>. We sought feedback on whether there are still barriers to reporting hate crime and, if so, whether the current law is part of the reason for this.</w:t>
      </w:r>
      <w:r w:rsidR="00BA27EA" w:rsidRPr="007E4F16">
        <w:rPr>
          <w:rStyle w:val="FootnoteReference"/>
        </w:rPr>
        <w:footnoteReference w:id="308"/>
      </w:r>
    </w:p>
    <w:p w14:paraId="3567DEAA" w14:textId="5DE2A5F6" w:rsidR="007C1CFD" w:rsidRPr="009A60BE" w:rsidRDefault="007C1CFD" w:rsidP="007C1CFD">
      <w:pPr>
        <w:pStyle w:val="BodyText"/>
        <w:numPr>
          <w:ilvl w:val="1"/>
          <w:numId w:val="31"/>
        </w:numPr>
        <w:spacing w:after="120"/>
        <w:ind w:hanging="709"/>
      </w:pPr>
      <w:r w:rsidRPr="009A60BE">
        <w:t xml:space="preserve">It is clear from the submissions we received and </w:t>
      </w:r>
      <w:r w:rsidR="00D77906">
        <w:t xml:space="preserve">feedback from </w:t>
      </w:r>
      <w:r w:rsidRPr="009A60BE">
        <w:t xml:space="preserve">people we spoke with during consultation that many people who experience hate crimes choose not to report them to </w:t>
      </w:r>
      <w:r w:rsidR="00E834C6">
        <w:t>P</w:t>
      </w:r>
      <w:r w:rsidRPr="009A60BE">
        <w:t xml:space="preserve">olice. We heard </w:t>
      </w:r>
      <w:r w:rsidR="00C67BBB">
        <w:t xml:space="preserve">in consultation that </w:t>
      </w:r>
      <w:r w:rsidRPr="009A60BE">
        <w:t xml:space="preserve">this is due to low levels of trust in </w:t>
      </w:r>
      <w:r w:rsidR="00E834C6">
        <w:t>P</w:t>
      </w:r>
      <w:r w:rsidRPr="009A60BE">
        <w:t xml:space="preserve">olice and the justice system among certain communities affected by hate crimes, a perception that </w:t>
      </w:r>
      <w:r w:rsidR="00E834C6">
        <w:t>P</w:t>
      </w:r>
      <w:r w:rsidRPr="009A60BE">
        <w:t xml:space="preserve">olice </w:t>
      </w:r>
      <w:r w:rsidR="00C67BBB">
        <w:t>can</w:t>
      </w:r>
      <w:r w:rsidRPr="009A60BE">
        <w:t>not do anything or a reluctance to engage with the justice process</w:t>
      </w:r>
      <w:r w:rsidR="00B83491">
        <w:t>. That reluctance can be</w:t>
      </w:r>
      <w:r w:rsidRPr="009A60BE">
        <w:t xml:space="preserve"> because of the time and potential trauma involved</w:t>
      </w:r>
      <w:r w:rsidR="00B83491">
        <w:t xml:space="preserve"> in reporting</w:t>
      </w:r>
      <w:r w:rsidRPr="009A60BE">
        <w:t>, lack of support</w:t>
      </w:r>
      <w:r w:rsidR="00B83491">
        <w:t xml:space="preserve"> for victims</w:t>
      </w:r>
      <w:r w:rsidRPr="009A60BE">
        <w:t xml:space="preserve"> or a belief that punishment is not the right way to address hate. </w:t>
      </w:r>
    </w:p>
    <w:p w14:paraId="33EF4A1D" w14:textId="441C3E01" w:rsidR="00B56891" w:rsidRDefault="007C1CFD" w:rsidP="007C1CFD">
      <w:pPr>
        <w:pStyle w:val="BodyText"/>
        <w:numPr>
          <w:ilvl w:val="1"/>
          <w:numId w:val="31"/>
        </w:numPr>
        <w:spacing w:after="120"/>
        <w:ind w:hanging="709"/>
      </w:pPr>
      <w:r w:rsidRPr="009A60BE">
        <w:t xml:space="preserve">Some submitters and people we spoke with said members of marginalised communities may not report hate crimes because of their own or others’ previous interactions with </w:t>
      </w:r>
      <w:r w:rsidR="00227218">
        <w:t>P</w:t>
      </w:r>
      <w:r w:rsidRPr="009A60BE">
        <w:t>olice.</w:t>
      </w:r>
      <w:r w:rsidRPr="009A60BE">
        <w:rPr>
          <w:rStyle w:val="FootnoteReference"/>
        </w:rPr>
        <w:footnoteReference w:id="309"/>
      </w:r>
      <w:r w:rsidRPr="009A60BE">
        <w:t xml:space="preserve"> This was particularly emphasised by rainbow and disabled people, </w:t>
      </w:r>
      <w:r w:rsidR="006160AB">
        <w:t xml:space="preserve">respectively, </w:t>
      </w:r>
      <w:r w:rsidRPr="009A60BE">
        <w:t xml:space="preserve">who highlighted past experiences of </w:t>
      </w:r>
      <w:r w:rsidR="005D3D6C">
        <w:t>s</w:t>
      </w:r>
      <w:r w:rsidRPr="009A60BE">
        <w:t>tate persecution, lack of protection and disrespectful treatment (including victim-blaming and trivialising of complaints).</w:t>
      </w:r>
      <w:r w:rsidR="003C4BEE">
        <w:rPr>
          <w:rStyle w:val="FootnoteReference"/>
        </w:rPr>
        <w:footnoteReference w:id="310"/>
      </w:r>
      <w:r w:rsidRPr="009A60BE">
        <w:t xml:space="preserve"> </w:t>
      </w:r>
    </w:p>
    <w:p w14:paraId="0986A224" w14:textId="2CDA60E2" w:rsidR="007B6872" w:rsidRDefault="007B6872" w:rsidP="007E4F16">
      <w:pPr>
        <w:pStyle w:val="BodyText"/>
        <w:numPr>
          <w:ilvl w:val="1"/>
          <w:numId w:val="31"/>
        </w:numPr>
        <w:spacing w:after="120"/>
        <w:ind w:hanging="709"/>
      </w:pPr>
      <w:r w:rsidRPr="009A60BE">
        <w:t>T</w:t>
      </w:r>
      <w:r>
        <w:t>hree</w:t>
      </w:r>
      <w:r w:rsidRPr="009A60BE">
        <w:t xml:space="preserve"> submitters </w:t>
      </w:r>
      <w:r w:rsidR="00107827">
        <w:t xml:space="preserve">made comments </w:t>
      </w:r>
      <w:r w:rsidR="00173333">
        <w:t>suggesting</w:t>
      </w:r>
      <w:r w:rsidR="00107827">
        <w:t xml:space="preserve"> </w:t>
      </w:r>
      <w:r w:rsidR="004D0E29">
        <w:t xml:space="preserve">that </w:t>
      </w:r>
      <w:r w:rsidR="00173333">
        <w:t xml:space="preserve">underreporting of hate crime is </w:t>
      </w:r>
      <w:r w:rsidR="007E4F16">
        <w:t>a problem with the current law</w:t>
      </w:r>
      <w:r>
        <w:t xml:space="preserve">. Two </w:t>
      </w:r>
      <w:r w:rsidR="007E4F16">
        <w:t>said</w:t>
      </w:r>
      <w:r w:rsidRPr="009A60BE">
        <w:t xml:space="preserve"> the sentence aggravation model does not encourage people to report hate crimes</w:t>
      </w:r>
      <w:r w:rsidRPr="009A60BE">
        <w:rPr>
          <w:rStyle w:val="FootnoteReference"/>
        </w:rPr>
        <w:footnoteReference w:id="311"/>
      </w:r>
      <w:r w:rsidRPr="009A60BE">
        <w:t xml:space="preserve"> </w:t>
      </w:r>
      <w:r>
        <w:t>and a third</w:t>
      </w:r>
      <w:r w:rsidRPr="009A60BE">
        <w:t xml:space="preserve"> suggested creating hate crime offences could encourage reporting.</w:t>
      </w:r>
      <w:r w:rsidRPr="009A60BE">
        <w:rPr>
          <w:rStyle w:val="FootnoteReference"/>
        </w:rPr>
        <w:footnoteReference w:id="312"/>
      </w:r>
    </w:p>
    <w:p w14:paraId="6FB4F416" w14:textId="6CB9F01F" w:rsidR="00E070FC" w:rsidRPr="009A60BE" w:rsidRDefault="00E070FC" w:rsidP="00E070FC">
      <w:pPr>
        <w:pStyle w:val="BodyText"/>
        <w:numPr>
          <w:ilvl w:val="1"/>
          <w:numId w:val="31"/>
        </w:numPr>
        <w:spacing w:after="120"/>
        <w:ind w:hanging="709"/>
      </w:pPr>
      <w:r w:rsidRPr="009A60BE">
        <w:t xml:space="preserve">On the other hand, most submitters and people </w:t>
      </w:r>
      <w:r w:rsidR="00052658">
        <w:t>we spoke with</w:t>
      </w:r>
      <w:r w:rsidRPr="009A60BE">
        <w:t xml:space="preserve"> attributed low reporting rates to systemic issues within the justice system — including bias, a lack of cultural and diversity awareness, inadequate support for victims and a focus on punishment rather than prevention and rehabilitation. Two submitters said </w:t>
      </w:r>
      <w:r>
        <w:t xml:space="preserve">explicitly that </w:t>
      </w:r>
      <w:r w:rsidRPr="009A60BE">
        <w:t>hate crime offences are not needed to encourage reporting.</w:t>
      </w:r>
      <w:r w:rsidRPr="009A60BE">
        <w:rPr>
          <w:rStyle w:val="FootnoteReference"/>
        </w:rPr>
        <w:footnoteReference w:id="313"/>
      </w:r>
      <w:r w:rsidRPr="009A60BE">
        <w:t xml:space="preserve"> They suggested this could </w:t>
      </w:r>
      <w:r w:rsidR="00947816">
        <w:t>instead</w:t>
      </w:r>
      <w:r w:rsidRPr="009A60BE">
        <w:t xml:space="preserve"> be achieved through public education, improved </w:t>
      </w:r>
      <w:r w:rsidR="0094195C">
        <w:t>P</w:t>
      </w:r>
      <w:r w:rsidRPr="009A60BE">
        <w:t>olice engagement with affected communities and trust-building initiatives. A further six submitters agreed that public education and awareness initiatives could help to improve reporting or show hate crimes are taken seriously.</w:t>
      </w:r>
      <w:r w:rsidRPr="009A60BE">
        <w:rPr>
          <w:rStyle w:val="FootnoteReference"/>
        </w:rPr>
        <w:footnoteReference w:id="314"/>
      </w:r>
    </w:p>
    <w:p w14:paraId="28F52115" w14:textId="10C3F842" w:rsidR="00E070FC" w:rsidRDefault="00E070FC" w:rsidP="00E070FC">
      <w:pPr>
        <w:pStyle w:val="BodyText"/>
        <w:numPr>
          <w:ilvl w:val="1"/>
          <w:numId w:val="31"/>
        </w:numPr>
        <w:spacing w:after="120"/>
        <w:ind w:hanging="709"/>
      </w:pPr>
      <w:r w:rsidRPr="009A60BE">
        <w:t>The Law Association Criminal Law Committee suggested that making hostile motivation more visible at sentencing could help to increase victim confidence in the criminal justice system, potentially reducing reluctance to report hate crimes.</w:t>
      </w:r>
    </w:p>
    <w:p w14:paraId="027654C9" w14:textId="02DFE494" w:rsidR="0039263E" w:rsidRDefault="0039263E" w:rsidP="0039263E">
      <w:pPr>
        <w:pStyle w:val="Heading4"/>
      </w:pPr>
      <w:r>
        <w:t>Is there a problem with the current law?</w:t>
      </w:r>
    </w:p>
    <w:p w14:paraId="12E650C6" w14:textId="6663155C" w:rsidR="007B23D8" w:rsidRPr="009A60BE" w:rsidRDefault="007B23D8" w:rsidP="007B23D8">
      <w:pPr>
        <w:pStyle w:val="BodyText"/>
        <w:numPr>
          <w:ilvl w:val="1"/>
          <w:numId w:val="31"/>
        </w:numPr>
        <w:spacing w:after="120"/>
        <w:ind w:hanging="709"/>
      </w:pPr>
      <w:r>
        <w:t xml:space="preserve">We find that there is </w:t>
      </w:r>
      <w:r w:rsidR="00977FAE">
        <w:t xml:space="preserve">likely </w:t>
      </w:r>
      <w:r w:rsidR="007900FC">
        <w:t xml:space="preserve">to be </w:t>
      </w:r>
      <w:r>
        <w:t xml:space="preserve">a problem with </w:t>
      </w:r>
      <w:r w:rsidR="00180EAA">
        <w:t>underreporting of</w:t>
      </w:r>
      <w:r>
        <w:t xml:space="preserve"> hate crime</w:t>
      </w:r>
      <w:r w:rsidR="00180EAA">
        <w:t xml:space="preserve"> but </w:t>
      </w:r>
      <w:r w:rsidR="00DB7EEF">
        <w:t xml:space="preserve">that </w:t>
      </w:r>
      <w:r>
        <w:t xml:space="preserve">changing the law would not be the most effective way to address </w:t>
      </w:r>
      <w:r w:rsidR="00180EAA">
        <w:t>it</w:t>
      </w:r>
      <w:r>
        <w:t xml:space="preserve">. For that reason, we do not make any </w:t>
      </w:r>
      <w:r w:rsidR="005C6E83">
        <w:t xml:space="preserve">specific </w:t>
      </w:r>
      <w:r>
        <w:t>recommendations about it in this Report</w:t>
      </w:r>
      <w:r w:rsidR="004A55FC">
        <w:t xml:space="preserve"> (although, as we discuss later, some of our recommendations may indirectly </w:t>
      </w:r>
      <w:r w:rsidR="005F68DB">
        <w:t>contribute to increased reporting)</w:t>
      </w:r>
      <w:r>
        <w:t xml:space="preserve">. </w:t>
      </w:r>
    </w:p>
    <w:p w14:paraId="5271052D" w14:textId="24498926" w:rsidR="00CB005E" w:rsidRPr="009A60BE" w:rsidRDefault="007C1CFD" w:rsidP="001A1C71">
      <w:pPr>
        <w:pStyle w:val="BodyText"/>
        <w:numPr>
          <w:ilvl w:val="1"/>
          <w:numId w:val="31"/>
        </w:numPr>
        <w:spacing w:after="120"/>
        <w:ind w:hanging="709"/>
      </w:pPr>
      <w:r w:rsidRPr="009A60BE">
        <w:t xml:space="preserve">There is no general data on reporting rates for hate crimes in </w:t>
      </w:r>
      <w:r w:rsidR="00213B8D">
        <w:t xml:space="preserve">Aotearoa </w:t>
      </w:r>
      <w:r w:rsidRPr="009A60BE">
        <w:t xml:space="preserve">New Zealand. However, </w:t>
      </w:r>
      <w:r w:rsidR="00E61C07">
        <w:t>data</w:t>
      </w:r>
      <w:r w:rsidRPr="009A60BE">
        <w:t xml:space="preserve"> provided </w:t>
      </w:r>
      <w:r w:rsidR="00E61C07">
        <w:t>to us</w:t>
      </w:r>
      <w:r w:rsidRPr="009A60BE">
        <w:t xml:space="preserve"> by the New Zealand Youth Safety Survey</w:t>
      </w:r>
      <w:r w:rsidR="00B068F7">
        <w:t xml:space="preserve"> suggests that hate crimes in </w:t>
      </w:r>
      <w:r w:rsidR="00C06B1E">
        <w:t xml:space="preserve">Aotearoa </w:t>
      </w:r>
      <w:r w:rsidR="00B068F7">
        <w:t xml:space="preserve">New Zealand </w:t>
      </w:r>
      <w:r w:rsidR="005B0217">
        <w:t>are</w:t>
      </w:r>
      <w:r w:rsidR="00B068F7">
        <w:t xml:space="preserve"> underreported.</w:t>
      </w:r>
      <w:r w:rsidR="0065298B">
        <w:rPr>
          <w:rStyle w:val="FootnoteReference"/>
        </w:rPr>
        <w:footnoteReference w:id="315"/>
      </w:r>
      <w:r w:rsidR="00B068F7" w:rsidRPr="009A60BE">
        <w:t xml:space="preserve"> </w:t>
      </w:r>
      <w:r w:rsidR="00B37F7C">
        <w:t>Ninety-one per</w:t>
      </w:r>
      <w:r w:rsidR="003029AE">
        <w:t xml:space="preserve"> </w:t>
      </w:r>
      <w:r w:rsidR="00B37F7C">
        <w:t xml:space="preserve">cent of respondents who </w:t>
      </w:r>
      <w:r w:rsidR="00AC7CF6">
        <w:t xml:space="preserve">said they </w:t>
      </w:r>
      <w:r w:rsidR="00B37F7C">
        <w:t>had experienced ‘hate violence’ did not report it to Police.</w:t>
      </w:r>
      <w:r w:rsidR="00AC7CF6">
        <w:rPr>
          <w:rStyle w:val="FootnoteReference"/>
        </w:rPr>
        <w:footnoteReference w:id="316"/>
      </w:r>
      <w:r w:rsidR="00B37F7C">
        <w:t xml:space="preserve"> </w:t>
      </w:r>
      <w:r w:rsidRPr="009A60BE">
        <w:t>The</w:t>
      </w:r>
      <w:r w:rsidR="001A1C71">
        <w:t xml:space="preserve"> main</w:t>
      </w:r>
      <w:r w:rsidRPr="009A60BE">
        <w:t xml:space="preserve"> </w:t>
      </w:r>
      <w:r w:rsidR="00CB005E">
        <w:t xml:space="preserve">reasons </w:t>
      </w:r>
      <w:r w:rsidR="005329A3">
        <w:t>respondents</w:t>
      </w:r>
      <w:r w:rsidR="00CB005E">
        <w:t xml:space="preserve"> gave</w:t>
      </w:r>
      <w:r w:rsidRPr="009A60BE">
        <w:t xml:space="preserve"> for not reporting</w:t>
      </w:r>
      <w:r w:rsidR="00CB005E">
        <w:t xml:space="preserve"> were</w:t>
      </w:r>
      <w:r w:rsidR="001A1C71">
        <w:t xml:space="preserve"> </w:t>
      </w:r>
      <w:r w:rsidR="001A1C71" w:rsidRPr="009A60BE">
        <w:t>that they felt the incident was not worth reporting</w:t>
      </w:r>
      <w:r w:rsidR="001A1C71">
        <w:t xml:space="preserve">, </w:t>
      </w:r>
      <w:r w:rsidR="001A1C71" w:rsidRPr="009A60BE">
        <w:t xml:space="preserve">they did not believe </w:t>
      </w:r>
      <w:r w:rsidR="00CF12AB">
        <w:t>P</w:t>
      </w:r>
      <w:r w:rsidR="001A1C71" w:rsidRPr="009A60BE">
        <w:t>olice could have done anything or they dealt with the matter themselves</w:t>
      </w:r>
      <w:r w:rsidR="001A1C71">
        <w:t xml:space="preserve">. This is </w:t>
      </w:r>
      <w:r w:rsidR="00CB005E">
        <w:t>consistent with what we heard from submitters and with the Royal Commission’s observations.</w:t>
      </w:r>
      <w:r w:rsidR="00CB005E">
        <w:rPr>
          <w:rStyle w:val="FootnoteReference"/>
        </w:rPr>
        <w:footnoteReference w:id="317"/>
      </w:r>
      <w:r w:rsidR="00CB005E">
        <w:t xml:space="preserve"> </w:t>
      </w:r>
    </w:p>
    <w:p w14:paraId="2D9746A6" w14:textId="427B20E6" w:rsidR="007C1CFD" w:rsidRPr="009A60BE" w:rsidRDefault="007C1CFD" w:rsidP="007C1CFD">
      <w:pPr>
        <w:pStyle w:val="BodyText"/>
        <w:numPr>
          <w:ilvl w:val="1"/>
          <w:numId w:val="31"/>
        </w:numPr>
        <w:spacing w:after="120"/>
        <w:ind w:hanging="709"/>
      </w:pPr>
      <w:r w:rsidRPr="009A60BE">
        <w:t xml:space="preserve">We do not know the full scope of </w:t>
      </w:r>
      <w:r w:rsidR="000F1B5E">
        <w:t xml:space="preserve">any </w:t>
      </w:r>
      <w:r w:rsidRPr="009A60BE">
        <w:t xml:space="preserve">underreporting </w:t>
      </w:r>
      <w:r w:rsidR="000F1B5E">
        <w:t xml:space="preserve">of hate crimes </w:t>
      </w:r>
      <w:r w:rsidRPr="009A60BE">
        <w:t xml:space="preserve">or whether it is improving. Police data shows the number of perceived hate crimes recorded each year is increasing, but it is unclear </w:t>
      </w:r>
      <w:r w:rsidR="00DD4F5E">
        <w:t>to what extent</w:t>
      </w:r>
      <w:r w:rsidRPr="009A60BE">
        <w:t xml:space="preserve"> this is due to an increase in reporting, more consistent recording practices or an increase in the number of hate crimes occurring.</w:t>
      </w:r>
    </w:p>
    <w:p w14:paraId="1F7E20F4" w14:textId="430CC446" w:rsidR="007C1CFD" w:rsidRPr="009A60BE" w:rsidRDefault="00930CCA" w:rsidP="007C1CFD">
      <w:pPr>
        <w:pStyle w:val="BodyText"/>
        <w:numPr>
          <w:ilvl w:val="1"/>
          <w:numId w:val="31"/>
        </w:numPr>
        <w:spacing w:after="120"/>
        <w:ind w:hanging="709"/>
      </w:pPr>
      <w:r>
        <w:t>U</w:t>
      </w:r>
      <w:r w:rsidR="000509B7">
        <w:t xml:space="preserve">nderreporting of hate crime is </w:t>
      </w:r>
      <w:r w:rsidR="007C3CCF">
        <w:t>of concern because i</w:t>
      </w:r>
      <w:r w:rsidR="007C1CFD" w:rsidRPr="009A60BE">
        <w:t xml:space="preserve">f a hate crime is not reported, the criminal justice system cannot respond. The offender will not be held accountable and there will be no formal means of denouncing their </w:t>
      </w:r>
      <w:r w:rsidR="00703603">
        <w:t>offending</w:t>
      </w:r>
      <w:r w:rsidR="007C1CFD" w:rsidRPr="009A60BE">
        <w:t xml:space="preserve">. Underreporting also affects the quality of Police data and may mean the prevalence of hate crime (both in general and against certain communities) is underestimated. This may affect the resources that are invested in addressing hate </w:t>
      </w:r>
      <w:r w:rsidR="007C1CFD">
        <w:t xml:space="preserve">crime </w:t>
      </w:r>
      <w:r w:rsidR="007C1CFD" w:rsidRPr="009A60BE">
        <w:t>and contribute to a lack of understanding about the hostility experienced by different communities.</w:t>
      </w:r>
    </w:p>
    <w:p w14:paraId="51386C2F" w14:textId="4C803A66" w:rsidR="007C1CFD" w:rsidRPr="009A60BE" w:rsidRDefault="003E71A6" w:rsidP="007C1CFD">
      <w:pPr>
        <w:pStyle w:val="BodyText"/>
        <w:numPr>
          <w:ilvl w:val="1"/>
          <w:numId w:val="31"/>
        </w:numPr>
        <w:spacing w:after="120"/>
        <w:ind w:hanging="709"/>
      </w:pPr>
      <w:r w:rsidRPr="009A60BE">
        <w:t xml:space="preserve">The Royal Commission </w:t>
      </w:r>
      <w:r w:rsidR="0068501B">
        <w:t>(and some submitters)</w:t>
      </w:r>
      <w:r w:rsidRPr="009A60BE">
        <w:t xml:space="preserve"> suggested that creating hate crime offences would be likely to increase reporting of hostility-motivated crimes to Police by providing a signal that they are taken seriously.</w:t>
      </w:r>
      <w:r w:rsidRPr="009A60BE">
        <w:rPr>
          <w:rStyle w:val="FootnoteReference"/>
        </w:rPr>
        <w:footnoteReference w:id="318"/>
      </w:r>
      <w:r w:rsidRPr="009A60BE">
        <w:t xml:space="preserve"> </w:t>
      </w:r>
      <w:r w:rsidR="00A52B19">
        <w:t>However, r</w:t>
      </w:r>
      <w:r w:rsidR="007C1CFD" w:rsidRPr="009A60BE">
        <w:t>eporting rates for hate crimes are low in other jurisdictions as well, even where hate crime offences exist.</w:t>
      </w:r>
      <w:r w:rsidR="007C1CFD" w:rsidRPr="009A60BE">
        <w:rPr>
          <w:rStyle w:val="FootnoteReference"/>
        </w:rPr>
        <w:footnoteReference w:id="319"/>
      </w:r>
      <w:r w:rsidR="007C1CFD" w:rsidRPr="009A60BE">
        <w:t xml:space="preserve"> </w:t>
      </w:r>
      <w:r w:rsidR="002F6352">
        <w:t>I</w:t>
      </w:r>
      <w:r w:rsidR="00900740" w:rsidRPr="009A60BE">
        <w:t xml:space="preserve">nternational research </w:t>
      </w:r>
      <w:r w:rsidR="002F6352">
        <w:t>also shows</w:t>
      </w:r>
      <w:r w:rsidR="00900740" w:rsidRPr="009A60BE">
        <w:t xml:space="preserve"> low levels of trust in </w:t>
      </w:r>
      <w:r w:rsidR="00994B61">
        <w:t>P</w:t>
      </w:r>
      <w:r w:rsidR="00900740" w:rsidRPr="009A60BE">
        <w:t>olice among certain groups affected by hate crimes.</w:t>
      </w:r>
      <w:r w:rsidR="00900740" w:rsidRPr="009A60BE">
        <w:rPr>
          <w:rStyle w:val="FootnoteReference"/>
        </w:rPr>
        <w:footnoteReference w:id="320"/>
      </w:r>
      <w:r w:rsidR="00900740">
        <w:t xml:space="preserve"> </w:t>
      </w:r>
      <w:r w:rsidR="007C1CFD" w:rsidRPr="009A60BE">
        <w:t xml:space="preserve">Moreover, non-hate crimes in </w:t>
      </w:r>
      <w:r w:rsidR="002E73D3">
        <w:t>Aotearoa</w:t>
      </w:r>
      <w:r w:rsidR="007C1CFD" w:rsidRPr="009A60BE">
        <w:t xml:space="preserve"> New Zealand are often not reported for similar reasons to those given by hate crime victims.</w:t>
      </w:r>
      <w:r w:rsidR="002E73D3">
        <w:rPr>
          <w:rStyle w:val="FootnoteReference"/>
        </w:rPr>
        <w:footnoteReference w:id="321"/>
      </w:r>
      <w:r w:rsidR="007C1CFD" w:rsidRPr="009A60BE">
        <w:t xml:space="preserve"> The 202</w:t>
      </w:r>
      <w:r w:rsidR="007C1CFD">
        <w:t xml:space="preserve">5 </w:t>
      </w:r>
      <w:r w:rsidR="007C1CFD" w:rsidRPr="009A60BE">
        <w:t>New Zealand Crime and Victim Survey found that only 2</w:t>
      </w:r>
      <w:r w:rsidR="007C1CFD">
        <w:t>4</w:t>
      </w:r>
      <w:r w:rsidR="007C1CFD" w:rsidRPr="009A60BE">
        <w:rPr>
          <w:rFonts w:ascii="Calibri" w:hAnsi="Calibri" w:cs="Calibri"/>
        </w:rPr>
        <w:t xml:space="preserve"> </w:t>
      </w:r>
      <w:r w:rsidR="007C1CFD" w:rsidRPr="009A60BE">
        <w:t>per cent of crime is reported to Police.</w:t>
      </w:r>
      <w:r w:rsidR="007C1CFD" w:rsidRPr="009A60BE">
        <w:rPr>
          <w:rStyle w:val="FootnoteReference"/>
        </w:rPr>
        <w:footnoteReference w:id="322"/>
      </w:r>
      <w:r w:rsidR="007C1CFD" w:rsidRPr="009A60BE">
        <w:t xml:space="preserve"> </w:t>
      </w:r>
      <w:r w:rsidR="00A52B19">
        <w:t xml:space="preserve">Accordingly, it is not clear to us that </w:t>
      </w:r>
      <w:r w:rsidR="0030250B">
        <w:t>l</w:t>
      </w:r>
      <w:r w:rsidR="00557D9F">
        <w:t>o</w:t>
      </w:r>
      <w:r w:rsidR="0030250B">
        <w:t xml:space="preserve">w </w:t>
      </w:r>
      <w:r w:rsidR="00453664">
        <w:t xml:space="preserve">reporting rates for hate crimes </w:t>
      </w:r>
      <w:r w:rsidR="00F85A11">
        <w:t>are</w:t>
      </w:r>
      <w:r w:rsidR="0030250B">
        <w:t xml:space="preserve"> a </w:t>
      </w:r>
      <w:r w:rsidR="00D5524B">
        <w:t>result of problems</w:t>
      </w:r>
      <w:r w:rsidR="0030250B">
        <w:t xml:space="preserve"> with the law.</w:t>
      </w:r>
    </w:p>
    <w:p w14:paraId="7DB30D7A" w14:textId="0A4C3F1F" w:rsidR="00D33E01" w:rsidRDefault="007C1CFD" w:rsidP="00D33E01">
      <w:pPr>
        <w:pStyle w:val="BodyText"/>
        <w:numPr>
          <w:ilvl w:val="1"/>
          <w:numId w:val="31"/>
        </w:numPr>
        <w:spacing w:after="120"/>
        <w:ind w:hanging="709"/>
      </w:pPr>
      <w:r w:rsidRPr="009A60BE">
        <w:t xml:space="preserve">We agree with The Law Association Criminal Law Committee that, to the extent </w:t>
      </w:r>
      <w:r w:rsidR="00B66854">
        <w:t xml:space="preserve">that </w:t>
      </w:r>
      <w:r w:rsidRPr="009A60BE">
        <w:t xml:space="preserve">denunciation of hate crimes may contribute to increased reporting, that </w:t>
      </w:r>
      <w:r w:rsidR="008A11B2">
        <w:t>would</w:t>
      </w:r>
      <w:r w:rsidR="008A11B2" w:rsidRPr="009A60BE">
        <w:t xml:space="preserve"> </w:t>
      </w:r>
      <w:r w:rsidRPr="009A60BE">
        <w:t xml:space="preserve">be achieved by making hostile motivation more visible at sentencing. For those victims who do not report </w:t>
      </w:r>
      <w:r w:rsidR="00FA0EF7">
        <w:t xml:space="preserve">a perceived hate crime </w:t>
      </w:r>
      <w:r w:rsidRPr="009A60BE">
        <w:t xml:space="preserve">because </w:t>
      </w:r>
      <w:r w:rsidR="00FA0EF7">
        <w:t>they think</w:t>
      </w:r>
      <w:r w:rsidRPr="009A60BE">
        <w:t xml:space="preserve"> Police will not do anything or will not treat them with respect, the most obvious way to address that is by improving the way </w:t>
      </w:r>
      <w:r>
        <w:t>police officers</w:t>
      </w:r>
      <w:r w:rsidRPr="009A60BE">
        <w:t xml:space="preserve"> respond to reports of hate crimes and interact with affected communities. </w:t>
      </w:r>
    </w:p>
    <w:p w14:paraId="68F3C407" w14:textId="02CF3FDC" w:rsidR="007C1CFD" w:rsidRDefault="007C1CFD" w:rsidP="007C1CFD">
      <w:pPr>
        <w:pStyle w:val="BodyText"/>
        <w:numPr>
          <w:ilvl w:val="1"/>
          <w:numId w:val="31"/>
        </w:numPr>
        <w:spacing w:after="120"/>
        <w:ind w:hanging="709"/>
      </w:pPr>
      <w:r w:rsidRPr="009A60BE">
        <w:t>As discussed above, Police is already working to improve its response to hate crime</w:t>
      </w:r>
      <w:r w:rsidR="003E71A6">
        <w:t>.</w:t>
      </w:r>
      <w:r w:rsidRPr="009A60BE">
        <w:t xml:space="preserve"> More broadly, </w:t>
      </w:r>
      <w:r w:rsidR="002820A9">
        <w:t>it</w:t>
      </w:r>
      <w:r w:rsidRPr="009A60BE">
        <w:t xml:space="preserve"> is also dedicating resources to improving cultural and diversity awareness and building better relationships with communities that </w:t>
      </w:r>
      <w:r w:rsidR="00653AF6">
        <w:t xml:space="preserve">have </w:t>
      </w:r>
      <w:r w:rsidRPr="009A60BE">
        <w:t xml:space="preserve">historically </w:t>
      </w:r>
      <w:r w:rsidR="00653AF6">
        <w:t>had</w:t>
      </w:r>
      <w:r w:rsidR="00653AF6" w:rsidRPr="009A60BE">
        <w:t xml:space="preserve"> </w:t>
      </w:r>
      <w:r w:rsidRPr="009A60BE">
        <w:t>lower levels of trust in Police</w:t>
      </w:r>
      <w:r w:rsidR="003F0F77">
        <w:t>, with the following examples</w:t>
      </w:r>
      <w:r w:rsidRPr="009A60BE">
        <w:t xml:space="preserve">: </w:t>
      </w:r>
    </w:p>
    <w:p w14:paraId="4FE5B01F" w14:textId="77777777" w:rsidR="00384FEB" w:rsidRPr="00384FEB" w:rsidRDefault="00384FEB" w:rsidP="00384FEB">
      <w:pPr>
        <w:pStyle w:val="BodyTextalphalist"/>
        <w:numPr>
          <w:ilvl w:val="3"/>
          <w:numId w:val="31"/>
        </w:numPr>
      </w:pPr>
      <w:r w:rsidRPr="00384FEB">
        <w:t xml:space="preserve">There is ongoing work to strengthen and train the network of diversity liaison officers, who act as a bridge between Police and rainbow communities. </w:t>
      </w:r>
    </w:p>
    <w:p w14:paraId="1D72D019" w14:textId="0F171957" w:rsidR="007C1CFD" w:rsidRPr="009A60BE" w:rsidRDefault="003A1BB5" w:rsidP="007C1CFD">
      <w:pPr>
        <w:pStyle w:val="BodyTextalphalist"/>
        <w:numPr>
          <w:ilvl w:val="3"/>
          <w:numId w:val="31"/>
        </w:numPr>
      </w:pPr>
      <w:r>
        <w:t>D</w:t>
      </w:r>
      <w:r w:rsidR="007C1CFD" w:rsidRPr="009A60BE">
        <w:t xml:space="preserve">iversity awareness and bias training </w:t>
      </w:r>
      <w:r>
        <w:t xml:space="preserve">is provided to </w:t>
      </w:r>
      <w:r w:rsidR="00D575D4">
        <w:t xml:space="preserve">all </w:t>
      </w:r>
      <w:r>
        <w:t>new recruits</w:t>
      </w:r>
      <w:r w:rsidR="00D575D4">
        <w:t xml:space="preserve"> and to existing</w:t>
      </w:r>
      <w:r w:rsidR="007C1CFD" w:rsidRPr="009A60BE">
        <w:t xml:space="preserve"> staff as the opportunity arises </w:t>
      </w:r>
      <w:r w:rsidR="00D575D4">
        <w:t xml:space="preserve">(for </w:t>
      </w:r>
      <w:r w:rsidR="007C1CFD" w:rsidRPr="009A60BE">
        <w:t xml:space="preserve">example, it is </w:t>
      </w:r>
      <w:r w:rsidR="007C1B4B">
        <w:t>part</w:t>
      </w:r>
      <w:r w:rsidR="007C1CFD" w:rsidRPr="009A60BE">
        <w:t xml:space="preserve"> of training undertaken for promotion</w:t>
      </w:r>
      <w:r w:rsidR="007C1B4B">
        <w:t>)</w:t>
      </w:r>
      <w:r w:rsidR="007C1CFD" w:rsidRPr="009A60BE">
        <w:t>.</w:t>
      </w:r>
    </w:p>
    <w:p w14:paraId="58A62014" w14:textId="7B9400DA" w:rsidR="007C1CFD" w:rsidRPr="009A60BE" w:rsidRDefault="000C70F6" w:rsidP="007C1CFD">
      <w:pPr>
        <w:pStyle w:val="BodyTextalphalist"/>
        <w:numPr>
          <w:ilvl w:val="3"/>
          <w:numId w:val="31"/>
        </w:numPr>
      </w:pPr>
      <w:r>
        <w:rPr>
          <w:lang w:eastAsia="en-US"/>
        </w:rPr>
        <w:t>Information</w:t>
      </w:r>
      <w:r w:rsidR="00DE4B78">
        <w:rPr>
          <w:lang w:eastAsia="en-US"/>
        </w:rPr>
        <w:t xml:space="preserve"> about a person’s disability </w:t>
      </w:r>
      <w:r>
        <w:rPr>
          <w:lang w:eastAsia="en-US"/>
        </w:rPr>
        <w:t xml:space="preserve">can now be flagged </w:t>
      </w:r>
      <w:r w:rsidR="0061604F" w:rsidRPr="0061604F">
        <w:rPr>
          <w:lang w:eastAsia="en-US"/>
        </w:rPr>
        <w:t xml:space="preserve">in Police’s IT system to improve police services when interacting with </w:t>
      </w:r>
      <w:r w:rsidR="0061604F">
        <w:rPr>
          <w:lang w:eastAsia="en-US"/>
        </w:rPr>
        <w:t>them.</w:t>
      </w:r>
      <w:r>
        <w:rPr>
          <w:rStyle w:val="FootnoteReference"/>
          <w:lang w:eastAsia="en-US"/>
        </w:rPr>
        <w:footnoteReference w:id="323"/>
      </w:r>
      <w:r>
        <w:rPr>
          <w:lang w:eastAsia="en-US"/>
        </w:rPr>
        <w:t xml:space="preserve"> </w:t>
      </w:r>
      <w:r w:rsidR="009722D2">
        <w:rPr>
          <w:lang w:eastAsia="en-US"/>
        </w:rPr>
        <w:t>T</w:t>
      </w:r>
      <w:r w:rsidR="009722D2" w:rsidRPr="009A60BE">
        <w:rPr>
          <w:lang w:eastAsia="en-US"/>
        </w:rPr>
        <w:t xml:space="preserve">raining </w:t>
      </w:r>
      <w:r w:rsidR="009722D2">
        <w:rPr>
          <w:lang w:eastAsia="en-US"/>
        </w:rPr>
        <w:t xml:space="preserve">on neurodiversity is also in development </w:t>
      </w:r>
      <w:r w:rsidR="009722D2" w:rsidRPr="009A60BE">
        <w:rPr>
          <w:lang w:eastAsia="en-US"/>
        </w:rPr>
        <w:t>for frontline staff.</w:t>
      </w:r>
      <w:r w:rsidR="009722D2">
        <w:rPr>
          <w:rStyle w:val="FootnoteReference"/>
          <w:lang w:eastAsia="en-US"/>
        </w:rPr>
        <w:footnoteReference w:id="324"/>
      </w:r>
    </w:p>
    <w:p w14:paraId="782986AA" w14:textId="60158E14" w:rsidR="007C1CFD" w:rsidRPr="009A60BE" w:rsidRDefault="007C1CFD" w:rsidP="007C1CFD">
      <w:pPr>
        <w:pStyle w:val="BodyTextalphalist"/>
        <w:numPr>
          <w:ilvl w:val="3"/>
          <w:numId w:val="31"/>
        </w:numPr>
      </w:pPr>
      <w:r w:rsidRPr="009A60BE">
        <w:rPr>
          <w:lang w:eastAsia="en-US"/>
        </w:rPr>
        <w:t xml:space="preserve">Police has </w:t>
      </w:r>
      <w:r w:rsidR="00575682">
        <w:rPr>
          <w:lang w:eastAsia="en-US"/>
        </w:rPr>
        <w:t>updated</w:t>
      </w:r>
      <w:r w:rsidRPr="009A60BE">
        <w:rPr>
          <w:lang w:eastAsia="en-US"/>
        </w:rPr>
        <w:t xml:space="preserve"> its strategies for working with </w:t>
      </w:r>
      <w:r w:rsidR="00873754">
        <w:rPr>
          <w:lang w:eastAsia="en-US"/>
        </w:rPr>
        <w:t>e</w:t>
      </w:r>
      <w:r w:rsidRPr="009A60BE">
        <w:rPr>
          <w:lang w:eastAsia="en-US"/>
        </w:rPr>
        <w:t>thnic</w:t>
      </w:r>
      <w:r w:rsidRPr="009A60BE">
        <w:rPr>
          <w:rStyle w:val="FootnoteReference"/>
        </w:rPr>
        <w:footnoteReference w:id="325"/>
      </w:r>
      <w:r w:rsidRPr="009A60BE">
        <w:rPr>
          <w:lang w:eastAsia="en-US"/>
        </w:rPr>
        <w:t xml:space="preserve"> and Pasifika</w:t>
      </w:r>
      <w:r w:rsidRPr="009A60BE">
        <w:rPr>
          <w:rStyle w:val="FootnoteReference"/>
        </w:rPr>
        <w:footnoteReference w:id="326"/>
      </w:r>
      <w:r w:rsidRPr="009A60BE">
        <w:rPr>
          <w:lang w:eastAsia="en-US"/>
        </w:rPr>
        <w:t xml:space="preserve"> communities. The strategies emphasise increasing representation of these communities within Police and improving cultural responsiveness to victims of crime. A refreshed strategy for</w:t>
      </w:r>
      <w:r w:rsidR="00B16B3C">
        <w:rPr>
          <w:lang w:eastAsia="en-US"/>
        </w:rPr>
        <w:t xml:space="preserve"> working with</w:t>
      </w:r>
      <w:r w:rsidRPr="009A60BE">
        <w:rPr>
          <w:lang w:eastAsia="en-US"/>
        </w:rPr>
        <w:t xml:space="preserve"> Māori is forthcoming.</w:t>
      </w:r>
    </w:p>
    <w:p w14:paraId="6C201B12" w14:textId="11C0F3D0" w:rsidR="007C1CFD" w:rsidRPr="009A60BE" w:rsidRDefault="007C1CFD" w:rsidP="007C1CFD">
      <w:pPr>
        <w:pStyle w:val="BodyText"/>
        <w:numPr>
          <w:ilvl w:val="1"/>
          <w:numId w:val="31"/>
        </w:numPr>
        <w:spacing w:after="120"/>
        <w:ind w:hanging="709"/>
      </w:pPr>
      <w:r w:rsidRPr="009A60BE">
        <w:t xml:space="preserve">We also agree with submitters that improving public awareness of hate crime, its impacts and how to report it could help to encourage reporting of hate crimes. Police launched a public education initiative called ‘Standing Together Against Hate’ </w:t>
      </w:r>
      <w:r>
        <w:t>after</w:t>
      </w:r>
      <w:r w:rsidRPr="009A60BE">
        <w:t xml:space="preserve"> the Royal Commission’s report.</w:t>
      </w:r>
      <w:r w:rsidRPr="009A60BE">
        <w:rPr>
          <w:rStyle w:val="FootnoteReference"/>
        </w:rPr>
        <w:footnoteReference w:id="327"/>
      </w:r>
      <w:r w:rsidRPr="009A60BE">
        <w:t xml:space="preserve"> This includes a documentary series, educational resources and information about how to report hate crime. However, these resources are difficult to find on the Police website and do not appear to have been widely publicised. </w:t>
      </w:r>
      <w:r w:rsidR="001B4924">
        <w:t>Greater</w:t>
      </w:r>
      <w:r w:rsidR="004E47D3">
        <w:t xml:space="preserve"> visibility and promotion of</w:t>
      </w:r>
      <w:r w:rsidR="003E71A6" w:rsidRPr="009A60BE">
        <w:t xml:space="preserve"> this initiative </w:t>
      </w:r>
      <w:r w:rsidR="00AB6564">
        <w:t>c</w:t>
      </w:r>
      <w:r w:rsidR="008B629C">
        <w:t>ould increase i</w:t>
      </w:r>
      <w:r w:rsidR="001B4924">
        <w:t>ts impact</w:t>
      </w:r>
      <w:r w:rsidRPr="009A60BE">
        <w:t>.</w:t>
      </w:r>
    </w:p>
    <w:p w14:paraId="59F9AAB9" w14:textId="73EBE2DA" w:rsidR="003E71A6" w:rsidRPr="009A60BE" w:rsidRDefault="003E71A6" w:rsidP="003E71A6">
      <w:pPr>
        <w:pStyle w:val="BodyText"/>
        <w:numPr>
          <w:ilvl w:val="1"/>
          <w:numId w:val="31"/>
        </w:numPr>
        <w:spacing w:after="120"/>
        <w:ind w:hanging="709"/>
      </w:pPr>
      <w:r w:rsidRPr="009A60BE">
        <w:t xml:space="preserve">Finally, we heard that some people are reluctant to report hate crime because they do not think that punishing offenders is the best way to address hate. Some submitters and people we </w:t>
      </w:r>
      <w:r w:rsidR="008D3625">
        <w:t>spoke with</w:t>
      </w:r>
      <w:r w:rsidRPr="009A60BE">
        <w:t xml:space="preserve"> thought that greater use of restorative processes, rehabilitation and public education addressing the attitudes underlying hate crimes (such as racism) would be more effective. As explained in Chapter </w:t>
      </w:r>
      <w:r>
        <w:t>2</w:t>
      </w:r>
      <w:r w:rsidRPr="009A60BE">
        <w:t xml:space="preserve">, restorative justice </w:t>
      </w:r>
      <w:r w:rsidR="000A34D2">
        <w:t>may be</w:t>
      </w:r>
      <w:r w:rsidRPr="009A60BE">
        <w:t xml:space="preserve"> available </w:t>
      </w:r>
      <w:r w:rsidR="008611B1">
        <w:t>in</w:t>
      </w:r>
      <w:r w:rsidRPr="009A60BE">
        <w:t xml:space="preserve"> hate crime cases </w:t>
      </w:r>
      <w:r w:rsidR="000A34D2">
        <w:t>where it is</w:t>
      </w:r>
      <w:r w:rsidRPr="009A60BE">
        <w:t xml:space="preserve"> appropriate. We agree it should be explored where the victim and offender are both willing to engage. </w:t>
      </w:r>
      <w:r w:rsidR="004C7E56">
        <w:t>P</w:t>
      </w:r>
      <w:r w:rsidRPr="009A60BE">
        <w:t xml:space="preserve">ublic education initiatives could </w:t>
      </w:r>
      <w:r w:rsidR="004C7E56">
        <w:t>also</w:t>
      </w:r>
      <w:r w:rsidRPr="009A60BE">
        <w:t xml:space="preserve"> assist in changing public attitudes, helping to reduce occurrences of hate crime. </w:t>
      </w:r>
      <w:r w:rsidR="00FE7569">
        <w:t>Those</w:t>
      </w:r>
      <w:r w:rsidR="002B19DF">
        <w:t xml:space="preserve"> are</w:t>
      </w:r>
      <w:r w:rsidRPr="009A60BE">
        <w:t xml:space="preserve"> question</w:t>
      </w:r>
      <w:r w:rsidR="002B19DF">
        <w:t>s</w:t>
      </w:r>
      <w:r w:rsidRPr="009A60BE">
        <w:t xml:space="preserve"> of funding and </w:t>
      </w:r>
      <w:r w:rsidR="00E43AF2">
        <w:t>G</w:t>
      </w:r>
      <w:r w:rsidRPr="009A60BE">
        <w:t>overnment prioritisation</w:t>
      </w:r>
      <w:r w:rsidR="002B0632">
        <w:t xml:space="preserve"> </w:t>
      </w:r>
      <w:r w:rsidR="00A64E9A">
        <w:t>rather than law reform.</w:t>
      </w:r>
      <w:r w:rsidRPr="009A60BE">
        <w:t xml:space="preserve"> </w:t>
      </w:r>
    </w:p>
    <w:p w14:paraId="6FC995CF" w14:textId="77777777" w:rsidR="007C1CFD" w:rsidRPr="009A60BE" w:rsidRDefault="007C1CFD" w:rsidP="00563FAA">
      <w:pPr>
        <w:pStyle w:val="Heading3"/>
      </w:pPr>
      <w:bookmarkStart w:id="121" w:name="_Toc212106752"/>
      <w:r w:rsidRPr="009A60BE">
        <w:t>Rehabilitating hate crime offenders</w:t>
      </w:r>
      <w:bookmarkEnd w:id="121"/>
    </w:p>
    <w:p w14:paraId="68476454" w14:textId="4969A62C" w:rsidR="009E659A" w:rsidRPr="009E659A" w:rsidRDefault="009E659A" w:rsidP="009E659A">
      <w:pPr>
        <w:pStyle w:val="Heading4"/>
      </w:pPr>
      <w:r>
        <w:t>Consultation</w:t>
      </w:r>
    </w:p>
    <w:p w14:paraId="18CE96A4" w14:textId="77777777" w:rsidR="009E659A" w:rsidRDefault="009E659A" w:rsidP="009E659A">
      <w:pPr>
        <w:pStyle w:val="BodyText"/>
        <w:numPr>
          <w:ilvl w:val="1"/>
          <w:numId w:val="31"/>
        </w:numPr>
        <w:spacing w:after="120"/>
        <w:ind w:hanging="709"/>
      </w:pPr>
      <w:r w:rsidRPr="009A60BE">
        <w:t>In our Consultation Paper, we asked submitters whether there are practical difficulties in assessing hate crime offenders’ rehabilitative needs.</w:t>
      </w:r>
      <w:r>
        <w:rPr>
          <w:rStyle w:val="FootnoteReference"/>
        </w:rPr>
        <w:footnoteReference w:id="328"/>
      </w:r>
      <w:r w:rsidRPr="009A60BE">
        <w:t xml:space="preserve"> We received no specific feedback on that point, although three submitters did think it was problematic that Corrections is not notified of an offender’s hostile motivation.</w:t>
      </w:r>
      <w:r w:rsidRPr="009A60BE">
        <w:rPr>
          <w:rStyle w:val="FootnoteReference"/>
        </w:rPr>
        <w:footnoteReference w:id="329"/>
      </w:r>
      <w:r w:rsidRPr="009A60BE">
        <w:t xml:space="preserve"> </w:t>
      </w:r>
    </w:p>
    <w:p w14:paraId="1AC71FCC" w14:textId="71099CBB" w:rsidR="009E659A" w:rsidRDefault="009E659A" w:rsidP="009E659A">
      <w:pPr>
        <w:pStyle w:val="BodyText"/>
        <w:numPr>
          <w:ilvl w:val="1"/>
          <w:numId w:val="31"/>
        </w:numPr>
        <w:spacing w:after="120"/>
        <w:ind w:hanging="709"/>
      </w:pPr>
      <w:r w:rsidRPr="009A60BE">
        <w:t>More broadly, six submitters were concerned about the lack of specific rehabilitation programmes for hate crime offenders.</w:t>
      </w:r>
      <w:r w:rsidRPr="009A60BE">
        <w:rPr>
          <w:rStyle w:val="FootnoteReference"/>
        </w:rPr>
        <w:footnoteReference w:id="330"/>
      </w:r>
      <w:r w:rsidRPr="009A60BE">
        <w:t xml:space="preserve"> Two additional submitters supported better resourcing for rehabilitation of hate crime offenders but did not say what form that rehabilitation should take.</w:t>
      </w:r>
      <w:r w:rsidRPr="009A60BE">
        <w:rPr>
          <w:rStyle w:val="FootnoteReference"/>
        </w:rPr>
        <w:footnoteReference w:id="331"/>
      </w:r>
    </w:p>
    <w:p w14:paraId="7332B097" w14:textId="05320563" w:rsidR="001270A1" w:rsidRPr="009A60BE" w:rsidRDefault="001270A1" w:rsidP="001270A1">
      <w:pPr>
        <w:pStyle w:val="Heading4"/>
      </w:pPr>
      <w:r>
        <w:t>Is there a problem with the current law?</w:t>
      </w:r>
    </w:p>
    <w:p w14:paraId="438FACA7" w14:textId="567B5A4F" w:rsidR="007C1CFD" w:rsidRPr="009A60BE" w:rsidRDefault="007C1CFD" w:rsidP="007C1CFD">
      <w:pPr>
        <w:pStyle w:val="BodyText"/>
        <w:numPr>
          <w:ilvl w:val="1"/>
          <w:numId w:val="31"/>
        </w:numPr>
        <w:spacing w:after="120"/>
        <w:ind w:hanging="709"/>
      </w:pPr>
      <w:r w:rsidRPr="009A60BE">
        <w:t xml:space="preserve">The Royal Commission was concerned that, because hostile motivation is not recorded as part of a conviction, the need for rehabilitative support may not be </w:t>
      </w:r>
      <w:r w:rsidR="006410A9">
        <w:t>identified</w:t>
      </w:r>
      <w:r w:rsidRPr="009A60BE">
        <w:t>.</w:t>
      </w:r>
      <w:r w:rsidRPr="009A60BE">
        <w:rPr>
          <w:rStyle w:val="FootnoteReference"/>
        </w:rPr>
        <w:footnoteReference w:id="332"/>
      </w:r>
      <w:r w:rsidRPr="009A60BE">
        <w:t xml:space="preserve"> It recommended creating hate crime offences in part because it thought this could encourage the creation of specific rehabilitative programmes.</w:t>
      </w:r>
      <w:r w:rsidRPr="009A60BE">
        <w:rPr>
          <w:rStyle w:val="FootnoteReference"/>
        </w:rPr>
        <w:footnoteReference w:id="333"/>
      </w:r>
    </w:p>
    <w:p w14:paraId="79DF4F8B" w14:textId="6A7AF04A" w:rsidR="007C1CFD" w:rsidRPr="009A60BE" w:rsidRDefault="007C1CFD" w:rsidP="007C1CFD">
      <w:pPr>
        <w:pStyle w:val="BodyText"/>
        <w:numPr>
          <w:ilvl w:val="1"/>
          <w:numId w:val="31"/>
        </w:numPr>
        <w:spacing w:after="120"/>
        <w:ind w:hanging="709"/>
      </w:pPr>
      <w:r w:rsidRPr="009A60BE">
        <w:t>As explained in Chapter 2, there are currently no specific rehabilitative programmes for hate crime offenders</w:t>
      </w:r>
      <w:r w:rsidR="00E53EB2">
        <w:t xml:space="preserve"> and </w:t>
      </w:r>
      <w:r w:rsidRPr="009A60BE">
        <w:t>Corrections consider</w:t>
      </w:r>
      <w:r w:rsidR="00E53EB2">
        <w:t>s</w:t>
      </w:r>
      <w:r w:rsidRPr="009A60BE">
        <w:t xml:space="preserve"> it </w:t>
      </w:r>
      <w:r w:rsidR="00E53EB2">
        <w:t>is</w:t>
      </w:r>
      <w:r w:rsidRPr="009A60BE">
        <w:t xml:space="preserve"> unlikely to be viable to create </w:t>
      </w:r>
      <w:r w:rsidR="00193A3D">
        <w:t>one</w:t>
      </w:r>
      <w:r w:rsidRPr="009A60BE">
        <w:t>. It suggested other support that is already available</w:t>
      </w:r>
      <w:r w:rsidR="00193A3D">
        <w:t xml:space="preserve"> —</w:t>
      </w:r>
      <w:r w:rsidRPr="009A60BE">
        <w:t xml:space="preserve"> such as general offence-based programmes, individual psychological treatment or community-based services</w:t>
      </w:r>
      <w:r w:rsidR="00193A3D">
        <w:t xml:space="preserve"> —</w:t>
      </w:r>
      <w:r w:rsidRPr="009A60BE">
        <w:t xml:space="preserve"> may help to address the factors underlying hate crime and reduce the risk of reoffending. </w:t>
      </w:r>
    </w:p>
    <w:p w14:paraId="546646EE" w14:textId="7CE58033" w:rsidR="007C1CFD" w:rsidRPr="009A60BE" w:rsidRDefault="007C1CFD" w:rsidP="007C1CFD">
      <w:pPr>
        <w:pStyle w:val="BodyText"/>
        <w:numPr>
          <w:ilvl w:val="1"/>
          <w:numId w:val="31"/>
        </w:numPr>
        <w:spacing w:after="120"/>
        <w:ind w:hanging="709"/>
      </w:pPr>
      <w:r w:rsidRPr="009A60BE">
        <w:t>Corrections is responsible for assisting in the rehabilitation of offenders and makes decisions about the best way to do that.</w:t>
      </w:r>
      <w:r w:rsidRPr="009A60BE">
        <w:rPr>
          <w:rStyle w:val="FootnoteReference"/>
        </w:rPr>
        <w:footnoteReference w:id="334"/>
      </w:r>
      <w:r w:rsidRPr="009A60BE">
        <w:t xml:space="preserve"> Specific programmes or interventions are not mandated by law. There is also limited research on whether and how hate crime offenders can be effectively rehabilitated.</w:t>
      </w:r>
      <w:r w:rsidRPr="009A60BE">
        <w:rPr>
          <w:rStyle w:val="FootnoteReference"/>
        </w:rPr>
        <w:footnoteReference w:id="335"/>
      </w:r>
      <w:r w:rsidRPr="009A60BE">
        <w:t xml:space="preserve"> We are therefore not in a position to recommend any particular approach to rehabilitation. </w:t>
      </w:r>
      <w:r w:rsidR="007F7802">
        <w:t xml:space="preserve">Nor </w:t>
      </w:r>
      <w:r w:rsidR="00CA709F">
        <w:t xml:space="preserve">do </w:t>
      </w:r>
      <w:r w:rsidR="007F7802">
        <w:t>we</w:t>
      </w:r>
      <w:r w:rsidR="007900FC">
        <w:t xml:space="preserve"> </w:t>
      </w:r>
      <w:r w:rsidR="008146FB">
        <w:t>consider</w:t>
      </w:r>
      <w:r w:rsidR="00CA709F">
        <w:t xml:space="preserve"> encouraging the creation of specific program</w:t>
      </w:r>
      <w:r w:rsidR="003565AF">
        <w:t>me</w:t>
      </w:r>
      <w:r w:rsidR="00CA709F">
        <w:t xml:space="preserve">s </w:t>
      </w:r>
      <w:r w:rsidR="008146FB">
        <w:t xml:space="preserve">to be </w:t>
      </w:r>
      <w:r w:rsidR="007F7802">
        <w:t>an objective</w:t>
      </w:r>
      <w:r w:rsidR="00E002A9">
        <w:t xml:space="preserve"> for law reform</w:t>
      </w:r>
      <w:r w:rsidRPr="009A60BE">
        <w:t xml:space="preserve">. </w:t>
      </w:r>
    </w:p>
    <w:p w14:paraId="4257DDAC" w14:textId="285BD030" w:rsidR="00BE3D32" w:rsidRPr="009A60BE" w:rsidRDefault="00BE3D32" w:rsidP="00BE3D32">
      <w:pPr>
        <w:pStyle w:val="BodyText"/>
        <w:numPr>
          <w:ilvl w:val="1"/>
          <w:numId w:val="31"/>
        </w:numPr>
        <w:spacing w:after="120"/>
        <w:ind w:hanging="709"/>
      </w:pPr>
      <w:r w:rsidRPr="009A60BE">
        <w:t xml:space="preserve">We </w:t>
      </w:r>
      <w:r w:rsidR="00863D18">
        <w:t>do</w:t>
      </w:r>
      <w:r w:rsidR="001661D6">
        <w:t>,</w:t>
      </w:r>
      <w:r w:rsidR="00863D18">
        <w:t xml:space="preserve"> however, consider that </w:t>
      </w:r>
      <w:r w:rsidR="00863D18" w:rsidRPr="00F01E96">
        <w:t>the information available to Corrections about offenders’ hostile motivation</w:t>
      </w:r>
      <w:r w:rsidR="00863D18">
        <w:t xml:space="preserve"> is inadequate.</w:t>
      </w:r>
      <w:r w:rsidR="00863D18" w:rsidRPr="00F01E96">
        <w:t xml:space="preserve"> </w:t>
      </w:r>
      <w:r w:rsidR="00863D18">
        <w:t>As</w:t>
      </w:r>
      <w:r w:rsidRPr="009A60BE">
        <w:t xml:space="preserve"> explained </w:t>
      </w:r>
      <w:r>
        <w:t>in Chapter 2</w:t>
      </w:r>
      <w:r w:rsidR="00863D18">
        <w:t>,</w:t>
      </w:r>
      <w:r w:rsidR="008B5F11">
        <w:t xml:space="preserve"> </w:t>
      </w:r>
      <w:r w:rsidRPr="009A60BE">
        <w:t>Corrections is not automatically notified when offences have been identified as hostility-motivated. For offenders assessed as having a medium or high risk of reoffending, Corrections may identify hostile motivation by reviewing the court’s sentencing notes. This is not done as a matter of course for low-risk offenders</w:t>
      </w:r>
      <w:r w:rsidR="00CF7AE3">
        <w:t>,</w:t>
      </w:r>
      <w:r w:rsidRPr="009A60BE">
        <w:t xml:space="preserve"> and </w:t>
      </w:r>
      <w:r>
        <w:t>for those who receive a sentence</w:t>
      </w:r>
      <w:r w:rsidR="00EB4AE8">
        <w:t xml:space="preserve"> other than imprisonment or home detention</w:t>
      </w:r>
      <w:r>
        <w:t xml:space="preserve">, sentencing notes </w:t>
      </w:r>
      <w:r w:rsidR="00EB4AE8">
        <w:t>are</w:t>
      </w:r>
      <w:r w:rsidRPr="009A60BE">
        <w:t xml:space="preserve"> not </w:t>
      </w:r>
      <w:r w:rsidR="00EB4AE8">
        <w:t>usually</w:t>
      </w:r>
      <w:r>
        <w:t xml:space="preserve"> available at all. </w:t>
      </w:r>
    </w:p>
    <w:p w14:paraId="72BC01E2" w14:textId="2B5513D9" w:rsidR="007C1CFD" w:rsidRPr="009A60BE" w:rsidRDefault="00F65104" w:rsidP="007C1CFD">
      <w:pPr>
        <w:pStyle w:val="BodyText"/>
        <w:numPr>
          <w:ilvl w:val="1"/>
          <w:numId w:val="31"/>
        </w:numPr>
        <w:spacing w:after="120"/>
        <w:ind w:hanging="709"/>
      </w:pPr>
      <w:r>
        <w:t xml:space="preserve">As noted earlier in relation to recording hate crime, </w:t>
      </w:r>
      <w:r w:rsidR="007C1CFD" w:rsidRPr="009A60BE">
        <w:t xml:space="preserve">it is problematic that Corrections may not be aware </w:t>
      </w:r>
      <w:r w:rsidR="00694F74">
        <w:t>that</w:t>
      </w:r>
      <w:r w:rsidR="00694F74" w:rsidRPr="009A60BE">
        <w:t xml:space="preserve"> </w:t>
      </w:r>
      <w:r w:rsidR="007C1CFD" w:rsidRPr="009A60BE">
        <w:t xml:space="preserve">an offender under its management was motivated by hostility. This makes it difficult for Corrections to tailor its response to these offenders and to ensure the safety of its staff and other prisoners. It also means hostile motivation may not be addressed in reports prepared by Corrections for the courts (to inform bail </w:t>
      </w:r>
      <w:r w:rsidR="00756C2B">
        <w:t>and</w:t>
      </w:r>
      <w:r w:rsidR="007C1CFD" w:rsidRPr="009A60BE">
        <w:t xml:space="preserve"> sentencing decisions) and the Parole Board (when making decisions about whether to grant parole). </w:t>
      </w:r>
    </w:p>
    <w:p w14:paraId="31A12ABF" w14:textId="568FAD11" w:rsidR="007C1CFD" w:rsidRPr="009A60BE" w:rsidRDefault="00C60508" w:rsidP="007C1CFD">
      <w:pPr>
        <w:pStyle w:val="BodyText"/>
        <w:numPr>
          <w:ilvl w:val="1"/>
          <w:numId w:val="31"/>
        </w:numPr>
        <w:spacing w:after="120"/>
        <w:ind w:hanging="709"/>
      </w:pPr>
      <w:r>
        <w:t>This impacts negatively on</w:t>
      </w:r>
      <w:r w:rsidR="007C1CFD" w:rsidRPr="009A60BE">
        <w:t xml:space="preserve"> the objectives of hate crime law we have identified, </w:t>
      </w:r>
      <w:r>
        <w:t xml:space="preserve">as </w:t>
      </w:r>
      <w:r w:rsidR="007C1CFD" w:rsidRPr="009A60BE">
        <w:t>Corrections has a role in seeking to reduce the occurrence of hate crimes. It does this by addressing offenders’ risks of reoffending through rehabilitation, taking precautions to prevent hate crimes against its own staff and other prisoners and supporting informed decisions about bail and parole. Additionally, by providing pre-sentence reports to the courts, Corrections helps to ensure the courts hold hate crime offenders accountable and denounce hostile motivation. The fact that Corrections may be unaware of an offender’s hostile motivation limits its ability to perform those functions effectively.</w:t>
      </w:r>
    </w:p>
    <w:p w14:paraId="519DEB18" w14:textId="77777777" w:rsidR="007C1CFD" w:rsidRPr="009A60BE" w:rsidRDefault="007C1CFD" w:rsidP="00657444">
      <w:pPr>
        <w:pStyle w:val="Heading3"/>
      </w:pPr>
      <w:bookmarkStart w:id="122" w:name="_Toc212106751"/>
      <w:r w:rsidRPr="009A60BE">
        <w:t>Supporting victims of hate crime</w:t>
      </w:r>
      <w:bookmarkEnd w:id="122"/>
    </w:p>
    <w:p w14:paraId="7CD2D272" w14:textId="7DF79173" w:rsidR="00E450F4" w:rsidRPr="00E450F4" w:rsidRDefault="00E450F4" w:rsidP="00E450F4">
      <w:pPr>
        <w:pStyle w:val="Heading4"/>
      </w:pPr>
      <w:r>
        <w:t>Consultation</w:t>
      </w:r>
    </w:p>
    <w:p w14:paraId="3250CF3C" w14:textId="264A5BF4" w:rsidR="007C1CFD" w:rsidRPr="009A60BE" w:rsidRDefault="007C1CFD" w:rsidP="007C1CFD">
      <w:pPr>
        <w:pStyle w:val="BodyText"/>
        <w:numPr>
          <w:ilvl w:val="1"/>
          <w:numId w:val="31"/>
        </w:numPr>
        <w:spacing w:after="120"/>
        <w:ind w:hanging="709"/>
      </w:pPr>
      <w:r w:rsidRPr="009A60BE">
        <w:t xml:space="preserve">This issue was not discussed in our Consultation Paper. However, some submitters </w:t>
      </w:r>
      <w:r w:rsidR="00910D0B">
        <w:t xml:space="preserve">and people we spoke </w:t>
      </w:r>
      <w:r w:rsidR="00C85E6E">
        <w:t xml:space="preserve">with </w:t>
      </w:r>
      <w:r w:rsidR="00910D0B">
        <w:t xml:space="preserve">during consultation </w:t>
      </w:r>
      <w:r w:rsidRPr="009A60BE">
        <w:t xml:space="preserve">said there is a lack of appropriate support for victims throughout the justice </w:t>
      </w:r>
      <w:r w:rsidR="001C07D9">
        <w:t>process</w:t>
      </w:r>
      <w:r w:rsidRPr="009A60BE">
        <w:t xml:space="preserve">. </w:t>
      </w:r>
      <w:r w:rsidR="00BC5C4E">
        <w:t xml:space="preserve">Some </w:t>
      </w:r>
      <w:r w:rsidRPr="009A60BE">
        <w:t xml:space="preserve">organisations we spoke </w:t>
      </w:r>
      <w:r w:rsidR="00C85E6E">
        <w:t>with</w:t>
      </w:r>
      <w:r w:rsidR="00C85E6E" w:rsidRPr="009A60BE">
        <w:t xml:space="preserve"> </w:t>
      </w:r>
      <w:r w:rsidRPr="009A60BE">
        <w:t xml:space="preserve">said victims may not report hate crimes because they feel </w:t>
      </w:r>
      <w:r w:rsidR="005602A1">
        <w:t xml:space="preserve">that </w:t>
      </w:r>
      <w:r w:rsidRPr="009A60BE">
        <w:t xml:space="preserve">they will not receive support that is appropriate to their background and needs and </w:t>
      </w:r>
      <w:r w:rsidR="005602A1">
        <w:t xml:space="preserve">that </w:t>
      </w:r>
      <w:r w:rsidRPr="009A60BE">
        <w:t xml:space="preserve">they may be re-victimised by the justice process. </w:t>
      </w:r>
      <w:r w:rsidR="009E6AAF">
        <w:t>Two submitters suggested disabled people may not receive the support they need to navigate justice processes.</w:t>
      </w:r>
      <w:r w:rsidR="009E6AAF">
        <w:rPr>
          <w:rStyle w:val="FootnoteReference"/>
        </w:rPr>
        <w:footnoteReference w:id="336"/>
      </w:r>
    </w:p>
    <w:p w14:paraId="612B10A1" w14:textId="0BB4C6A1" w:rsidR="007C1CFD" w:rsidRPr="009A60BE" w:rsidRDefault="009C5635" w:rsidP="007C1CFD">
      <w:pPr>
        <w:pStyle w:val="BodyText"/>
        <w:numPr>
          <w:ilvl w:val="1"/>
          <w:numId w:val="31"/>
        </w:numPr>
        <w:spacing w:after="120"/>
        <w:ind w:hanging="709"/>
      </w:pPr>
      <w:r>
        <w:t xml:space="preserve">In </w:t>
      </w:r>
      <w:r w:rsidR="00BC655D">
        <w:t>addition</w:t>
      </w:r>
      <w:r>
        <w:t>,</w:t>
      </w:r>
      <w:r w:rsidR="007C1CFD" w:rsidRPr="009A60BE">
        <w:t xml:space="preserve"> the Chief Victims Advisor, Ruth Money</w:t>
      </w:r>
      <w:r>
        <w:t xml:space="preserve">, </w:t>
      </w:r>
      <w:r w:rsidR="00BC655D">
        <w:t>told us</w:t>
      </w:r>
      <w:r w:rsidR="007C1CFD" w:rsidRPr="009A60BE">
        <w:t xml:space="preserve"> there is a lack of cultural competency in the justice system and victims are not adequately supported through the whole process. She thought there would be value in cultural competency training for the judiciary and court staff as well as better funding for community organisations to support victims.</w:t>
      </w:r>
      <w:r w:rsidR="007C1CFD" w:rsidRPr="009A60BE">
        <w:rPr>
          <w:rStyle w:val="FootnoteReference"/>
        </w:rPr>
        <w:footnoteReference w:id="337"/>
      </w:r>
      <w:r w:rsidR="007C1CFD" w:rsidRPr="009A60BE">
        <w:t xml:space="preserve"> However, she saw these as issues that affect all victims and did not think hate crime victims needed to be treated differently.</w:t>
      </w:r>
    </w:p>
    <w:p w14:paraId="57AD1E7F" w14:textId="3652EF9E" w:rsidR="00E450F4" w:rsidRPr="009A60BE" w:rsidRDefault="00E450F4" w:rsidP="00E450F4">
      <w:pPr>
        <w:pStyle w:val="Heading4"/>
      </w:pPr>
      <w:r>
        <w:t>Is there a problem with the current law?</w:t>
      </w:r>
    </w:p>
    <w:p w14:paraId="4C29D68A" w14:textId="4A248C13" w:rsidR="007C1CFD" w:rsidRPr="009A60BE" w:rsidRDefault="007C1CFD" w:rsidP="007C1CFD">
      <w:pPr>
        <w:pStyle w:val="BodyText"/>
        <w:numPr>
          <w:ilvl w:val="1"/>
          <w:numId w:val="31"/>
        </w:numPr>
        <w:spacing w:after="120"/>
        <w:ind w:hanging="709"/>
      </w:pPr>
      <w:r w:rsidRPr="009A60BE">
        <w:t xml:space="preserve">We agree there are gaps in the support available for victims. For example, while victims can contact </w:t>
      </w:r>
      <w:r w:rsidR="00BE7BF2" w:rsidRPr="00A3272D">
        <w:t>Manaaki Tāngata</w:t>
      </w:r>
      <w:r w:rsidR="00BE7BF2" w:rsidRPr="00FC00D5">
        <w:t xml:space="preserve"> </w:t>
      </w:r>
      <w:r w:rsidR="00BE7BF2">
        <w:t xml:space="preserve">| </w:t>
      </w:r>
      <w:r w:rsidRPr="009A60BE">
        <w:t>Victim Support, there is no guarantee they will be allocated a support worker who understands their background and needs. There is</w:t>
      </w:r>
      <w:r>
        <w:t xml:space="preserve"> </w:t>
      </w:r>
      <w:r w:rsidR="00966E2F">
        <w:t>limited</w:t>
      </w:r>
      <w:r w:rsidRPr="009A60BE">
        <w:t xml:space="preserve"> support for disabled victims to ensure they can fully understand and participate in the justice process.</w:t>
      </w:r>
      <w:r w:rsidRPr="009A60BE">
        <w:rPr>
          <w:rStyle w:val="FootnoteReference"/>
        </w:rPr>
        <w:footnoteReference w:id="338"/>
      </w:r>
      <w:r w:rsidRPr="009A60BE">
        <w:t xml:space="preserve"> There is also limited access to funded counselling (depending on the type of crime experienced). </w:t>
      </w:r>
    </w:p>
    <w:p w14:paraId="328980C3" w14:textId="77777777" w:rsidR="001B0115" w:rsidRDefault="001B0115">
      <w:pPr>
        <w:spacing w:before="0" w:after="0" w:line="240" w:lineRule="auto"/>
      </w:pPr>
      <w:r>
        <w:br w:type="page"/>
      </w:r>
    </w:p>
    <w:p w14:paraId="53FF1836" w14:textId="243F7C1F" w:rsidR="00E0369F" w:rsidRPr="00A4216E" w:rsidRDefault="007C1CFD" w:rsidP="00A4216E">
      <w:pPr>
        <w:pStyle w:val="BodyText"/>
        <w:numPr>
          <w:ilvl w:val="1"/>
          <w:numId w:val="31"/>
        </w:numPr>
        <w:spacing w:after="120"/>
        <w:ind w:hanging="709"/>
      </w:pPr>
      <w:r w:rsidRPr="009A60BE">
        <w:t>These are important issues</w:t>
      </w:r>
      <w:r w:rsidR="00CC27B0">
        <w:t>,</w:t>
      </w:r>
      <w:r w:rsidRPr="009A60BE">
        <w:t xml:space="preserve"> and we agree they are likely to have an impact on victims’ willingness to report crimes. However, we do not </w:t>
      </w:r>
      <w:r w:rsidR="00CC27B0">
        <w:t>consider</w:t>
      </w:r>
      <w:r w:rsidRPr="009A60BE">
        <w:t xml:space="preserve"> they are specific to hate crime victims or indicate problems with hate crime law. Victims from marginalised communities</w:t>
      </w:r>
      <w:r>
        <w:t xml:space="preserve"> (as hate crime victims usually are)</w:t>
      </w:r>
      <w:r w:rsidRPr="009A60BE">
        <w:t xml:space="preserve"> face the same barriers when they experience other types of crimes. </w:t>
      </w:r>
      <w:r w:rsidR="00610C19">
        <w:t>It</w:t>
      </w:r>
      <w:r w:rsidRPr="009A60BE">
        <w:t xml:space="preserve"> would be problematic to recommend changes in relation to hate crime victims only without considering the needs of all victims of crime and how resources are best allocated to support them through the justice process. That work is beyond the scope of this review. We suggest it be considered by </w:t>
      </w:r>
      <w:r w:rsidR="00185AC1" w:rsidRPr="00185AC1">
        <w:t>Te Tāhū o te Ture | Ministry of Justice</w:t>
      </w:r>
      <w:r w:rsidR="00185AC1">
        <w:t xml:space="preserve"> </w:t>
      </w:r>
      <w:r w:rsidRPr="009A60BE">
        <w:t>separately.</w:t>
      </w:r>
    </w:p>
    <w:p w14:paraId="70CBA5B0" w14:textId="77777777" w:rsidR="009574AF" w:rsidRPr="00A42BC3" w:rsidRDefault="009574AF" w:rsidP="009D6965">
      <w:pPr>
        <w:rPr>
          <w:highlight w:val="yellow"/>
        </w:rPr>
      </w:pPr>
    </w:p>
    <w:p w14:paraId="4EFCFD5E" w14:textId="1137D1F7" w:rsidR="009574AF" w:rsidRPr="00330E85" w:rsidRDefault="009574AF" w:rsidP="00033905">
      <w:pPr>
        <w:pStyle w:val="BodyText"/>
        <w:numPr>
          <w:ilvl w:val="0"/>
          <w:numId w:val="0"/>
        </w:numPr>
        <w:ind w:left="709" w:hanging="709"/>
      </w:pPr>
      <w:r w:rsidRPr="00A42BC3">
        <w:rPr>
          <w:noProof/>
          <w:highlight w:val="yellow"/>
        </w:rPr>
        <mc:AlternateContent>
          <mc:Choice Requires="wps">
            <w:drawing>
              <wp:anchor distT="0" distB="0" distL="114300" distR="114300" simplePos="0" relativeHeight="251658247" behindDoc="0" locked="0" layoutInCell="1" allowOverlap="1" wp14:anchorId="257EA987" wp14:editId="0E9F271F">
                <wp:simplePos x="0" y="0"/>
                <wp:positionH relativeFrom="margin">
                  <wp:posOffset>0</wp:posOffset>
                </wp:positionH>
                <wp:positionV relativeFrom="paragraph">
                  <wp:posOffset>165413</wp:posOffset>
                </wp:positionV>
                <wp:extent cx="2721610" cy="0"/>
                <wp:effectExtent l="0" t="19050" r="21590" b="19050"/>
                <wp:wrapNone/>
                <wp:docPr id="764518353" name="Straight Connector 76451835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59D4D" id="Straight Connector 764518353" o:spid="_x0000_s1026" style="position:absolute;z-index:251658247;visibility:visible;mso-wrap-style:square;mso-wrap-distance-left:9pt;mso-wrap-distance-top:0;mso-wrap-distance-right:9pt;mso-wrap-distance-bottom:0;mso-position-horizontal:absolute;mso-position-horizontal-relative:margin;mso-position-vertical:absolute;mso-position-vertical-relative:text" from="0,13pt" to="21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" strokecolor="#5ca0b9" strokeweight="2.5pt">
                <w10:wrap anchorx="margin"/>
              </v:line>
            </w:pict>
          </mc:Fallback>
        </mc:AlternateContent>
      </w:r>
    </w:p>
    <w:p w14:paraId="017C981D" w14:textId="77777777" w:rsidR="009574AF" w:rsidRPr="00330E85" w:rsidRDefault="009574AF" w:rsidP="00033905">
      <w:pPr>
        <w:pStyle w:val="BodyText"/>
        <w:numPr>
          <w:ilvl w:val="0"/>
          <w:numId w:val="0"/>
        </w:numPr>
        <w:ind w:left="709" w:hanging="709"/>
      </w:pPr>
    </w:p>
    <w:p w14:paraId="2E6D5F9B" w14:textId="77777777" w:rsidR="00A42BC3" w:rsidRPr="00330E85" w:rsidRDefault="00A42BC3" w:rsidP="00A42BC3">
      <w:pPr>
        <w:spacing w:after="0" w:line="240" w:lineRule="auto"/>
      </w:pPr>
    </w:p>
    <w:p w14:paraId="34F97BF3" w14:textId="77777777" w:rsidR="00A42BC3" w:rsidRPr="00330E85" w:rsidRDefault="00A42BC3" w:rsidP="00A42BC3">
      <w:pPr>
        <w:spacing w:after="0" w:line="240" w:lineRule="auto"/>
      </w:pPr>
    </w:p>
    <w:p w14:paraId="6214ED6C" w14:textId="77777777" w:rsidR="00A42BC3" w:rsidRPr="00330E85" w:rsidRDefault="00A42BC3" w:rsidP="00A42BC3">
      <w:pPr>
        <w:spacing w:after="0" w:line="240" w:lineRule="auto"/>
        <w:sectPr w:rsidR="00A42BC3" w:rsidRPr="00330E85" w:rsidSect="00A42BC3">
          <w:headerReference w:type="even" r:id="rId43"/>
          <w:headerReference w:type="default" r:id="rId44"/>
          <w:footnotePr>
            <w:numRestart w:val="eachSect"/>
          </w:footnotePr>
          <w:pgSz w:w="11907" w:h="16840" w:code="9"/>
          <w:pgMar w:top="1134" w:right="1134" w:bottom="1134" w:left="1701" w:header="499" w:footer="46" w:gutter="0"/>
          <w:cols w:space="720"/>
        </w:sectPr>
      </w:pPr>
    </w:p>
    <w:p w14:paraId="57E52166" w14:textId="1B6A0703" w:rsidR="00A42BC3" w:rsidRPr="00330E85" w:rsidRDefault="00A42BC3" w:rsidP="00A42BC3">
      <w:pPr>
        <w:pStyle w:val="HEADING2topchapter-notinTOC"/>
        <w:rPr>
          <w:sz w:val="21"/>
          <w:szCs w:val="21"/>
        </w:rPr>
      </w:pPr>
      <w:r w:rsidRPr="00330E85">
        <w:t xml:space="preserve">CHAPTER </w:t>
      </w:r>
      <w:r w:rsidR="00F75EE3">
        <w:t>5</w:t>
      </w:r>
    </w:p>
    <w:p w14:paraId="0C3F25BE" w14:textId="77777777" w:rsidR="00A42BC3" w:rsidRPr="00330E85" w:rsidRDefault="00A42BC3" w:rsidP="00A42BC3">
      <w:pPr>
        <w:spacing w:after="0" w:line="200" w:lineRule="exact"/>
        <w:rPr>
          <w:szCs w:val="20"/>
        </w:rPr>
      </w:pPr>
      <w:r w:rsidRPr="00330E85">
        <w:rPr>
          <w:noProof/>
        </w:rPr>
        <mc:AlternateContent>
          <mc:Choice Requires="wpg">
            <w:drawing>
              <wp:anchor distT="0" distB="0" distL="114300" distR="114300" simplePos="0" relativeHeight="251658253" behindDoc="1" locked="0" layoutInCell="1" allowOverlap="1" wp14:anchorId="2A5AF8BA" wp14:editId="6BAF1A27">
                <wp:simplePos x="0" y="0"/>
                <wp:positionH relativeFrom="page">
                  <wp:posOffset>1079500</wp:posOffset>
                </wp:positionH>
                <wp:positionV relativeFrom="paragraph">
                  <wp:posOffset>120015</wp:posOffset>
                </wp:positionV>
                <wp:extent cx="1332230" cy="1270"/>
                <wp:effectExtent l="0" t="19050" r="1270" b="0"/>
                <wp:wrapNone/>
                <wp:docPr id="1414180748" name="Group 1414180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6465362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7BA5" id="Group 1414180748" o:spid="_x0000_s1026" style="position:absolute;margin-left:85pt;margin-top:9.45pt;width:104.9pt;height:.1pt;z-index:-25165822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CQKy2Z/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D979BC6" w14:textId="70DFF5AF" w:rsidR="00A42BC3" w:rsidRPr="00330E85" w:rsidRDefault="00AA4DB5" w:rsidP="00A42BC3">
      <w:pPr>
        <w:pStyle w:val="Heading1"/>
        <w:rPr>
          <w:rFonts w:eastAsia="Metropolis Black"/>
        </w:rPr>
      </w:pPr>
      <w:bookmarkStart w:id="123" w:name="_Toc231467837"/>
      <w:r w:rsidRPr="00AA4DB5">
        <w:rPr>
          <w:rFonts w:eastAsia="Metropolis Black"/>
        </w:rPr>
        <w:t>Comparing legal models</w:t>
      </w:r>
      <w:bookmarkEnd w:id="123"/>
    </w:p>
    <w:p w14:paraId="6C3FEC25" w14:textId="77777777" w:rsidR="00A42BC3" w:rsidRPr="00330E85" w:rsidRDefault="00A42BC3" w:rsidP="00A42BC3">
      <w:pPr>
        <w:spacing w:after="0" w:line="200" w:lineRule="exact"/>
        <w:rPr>
          <w:szCs w:val="20"/>
        </w:rPr>
      </w:pPr>
      <w:r w:rsidRPr="00330E85">
        <w:rPr>
          <w:noProof/>
          <w:lang w:eastAsia="en-NZ"/>
        </w:rPr>
        <mc:AlternateContent>
          <mc:Choice Requires="wpg">
            <w:drawing>
              <wp:anchor distT="0" distB="0" distL="114300" distR="114300" simplePos="0" relativeHeight="251658254" behindDoc="1" locked="0" layoutInCell="1" allowOverlap="1" wp14:anchorId="7527CEBB" wp14:editId="378B2E0C">
                <wp:simplePos x="0" y="0"/>
                <wp:positionH relativeFrom="page">
                  <wp:posOffset>1089025</wp:posOffset>
                </wp:positionH>
                <wp:positionV relativeFrom="paragraph">
                  <wp:posOffset>86731</wp:posOffset>
                </wp:positionV>
                <wp:extent cx="1332230" cy="1270"/>
                <wp:effectExtent l="0" t="19050" r="1270" b="17780"/>
                <wp:wrapNone/>
                <wp:docPr id="1867074201" name="Group 1867074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0279042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CF862" id="Group 1867074201" o:spid="_x0000_s1026" style="position:absolute;margin-left:85.75pt;margin-top:6.85pt;width:104.9pt;height:.1pt;z-index:-25165822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6B5332F6" w14:textId="77777777" w:rsidR="00A42BC3" w:rsidRPr="00330E85" w:rsidRDefault="00A42BC3" w:rsidP="00A42BC3"/>
    <w:p w14:paraId="71D6FA61" w14:textId="77777777" w:rsidR="00A42BC3" w:rsidRDefault="00A42BC3" w:rsidP="00A42BC3">
      <w:pPr>
        <w:pStyle w:val="Heading2"/>
      </w:pPr>
      <w:bookmarkStart w:id="124" w:name="_Toc231467838"/>
      <w:r w:rsidRPr="00E34108">
        <w:t>Introduction</w:t>
      </w:r>
      <w:bookmarkEnd w:id="124"/>
    </w:p>
    <w:p w14:paraId="5F50548C" w14:textId="77777777" w:rsidR="00A42BC3" w:rsidRPr="00684CD4" w:rsidRDefault="00A42BC3" w:rsidP="003E75B9">
      <w:pPr>
        <w:pStyle w:val="ListParagraph"/>
        <w:numPr>
          <w:ilvl w:val="0"/>
          <w:numId w:val="28"/>
        </w:numPr>
        <w:spacing w:before="80" w:after="80"/>
        <w:contextualSpacing w:val="0"/>
        <w:jc w:val="both"/>
        <w:rPr>
          <w:vanish/>
          <w:sz w:val="20"/>
        </w:rPr>
      </w:pPr>
    </w:p>
    <w:p w14:paraId="714069BA" w14:textId="46B2CA02" w:rsidR="00617DD0" w:rsidRPr="00D07A5D" w:rsidRDefault="00617DD0" w:rsidP="000E28D7">
      <w:pPr>
        <w:pStyle w:val="BodyText"/>
        <w:rPr>
          <w:rFonts w:eastAsia="Calibri"/>
          <w:lang w:eastAsia="en-US"/>
        </w:rPr>
      </w:pPr>
      <w:r w:rsidRPr="00D07A5D">
        <w:rPr>
          <w:rFonts w:eastAsia="Calibri"/>
          <w:lang w:eastAsia="en-US"/>
        </w:rPr>
        <w:t>As</w:t>
      </w:r>
      <w:r w:rsidR="009924A8">
        <w:rPr>
          <w:rFonts w:eastAsia="Calibri"/>
          <w:lang w:eastAsia="en-US"/>
        </w:rPr>
        <w:t xml:space="preserve"> </w:t>
      </w:r>
      <w:r w:rsidRPr="00D07A5D">
        <w:rPr>
          <w:rFonts w:eastAsia="Calibri"/>
          <w:lang w:eastAsia="en-US"/>
        </w:rPr>
        <w:t xml:space="preserve">explained in Chapter 3, our approach </w:t>
      </w:r>
      <w:r>
        <w:rPr>
          <w:rFonts w:eastAsia="Calibri"/>
          <w:lang w:eastAsia="en-US"/>
        </w:rPr>
        <w:t xml:space="preserve">in this review </w:t>
      </w:r>
      <w:r w:rsidRPr="00D07A5D">
        <w:rPr>
          <w:rFonts w:eastAsia="Calibri"/>
          <w:lang w:eastAsia="en-US"/>
        </w:rPr>
        <w:t xml:space="preserve">has been that we </w:t>
      </w:r>
      <w:r w:rsidR="00E861F3">
        <w:rPr>
          <w:rFonts w:eastAsia="Calibri"/>
          <w:lang w:eastAsia="en-US"/>
        </w:rPr>
        <w:t>will</w:t>
      </w:r>
      <w:r w:rsidRPr="00D07A5D">
        <w:rPr>
          <w:rFonts w:eastAsia="Calibri"/>
          <w:lang w:eastAsia="en-US"/>
        </w:rPr>
        <w:t xml:space="preserve"> only recommend changing the legal model for</w:t>
      </w:r>
      <w:r w:rsidR="00B23E0D">
        <w:rPr>
          <w:rFonts w:eastAsia="Calibri"/>
          <w:lang w:eastAsia="en-US"/>
        </w:rPr>
        <w:t xml:space="preserve"> addressing</w:t>
      </w:r>
      <w:r w:rsidRPr="00D07A5D">
        <w:rPr>
          <w:rFonts w:eastAsia="Calibri"/>
          <w:lang w:eastAsia="en-US"/>
        </w:rPr>
        <w:t xml:space="preserve"> hate crime if: </w:t>
      </w:r>
    </w:p>
    <w:p w14:paraId="19D4D03E" w14:textId="77777777" w:rsidR="00296A3F" w:rsidRDefault="00617DD0" w:rsidP="00617DD0">
      <w:pPr>
        <w:pStyle w:val="BodyTextalphalist"/>
        <w:rPr>
          <w:rFonts w:eastAsia="Calibri"/>
          <w:lang w:eastAsia="en-US"/>
        </w:rPr>
      </w:pPr>
      <w:r w:rsidRPr="00D07A5D">
        <w:rPr>
          <w:rFonts w:eastAsia="Calibri"/>
          <w:lang w:eastAsia="en-US"/>
        </w:rPr>
        <w:t>there are problems with the current law</w:t>
      </w:r>
      <w:r w:rsidR="00296A3F">
        <w:rPr>
          <w:rFonts w:eastAsia="Calibri"/>
          <w:lang w:eastAsia="en-US"/>
        </w:rPr>
        <w:t>;</w:t>
      </w:r>
      <w:r w:rsidRPr="00D07A5D">
        <w:rPr>
          <w:rFonts w:eastAsia="Calibri"/>
          <w:lang w:eastAsia="en-US"/>
        </w:rPr>
        <w:t xml:space="preserve"> </w:t>
      </w:r>
    </w:p>
    <w:p w14:paraId="4F250047" w14:textId="08C0DC9F" w:rsidR="00617DD0" w:rsidRPr="00D07A5D" w:rsidRDefault="00296A3F" w:rsidP="00617DD0">
      <w:pPr>
        <w:pStyle w:val="BodyTextalphalist"/>
        <w:rPr>
          <w:rFonts w:eastAsia="Calibri"/>
          <w:lang w:eastAsia="en-US"/>
        </w:rPr>
      </w:pPr>
      <w:r>
        <w:rPr>
          <w:rFonts w:eastAsia="Calibri"/>
          <w:lang w:eastAsia="en-US"/>
        </w:rPr>
        <w:t>those problems</w:t>
      </w:r>
      <w:r w:rsidR="00617DD0" w:rsidRPr="00D07A5D">
        <w:rPr>
          <w:rFonts w:eastAsia="Calibri"/>
          <w:lang w:eastAsia="en-US"/>
        </w:rPr>
        <w:t xml:space="preserve"> cannot be addressed by making changes to the sentence aggravation model (in other words, </w:t>
      </w:r>
      <w:r w:rsidR="00617DD0">
        <w:rPr>
          <w:rFonts w:eastAsia="Calibri"/>
          <w:lang w:eastAsia="en-US"/>
        </w:rPr>
        <w:t>the</w:t>
      </w:r>
      <w:r w:rsidR="00F842F2">
        <w:rPr>
          <w:rFonts w:eastAsia="Calibri"/>
          <w:lang w:eastAsia="en-US"/>
        </w:rPr>
        <w:t>y</w:t>
      </w:r>
      <w:r w:rsidR="00617DD0" w:rsidRPr="00D07A5D">
        <w:rPr>
          <w:rFonts w:eastAsia="Calibri"/>
          <w:lang w:eastAsia="en-US"/>
        </w:rPr>
        <w:t xml:space="preserve"> are fundamental problems with the model); and</w:t>
      </w:r>
    </w:p>
    <w:p w14:paraId="5988796F" w14:textId="77777777" w:rsidR="00617DD0" w:rsidRPr="00D07A5D" w:rsidRDefault="00617DD0" w:rsidP="00617DD0">
      <w:pPr>
        <w:pStyle w:val="BodyTextalphalist"/>
        <w:rPr>
          <w:rFonts w:eastAsia="Calibri"/>
          <w:lang w:eastAsia="en-US"/>
        </w:rPr>
      </w:pPr>
      <w:r w:rsidRPr="00D07A5D">
        <w:rPr>
          <w:rFonts w:eastAsia="Calibri"/>
          <w:lang w:eastAsia="en-US"/>
        </w:rPr>
        <w:t xml:space="preserve">adopting a different legal model would </w:t>
      </w:r>
      <w:r w:rsidRPr="00D07A5D">
        <w:t>address the problems with the current law without creating additional problems that would outweigh the benefits.</w:t>
      </w:r>
    </w:p>
    <w:p w14:paraId="5B1B0B72" w14:textId="25E3BECC" w:rsidR="00C368FD" w:rsidRDefault="00E56512" w:rsidP="000E28D7">
      <w:pPr>
        <w:pStyle w:val="BodyText"/>
      </w:pPr>
      <w:r>
        <w:t xml:space="preserve">In </w:t>
      </w:r>
      <w:r w:rsidRPr="001C460D">
        <w:t>Chapter</w:t>
      </w:r>
      <w:r>
        <w:t xml:space="preserve"> 4, we identified some problems with the </w:t>
      </w:r>
      <w:r w:rsidR="00CE6955">
        <w:t>operation of the</w:t>
      </w:r>
      <w:r>
        <w:t xml:space="preserve"> current law </w:t>
      </w:r>
      <w:r w:rsidR="007A4FA2">
        <w:t xml:space="preserve">relating to hate crime in Aotearoa New Zealand. Those problems </w:t>
      </w:r>
      <w:r w:rsidR="004850FB">
        <w:t xml:space="preserve">impact the ability of current law and practice to meet </w:t>
      </w:r>
      <w:r w:rsidR="007A4FA2">
        <w:t xml:space="preserve">the objectives of hate crime law </w:t>
      </w:r>
      <w:r w:rsidR="00E217A2">
        <w:t>set out</w:t>
      </w:r>
      <w:r w:rsidR="007A4FA2">
        <w:t xml:space="preserve"> in Chapter 3</w:t>
      </w:r>
      <w:r w:rsidR="004850FB">
        <w:t>.</w:t>
      </w:r>
    </w:p>
    <w:p w14:paraId="4641FC29" w14:textId="2D1B5BFF" w:rsidR="00E411E2" w:rsidRDefault="00E56512" w:rsidP="000E28D7">
      <w:pPr>
        <w:pStyle w:val="BodyText"/>
      </w:pPr>
      <w:r>
        <w:t>In this chapter, we consider</w:t>
      </w:r>
      <w:r w:rsidR="00593364">
        <w:t xml:space="preserve"> whether </w:t>
      </w:r>
      <w:r w:rsidR="00BF5CEA">
        <w:t>the</w:t>
      </w:r>
      <w:r w:rsidR="00593364">
        <w:t xml:space="preserve"> </w:t>
      </w:r>
      <w:r w:rsidR="00653C68">
        <w:t>legal model</w:t>
      </w:r>
      <w:r w:rsidR="00424C60">
        <w:t xml:space="preserve"> </w:t>
      </w:r>
      <w:r w:rsidR="00694325">
        <w:t xml:space="preserve">should be changed </w:t>
      </w:r>
      <w:r w:rsidR="00424C60">
        <w:t>to address those problems</w:t>
      </w:r>
      <w:r w:rsidR="00653C68">
        <w:t xml:space="preserve">. </w:t>
      </w:r>
      <w:r w:rsidR="00DC23CE">
        <w:t>We discuss:</w:t>
      </w:r>
    </w:p>
    <w:p w14:paraId="70D3DA0E" w14:textId="77777777" w:rsidR="008C4BA6" w:rsidRDefault="008C4BA6" w:rsidP="001404AA">
      <w:pPr>
        <w:pStyle w:val="BodyTextalphalist"/>
        <w:numPr>
          <w:ilvl w:val="3"/>
          <w:numId w:val="31"/>
        </w:numPr>
        <w:tabs>
          <w:tab w:val="clear" w:pos="1134"/>
        </w:tabs>
      </w:pPr>
    </w:p>
    <w:p w14:paraId="5615B7CE" w14:textId="483BE13F" w:rsidR="00DC23CE" w:rsidRDefault="00951BA7" w:rsidP="001404AA">
      <w:pPr>
        <w:pStyle w:val="BodyTextalphalist"/>
        <w:tabs>
          <w:tab w:val="clear" w:pos="1134"/>
        </w:tabs>
      </w:pPr>
      <w:r>
        <w:t>t</w:t>
      </w:r>
      <w:r w:rsidR="00DC23CE">
        <w:t>he key features of the current sentence aggravation model</w:t>
      </w:r>
      <w:r w:rsidR="00A87121">
        <w:t xml:space="preserve"> and the two alternative</w:t>
      </w:r>
      <w:r w:rsidR="00DC23CE">
        <w:t xml:space="preserve"> legal models considered in this review — the specific hate crime offence model and the Scottish hybrid model</w:t>
      </w:r>
      <w:r>
        <w:t>;</w:t>
      </w:r>
    </w:p>
    <w:p w14:paraId="687F5704" w14:textId="7155550D" w:rsidR="005B3AC5" w:rsidRDefault="00951BA7" w:rsidP="001404AA">
      <w:pPr>
        <w:pStyle w:val="BodyTextalphalist"/>
        <w:tabs>
          <w:tab w:val="clear" w:pos="1134"/>
        </w:tabs>
      </w:pPr>
      <w:r>
        <w:t>t</w:t>
      </w:r>
      <w:r w:rsidR="005B3AC5">
        <w:t>he feedback we received during consultation on whether the legal model should be changed</w:t>
      </w:r>
      <w:r>
        <w:t>;</w:t>
      </w:r>
    </w:p>
    <w:p w14:paraId="1BB8D250" w14:textId="1105FCD4" w:rsidR="00EA2772" w:rsidRDefault="00951BA7" w:rsidP="001404AA">
      <w:pPr>
        <w:pStyle w:val="BodyTextalphalist"/>
        <w:tabs>
          <w:tab w:val="clear" w:pos="1134"/>
        </w:tabs>
      </w:pPr>
      <w:r>
        <w:t>w</w:t>
      </w:r>
      <w:r w:rsidR="00EA2772">
        <w:t xml:space="preserve">hether each of the problems identified in Chapter 4 can be addressed by making changes to the sentence aggravation model or whether </w:t>
      </w:r>
      <w:r w:rsidR="00C446DA">
        <w:t xml:space="preserve">an alternative model </w:t>
      </w:r>
      <w:r w:rsidR="00056D7D">
        <w:t>would address the problem more effectively</w:t>
      </w:r>
      <w:r>
        <w:t>; and</w:t>
      </w:r>
    </w:p>
    <w:p w14:paraId="26329AA3" w14:textId="640C4275" w:rsidR="00D636E4" w:rsidRPr="00C368FD" w:rsidRDefault="00951BA7" w:rsidP="001404AA">
      <w:pPr>
        <w:pStyle w:val="BodyTextalphalist"/>
        <w:tabs>
          <w:tab w:val="clear" w:pos="1134"/>
        </w:tabs>
      </w:pPr>
      <w:r>
        <w:t>o</w:t>
      </w:r>
      <w:r w:rsidR="00D636E4" w:rsidRPr="00C368FD">
        <w:t xml:space="preserve">ther potential advantages </w:t>
      </w:r>
      <w:r w:rsidR="009521AC" w:rsidRPr="00C368FD">
        <w:t xml:space="preserve">and disadvantages </w:t>
      </w:r>
      <w:r w:rsidR="00D636E4" w:rsidRPr="00C368FD">
        <w:t>of the alternative models</w:t>
      </w:r>
      <w:r w:rsidR="00F72D83" w:rsidRPr="00C368FD">
        <w:t>.</w:t>
      </w:r>
    </w:p>
    <w:p w14:paraId="6DDCAA7A" w14:textId="08921FD4" w:rsidR="00967B3D" w:rsidRPr="00967B3D" w:rsidRDefault="00F71EED" w:rsidP="002F30A1">
      <w:pPr>
        <w:pStyle w:val="BodyText"/>
      </w:pPr>
      <w:r>
        <w:t xml:space="preserve">We conclude that </w:t>
      </w:r>
      <w:r w:rsidR="00CC6055">
        <w:t>the</w:t>
      </w:r>
      <w:r>
        <w:t xml:space="preserve"> sentence aggravation model </w:t>
      </w:r>
      <w:r w:rsidR="0091472E">
        <w:t xml:space="preserve">is </w:t>
      </w:r>
      <w:r>
        <w:t xml:space="preserve">the most appropriate way to address hate crime in Aotearoa New Zealand. </w:t>
      </w:r>
      <w:r w:rsidR="00842DD5">
        <w:rPr>
          <w:rFonts w:eastAsia="Calibri"/>
        </w:rPr>
        <w:t xml:space="preserve">The </w:t>
      </w:r>
      <w:r w:rsidR="00C76191">
        <w:rPr>
          <w:rFonts w:eastAsia="Calibri"/>
        </w:rPr>
        <w:t>problems</w:t>
      </w:r>
      <w:r w:rsidR="00EF0E70">
        <w:rPr>
          <w:rFonts w:eastAsia="Calibri"/>
        </w:rPr>
        <w:t xml:space="preserve"> </w:t>
      </w:r>
      <w:r w:rsidR="00C15CC8">
        <w:t>identified</w:t>
      </w:r>
      <w:r w:rsidR="00C15CC8">
        <w:rPr>
          <w:rFonts w:eastAsia="Calibri"/>
        </w:rPr>
        <w:t xml:space="preserve"> </w:t>
      </w:r>
      <w:r w:rsidR="00EF0E70">
        <w:rPr>
          <w:rFonts w:eastAsia="Calibri"/>
        </w:rPr>
        <w:t>in Chapter 4</w:t>
      </w:r>
      <w:r w:rsidR="00C76191">
        <w:rPr>
          <w:rFonts w:eastAsia="Calibri"/>
        </w:rPr>
        <w:t xml:space="preserve"> are not fundamental problems with the</w:t>
      </w:r>
      <w:r w:rsidR="00EE41DE">
        <w:rPr>
          <w:rFonts w:eastAsia="Calibri"/>
        </w:rPr>
        <w:t xml:space="preserve"> sentence aggravation</w:t>
      </w:r>
      <w:r w:rsidR="00C76191">
        <w:rPr>
          <w:rFonts w:eastAsia="Calibri"/>
        </w:rPr>
        <w:t xml:space="preserve"> model</w:t>
      </w:r>
      <w:r w:rsidR="003C1F37">
        <w:rPr>
          <w:rFonts w:eastAsia="Calibri"/>
        </w:rPr>
        <w:t xml:space="preserve"> and can be addressed by making changes to it</w:t>
      </w:r>
      <w:r w:rsidR="00C76191">
        <w:rPr>
          <w:rFonts w:eastAsia="Calibri"/>
        </w:rPr>
        <w:t xml:space="preserve">. </w:t>
      </w:r>
      <w:r w:rsidR="00C76191" w:rsidRPr="00EE41DE">
        <w:rPr>
          <w:rFonts w:eastAsia="Calibri"/>
          <w:lang w:eastAsia="en-US"/>
        </w:rPr>
        <w:t xml:space="preserve">Crucially, </w:t>
      </w:r>
      <w:r w:rsidR="003C1F37">
        <w:t xml:space="preserve">neither of the alternative models </w:t>
      </w:r>
      <w:r w:rsidR="00CC6055">
        <w:t xml:space="preserve">we examine </w:t>
      </w:r>
      <w:r w:rsidR="003C1F37">
        <w:t xml:space="preserve">would </w:t>
      </w:r>
      <w:r w:rsidR="00CC6055">
        <w:t>effectively</w:t>
      </w:r>
      <w:r w:rsidR="003C1F37">
        <w:t xml:space="preserve"> address th</w:t>
      </w:r>
      <w:r w:rsidR="00CC6055">
        <w:t>ose</w:t>
      </w:r>
      <w:r w:rsidR="003C1F37">
        <w:t xml:space="preserve"> problems. Both alternative models also have significant disadvantages that would outweigh their limited benefits. </w:t>
      </w:r>
      <w:r w:rsidR="00C76191" w:rsidRPr="00EE41DE">
        <w:rPr>
          <w:rFonts w:eastAsia="Calibri"/>
          <w:lang w:eastAsia="en-US"/>
        </w:rPr>
        <w:t xml:space="preserve"> </w:t>
      </w:r>
    </w:p>
    <w:p w14:paraId="0D3C47AD" w14:textId="5EC46CA4" w:rsidR="00F430A5" w:rsidRDefault="00C76191" w:rsidP="002F30A1">
      <w:pPr>
        <w:pStyle w:val="BodyText"/>
      </w:pPr>
      <w:r w:rsidRPr="00EE41DE">
        <w:rPr>
          <w:rFonts w:eastAsia="Calibri"/>
          <w:lang w:eastAsia="en-US"/>
        </w:rPr>
        <w:t xml:space="preserve">We </w:t>
      </w:r>
      <w:r w:rsidRPr="000E28D7">
        <w:t>make</w:t>
      </w:r>
      <w:r w:rsidRPr="00EE41DE">
        <w:rPr>
          <w:rFonts w:eastAsia="Calibri"/>
          <w:lang w:eastAsia="en-US"/>
        </w:rPr>
        <w:t xml:space="preserve"> recommendations to improve the sentence aggravation model in Part 3</w:t>
      </w:r>
      <w:r w:rsidR="00524746">
        <w:rPr>
          <w:rFonts w:eastAsia="Calibri"/>
          <w:lang w:eastAsia="en-US"/>
        </w:rPr>
        <w:t xml:space="preserve"> of this Report</w:t>
      </w:r>
      <w:r w:rsidRPr="00EE41DE">
        <w:rPr>
          <w:rFonts w:eastAsia="Calibri"/>
          <w:lang w:eastAsia="en-US"/>
        </w:rPr>
        <w:t>.</w:t>
      </w:r>
    </w:p>
    <w:p w14:paraId="15510118" w14:textId="761D7638" w:rsidR="00E56512" w:rsidRDefault="005A577C" w:rsidP="00E56512">
      <w:pPr>
        <w:pStyle w:val="Heading2"/>
        <w:spacing w:before="480"/>
      </w:pPr>
      <w:bookmarkStart w:id="125" w:name="_Toc231467839"/>
      <w:bookmarkStart w:id="126" w:name="_Toc212106755"/>
      <w:r>
        <w:t>Three</w:t>
      </w:r>
      <w:r w:rsidR="002650F0">
        <w:t xml:space="preserve"> legal models for addressing hate crime</w:t>
      </w:r>
      <w:bookmarkEnd w:id="125"/>
    </w:p>
    <w:p w14:paraId="5FA3C272" w14:textId="57787DDD" w:rsidR="00E56512" w:rsidRPr="00FB422A" w:rsidRDefault="00E56512" w:rsidP="002F30A1">
      <w:pPr>
        <w:pStyle w:val="BodyText"/>
      </w:pPr>
      <w:r w:rsidRPr="00FB422A">
        <w:t xml:space="preserve">There are three main legal models used to address hate crime in </w:t>
      </w:r>
      <w:r w:rsidR="00F40AF4">
        <w:t>the overseas</w:t>
      </w:r>
      <w:r w:rsidRPr="00FB422A">
        <w:t xml:space="preserve"> jurisdictions we </w:t>
      </w:r>
      <w:r w:rsidR="00F40AF4">
        <w:t>examined</w:t>
      </w:r>
      <w:r w:rsidRPr="00FB422A">
        <w:t>:</w:t>
      </w:r>
    </w:p>
    <w:p w14:paraId="28676941" w14:textId="09D65EEE" w:rsidR="00E56512" w:rsidRPr="00FB422A" w:rsidRDefault="009E5627" w:rsidP="00E56512">
      <w:pPr>
        <w:pStyle w:val="BodyTextalphalist"/>
      </w:pPr>
      <w:r>
        <w:t>T</w:t>
      </w:r>
      <w:r w:rsidR="00E56512" w:rsidRPr="00FB422A">
        <w:t>he sentence aggravation model (currently used in Aotearoa New Zealand)</w:t>
      </w:r>
      <w:r>
        <w:t>.</w:t>
      </w:r>
    </w:p>
    <w:p w14:paraId="223DB44A" w14:textId="2150E8E1" w:rsidR="00E56512" w:rsidRPr="00FB422A" w:rsidRDefault="009E5627" w:rsidP="00E56512">
      <w:pPr>
        <w:pStyle w:val="BodyTextalphalist"/>
      </w:pPr>
      <w:r>
        <w:t>T</w:t>
      </w:r>
      <w:r w:rsidR="00B0272B">
        <w:t xml:space="preserve">he </w:t>
      </w:r>
      <w:r w:rsidR="00E56512">
        <w:t>s</w:t>
      </w:r>
      <w:r w:rsidR="00E56512" w:rsidRPr="00FB422A">
        <w:t>pecific hate crime offence</w:t>
      </w:r>
      <w:r w:rsidR="00B0272B">
        <w:t xml:space="preserve"> model</w:t>
      </w:r>
      <w:r w:rsidR="00E56512" w:rsidRPr="00FB422A">
        <w:t xml:space="preserve"> (recommended by the </w:t>
      </w:r>
      <w:r w:rsidR="00E313E0" w:rsidRPr="00A30210">
        <w:rPr>
          <w:color w:val="auto"/>
        </w:rPr>
        <w:t>Royal Commission of Inquiry into the terrorist attack on Christchurch masjidain on 15 March 2019</w:t>
      </w:r>
      <w:r w:rsidR="00E56512" w:rsidRPr="00FB422A">
        <w:t>)</w:t>
      </w:r>
      <w:r>
        <w:t>.</w:t>
      </w:r>
    </w:p>
    <w:p w14:paraId="343A2DE9" w14:textId="5B544EA2" w:rsidR="00E56512" w:rsidRPr="00FB422A" w:rsidRDefault="009E5627" w:rsidP="00E56512">
      <w:pPr>
        <w:pStyle w:val="BodyTextalphalist"/>
      </w:pPr>
      <w:r>
        <w:t>T</w:t>
      </w:r>
      <w:r w:rsidR="00E56512" w:rsidRPr="00FB422A">
        <w:t>he Scottish hybrid model, which combines aspects of the sentence aggravation model and the specific offence model.</w:t>
      </w:r>
    </w:p>
    <w:p w14:paraId="370011DF" w14:textId="6669A08E" w:rsidR="00E56512" w:rsidRPr="00FB422A" w:rsidRDefault="0012012E" w:rsidP="002F30A1">
      <w:pPr>
        <w:pStyle w:val="BodyText"/>
      </w:pPr>
      <w:r>
        <w:t>The specific hate crime offence model is sometimes used alongside the sentence aggravation model.</w:t>
      </w:r>
      <w:r w:rsidR="00224EAD">
        <w:rPr>
          <w:rStyle w:val="FootnoteReference"/>
        </w:rPr>
        <w:footnoteReference w:id="339"/>
      </w:r>
      <w:r w:rsidR="00E56512" w:rsidRPr="00FB422A">
        <w:t xml:space="preserve"> </w:t>
      </w:r>
      <w:r w:rsidR="00A60E8D">
        <w:t>As we discuss below</w:t>
      </w:r>
      <w:r w:rsidR="00E56512" w:rsidRPr="00FB422A">
        <w:t>, in England and Wales</w:t>
      </w:r>
      <w:r w:rsidR="00E56512">
        <w:t xml:space="preserve"> and the Republic of Ireland</w:t>
      </w:r>
      <w:r w:rsidR="00E56512" w:rsidRPr="00FB422A">
        <w:t xml:space="preserve">, there </w:t>
      </w:r>
      <w:r w:rsidR="00606A40">
        <w:t>is</w:t>
      </w:r>
      <w:r w:rsidR="00E56512" w:rsidRPr="00FB422A">
        <w:t xml:space="preserve"> </w:t>
      </w:r>
      <w:r w:rsidR="00606A40">
        <w:t xml:space="preserve">a limited number of </w:t>
      </w:r>
      <w:r w:rsidR="00E56512" w:rsidRPr="00FB422A">
        <w:t xml:space="preserve">specific hate crime offences </w:t>
      </w:r>
      <w:r w:rsidR="00606A40">
        <w:t>and</w:t>
      </w:r>
      <w:r w:rsidR="00E56512" w:rsidRPr="00FB422A">
        <w:t xml:space="preserve"> sentence aggravation is available for other hate crimes not covered by those offences.</w:t>
      </w:r>
      <w:r>
        <w:t xml:space="preserve"> </w:t>
      </w:r>
    </w:p>
    <w:p w14:paraId="4833EB7A" w14:textId="3CACAE57" w:rsidR="00461367" w:rsidRPr="009A60BE" w:rsidRDefault="00987780" w:rsidP="00461367">
      <w:pPr>
        <w:pStyle w:val="Heading3"/>
      </w:pPr>
      <w:r>
        <w:t>S</w:t>
      </w:r>
      <w:r w:rsidR="00461367" w:rsidRPr="009A60BE">
        <w:t>entence aggravation model</w:t>
      </w:r>
    </w:p>
    <w:p w14:paraId="0ADD947F" w14:textId="6FD2DE02" w:rsidR="00461367" w:rsidRPr="009A60BE" w:rsidRDefault="00461367" w:rsidP="00B57565">
      <w:pPr>
        <w:pStyle w:val="BodyText"/>
      </w:pPr>
      <w:r w:rsidRPr="009A60BE">
        <w:t>In Chapter 2</w:t>
      </w:r>
      <w:r w:rsidR="00292B8D">
        <w:t>,</w:t>
      </w:r>
      <w:r w:rsidRPr="009A60BE">
        <w:t xml:space="preserve"> we set out the current law relating to hate crime in Aotearoa New Zealand. We </w:t>
      </w:r>
      <w:r w:rsidRPr="00982D61">
        <w:rPr>
          <w:rFonts w:eastAsia="Calibri" w:cs="Cordia New"/>
          <w:szCs w:val="22"/>
          <w:lang w:eastAsia="en-US"/>
        </w:rPr>
        <w:t>explained</w:t>
      </w:r>
      <w:r w:rsidRPr="009A60BE">
        <w:t xml:space="preserve"> that the approach taken in section 9(1)(h) of the Sentencing Act </w:t>
      </w:r>
      <w:r w:rsidR="00531AA0">
        <w:t xml:space="preserve">2002 </w:t>
      </w:r>
      <w:r>
        <w:t xml:space="preserve">(the hostility aggravating factor) </w:t>
      </w:r>
      <w:r w:rsidRPr="009A60BE">
        <w:t xml:space="preserve">is an example of the sentence aggravation model of hate crime law. </w:t>
      </w:r>
    </w:p>
    <w:p w14:paraId="6F18803B" w14:textId="77777777" w:rsidR="00BE38C0" w:rsidRDefault="00461367" w:rsidP="00B57565">
      <w:pPr>
        <w:pStyle w:val="BodyText"/>
      </w:pPr>
      <w:r w:rsidRPr="009A60BE">
        <w:t xml:space="preserve">Under this model, an offender’s hostile motivation is taken into account as an aggravating factor when they are sentenced. This may increase the sentence imposed on the </w:t>
      </w:r>
      <w:r w:rsidRPr="00982D61">
        <w:rPr>
          <w:rFonts w:eastAsia="Calibri" w:cs="Cordia New"/>
          <w:szCs w:val="22"/>
          <w:lang w:eastAsia="en-US"/>
        </w:rPr>
        <w:t>offender</w:t>
      </w:r>
      <w:r w:rsidRPr="009A60BE">
        <w:t xml:space="preserve">. However, the maximum penalty for an offence is the same whether it is motivated by hostility or not. </w:t>
      </w:r>
    </w:p>
    <w:p w14:paraId="71967233" w14:textId="658037D0" w:rsidR="00461367" w:rsidRPr="009A60BE" w:rsidRDefault="00461367" w:rsidP="00B57565">
      <w:pPr>
        <w:pStyle w:val="BodyText"/>
      </w:pPr>
      <w:r w:rsidRPr="009A60BE">
        <w:t xml:space="preserve">Because hostile motivation is not an element of the offence, it does not need to be proven at trial </w:t>
      </w:r>
      <w:r w:rsidR="00B91C9D">
        <w:t xml:space="preserve">or accepted by the defendant </w:t>
      </w:r>
      <w:r w:rsidR="00B821BC">
        <w:t>to secure a conviction</w:t>
      </w:r>
      <w:r w:rsidR="00C059D5">
        <w:t>.</w:t>
      </w:r>
      <w:r w:rsidR="00B91C9D">
        <w:t xml:space="preserve"> </w:t>
      </w:r>
      <w:r w:rsidR="00C059D5">
        <w:t>N</w:t>
      </w:r>
      <w:r w:rsidR="00B91C9D">
        <w:t>or is</w:t>
      </w:r>
      <w:r w:rsidR="00B821BC">
        <w:t xml:space="preserve"> </w:t>
      </w:r>
      <w:r w:rsidR="00B91C9D">
        <w:t>it</w:t>
      </w:r>
      <w:r w:rsidRPr="009A60BE">
        <w:t xml:space="preserve"> automatically recorded as part of the conviction. Instead, </w:t>
      </w:r>
      <w:r w:rsidR="00B821BC">
        <w:t>the court decides at sentencing whether the</w:t>
      </w:r>
      <w:r w:rsidR="00821636">
        <w:t xml:space="preserve"> hostility aggravating factor applies. </w:t>
      </w:r>
      <w:r w:rsidR="00C468F5">
        <w:t>We</w:t>
      </w:r>
      <w:r w:rsidR="00821636">
        <w:t xml:space="preserve"> explained in Chapter 2</w:t>
      </w:r>
      <w:r w:rsidR="00C468F5">
        <w:t xml:space="preserve"> how that process works </w:t>
      </w:r>
      <w:r w:rsidR="00957ABA">
        <w:t>under the current law in Aotearoa New Zealand.</w:t>
      </w:r>
      <w:r w:rsidR="00821636">
        <w:t xml:space="preserve"> </w:t>
      </w:r>
      <w:r w:rsidR="00957ABA">
        <w:t>At sentencing, the</w:t>
      </w:r>
      <w:r w:rsidR="00456ED7">
        <w:t xml:space="preserve"> court can consider any </w:t>
      </w:r>
      <w:r w:rsidR="00E8679C">
        <w:t xml:space="preserve">evidence </w:t>
      </w:r>
      <w:r w:rsidR="005345F6">
        <w:t>presented at the trial and any facts agreed on by the prosecution and the defence</w:t>
      </w:r>
      <w:r w:rsidR="0022119B">
        <w:rPr>
          <w:rStyle w:val="FootnoteReference"/>
          <w:color w:val="auto"/>
        </w:rPr>
        <w:footnoteReference w:id="340"/>
      </w:r>
      <w:r w:rsidR="001A413D">
        <w:t xml:space="preserve"> (for example, </w:t>
      </w:r>
      <w:r w:rsidR="00E90B65">
        <w:t>t</w:t>
      </w:r>
      <w:r w:rsidR="00F74814">
        <w:t>hose set out in</w:t>
      </w:r>
      <w:r w:rsidR="001A413D">
        <w:t xml:space="preserve"> </w:t>
      </w:r>
      <w:r w:rsidR="00B33FB2">
        <w:t>a</w:t>
      </w:r>
      <w:r w:rsidR="001A413D">
        <w:t xml:space="preserve"> </w:t>
      </w:r>
      <w:r w:rsidR="00B33FB2" w:rsidRPr="005B779A">
        <w:t>summary of facts accepted by the defendant when entering a guilty plea</w:t>
      </w:r>
      <w:r w:rsidR="00B33FB2">
        <w:t>).</w:t>
      </w:r>
      <w:r w:rsidR="00041FA4">
        <w:rPr>
          <w:rStyle w:val="FootnoteReference"/>
          <w:color w:val="auto"/>
        </w:rPr>
        <w:footnoteReference w:id="341"/>
      </w:r>
      <w:r w:rsidR="00F74814">
        <w:t xml:space="preserve"> </w:t>
      </w:r>
      <w:r w:rsidR="00C35DE8">
        <w:t>If the</w:t>
      </w:r>
      <w:r w:rsidR="00E4581B">
        <w:t xml:space="preserve"> defendant disputes </w:t>
      </w:r>
      <w:r w:rsidR="00E84160">
        <w:t>a fact</w:t>
      </w:r>
      <w:r w:rsidR="00F127F8">
        <w:t xml:space="preserve"> relied on by the prosecution to establish hostile motivation</w:t>
      </w:r>
      <w:r w:rsidR="00174834">
        <w:t>,</w:t>
      </w:r>
      <w:r w:rsidR="00F127F8">
        <w:t xml:space="preserve"> further evidence may be presented and </w:t>
      </w:r>
      <w:r w:rsidR="00425D7C">
        <w:t xml:space="preserve">the prosecution must </w:t>
      </w:r>
      <w:r w:rsidR="00C84626">
        <w:t>prove the fact beyond reasonable doubt.</w:t>
      </w:r>
      <w:r w:rsidR="0021744A">
        <w:rPr>
          <w:rStyle w:val="FootnoteReference"/>
          <w:color w:val="auto"/>
        </w:rPr>
        <w:footnoteReference w:id="342"/>
      </w:r>
      <w:r w:rsidR="0021744A">
        <w:t xml:space="preserve"> </w:t>
      </w:r>
      <w:r w:rsidR="00AC5317">
        <w:t xml:space="preserve">In practice, however, we understand such disputes </w:t>
      </w:r>
      <w:r w:rsidR="002F1217">
        <w:t>occur relatively infrequently.</w:t>
      </w:r>
      <w:r w:rsidR="00AC5317">
        <w:t xml:space="preserve"> </w:t>
      </w:r>
    </w:p>
    <w:p w14:paraId="33A7F2DB" w14:textId="5F8A37AA" w:rsidR="00461367" w:rsidRPr="009A60BE" w:rsidRDefault="00B42D20" w:rsidP="00B57565">
      <w:pPr>
        <w:pStyle w:val="BodyText"/>
      </w:pPr>
      <w:r>
        <w:t>Sentence aggravation provisions</w:t>
      </w:r>
      <w:r w:rsidR="00461367" w:rsidRPr="009A60BE">
        <w:t xml:space="preserve"> can apply to any type of offence and, depending on how the law is worded</w:t>
      </w:r>
      <w:r w:rsidR="00D02BD8">
        <w:t xml:space="preserve"> in the respective jurisdiction</w:t>
      </w:r>
      <w:r w:rsidR="00461367" w:rsidRPr="009A60BE">
        <w:t>,</w:t>
      </w:r>
      <w:r w:rsidR="00D02BD8">
        <w:t xml:space="preserve"> may protect a broad category of</w:t>
      </w:r>
      <w:r w:rsidR="00461367" w:rsidRPr="009A60BE">
        <w:t xml:space="preserve"> characteristics or groups of people. </w:t>
      </w:r>
      <w:r w:rsidR="006F0C44">
        <w:t>The</w:t>
      </w:r>
      <w:r w:rsidR="00461367" w:rsidRPr="009A60BE">
        <w:t xml:space="preserve"> current law in Aotearoa New Zealand applies to any group of people with an “</w:t>
      </w:r>
      <w:r w:rsidR="00461367" w:rsidRPr="00982D61">
        <w:rPr>
          <w:rFonts w:eastAsia="Calibri" w:cs="Cordia New"/>
          <w:szCs w:val="22"/>
          <w:lang w:eastAsia="en-US"/>
        </w:rPr>
        <w:t>enduring</w:t>
      </w:r>
      <w:r w:rsidR="00461367" w:rsidRPr="009A60BE">
        <w:t xml:space="preserve"> common characteristic”. In some Australian jurisdictions, sentence aggravation provisions apply </w:t>
      </w:r>
      <w:r w:rsidR="00FD7429">
        <w:t xml:space="preserve">even more broadly </w:t>
      </w:r>
      <w:r w:rsidR="00461367" w:rsidRPr="009A60BE">
        <w:t>to hatred toward</w:t>
      </w:r>
      <w:r w:rsidR="00E80DA7">
        <w:t>s</w:t>
      </w:r>
      <w:r w:rsidR="00461367" w:rsidRPr="009A60BE">
        <w:t xml:space="preserve"> any “group of people”</w:t>
      </w:r>
      <w:r w:rsidR="00461367" w:rsidRPr="009A60BE">
        <w:rPr>
          <w:rStyle w:val="FootnoteReference"/>
        </w:rPr>
        <w:footnoteReference w:id="343"/>
      </w:r>
      <w:r w:rsidR="00461367" w:rsidRPr="009A60BE">
        <w:t xml:space="preserve"> or any “group of people with common characteristics”.</w:t>
      </w:r>
      <w:r w:rsidR="00461367" w:rsidRPr="009A60BE">
        <w:rPr>
          <w:rStyle w:val="FootnoteReference"/>
        </w:rPr>
        <w:footnoteReference w:id="344"/>
      </w:r>
      <w:r w:rsidR="00C825AB">
        <w:t xml:space="preserve"> By contrast, s</w:t>
      </w:r>
      <w:r w:rsidR="004B2308">
        <w:t>entence aggravation provisions in some jurisdictions (such as England and Wales) only apply to a closed list of protected characteristics.</w:t>
      </w:r>
      <w:r w:rsidR="00FE724C">
        <w:rPr>
          <w:rStyle w:val="FootnoteReference"/>
        </w:rPr>
        <w:footnoteReference w:id="345"/>
      </w:r>
    </w:p>
    <w:p w14:paraId="4D1C9DCA" w14:textId="7C2B2152" w:rsidR="00461367" w:rsidRPr="009A60BE" w:rsidRDefault="00461367" w:rsidP="00B57565">
      <w:pPr>
        <w:pStyle w:val="BodyText"/>
      </w:pPr>
      <w:r w:rsidRPr="009A60BE">
        <w:t xml:space="preserve">Sentence </w:t>
      </w:r>
      <w:r w:rsidRPr="00982D61">
        <w:rPr>
          <w:rFonts w:eastAsia="Calibri" w:cs="Cordia New"/>
          <w:szCs w:val="22"/>
          <w:lang w:eastAsia="en-US"/>
        </w:rPr>
        <w:t>aggravation</w:t>
      </w:r>
      <w:r w:rsidRPr="009A60BE">
        <w:t xml:space="preserve"> is used in most Australian jurisdictions</w:t>
      </w:r>
      <w:r w:rsidR="00435E94">
        <w:t xml:space="preserve"> and in</w:t>
      </w:r>
      <w:r w:rsidRPr="009A60BE">
        <w:t xml:space="preserve"> Canada, England and Wales</w:t>
      </w:r>
      <w:r>
        <w:t>,</w:t>
      </w:r>
      <w:r w:rsidR="003122DE" w:rsidRPr="009A60BE">
        <w:t xml:space="preserve"> </w:t>
      </w:r>
      <w:r w:rsidRPr="009A60BE">
        <w:t>Northern Ireland and the Republic of Ireland.</w:t>
      </w:r>
      <w:r w:rsidRPr="009A60BE">
        <w:rPr>
          <w:rStyle w:val="FootnoteReference"/>
        </w:rPr>
        <w:footnoteReference w:id="346"/>
      </w:r>
      <w:r w:rsidRPr="009A60BE">
        <w:t xml:space="preserve"> As we explain </w:t>
      </w:r>
      <w:r w:rsidR="00497F3B">
        <w:t>below</w:t>
      </w:r>
      <w:r w:rsidRPr="009A60BE">
        <w:t>, some of these jurisdictions have specific hate crime offences as well as a sentence aggravation provision.</w:t>
      </w:r>
      <w:r w:rsidR="00245737">
        <w:t xml:space="preserve"> The </w:t>
      </w:r>
      <w:r w:rsidR="00A06A4E">
        <w:t xml:space="preserve">aggravating factor </w:t>
      </w:r>
      <w:r w:rsidR="0089286B">
        <w:t>can be relied on to</w:t>
      </w:r>
      <w:r w:rsidR="00A06A4E">
        <w:t xml:space="preserve"> cover</w:t>
      </w:r>
      <w:r w:rsidR="00FB73F6">
        <w:t xml:space="preserve"> </w:t>
      </w:r>
      <w:r w:rsidR="0089286B">
        <w:t xml:space="preserve">some </w:t>
      </w:r>
      <w:r w:rsidR="00FB73F6">
        <w:t>hostility-motivated</w:t>
      </w:r>
      <w:r w:rsidR="00A06A4E">
        <w:t xml:space="preserve"> offending that </w:t>
      </w:r>
      <w:r w:rsidR="00430F89">
        <w:t>falls outside the more limited scope of the specific hate crime offences.</w:t>
      </w:r>
    </w:p>
    <w:p w14:paraId="4192222E" w14:textId="4C5F4900" w:rsidR="00E56512" w:rsidRDefault="00E56512" w:rsidP="00E56512">
      <w:pPr>
        <w:pStyle w:val="Heading3"/>
      </w:pPr>
      <w:r>
        <w:t>Specific hate crime offence</w:t>
      </w:r>
      <w:r w:rsidR="00B0272B">
        <w:t xml:space="preserve"> model</w:t>
      </w:r>
    </w:p>
    <w:p w14:paraId="1E361F98" w14:textId="6AB9EDA6" w:rsidR="00E56512" w:rsidRPr="00417375" w:rsidRDefault="00E56512" w:rsidP="00B57565">
      <w:pPr>
        <w:pStyle w:val="BodyText"/>
      </w:pPr>
      <w:r>
        <w:t xml:space="preserve">Under </w:t>
      </w:r>
      <w:r w:rsidR="004C0E20">
        <w:t xml:space="preserve">the specific hate crime offence </w:t>
      </w:r>
      <w:r>
        <w:t>model,</w:t>
      </w:r>
      <w:r w:rsidRPr="00FA0C21">
        <w:t xml:space="preserve"> </w:t>
      </w:r>
      <w:r>
        <w:t>hostile</w:t>
      </w:r>
      <w:r w:rsidRPr="00FA0C21">
        <w:t xml:space="preserve"> motivation </w:t>
      </w:r>
      <w:r>
        <w:t>is an element</w:t>
      </w:r>
      <w:r w:rsidRPr="00FA0C21">
        <w:t xml:space="preserve"> of the offence</w:t>
      </w:r>
      <w:r>
        <w:t xml:space="preserve"> a person is charged with. It must be proven at trial beyond reasonable </w:t>
      </w:r>
      <w:r w:rsidR="00FB770A">
        <w:t>doubt,</w:t>
      </w:r>
      <w:r>
        <w:t xml:space="preserve"> </w:t>
      </w:r>
      <w:r w:rsidR="005F24DD">
        <w:t>or</w:t>
      </w:r>
      <w:r>
        <w:t xml:space="preserve"> the defendant </w:t>
      </w:r>
      <w:r w:rsidR="005F24DD">
        <w:t xml:space="preserve">must accept it when </w:t>
      </w:r>
      <w:r>
        <w:t>plead</w:t>
      </w:r>
      <w:r w:rsidR="005F24DD">
        <w:t>ing</w:t>
      </w:r>
      <w:r>
        <w:t xml:space="preserve"> guilty. </w:t>
      </w:r>
      <w:r w:rsidR="009803DE">
        <w:t>S</w:t>
      </w:r>
      <w:r w:rsidR="009803DE" w:rsidRPr="00D03B20">
        <w:t xml:space="preserve">ince </w:t>
      </w:r>
      <w:r w:rsidR="00E246EC">
        <w:t>hostile motivation</w:t>
      </w:r>
      <w:r w:rsidR="00E246EC" w:rsidRPr="00D03B20">
        <w:t xml:space="preserve"> </w:t>
      </w:r>
      <w:r w:rsidR="009803DE" w:rsidRPr="00D03B20">
        <w:t>forms part of the offence</w:t>
      </w:r>
      <w:r w:rsidR="009803DE">
        <w:t>, i</w:t>
      </w:r>
      <w:r w:rsidR="009803DE" w:rsidRPr="00417375">
        <w:t>f</w:t>
      </w:r>
      <w:r w:rsidRPr="00417375">
        <w:t xml:space="preserve"> the defendant is convicted, the fact that the offending was a hate crime should be clear </w:t>
      </w:r>
      <w:r>
        <w:t>from</w:t>
      </w:r>
      <w:r w:rsidRPr="00417375">
        <w:t xml:space="preserve"> the </w:t>
      </w:r>
      <w:r w:rsidR="009803DE">
        <w:t xml:space="preserve">verdict, the </w:t>
      </w:r>
      <w:r w:rsidRPr="00417375">
        <w:t xml:space="preserve">court’s </w:t>
      </w:r>
      <w:r>
        <w:t>decision on conviction</w:t>
      </w:r>
      <w:r w:rsidR="009803DE">
        <w:t xml:space="preserve"> (if the</w:t>
      </w:r>
      <w:r w:rsidR="00CF658F">
        <w:t>re was a</w:t>
      </w:r>
      <w:r w:rsidR="009803DE">
        <w:t xml:space="preserve"> judge</w:t>
      </w:r>
      <w:r w:rsidR="00CF658F">
        <w:t>-</w:t>
      </w:r>
      <w:r w:rsidR="009803DE">
        <w:t>alone</w:t>
      </w:r>
      <w:r w:rsidR="00CF658F">
        <w:t xml:space="preserve"> trial</w:t>
      </w:r>
      <w:r w:rsidR="009803DE">
        <w:t>),</w:t>
      </w:r>
      <w:r>
        <w:t xml:space="preserve"> the</w:t>
      </w:r>
      <w:r w:rsidRPr="00417375">
        <w:t xml:space="preserve"> sentencing notes and any media reporting. It is also </w:t>
      </w:r>
      <w:r w:rsidR="001201C2">
        <w:t>documented</w:t>
      </w:r>
      <w:r w:rsidRPr="00417375">
        <w:t xml:space="preserve"> in criminal records relating to the offender. </w:t>
      </w:r>
    </w:p>
    <w:p w14:paraId="44FCE58C" w14:textId="752AE9C6" w:rsidR="000B770B" w:rsidRDefault="00E56512" w:rsidP="00B57565">
      <w:pPr>
        <w:pStyle w:val="BodyText"/>
      </w:pPr>
      <w:r w:rsidRPr="00E612D1">
        <w:t>Specific hate crime offences exist in England and Wales, Queensland</w:t>
      </w:r>
      <w:r w:rsidR="00F24CB6">
        <w:t xml:space="preserve">, </w:t>
      </w:r>
      <w:r w:rsidR="00F24CB6" w:rsidRPr="00E612D1">
        <w:t>Western Australia</w:t>
      </w:r>
      <w:r>
        <w:t xml:space="preserve"> and the Republic of Ireland</w:t>
      </w:r>
      <w:r w:rsidRPr="00E612D1">
        <w:t>.</w:t>
      </w:r>
      <w:r w:rsidRPr="00E612D1">
        <w:rPr>
          <w:vertAlign w:val="superscript"/>
        </w:rPr>
        <w:footnoteReference w:id="347"/>
      </w:r>
      <w:r w:rsidRPr="00E612D1">
        <w:t xml:space="preserve"> In these jurisdictions, hate crime offences correspond to </w:t>
      </w:r>
      <w:r w:rsidR="0095584B">
        <w:t xml:space="preserve">certain </w:t>
      </w:r>
      <w:r w:rsidRPr="00E612D1">
        <w:t>existing criminal offences such as assault</w:t>
      </w:r>
      <w:r>
        <w:t>, threats</w:t>
      </w:r>
      <w:r w:rsidRPr="00E612D1">
        <w:t xml:space="preserve"> </w:t>
      </w:r>
      <w:r>
        <w:t>or</w:t>
      </w:r>
      <w:r w:rsidRPr="00E612D1">
        <w:t xml:space="preserve"> criminal damage. These existing offences are often called the ‘base offence’. The hate crime offence is the same as the base offence except the prosecution must also show the offender was motivated by hate</w:t>
      </w:r>
      <w:r w:rsidR="00DC425D">
        <w:t xml:space="preserve"> or hostility</w:t>
      </w:r>
      <w:r w:rsidRPr="00E612D1">
        <w:t xml:space="preserve">. </w:t>
      </w:r>
      <w:r>
        <w:t>Each h</w:t>
      </w:r>
      <w:r w:rsidRPr="00E612D1">
        <w:t>ate crime offence</w:t>
      </w:r>
      <w:r>
        <w:t xml:space="preserve"> specifies a maximum penalty, which is higher than </w:t>
      </w:r>
      <w:r w:rsidRPr="00E612D1">
        <w:t>the</w:t>
      </w:r>
      <w:r>
        <w:t xml:space="preserve"> penalty for the</w:t>
      </w:r>
      <w:r w:rsidRPr="00E612D1">
        <w:t xml:space="preserve"> base offence.</w:t>
      </w:r>
      <w:r>
        <w:t xml:space="preserve"> </w:t>
      </w:r>
    </w:p>
    <w:p w14:paraId="1D66DEBE" w14:textId="79DEF874" w:rsidR="00E56512" w:rsidRDefault="00E56512" w:rsidP="00B57565">
      <w:pPr>
        <w:pStyle w:val="BodyText"/>
      </w:pPr>
      <w:r>
        <w:t xml:space="preserve">An alternative approach is taken in a Bill currently before the Parliament of Canada, which would create hate crime offences corresponding to </w:t>
      </w:r>
      <w:r w:rsidR="001B3A4A">
        <w:t>all</w:t>
      </w:r>
      <w:r>
        <w:t xml:space="preserve"> </w:t>
      </w:r>
      <w:r w:rsidR="00265D3B">
        <w:t xml:space="preserve">existing </w:t>
      </w:r>
      <w:r>
        <w:t>offence</w:t>
      </w:r>
      <w:r w:rsidR="001B3A4A">
        <w:t>s</w:t>
      </w:r>
      <w:r>
        <w:t>.</w:t>
      </w:r>
      <w:r>
        <w:rPr>
          <w:rStyle w:val="FootnoteReference"/>
        </w:rPr>
        <w:footnoteReference w:id="348"/>
      </w:r>
      <w:r>
        <w:t xml:space="preserve"> </w:t>
      </w:r>
      <w:r w:rsidR="0095584B">
        <w:t>In that Bill, m</w:t>
      </w:r>
      <w:r>
        <w:t xml:space="preserve">aximum penalties </w:t>
      </w:r>
      <w:r w:rsidR="0034685C">
        <w:t xml:space="preserve">for hate crime offences </w:t>
      </w:r>
      <w:r>
        <w:t xml:space="preserve">are specified through a band system, based on the </w:t>
      </w:r>
      <w:r w:rsidR="0034685C">
        <w:t>maximum</w:t>
      </w:r>
      <w:r>
        <w:t xml:space="preserve"> penalty for the base offence</w:t>
      </w:r>
      <w:r w:rsidR="00547B7E">
        <w:t>.</w:t>
      </w:r>
      <w:r>
        <w:t xml:space="preserve"> </w:t>
      </w:r>
      <w:r w:rsidR="00547B7E">
        <w:t>F</w:t>
      </w:r>
      <w:r>
        <w:t>or example, a hate crime offence is punishable by up to five years’ imprisonment if the penalty for the base offence is more than two years and less than five years.</w:t>
      </w:r>
      <w:r w:rsidR="006760F3">
        <w:t xml:space="preserve"> </w:t>
      </w:r>
      <w:r w:rsidR="002336BA">
        <w:t>While this</w:t>
      </w:r>
      <w:r w:rsidR="00064120">
        <w:t xml:space="preserve"> approach </w:t>
      </w:r>
      <w:r w:rsidR="003B2FF2" w:rsidRPr="00453045">
        <w:t xml:space="preserve">has the benefit that it can apply to any </w:t>
      </w:r>
      <w:r w:rsidR="009F7997" w:rsidRPr="00453045">
        <w:t>type of offence</w:t>
      </w:r>
      <w:r w:rsidR="002336BA" w:rsidRPr="00453045">
        <w:t xml:space="preserve">, it </w:t>
      </w:r>
      <w:r w:rsidR="001E2A31" w:rsidRPr="00453045">
        <w:t>creates</w:t>
      </w:r>
      <w:r w:rsidR="002336BA" w:rsidRPr="00453045">
        <w:t xml:space="preserve"> other difficulties</w:t>
      </w:r>
      <w:r w:rsidR="009F7997" w:rsidRPr="00453045">
        <w:t xml:space="preserve">. </w:t>
      </w:r>
      <w:r w:rsidR="001E2A31" w:rsidRPr="00453045">
        <w:t>The</w:t>
      </w:r>
      <w:r w:rsidR="002336BA" w:rsidRPr="00453045">
        <w:t xml:space="preserve"> maximum penalty increases significantly more for offences at the lower end of each band. This means that</w:t>
      </w:r>
      <w:r w:rsidR="00E2370C">
        <w:t>,</w:t>
      </w:r>
      <w:r w:rsidR="002336BA" w:rsidRPr="00453045">
        <w:t xml:space="preserve"> for some offences, the penalty may </w:t>
      </w:r>
      <w:r w:rsidR="004A540A">
        <w:t xml:space="preserve">be </w:t>
      </w:r>
      <w:r w:rsidR="00577459">
        <w:t>higher or lower than is appropriate to</w:t>
      </w:r>
      <w:r w:rsidR="004A540A" w:rsidRPr="00453045">
        <w:t xml:space="preserve"> </w:t>
      </w:r>
      <w:r w:rsidR="002336BA" w:rsidRPr="00453045">
        <w:t>reflect the seriousness of the offence</w:t>
      </w:r>
      <w:r w:rsidR="001E2A31" w:rsidRPr="00453045">
        <w:t>.</w:t>
      </w:r>
      <w:r w:rsidR="00601DAB" w:rsidRPr="00453045">
        <w:rPr>
          <w:rStyle w:val="FootnoteReference"/>
        </w:rPr>
        <w:footnoteReference w:id="349"/>
      </w:r>
    </w:p>
    <w:p w14:paraId="0E7BCE4E" w14:textId="745B0361" w:rsidR="00E56512" w:rsidRDefault="00E04025" w:rsidP="00B57565">
      <w:pPr>
        <w:pStyle w:val="BodyText"/>
      </w:pPr>
      <w:r>
        <w:t xml:space="preserve">In all the jurisdictions we examined that use </w:t>
      </w:r>
      <w:r w:rsidR="0050260F">
        <w:t>the specific hate crime offence</w:t>
      </w:r>
      <w:r>
        <w:t xml:space="preserve"> model, </w:t>
      </w:r>
      <w:r w:rsidR="0050260F">
        <w:t>the</w:t>
      </w:r>
      <w:r>
        <w:t xml:space="preserve"> offences only protect a closed list of specified characteristics</w:t>
      </w:r>
      <w:r w:rsidR="00E56512">
        <w:t>.</w:t>
      </w:r>
      <w:r w:rsidR="000849AC">
        <w:rPr>
          <w:rStyle w:val="FootnoteReference"/>
        </w:rPr>
        <w:footnoteReference w:id="350"/>
      </w:r>
      <w:r w:rsidR="00E56512">
        <w:t xml:space="preserve"> </w:t>
      </w:r>
      <w:r w:rsidR="00C20B26">
        <w:t>A closed</w:t>
      </w:r>
      <w:r w:rsidR="00E56512">
        <w:t xml:space="preserve"> list of protected characteristics </w:t>
      </w:r>
      <w:r w:rsidR="00C20B26">
        <w:t>is necessary for specific hate crime offences</w:t>
      </w:r>
      <w:r w:rsidR="00E56512">
        <w:t xml:space="preserve"> to comply with the principle of certainty in the criminal law</w:t>
      </w:r>
      <w:r w:rsidR="007316FE">
        <w:t>.</w:t>
      </w:r>
      <w:r w:rsidR="00462778">
        <w:rPr>
          <w:rStyle w:val="FootnoteReference"/>
        </w:rPr>
        <w:footnoteReference w:id="351"/>
      </w:r>
      <w:r w:rsidR="00E56512">
        <w:t xml:space="preserve"> </w:t>
      </w:r>
      <w:r w:rsidR="007316FE">
        <w:t xml:space="preserve">That principle, </w:t>
      </w:r>
      <w:r w:rsidR="00E56512">
        <w:t>discussed in Chapter 3</w:t>
      </w:r>
      <w:r w:rsidR="007316FE">
        <w:t xml:space="preserve">, </w:t>
      </w:r>
      <w:r w:rsidR="00C5496A">
        <w:t>holds</w:t>
      </w:r>
      <w:r w:rsidR="007316FE">
        <w:t xml:space="preserve"> that</w:t>
      </w:r>
      <w:r w:rsidR="00E56512">
        <w:t xml:space="preserve"> </w:t>
      </w:r>
      <w:r w:rsidR="00E56512" w:rsidRPr="00CF396C">
        <w:t xml:space="preserve">offences </w:t>
      </w:r>
      <w:r w:rsidR="00E56512">
        <w:t>must</w:t>
      </w:r>
      <w:r w:rsidR="00E56512" w:rsidRPr="00CF396C">
        <w:t xml:space="preserve"> be clearly defined so that people can know in advance what is and is not prohibited</w:t>
      </w:r>
      <w:r w:rsidR="00E56512">
        <w:t xml:space="preserve"> and the maximum penalty for non-compliance</w:t>
      </w:r>
      <w:r w:rsidR="00E56512" w:rsidRPr="00FA0C21">
        <w:t>.</w:t>
      </w:r>
      <w:r w:rsidR="00E56512">
        <w:rPr>
          <w:rStyle w:val="FootnoteReference"/>
        </w:rPr>
        <w:footnoteReference w:id="352"/>
      </w:r>
      <w:r w:rsidR="00E56512" w:rsidRPr="00FA0C21">
        <w:t xml:space="preserve"> </w:t>
      </w:r>
      <w:r w:rsidR="00E56512">
        <w:t xml:space="preserve">If a person can be charged with a hate crime offence, the law must make it clear what kind of conduct that offence prohibits so that people can avoid committing it or, where necessary, defend the charge. </w:t>
      </w:r>
      <w:r w:rsidR="006E72D0">
        <w:t>A judge or</w:t>
      </w:r>
      <w:r w:rsidR="00E56512">
        <w:t xml:space="preserve"> jury must also be able to determine whether the elements of the offence are met. </w:t>
      </w:r>
    </w:p>
    <w:p w14:paraId="3EA6516A" w14:textId="06A4194E" w:rsidR="00E56512" w:rsidRDefault="00E56512" w:rsidP="00B57565">
      <w:pPr>
        <w:pStyle w:val="BodyText"/>
      </w:pPr>
      <w:r>
        <w:t>Hate crime offences do not typically cover very serious crimes that are already punishable by life imprisonment (such as murder).</w:t>
      </w:r>
      <w:r>
        <w:rPr>
          <w:rStyle w:val="FootnoteReference"/>
        </w:rPr>
        <w:footnoteReference w:id="353"/>
      </w:r>
      <w:r>
        <w:t xml:space="preserve"> That is because</w:t>
      </w:r>
      <w:r w:rsidR="00785B93">
        <w:t>,</w:t>
      </w:r>
      <w:r>
        <w:t xml:space="preserve"> in these cases, the maximum penalty would be the same as for the base offence.</w:t>
      </w:r>
      <w:r>
        <w:rPr>
          <w:rStyle w:val="FootnoteReference"/>
        </w:rPr>
        <w:footnoteReference w:id="354"/>
      </w:r>
      <w:r>
        <w:t xml:space="preserve"> However, this does mean the other potential benefits of hate crime offences discussed below (such as additional denunciation and improved recording) </w:t>
      </w:r>
      <w:r w:rsidR="00F93FC1">
        <w:t>do</w:t>
      </w:r>
      <w:r>
        <w:t xml:space="preserve"> not apply to very serious offending</w:t>
      </w:r>
      <w:r w:rsidR="00D13772">
        <w:t xml:space="preserve"> because they </w:t>
      </w:r>
      <w:r w:rsidR="00F21954">
        <w:t>are</w:t>
      </w:r>
      <w:r w:rsidR="00D13772">
        <w:t xml:space="preserve"> not charged as </w:t>
      </w:r>
      <w:r w:rsidR="001F75BD">
        <w:t>hate crime offences</w:t>
      </w:r>
      <w:r>
        <w:t>.</w:t>
      </w:r>
    </w:p>
    <w:p w14:paraId="19923653" w14:textId="052FF36F" w:rsidR="004B7980" w:rsidRDefault="008F038D" w:rsidP="00B57565">
      <w:pPr>
        <w:pStyle w:val="BodyText"/>
      </w:pPr>
      <w:r>
        <w:t>Because</w:t>
      </w:r>
      <w:r w:rsidR="00E56512">
        <w:t xml:space="preserve"> specific hate crime offences</w:t>
      </w:r>
      <w:r>
        <w:t xml:space="preserve"> do not </w:t>
      </w:r>
      <w:r w:rsidR="0086389A">
        <w:t>apply to</w:t>
      </w:r>
      <w:r>
        <w:t xml:space="preserve"> all </w:t>
      </w:r>
      <w:r w:rsidR="003475C2">
        <w:t>types of offending</w:t>
      </w:r>
      <w:r w:rsidR="00E56512">
        <w:t xml:space="preserve">, </w:t>
      </w:r>
      <w:r w:rsidR="00E56512" w:rsidRPr="00FA0C21">
        <w:t xml:space="preserve">England and Wales </w:t>
      </w:r>
      <w:r w:rsidR="00E56512">
        <w:t>and the Republic of Ireland</w:t>
      </w:r>
      <w:r w:rsidR="00E56512" w:rsidRPr="00FA0C21">
        <w:t xml:space="preserve"> </w:t>
      </w:r>
      <w:r w:rsidR="00E56512">
        <w:t xml:space="preserve">use the sentence aggravation model as well. Sentence aggravation can be relied on in cases where the </w:t>
      </w:r>
      <w:r w:rsidR="007F7861">
        <w:t>type of offence committed does not have a corresponding hate crime offence</w:t>
      </w:r>
      <w:r w:rsidR="00E56512">
        <w:t>.</w:t>
      </w:r>
      <w:r w:rsidR="00E12D0F">
        <w:rPr>
          <w:rStyle w:val="FootnoteReference"/>
        </w:rPr>
        <w:footnoteReference w:id="355"/>
      </w:r>
      <w:r w:rsidR="00E56512" w:rsidRPr="00FA0C21">
        <w:t xml:space="preserve"> </w:t>
      </w:r>
      <w:r w:rsidR="00A22EF0">
        <w:t xml:space="preserve">The aggravating factor cannot generally be relied on if </w:t>
      </w:r>
      <w:r w:rsidR="009D1C05">
        <w:t xml:space="preserve">a hate crime offence </w:t>
      </w:r>
      <w:r w:rsidR="00404CC3">
        <w:t>was</w:t>
      </w:r>
      <w:r w:rsidR="00B527EB">
        <w:t xml:space="preserve"> available </w:t>
      </w:r>
      <w:r w:rsidR="00360BDC">
        <w:t xml:space="preserve">for the type of offending in question </w:t>
      </w:r>
      <w:r w:rsidR="00296C32">
        <w:t xml:space="preserve">but </w:t>
      </w:r>
      <w:r w:rsidR="006A4E6D">
        <w:t xml:space="preserve">the defendant </w:t>
      </w:r>
      <w:r w:rsidR="00296C32">
        <w:t xml:space="preserve">was </w:t>
      </w:r>
      <w:r w:rsidR="00185233">
        <w:t>only charged with or convicted of the base offence</w:t>
      </w:r>
      <w:r w:rsidR="00296C32">
        <w:t>.</w:t>
      </w:r>
      <w:r w:rsidR="00296C32">
        <w:rPr>
          <w:rStyle w:val="FootnoteReference"/>
        </w:rPr>
        <w:footnoteReference w:id="356"/>
      </w:r>
      <w:r w:rsidR="00296C32">
        <w:t xml:space="preserve"> </w:t>
      </w:r>
    </w:p>
    <w:p w14:paraId="0D8E2980" w14:textId="7E1F8084" w:rsidR="00E56512" w:rsidRDefault="00E56512" w:rsidP="00B57565">
      <w:pPr>
        <w:pStyle w:val="BodyText"/>
      </w:pPr>
      <w:r>
        <w:t xml:space="preserve">Although the Royal Commission did not specifically </w:t>
      </w:r>
      <w:r w:rsidR="00206A9E">
        <w:t>comment on whether the New Zealand sentence aggravation provision should be retained alongside specific offences</w:t>
      </w:r>
      <w:r>
        <w:t xml:space="preserve">, </w:t>
      </w:r>
      <w:r w:rsidR="00206A9E">
        <w:t xml:space="preserve">it may well have envisaged that </w:t>
      </w:r>
      <w:r>
        <w:t xml:space="preserve">since its recommendation was based on the approach in England and Wales. </w:t>
      </w:r>
    </w:p>
    <w:p w14:paraId="21DACCBF" w14:textId="1DE9DFD9" w:rsidR="00E56512" w:rsidRPr="006A08E5" w:rsidRDefault="00E56512" w:rsidP="00E56512">
      <w:pPr>
        <w:pStyle w:val="Heading3"/>
      </w:pPr>
      <w:r>
        <w:t>Scottish hybrid model</w:t>
      </w:r>
      <w:r w:rsidR="005F2ED0">
        <w:t xml:space="preserve"> and </w:t>
      </w:r>
      <w:r w:rsidR="001C6DE8">
        <w:t>related developments in Northern Ireland</w:t>
      </w:r>
    </w:p>
    <w:p w14:paraId="2A06F060" w14:textId="48B654C0" w:rsidR="00982D61" w:rsidRDefault="00E56512" w:rsidP="00B57565">
      <w:pPr>
        <w:pStyle w:val="BodyText"/>
      </w:pPr>
      <w:r w:rsidRPr="00A87C71">
        <w:t xml:space="preserve">Scotland’s hate crime law combines aspects of the sentence aggravation model and </w:t>
      </w:r>
      <w:r w:rsidR="00995262">
        <w:t xml:space="preserve">the </w:t>
      </w:r>
      <w:r w:rsidRPr="00A87C71">
        <w:t>specific hate crime offence</w:t>
      </w:r>
      <w:r w:rsidR="00995262">
        <w:t xml:space="preserve"> model</w:t>
      </w:r>
      <w:r w:rsidRPr="00A87C71">
        <w:t xml:space="preserve">. </w:t>
      </w:r>
      <w:r w:rsidR="006766E3">
        <w:t xml:space="preserve">It </w:t>
      </w:r>
      <w:r w:rsidR="006C5B27">
        <w:t>creates a system of</w:t>
      </w:r>
      <w:r w:rsidR="006766E3">
        <w:t xml:space="preserve"> aggravated offences</w:t>
      </w:r>
      <w:r w:rsidR="002B052A">
        <w:t xml:space="preserve"> corresponding to</w:t>
      </w:r>
      <w:r w:rsidRPr="00160033">
        <w:t xml:space="preserve"> any </w:t>
      </w:r>
      <w:r w:rsidR="002B052A">
        <w:t xml:space="preserve">base </w:t>
      </w:r>
      <w:r w:rsidRPr="00160033">
        <w:t>offence</w:t>
      </w:r>
      <w:r w:rsidR="006766E3">
        <w:t xml:space="preserve">. </w:t>
      </w:r>
      <w:r w:rsidR="00EE6883">
        <w:t>Prosecutors</w:t>
      </w:r>
      <w:r w:rsidRPr="00160033">
        <w:t xml:space="preserve"> can </w:t>
      </w:r>
      <w:r w:rsidR="00E751BB">
        <w:t>specify that</w:t>
      </w:r>
      <w:r w:rsidR="00EE6883">
        <w:t xml:space="preserve"> a</w:t>
      </w:r>
      <w:r w:rsidR="008C02D6">
        <w:t>ny</w:t>
      </w:r>
      <w:r w:rsidRPr="00160033">
        <w:t xml:space="preserve"> offence </w:t>
      </w:r>
      <w:r w:rsidR="000A1171">
        <w:t xml:space="preserve">was </w:t>
      </w:r>
      <w:r>
        <w:t xml:space="preserve">aggravated by prejudice </w:t>
      </w:r>
      <w:r w:rsidR="000A1171">
        <w:t xml:space="preserve">when charging a defendant </w:t>
      </w:r>
      <w:r>
        <w:t>(‘prejudice’ being the term used in Scottish legislation rather than ‘hostility’).</w:t>
      </w:r>
      <w:r w:rsidRPr="00160033">
        <w:t xml:space="preserve"> The aggravation </w:t>
      </w:r>
      <w:r w:rsidR="000A1171">
        <w:t xml:space="preserve">is an element of the offence that </w:t>
      </w:r>
      <w:r w:rsidRPr="00160033">
        <w:t>must be proven at trial</w:t>
      </w:r>
      <w:r w:rsidR="000A1171">
        <w:t xml:space="preserve"> or accepted by the defendant if they</w:t>
      </w:r>
      <w:r w:rsidRPr="00160033">
        <w:t xml:space="preserve"> plead guilty.</w:t>
      </w:r>
      <w:r w:rsidR="00FC6184">
        <w:t xml:space="preserve"> </w:t>
      </w:r>
    </w:p>
    <w:p w14:paraId="713532BE" w14:textId="6A19BD86" w:rsidR="00E56512" w:rsidRPr="00982D61" w:rsidRDefault="00E56512" w:rsidP="00B57565">
      <w:pPr>
        <w:pStyle w:val="BodyText"/>
      </w:pPr>
      <w:r w:rsidRPr="008E51D6">
        <w:t xml:space="preserve">If the defendant is convicted of the </w:t>
      </w:r>
      <w:r w:rsidR="006654A4">
        <w:t xml:space="preserve">aggravated </w:t>
      </w:r>
      <w:r w:rsidRPr="008E51D6">
        <w:t>offence, the court must:</w:t>
      </w:r>
      <w:r w:rsidRPr="008E51D6">
        <w:rPr>
          <w:vertAlign w:val="superscript"/>
        </w:rPr>
        <w:footnoteReference w:id="357"/>
      </w:r>
    </w:p>
    <w:p w14:paraId="20E88E19" w14:textId="77777777" w:rsidR="00E56512" w:rsidRPr="008E51D6" w:rsidRDefault="00E56512" w:rsidP="00E56512">
      <w:pPr>
        <w:pStyle w:val="BodyTextalphalist"/>
      </w:pPr>
      <w:r w:rsidRPr="008E51D6">
        <w:t>state that the offence was motivated by prejudice and the type of prejudice (by specifying the protected characteristic targeted);</w:t>
      </w:r>
    </w:p>
    <w:p w14:paraId="14A01E4A" w14:textId="77777777" w:rsidR="00E56512" w:rsidRPr="008E51D6" w:rsidRDefault="00E56512" w:rsidP="00E56512">
      <w:pPr>
        <w:pStyle w:val="BodyTextalphalist"/>
      </w:pPr>
      <w:r w:rsidRPr="008E51D6">
        <w:t>record the conviction in a way that shows the offence was motivated by prejudice and the type of prejudice;</w:t>
      </w:r>
    </w:p>
    <w:p w14:paraId="5DB6C21D" w14:textId="77777777" w:rsidR="00E56512" w:rsidRPr="008E51D6" w:rsidRDefault="00E56512" w:rsidP="00E56512">
      <w:pPr>
        <w:pStyle w:val="BodyTextalphalist"/>
      </w:pPr>
      <w:r w:rsidRPr="008E51D6">
        <w:t>take the aggravation into account when sentencing the offender; and</w:t>
      </w:r>
    </w:p>
    <w:p w14:paraId="4741CC72" w14:textId="02C1127A" w:rsidR="00E56512" w:rsidRPr="008E51D6" w:rsidRDefault="00E56512" w:rsidP="00E56512">
      <w:pPr>
        <w:pStyle w:val="BodyTextalphalist"/>
      </w:pPr>
      <w:r>
        <w:t xml:space="preserve">state </w:t>
      </w:r>
      <w:r w:rsidRPr="008E51D6">
        <w:t>the difference between the sentence imposed and that which would have been imposed without the aggravation (where there is a difference) and the reasons for that difference or lack of difference.</w:t>
      </w:r>
    </w:p>
    <w:p w14:paraId="424CF932" w14:textId="293DF395" w:rsidR="00E56512" w:rsidRDefault="00FD7838" w:rsidP="00B57565">
      <w:pPr>
        <w:pStyle w:val="BodyText"/>
      </w:pPr>
      <w:r>
        <w:t>The Scottish hybrid</w:t>
      </w:r>
      <w:r w:rsidR="00E56512" w:rsidRPr="00B558F4">
        <w:t xml:space="preserve"> model does not </w:t>
      </w:r>
      <w:r w:rsidR="00E56512">
        <w:t>involve setting out standalone</w:t>
      </w:r>
      <w:r w:rsidR="00E56512" w:rsidRPr="00B558F4">
        <w:t xml:space="preserve"> </w:t>
      </w:r>
      <w:r w:rsidR="00E56512">
        <w:t>hate crime</w:t>
      </w:r>
      <w:r w:rsidR="00E56512" w:rsidRPr="00B558F4">
        <w:t xml:space="preserve"> offences</w:t>
      </w:r>
      <w:r w:rsidR="00E56512">
        <w:t xml:space="preserve"> in legislation</w:t>
      </w:r>
      <w:r w:rsidR="00FC6184">
        <w:t xml:space="preserve"> with higher maximum penalties</w:t>
      </w:r>
      <w:r w:rsidR="00E56512" w:rsidRPr="00B558F4">
        <w:t xml:space="preserve">. </w:t>
      </w:r>
      <w:r w:rsidR="005718B1">
        <w:t>Nor does it take the approach in the Bill currently before the Canadian Parliament, which specifies higher maximum penalties for hate crime offences through sentencing bands. Under the Scottish legislation, t</w:t>
      </w:r>
      <w:r w:rsidR="00E56512" w:rsidRPr="00B558F4">
        <w:t>he maximum penalty for an offence remains the same whether it is aggravated by prejudice</w:t>
      </w:r>
      <w:r w:rsidR="00E56512">
        <w:t xml:space="preserve"> or not</w:t>
      </w:r>
      <w:r w:rsidR="00E56512" w:rsidRPr="00B558F4">
        <w:t>. Sentencing judges are also not required to impose a higher penalty than would otherwise have been imposed.</w:t>
      </w:r>
      <w:r w:rsidR="00E56512" w:rsidRPr="00B558F4">
        <w:rPr>
          <w:vertAlign w:val="superscript"/>
        </w:rPr>
        <w:footnoteReference w:id="358"/>
      </w:r>
      <w:r w:rsidR="00E56512">
        <w:t xml:space="preserve"> </w:t>
      </w:r>
    </w:p>
    <w:p w14:paraId="1E00CD74" w14:textId="22417655" w:rsidR="00E56512" w:rsidRPr="00D60BF5" w:rsidRDefault="00E56512" w:rsidP="00B57565">
      <w:pPr>
        <w:pStyle w:val="BodyText"/>
      </w:pPr>
      <w:r w:rsidRPr="00D60BF5">
        <w:t>A</w:t>
      </w:r>
      <w:r w:rsidR="008C249A">
        <w:t>n independent</w:t>
      </w:r>
      <w:r w:rsidRPr="00D60BF5">
        <w:t xml:space="preserve"> review in Northern Ireland (which currently uses the sentence aggravation model) recommended adopting the Scottish hybrid model.</w:t>
      </w:r>
      <w:r w:rsidRPr="00D60BF5">
        <w:rPr>
          <w:vertAlign w:val="superscript"/>
        </w:rPr>
        <w:footnoteReference w:id="359"/>
      </w:r>
      <w:r w:rsidRPr="00D60BF5">
        <w:t xml:space="preserve"> The Government accepted this recommendation and </w:t>
      </w:r>
      <w:r>
        <w:t>a Bill has been introduced to implement it</w:t>
      </w:r>
      <w:r w:rsidRPr="00D60BF5">
        <w:t>.</w:t>
      </w:r>
      <w:r w:rsidRPr="00D60BF5">
        <w:rPr>
          <w:vertAlign w:val="superscript"/>
        </w:rPr>
        <w:footnoteReference w:id="360"/>
      </w:r>
      <w:r w:rsidRPr="00D60BF5">
        <w:t xml:space="preserve"> The Law Commission of England and Wales also considered the hybrid model in a recent review and said it had “significant merit”.</w:t>
      </w:r>
      <w:r w:rsidRPr="00D60BF5">
        <w:rPr>
          <w:vertAlign w:val="superscript"/>
        </w:rPr>
        <w:footnoteReference w:id="361"/>
      </w:r>
      <w:r w:rsidRPr="00D60BF5">
        <w:t xml:space="preserve"> </w:t>
      </w:r>
      <w:r>
        <w:t>H</w:t>
      </w:r>
      <w:r w:rsidRPr="00D60BF5">
        <w:t xml:space="preserve">owever, it favoured keeping specific offences since they were already well established and removing them could </w:t>
      </w:r>
      <w:r>
        <w:t>“</w:t>
      </w:r>
      <w:r w:rsidRPr="00D60BF5">
        <w:t>send the wrong message</w:t>
      </w:r>
      <w:r>
        <w:t xml:space="preserve"> to victims and the broader community”</w:t>
      </w:r>
      <w:r w:rsidRPr="00D60BF5">
        <w:t>.</w:t>
      </w:r>
      <w:r w:rsidRPr="00D60BF5">
        <w:rPr>
          <w:vertAlign w:val="superscript"/>
        </w:rPr>
        <w:footnoteReference w:id="362"/>
      </w:r>
      <w:r w:rsidRPr="00D60BF5">
        <w:t xml:space="preserve"> It also </w:t>
      </w:r>
      <w:r w:rsidR="008975A1">
        <w:t>concluded</w:t>
      </w:r>
      <w:r w:rsidRPr="00D60BF5">
        <w:t xml:space="preserve"> that</w:t>
      </w:r>
      <w:r w:rsidR="00E44423">
        <w:t>,</w:t>
      </w:r>
      <w:r w:rsidR="00524EC7">
        <w:t xml:space="preserve"> in the absence of an increased maximum penalty,</w:t>
      </w:r>
      <w:r w:rsidRPr="00D60BF5">
        <w:t xml:space="preserve"> requiring the prosecution to prove the aggravation at trial </w:t>
      </w:r>
      <w:r w:rsidR="009C3685">
        <w:t>(</w:t>
      </w:r>
      <w:r w:rsidR="00524EC7">
        <w:t xml:space="preserve">and the additional time and resources this would entail) </w:t>
      </w:r>
      <w:r w:rsidR="008975A1">
        <w:t>was not justified</w:t>
      </w:r>
      <w:r w:rsidRPr="00D60BF5">
        <w:t>.</w:t>
      </w:r>
      <w:r w:rsidRPr="00D60BF5">
        <w:rPr>
          <w:vertAlign w:val="superscript"/>
        </w:rPr>
        <w:footnoteReference w:id="363"/>
      </w:r>
      <w:r w:rsidRPr="00D60BF5">
        <w:t xml:space="preserve"> </w:t>
      </w:r>
    </w:p>
    <w:p w14:paraId="1FD6B043" w14:textId="7A675EF9" w:rsidR="00E56512" w:rsidRDefault="00E56512" w:rsidP="00B57565">
      <w:pPr>
        <w:pStyle w:val="BodyText"/>
      </w:pPr>
      <w:r>
        <w:t>The</w:t>
      </w:r>
      <w:r w:rsidRPr="00D60BF5">
        <w:t xml:space="preserve"> Scottish </w:t>
      </w:r>
      <w:r w:rsidR="00196E8A">
        <w:t>legislation specifies a closed list of</w:t>
      </w:r>
      <w:r w:rsidRPr="00D60BF5">
        <w:t xml:space="preserve"> protected characteristics (as opposed to an open category </w:t>
      </w:r>
      <w:r w:rsidR="00F01802">
        <w:t>as</w:t>
      </w:r>
      <w:r w:rsidR="00196E8A">
        <w:t xml:space="preserve"> in the New Zealand legislation</w:t>
      </w:r>
      <w:r w:rsidR="00196E8A" w:rsidRPr="00D60BF5">
        <w:t>).</w:t>
      </w:r>
      <w:r w:rsidRPr="00D60BF5">
        <w:t xml:space="preserve"> </w:t>
      </w:r>
      <w:r>
        <w:t xml:space="preserve">As with specific offences, this </w:t>
      </w:r>
      <w:r w:rsidR="00E21EA9">
        <w:t>wa</w:t>
      </w:r>
      <w:r>
        <w:t>s likely</w:t>
      </w:r>
      <w:r w:rsidR="00E21EA9">
        <w:t xml:space="preserve"> considered</w:t>
      </w:r>
      <w:r>
        <w:t xml:space="preserve"> to be necessary to ensure adequate certainty in the criminal law since the hostility is an element of the offence. </w:t>
      </w:r>
    </w:p>
    <w:p w14:paraId="0A34BB02" w14:textId="32BBC43E" w:rsidR="00E56512" w:rsidRDefault="00E56512" w:rsidP="00E56512">
      <w:pPr>
        <w:pStyle w:val="Heading3"/>
      </w:pPr>
      <w:r>
        <w:t xml:space="preserve">Comparison of </w:t>
      </w:r>
      <w:r w:rsidR="00326224">
        <w:t>the legal</w:t>
      </w:r>
      <w:r>
        <w:t xml:space="preserve"> models</w:t>
      </w:r>
    </w:p>
    <w:tbl>
      <w:tblPr>
        <w:tblStyle w:val="LightList-Accent5"/>
        <w:tblW w:w="9072" w:type="dxa"/>
        <w:tblLook w:val="0420" w:firstRow="1" w:lastRow="0" w:firstColumn="0" w:lastColumn="0" w:noHBand="0" w:noVBand="1"/>
      </w:tblPr>
      <w:tblGrid>
        <w:gridCol w:w="2542"/>
        <w:gridCol w:w="2268"/>
        <w:gridCol w:w="2126"/>
        <w:gridCol w:w="2136"/>
      </w:tblGrid>
      <w:tr w:rsidR="00722875" w:rsidRPr="00FB422A" w14:paraId="51DC1FBA" w14:textId="77777777" w:rsidTr="00982FFB">
        <w:trPr>
          <w:cnfStyle w:val="100000000000" w:firstRow="1" w:lastRow="0" w:firstColumn="0" w:lastColumn="0" w:oddVBand="0" w:evenVBand="0" w:oddHBand="0" w:evenHBand="0" w:firstRowFirstColumn="0" w:firstRowLastColumn="0" w:lastRowFirstColumn="0" w:lastRowLastColumn="0"/>
        </w:trPr>
        <w:tc>
          <w:tcPr>
            <w:tcW w:w="9072" w:type="dxa"/>
            <w:gridSpan w:val="4"/>
          </w:tcPr>
          <w:p w14:paraId="23F6E5D7" w14:textId="5C3360FD" w:rsidR="00E56512" w:rsidRPr="00017246" w:rsidRDefault="00E56512" w:rsidP="003B0A8B">
            <w:pPr>
              <w:pStyle w:val="TableHeading"/>
              <w:rPr>
                <w:bCs w:val="0"/>
                <w:sz w:val="20"/>
                <w:szCs w:val="20"/>
              </w:rPr>
            </w:pPr>
            <w:r w:rsidRPr="00017246">
              <w:rPr>
                <w:bCs w:val="0"/>
                <w:sz w:val="20"/>
                <w:szCs w:val="20"/>
              </w:rPr>
              <w:t>Legal models for addressing hate crime</w:t>
            </w:r>
          </w:p>
        </w:tc>
      </w:tr>
      <w:tr w:rsidR="002C3975" w:rsidRPr="00156CF6" w14:paraId="6E3290D5" w14:textId="77777777" w:rsidTr="00A15FBA">
        <w:trPr>
          <w:cnfStyle w:val="000000100000" w:firstRow="0" w:lastRow="0" w:firstColumn="0" w:lastColumn="0" w:oddVBand="0" w:evenVBand="0" w:oddHBand="1" w:evenHBand="0" w:firstRowFirstColumn="0" w:firstRowLastColumn="0" w:lastRowFirstColumn="0" w:lastRowLastColumn="0"/>
        </w:trPr>
        <w:tc>
          <w:tcPr>
            <w:tcW w:w="2542" w:type="dxa"/>
          </w:tcPr>
          <w:p w14:paraId="04BA0C5F" w14:textId="77777777" w:rsidR="00E56512" w:rsidRPr="0053591C" w:rsidRDefault="00E56512" w:rsidP="00E01039">
            <w:pPr>
              <w:pStyle w:val="TableSubheadingGreen"/>
              <w:rPr>
                <w:sz w:val="20"/>
                <w:szCs w:val="20"/>
              </w:rPr>
            </w:pPr>
          </w:p>
        </w:tc>
        <w:tc>
          <w:tcPr>
            <w:tcW w:w="2268" w:type="dxa"/>
          </w:tcPr>
          <w:p w14:paraId="70795E44" w14:textId="77777777" w:rsidR="00E56512" w:rsidRPr="0053591C" w:rsidRDefault="00E56512" w:rsidP="00E01039">
            <w:pPr>
              <w:pStyle w:val="TableSubheadingGreen"/>
              <w:rPr>
                <w:sz w:val="20"/>
                <w:szCs w:val="20"/>
              </w:rPr>
            </w:pPr>
            <w:r w:rsidRPr="0053591C">
              <w:rPr>
                <w:sz w:val="20"/>
                <w:szCs w:val="20"/>
              </w:rPr>
              <w:t>Sentence aggravation model</w:t>
            </w:r>
          </w:p>
        </w:tc>
        <w:tc>
          <w:tcPr>
            <w:tcW w:w="2126" w:type="dxa"/>
          </w:tcPr>
          <w:p w14:paraId="7B225B06" w14:textId="77777777" w:rsidR="00E56512" w:rsidRPr="0053591C" w:rsidRDefault="00E56512" w:rsidP="00E01039">
            <w:pPr>
              <w:pStyle w:val="TableSubheadingGreen"/>
              <w:rPr>
                <w:sz w:val="20"/>
                <w:szCs w:val="20"/>
              </w:rPr>
            </w:pPr>
            <w:r w:rsidRPr="0053591C">
              <w:rPr>
                <w:sz w:val="20"/>
                <w:szCs w:val="20"/>
              </w:rPr>
              <w:t>Specific offence model</w:t>
            </w:r>
          </w:p>
        </w:tc>
        <w:tc>
          <w:tcPr>
            <w:tcW w:w="2136" w:type="dxa"/>
          </w:tcPr>
          <w:p w14:paraId="700AECFD" w14:textId="77777777" w:rsidR="00E56512" w:rsidRPr="0053591C" w:rsidRDefault="00E56512" w:rsidP="00E01039">
            <w:pPr>
              <w:pStyle w:val="TableSubheadingGreen"/>
              <w:rPr>
                <w:sz w:val="20"/>
                <w:szCs w:val="20"/>
              </w:rPr>
            </w:pPr>
            <w:r w:rsidRPr="0053591C">
              <w:rPr>
                <w:sz w:val="20"/>
                <w:szCs w:val="20"/>
              </w:rPr>
              <w:t>Scottish hybrid model</w:t>
            </w:r>
          </w:p>
        </w:tc>
      </w:tr>
      <w:tr w:rsidR="002C3975" w:rsidRPr="00156CF6" w14:paraId="116DF800" w14:textId="77777777" w:rsidTr="00A15FBA">
        <w:tc>
          <w:tcPr>
            <w:tcW w:w="2542" w:type="dxa"/>
          </w:tcPr>
          <w:p w14:paraId="24EB1D03" w14:textId="77777777" w:rsidR="00E56512" w:rsidRPr="0053591C" w:rsidRDefault="00E56512" w:rsidP="00E01039">
            <w:pPr>
              <w:pStyle w:val="TableSubheadingGreen"/>
              <w:rPr>
                <w:sz w:val="20"/>
                <w:szCs w:val="20"/>
              </w:rPr>
            </w:pPr>
            <w:r w:rsidRPr="0053591C">
              <w:rPr>
                <w:sz w:val="20"/>
                <w:szCs w:val="20"/>
              </w:rPr>
              <w:t>Which offences are covered?</w:t>
            </w:r>
          </w:p>
        </w:tc>
        <w:tc>
          <w:tcPr>
            <w:tcW w:w="2268" w:type="dxa"/>
          </w:tcPr>
          <w:p w14:paraId="6AC4C9A3" w14:textId="77777777" w:rsidR="00E56512" w:rsidRPr="003B0A8B" w:rsidRDefault="00E56512" w:rsidP="003B0A8B">
            <w:pPr>
              <w:pStyle w:val="TableText"/>
              <w:rPr>
                <w:sz w:val="20"/>
                <w:szCs w:val="20"/>
              </w:rPr>
            </w:pPr>
            <w:r w:rsidRPr="003B0A8B">
              <w:rPr>
                <w:sz w:val="20"/>
                <w:szCs w:val="20"/>
              </w:rPr>
              <w:t>All offences</w:t>
            </w:r>
          </w:p>
        </w:tc>
        <w:tc>
          <w:tcPr>
            <w:tcW w:w="2126" w:type="dxa"/>
          </w:tcPr>
          <w:p w14:paraId="1A787258" w14:textId="431F80FE" w:rsidR="00E56512" w:rsidRPr="003B0A8B" w:rsidRDefault="004E71C2" w:rsidP="003B0A8B">
            <w:pPr>
              <w:pStyle w:val="TableText"/>
              <w:rPr>
                <w:sz w:val="20"/>
                <w:szCs w:val="20"/>
              </w:rPr>
            </w:pPr>
            <w:r w:rsidRPr="003B0A8B">
              <w:rPr>
                <w:sz w:val="20"/>
                <w:szCs w:val="20"/>
              </w:rPr>
              <w:t>Usually o</w:t>
            </w:r>
            <w:r w:rsidR="00E56512" w:rsidRPr="003B0A8B">
              <w:rPr>
                <w:sz w:val="20"/>
                <w:szCs w:val="20"/>
              </w:rPr>
              <w:t xml:space="preserve">nly specified offences </w:t>
            </w:r>
            <w:r w:rsidR="004946DD" w:rsidRPr="003B0A8B">
              <w:rPr>
                <w:sz w:val="20"/>
                <w:szCs w:val="20"/>
              </w:rPr>
              <w:t>(with the exception of the Canadian Bill)</w:t>
            </w:r>
          </w:p>
        </w:tc>
        <w:tc>
          <w:tcPr>
            <w:tcW w:w="2136" w:type="dxa"/>
          </w:tcPr>
          <w:p w14:paraId="19C764AD" w14:textId="77777777" w:rsidR="00E56512" w:rsidRPr="003B0A8B" w:rsidRDefault="00E56512" w:rsidP="003B0A8B">
            <w:pPr>
              <w:pStyle w:val="TableText"/>
              <w:rPr>
                <w:sz w:val="20"/>
                <w:szCs w:val="20"/>
              </w:rPr>
            </w:pPr>
            <w:r w:rsidRPr="003B0A8B">
              <w:rPr>
                <w:sz w:val="20"/>
                <w:szCs w:val="20"/>
              </w:rPr>
              <w:t xml:space="preserve">All offences </w:t>
            </w:r>
          </w:p>
        </w:tc>
      </w:tr>
      <w:tr w:rsidR="002C3975" w:rsidRPr="00156CF6" w14:paraId="08DAEE73" w14:textId="77777777" w:rsidTr="00A15FBA">
        <w:trPr>
          <w:cnfStyle w:val="000000100000" w:firstRow="0" w:lastRow="0" w:firstColumn="0" w:lastColumn="0" w:oddVBand="0" w:evenVBand="0" w:oddHBand="1" w:evenHBand="0" w:firstRowFirstColumn="0" w:firstRowLastColumn="0" w:lastRowFirstColumn="0" w:lastRowLastColumn="0"/>
        </w:trPr>
        <w:tc>
          <w:tcPr>
            <w:tcW w:w="2542" w:type="dxa"/>
          </w:tcPr>
          <w:p w14:paraId="42CFBF7D" w14:textId="77777777" w:rsidR="00E56512" w:rsidRPr="0053591C" w:rsidRDefault="00E56512" w:rsidP="00E01039">
            <w:pPr>
              <w:pStyle w:val="TableSubheadingGreen"/>
              <w:rPr>
                <w:sz w:val="20"/>
                <w:szCs w:val="20"/>
              </w:rPr>
            </w:pPr>
            <w:r w:rsidRPr="0053591C">
              <w:rPr>
                <w:sz w:val="20"/>
                <w:szCs w:val="20"/>
              </w:rPr>
              <w:t>Which characteristics are protected?</w:t>
            </w:r>
          </w:p>
        </w:tc>
        <w:tc>
          <w:tcPr>
            <w:tcW w:w="2268" w:type="dxa"/>
          </w:tcPr>
          <w:p w14:paraId="36F1EDAF" w14:textId="06D72133" w:rsidR="00E56512" w:rsidRPr="003B0A8B" w:rsidRDefault="00A15FBA" w:rsidP="003B0A8B">
            <w:pPr>
              <w:pStyle w:val="TableText"/>
              <w:rPr>
                <w:sz w:val="20"/>
                <w:szCs w:val="20"/>
              </w:rPr>
            </w:pPr>
            <w:r w:rsidRPr="003B0A8B">
              <w:rPr>
                <w:sz w:val="20"/>
                <w:szCs w:val="20"/>
              </w:rPr>
              <w:t xml:space="preserve">No particular approach required (the New Zealand provision applies to any </w:t>
            </w:r>
            <w:r w:rsidR="00E56512" w:rsidRPr="003B0A8B">
              <w:rPr>
                <w:sz w:val="20"/>
                <w:szCs w:val="20"/>
              </w:rPr>
              <w:t>enduring common characteristi</w:t>
            </w:r>
            <w:r w:rsidRPr="003B0A8B">
              <w:rPr>
                <w:sz w:val="20"/>
                <w:szCs w:val="20"/>
              </w:rPr>
              <w:t>c)</w:t>
            </w:r>
          </w:p>
        </w:tc>
        <w:tc>
          <w:tcPr>
            <w:tcW w:w="2126" w:type="dxa"/>
          </w:tcPr>
          <w:p w14:paraId="7A383327" w14:textId="34F586DC" w:rsidR="00E56512" w:rsidRPr="003B0A8B" w:rsidRDefault="00A15FBA" w:rsidP="003B0A8B">
            <w:pPr>
              <w:pStyle w:val="TableText"/>
              <w:rPr>
                <w:sz w:val="20"/>
                <w:szCs w:val="20"/>
              </w:rPr>
            </w:pPr>
            <w:r w:rsidRPr="003B0A8B">
              <w:rPr>
                <w:sz w:val="20"/>
                <w:szCs w:val="20"/>
              </w:rPr>
              <w:t>A closed list of</w:t>
            </w:r>
            <w:r w:rsidR="00E56512" w:rsidRPr="003B0A8B">
              <w:rPr>
                <w:sz w:val="20"/>
                <w:szCs w:val="20"/>
              </w:rPr>
              <w:t xml:space="preserve"> specified characteristics</w:t>
            </w:r>
          </w:p>
          <w:p w14:paraId="590F648A" w14:textId="77777777" w:rsidR="00E56512" w:rsidRPr="003B0A8B" w:rsidRDefault="00E56512" w:rsidP="003B0A8B">
            <w:pPr>
              <w:pStyle w:val="TableText"/>
              <w:rPr>
                <w:sz w:val="20"/>
                <w:szCs w:val="20"/>
              </w:rPr>
            </w:pPr>
          </w:p>
        </w:tc>
        <w:tc>
          <w:tcPr>
            <w:tcW w:w="2136" w:type="dxa"/>
          </w:tcPr>
          <w:p w14:paraId="3E90E843" w14:textId="430E7FBC" w:rsidR="00E56512" w:rsidRPr="003B0A8B" w:rsidRDefault="00A15FBA" w:rsidP="003B0A8B">
            <w:pPr>
              <w:pStyle w:val="TableText"/>
              <w:rPr>
                <w:sz w:val="20"/>
                <w:szCs w:val="20"/>
              </w:rPr>
            </w:pPr>
            <w:r w:rsidRPr="003B0A8B">
              <w:rPr>
                <w:sz w:val="20"/>
                <w:szCs w:val="20"/>
              </w:rPr>
              <w:t>A closed list of</w:t>
            </w:r>
            <w:r w:rsidR="00E56512" w:rsidRPr="003B0A8B">
              <w:rPr>
                <w:sz w:val="20"/>
                <w:szCs w:val="20"/>
              </w:rPr>
              <w:t xml:space="preserve"> specified characteristics</w:t>
            </w:r>
          </w:p>
          <w:p w14:paraId="582B1BEB" w14:textId="77777777" w:rsidR="00E56512" w:rsidRPr="003B0A8B" w:rsidRDefault="00E56512" w:rsidP="003B0A8B">
            <w:pPr>
              <w:pStyle w:val="TableText"/>
              <w:rPr>
                <w:sz w:val="20"/>
                <w:szCs w:val="20"/>
              </w:rPr>
            </w:pPr>
          </w:p>
        </w:tc>
      </w:tr>
      <w:tr w:rsidR="002C3975" w:rsidRPr="00156CF6" w14:paraId="233ED739" w14:textId="77777777" w:rsidTr="00A15FBA">
        <w:tc>
          <w:tcPr>
            <w:tcW w:w="2542" w:type="dxa"/>
          </w:tcPr>
          <w:p w14:paraId="51FA70B7" w14:textId="77777777" w:rsidR="00E56512" w:rsidRPr="0053591C" w:rsidRDefault="00E56512" w:rsidP="00E01039">
            <w:pPr>
              <w:pStyle w:val="TableSubheadingGreen"/>
              <w:rPr>
                <w:sz w:val="20"/>
                <w:szCs w:val="20"/>
              </w:rPr>
            </w:pPr>
            <w:r w:rsidRPr="0053591C">
              <w:rPr>
                <w:sz w:val="20"/>
                <w:szCs w:val="20"/>
              </w:rPr>
              <w:t>Is hostile motivation recorded as part of the conviction?</w:t>
            </w:r>
          </w:p>
        </w:tc>
        <w:tc>
          <w:tcPr>
            <w:tcW w:w="2268" w:type="dxa"/>
          </w:tcPr>
          <w:p w14:paraId="0FC30C80" w14:textId="6E5D2217" w:rsidR="00E56512" w:rsidRPr="003B0A8B" w:rsidRDefault="00E56512" w:rsidP="003B0A8B">
            <w:pPr>
              <w:pStyle w:val="TableText"/>
              <w:rPr>
                <w:sz w:val="20"/>
                <w:szCs w:val="20"/>
              </w:rPr>
            </w:pPr>
            <w:r w:rsidRPr="003B0A8B">
              <w:rPr>
                <w:sz w:val="20"/>
                <w:szCs w:val="20"/>
              </w:rPr>
              <w:t>No</w:t>
            </w:r>
            <w:r w:rsidR="00EC67BD">
              <w:rPr>
                <w:sz w:val="20"/>
                <w:szCs w:val="20"/>
              </w:rPr>
              <w:t>t automatically</w:t>
            </w:r>
          </w:p>
        </w:tc>
        <w:tc>
          <w:tcPr>
            <w:tcW w:w="2126" w:type="dxa"/>
          </w:tcPr>
          <w:p w14:paraId="48C3532E" w14:textId="77777777" w:rsidR="00E56512" w:rsidRPr="003B0A8B" w:rsidRDefault="00E56512" w:rsidP="003B0A8B">
            <w:pPr>
              <w:pStyle w:val="TableText"/>
              <w:rPr>
                <w:sz w:val="20"/>
                <w:szCs w:val="20"/>
              </w:rPr>
            </w:pPr>
            <w:r w:rsidRPr="003B0A8B">
              <w:rPr>
                <w:sz w:val="20"/>
                <w:szCs w:val="20"/>
              </w:rPr>
              <w:t>Yes</w:t>
            </w:r>
          </w:p>
        </w:tc>
        <w:tc>
          <w:tcPr>
            <w:tcW w:w="2136" w:type="dxa"/>
          </w:tcPr>
          <w:p w14:paraId="085AECE6" w14:textId="77777777" w:rsidR="00E56512" w:rsidRPr="003B0A8B" w:rsidRDefault="00E56512" w:rsidP="003B0A8B">
            <w:pPr>
              <w:pStyle w:val="TableText"/>
              <w:rPr>
                <w:sz w:val="20"/>
                <w:szCs w:val="20"/>
              </w:rPr>
            </w:pPr>
            <w:r w:rsidRPr="003B0A8B">
              <w:rPr>
                <w:sz w:val="20"/>
                <w:szCs w:val="20"/>
              </w:rPr>
              <w:t>Yes</w:t>
            </w:r>
          </w:p>
        </w:tc>
      </w:tr>
      <w:tr w:rsidR="002C3975" w:rsidRPr="00156CF6" w14:paraId="13689228" w14:textId="77777777" w:rsidTr="00A15FBA">
        <w:trPr>
          <w:cnfStyle w:val="000000100000" w:firstRow="0" w:lastRow="0" w:firstColumn="0" w:lastColumn="0" w:oddVBand="0" w:evenVBand="0" w:oddHBand="1" w:evenHBand="0" w:firstRowFirstColumn="0" w:firstRowLastColumn="0" w:lastRowFirstColumn="0" w:lastRowLastColumn="0"/>
        </w:trPr>
        <w:tc>
          <w:tcPr>
            <w:tcW w:w="2542" w:type="dxa"/>
          </w:tcPr>
          <w:p w14:paraId="3CD36ADE" w14:textId="77777777" w:rsidR="00E56512" w:rsidRPr="0053591C" w:rsidRDefault="00E56512" w:rsidP="00E01039">
            <w:pPr>
              <w:pStyle w:val="TableSubheadingGreen"/>
              <w:rPr>
                <w:sz w:val="20"/>
                <w:szCs w:val="20"/>
              </w:rPr>
            </w:pPr>
            <w:r w:rsidRPr="0053591C">
              <w:rPr>
                <w:sz w:val="20"/>
                <w:szCs w:val="20"/>
              </w:rPr>
              <w:t>Is there a higher maximum penalty for hate crimes?</w:t>
            </w:r>
          </w:p>
        </w:tc>
        <w:tc>
          <w:tcPr>
            <w:tcW w:w="2268" w:type="dxa"/>
          </w:tcPr>
          <w:p w14:paraId="15B7933A" w14:textId="77777777" w:rsidR="00E56512" w:rsidRPr="003B0A8B" w:rsidRDefault="00E56512" w:rsidP="003B0A8B">
            <w:pPr>
              <w:pStyle w:val="TableText"/>
              <w:rPr>
                <w:sz w:val="20"/>
                <w:szCs w:val="20"/>
              </w:rPr>
            </w:pPr>
            <w:r w:rsidRPr="003B0A8B">
              <w:rPr>
                <w:sz w:val="20"/>
                <w:szCs w:val="20"/>
              </w:rPr>
              <w:t>No</w:t>
            </w:r>
          </w:p>
        </w:tc>
        <w:tc>
          <w:tcPr>
            <w:tcW w:w="2126" w:type="dxa"/>
          </w:tcPr>
          <w:p w14:paraId="3E97E3F9" w14:textId="77777777" w:rsidR="00E56512" w:rsidRPr="003B0A8B" w:rsidRDefault="00E56512" w:rsidP="003B0A8B">
            <w:pPr>
              <w:pStyle w:val="TableText"/>
              <w:rPr>
                <w:sz w:val="20"/>
                <w:szCs w:val="20"/>
              </w:rPr>
            </w:pPr>
            <w:r w:rsidRPr="003B0A8B">
              <w:rPr>
                <w:sz w:val="20"/>
                <w:szCs w:val="20"/>
              </w:rPr>
              <w:t>Yes</w:t>
            </w:r>
          </w:p>
        </w:tc>
        <w:tc>
          <w:tcPr>
            <w:tcW w:w="2136" w:type="dxa"/>
          </w:tcPr>
          <w:p w14:paraId="6411A15E" w14:textId="77777777" w:rsidR="00E56512" w:rsidRPr="003B0A8B" w:rsidRDefault="00E56512" w:rsidP="003B0A8B">
            <w:pPr>
              <w:pStyle w:val="TableText"/>
              <w:rPr>
                <w:sz w:val="20"/>
                <w:szCs w:val="20"/>
              </w:rPr>
            </w:pPr>
            <w:r w:rsidRPr="003B0A8B">
              <w:rPr>
                <w:sz w:val="20"/>
                <w:szCs w:val="20"/>
              </w:rPr>
              <w:t>No</w:t>
            </w:r>
          </w:p>
        </w:tc>
      </w:tr>
      <w:tr w:rsidR="002C3975" w:rsidRPr="00156CF6" w14:paraId="6EA3D80C" w14:textId="77777777" w:rsidTr="00A15FBA">
        <w:tc>
          <w:tcPr>
            <w:tcW w:w="2542" w:type="dxa"/>
          </w:tcPr>
          <w:p w14:paraId="2DBBB770" w14:textId="77777777" w:rsidR="00E56512" w:rsidRPr="00726977" w:rsidRDefault="00E56512" w:rsidP="00E01039">
            <w:pPr>
              <w:pStyle w:val="TableSubheadingGreen"/>
            </w:pPr>
            <w:r w:rsidRPr="0053591C">
              <w:rPr>
                <w:sz w:val="20"/>
                <w:szCs w:val="20"/>
              </w:rPr>
              <w:t>Where is this model currently used?</w:t>
            </w:r>
          </w:p>
        </w:tc>
        <w:tc>
          <w:tcPr>
            <w:tcW w:w="2268" w:type="dxa"/>
          </w:tcPr>
          <w:p w14:paraId="1579124A" w14:textId="77777777" w:rsidR="00E56512" w:rsidRPr="003B0A8B" w:rsidRDefault="00E56512" w:rsidP="003B0A8B">
            <w:pPr>
              <w:pStyle w:val="TableText"/>
              <w:rPr>
                <w:sz w:val="20"/>
                <w:szCs w:val="20"/>
              </w:rPr>
            </w:pPr>
            <w:r w:rsidRPr="003B0A8B">
              <w:rPr>
                <w:sz w:val="20"/>
                <w:szCs w:val="20"/>
              </w:rPr>
              <w:t xml:space="preserve">Aotearoa New Zealand </w:t>
            </w:r>
          </w:p>
          <w:p w14:paraId="60BF691D" w14:textId="77777777" w:rsidR="00E56512" w:rsidRPr="003B0A8B" w:rsidRDefault="00E56512" w:rsidP="003B0A8B">
            <w:pPr>
              <w:pStyle w:val="TableText"/>
              <w:rPr>
                <w:sz w:val="20"/>
                <w:szCs w:val="20"/>
              </w:rPr>
            </w:pPr>
            <w:r w:rsidRPr="003B0A8B">
              <w:rPr>
                <w:sz w:val="20"/>
                <w:szCs w:val="20"/>
              </w:rPr>
              <w:t>Australia (New South Wales, Victoria, South Australia, Tasmania and Northern Territory)</w:t>
            </w:r>
          </w:p>
          <w:p w14:paraId="2A305B46" w14:textId="77777777" w:rsidR="00E56512" w:rsidRPr="003B0A8B" w:rsidRDefault="00E56512" w:rsidP="003B0A8B">
            <w:pPr>
              <w:pStyle w:val="TableText"/>
              <w:rPr>
                <w:sz w:val="20"/>
                <w:szCs w:val="20"/>
              </w:rPr>
            </w:pPr>
            <w:r w:rsidRPr="003B0A8B">
              <w:rPr>
                <w:sz w:val="20"/>
                <w:szCs w:val="20"/>
              </w:rPr>
              <w:t>England and Wales (alongside specific offences)</w:t>
            </w:r>
          </w:p>
          <w:p w14:paraId="1C2A48D3" w14:textId="77777777" w:rsidR="00E56512" w:rsidRPr="003B0A8B" w:rsidRDefault="00E56512" w:rsidP="003B0A8B">
            <w:pPr>
              <w:pStyle w:val="TableText"/>
              <w:rPr>
                <w:sz w:val="20"/>
                <w:szCs w:val="20"/>
              </w:rPr>
            </w:pPr>
            <w:r w:rsidRPr="003B0A8B">
              <w:rPr>
                <w:sz w:val="20"/>
                <w:szCs w:val="20"/>
              </w:rPr>
              <w:t>Republic of Ireland (alongside specific offences)</w:t>
            </w:r>
          </w:p>
          <w:p w14:paraId="1D388991" w14:textId="77777777" w:rsidR="00E56512" w:rsidRPr="003B0A8B" w:rsidRDefault="00E56512" w:rsidP="003B0A8B">
            <w:pPr>
              <w:pStyle w:val="TableText"/>
              <w:rPr>
                <w:sz w:val="20"/>
                <w:szCs w:val="20"/>
              </w:rPr>
            </w:pPr>
            <w:r w:rsidRPr="003B0A8B">
              <w:rPr>
                <w:sz w:val="20"/>
                <w:szCs w:val="20"/>
              </w:rPr>
              <w:t>Canada</w:t>
            </w:r>
          </w:p>
          <w:p w14:paraId="1D023B05" w14:textId="77777777" w:rsidR="00E56512" w:rsidRPr="003B0A8B" w:rsidRDefault="00E56512" w:rsidP="003B0A8B">
            <w:pPr>
              <w:pStyle w:val="TableText"/>
              <w:rPr>
                <w:sz w:val="20"/>
                <w:szCs w:val="20"/>
              </w:rPr>
            </w:pPr>
            <w:r w:rsidRPr="003B0A8B">
              <w:rPr>
                <w:sz w:val="20"/>
                <w:szCs w:val="20"/>
              </w:rPr>
              <w:t>Northern Ireland</w:t>
            </w:r>
          </w:p>
        </w:tc>
        <w:tc>
          <w:tcPr>
            <w:tcW w:w="2126" w:type="dxa"/>
          </w:tcPr>
          <w:p w14:paraId="799F0342" w14:textId="77777777" w:rsidR="00E56512" w:rsidRPr="003B0A8B" w:rsidRDefault="00E56512" w:rsidP="003B0A8B">
            <w:pPr>
              <w:pStyle w:val="TableText"/>
              <w:rPr>
                <w:sz w:val="20"/>
                <w:szCs w:val="20"/>
              </w:rPr>
            </w:pPr>
            <w:r w:rsidRPr="003B0A8B">
              <w:rPr>
                <w:sz w:val="20"/>
                <w:szCs w:val="20"/>
              </w:rPr>
              <w:t>Australia (Western Australia and Queensland)</w:t>
            </w:r>
          </w:p>
          <w:p w14:paraId="644CF003" w14:textId="77777777" w:rsidR="00E56512" w:rsidRPr="003B0A8B" w:rsidRDefault="00E56512" w:rsidP="003B0A8B">
            <w:pPr>
              <w:pStyle w:val="TableText"/>
              <w:rPr>
                <w:sz w:val="20"/>
                <w:szCs w:val="20"/>
              </w:rPr>
            </w:pPr>
            <w:r w:rsidRPr="003B0A8B">
              <w:rPr>
                <w:sz w:val="20"/>
                <w:szCs w:val="20"/>
              </w:rPr>
              <w:t>England and Wales (alongside sentence aggravation)</w:t>
            </w:r>
          </w:p>
          <w:p w14:paraId="76A098CD" w14:textId="77777777" w:rsidR="00E56512" w:rsidRPr="003B0A8B" w:rsidRDefault="00E56512" w:rsidP="003B0A8B">
            <w:pPr>
              <w:pStyle w:val="TableText"/>
              <w:rPr>
                <w:sz w:val="20"/>
                <w:szCs w:val="20"/>
              </w:rPr>
            </w:pPr>
            <w:r w:rsidRPr="003B0A8B">
              <w:rPr>
                <w:sz w:val="20"/>
                <w:szCs w:val="20"/>
              </w:rPr>
              <w:t>Republic of Ireland (alongside sentence aggravation)</w:t>
            </w:r>
          </w:p>
          <w:p w14:paraId="0A12D807" w14:textId="77777777" w:rsidR="00E56512" w:rsidRPr="003B0A8B" w:rsidRDefault="00E56512" w:rsidP="003B0A8B">
            <w:pPr>
              <w:pStyle w:val="TableText"/>
              <w:rPr>
                <w:i/>
                <w:iCs/>
                <w:sz w:val="20"/>
                <w:szCs w:val="20"/>
              </w:rPr>
            </w:pPr>
            <w:r w:rsidRPr="003B0A8B">
              <w:rPr>
                <w:i/>
                <w:iCs/>
                <w:sz w:val="20"/>
                <w:szCs w:val="20"/>
              </w:rPr>
              <w:t>A Bill to adopt this model (alongside sentence aggravation) is before the Parliament of Canada</w:t>
            </w:r>
          </w:p>
        </w:tc>
        <w:tc>
          <w:tcPr>
            <w:tcW w:w="2136" w:type="dxa"/>
          </w:tcPr>
          <w:p w14:paraId="0FF63939" w14:textId="77777777" w:rsidR="00E56512" w:rsidRPr="003B0A8B" w:rsidRDefault="00E56512" w:rsidP="003B0A8B">
            <w:pPr>
              <w:pStyle w:val="TableText"/>
              <w:rPr>
                <w:sz w:val="20"/>
                <w:szCs w:val="20"/>
              </w:rPr>
            </w:pPr>
            <w:r w:rsidRPr="003B0A8B">
              <w:rPr>
                <w:sz w:val="20"/>
                <w:szCs w:val="20"/>
              </w:rPr>
              <w:t>Scotland</w:t>
            </w:r>
          </w:p>
          <w:p w14:paraId="73FDE76B" w14:textId="5748BB07" w:rsidR="00E56512" w:rsidRPr="003B0A8B" w:rsidRDefault="00E56512" w:rsidP="003B0A8B">
            <w:pPr>
              <w:pStyle w:val="TableText"/>
              <w:rPr>
                <w:sz w:val="20"/>
                <w:szCs w:val="20"/>
              </w:rPr>
            </w:pPr>
            <w:r w:rsidRPr="003B0A8B">
              <w:rPr>
                <w:i/>
                <w:iCs/>
                <w:sz w:val="20"/>
                <w:szCs w:val="20"/>
              </w:rPr>
              <w:t xml:space="preserve">A Bill to adopt </w:t>
            </w:r>
            <w:r w:rsidR="00225EE2">
              <w:rPr>
                <w:i/>
                <w:iCs/>
                <w:sz w:val="20"/>
                <w:szCs w:val="20"/>
              </w:rPr>
              <w:t>a hybrid</w:t>
            </w:r>
            <w:r w:rsidRPr="003B0A8B">
              <w:rPr>
                <w:i/>
                <w:iCs/>
                <w:sz w:val="20"/>
                <w:szCs w:val="20"/>
              </w:rPr>
              <w:t xml:space="preserve"> model is before the Northern Ireland Assembly</w:t>
            </w:r>
          </w:p>
        </w:tc>
      </w:tr>
    </w:tbl>
    <w:p w14:paraId="23273AC2" w14:textId="77777777" w:rsidR="00A51927" w:rsidRDefault="00A51927" w:rsidP="00E56512">
      <w:pPr>
        <w:pStyle w:val="Heading2"/>
      </w:pPr>
      <w:bookmarkStart w:id="128" w:name="_Toc231467840"/>
      <w:bookmarkStart w:id="129" w:name="_Toc212106757"/>
      <w:bookmarkEnd w:id="126"/>
      <w:r>
        <w:t>Consultation</w:t>
      </w:r>
      <w:bookmarkEnd w:id="128"/>
    </w:p>
    <w:p w14:paraId="5F618775" w14:textId="04D071D3" w:rsidR="009B5897" w:rsidRDefault="009B5897" w:rsidP="00B57565">
      <w:pPr>
        <w:pStyle w:val="BodyText"/>
      </w:pPr>
      <w:r>
        <w:t xml:space="preserve">In </w:t>
      </w:r>
      <w:r w:rsidR="00176DB9">
        <w:t xml:space="preserve">our Consultation Paper, we sought feedback on whether </w:t>
      </w:r>
      <w:r>
        <w:t xml:space="preserve">the </w:t>
      </w:r>
      <w:r w:rsidR="00176DB9">
        <w:t>legal model used to address hate crime in Aotearoa New Zealand should be changed.</w:t>
      </w:r>
      <w:r w:rsidR="005B02A2">
        <w:rPr>
          <w:rStyle w:val="FootnoteReference"/>
        </w:rPr>
        <w:footnoteReference w:id="364"/>
      </w:r>
      <w:r w:rsidR="00176DB9">
        <w:t xml:space="preserve"> </w:t>
      </w:r>
      <w:r w:rsidR="00DD1814">
        <w:t xml:space="preserve">We outline the responses we received below. </w:t>
      </w:r>
      <w:r w:rsidR="007A414E">
        <w:t>We</w:t>
      </w:r>
      <w:r w:rsidRPr="00045FCC">
        <w:t xml:space="preserve"> address </w:t>
      </w:r>
      <w:r>
        <w:t xml:space="preserve">the </w:t>
      </w:r>
      <w:r w:rsidRPr="00045FCC">
        <w:t>specific</w:t>
      </w:r>
      <w:r>
        <w:t xml:space="preserve"> hate crime</w:t>
      </w:r>
      <w:r w:rsidRPr="00045FCC">
        <w:t xml:space="preserve"> offence</w:t>
      </w:r>
      <w:r>
        <w:t xml:space="preserve"> model</w:t>
      </w:r>
      <w:r w:rsidRPr="00045FCC">
        <w:t xml:space="preserve"> and the Scottish hybrid model together, except where otherwise stated</w:t>
      </w:r>
      <w:r>
        <w:t>.</w:t>
      </w:r>
      <w:r w:rsidRPr="00045FCC">
        <w:t xml:space="preserve"> </w:t>
      </w:r>
      <w:r>
        <w:t>Many</w:t>
      </w:r>
      <w:r w:rsidRPr="00045FCC">
        <w:t xml:space="preserve"> </w:t>
      </w:r>
      <w:r>
        <w:t>submitters did not distinguish between the two models or made similar points in respect of both</w:t>
      </w:r>
      <w:r w:rsidRPr="00045FCC">
        <w:t xml:space="preserve">. </w:t>
      </w:r>
    </w:p>
    <w:p w14:paraId="3B968732" w14:textId="77777777" w:rsidR="009B5897" w:rsidRPr="00F04ED7" w:rsidRDefault="009B5897" w:rsidP="00570390">
      <w:pPr>
        <w:pStyle w:val="Heading3"/>
      </w:pPr>
      <w:r>
        <w:t>Overview of responses on the appropriate legal model</w:t>
      </w:r>
    </w:p>
    <w:p w14:paraId="18CD4E07" w14:textId="61C49348" w:rsidR="009B5897" w:rsidRDefault="009B5897" w:rsidP="00B57565">
      <w:pPr>
        <w:pStyle w:val="BodyText"/>
      </w:pPr>
      <w:r>
        <w:t>Of the</w:t>
      </w:r>
      <w:r w:rsidRPr="00045FCC">
        <w:t xml:space="preserve"> 96 </w:t>
      </w:r>
      <w:r>
        <w:t xml:space="preserve">submissions </w:t>
      </w:r>
      <w:r w:rsidR="00DF7FA9">
        <w:t xml:space="preserve">we </w:t>
      </w:r>
      <w:r>
        <w:t>received</w:t>
      </w:r>
      <w:r w:rsidR="00DF7FA9">
        <w:t xml:space="preserve"> in this review</w:t>
      </w:r>
      <w:r w:rsidRPr="00045FCC">
        <w:t>, 4</w:t>
      </w:r>
      <w:r>
        <w:t>1</w:t>
      </w:r>
      <w:r w:rsidRPr="00045FCC">
        <w:t xml:space="preserve"> supported keeping the sentence aggravation model and</w:t>
      </w:r>
      <w:r>
        <w:t xml:space="preserve"> 19</w:t>
      </w:r>
      <w:r w:rsidRPr="00045FCC">
        <w:t xml:space="preserve"> said a different legal model should be adopted. The remainder did not express a clear view. </w:t>
      </w:r>
    </w:p>
    <w:p w14:paraId="720D66D0" w14:textId="59E35FB9" w:rsidR="00C463FB" w:rsidRDefault="00C3383A" w:rsidP="00B57565">
      <w:pPr>
        <w:pStyle w:val="BodyText"/>
      </w:pPr>
      <w:r>
        <w:t>As discussed in Chapter 4,</w:t>
      </w:r>
      <w:r w:rsidR="00C463FB" w:rsidRPr="009A60BE">
        <w:t xml:space="preserve"> 22 submitters </w:t>
      </w:r>
      <w:r w:rsidR="00C463FB">
        <w:t>identified</w:t>
      </w:r>
      <w:r w:rsidR="00C463FB" w:rsidRPr="009A60BE">
        <w:t xml:space="preserve"> problems with how the current law is working</w:t>
      </w:r>
      <w:r w:rsidR="004C5BAF">
        <w:t xml:space="preserve">. </w:t>
      </w:r>
      <w:r w:rsidR="001D67BC">
        <w:t>T</w:t>
      </w:r>
      <w:r w:rsidR="00C463FB" w:rsidRPr="009A60BE">
        <w:t xml:space="preserve">here was no consensus </w:t>
      </w:r>
      <w:r w:rsidR="008D764E">
        <w:t xml:space="preserve">among them </w:t>
      </w:r>
      <w:r w:rsidR="00C463FB" w:rsidRPr="009A60BE">
        <w:t xml:space="preserve">on whether the legal model needs to change to address those problems. </w:t>
      </w:r>
      <w:r w:rsidR="00C463FB" w:rsidRPr="00551251">
        <w:t xml:space="preserve">Ten </w:t>
      </w:r>
      <w:r w:rsidR="004B3286">
        <w:t xml:space="preserve">of these </w:t>
      </w:r>
      <w:r w:rsidR="00C463FB" w:rsidRPr="00551251">
        <w:t>submitters did not see a case for changing the legal model</w:t>
      </w:r>
      <w:r w:rsidR="006B1DFC">
        <w:t>,</w:t>
      </w:r>
      <w:r w:rsidR="00C463FB" w:rsidRPr="009A60BE">
        <w:rPr>
          <w:rStyle w:val="FootnoteReference"/>
        </w:rPr>
        <w:footnoteReference w:id="365"/>
      </w:r>
      <w:r w:rsidR="00C463FB" w:rsidRPr="009A60BE">
        <w:t xml:space="preserve"> </w:t>
      </w:r>
      <w:r w:rsidR="006B1DFC">
        <w:t>s</w:t>
      </w:r>
      <w:r w:rsidR="00C463FB" w:rsidRPr="009A60BE">
        <w:t>even supported adopting a different legal model</w:t>
      </w:r>
      <w:r w:rsidR="006B1DFC">
        <w:t>,</w:t>
      </w:r>
      <w:r w:rsidR="00C463FB" w:rsidRPr="009A60BE">
        <w:rPr>
          <w:rStyle w:val="FootnoteReference"/>
        </w:rPr>
        <w:footnoteReference w:id="366"/>
      </w:r>
      <w:r w:rsidR="00C463FB" w:rsidRPr="009A60BE">
        <w:t xml:space="preserve"> </w:t>
      </w:r>
      <w:r w:rsidR="006C7D15">
        <w:t>f</w:t>
      </w:r>
      <w:r w:rsidR="00C463FB" w:rsidRPr="009A60BE">
        <w:t>our did not express a clear view on whether the model should be changed</w:t>
      </w:r>
      <w:r w:rsidR="00C463FB" w:rsidRPr="009A60BE">
        <w:rPr>
          <w:rStyle w:val="FootnoteReference"/>
        </w:rPr>
        <w:footnoteReference w:id="367"/>
      </w:r>
      <w:r w:rsidR="00C463FB" w:rsidRPr="009A60BE">
        <w:t xml:space="preserve"> and one supported having no hate crime law</w:t>
      </w:r>
      <w:r w:rsidR="00C463FB">
        <w:t xml:space="preserve"> of any kind</w:t>
      </w:r>
      <w:r w:rsidR="00C463FB" w:rsidRPr="009A60BE">
        <w:t>.</w:t>
      </w:r>
      <w:r w:rsidR="00C463FB" w:rsidRPr="009A60BE">
        <w:rPr>
          <w:rStyle w:val="FootnoteReference"/>
        </w:rPr>
        <w:footnoteReference w:id="368"/>
      </w:r>
      <w:r w:rsidR="00C463FB" w:rsidRPr="009A60BE">
        <w:t xml:space="preserve"> </w:t>
      </w:r>
    </w:p>
    <w:p w14:paraId="17371340" w14:textId="70095D1D" w:rsidR="009B5897" w:rsidRPr="00045FCC" w:rsidRDefault="009B5897" w:rsidP="00B57565">
      <w:pPr>
        <w:pStyle w:val="BodyText"/>
      </w:pPr>
      <w:r w:rsidRPr="00045FCC">
        <w:t xml:space="preserve">Notably, </w:t>
      </w:r>
      <w:r>
        <w:t>there was</w:t>
      </w:r>
      <w:r w:rsidR="00EE64C5">
        <w:t xml:space="preserve"> </w:t>
      </w:r>
      <w:r>
        <w:t xml:space="preserve">no consensus among </w:t>
      </w:r>
      <w:r w:rsidRPr="00045FCC">
        <w:t>submitters from communities affected by hate crime</w:t>
      </w:r>
      <w:r>
        <w:t xml:space="preserve"> on whether the legal model should be changed. Some of these submitters supported changing the legal model</w:t>
      </w:r>
      <w:r>
        <w:rPr>
          <w:rStyle w:val="FootnoteReference"/>
        </w:rPr>
        <w:footnoteReference w:id="369"/>
      </w:r>
      <w:r>
        <w:t xml:space="preserve"> while others did not.</w:t>
      </w:r>
      <w:r w:rsidRPr="00045FCC">
        <w:rPr>
          <w:vertAlign w:val="superscript"/>
        </w:rPr>
        <w:footnoteReference w:id="370"/>
      </w:r>
      <w:r>
        <w:t xml:space="preserve"> Some </w:t>
      </w:r>
      <w:r w:rsidRPr="00045FCC">
        <w:t xml:space="preserve">were sceptical that creating hate crime offences is the best way to deal with hate crime </w:t>
      </w:r>
      <w:r>
        <w:t>and</w:t>
      </w:r>
      <w:r w:rsidRPr="00045FCC">
        <w:t xml:space="preserve"> preferred to focus on addressing </w:t>
      </w:r>
      <w:r>
        <w:t>its causes</w:t>
      </w:r>
      <w:r w:rsidRPr="00045FCC">
        <w:t xml:space="preserve"> and reducing its impacts through education, rehabilitation and community support.</w:t>
      </w:r>
    </w:p>
    <w:p w14:paraId="36EA3446" w14:textId="77ADF9B1" w:rsidR="009B5897" w:rsidRPr="00045FCC" w:rsidRDefault="009B5897" w:rsidP="00B57565">
      <w:pPr>
        <w:pStyle w:val="BodyText"/>
      </w:pPr>
      <w:r w:rsidRPr="00045FCC">
        <w:t xml:space="preserve">Of the legal professional organisations, prosecutors and defence lawyers who submitted, only </w:t>
      </w:r>
      <w:r>
        <w:t>T</w:t>
      </w:r>
      <w:r w:rsidRPr="00045FCC">
        <w:t xml:space="preserve">he Law Association </w:t>
      </w:r>
      <w:r>
        <w:t>of New Zealand</w:t>
      </w:r>
      <w:r w:rsidRPr="00045FCC">
        <w:t xml:space="preserve"> Criminal Law Committee supported changing the legal model (to the Scottish hybrid model). </w:t>
      </w:r>
      <w:r w:rsidR="00E56B10">
        <w:t>However,</w:t>
      </w:r>
      <w:r>
        <w:t xml:space="preserve"> when we later consulted </w:t>
      </w:r>
      <w:r w:rsidR="008F42CC">
        <w:t>that Committee</w:t>
      </w:r>
      <w:r>
        <w:t xml:space="preserve"> on our </w:t>
      </w:r>
      <w:r w:rsidR="00D4233A">
        <w:t>proposed</w:t>
      </w:r>
      <w:r>
        <w:t xml:space="preserve"> recommendations, it agreed with them and said they would </w:t>
      </w:r>
      <w:r w:rsidRPr="005724CE">
        <w:t xml:space="preserve">address many of </w:t>
      </w:r>
      <w:r w:rsidR="008F42CC">
        <w:t>its</w:t>
      </w:r>
      <w:r>
        <w:t xml:space="preserve"> concerns about the operation of the current law. </w:t>
      </w:r>
      <w:r w:rsidRPr="00530D57">
        <w:t>Te Kāhui Ture o Aotearoa | New Zealand Law Society</w:t>
      </w:r>
      <w:r w:rsidRPr="00045FCC">
        <w:t xml:space="preserve">, </w:t>
      </w:r>
      <w:r>
        <w:t>T</w:t>
      </w:r>
      <w:r w:rsidRPr="00045FCC">
        <w:t xml:space="preserve">he Law Association </w:t>
      </w:r>
      <w:r>
        <w:t xml:space="preserve">of New Zealand </w:t>
      </w:r>
      <w:r w:rsidRPr="00045FCC">
        <w:t xml:space="preserve">Public and Administrative Law Committee, </w:t>
      </w:r>
      <w:r w:rsidRPr="00624D6D">
        <w:t>Ratonga Wawao ā-</w:t>
      </w:r>
      <w:r w:rsidR="001004FC">
        <w:t xml:space="preserve">Ture </w:t>
      </w:r>
      <w:r w:rsidRPr="00624D6D">
        <w:t>Tūmatanui |</w:t>
      </w:r>
      <w:r w:rsidRPr="00045FCC">
        <w:t xml:space="preserve"> Public Defence Service and Luke Cunni</w:t>
      </w:r>
      <w:r>
        <w:t>n</w:t>
      </w:r>
      <w:r w:rsidRPr="00045FCC">
        <w:t xml:space="preserve">gham Clere (the Wellington Crown Solicitor) did not </w:t>
      </w:r>
      <w:r>
        <w:t xml:space="preserve">think there was sufficient reason to </w:t>
      </w:r>
      <w:r w:rsidRPr="00045FCC">
        <w:t>chang</w:t>
      </w:r>
      <w:r>
        <w:t>e</w:t>
      </w:r>
      <w:r w:rsidRPr="00045FCC">
        <w:t xml:space="preserve"> the legal model. </w:t>
      </w:r>
      <w:r w:rsidRPr="00530D57">
        <w:t>Te Tari Ture o te Karauna | Crown Law</w:t>
      </w:r>
      <w:r w:rsidRPr="00045FCC">
        <w:t xml:space="preserve"> and </w:t>
      </w:r>
      <w:r>
        <w:t xml:space="preserve">members of </w:t>
      </w:r>
      <w:r w:rsidR="00372790" w:rsidRPr="00F176FE">
        <w:t xml:space="preserve">Te Hunga Rōia Māori o Aotearoa </w:t>
      </w:r>
      <w:r w:rsidR="00372790">
        <w:t xml:space="preserve">| </w:t>
      </w:r>
      <w:r w:rsidR="00372790" w:rsidRPr="002F4592">
        <w:t xml:space="preserve">the Māori Law Society </w:t>
      </w:r>
      <w:r w:rsidRPr="00045FCC">
        <w:t>did not take a position, although Crown Law did question the need for</w:t>
      </w:r>
      <w:r w:rsidR="00CD7086">
        <w:t>,</w:t>
      </w:r>
      <w:r w:rsidRPr="00045FCC">
        <w:t xml:space="preserve"> and practicalities of</w:t>
      </w:r>
      <w:r w:rsidR="00CD7086">
        <w:t>,</w:t>
      </w:r>
      <w:r w:rsidRPr="00045FCC">
        <w:t xml:space="preserve"> hate crime offences.</w:t>
      </w:r>
      <w:r>
        <w:t xml:space="preserve"> Among the members of our Technical Advisory Group for this review, none disagreed with our approach of retaining the sentence aggravation model.</w:t>
      </w:r>
    </w:p>
    <w:p w14:paraId="51E439D8" w14:textId="468AE8DE" w:rsidR="009B5897" w:rsidRDefault="009B5897" w:rsidP="00B57565">
      <w:pPr>
        <w:pStyle w:val="BodyText"/>
      </w:pPr>
      <w:r w:rsidRPr="00045FCC">
        <w:t xml:space="preserve">The organisations and people we spoke </w:t>
      </w:r>
      <w:r w:rsidR="00CA624B">
        <w:t>with</w:t>
      </w:r>
      <w:r w:rsidRPr="00045FCC">
        <w:t xml:space="preserve"> during consultation also had mixed views on whether the legal model should be changed. As with submitters, there was no consensus among organisations representing affected communities </w:t>
      </w:r>
      <w:r>
        <w:t>on whether</w:t>
      </w:r>
      <w:r w:rsidRPr="00045FCC">
        <w:t xml:space="preserve"> changing the legal model would have a positive impact. Some thought creating offences would encourage </w:t>
      </w:r>
      <w:r w:rsidR="001D20C2" w:rsidRPr="001D20C2">
        <w:t xml:space="preserve">Ngā Pirihimana o Aotearoa | New Zealand Police </w:t>
      </w:r>
      <w:r w:rsidRPr="00045FCC">
        <w:t xml:space="preserve">and the courts to treat hate crime more seriously and </w:t>
      </w:r>
      <w:r>
        <w:t xml:space="preserve">would </w:t>
      </w:r>
      <w:r w:rsidRPr="00045FCC">
        <w:t xml:space="preserve">act as a deterrent. Others were not convinced that changing the legal model was necessary, would address the underlying causes of hate crime or would lead to significant changes in how </w:t>
      </w:r>
      <w:r>
        <w:t>hate crime</w:t>
      </w:r>
      <w:r w:rsidRPr="00045FCC">
        <w:t xml:space="preserve"> </w:t>
      </w:r>
      <w:r>
        <w:t>is</w:t>
      </w:r>
      <w:r w:rsidRPr="00045FCC">
        <w:t xml:space="preserve"> dealt with in practice.</w:t>
      </w:r>
    </w:p>
    <w:p w14:paraId="3B8BFA32" w14:textId="77777777" w:rsidR="009B5897" w:rsidRDefault="009B5897" w:rsidP="00570390">
      <w:pPr>
        <w:pStyle w:val="Heading3"/>
      </w:pPr>
      <w:r>
        <w:t>Advantages of changing the legal model</w:t>
      </w:r>
    </w:p>
    <w:p w14:paraId="040A2B22" w14:textId="45F4897D" w:rsidR="009B5897" w:rsidRDefault="009B5897" w:rsidP="00B57565">
      <w:pPr>
        <w:pStyle w:val="BodyText"/>
      </w:pPr>
      <w:r w:rsidRPr="00D704EB">
        <w:t xml:space="preserve">Submitters who supported </w:t>
      </w:r>
      <w:r>
        <w:t>changing the legal model</w:t>
      </w:r>
      <w:r w:rsidRPr="00D704EB">
        <w:t xml:space="preserve"> thought </w:t>
      </w:r>
      <w:r>
        <w:t>this</w:t>
      </w:r>
      <w:r w:rsidRPr="00D704EB">
        <w:t xml:space="preserve"> would have the following advantages</w:t>
      </w:r>
      <w:r w:rsidR="00E027B1">
        <w:t>:</w:t>
      </w:r>
    </w:p>
    <w:p w14:paraId="54B17905" w14:textId="13641E62" w:rsidR="009B5897" w:rsidRDefault="00B114E8" w:rsidP="009B5897">
      <w:pPr>
        <w:pStyle w:val="BodyTextalphalist"/>
        <w:tabs>
          <w:tab w:val="left" w:pos="709"/>
          <w:tab w:val="num" w:pos="5416"/>
        </w:tabs>
      </w:pPr>
      <w:r>
        <w:t>Improved r</w:t>
      </w:r>
      <w:r w:rsidR="009B5897" w:rsidRPr="006A608D">
        <w:t>ecording and monitoring of hate crime.</w:t>
      </w:r>
      <w:r w:rsidR="009B5897" w:rsidRPr="006A608D">
        <w:rPr>
          <w:vertAlign w:val="superscript"/>
        </w:rPr>
        <w:footnoteReference w:id="371"/>
      </w:r>
      <w:r w:rsidR="009B5897" w:rsidRPr="00D704EB">
        <w:t xml:space="preserve"> Submitters thought hate crime offences would have practical benefits </w:t>
      </w:r>
      <w:r w:rsidR="009B5897">
        <w:t xml:space="preserve">by allowing identification of hate crime offenders and </w:t>
      </w:r>
      <w:r w:rsidR="009B5897" w:rsidRPr="00D704EB">
        <w:t xml:space="preserve">more systematic collection of data. </w:t>
      </w:r>
      <w:r w:rsidR="009B5897">
        <w:t>Identifying offenders could assist agencies in addressing their behaviour after conviction and monitoring radicalisation risk.</w:t>
      </w:r>
    </w:p>
    <w:p w14:paraId="377C88A9" w14:textId="77777777" w:rsidR="009B5897" w:rsidRPr="00D54FD4" w:rsidRDefault="009B5897" w:rsidP="009B5897">
      <w:pPr>
        <w:pStyle w:val="BodyTextalphalist"/>
        <w:tabs>
          <w:tab w:val="left" w:pos="709"/>
          <w:tab w:val="num" w:pos="5416"/>
        </w:tabs>
      </w:pPr>
      <w:r w:rsidRPr="00D54FD4">
        <w:t>More consistent investigation and prosecution of hate crimes.</w:t>
      </w:r>
      <w:r w:rsidRPr="00D54FD4">
        <w:rPr>
          <w:vertAlign w:val="superscript"/>
        </w:rPr>
        <w:footnoteReference w:id="372"/>
      </w:r>
      <w:r w:rsidRPr="00D54FD4">
        <w:t xml:space="preserve"> Submitters suggested that, if hostile motivation was an element of offences, Police and prosecutors would be more aware of it and incentivised to address it in investigations and prosecutions. </w:t>
      </w:r>
    </w:p>
    <w:p w14:paraId="4E635062" w14:textId="19F4B646" w:rsidR="00DF3140" w:rsidRPr="006A608D" w:rsidRDefault="00DF3140" w:rsidP="00DF3140">
      <w:pPr>
        <w:pStyle w:val="BodyTextalphalist"/>
        <w:tabs>
          <w:tab w:val="left" w:pos="709"/>
          <w:tab w:val="num" w:pos="5416"/>
        </w:tabs>
      </w:pPr>
      <w:r w:rsidRPr="006A608D">
        <w:t>Denunciation and recognition of harm.</w:t>
      </w:r>
      <w:r w:rsidRPr="006A608D">
        <w:rPr>
          <w:vertAlign w:val="superscript"/>
        </w:rPr>
        <w:footnoteReference w:id="373"/>
      </w:r>
      <w:r w:rsidRPr="00D704EB">
        <w:t xml:space="preserve"> Submitters thought </w:t>
      </w:r>
      <w:r>
        <w:t>changing the legal model</w:t>
      </w:r>
      <w:r w:rsidRPr="00D704EB">
        <w:t xml:space="preserve"> would reassure communities, provide accountability for harm suffered and send a message that hate crime is not tolerated by the </w:t>
      </w:r>
      <w:r>
        <w:t>public</w:t>
      </w:r>
      <w:r w:rsidRPr="00D704EB">
        <w:t xml:space="preserve">. Some thought this </w:t>
      </w:r>
      <w:r>
        <w:t>w</w:t>
      </w:r>
      <w:r w:rsidRPr="00D704EB">
        <w:t xml:space="preserve">ould also help to encourage reporting of hate crimes. </w:t>
      </w:r>
    </w:p>
    <w:p w14:paraId="3F939F0D" w14:textId="77777777" w:rsidR="009B5897" w:rsidRPr="00D54FD4" w:rsidRDefault="009B5897" w:rsidP="009B5897">
      <w:pPr>
        <w:pStyle w:val="BodyTextalphalist"/>
        <w:tabs>
          <w:tab w:val="left" w:pos="709"/>
          <w:tab w:val="num" w:pos="5416"/>
        </w:tabs>
      </w:pPr>
      <w:r w:rsidRPr="00D54FD4">
        <w:t>Fairness to the defendant.</w:t>
      </w:r>
      <w:r w:rsidRPr="00D54FD4">
        <w:rPr>
          <w:vertAlign w:val="superscript"/>
        </w:rPr>
        <w:footnoteReference w:id="374"/>
      </w:r>
      <w:r w:rsidRPr="00D54FD4">
        <w:t xml:space="preserve"> One submitter suggested changing the legal model would provide clarity to a defendant about the nature of the offending of which they are accused, since the prosecution would be required to prove hostile motivation at trial.</w:t>
      </w:r>
    </w:p>
    <w:p w14:paraId="1D497F88" w14:textId="05F8DAA8" w:rsidR="009B5897" w:rsidRPr="00045FCC" w:rsidRDefault="009B5897" w:rsidP="00B57565">
      <w:pPr>
        <w:pStyle w:val="BodyText"/>
      </w:pPr>
      <w:r w:rsidRPr="00045FCC">
        <w:t xml:space="preserve">Submitters who favoured </w:t>
      </w:r>
      <w:r w:rsidR="008306E9">
        <w:t xml:space="preserve">the </w:t>
      </w:r>
      <w:r w:rsidRPr="00045FCC">
        <w:t>specific hate crime offence</w:t>
      </w:r>
      <w:r w:rsidR="008306E9">
        <w:t xml:space="preserve"> model</w:t>
      </w:r>
      <w:r w:rsidRPr="00045FCC">
        <w:t xml:space="preserve"> (</w:t>
      </w:r>
      <w:r w:rsidR="00035766">
        <w:t>five</w:t>
      </w:r>
      <w:r w:rsidRPr="00045FCC">
        <w:t xml:space="preserve"> submitters),</w:t>
      </w:r>
      <w:r w:rsidRPr="00045FCC">
        <w:rPr>
          <w:rStyle w:val="FootnoteReference"/>
        </w:rPr>
        <w:footnoteReference w:id="375"/>
      </w:r>
      <w:r w:rsidRPr="00045FCC">
        <w:t xml:space="preserve"> those who favoured the Scottish hybrid model (</w:t>
      </w:r>
      <w:r w:rsidR="00035766">
        <w:t>five</w:t>
      </w:r>
      <w:r w:rsidRPr="00045FCC">
        <w:t xml:space="preserve"> submitters)</w:t>
      </w:r>
      <w:r w:rsidRPr="00045FCC">
        <w:rPr>
          <w:rStyle w:val="FootnoteReference"/>
        </w:rPr>
        <w:footnoteReference w:id="376"/>
      </w:r>
      <w:r w:rsidRPr="00045FCC">
        <w:t xml:space="preserve"> and those who did not express a clear preference </w:t>
      </w:r>
      <w:r>
        <w:t xml:space="preserve">between the two </w:t>
      </w:r>
      <w:r w:rsidRPr="00045FCC">
        <w:t>(</w:t>
      </w:r>
      <w:r w:rsidR="00035766">
        <w:t>nine</w:t>
      </w:r>
      <w:r w:rsidRPr="00045FCC">
        <w:t xml:space="preserve"> submitters)</w:t>
      </w:r>
      <w:r w:rsidRPr="00045FCC">
        <w:rPr>
          <w:rStyle w:val="FootnoteReference"/>
        </w:rPr>
        <w:footnoteReference w:id="377"/>
      </w:r>
      <w:r w:rsidRPr="00045FCC">
        <w:t xml:space="preserve"> all gave similar reasons.</w:t>
      </w:r>
    </w:p>
    <w:p w14:paraId="27AE34A9" w14:textId="318536EE" w:rsidR="009B5897" w:rsidRPr="00D54FD4" w:rsidRDefault="009B5897" w:rsidP="00B57565">
      <w:pPr>
        <w:pStyle w:val="BodyText"/>
      </w:pPr>
      <w:r w:rsidRPr="00D54FD4">
        <w:t>Some submitters and people we spoke</w:t>
      </w:r>
      <w:r w:rsidR="00EE64C5">
        <w:t xml:space="preserve"> </w:t>
      </w:r>
      <w:r w:rsidR="00636176">
        <w:t>with</w:t>
      </w:r>
      <w:r w:rsidRPr="00D54FD4">
        <w:t xml:space="preserve"> were not convinced about these advantages. For example, the Public Defence Service and Luke Cunningham Clere were sceptical that a different model would make much difference to a person’s choice to report hate crime or</w:t>
      </w:r>
      <w:r w:rsidR="00E862B9" w:rsidRPr="00D54FD4">
        <w:t xml:space="preserve"> </w:t>
      </w:r>
      <w:r w:rsidR="00416D68" w:rsidRPr="00D54FD4">
        <w:t>Police</w:t>
      </w:r>
      <w:r w:rsidRPr="00D54FD4">
        <w:t>’</w:t>
      </w:r>
      <w:r w:rsidR="00416D68" w:rsidRPr="00D54FD4">
        <w:t>s</w:t>
      </w:r>
      <w:r w:rsidRPr="00D54FD4">
        <w:t xml:space="preserve"> inclination to investigate and prosecute it. They pointed out that low reporting rates are not limited to hate crimes and that low reporting is related to a perception that the behaviour being complained about is trivial and Police will not be interested. They questioned if those attitudes would change with a different model in place. </w:t>
      </w:r>
    </w:p>
    <w:p w14:paraId="61271055" w14:textId="1B8321E3" w:rsidR="009B5897" w:rsidRPr="00D54FD4" w:rsidRDefault="009B5897" w:rsidP="00B57565">
      <w:pPr>
        <w:pStyle w:val="BodyText"/>
      </w:pPr>
      <w:r w:rsidRPr="00D54FD4">
        <w:t xml:space="preserve">The Public Defence Service also questioned whether </w:t>
      </w:r>
      <w:r w:rsidR="0062351B" w:rsidRPr="00D54FD4">
        <w:t>an alternative model</w:t>
      </w:r>
      <w:r w:rsidRPr="00D54FD4">
        <w:t xml:space="preserve"> would be any fairer to defendants than the sentence aggravation model. It noted that section 24 of the Sentencing Act already requires the prosecution to prove any disputed fact it relies on at sentencing beyond reasonable doubt. </w:t>
      </w:r>
    </w:p>
    <w:p w14:paraId="32AA7E06" w14:textId="77777777" w:rsidR="009B5897" w:rsidRDefault="009B5897" w:rsidP="00570390">
      <w:pPr>
        <w:pStyle w:val="Heading3"/>
      </w:pPr>
      <w:r>
        <w:t>Disadvantages of changing the legal model</w:t>
      </w:r>
    </w:p>
    <w:p w14:paraId="51B16A4B" w14:textId="64089545" w:rsidR="009B5897" w:rsidRDefault="009B5897" w:rsidP="00B57565">
      <w:pPr>
        <w:pStyle w:val="BodyText"/>
      </w:pPr>
      <w:r>
        <w:t>Some</w:t>
      </w:r>
      <w:r w:rsidRPr="00D704EB">
        <w:t xml:space="preserve"> submitters highlighted potential disadvantages of </w:t>
      </w:r>
      <w:r>
        <w:t>the alternative legal models. They said changing the legal model</w:t>
      </w:r>
      <w:r w:rsidRPr="00D704EB">
        <w:t xml:space="preserve"> </w:t>
      </w:r>
      <w:r w:rsidR="000B0277">
        <w:t>w</w:t>
      </w:r>
      <w:r>
        <w:t>ould</w:t>
      </w:r>
      <w:r w:rsidR="000049AB">
        <w:t xml:space="preserve"> have several effects</w:t>
      </w:r>
      <w:r w:rsidRPr="00D704EB">
        <w:t>:</w:t>
      </w:r>
    </w:p>
    <w:p w14:paraId="1E47AF57" w14:textId="02EE4124" w:rsidR="009B5897" w:rsidRPr="00D704EB" w:rsidRDefault="009B5897" w:rsidP="009B5897">
      <w:pPr>
        <w:pStyle w:val="BodyTextalphalist"/>
      </w:pPr>
      <w:r w:rsidRPr="000410AA">
        <w:t>Increase</w:t>
      </w:r>
      <w:r>
        <w:t xml:space="preserve"> the</w:t>
      </w:r>
      <w:r w:rsidRPr="000410AA">
        <w:t xml:space="preserve"> complexity and cost</w:t>
      </w:r>
      <w:r>
        <w:t xml:space="preserve"> of court proceedings</w:t>
      </w:r>
      <w:r w:rsidRPr="000410AA">
        <w:t>.</w:t>
      </w:r>
      <w:r w:rsidRPr="000410AA">
        <w:rPr>
          <w:vertAlign w:val="superscript"/>
        </w:rPr>
        <w:footnoteReference w:id="378"/>
      </w:r>
      <w:r w:rsidRPr="00556D92">
        <w:rPr>
          <w:b/>
          <w:bCs/>
        </w:rPr>
        <w:t xml:space="preserve"> </w:t>
      </w:r>
      <w:r w:rsidRPr="00D704EB">
        <w:t xml:space="preserve">Some submitters, including Crown Law and Luke Cunningham Clere, were concerned that </w:t>
      </w:r>
      <w:r>
        <w:t>making hostility an element of offence</w:t>
      </w:r>
      <w:r w:rsidR="00E67A1B">
        <w:t>s</w:t>
      </w:r>
      <w:r w:rsidRPr="00D704EB">
        <w:t xml:space="preserve"> would place a significant additional burden on the prosecution at trial and increase trial time spent resolving evidential issues. </w:t>
      </w:r>
    </w:p>
    <w:p w14:paraId="3F1E6C41" w14:textId="77777777" w:rsidR="009B5897" w:rsidRPr="00D704EB" w:rsidRDefault="009B5897" w:rsidP="009B5897">
      <w:pPr>
        <w:pStyle w:val="BodyTextalphalist"/>
      </w:pPr>
      <w:r>
        <w:t>Lead to inconsistent enforcement of the law</w:t>
      </w:r>
      <w:r w:rsidRPr="00011D46">
        <w:t>.</w:t>
      </w:r>
      <w:r w:rsidRPr="00011D46">
        <w:rPr>
          <w:vertAlign w:val="superscript"/>
        </w:rPr>
        <w:footnoteReference w:id="379"/>
      </w:r>
      <w:r w:rsidRPr="00D704EB">
        <w:rPr>
          <w:b/>
          <w:bCs/>
        </w:rPr>
        <w:t xml:space="preserve"> </w:t>
      </w:r>
      <w:r w:rsidRPr="00D704EB">
        <w:t xml:space="preserve">Both Crown Law and Luke Cunningham Clere thought </w:t>
      </w:r>
      <w:r>
        <w:t>the prosecution</w:t>
      </w:r>
      <w:r w:rsidRPr="00D704EB">
        <w:t xml:space="preserve"> might prefer to charge defendants with </w:t>
      </w:r>
      <w:r>
        <w:t>the base offence (that is, the equivalent offence without the hostility element)</w:t>
      </w:r>
      <w:r w:rsidRPr="00D704EB">
        <w:t xml:space="preserve"> in some cases to avoid the increased complexity and cost referred to above.</w:t>
      </w:r>
    </w:p>
    <w:p w14:paraId="0D2BD6AD" w14:textId="7AAE8D02" w:rsidR="009B5897" w:rsidRPr="00D704EB" w:rsidRDefault="009B5897" w:rsidP="009B5897">
      <w:pPr>
        <w:pStyle w:val="BodyTextalphalist"/>
      </w:pPr>
      <w:r>
        <w:t>Erode</w:t>
      </w:r>
      <w:r w:rsidRPr="00011D46">
        <w:t xml:space="preserve"> rights to freedom of expression and thought.</w:t>
      </w:r>
      <w:r w:rsidRPr="00011D46">
        <w:rPr>
          <w:vertAlign w:val="superscript"/>
        </w:rPr>
        <w:footnoteReference w:id="380"/>
      </w:r>
      <w:r w:rsidRPr="00D704EB">
        <w:rPr>
          <w:b/>
          <w:bCs/>
        </w:rPr>
        <w:t xml:space="preserve"> </w:t>
      </w:r>
      <w:r w:rsidRPr="00D704EB">
        <w:t xml:space="preserve">Submitters expressed concern that making </w:t>
      </w:r>
      <w:r>
        <w:t>hostile</w:t>
      </w:r>
      <w:r w:rsidRPr="00D704EB">
        <w:t xml:space="preserve"> motivation an element of an offence could have a chilling effect on the free expression of opinions </w:t>
      </w:r>
      <w:r>
        <w:t>and punish people for their thoughts and beliefs</w:t>
      </w:r>
      <w:r w:rsidRPr="00D704EB">
        <w:t xml:space="preserve">. Submitters were also concerned that enforcement based on a subjective assessment of a person’s motives could be (or at least </w:t>
      </w:r>
      <w:r w:rsidR="007C118D">
        <w:t xml:space="preserve">be </w:t>
      </w:r>
      <w:r w:rsidRPr="00D704EB">
        <w:t xml:space="preserve">perceived to be) selective and unfair </w:t>
      </w:r>
      <w:r w:rsidR="00A57F3E">
        <w:t xml:space="preserve">as it </w:t>
      </w:r>
      <w:r w:rsidR="00A10CAF">
        <w:t>c</w:t>
      </w:r>
      <w:r w:rsidR="00746F94">
        <w:t xml:space="preserve">ould be </w:t>
      </w:r>
      <w:r w:rsidRPr="00D704EB">
        <w:t>influenced by the ideological biases of decision-makers. T</w:t>
      </w:r>
      <w:r w:rsidR="000F494E">
        <w:t>hey said t</w:t>
      </w:r>
      <w:r w:rsidRPr="00D704EB">
        <w:t xml:space="preserve">his </w:t>
      </w:r>
      <w:r w:rsidR="00A34EAF">
        <w:t>w</w:t>
      </w:r>
      <w:r w:rsidRPr="00D704EB">
        <w:t>ould worsen, rather than improve, social cohesion.</w:t>
      </w:r>
    </w:p>
    <w:p w14:paraId="65D77540" w14:textId="3672DA41" w:rsidR="009B5897" w:rsidRPr="00D704EB" w:rsidRDefault="009B5897" w:rsidP="009B5897">
      <w:pPr>
        <w:pStyle w:val="BodyTextalphalist"/>
      </w:pPr>
      <w:r w:rsidRPr="004B3CA7">
        <w:t>Exacerbat</w:t>
      </w:r>
      <w:r>
        <w:t>e</w:t>
      </w:r>
      <w:r w:rsidRPr="004B3CA7">
        <w:t xml:space="preserve"> justice system inequities.</w:t>
      </w:r>
      <w:r w:rsidRPr="004B3CA7">
        <w:rPr>
          <w:vertAlign w:val="superscript"/>
        </w:rPr>
        <w:footnoteReference w:id="381"/>
      </w:r>
      <w:r w:rsidRPr="00D704EB">
        <w:rPr>
          <w:b/>
          <w:bCs/>
        </w:rPr>
        <w:t xml:space="preserve"> </w:t>
      </w:r>
      <w:r w:rsidRPr="00D704EB">
        <w:t>Submitters said</w:t>
      </w:r>
      <w:r w:rsidR="00FD07DF">
        <w:t xml:space="preserve"> it is likely</w:t>
      </w:r>
      <w:r w:rsidRPr="00D704EB">
        <w:t xml:space="preserve"> offences </w:t>
      </w:r>
      <w:r w:rsidR="00FD07DF">
        <w:t>would</w:t>
      </w:r>
      <w:r w:rsidRPr="00D704EB">
        <w:t xml:space="preserve"> be disproportionately enforced against minorities, lower socio-economic groups and Māori. This would be particularly problematic if higher maximum penalties were attached to the offences.</w:t>
      </w:r>
    </w:p>
    <w:p w14:paraId="15BA0041" w14:textId="5E52741A" w:rsidR="009B5897" w:rsidRDefault="009B5897" w:rsidP="009B5897">
      <w:pPr>
        <w:pStyle w:val="BodyTextalphalist"/>
      </w:pPr>
      <w:r w:rsidRPr="005F4284">
        <w:t>Have a detrimental impact on victims.</w:t>
      </w:r>
      <w:r w:rsidRPr="00D704EB">
        <w:rPr>
          <w:b/>
          <w:bCs/>
        </w:rPr>
        <w:t xml:space="preserve"> </w:t>
      </w:r>
      <w:r w:rsidRPr="00D704EB">
        <w:t xml:space="preserve">One submitter suggested the evidential requirements to prove </w:t>
      </w:r>
      <w:r>
        <w:t>hostile</w:t>
      </w:r>
      <w:r w:rsidRPr="00D704EB">
        <w:t xml:space="preserve"> motivation at trial would increase the burden on victims, which could lead to fewer offences being reported or successfully prosecuted.</w:t>
      </w:r>
      <w:r w:rsidRPr="00D704EB">
        <w:rPr>
          <w:vertAlign w:val="superscript"/>
        </w:rPr>
        <w:footnoteReference w:id="382"/>
      </w:r>
      <w:r w:rsidRPr="00D704EB">
        <w:t xml:space="preserve"> </w:t>
      </w:r>
      <w:r>
        <w:t>This concern was shared by o</w:t>
      </w:r>
      <w:r w:rsidRPr="00D704EB">
        <w:t xml:space="preserve">ne of the organisations we spoke </w:t>
      </w:r>
      <w:r w:rsidR="00DE3C9D">
        <w:t>with</w:t>
      </w:r>
      <w:r w:rsidR="00DE3C9D" w:rsidRPr="00D704EB">
        <w:t xml:space="preserve"> </w:t>
      </w:r>
      <w:r w:rsidRPr="00D704EB">
        <w:t>during consultation</w:t>
      </w:r>
      <w:r>
        <w:t xml:space="preserve"> (which did not make a submission).</w:t>
      </w:r>
    </w:p>
    <w:p w14:paraId="6BAB6D8D" w14:textId="0B0A4BB5" w:rsidR="0071365C" w:rsidRPr="009E3237" w:rsidRDefault="00E9075B" w:rsidP="0071365C">
      <w:pPr>
        <w:pStyle w:val="Heading3"/>
      </w:pPr>
      <w:r>
        <w:t>Reasons to keep</w:t>
      </w:r>
      <w:r w:rsidR="0071365C">
        <w:t xml:space="preserve"> the sentence aggravation model</w:t>
      </w:r>
    </w:p>
    <w:p w14:paraId="2A96B136" w14:textId="285AB71A" w:rsidR="0071365C" w:rsidRDefault="0071365C" w:rsidP="00B57565">
      <w:pPr>
        <w:pStyle w:val="BodyText"/>
      </w:pPr>
      <w:r w:rsidRPr="00045FCC">
        <w:t>The</w:t>
      </w:r>
      <w:r w:rsidR="00981BC8">
        <w:t>se were the</w:t>
      </w:r>
      <w:r w:rsidRPr="00045FCC">
        <w:t xml:space="preserve"> main reasons submitters gave for keeping the sentence aggravation model:</w:t>
      </w:r>
    </w:p>
    <w:p w14:paraId="7219292D" w14:textId="77777777" w:rsidR="0071365C" w:rsidRPr="00045FCC" w:rsidRDefault="0071365C" w:rsidP="0071365C">
      <w:pPr>
        <w:pStyle w:val="BodyTextalphalist"/>
        <w:tabs>
          <w:tab w:val="left" w:pos="709"/>
          <w:tab w:val="num" w:pos="5416"/>
        </w:tabs>
      </w:pPr>
      <w:r w:rsidRPr="00045FCC">
        <w:t>The sentence aggravation model is either a sufficient or the preferable way to address hate crime in the law.</w:t>
      </w:r>
      <w:r w:rsidRPr="00045FCC">
        <w:rPr>
          <w:vertAlign w:val="superscript"/>
        </w:rPr>
        <w:footnoteReference w:id="383"/>
      </w:r>
      <w:r w:rsidRPr="00045FCC">
        <w:t xml:space="preserve"> </w:t>
      </w:r>
    </w:p>
    <w:p w14:paraId="4A4D84E7" w14:textId="77777777" w:rsidR="0071365C" w:rsidRPr="00045FCC" w:rsidRDefault="0071365C" w:rsidP="0071365C">
      <w:pPr>
        <w:pStyle w:val="BodyTextalphalist"/>
        <w:tabs>
          <w:tab w:val="left" w:pos="709"/>
          <w:tab w:val="num" w:pos="5416"/>
        </w:tabs>
      </w:pPr>
      <w:r w:rsidRPr="00045FCC">
        <w:t xml:space="preserve">Any issues with how the law is working </w:t>
      </w:r>
      <w:r>
        <w:t>can</w:t>
      </w:r>
      <w:r w:rsidRPr="00045FCC">
        <w:t xml:space="preserve"> be addressed through changes to practice and procedure or amendments to the existing law.</w:t>
      </w:r>
      <w:r w:rsidRPr="00045FCC">
        <w:rPr>
          <w:vertAlign w:val="superscript"/>
        </w:rPr>
        <w:footnoteReference w:id="384"/>
      </w:r>
    </w:p>
    <w:p w14:paraId="1AF07EF1" w14:textId="77777777" w:rsidR="0071365C" w:rsidRPr="00045FCC" w:rsidRDefault="0071365C" w:rsidP="0071365C">
      <w:pPr>
        <w:pStyle w:val="BodyTextalphalist"/>
        <w:tabs>
          <w:tab w:val="left" w:pos="709"/>
          <w:tab w:val="num" w:pos="5416"/>
        </w:tabs>
      </w:pPr>
      <w:r w:rsidRPr="00045FCC">
        <w:t>No compelling reasons have been identified for changing the legal model.</w:t>
      </w:r>
      <w:r w:rsidRPr="00045FCC">
        <w:rPr>
          <w:vertAlign w:val="superscript"/>
        </w:rPr>
        <w:footnoteReference w:id="385"/>
      </w:r>
    </w:p>
    <w:p w14:paraId="1742A20B" w14:textId="77777777" w:rsidR="0071365C" w:rsidRPr="00045FCC" w:rsidRDefault="0071365C" w:rsidP="0071365C">
      <w:pPr>
        <w:pStyle w:val="BodyTextalphalist"/>
        <w:tabs>
          <w:tab w:val="left" w:pos="709"/>
          <w:tab w:val="num" w:pos="5416"/>
        </w:tabs>
      </w:pPr>
      <w:r w:rsidRPr="00045FCC">
        <w:t>The current law is generally working well.</w:t>
      </w:r>
      <w:r w:rsidRPr="00045FCC">
        <w:rPr>
          <w:vertAlign w:val="superscript"/>
        </w:rPr>
        <w:footnoteReference w:id="386"/>
      </w:r>
    </w:p>
    <w:p w14:paraId="724F4633" w14:textId="77777777" w:rsidR="0071365C" w:rsidRPr="00045FCC" w:rsidRDefault="0071365C" w:rsidP="0071365C">
      <w:pPr>
        <w:pStyle w:val="BodyTextalphalist"/>
        <w:tabs>
          <w:tab w:val="left" w:pos="709"/>
          <w:tab w:val="num" w:pos="5416"/>
        </w:tabs>
      </w:pPr>
      <w:r w:rsidRPr="00045FCC">
        <w:t>Changing the legal model would not solve the problems with how hate crime is dealt with.</w:t>
      </w:r>
      <w:r w:rsidRPr="00045FCC">
        <w:rPr>
          <w:vertAlign w:val="superscript"/>
        </w:rPr>
        <w:footnoteReference w:id="387"/>
      </w:r>
    </w:p>
    <w:p w14:paraId="66451A4C" w14:textId="77777777" w:rsidR="0071365C" w:rsidRPr="00045FCC" w:rsidRDefault="0071365C" w:rsidP="0071365C">
      <w:pPr>
        <w:pStyle w:val="BodyTextalphalist"/>
        <w:tabs>
          <w:tab w:val="left" w:pos="709"/>
          <w:tab w:val="num" w:pos="5416"/>
        </w:tabs>
      </w:pPr>
      <w:r w:rsidRPr="00045FCC">
        <w:t>Harsher penalties will not address the underlying causes of hate crime.</w:t>
      </w:r>
      <w:r w:rsidRPr="00045FCC">
        <w:rPr>
          <w:vertAlign w:val="superscript"/>
        </w:rPr>
        <w:footnoteReference w:id="388"/>
      </w:r>
      <w:r w:rsidRPr="00045FCC">
        <w:t xml:space="preserve"> Resources are better spent on prevention, rehabilitation and victim support.</w:t>
      </w:r>
    </w:p>
    <w:p w14:paraId="040EB48C" w14:textId="77777777" w:rsidR="0071365C" w:rsidRPr="00045FCC" w:rsidRDefault="0071365C" w:rsidP="0071365C">
      <w:pPr>
        <w:pStyle w:val="BodyTextalphalist"/>
        <w:tabs>
          <w:tab w:val="left" w:pos="709"/>
          <w:tab w:val="num" w:pos="5416"/>
        </w:tabs>
      </w:pPr>
      <w:r w:rsidRPr="00045FCC">
        <w:t>More information is needed about how hate crime is being dealt with throughout the justice process to assess how the current law is working.</w:t>
      </w:r>
      <w:r w:rsidRPr="00045FCC">
        <w:rPr>
          <w:vertAlign w:val="superscript"/>
        </w:rPr>
        <w:footnoteReference w:id="389"/>
      </w:r>
      <w:r w:rsidRPr="00045FCC">
        <w:t xml:space="preserve"> Changes to allow better data collection should occur first before any changes are made to the legal model.</w:t>
      </w:r>
    </w:p>
    <w:p w14:paraId="433117A8" w14:textId="77777777" w:rsidR="0071365C" w:rsidRDefault="0071365C" w:rsidP="00B57565">
      <w:pPr>
        <w:pStyle w:val="BodyText"/>
      </w:pPr>
      <w:r>
        <w:t>Some submitters identified specific advantages of the sentence aggravation model compared to the other models considered. They said the sentence aggravation model:</w:t>
      </w:r>
    </w:p>
    <w:p w14:paraId="4D6555BB" w14:textId="77777777" w:rsidR="0071365C" w:rsidRPr="00563B2F" w:rsidRDefault="0071365C" w:rsidP="0071365C">
      <w:pPr>
        <w:pStyle w:val="BodyTextalphalist"/>
        <w:tabs>
          <w:tab w:val="left" w:pos="709"/>
          <w:tab w:val="num" w:pos="5416"/>
        </w:tabs>
      </w:pPr>
      <w:r w:rsidRPr="00563B2F">
        <w:t>is more flexible than alternative approaches;</w:t>
      </w:r>
      <w:r w:rsidRPr="00563B2F">
        <w:rPr>
          <w:vertAlign w:val="superscript"/>
        </w:rPr>
        <w:footnoteReference w:id="390"/>
      </w:r>
      <w:r w:rsidRPr="00563B2F">
        <w:t xml:space="preserve"> </w:t>
      </w:r>
    </w:p>
    <w:p w14:paraId="4396CEA2" w14:textId="77777777" w:rsidR="0071365C" w:rsidRPr="00563B2F" w:rsidRDefault="0071365C" w:rsidP="0071365C">
      <w:pPr>
        <w:pStyle w:val="BodyTextalphalist"/>
        <w:tabs>
          <w:tab w:val="left" w:pos="709"/>
          <w:tab w:val="num" w:pos="5416"/>
        </w:tabs>
      </w:pPr>
      <w:r w:rsidRPr="00563B2F">
        <w:t xml:space="preserve">allows </w:t>
      </w:r>
      <w:r>
        <w:t>hostile</w:t>
      </w:r>
      <w:r w:rsidRPr="00563B2F">
        <w:t xml:space="preserve"> motivation to be considered in a way that protects individual rights (such as the right to freedom of expression);</w:t>
      </w:r>
      <w:r w:rsidRPr="00563B2F">
        <w:rPr>
          <w:vertAlign w:val="superscript"/>
        </w:rPr>
        <w:footnoteReference w:id="391"/>
      </w:r>
    </w:p>
    <w:p w14:paraId="0B8205AE" w14:textId="77777777" w:rsidR="0071365C" w:rsidRPr="00563B2F" w:rsidRDefault="0071365C" w:rsidP="0071365C">
      <w:pPr>
        <w:pStyle w:val="BodyTextalphalist"/>
        <w:tabs>
          <w:tab w:val="left" w:pos="709"/>
          <w:tab w:val="num" w:pos="5416"/>
        </w:tabs>
      </w:pPr>
      <w:r w:rsidRPr="00563B2F">
        <w:t>can apply to any offence;</w:t>
      </w:r>
      <w:r w:rsidRPr="00563B2F">
        <w:rPr>
          <w:vertAlign w:val="superscript"/>
        </w:rPr>
        <w:footnoteReference w:id="392"/>
      </w:r>
    </w:p>
    <w:p w14:paraId="16209C1C" w14:textId="77777777" w:rsidR="0071365C" w:rsidRPr="00563B2F" w:rsidRDefault="0071365C" w:rsidP="0071365C">
      <w:pPr>
        <w:pStyle w:val="BodyTextalphalist"/>
        <w:tabs>
          <w:tab w:val="left" w:pos="709"/>
          <w:tab w:val="num" w:pos="5416"/>
        </w:tabs>
      </w:pPr>
      <w:r w:rsidRPr="00563B2F">
        <w:t>satisfies the reasons to treat hate crimes differently from other crimes;</w:t>
      </w:r>
      <w:r w:rsidRPr="00563B2F">
        <w:rPr>
          <w:vertAlign w:val="superscript"/>
        </w:rPr>
        <w:footnoteReference w:id="393"/>
      </w:r>
      <w:r w:rsidRPr="00563B2F">
        <w:t xml:space="preserve"> and</w:t>
      </w:r>
    </w:p>
    <w:p w14:paraId="634C6B11" w14:textId="3C85AA23" w:rsidR="0071365C" w:rsidRDefault="0071365C" w:rsidP="00E56512">
      <w:pPr>
        <w:pStyle w:val="BodyTextalphalist"/>
        <w:tabs>
          <w:tab w:val="left" w:pos="709"/>
          <w:tab w:val="num" w:pos="5416"/>
        </w:tabs>
      </w:pPr>
      <w:r w:rsidRPr="00563B2F">
        <w:t>allows hate crimes to be recognised and denounced without creating additional legal barriers to prosecution that may be introduced by the creation of specific hate crimes.</w:t>
      </w:r>
      <w:r w:rsidRPr="00563B2F">
        <w:rPr>
          <w:vertAlign w:val="superscript"/>
        </w:rPr>
        <w:footnoteReference w:id="394"/>
      </w:r>
    </w:p>
    <w:p w14:paraId="5605A3A1" w14:textId="77777777" w:rsidR="00B57565" w:rsidRDefault="00B57565">
      <w:pPr>
        <w:spacing w:before="0" w:after="0" w:line="240" w:lineRule="auto"/>
        <w:rPr>
          <w:rFonts w:ascii="Metropolis" w:hAnsi="Metropolis"/>
          <w:b/>
          <w:caps/>
          <w:color w:val="5CA0B9"/>
          <w:sz w:val="22"/>
        </w:rPr>
      </w:pPr>
      <w:bookmarkStart w:id="130" w:name="_Toc231467841"/>
      <w:r>
        <w:br w:type="page"/>
      </w:r>
    </w:p>
    <w:p w14:paraId="019E1DC9" w14:textId="186AD8A3" w:rsidR="007B1B46" w:rsidRDefault="007B1B46" w:rsidP="00E56512">
      <w:pPr>
        <w:pStyle w:val="Heading2"/>
      </w:pPr>
      <w:r>
        <w:t>Addressing the problems with the current law</w:t>
      </w:r>
      <w:bookmarkEnd w:id="130"/>
    </w:p>
    <w:p w14:paraId="5D269820" w14:textId="12F932B8" w:rsidR="00B561DD" w:rsidRPr="0070534F" w:rsidRDefault="00900103" w:rsidP="00B57565">
      <w:pPr>
        <w:pStyle w:val="BodyText"/>
      </w:pPr>
      <w:r w:rsidRPr="0070534F">
        <w:t>In Chapter 4, we identified the following problems with the current law relating to hate crime in Aotearoa New Zealand:</w:t>
      </w:r>
    </w:p>
    <w:p w14:paraId="1F593621" w14:textId="11627827" w:rsidR="007512B1" w:rsidRPr="00836C4B" w:rsidRDefault="007512B1" w:rsidP="007512B1">
      <w:pPr>
        <w:pStyle w:val="BodyTextalphalist"/>
      </w:pPr>
      <w:r>
        <w:t>It</w:t>
      </w:r>
      <w:r w:rsidR="002B7E08">
        <w:t xml:space="preserve"> does not require the courts</w:t>
      </w:r>
      <w:r w:rsidR="001C314E">
        <w:t xml:space="preserve"> </w:t>
      </w:r>
      <w:r w:rsidR="001C314E" w:rsidRPr="00836C4B">
        <w:t xml:space="preserve">to communicate </w:t>
      </w:r>
      <w:r>
        <w:t xml:space="preserve">clearly </w:t>
      </w:r>
      <w:r w:rsidR="001C314E" w:rsidRPr="00836C4B">
        <w:t>to the public that an offence was a hate crime and that this makes it more serious.</w:t>
      </w:r>
      <w:r w:rsidR="001C314E">
        <w:t xml:space="preserve"> This means hate crimes may not be consistently denounced.</w:t>
      </w:r>
    </w:p>
    <w:p w14:paraId="32CBA900" w14:textId="3CA98DD6" w:rsidR="00141736" w:rsidRPr="00141736" w:rsidRDefault="00141736" w:rsidP="001C314E">
      <w:pPr>
        <w:pStyle w:val="BodyTextalphalist"/>
      </w:pPr>
      <w:r w:rsidRPr="002821B8">
        <w:rPr>
          <w:rFonts w:eastAsia="Calibri"/>
          <w:lang w:eastAsia="en-US"/>
        </w:rPr>
        <w:t xml:space="preserve">It does not </w:t>
      </w:r>
      <w:r w:rsidRPr="002821B8">
        <w:rPr>
          <w:rFonts w:eastAsia="Calibri"/>
        </w:rPr>
        <w:t>provide</w:t>
      </w:r>
      <w:r w:rsidRPr="002821B8">
        <w:rPr>
          <w:rFonts w:eastAsia="Calibri"/>
          <w:lang w:eastAsia="en-US"/>
        </w:rPr>
        <w:t xml:space="preserve"> a mechanism for systematically documenting court findings that an offence was motivated by hostility.</w:t>
      </w:r>
      <w:r>
        <w:rPr>
          <w:rFonts w:eastAsia="Calibri"/>
          <w:lang w:eastAsia="en-US"/>
        </w:rPr>
        <w:t xml:space="preserve"> </w:t>
      </w:r>
    </w:p>
    <w:p w14:paraId="4EB3C981" w14:textId="4C0A47E2" w:rsidR="007512B1" w:rsidRDefault="007512B1" w:rsidP="001C314E">
      <w:pPr>
        <w:pStyle w:val="BodyTextalphalist"/>
      </w:pPr>
      <w:r w:rsidRPr="00836C4B">
        <w:t xml:space="preserve">It does not </w:t>
      </w:r>
      <w:r>
        <w:t xml:space="preserve">provide </w:t>
      </w:r>
      <w:r w:rsidR="00141736">
        <w:t xml:space="preserve">a </w:t>
      </w:r>
      <w:r>
        <w:t>mechanism to ensure</w:t>
      </w:r>
      <w:r w:rsidRPr="00836C4B">
        <w:rPr>
          <w:rFonts w:eastAsia="Calibri"/>
        </w:rPr>
        <w:t xml:space="preserve"> the </w:t>
      </w:r>
      <w:r>
        <w:rPr>
          <w:rFonts w:eastAsia="Calibri"/>
        </w:rPr>
        <w:t>courts are aware that the hostility aggravating factor may apply to an offence and consider</w:t>
      </w:r>
      <w:r w:rsidRPr="00836C4B">
        <w:t xml:space="preserve"> it at appropriate points in </w:t>
      </w:r>
      <w:r>
        <w:t xml:space="preserve">a </w:t>
      </w:r>
      <w:r w:rsidRPr="00836C4B">
        <w:t>proceeding.</w:t>
      </w:r>
    </w:p>
    <w:p w14:paraId="68286815" w14:textId="5F20497C" w:rsidR="001E26F0" w:rsidRDefault="00602C34" w:rsidP="00B57565">
      <w:pPr>
        <w:pStyle w:val="BodyText"/>
      </w:pPr>
      <w:r>
        <w:t xml:space="preserve">In this section, we discuss whether these problems can be addressed by making changes to the sentence aggravation model or whether a change in the legal model is required. </w:t>
      </w:r>
    </w:p>
    <w:p w14:paraId="7C7283CB" w14:textId="52AA3E64" w:rsidR="00BF7689" w:rsidRDefault="00B34E61" w:rsidP="00B57565">
      <w:pPr>
        <w:pStyle w:val="BodyText"/>
      </w:pPr>
      <w:r>
        <w:t>As noted above,</w:t>
      </w:r>
      <w:r w:rsidR="00AA30C4">
        <w:t xml:space="preserve"> some submitters thought that </w:t>
      </w:r>
      <w:r w:rsidR="00922BC2">
        <w:t xml:space="preserve">adopting one of the alternative legal models </w:t>
      </w:r>
      <w:r w:rsidR="00AA30C4">
        <w:t xml:space="preserve">would </w:t>
      </w:r>
      <w:r w:rsidR="008D7389">
        <w:t>support systematic recording of information about hate crime cases and strengthen denunciation.</w:t>
      </w:r>
      <w:r>
        <w:t xml:space="preserve"> </w:t>
      </w:r>
      <w:r w:rsidR="00F02AFC">
        <w:t xml:space="preserve">The Law Commission of England and Wales </w:t>
      </w:r>
      <w:r w:rsidR="00E84A1F">
        <w:t xml:space="preserve">and the </w:t>
      </w:r>
      <w:r w:rsidR="009646BC" w:rsidRPr="009646BC">
        <w:rPr>
          <w:color w:val="auto"/>
        </w:rPr>
        <w:t>Organization for Security and Co-operation in Europe also</w:t>
      </w:r>
      <w:r w:rsidR="009646BC">
        <w:rPr>
          <w:color w:val="auto"/>
        </w:rPr>
        <w:t xml:space="preserve"> suggest</w:t>
      </w:r>
      <w:r w:rsidR="00BF7689">
        <w:t xml:space="preserve"> that </w:t>
      </w:r>
      <w:r w:rsidR="00864D29">
        <w:t>hate crime offences:</w:t>
      </w:r>
    </w:p>
    <w:p w14:paraId="0E4A5774" w14:textId="34412738" w:rsidR="00864D29" w:rsidRPr="00045FCC" w:rsidRDefault="00864D29" w:rsidP="00864D29">
      <w:pPr>
        <w:pStyle w:val="BodyTextalphalist"/>
        <w:tabs>
          <w:tab w:val="left" w:pos="709"/>
          <w:tab w:val="num" w:pos="5416"/>
        </w:tabs>
      </w:pPr>
      <w:r w:rsidRPr="00045FCC">
        <w:t>facilitate recording and monitoring of hate crimes</w:t>
      </w:r>
      <w:r>
        <w:t>;</w:t>
      </w:r>
      <w:r w:rsidRPr="00045FCC">
        <w:rPr>
          <w:rStyle w:val="FootnoteReference"/>
        </w:rPr>
        <w:footnoteReference w:id="395"/>
      </w:r>
    </w:p>
    <w:p w14:paraId="5B136821" w14:textId="66C6A6E3" w:rsidR="00E324C2" w:rsidRPr="00045FCC" w:rsidRDefault="00864D29" w:rsidP="00E324C2">
      <w:pPr>
        <w:pStyle w:val="BodyTextalphalist"/>
        <w:tabs>
          <w:tab w:val="left" w:pos="709"/>
          <w:tab w:val="num" w:pos="5416"/>
        </w:tabs>
      </w:pPr>
      <w:r>
        <w:t>ha</w:t>
      </w:r>
      <w:r w:rsidR="00102251">
        <w:t>ve</w:t>
      </w:r>
      <w:r w:rsidR="00E324C2" w:rsidRPr="00045FCC">
        <w:t xml:space="preserve"> a strong</w:t>
      </w:r>
      <w:r w:rsidR="00E324C2" w:rsidRPr="00BE680B">
        <w:rPr>
          <w:b/>
          <w:bCs/>
        </w:rPr>
        <w:t xml:space="preserve"> </w:t>
      </w:r>
      <w:r w:rsidR="00E324C2" w:rsidRPr="00045FCC">
        <w:t xml:space="preserve">symbolic function </w:t>
      </w:r>
      <w:r w:rsidR="00E324C2">
        <w:t>in</w:t>
      </w:r>
      <w:r w:rsidR="00E324C2" w:rsidRPr="00045FCC">
        <w:t xml:space="preserve"> denouncing hate crime;</w:t>
      </w:r>
      <w:r w:rsidR="00E324C2" w:rsidRPr="00045FCC">
        <w:rPr>
          <w:vertAlign w:val="superscript"/>
        </w:rPr>
        <w:footnoteReference w:id="396"/>
      </w:r>
      <w:r w:rsidR="00E324C2" w:rsidRPr="00045FCC">
        <w:t xml:space="preserve"> </w:t>
      </w:r>
    </w:p>
    <w:p w14:paraId="128EA583" w14:textId="191A4EEE" w:rsidR="00E324C2" w:rsidRDefault="00E324C2" w:rsidP="00E324C2">
      <w:pPr>
        <w:pStyle w:val="BodyTextalphalist"/>
        <w:tabs>
          <w:tab w:val="left" w:pos="709"/>
          <w:tab w:val="num" w:pos="5416"/>
        </w:tabs>
      </w:pPr>
      <w:r w:rsidRPr="00045FCC">
        <w:t>fairly label</w:t>
      </w:r>
      <w:r>
        <w:t xml:space="preserve"> </w:t>
      </w:r>
      <w:r w:rsidRPr="00045FCC">
        <w:t>offending as a hate crime at charge</w:t>
      </w:r>
      <w:r>
        <w:t xml:space="preserve"> and</w:t>
      </w:r>
      <w:r w:rsidRPr="00045FCC">
        <w:t xml:space="preserve"> conviction and on the offender’s criminal record</w:t>
      </w:r>
      <w:r w:rsidR="00A341E2">
        <w:t>;</w:t>
      </w:r>
      <w:r w:rsidRPr="00045FCC">
        <w:rPr>
          <w:vertAlign w:val="superscript"/>
        </w:rPr>
        <w:footnoteReference w:id="397"/>
      </w:r>
      <w:r w:rsidR="00A341E2">
        <w:t xml:space="preserve"> and</w:t>
      </w:r>
    </w:p>
    <w:p w14:paraId="548DAE8E" w14:textId="4C8910E3" w:rsidR="00A341E2" w:rsidRPr="00A341E2" w:rsidRDefault="00A341E2" w:rsidP="00A341E2">
      <w:pPr>
        <w:pStyle w:val="BodyTextalphalist"/>
        <w:tabs>
          <w:tab w:val="left" w:pos="709"/>
          <w:tab w:val="num" w:pos="5416"/>
        </w:tabs>
      </w:pPr>
      <w:r w:rsidRPr="00A341E2">
        <w:t>may have a general deterrent effect by helping to change public attitudes over time.</w:t>
      </w:r>
      <w:r w:rsidRPr="00A341E2">
        <w:rPr>
          <w:rStyle w:val="FootnoteReference"/>
        </w:rPr>
        <w:footnoteReference w:id="398"/>
      </w:r>
    </w:p>
    <w:p w14:paraId="146A4B1A" w14:textId="0715DE91" w:rsidR="00620195" w:rsidRDefault="008C2274" w:rsidP="00B57565">
      <w:pPr>
        <w:pStyle w:val="BodyText"/>
        <w:tabs>
          <w:tab w:val="left" w:pos="709"/>
        </w:tabs>
      </w:pPr>
      <w:r>
        <w:t>As we explain below, we agree that</w:t>
      </w:r>
      <w:r w:rsidR="00E32DD0">
        <w:t>, compared to current law</w:t>
      </w:r>
      <w:r w:rsidR="001466DC">
        <w:t xml:space="preserve"> and practice</w:t>
      </w:r>
      <w:r w:rsidR="00E32DD0">
        <w:t>,</w:t>
      </w:r>
      <w:r>
        <w:t xml:space="preserve"> either of the alternative legal models would </w:t>
      </w:r>
      <w:r w:rsidR="00F846EF">
        <w:t>provide more effective mechanisms to support the</w:t>
      </w:r>
      <w:r>
        <w:t xml:space="preserve"> recording and denunciation of hate crime in cases where a person is charged with and convicted of a hate crime offence. </w:t>
      </w:r>
      <w:r w:rsidR="00FF3763">
        <w:t>They</w:t>
      </w:r>
      <w:r>
        <w:t xml:space="preserve"> would also </w:t>
      </w:r>
      <w:r w:rsidRPr="00A3522B">
        <w:t xml:space="preserve">reduce the risk of hostile motivation being overlooked at </w:t>
      </w:r>
      <w:r>
        <w:t xml:space="preserve">bail or </w:t>
      </w:r>
      <w:r w:rsidRPr="00A3522B">
        <w:t>sentencing</w:t>
      </w:r>
      <w:r>
        <w:t xml:space="preserve"> hearings in those cases</w:t>
      </w:r>
      <w:r w:rsidRPr="00A3522B">
        <w:t>.</w:t>
      </w:r>
      <w:r>
        <w:t xml:space="preserve"> </w:t>
      </w:r>
      <w:r w:rsidR="00B2638F">
        <w:t xml:space="preserve">However, we do not </w:t>
      </w:r>
      <w:r w:rsidR="005E3482">
        <w:t>consider</w:t>
      </w:r>
      <w:r w:rsidR="00B2638F">
        <w:t xml:space="preserve"> </w:t>
      </w:r>
      <w:r w:rsidR="00EB13EC">
        <w:t xml:space="preserve">changing </w:t>
      </w:r>
      <w:r w:rsidR="00B2638F">
        <w:t xml:space="preserve">the legal model is </w:t>
      </w:r>
      <w:r w:rsidR="00EB13EC">
        <w:t>necessary</w:t>
      </w:r>
      <w:r w:rsidR="00B2638F">
        <w:t xml:space="preserve"> to </w:t>
      </w:r>
      <w:r w:rsidR="00996B92">
        <w:t>achieve those outcomes</w:t>
      </w:r>
      <w:r w:rsidR="00B2638F">
        <w:t xml:space="preserve">. </w:t>
      </w:r>
    </w:p>
    <w:p w14:paraId="0D717176" w14:textId="536FCC4A" w:rsidR="008C2274" w:rsidRDefault="00B2638F" w:rsidP="00B57565">
      <w:pPr>
        <w:pStyle w:val="BodyText"/>
        <w:tabs>
          <w:tab w:val="left" w:pos="709"/>
        </w:tabs>
      </w:pPr>
      <w:r>
        <w:t>Mo</w:t>
      </w:r>
      <w:r w:rsidR="0002285B">
        <w:t>re</w:t>
      </w:r>
      <w:r>
        <w:t xml:space="preserve"> fundamentally</w:t>
      </w:r>
      <w:r w:rsidR="00620195">
        <w:t xml:space="preserve">, </w:t>
      </w:r>
      <w:r w:rsidR="008C2274">
        <w:t>our analysis suggests th</w:t>
      </w:r>
      <w:r w:rsidR="0002285B">
        <w:t>at any</w:t>
      </w:r>
      <w:r w:rsidR="008C2274">
        <w:t xml:space="preserve"> benefits </w:t>
      </w:r>
      <w:r w:rsidR="0002285B">
        <w:t xml:space="preserve">of the alternative legal models </w:t>
      </w:r>
      <w:r w:rsidR="008C2274">
        <w:t>would be limited</w:t>
      </w:r>
      <w:r w:rsidR="000E557B">
        <w:t xml:space="preserve"> in practice</w:t>
      </w:r>
      <w:r w:rsidR="00126689">
        <w:t>. This is</w:t>
      </w:r>
      <w:r w:rsidR="007823A1">
        <w:t xml:space="preserve"> because </w:t>
      </w:r>
      <w:r w:rsidR="008C2274">
        <w:t xml:space="preserve">it is unlikely that </w:t>
      </w:r>
      <w:r w:rsidR="00AC229B">
        <w:t>hate crime offen</w:t>
      </w:r>
      <w:r w:rsidR="00412A8E">
        <w:t xml:space="preserve">ders </w:t>
      </w:r>
      <w:r w:rsidR="00AC229B">
        <w:t>would b</w:t>
      </w:r>
      <w:r w:rsidR="007823A1">
        <w:t xml:space="preserve">e consistently charged </w:t>
      </w:r>
      <w:r w:rsidR="00412A8E">
        <w:t>with or convicted of hate crime offences</w:t>
      </w:r>
      <w:r w:rsidR="008C2274">
        <w:t xml:space="preserve"> under either alternative model. We discuss this issue first, since it affects our analysis of how the different legal models would address the problems with the current law.</w:t>
      </w:r>
    </w:p>
    <w:p w14:paraId="68C994B0" w14:textId="280B6C68" w:rsidR="00772913" w:rsidRPr="00045FCC" w:rsidRDefault="00470D13" w:rsidP="00772913">
      <w:pPr>
        <w:pStyle w:val="Heading3"/>
      </w:pPr>
      <w:r>
        <w:t>I</w:t>
      </w:r>
      <w:r w:rsidR="00A60E32">
        <w:t>nconsistent</w:t>
      </w:r>
      <w:r w:rsidR="00A522E8">
        <w:t xml:space="preserve"> use of </w:t>
      </w:r>
      <w:r w:rsidR="00355D82">
        <w:t>hate crime offences</w:t>
      </w:r>
      <w:r w:rsidR="00A522E8">
        <w:t xml:space="preserve"> </w:t>
      </w:r>
      <w:r w:rsidR="00A60E32">
        <w:t xml:space="preserve">would </w:t>
      </w:r>
      <w:r>
        <w:t>limit</w:t>
      </w:r>
      <w:r w:rsidR="00A522E8">
        <w:t xml:space="preserve"> their </w:t>
      </w:r>
      <w:r w:rsidR="00A60E32">
        <w:t>benefits</w:t>
      </w:r>
    </w:p>
    <w:p w14:paraId="730499B0" w14:textId="1108D641" w:rsidR="00A83368" w:rsidRDefault="00E03C35" w:rsidP="00B57565">
      <w:pPr>
        <w:pStyle w:val="BodyText"/>
      </w:pPr>
      <w:r>
        <w:t>As we ex</w:t>
      </w:r>
      <w:r w:rsidR="00C326D1">
        <w:t xml:space="preserve">plain below, </w:t>
      </w:r>
      <w:r w:rsidR="006C2E4A">
        <w:t xml:space="preserve">feedback received in this review and overseas </w:t>
      </w:r>
      <w:r w:rsidR="00F2211E">
        <w:t>experience</w:t>
      </w:r>
      <w:r w:rsidR="006C2E4A">
        <w:t xml:space="preserve"> indicate that</w:t>
      </w:r>
      <w:r w:rsidR="00D51F4F">
        <w:t>,</w:t>
      </w:r>
      <w:r w:rsidR="00E37FCF">
        <w:t xml:space="preserve"> under either alternative legal model:</w:t>
      </w:r>
    </w:p>
    <w:p w14:paraId="2B42770D" w14:textId="3812F8B4" w:rsidR="00A83368" w:rsidRDefault="00A83368" w:rsidP="00A83368">
      <w:pPr>
        <w:pStyle w:val="BodyTextalphalist"/>
      </w:pPr>
      <w:r>
        <w:t>prosecutors are unlikely to consistently charge hostility-motivated offending as a hate crime offence</w:t>
      </w:r>
      <w:r w:rsidR="00E37FCF">
        <w:t>; and</w:t>
      </w:r>
    </w:p>
    <w:p w14:paraId="6E49F13B" w14:textId="686CB176" w:rsidR="00E37FCF" w:rsidRDefault="009C3ED4" w:rsidP="00A83368">
      <w:pPr>
        <w:pStyle w:val="BodyTextalphalist"/>
      </w:pPr>
      <w:r>
        <w:t xml:space="preserve">where a person is charged with a hate crime offence, </w:t>
      </w:r>
      <w:r w:rsidR="00E37FCF">
        <w:t xml:space="preserve">juries </w:t>
      </w:r>
      <w:r w:rsidR="00D62803">
        <w:t xml:space="preserve">may be reluctant to convict </w:t>
      </w:r>
      <w:r>
        <w:t>them even if the evidence supports it.</w:t>
      </w:r>
    </w:p>
    <w:p w14:paraId="52536EE1" w14:textId="1A103022" w:rsidR="00E94D9B" w:rsidRDefault="00F67BBC" w:rsidP="00B57565">
      <w:pPr>
        <w:pStyle w:val="BodyText"/>
      </w:pPr>
      <w:r>
        <w:t>The</w:t>
      </w:r>
      <w:r w:rsidR="003E068C">
        <w:t>se factors limit</w:t>
      </w:r>
      <w:r>
        <w:t xml:space="preserve"> the </w:t>
      </w:r>
      <w:r w:rsidR="003E068C">
        <w:t>extent to which</w:t>
      </w:r>
      <w:r>
        <w:t xml:space="preserve"> the alternative models </w:t>
      </w:r>
      <w:r w:rsidR="003E068C">
        <w:t>would</w:t>
      </w:r>
      <w:r w:rsidR="002C20E2">
        <w:t xml:space="preserve"> address</w:t>
      </w:r>
      <w:r>
        <w:t xml:space="preserve"> the problems with the current law. </w:t>
      </w:r>
    </w:p>
    <w:p w14:paraId="4B6C8D6B" w14:textId="7470F870" w:rsidR="00CF1083" w:rsidRDefault="00CF1083" w:rsidP="00CF1083">
      <w:pPr>
        <w:pStyle w:val="Heading4"/>
      </w:pPr>
      <w:r>
        <w:t>Charging decisions</w:t>
      </w:r>
    </w:p>
    <w:p w14:paraId="4D6567DB" w14:textId="44D5CD99" w:rsidR="00DD4CC0" w:rsidRDefault="00004F01" w:rsidP="00B57565">
      <w:pPr>
        <w:pStyle w:val="BodyText"/>
      </w:pPr>
      <w:r>
        <w:t>The feedback</w:t>
      </w:r>
      <w:r w:rsidR="00CA6DE6">
        <w:t xml:space="preserve"> we received from prosecutors and experts suggests </w:t>
      </w:r>
      <w:r w:rsidR="00A03933">
        <w:t xml:space="preserve">prosecutors </w:t>
      </w:r>
      <w:r w:rsidR="00C700D7">
        <w:t>would be</w:t>
      </w:r>
      <w:r w:rsidR="00A03933">
        <w:t xml:space="preserve"> unlikely to consistently charge hostility-motivated offending </w:t>
      </w:r>
      <w:r w:rsidR="00E941CA">
        <w:t>as</w:t>
      </w:r>
      <w:r w:rsidR="00A03933">
        <w:t xml:space="preserve"> a hate crime offence</w:t>
      </w:r>
      <w:r w:rsidR="00562EFF">
        <w:t xml:space="preserve"> under either alternative model</w:t>
      </w:r>
      <w:r w:rsidR="00A03933">
        <w:t>.</w:t>
      </w:r>
      <w:r w:rsidR="00CA6DE6">
        <w:t xml:space="preserve"> </w:t>
      </w:r>
      <w:r w:rsidR="00BF7172" w:rsidRPr="00BF7172">
        <w:t xml:space="preserve"> </w:t>
      </w:r>
    </w:p>
    <w:p w14:paraId="4942F9DA" w14:textId="79AC090C" w:rsidR="008902F2" w:rsidRDefault="00384027" w:rsidP="00B57565">
      <w:pPr>
        <w:pStyle w:val="BodyText"/>
      </w:pPr>
      <w:r w:rsidRPr="00045FCC">
        <w:t xml:space="preserve">Crown Law and Luke Cunningham Clere </w:t>
      </w:r>
      <w:r w:rsidR="001B4F7B">
        <w:t>indicated</w:t>
      </w:r>
      <w:r w:rsidR="00E44788">
        <w:t xml:space="preserve"> in their submissions</w:t>
      </w:r>
      <w:r w:rsidR="00472A88">
        <w:t xml:space="preserve"> that</w:t>
      </w:r>
      <w:r w:rsidR="002402CA">
        <w:t>, in some cases,</w:t>
      </w:r>
      <w:r w:rsidR="00472A88">
        <w:t xml:space="preserve"> </w:t>
      </w:r>
      <w:r w:rsidRPr="00045FCC">
        <w:t xml:space="preserve">prosecutors would </w:t>
      </w:r>
      <w:r w:rsidR="002402CA">
        <w:t xml:space="preserve">be likely </w:t>
      </w:r>
      <w:r w:rsidRPr="00045FCC">
        <w:t xml:space="preserve">to charge </w:t>
      </w:r>
      <w:r w:rsidR="00472A88">
        <w:t>a person</w:t>
      </w:r>
      <w:r w:rsidRPr="00045FCC">
        <w:t xml:space="preserve"> with </w:t>
      </w:r>
      <w:r w:rsidR="00E941CA">
        <w:t xml:space="preserve">the base offence rather than </w:t>
      </w:r>
      <w:r w:rsidR="001422AD">
        <w:t>the</w:t>
      </w:r>
      <w:r w:rsidR="00472A88">
        <w:t xml:space="preserve"> </w:t>
      </w:r>
      <w:r w:rsidRPr="00045FCC">
        <w:t>hate crime offence</w:t>
      </w:r>
      <w:r>
        <w:t xml:space="preserve"> </w:t>
      </w:r>
      <w:r w:rsidR="00C66D84">
        <w:t xml:space="preserve">because it </w:t>
      </w:r>
      <w:r w:rsidRPr="00045FCC">
        <w:t xml:space="preserve">would be </w:t>
      </w:r>
      <w:r w:rsidR="00FB7F46">
        <w:t xml:space="preserve">more straightforward </w:t>
      </w:r>
      <w:r w:rsidR="001422AD">
        <w:t>to prove</w:t>
      </w:r>
      <w:r w:rsidR="00C66D84">
        <w:t>.</w:t>
      </w:r>
      <w:r w:rsidRPr="00045FCC">
        <w:t xml:space="preserve"> </w:t>
      </w:r>
      <w:r w:rsidR="00640495">
        <w:t xml:space="preserve">If </w:t>
      </w:r>
      <w:r w:rsidR="00C533D0">
        <w:t xml:space="preserve">a defendant </w:t>
      </w:r>
      <w:r w:rsidR="007B6D46">
        <w:t>wa</w:t>
      </w:r>
      <w:r w:rsidR="00C533D0">
        <w:t xml:space="preserve">s charged with a </w:t>
      </w:r>
      <w:r w:rsidR="00640495">
        <w:t xml:space="preserve">hate crime offence, </w:t>
      </w:r>
      <w:r w:rsidR="002A7427">
        <w:t>a</w:t>
      </w:r>
      <w:r w:rsidR="00C66D84">
        <w:t>n</w:t>
      </w:r>
      <w:r w:rsidRPr="00045FCC">
        <w:t xml:space="preserve"> additional </w:t>
      </w:r>
      <w:r>
        <w:t>hostility</w:t>
      </w:r>
      <w:r w:rsidRPr="00045FCC">
        <w:t xml:space="preserve"> element would need to be </w:t>
      </w:r>
      <w:r>
        <w:t>proved</w:t>
      </w:r>
      <w:r w:rsidRPr="00045FCC">
        <w:t xml:space="preserve"> at trial </w:t>
      </w:r>
      <w:r w:rsidR="002A7427">
        <w:t>(</w:t>
      </w:r>
      <w:r w:rsidRPr="00045FCC">
        <w:t>if the defendant ple</w:t>
      </w:r>
      <w:r>
        <w:t>a</w:t>
      </w:r>
      <w:r w:rsidRPr="00045FCC">
        <w:t>d</w:t>
      </w:r>
      <w:r w:rsidR="00351D65">
        <w:t>ed</w:t>
      </w:r>
      <w:r w:rsidR="002A7427">
        <w:t xml:space="preserve"> </w:t>
      </w:r>
      <w:r w:rsidRPr="00045FCC">
        <w:t>not guilty</w:t>
      </w:r>
      <w:r w:rsidR="00F65332">
        <w:t>)</w:t>
      </w:r>
      <w:r w:rsidRPr="00045FCC">
        <w:t xml:space="preserve">. Further evidence may need to be called and pre-trial hearings may be required to resolve evidential issues </w:t>
      </w:r>
      <w:r w:rsidR="00FC5406">
        <w:t xml:space="preserve">— </w:t>
      </w:r>
      <w:r w:rsidRPr="00045FCC">
        <w:t>for example, whether a defendant’s previous consistent statements or evidence of previous offending can be admitted showing they have a history of hostility toward</w:t>
      </w:r>
      <w:r w:rsidR="00E80DA7">
        <w:t>s</w:t>
      </w:r>
      <w:r w:rsidRPr="00045FCC">
        <w:t xml:space="preserve"> the relevant group of people. </w:t>
      </w:r>
    </w:p>
    <w:p w14:paraId="174EDB43" w14:textId="2CD2E275" w:rsidR="0047502F" w:rsidRDefault="00325350" w:rsidP="00B57565">
      <w:pPr>
        <w:pStyle w:val="BodyText"/>
      </w:pPr>
      <w:r>
        <w:t>A</w:t>
      </w:r>
      <w:r w:rsidR="00FC44C1">
        <w:t xml:space="preserve">lthough hostile motivation </w:t>
      </w:r>
      <w:r>
        <w:t xml:space="preserve">also </w:t>
      </w:r>
      <w:r w:rsidR="00FC44C1">
        <w:t>need</w:t>
      </w:r>
      <w:r>
        <w:t>s</w:t>
      </w:r>
      <w:r w:rsidR="00FC44C1">
        <w:t xml:space="preserve"> to be proved under the sentence aggravation model, in practice</w:t>
      </w:r>
      <w:r w:rsidR="00BD6D8A">
        <w:t>,</w:t>
      </w:r>
      <w:r w:rsidR="00FC44C1">
        <w:t xml:space="preserve"> evidential issues only arise if the defence challenges a fact asserted by the prosecutor at sentencing. We understand this occurs relatively infrequently.</w:t>
      </w:r>
    </w:p>
    <w:p w14:paraId="0C18926B" w14:textId="48289245" w:rsidR="00077297" w:rsidRDefault="00CB4781" w:rsidP="00B57565">
      <w:pPr>
        <w:pStyle w:val="BodyText"/>
      </w:pPr>
      <w:r>
        <w:t>Relatedly</w:t>
      </w:r>
      <w:r w:rsidR="00384027">
        <w:t>, experience in other jurisdictions suggests</w:t>
      </w:r>
      <w:r w:rsidR="00384027" w:rsidRPr="00045FCC">
        <w:t xml:space="preserve"> defendant</w:t>
      </w:r>
      <w:r w:rsidR="00384027">
        <w:t>s</w:t>
      </w:r>
      <w:r w:rsidR="00384027" w:rsidRPr="00045FCC">
        <w:t xml:space="preserve"> </w:t>
      </w:r>
      <w:r w:rsidR="004D28EF">
        <w:t>are</w:t>
      </w:r>
      <w:r w:rsidR="00384027">
        <w:t xml:space="preserve"> less likely to</w:t>
      </w:r>
      <w:r w:rsidR="00384027" w:rsidRPr="00045FCC">
        <w:t xml:space="preserve"> plead guilty </w:t>
      </w:r>
      <w:r w:rsidR="00384027">
        <w:t>if hostile motivation is an element of the offence</w:t>
      </w:r>
      <w:r w:rsidR="00384027" w:rsidRPr="00045FCC">
        <w:t>.</w:t>
      </w:r>
      <w:r w:rsidR="00384027" w:rsidRPr="00045FCC">
        <w:rPr>
          <w:rStyle w:val="FootnoteReference"/>
        </w:rPr>
        <w:footnoteReference w:id="399"/>
      </w:r>
      <w:r w:rsidR="00BD3D5D">
        <w:t xml:space="preserve"> </w:t>
      </w:r>
      <w:r w:rsidR="00F61FE4">
        <w:t xml:space="preserve">This </w:t>
      </w:r>
      <w:r w:rsidR="003B2EF5">
        <w:t>may also impact charging decisions or</w:t>
      </w:r>
      <w:r w:rsidR="00F61FE4">
        <w:t xml:space="preserve"> lead to plea arrangements, where the prosecutor agrees to file a lesser charge (in this context, the base offence) if the defendant will plead guilty</w:t>
      </w:r>
      <w:r w:rsidR="00F61FE4" w:rsidRPr="00045FCC">
        <w:t>.</w:t>
      </w:r>
      <w:r w:rsidR="006E1ADE">
        <w:rPr>
          <w:rStyle w:val="FootnoteReference"/>
        </w:rPr>
        <w:footnoteReference w:id="400"/>
      </w:r>
      <w:r w:rsidR="00F61FE4" w:rsidRPr="00045FCC">
        <w:t xml:space="preserve"> </w:t>
      </w:r>
      <w:r w:rsidR="00BD3D5D">
        <w:t>Th</w:t>
      </w:r>
      <w:r w:rsidR="00D92F67">
        <w:t xml:space="preserve">is risk </w:t>
      </w:r>
      <w:r w:rsidR="001A5FB4">
        <w:t>is</w:t>
      </w:r>
      <w:r w:rsidR="00857314">
        <w:t xml:space="preserve"> more pronounced under the specific hate crime offence model, since </w:t>
      </w:r>
      <w:r w:rsidR="006147AD">
        <w:t xml:space="preserve">the offences carry a higher maximum penalty. However, </w:t>
      </w:r>
      <w:r w:rsidR="004D28EF">
        <w:t xml:space="preserve">to </w:t>
      </w:r>
      <w:r w:rsidR="00481932">
        <w:t>a lesser extent</w:t>
      </w:r>
      <w:r w:rsidR="00501855">
        <w:t xml:space="preserve">, defendants </w:t>
      </w:r>
      <w:r w:rsidR="00F151B3">
        <w:t>could</w:t>
      </w:r>
      <w:r w:rsidR="00501855">
        <w:t xml:space="preserve"> also be less likely to plead guilty</w:t>
      </w:r>
      <w:r w:rsidR="00481932">
        <w:t xml:space="preserve"> under the </w:t>
      </w:r>
      <w:r w:rsidR="009D1BF9">
        <w:t>Scottish hybrid model</w:t>
      </w:r>
      <w:r w:rsidR="00501855">
        <w:t xml:space="preserve"> </w:t>
      </w:r>
      <w:r w:rsidR="00AD44F6">
        <w:t>i</w:t>
      </w:r>
      <w:r w:rsidR="009D1BF9">
        <w:t>f conviction for a hate crime offence</w:t>
      </w:r>
      <w:r w:rsidR="00501855">
        <w:t xml:space="preserve"> </w:t>
      </w:r>
      <w:r w:rsidR="00AD44F6">
        <w:t xml:space="preserve">is seen as carrying increased public stigma </w:t>
      </w:r>
      <w:r w:rsidR="00501855">
        <w:t xml:space="preserve">compared to the </w:t>
      </w:r>
      <w:r w:rsidR="008B264F">
        <w:t>application of a</w:t>
      </w:r>
      <w:r w:rsidR="0096510C">
        <w:t xml:space="preserve"> ho</w:t>
      </w:r>
      <w:r w:rsidR="00DF3689">
        <w:t>stility</w:t>
      </w:r>
      <w:r w:rsidR="008B264F">
        <w:t xml:space="preserve"> aggravating factor at sentencing</w:t>
      </w:r>
      <w:r w:rsidR="009D1BF9">
        <w:t>.</w:t>
      </w:r>
    </w:p>
    <w:p w14:paraId="62086D9E" w14:textId="084F9C76" w:rsidR="00384027" w:rsidRDefault="00384027" w:rsidP="00B57565">
      <w:pPr>
        <w:pStyle w:val="BodyText"/>
      </w:pPr>
      <w:r w:rsidRPr="00045FCC">
        <w:t xml:space="preserve">While prosecutorial guidance could encourage prosecutors to </w:t>
      </w:r>
      <w:r>
        <w:t>charge</w:t>
      </w:r>
      <w:r w:rsidRPr="00045FCC">
        <w:t xml:space="preserve"> </w:t>
      </w:r>
      <w:r>
        <w:t xml:space="preserve">people with </w:t>
      </w:r>
      <w:r w:rsidRPr="00045FCC">
        <w:t xml:space="preserve">hate crime offences where they are available, that may not always be the best outcome for victims. Victims may prefer not to give evidence (and be cross-examined on it) at a trial if that can be avoided by securing a guilty plea. They may also not wish to have court proceedings drawn out. Additionally, from a wider justice system perspective, the increased cost and delay associated with </w:t>
      </w:r>
      <w:r>
        <w:t>a trial</w:t>
      </w:r>
      <w:r w:rsidRPr="00045FCC">
        <w:t xml:space="preserve"> may be difficult to justify in less</w:t>
      </w:r>
      <w:r w:rsidR="00255B53">
        <w:t>-</w:t>
      </w:r>
      <w:r w:rsidRPr="00045FCC">
        <w:t xml:space="preserve">serious cases. The </w:t>
      </w:r>
      <w:r w:rsidRPr="00077297">
        <w:rPr>
          <w:i/>
          <w:iCs/>
        </w:rPr>
        <w:t>Solicitor-General’s Prosecution Guidelines</w:t>
      </w:r>
      <w:r w:rsidRPr="00045FCC">
        <w:t xml:space="preserve"> recognise that plea arrangements</w:t>
      </w:r>
      <w:r>
        <w:t xml:space="preserve"> </w:t>
      </w:r>
      <w:r w:rsidRPr="00045FCC">
        <w:t>can be beneficial for these reasons.</w:t>
      </w:r>
      <w:r w:rsidRPr="00045FCC">
        <w:rPr>
          <w:rStyle w:val="FootnoteReference"/>
        </w:rPr>
        <w:footnoteReference w:id="401"/>
      </w:r>
      <w:r w:rsidR="002C2264">
        <w:t xml:space="preserve"> There </w:t>
      </w:r>
      <w:r w:rsidR="00027AE7">
        <w:t xml:space="preserve">may, therefore, be good reasons for a prosecutor to </w:t>
      </w:r>
      <w:r w:rsidR="00756EAB">
        <w:t>enter a plea arrangement, with the result that the defendant is only charged with the base offence.</w:t>
      </w:r>
    </w:p>
    <w:p w14:paraId="5207E7BB" w14:textId="563E04CB" w:rsidR="00201DAE" w:rsidRDefault="00201DAE" w:rsidP="00B57565">
      <w:pPr>
        <w:pStyle w:val="BodyText"/>
      </w:pPr>
      <w:r>
        <w:t xml:space="preserve">There was general agreement among the members of our Technical Advisory Group that hate crime offences would be more difficult to prove and more strongly defended and that this </w:t>
      </w:r>
      <w:r w:rsidR="003251B7">
        <w:t xml:space="preserve">would be </w:t>
      </w:r>
      <w:r>
        <w:t xml:space="preserve">likely to affect charging decisions. Some members suggested prosecutors would be likely to charge defendants with hate crime offences, as opposed to the base offence, only if those offences carried a higher maximum penalty and the higher penalty was considered necessary in the circumstances of the case to reflect the seriousness of the offending. Higher maximum penalties would only apply under the specific hate crime offence model. As the </w:t>
      </w:r>
      <w:r w:rsidRPr="00791837">
        <w:t xml:space="preserve">Law Commission of England and Wales observed, if a hate crime offence has the same maximum penalty as the base offence </w:t>
      </w:r>
      <w:r>
        <w:t>(as under the Scottish hybrid model)</w:t>
      </w:r>
      <w:r w:rsidR="00B216FA">
        <w:t>,</w:t>
      </w:r>
      <w:r w:rsidRPr="00791837">
        <w:t xml:space="preserve"> it is </w:t>
      </w:r>
      <w:r>
        <w:t xml:space="preserve">even more </w:t>
      </w:r>
      <w:r w:rsidRPr="00791837">
        <w:t>difficult to justify the increased time and resources required to prove hostile motivation at trial.</w:t>
      </w:r>
      <w:r w:rsidRPr="00D60BF5">
        <w:rPr>
          <w:vertAlign w:val="superscript"/>
        </w:rPr>
        <w:footnoteReference w:id="402"/>
      </w:r>
      <w:r>
        <w:t xml:space="preserve"> </w:t>
      </w:r>
    </w:p>
    <w:p w14:paraId="4E065A84" w14:textId="2CADEAE5" w:rsidR="00CA1AEE" w:rsidRDefault="00E11756" w:rsidP="00B57565">
      <w:pPr>
        <w:pStyle w:val="BodyText"/>
      </w:pPr>
      <w:r>
        <w:t>Under</w:t>
      </w:r>
      <w:r w:rsidR="00CA1AEE">
        <w:t xml:space="preserve"> the</w:t>
      </w:r>
      <w:r>
        <w:t xml:space="preserve"> current</w:t>
      </w:r>
      <w:r w:rsidR="00CA1AEE">
        <w:t xml:space="preserve"> sentence aggravation model</w:t>
      </w:r>
      <w:r>
        <w:t>, it is possible</w:t>
      </w:r>
      <w:r w:rsidR="00CA1AEE">
        <w:t xml:space="preserve"> that the defendant might agree to plead guilty only if evidence of hostile motivation is removed from the summary of facts (with the result that the </w:t>
      </w:r>
      <w:r w:rsidR="003D1E94">
        <w:t>aggravating factor is not applied at sentencing)</w:t>
      </w:r>
      <w:r w:rsidR="00CA1AEE">
        <w:t>.</w:t>
      </w:r>
      <w:r w:rsidR="007416C9">
        <w:t xml:space="preserve"> </w:t>
      </w:r>
      <w:r w:rsidR="00EC57A8">
        <w:t>W</w:t>
      </w:r>
      <w:r w:rsidR="007416C9">
        <w:t>e found no evidence of that occurring</w:t>
      </w:r>
      <w:r w:rsidR="00EC57A8">
        <w:t xml:space="preserve">, although </w:t>
      </w:r>
      <w:r w:rsidR="006A05D4">
        <w:t xml:space="preserve">it would </w:t>
      </w:r>
      <w:r w:rsidR="00B52793">
        <w:t xml:space="preserve">not necessarily </w:t>
      </w:r>
      <w:r w:rsidR="00BE1248">
        <w:t xml:space="preserve">be </w:t>
      </w:r>
      <w:r w:rsidR="00B52793">
        <w:t>clear from the information we have access to</w:t>
      </w:r>
      <w:r w:rsidR="008320AB">
        <w:t xml:space="preserve">. </w:t>
      </w:r>
      <w:r w:rsidR="00E325A2">
        <w:t xml:space="preserve">There </w:t>
      </w:r>
      <w:r w:rsidR="008F3070">
        <w:t>is</w:t>
      </w:r>
      <w:r w:rsidR="00E325A2">
        <w:t xml:space="preserve"> less incentive for the defendant to </w:t>
      </w:r>
      <w:r w:rsidR="008F3070">
        <w:t xml:space="preserve">challenge </w:t>
      </w:r>
      <w:r w:rsidR="00EE0D64">
        <w:t>evidence of hostility</w:t>
      </w:r>
      <w:r w:rsidR="00365DF4">
        <w:t xml:space="preserve"> under the sentence aggravation model compared to the other models, since it </w:t>
      </w:r>
      <w:r w:rsidR="002922EB">
        <w:t xml:space="preserve">does not change the maximum penalty for the offence </w:t>
      </w:r>
      <w:r w:rsidR="00ED578A">
        <w:t xml:space="preserve">and is not recorded on the </w:t>
      </w:r>
      <w:r w:rsidR="00B20986">
        <w:t xml:space="preserve">offender’s </w:t>
      </w:r>
      <w:r w:rsidR="00711FA5" w:rsidRPr="00A11EA3">
        <w:t xml:space="preserve">conviction history </w:t>
      </w:r>
      <w:r w:rsidR="00711FA5">
        <w:t xml:space="preserve">report </w:t>
      </w:r>
      <w:r w:rsidR="00FF332A">
        <w:t xml:space="preserve">produced by </w:t>
      </w:r>
      <w:r w:rsidR="00FF332A" w:rsidRPr="00871E76">
        <w:t>Te Tāhū o te Ture | Ministry of Justice</w:t>
      </w:r>
      <w:r w:rsidR="00FF332A">
        <w:t xml:space="preserve"> </w:t>
      </w:r>
      <w:r w:rsidR="00122B16">
        <w:t xml:space="preserve">(which may, for example, affect employment </w:t>
      </w:r>
      <w:r w:rsidR="007773D9">
        <w:t>opportunities).</w:t>
      </w:r>
      <w:r w:rsidR="00626CEB">
        <w:rPr>
          <w:rStyle w:val="FootnoteReference"/>
        </w:rPr>
        <w:footnoteReference w:id="403"/>
      </w:r>
      <w:r w:rsidR="008320AB">
        <w:t xml:space="preserve"> </w:t>
      </w:r>
      <w:r w:rsidR="0002052B">
        <w:t>Additionally, the</w:t>
      </w:r>
      <w:r w:rsidR="008320AB">
        <w:t xml:space="preserve"> </w:t>
      </w:r>
      <w:r w:rsidR="008320AB">
        <w:rPr>
          <w:i/>
          <w:iCs/>
        </w:rPr>
        <w:t>Solicitor-General’s Prosecution Guidelines</w:t>
      </w:r>
      <w:r w:rsidR="008320AB">
        <w:t xml:space="preserve"> state that</w:t>
      </w:r>
      <w:r w:rsidR="00125B80">
        <w:t>,</w:t>
      </w:r>
      <w:r w:rsidR="008320AB">
        <w:t xml:space="preserve"> in </w:t>
      </w:r>
      <w:r w:rsidR="00717070">
        <w:t xml:space="preserve">entering plea arrangements, prosecutors should not </w:t>
      </w:r>
      <w:r w:rsidR="00ED38AF">
        <w:t xml:space="preserve">agree to </w:t>
      </w:r>
      <w:r w:rsidR="00717070">
        <w:t xml:space="preserve">withhold </w:t>
      </w:r>
      <w:r w:rsidR="00ED38AF">
        <w:t xml:space="preserve">from the summary of facts any </w:t>
      </w:r>
      <w:r w:rsidR="00717070" w:rsidRPr="00717070">
        <w:t>admissible facts that would be relevant and material to sentencing.</w:t>
      </w:r>
      <w:r w:rsidR="00FF313B">
        <w:rPr>
          <w:rStyle w:val="FootnoteReference"/>
        </w:rPr>
        <w:footnoteReference w:id="404"/>
      </w:r>
    </w:p>
    <w:p w14:paraId="6C7B498A" w14:textId="2DCD2BCD" w:rsidR="000E4B44" w:rsidRDefault="0087633E" w:rsidP="0087633E">
      <w:pPr>
        <w:pStyle w:val="Heading4"/>
      </w:pPr>
      <w:r>
        <w:t>Juror reluctance to convict</w:t>
      </w:r>
    </w:p>
    <w:p w14:paraId="76E9044D" w14:textId="7F3A698E" w:rsidR="001513A8" w:rsidRDefault="0087633E" w:rsidP="00281692">
      <w:pPr>
        <w:pStyle w:val="BodyText"/>
        <w:numPr>
          <w:ilvl w:val="1"/>
          <w:numId w:val="31"/>
        </w:numPr>
        <w:spacing w:after="120"/>
        <w:ind w:hanging="709"/>
      </w:pPr>
      <w:r>
        <w:t>In</w:t>
      </w:r>
      <w:r w:rsidR="00384027">
        <w:t xml:space="preserve"> </w:t>
      </w:r>
      <w:r w:rsidR="00384027" w:rsidRPr="00045FCC">
        <w:t xml:space="preserve">England and Wales, </w:t>
      </w:r>
      <w:r w:rsidR="0063566F">
        <w:t xml:space="preserve">research suggests </w:t>
      </w:r>
      <w:r w:rsidR="00384027" w:rsidRPr="00045FCC">
        <w:t xml:space="preserve">that juries are reluctant to </w:t>
      </w:r>
      <w:r w:rsidR="00384027">
        <w:t>convict</w:t>
      </w:r>
      <w:r w:rsidR="00384027" w:rsidRPr="00045FCC">
        <w:t xml:space="preserve"> </w:t>
      </w:r>
      <w:r w:rsidR="00460E74">
        <w:t xml:space="preserve">defendants of specific hate crime offences </w:t>
      </w:r>
      <w:r w:rsidR="00384027" w:rsidRPr="00045FCC">
        <w:t xml:space="preserve">because they do not wish to </w:t>
      </w:r>
      <w:r w:rsidR="00370B5E">
        <w:t>‘</w:t>
      </w:r>
      <w:r w:rsidR="00384027" w:rsidRPr="00045FCC">
        <w:t>label</w:t>
      </w:r>
      <w:r w:rsidR="00370B5E">
        <w:t>’</w:t>
      </w:r>
      <w:r w:rsidR="00384027" w:rsidRPr="00045FCC">
        <w:t xml:space="preserve"> the defendant (</w:t>
      </w:r>
      <w:r w:rsidR="00384027">
        <w:t xml:space="preserve">as, </w:t>
      </w:r>
      <w:r w:rsidR="00384027" w:rsidRPr="00045FCC">
        <w:t>for example, a racist).</w:t>
      </w:r>
      <w:r w:rsidR="00384027" w:rsidRPr="00045FCC">
        <w:rPr>
          <w:rStyle w:val="FootnoteReference"/>
        </w:rPr>
        <w:footnoteReference w:id="405"/>
      </w:r>
      <w:r w:rsidR="00384027">
        <w:t xml:space="preserve"> </w:t>
      </w:r>
      <w:r w:rsidR="004531A2">
        <w:t>Hostile motivation</w:t>
      </w:r>
      <w:r w:rsidR="00384027" w:rsidRPr="00045FCC">
        <w:t xml:space="preserve"> </w:t>
      </w:r>
      <w:r w:rsidR="00530195">
        <w:t>w</w:t>
      </w:r>
      <w:r w:rsidR="00384027" w:rsidRPr="00045FCC">
        <w:t>ould go unrecognised if a defendant was charged with a hate</w:t>
      </w:r>
      <w:r w:rsidR="00384027">
        <w:t xml:space="preserve"> crime</w:t>
      </w:r>
      <w:r w:rsidR="00384027" w:rsidRPr="00045FCC">
        <w:t xml:space="preserve"> offence but acquitted</w:t>
      </w:r>
      <w:r w:rsidR="00B87510">
        <w:t xml:space="preserve"> of it</w:t>
      </w:r>
      <w:r w:rsidR="00384027">
        <w:t xml:space="preserve"> for that reason</w:t>
      </w:r>
      <w:r w:rsidR="00384027" w:rsidRPr="00045FCC">
        <w:t>.</w:t>
      </w:r>
      <w:r w:rsidR="00877098">
        <w:t xml:space="preserve"> </w:t>
      </w:r>
      <w:r w:rsidR="005868DA">
        <w:t xml:space="preserve">While the defendant could still be convicted of the base offence in the alternative, </w:t>
      </w:r>
      <w:r w:rsidR="00665163">
        <w:t xml:space="preserve">as noted above, </w:t>
      </w:r>
      <w:r w:rsidR="002A7206">
        <w:t>the hostility aggravating factor could not</w:t>
      </w:r>
      <w:r w:rsidR="00F37EE9">
        <w:t xml:space="preserve"> then</w:t>
      </w:r>
      <w:r w:rsidR="002A7206">
        <w:t xml:space="preserve"> be relied on at sentencing</w:t>
      </w:r>
      <w:r w:rsidR="00064924">
        <w:t xml:space="preserve">. </w:t>
      </w:r>
      <w:r w:rsidR="00721412">
        <w:t xml:space="preserve">A </w:t>
      </w:r>
      <w:r w:rsidR="00E578EE">
        <w:t>similar risk is likely to arise under the Scottish hybrid model</w:t>
      </w:r>
      <w:r w:rsidR="00721412">
        <w:t xml:space="preserve">, </w:t>
      </w:r>
      <w:r w:rsidR="001513A8">
        <w:t>since it</w:t>
      </w:r>
      <w:r w:rsidR="00E578EE">
        <w:t xml:space="preserve"> also </w:t>
      </w:r>
      <w:r w:rsidR="003022B8">
        <w:t xml:space="preserve">requires proof of hostile motivation at trial and </w:t>
      </w:r>
      <w:r w:rsidR="00721412">
        <w:t>formal conviction of</w:t>
      </w:r>
      <w:r w:rsidR="003022B8">
        <w:t xml:space="preserve"> </w:t>
      </w:r>
      <w:r w:rsidR="00721412">
        <w:t xml:space="preserve">the defendant for </w:t>
      </w:r>
      <w:r w:rsidR="003022B8">
        <w:t xml:space="preserve">a hate crime. </w:t>
      </w:r>
    </w:p>
    <w:p w14:paraId="786220D5" w14:textId="4FE09CB7" w:rsidR="00384027" w:rsidRDefault="00877098" w:rsidP="00B57565">
      <w:pPr>
        <w:pStyle w:val="BodyText"/>
      </w:pPr>
      <w:r>
        <w:t xml:space="preserve">This </w:t>
      </w:r>
      <w:r w:rsidR="0068682A">
        <w:t>risk does not arise</w:t>
      </w:r>
      <w:r>
        <w:t xml:space="preserve"> under the sentence aggravation model</w:t>
      </w:r>
      <w:r w:rsidR="0068682A">
        <w:t xml:space="preserve"> because</w:t>
      </w:r>
      <w:r>
        <w:t xml:space="preserve"> </w:t>
      </w:r>
      <w:r w:rsidR="008B6F2F">
        <w:t>the application of the aggravating factor is only considered by the sentencing ju</w:t>
      </w:r>
      <w:r w:rsidR="003F486E">
        <w:t xml:space="preserve">dge after conviction. </w:t>
      </w:r>
      <w:r w:rsidR="00304E05">
        <w:t xml:space="preserve">We </w:t>
      </w:r>
      <w:r w:rsidR="0070451E">
        <w:t>found no</w:t>
      </w:r>
      <w:r w:rsidR="00304E05">
        <w:t xml:space="preserve"> </w:t>
      </w:r>
      <w:r w:rsidR="00F714D0">
        <w:t xml:space="preserve">evidence that judges are reluctant to apply the aggravating factor for </w:t>
      </w:r>
      <w:r w:rsidR="0036781B">
        <w:t>fear of labelling the offender</w:t>
      </w:r>
      <w:r w:rsidR="00CB2F44">
        <w:t>.</w:t>
      </w:r>
      <w:r w:rsidR="00982DEF">
        <w:t xml:space="preserve"> </w:t>
      </w:r>
    </w:p>
    <w:p w14:paraId="1551B49F" w14:textId="1DA9AE86" w:rsidR="00EC1B14" w:rsidRDefault="00EC1B14" w:rsidP="00EC1B14">
      <w:pPr>
        <w:pStyle w:val="Heading3"/>
      </w:pPr>
      <w:r>
        <w:t>Denouncing hate crime</w:t>
      </w:r>
    </w:p>
    <w:p w14:paraId="7A8B01CA" w14:textId="6DE51279" w:rsidR="00EC1B14" w:rsidRDefault="00EC1B14" w:rsidP="00B57565">
      <w:pPr>
        <w:pStyle w:val="BodyText"/>
      </w:pPr>
      <w:r>
        <w:t>In Chapter 4</w:t>
      </w:r>
      <w:r w:rsidR="00EE64C5">
        <w:t>,</w:t>
      </w:r>
      <w:r w:rsidR="00ED2420">
        <w:t xml:space="preserve"> we explained that</w:t>
      </w:r>
      <w:r>
        <w:t xml:space="preserve">, </w:t>
      </w:r>
      <w:r w:rsidR="00ED2420">
        <w:t>under the current law, the courts are not required to communicate clearly to the public that an offence was a hate crime</w:t>
      </w:r>
      <w:r>
        <w:t xml:space="preserve">. This may mean hostile motivation is not consistently denounced. </w:t>
      </w:r>
    </w:p>
    <w:p w14:paraId="41D08DE8" w14:textId="1374064E" w:rsidR="00EC1B14" w:rsidRDefault="00EC1B14" w:rsidP="00B57565">
      <w:pPr>
        <w:pStyle w:val="BodyText"/>
      </w:pPr>
      <w:r>
        <w:t xml:space="preserve">Changing the legal model, and the publicity around that reform process, could perform a symbolic function and signal to the public that the </w:t>
      </w:r>
      <w:r w:rsidR="00072AC9">
        <w:t>G</w:t>
      </w:r>
      <w:r>
        <w:t>overnment takes hate crime seriously. As the Royal Commission suggested, this could also have a general deterrent effect by influencing societal attitudes over time.</w:t>
      </w:r>
      <w:r>
        <w:rPr>
          <w:rStyle w:val="FootnoteReference"/>
        </w:rPr>
        <w:footnoteReference w:id="406"/>
      </w:r>
      <w:r>
        <w:t xml:space="preserve"> These benefits may be stronger in relation to the specific hate crime offence model, since it sets higher maximum penalties for hostility-motivated offending. </w:t>
      </w:r>
    </w:p>
    <w:p w14:paraId="78E0C9EE" w14:textId="3F4B6680" w:rsidR="00EC1B14" w:rsidRDefault="00AB5222" w:rsidP="00B57565">
      <w:pPr>
        <w:pStyle w:val="BodyText"/>
      </w:pPr>
      <w:r>
        <w:t>However, a</w:t>
      </w:r>
      <w:r w:rsidR="00EC1B14" w:rsidRPr="00872D59">
        <w:t xml:space="preserve">s </w:t>
      </w:r>
      <w:r w:rsidR="00EC1B14">
        <w:t>explained in Chapter 3</w:t>
      </w:r>
      <w:r w:rsidR="00EC1B14" w:rsidRPr="00872D59">
        <w:t>,</w:t>
      </w:r>
      <w:r w:rsidR="00EC1B14" w:rsidRPr="009A60BE">
        <w:t xml:space="preserve"> the </w:t>
      </w:r>
      <w:r w:rsidR="00EC1B14">
        <w:t xml:space="preserve">denunciatory effect of enacting </w:t>
      </w:r>
      <w:r w:rsidR="00EC1B14" w:rsidRPr="009A60BE">
        <w:t>hate crime law</w:t>
      </w:r>
      <w:r w:rsidR="00EC1B14">
        <w:t xml:space="preserve"> </w:t>
      </w:r>
      <w:r w:rsidR="00EC1B14" w:rsidRPr="009A60BE">
        <w:t xml:space="preserve">is a one-off occurrence. Most members of the public do not read legislation and so the existence of hate crime laws alone is unlikely to have a significant continuing effect on the public consciousness. </w:t>
      </w:r>
      <w:r w:rsidR="00EC1B14">
        <w:t>For hate crime laws to have an ongoing denunciatory effect, t</w:t>
      </w:r>
      <w:r w:rsidR="00EC1B14" w:rsidRPr="009A60BE">
        <w:t xml:space="preserve">he application of the law in particular </w:t>
      </w:r>
      <w:r w:rsidR="00EC1B14">
        <w:t xml:space="preserve">cases </w:t>
      </w:r>
      <w:r w:rsidR="00EC1B14" w:rsidRPr="009A60BE">
        <w:t>(and associated publicity) is</w:t>
      </w:r>
      <w:r w:rsidR="00EC1B14">
        <w:t xml:space="preserve"> therefore required. </w:t>
      </w:r>
      <w:r w:rsidR="00EC1B14" w:rsidRPr="009A60BE">
        <w:t xml:space="preserve"> </w:t>
      </w:r>
    </w:p>
    <w:p w14:paraId="62AFA8B1" w14:textId="77777777" w:rsidR="00EC1B14" w:rsidRDefault="00EC1B14" w:rsidP="00B57565">
      <w:pPr>
        <w:pStyle w:val="BodyText"/>
      </w:pPr>
      <w:r>
        <w:t>If hate crime offences were enacted, where they are used, they</w:t>
      </w:r>
      <w:r w:rsidRPr="00045FCC">
        <w:t xml:space="preserve"> would</w:t>
      </w:r>
      <w:r>
        <w:t xml:space="preserve"> </w:t>
      </w:r>
      <w:r w:rsidRPr="00045FCC">
        <w:t xml:space="preserve">more strongly denounce hate crimes </w:t>
      </w:r>
      <w:r>
        <w:t xml:space="preserve">compared to the current law. Under either alternative model, hate crimes would be </w:t>
      </w:r>
      <w:r w:rsidRPr="00045FCC">
        <w:t>clearly</w:t>
      </w:r>
      <w:r>
        <w:t xml:space="preserve"> and consistently</w:t>
      </w:r>
      <w:r w:rsidRPr="00045FCC">
        <w:t xml:space="preserve"> labell</w:t>
      </w:r>
      <w:r>
        <w:t>ed</w:t>
      </w:r>
      <w:r w:rsidRPr="00045FCC">
        <w:t xml:space="preserve"> as such </w:t>
      </w:r>
      <w:r>
        <w:t xml:space="preserve">at both charge and conviction. This is also likely to encourage sentencing judges to squarely address the defendant’s hostile motivation in sentencing decisions. </w:t>
      </w:r>
    </w:p>
    <w:p w14:paraId="713970A2" w14:textId="6568B720" w:rsidR="00A20CBF" w:rsidRDefault="005A26EE" w:rsidP="00B57565">
      <w:pPr>
        <w:pStyle w:val="BodyText"/>
      </w:pPr>
      <w:r>
        <w:t>In practice</w:t>
      </w:r>
      <w:r w:rsidR="002B1502">
        <w:t xml:space="preserve">, </w:t>
      </w:r>
      <w:r w:rsidR="004625B2">
        <w:t>h</w:t>
      </w:r>
      <w:r w:rsidR="00EC1B14">
        <w:t>owever</w:t>
      </w:r>
      <w:r w:rsidR="00EC1B14" w:rsidDel="004625B2">
        <w:t xml:space="preserve">, </w:t>
      </w:r>
      <w:r w:rsidR="00EC1B14">
        <w:t xml:space="preserve">the denunciatory effect of hate crime offences would be limited. </w:t>
      </w:r>
      <w:r>
        <w:t>As explained above, d</w:t>
      </w:r>
      <w:r w:rsidR="00EC1B14">
        <w:t>efendants are unlikely to be consistently charged with and convicted of hate crime offences. In cases where the defendant was charged with or convicted of the base offence instead, their hostility would not be denounced at all.</w:t>
      </w:r>
      <w:r w:rsidR="00696849">
        <w:rPr>
          <w:rStyle w:val="FootnoteReference"/>
        </w:rPr>
        <w:footnoteReference w:id="407"/>
      </w:r>
      <w:r w:rsidR="00DA7F8F">
        <w:t xml:space="preserve"> </w:t>
      </w:r>
    </w:p>
    <w:p w14:paraId="58BD4342" w14:textId="7F292456" w:rsidR="00EC1B14" w:rsidRDefault="00EC1B14" w:rsidP="00B57565">
      <w:pPr>
        <w:pStyle w:val="BodyText"/>
      </w:pPr>
      <w:r>
        <w:t>Sentencing already provides an appropriate mechanism for denouncing hate crime. D</w:t>
      </w:r>
      <w:r w:rsidRPr="009A60BE">
        <w:t>enouncing offending is one of the purposes of sentencing set out in the Sentencing Act.</w:t>
      </w:r>
      <w:r w:rsidRPr="009A60BE">
        <w:rPr>
          <w:rStyle w:val="FootnoteReference"/>
        </w:rPr>
        <w:footnoteReference w:id="408"/>
      </w:r>
      <w:r w:rsidRPr="009A60BE">
        <w:t xml:space="preserve"> </w:t>
      </w:r>
      <w:r w:rsidR="00132E08">
        <w:t>However, d</w:t>
      </w:r>
      <w:r>
        <w:t>enunciation</w:t>
      </w:r>
      <w:r w:rsidRPr="009A60BE">
        <w:t xml:space="preserve"> depends on judge</w:t>
      </w:r>
      <w:r>
        <w:t>s</w:t>
      </w:r>
      <w:r w:rsidRPr="009A60BE">
        <w:t xml:space="preserve"> making it clear </w:t>
      </w:r>
      <w:r>
        <w:t xml:space="preserve">at sentencing </w:t>
      </w:r>
      <w:r w:rsidRPr="009A60BE">
        <w:t xml:space="preserve">that the offence was motivated by hostility and that this makes the offence more serious. </w:t>
      </w:r>
      <w:r w:rsidR="00722B56">
        <w:t xml:space="preserve">While this </w:t>
      </w:r>
      <w:r>
        <w:t>already occurs in some cases</w:t>
      </w:r>
      <w:r w:rsidR="00722B56">
        <w:t>,</w:t>
      </w:r>
      <w:r w:rsidRPr="009A60BE">
        <w:rPr>
          <w:vertAlign w:val="superscript"/>
        </w:rPr>
        <w:footnoteReference w:id="409"/>
      </w:r>
      <w:r w:rsidR="005507C2">
        <w:t xml:space="preserve"> </w:t>
      </w:r>
      <w:r w:rsidR="00132E08">
        <w:t xml:space="preserve">as explained in Chapter 4, the current law does not contain any structural mechanisms to ensure </w:t>
      </w:r>
      <w:r w:rsidR="00722B56">
        <w:t>it</w:t>
      </w:r>
      <w:r w:rsidR="00132E08">
        <w:t xml:space="preserve"> happens consistently.</w:t>
      </w:r>
    </w:p>
    <w:p w14:paraId="6FCA2AD8" w14:textId="6A9B5667" w:rsidR="00EC1B14" w:rsidRPr="009A60BE" w:rsidRDefault="00307F74" w:rsidP="00B57565">
      <w:pPr>
        <w:pStyle w:val="BodyText"/>
      </w:pPr>
      <w:r>
        <w:t>This is not</w:t>
      </w:r>
      <w:r w:rsidR="00EC1B14">
        <w:t xml:space="preserve"> a fundamental problem with the sentence aggravation model. </w:t>
      </w:r>
      <w:r w:rsidR="00EC1B14" w:rsidRPr="009A60BE">
        <w:t xml:space="preserve">In Chapter </w:t>
      </w:r>
      <w:r w:rsidR="00EC1B14">
        <w:t>7</w:t>
      </w:r>
      <w:r w:rsidR="00EC1B14" w:rsidRPr="009A60BE">
        <w:t>, we recommend an amendment to the Sentencing Act to require the courts to state if an offence was motivated by hostility when delivering a sentencing decision. This would be supported by</w:t>
      </w:r>
      <w:r w:rsidR="005507C2">
        <w:t xml:space="preserve"> </w:t>
      </w:r>
      <w:r w:rsidR="00B5217F">
        <w:t>other</w:t>
      </w:r>
      <w:r w:rsidR="00B5217F" w:rsidRPr="009A60BE">
        <w:t xml:space="preserve"> </w:t>
      </w:r>
      <w:r w:rsidR="00EC1B14" w:rsidRPr="009A60BE">
        <w:t>recommendation</w:t>
      </w:r>
      <w:r w:rsidR="00B5217F">
        <w:t>s</w:t>
      </w:r>
      <w:r w:rsidR="00EC1B14" w:rsidRPr="009A60BE">
        <w:t xml:space="preserve"> </w:t>
      </w:r>
      <w:r w:rsidR="00B5217F">
        <w:t>(</w:t>
      </w:r>
      <w:r w:rsidR="00932538">
        <w:t xml:space="preserve">which we </w:t>
      </w:r>
      <w:r w:rsidR="00B5217F">
        <w:t xml:space="preserve">discuss </w:t>
      </w:r>
      <w:r w:rsidR="00EC1B14" w:rsidRPr="009A60BE">
        <w:t xml:space="preserve">in Chapter </w:t>
      </w:r>
      <w:r w:rsidR="00EC1B14">
        <w:t>6</w:t>
      </w:r>
      <w:r w:rsidR="00B5217F">
        <w:t>)</w:t>
      </w:r>
      <w:r w:rsidR="00EC1B14" w:rsidRPr="009A60BE">
        <w:t xml:space="preserve"> to flag </w:t>
      </w:r>
      <w:r w:rsidR="00EC1B14">
        <w:t xml:space="preserve">potential </w:t>
      </w:r>
      <w:r w:rsidR="00EC1B14" w:rsidRPr="009A60BE">
        <w:t>hate crime cases in the courts and</w:t>
      </w:r>
      <w:r w:rsidR="009E2A25">
        <w:t xml:space="preserve"> to</w:t>
      </w:r>
      <w:r w:rsidR="00EC1B14" w:rsidRPr="009A60BE">
        <w:t xml:space="preserve"> require </w:t>
      </w:r>
      <w:r w:rsidR="00EC1B14">
        <w:t>the courts</w:t>
      </w:r>
      <w:r w:rsidR="00EC1B14" w:rsidRPr="009A60BE">
        <w:t xml:space="preserve"> to </w:t>
      </w:r>
      <w:r w:rsidR="00EC1B14">
        <w:t>make an entry</w:t>
      </w:r>
      <w:r w:rsidR="00EC1B14" w:rsidRPr="009A60BE">
        <w:t xml:space="preserve"> </w:t>
      </w:r>
      <w:r w:rsidR="00EC1B14">
        <w:t xml:space="preserve">on the permanent court record </w:t>
      </w:r>
      <w:r w:rsidR="00EC1B14" w:rsidRPr="009A60BE">
        <w:t>when section</w:t>
      </w:r>
      <w:r w:rsidR="00B5217F">
        <w:rPr>
          <w:rFonts w:ascii="Calibri" w:hAnsi="Calibri" w:cs="Calibri"/>
        </w:rPr>
        <w:t> </w:t>
      </w:r>
      <w:r w:rsidR="00EC1B14" w:rsidRPr="009A60BE">
        <w:t xml:space="preserve">9(1)(h) of the Sentencing Act applies. Alongside judicial training, these recommendations will draw judicial attention to the aggravating factor, the need to make a clear finding on its application and the need to strongly denounce hostile motivation in sentencing decisions. </w:t>
      </w:r>
      <w:r w:rsidR="00EC1B14">
        <w:t xml:space="preserve">The law reform process to implement these changes would also have a symbolic effect, signalling to the public that the </w:t>
      </w:r>
      <w:r w:rsidR="00B21147">
        <w:t>G</w:t>
      </w:r>
      <w:r w:rsidR="00EC1B14">
        <w:t>overnment views hate crime as a serious issue.</w:t>
      </w:r>
    </w:p>
    <w:p w14:paraId="39DA8194" w14:textId="25CB054F" w:rsidR="00EC1B14" w:rsidRPr="00045FCC" w:rsidRDefault="00EC1B14" w:rsidP="00B57565">
      <w:pPr>
        <w:pStyle w:val="BodyText"/>
      </w:pPr>
      <w:r w:rsidRPr="00045FCC">
        <w:t>Some</w:t>
      </w:r>
      <w:r w:rsidRPr="00045FCC" w:rsidDel="00472767">
        <w:t xml:space="preserve"> </w:t>
      </w:r>
      <w:r w:rsidRPr="00045FCC">
        <w:t>organisations we spoke</w:t>
      </w:r>
      <w:r w:rsidR="005507C2">
        <w:t xml:space="preserve"> </w:t>
      </w:r>
      <w:r>
        <w:t>with</w:t>
      </w:r>
      <w:r w:rsidRPr="00045FCC">
        <w:t xml:space="preserve"> during consultation thought that sentencing occurs too late in the </w:t>
      </w:r>
      <w:r>
        <w:t xml:space="preserve">justice </w:t>
      </w:r>
      <w:r w:rsidRPr="00045FCC">
        <w:t xml:space="preserve">process and that </w:t>
      </w:r>
      <w:r>
        <w:t>a prosecution for a hate crime offence would</w:t>
      </w:r>
      <w:r w:rsidRPr="00045FCC">
        <w:t xml:space="preserve"> show the justice system </w:t>
      </w:r>
      <w:r>
        <w:t>treats</w:t>
      </w:r>
      <w:r w:rsidRPr="00045FCC">
        <w:t xml:space="preserve"> hate crime seriously. </w:t>
      </w:r>
      <w:r>
        <w:t>C</w:t>
      </w:r>
      <w:r w:rsidRPr="00045FCC">
        <w:t xml:space="preserve">harging a person with a hate crime offence could send a stronger message of support to the victim and the affected community earlier in the process. However, </w:t>
      </w:r>
      <w:r>
        <w:t xml:space="preserve">this benefit is offset by the likelihood </w:t>
      </w:r>
      <w:r w:rsidRPr="00045FCC">
        <w:t>that</w:t>
      </w:r>
      <w:r>
        <w:t>,</w:t>
      </w:r>
      <w:r w:rsidRPr="00045FCC">
        <w:t xml:space="preserve"> in practice</w:t>
      </w:r>
      <w:r>
        <w:t>,</w:t>
      </w:r>
      <w:r w:rsidRPr="00045FCC">
        <w:t xml:space="preserve"> hate crime offences </w:t>
      </w:r>
      <w:r>
        <w:t>(</w:t>
      </w:r>
      <w:r w:rsidRPr="00045FCC">
        <w:t>where used</w:t>
      </w:r>
      <w:r>
        <w:t>)</w:t>
      </w:r>
      <w:r w:rsidRPr="00045FCC">
        <w:t xml:space="preserve"> would result in more contested trials and longer case resolution times. </w:t>
      </w:r>
      <w:r>
        <w:t xml:space="preserve">There is also a real risk that defendants </w:t>
      </w:r>
      <w:r w:rsidR="00350299">
        <w:t xml:space="preserve">would </w:t>
      </w:r>
      <w:r>
        <w:t xml:space="preserve">only be charged with or convicted of the base offence and hostile motivation </w:t>
      </w:r>
      <w:r w:rsidR="00350299">
        <w:t xml:space="preserve">would </w:t>
      </w:r>
      <w:r>
        <w:t>not be taken into account at all</w:t>
      </w:r>
      <w:r w:rsidRPr="00045FCC">
        <w:t xml:space="preserve">. </w:t>
      </w:r>
      <w:r>
        <w:t>We</w:t>
      </w:r>
      <w:r w:rsidRPr="00045FCC">
        <w:t xml:space="preserve"> do not </w:t>
      </w:r>
      <w:r w:rsidR="005D5C28">
        <w:t>consider</w:t>
      </w:r>
      <w:r w:rsidRPr="00045FCC">
        <w:t xml:space="preserve"> that would improve the experience of victims or send the right message to affected communities.</w:t>
      </w:r>
    </w:p>
    <w:p w14:paraId="0EA9CDD4" w14:textId="77777777" w:rsidR="00EC1B14" w:rsidRPr="009A60BE" w:rsidRDefault="00EC1B14" w:rsidP="00B57565">
      <w:pPr>
        <w:pStyle w:val="BodyText"/>
      </w:pPr>
      <w:r>
        <w:t>Accordingly, changing the legal model is not required to improve denunciation of hate crime. Nor would it do so in a comprehensive way. The better approach is to reform the current law to encourage consistent denunciation of hate crimes at sentencing.</w:t>
      </w:r>
    </w:p>
    <w:p w14:paraId="6E44E4CD" w14:textId="683497BF" w:rsidR="006B2D9E" w:rsidRDefault="006622B0" w:rsidP="007B1B46">
      <w:pPr>
        <w:pStyle w:val="Heading3"/>
      </w:pPr>
      <w:r>
        <w:t xml:space="preserve">Systematic </w:t>
      </w:r>
      <w:r w:rsidR="00401C4C">
        <w:t>r</w:t>
      </w:r>
      <w:r w:rsidR="006B2D9E">
        <w:t xml:space="preserve">ecording </w:t>
      </w:r>
      <w:r w:rsidR="002F6C2B">
        <w:t xml:space="preserve">of </w:t>
      </w:r>
      <w:r w:rsidR="006B2D9E">
        <w:t>hate crime</w:t>
      </w:r>
    </w:p>
    <w:p w14:paraId="3CC5031B" w14:textId="58C20CA0" w:rsidR="00D67562" w:rsidRPr="00D67562" w:rsidRDefault="00D67562" w:rsidP="00B57565">
      <w:pPr>
        <w:pStyle w:val="BodyText"/>
      </w:pPr>
      <w:r>
        <w:t>In Chapter 4, we explained that</w:t>
      </w:r>
      <w:r w:rsidR="000B3959">
        <w:t>,</w:t>
      </w:r>
      <w:r w:rsidR="000B3959" w:rsidRPr="00F80571">
        <w:t xml:space="preserve"> </w:t>
      </w:r>
      <w:r w:rsidR="000B3959">
        <w:t>o</w:t>
      </w:r>
      <w:r w:rsidR="000B3959" w:rsidRPr="00F80571">
        <w:t>utside of sentencing decisions, the current law does not</w:t>
      </w:r>
      <w:r w:rsidR="003C302A" w:rsidRPr="003C302A">
        <w:t xml:space="preserve"> provide a mechanism for systematically documenting court findings that an offence was motivated by hostility</w:t>
      </w:r>
      <w:r w:rsidR="000B3959" w:rsidRPr="00F80571">
        <w:t xml:space="preserve">. </w:t>
      </w:r>
      <w:r w:rsidRPr="00D67562">
        <w:t xml:space="preserve">This limits the ability of Police, the courts and </w:t>
      </w:r>
      <w:r w:rsidR="003102FF" w:rsidRPr="003102FF">
        <w:t>Ara Poutama Aotearoa | Department of Corrections</w:t>
      </w:r>
      <w:r w:rsidR="003102FF">
        <w:t xml:space="preserve"> </w:t>
      </w:r>
      <w:r w:rsidRPr="00D67562">
        <w:t>to deal with the offender appropriately in future. It also makes it difficult to assess how the justice system is responding to hate crime and to develop appropriate laws and policies to improve that response if required.</w:t>
      </w:r>
    </w:p>
    <w:p w14:paraId="033054A2" w14:textId="34FD680F" w:rsidR="00C62C0C" w:rsidRDefault="001731A2" w:rsidP="00B57565">
      <w:pPr>
        <w:pStyle w:val="BodyText"/>
      </w:pPr>
      <w:r>
        <w:t>Under</w:t>
      </w:r>
      <w:r w:rsidR="0079678D">
        <w:t xml:space="preserve"> either alternative </w:t>
      </w:r>
      <w:r>
        <w:t>le</w:t>
      </w:r>
      <w:r w:rsidR="00B61185">
        <w:t>gal</w:t>
      </w:r>
      <w:r w:rsidR="0079678D">
        <w:t xml:space="preserve"> model</w:t>
      </w:r>
      <w:r>
        <w:t>, the use of hate crime offences</w:t>
      </w:r>
      <w:r w:rsidR="0079678D">
        <w:t xml:space="preserve"> would </w:t>
      </w:r>
      <w:r w:rsidR="00346EA8">
        <w:t>address this issue up to a point</w:t>
      </w:r>
      <w:r w:rsidR="00BD2869">
        <w:t>.</w:t>
      </w:r>
      <w:r w:rsidR="00145D65">
        <w:t xml:space="preserve"> </w:t>
      </w:r>
      <w:r w:rsidR="009740A0">
        <w:t>The</w:t>
      </w:r>
      <w:r w:rsidR="00145D65">
        <w:t xml:space="preserve"> </w:t>
      </w:r>
      <w:r w:rsidR="00C62C0C">
        <w:t xml:space="preserve">fact </w:t>
      </w:r>
      <w:r w:rsidR="00494181">
        <w:t>that</w:t>
      </w:r>
      <w:r w:rsidR="00145D65">
        <w:t xml:space="preserve"> the defendant </w:t>
      </w:r>
      <w:r w:rsidR="00B61185">
        <w:t>was</w:t>
      </w:r>
      <w:r w:rsidR="00C62C0C">
        <w:t xml:space="preserve"> </w:t>
      </w:r>
      <w:r w:rsidR="00145D65">
        <w:t xml:space="preserve">charged with </w:t>
      </w:r>
      <w:r w:rsidR="00B61185">
        <w:t>or</w:t>
      </w:r>
      <w:r w:rsidR="00C62C0C">
        <w:t xml:space="preserve"> convicted of a hostility-motivated offence </w:t>
      </w:r>
      <w:r w:rsidR="009740A0">
        <w:t>would automatically form</w:t>
      </w:r>
      <w:r w:rsidR="00C62C0C">
        <w:t xml:space="preserve"> part of the official record. </w:t>
      </w:r>
      <w:r w:rsidR="005C759B">
        <w:t>If, however,</w:t>
      </w:r>
      <w:r w:rsidR="0089669D">
        <w:t xml:space="preserve"> the defendant </w:t>
      </w:r>
      <w:r w:rsidR="00F37A34">
        <w:t>was</w:t>
      </w:r>
      <w:r w:rsidR="0089669D">
        <w:t xml:space="preserve"> charged with or convicted of the base offence instead, the offending would not be recorded as a hate crime</w:t>
      </w:r>
      <w:r w:rsidR="00E05CE5">
        <w:t xml:space="preserve"> even if there </w:t>
      </w:r>
      <w:r w:rsidR="00F37A34">
        <w:t>was</w:t>
      </w:r>
      <w:r w:rsidR="00E05CE5">
        <w:t xml:space="preserve"> evidence </w:t>
      </w:r>
      <w:r w:rsidR="00633D80">
        <w:t>of hostile motivation</w:t>
      </w:r>
      <w:r w:rsidR="00E05CE5">
        <w:t xml:space="preserve">. </w:t>
      </w:r>
    </w:p>
    <w:p w14:paraId="2FA28D67" w14:textId="6EFC696A" w:rsidR="00213897" w:rsidRDefault="00213897" w:rsidP="00B57565">
      <w:pPr>
        <w:pStyle w:val="BodyText"/>
      </w:pPr>
      <w:r>
        <w:t>Under the approach to specific hate crime offences in England and Wales, which the Royal Commission</w:t>
      </w:r>
      <w:r w:rsidR="00F37A34">
        <w:t xml:space="preserve"> recommended adopting in Aotearoa New Zealand</w:t>
      </w:r>
      <w:r>
        <w:t>,</w:t>
      </w:r>
      <w:r w:rsidR="00A83135">
        <w:t xml:space="preserve"> recording advantages would be </w:t>
      </w:r>
      <w:r w:rsidR="000B4B91">
        <w:t xml:space="preserve">further </w:t>
      </w:r>
      <w:r w:rsidR="00A83135">
        <w:t xml:space="preserve">limited by the comparatively confined scope of the offences. Under that approach, </w:t>
      </w:r>
      <w:r>
        <w:t xml:space="preserve">only listed offence types are covered (for example, </w:t>
      </w:r>
      <w:r w:rsidRPr="00045FCC">
        <w:t>assaults or property damage</w:t>
      </w:r>
      <w:r>
        <w:t>). A maximum penalty is specified for each offence separately</w:t>
      </w:r>
      <w:r w:rsidRPr="00045FCC">
        <w:t xml:space="preserve">. </w:t>
      </w:r>
      <w:r>
        <w:t xml:space="preserve">In cases where the offence </w:t>
      </w:r>
      <w:r w:rsidR="004C47B9">
        <w:t>charged</w:t>
      </w:r>
      <w:r>
        <w:t xml:space="preserve"> does not have a corresponding hate crime offence, hostile motivation is </w:t>
      </w:r>
      <w:r w:rsidR="004E6D43">
        <w:t xml:space="preserve">instead </w:t>
      </w:r>
      <w:r>
        <w:t xml:space="preserve">addressed at sentencing through the application of an aggravating factor. </w:t>
      </w:r>
      <w:r w:rsidR="004E6D43">
        <w:t>This</w:t>
      </w:r>
      <w:r>
        <w:t xml:space="preserve"> means </w:t>
      </w:r>
      <w:r w:rsidR="004E6D43">
        <w:t xml:space="preserve">the </w:t>
      </w:r>
      <w:r>
        <w:t>offences do not ensure consistent recording of all offending</w:t>
      </w:r>
      <w:r w:rsidR="00A06CF7">
        <w:t xml:space="preserve"> that the courts find to be </w:t>
      </w:r>
      <w:r w:rsidR="005507C2">
        <w:t>motivated by hostility</w:t>
      </w:r>
      <w:r>
        <w:t>.</w:t>
      </w:r>
      <w:r w:rsidR="00925B51">
        <w:t xml:space="preserve"> </w:t>
      </w:r>
      <w:r w:rsidR="004B1AA6">
        <w:t>A separate mechanism is</w:t>
      </w:r>
      <w:r>
        <w:t xml:space="preserve"> needed </w:t>
      </w:r>
      <w:r w:rsidR="00FB1662">
        <w:t>to</w:t>
      </w:r>
      <w:r>
        <w:t xml:space="preserve"> record cases </w:t>
      </w:r>
      <w:r w:rsidR="00A06CF7">
        <w:t xml:space="preserve">that are </w:t>
      </w:r>
      <w:r>
        <w:t xml:space="preserve">dealt with through sentence aggravation. </w:t>
      </w:r>
      <w:r w:rsidR="00FB623E">
        <w:t>In</w:t>
      </w:r>
      <w:r w:rsidRPr="00045FCC">
        <w:t xml:space="preserve"> England and Wales, hate crime prosecutions and case outcomes </w:t>
      </w:r>
      <w:r w:rsidR="00F82854">
        <w:t xml:space="preserve">are </w:t>
      </w:r>
      <w:r>
        <w:t>recorded</w:t>
      </w:r>
      <w:r w:rsidRPr="00045FCC">
        <w:t xml:space="preserve"> through manual application of a hate crime flag to ensure </w:t>
      </w:r>
      <w:r>
        <w:t>all relevant offending</w:t>
      </w:r>
      <w:r w:rsidR="00247695">
        <w:t xml:space="preserve"> (including that addressed through sentence aggravation)</w:t>
      </w:r>
      <w:r>
        <w:t xml:space="preserve"> is captured</w:t>
      </w:r>
      <w:r w:rsidRPr="00045FCC">
        <w:t>.</w:t>
      </w:r>
      <w:r w:rsidRPr="00045FCC">
        <w:rPr>
          <w:rStyle w:val="FootnoteReference"/>
        </w:rPr>
        <w:footnoteReference w:id="410"/>
      </w:r>
      <w:r>
        <w:t xml:space="preserve"> </w:t>
      </w:r>
      <w:r w:rsidR="008D3D62">
        <w:t xml:space="preserve">The Law Commission of England and Wales </w:t>
      </w:r>
      <w:r w:rsidR="00C94EFE">
        <w:t>observed that</w:t>
      </w:r>
      <w:r w:rsidR="008D3D62">
        <w:t xml:space="preserve"> </w:t>
      </w:r>
      <w:r w:rsidR="008D594B">
        <w:t>recording sentence aggravation</w:t>
      </w:r>
      <w:r w:rsidR="004B1AA6">
        <w:t>s</w:t>
      </w:r>
      <w:r w:rsidR="008D594B">
        <w:t xml:space="preserve"> </w:t>
      </w:r>
      <w:r w:rsidR="00C94EFE">
        <w:t>has “</w:t>
      </w:r>
      <w:r w:rsidR="00C94EFE" w:rsidRPr="00C94EFE">
        <w:t>further narrowed the distinction</w:t>
      </w:r>
      <w:r w:rsidR="00C94EFE">
        <w:t>”</w:t>
      </w:r>
      <w:r w:rsidR="00C94EFE" w:rsidRPr="00C94EFE">
        <w:t xml:space="preserve"> between the </w:t>
      </w:r>
      <w:r w:rsidR="00C94EFE">
        <w:t>sentence aggravation and specific hate crime offence</w:t>
      </w:r>
      <w:r w:rsidR="00C94EFE" w:rsidRPr="00C94EFE">
        <w:t xml:space="preserve"> models </w:t>
      </w:r>
      <w:r w:rsidR="00C94EFE">
        <w:t>“</w:t>
      </w:r>
      <w:r w:rsidR="00C94EFE" w:rsidRPr="00C94EFE">
        <w:t>as far as recognition and labelling is concerned</w:t>
      </w:r>
      <w:r w:rsidR="00C94EFE">
        <w:t>”</w:t>
      </w:r>
      <w:r w:rsidR="00C94EFE" w:rsidRPr="00C94EFE">
        <w:t>.</w:t>
      </w:r>
      <w:r w:rsidR="00515216">
        <w:rPr>
          <w:rStyle w:val="FootnoteReference"/>
        </w:rPr>
        <w:footnoteReference w:id="411"/>
      </w:r>
    </w:p>
    <w:p w14:paraId="702B70B0" w14:textId="229AEF92" w:rsidR="00C62C0C" w:rsidRDefault="008D3D62" w:rsidP="00B57565">
      <w:pPr>
        <w:pStyle w:val="BodyText"/>
      </w:pPr>
      <w:r>
        <w:t>As the England and Wales approach demonstrates</w:t>
      </w:r>
      <w:r w:rsidR="00C62C0C">
        <w:t xml:space="preserve">, there is no reason in principle </w:t>
      </w:r>
      <w:r w:rsidR="00D8156E">
        <w:t xml:space="preserve">that </w:t>
      </w:r>
      <w:r w:rsidR="00C62C0C">
        <w:t>better r</w:t>
      </w:r>
      <w:r w:rsidR="00C62C0C" w:rsidRPr="009A60BE">
        <w:t xml:space="preserve">ecording practices </w:t>
      </w:r>
      <w:r w:rsidR="00C62C0C">
        <w:t xml:space="preserve">cannot </w:t>
      </w:r>
      <w:r w:rsidR="00C62C0C" w:rsidRPr="009A60BE">
        <w:t xml:space="preserve">be </w:t>
      </w:r>
      <w:r w:rsidR="00C62C0C">
        <w:t>built into the sentenc</w:t>
      </w:r>
      <w:r w:rsidR="00B3594D">
        <w:t>e</w:t>
      </w:r>
      <w:r w:rsidR="00C62C0C">
        <w:t xml:space="preserve"> aggravation model</w:t>
      </w:r>
      <w:r w:rsidR="00C62C0C" w:rsidRPr="009A60BE">
        <w:t xml:space="preserve">. </w:t>
      </w:r>
      <w:r w:rsidR="00973AC4">
        <w:t xml:space="preserve">This would </w:t>
      </w:r>
      <w:r w:rsidR="00E91E29">
        <w:t>be more effective</w:t>
      </w:r>
      <w:r w:rsidR="00973AC4">
        <w:t xml:space="preserve"> than changing the legal model, since it would </w:t>
      </w:r>
      <w:r w:rsidR="006B3FE1">
        <w:t>capture more cases of</w:t>
      </w:r>
      <w:r w:rsidR="007D301A">
        <w:t xml:space="preserve"> hostility-motivated offending</w:t>
      </w:r>
      <w:r w:rsidR="00973AC4">
        <w:t xml:space="preserve">. </w:t>
      </w:r>
      <w:r w:rsidR="00C62C0C">
        <w:t xml:space="preserve">In later chapters, we recommend changes to </w:t>
      </w:r>
      <w:r w:rsidR="00E91E29">
        <w:t xml:space="preserve">the </w:t>
      </w:r>
      <w:r w:rsidR="00C62C0C">
        <w:t xml:space="preserve">current law and </w:t>
      </w:r>
      <w:r w:rsidR="00E91E29">
        <w:t xml:space="preserve">associated </w:t>
      </w:r>
      <w:r w:rsidR="00C62C0C">
        <w:t>process</w:t>
      </w:r>
      <w:r w:rsidR="00E91E29">
        <w:t>es</w:t>
      </w:r>
      <w:r w:rsidR="00C62C0C">
        <w:t xml:space="preserve"> to achieve this. </w:t>
      </w:r>
      <w:r w:rsidR="00C62C0C" w:rsidRPr="009A60BE">
        <w:t xml:space="preserve">In Chapter </w:t>
      </w:r>
      <w:r w:rsidR="00665923">
        <w:t>6</w:t>
      </w:r>
      <w:r w:rsidR="00D04675">
        <w:t>,</w:t>
      </w:r>
      <w:r w:rsidR="00C62C0C" w:rsidRPr="009A60BE">
        <w:t xml:space="preserve"> we recommend </w:t>
      </w:r>
      <w:r w:rsidR="00C62C0C">
        <w:t xml:space="preserve">requiring the courts to record the application of the hostility aggravating factor </w:t>
      </w:r>
      <w:r w:rsidR="009A32F6">
        <w:t xml:space="preserve">on the permanent court record </w:t>
      </w:r>
      <w:r w:rsidR="00C62C0C">
        <w:t xml:space="preserve">and </w:t>
      </w:r>
      <w:r w:rsidR="000E247D">
        <w:t xml:space="preserve">to </w:t>
      </w:r>
      <w:r w:rsidR="00C62C0C">
        <w:t>share that information with Police and Corrections</w:t>
      </w:r>
      <w:r w:rsidR="00C62C0C" w:rsidRPr="009A60BE">
        <w:t xml:space="preserve">. </w:t>
      </w:r>
      <w:r w:rsidR="00C62C0C">
        <w:t>I</w:t>
      </w:r>
      <w:r w:rsidR="00C62C0C" w:rsidRPr="009A60BE">
        <w:t xml:space="preserve">n Chapter </w:t>
      </w:r>
      <w:r w:rsidR="00665923">
        <w:t>9</w:t>
      </w:r>
      <w:r w:rsidR="00C62C0C" w:rsidRPr="009A60BE">
        <w:t>,</w:t>
      </w:r>
      <w:r w:rsidR="00C62C0C">
        <w:t xml:space="preserve"> we recommend</w:t>
      </w:r>
      <w:r w:rsidR="00C62C0C" w:rsidRPr="009A60BE">
        <w:t xml:space="preserve"> that Police and </w:t>
      </w:r>
      <w:r w:rsidR="00797B12">
        <w:t>the</w:t>
      </w:r>
      <w:r w:rsidR="00C62C0C" w:rsidRPr="009A60BE">
        <w:t xml:space="preserve"> Ministry of Justice publish data on hate crime annually. </w:t>
      </w:r>
    </w:p>
    <w:p w14:paraId="7BB0713C" w14:textId="783D309D" w:rsidR="0068575B" w:rsidRPr="009A60BE" w:rsidRDefault="00C62C0C" w:rsidP="00B57565">
      <w:pPr>
        <w:pStyle w:val="BodyText"/>
      </w:pPr>
      <w:r>
        <w:t xml:space="preserve">Reforms of this kind would ensure the </w:t>
      </w:r>
      <w:r w:rsidR="00F67F44">
        <w:t xml:space="preserve">courts </w:t>
      </w:r>
      <w:r>
        <w:t>systematic</w:t>
      </w:r>
      <w:r w:rsidR="00F67F44">
        <w:t>ally</w:t>
      </w:r>
      <w:r>
        <w:t xml:space="preserve"> record information </w:t>
      </w:r>
      <w:r w:rsidR="00F67F44">
        <w:t>about the application</w:t>
      </w:r>
      <w:r>
        <w:t xml:space="preserve"> of </w:t>
      </w:r>
      <w:r w:rsidR="00F67F44">
        <w:t>the hostility aggravating factor</w:t>
      </w:r>
      <w:r w:rsidR="009A32F6">
        <w:t xml:space="preserve"> in an accessible way</w:t>
      </w:r>
      <w:r w:rsidR="00F67F44">
        <w:t>.</w:t>
      </w:r>
      <w:r>
        <w:t xml:space="preserve"> Therefore, we do not consider inadequate recording </w:t>
      </w:r>
      <w:r w:rsidRPr="00670B7A">
        <w:t>of information about hate crime cases</w:t>
      </w:r>
      <w:r>
        <w:t xml:space="preserve"> to be</w:t>
      </w:r>
      <w:r w:rsidRPr="00670B7A">
        <w:t xml:space="preserve"> a fundamental problem with the sentence aggravation model.</w:t>
      </w:r>
      <w:r w:rsidR="0089680F">
        <w:t xml:space="preserve"> It can be resolved without changing the legal model.</w:t>
      </w:r>
    </w:p>
    <w:p w14:paraId="3ABD62F3" w14:textId="36287B3B" w:rsidR="00E01B52" w:rsidRPr="009A60BE" w:rsidRDefault="006621CD" w:rsidP="00E01B52">
      <w:pPr>
        <w:pStyle w:val="Heading3"/>
      </w:pPr>
      <w:r>
        <w:t>Identifying hostile motivation</w:t>
      </w:r>
      <w:r w:rsidR="00E01B52">
        <w:t xml:space="preserve"> as an issue in court proceedings</w:t>
      </w:r>
    </w:p>
    <w:p w14:paraId="464BF533" w14:textId="7FD1AD98" w:rsidR="00442F7C" w:rsidRDefault="008318F3" w:rsidP="00B57565">
      <w:pPr>
        <w:pStyle w:val="BodyText"/>
      </w:pPr>
      <w:r>
        <w:t>In Chapter 4</w:t>
      </w:r>
      <w:r w:rsidR="00E70731">
        <w:t xml:space="preserve">, we explained that </w:t>
      </w:r>
      <w:r w:rsidR="00F87421" w:rsidRPr="006B037D">
        <w:t>there are no structural mechanisms to ensure hostile motivation is consistently identified as an issue in relevant cases</w:t>
      </w:r>
      <w:r w:rsidR="00F87421">
        <w:t>.</w:t>
      </w:r>
      <w:r w:rsidR="00E70731">
        <w:t xml:space="preserve"> </w:t>
      </w:r>
      <w:r w:rsidR="007E3F34">
        <w:t>This creates</w:t>
      </w:r>
      <w:r w:rsidR="00BB6E7C">
        <w:t xml:space="preserve"> a risk </w:t>
      </w:r>
      <w:r w:rsidR="007E3F34">
        <w:t>that</w:t>
      </w:r>
      <w:r w:rsidR="00BB6E7C">
        <w:t xml:space="preserve"> </w:t>
      </w:r>
      <w:r w:rsidR="00C5676E">
        <w:t xml:space="preserve">the hostility aggravating factor may not be considered </w:t>
      </w:r>
      <w:r w:rsidR="00620584">
        <w:t>by the courts in appropriate cases</w:t>
      </w:r>
      <w:r w:rsidR="007E3F34">
        <w:t xml:space="preserve"> or at all relevant points in a proceeding</w:t>
      </w:r>
      <w:r w:rsidR="00AF0276" w:rsidRPr="009A60BE">
        <w:t>.</w:t>
      </w:r>
      <w:r w:rsidR="002C31B2">
        <w:t xml:space="preserve"> </w:t>
      </w:r>
    </w:p>
    <w:p w14:paraId="0B2FBD0F" w14:textId="7714669A" w:rsidR="00442F7C" w:rsidRDefault="00442F7C" w:rsidP="00B57565">
      <w:pPr>
        <w:pStyle w:val="BodyText"/>
      </w:pPr>
      <w:r>
        <w:t xml:space="preserve">Adopting either of the alternative legal models would help to ensure </w:t>
      </w:r>
      <w:r w:rsidR="004067FD">
        <w:t>hostile motivation</w:t>
      </w:r>
      <w:r>
        <w:t xml:space="preserve"> is considered by the court in cases where the defendant has been charged with a hate crime offence. </w:t>
      </w:r>
      <w:r w:rsidR="004067FD">
        <w:t>That is because hostility is an element of the offence and would be clearly labelled as part of the charge. As we have explained, however,</w:t>
      </w:r>
      <w:r w:rsidR="00F7115A">
        <w:t xml:space="preserve"> our analysis suggests prosecutors are unlikely to consistently charge defendants with hate crime offences in relevant cases under either legal model. </w:t>
      </w:r>
      <w:r w:rsidR="00AA204A">
        <w:t>Where such a charge was available but not used, hostility would not be considered by the court at all.</w:t>
      </w:r>
    </w:p>
    <w:p w14:paraId="79050E4E" w14:textId="3B18D388" w:rsidR="00AA204A" w:rsidRDefault="00AA204A" w:rsidP="00B57565">
      <w:pPr>
        <w:pStyle w:val="BodyText"/>
      </w:pPr>
      <w:r>
        <w:t>Additionally, as also discussed above, under the approach to specific hate crime offences in England and Wales</w:t>
      </w:r>
      <w:r w:rsidR="000958D7">
        <w:t>,</w:t>
      </w:r>
      <w:r>
        <w:t xml:space="preserve"> the </w:t>
      </w:r>
      <w:r w:rsidR="00570B5C">
        <w:t>scope of the offences is limited. In cases where a specific offence does not apply and the aggravating factor is relied on instead, other mechanisms would be needed to ensure hostility is taken into account at sentencing.</w:t>
      </w:r>
    </w:p>
    <w:p w14:paraId="1C43CDAA" w14:textId="2C54227E" w:rsidR="00AC4B30" w:rsidRDefault="00D774B5" w:rsidP="00B57565">
      <w:pPr>
        <w:pStyle w:val="BodyText"/>
      </w:pPr>
      <w:r>
        <w:t>Some</w:t>
      </w:r>
      <w:r w:rsidR="00AF0276">
        <w:t xml:space="preserve"> inconsistencies will always occur </w:t>
      </w:r>
      <w:r>
        <w:t>in practice</w:t>
      </w:r>
      <w:r w:rsidR="00AF0276">
        <w:t xml:space="preserve"> regardless of the legal model</w:t>
      </w:r>
      <w:r>
        <w:t>,</w:t>
      </w:r>
      <w:r w:rsidR="00AF0276">
        <w:t xml:space="preserve"> since individual </w:t>
      </w:r>
      <w:r w:rsidR="00163294">
        <w:t xml:space="preserve">police officers, </w:t>
      </w:r>
      <w:r w:rsidR="00AF0276">
        <w:t xml:space="preserve">prosecutors and judges </w:t>
      </w:r>
      <w:r w:rsidR="007617CC">
        <w:t>will not always treat every case identically</w:t>
      </w:r>
      <w:r w:rsidR="00AF0276">
        <w:t xml:space="preserve">. </w:t>
      </w:r>
      <w:r w:rsidR="003F056C">
        <w:t xml:space="preserve">Under the sentence aggravation model, </w:t>
      </w:r>
      <w:r w:rsidR="006E38CC">
        <w:t xml:space="preserve">these individuals </w:t>
      </w:r>
      <w:r w:rsidR="007C403D">
        <w:t xml:space="preserve">are relied on to identify that hostile motivation is an issue and to ensure it is addressed at relevant points in the proceeding. Under the alternative models, </w:t>
      </w:r>
      <w:r w:rsidR="00163294">
        <w:t xml:space="preserve">police officers and prosecutors would still need to identify that </w:t>
      </w:r>
      <w:r w:rsidR="00064211">
        <w:t>hostility is an issue and decide to charge the defendant with a hate crime offence</w:t>
      </w:r>
      <w:r w:rsidR="00685428">
        <w:t xml:space="preserve"> (having regard to t</w:t>
      </w:r>
      <w:r w:rsidR="007F3CCE">
        <w:t>he additional considerations around charging decisions discussed earlier</w:t>
      </w:r>
      <w:r w:rsidR="00685428">
        <w:t xml:space="preserve">). </w:t>
      </w:r>
    </w:p>
    <w:p w14:paraId="413B6E97" w14:textId="33D38090" w:rsidR="00AF0276" w:rsidRDefault="00685428" w:rsidP="00B57565">
      <w:pPr>
        <w:pStyle w:val="BodyText"/>
      </w:pPr>
      <w:r>
        <w:t>Accordingly, we do not consider that the risk of inconsistencies in p</w:t>
      </w:r>
      <w:r w:rsidR="00FD1853">
        <w:t>rosecutorial and judicial practice</w:t>
      </w:r>
      <w:r>
        <w:t xml:space="preserve"> is a problem that can be attributed to the sentence aggravation model in particular.</w:t>
      </w:r>
      <w:r w:rsidR="00FA21E8">
        <w:t xml:space="preserve"> </w:t>
      </w:r>
      <w:r w:rsidR="00800ECB">
        <w:t xml:space="preserve">Changing the legal model </w:t>
      </w:r>
      <w:r w:rsidR="007B39B7">
        <w:t xml:space="preserve">would assist in some ways but would not address the problem </w:t>
      </w:r>
      <w:r w:rsidR="0082168D">
        <w:t>entirely</w:t>
      </w:r>
      <w:r w:rsidR="007B39B7">
        <w:t>.</w:t>
      </w:r>
      <w:r w:rsidR="0011795D">
        <w:t xml:space="preserve"> Some </w:t>
      </w:r>
      <w:r w:rsidR="00170CA8">
        <w:t>offending that is motivated by hostility, and may currently be considered under the aggravating factor, would not be treated as a hate crime at all.</w:t>
      </w:r>
      <w:r w:rsidR="007B39B7">
        <w:t xml:space="preserve"> </w:t>
      </w:r>
      <w:r w:rsidR="00AC4B30">
        <w:t>It is</w:t>
      </w:r>
      <w:r w:rsidR="00C411FF">
        <w:t xml:space="preserve"> therefore</w:t>
      </w:r>
      <w:r w:rsidR="00AC4B30">
        <w:t xml:space="preserve"> preferable to make changes within the current model to </w:t>
      </w:r>
      <w:r w:rsidR="009566D1">
        <w:t>alert the courts when hostile motivation may be an issue.</w:t>
      </w:r>
      <w:r w:rsidR="002458D2">
        <w:t xml:space="preserve"> </w:t>
      </w:r>
    </w:p>
    <w:p w14:paraId="5E61E14D" w14:textId="11A439B1" w:rsidR="00AF0276" w:rsidRPr="009A60BE" w:rsidRDefault="00D85B4B" w:rsidP="00B57565">
      <w:pPr>
        <w:pStyle w:val="BodyText"/>
      </w:pPr>
      <w:r>
        <w:t>In Part 3 of this Report</w:t>
      </w:r>
      <w:r w:rsidR="006A1BE5">
        <w:t>,</w:t>
      </w:r>
      <w:r>
        <w:t xml:space="preserve"> we recommend</w:t>
      </w:r>
      <w:r w:rsidR="00552C4B">
        <w:t xml:space="preserve"> reforms to the current legal model </w:t>
      </w:r>
      <w:r w:rsidR="00552C4B" w:rsidRPr="009A60BE">
        <w:t>to</w:t>
      </w:r>
      <w:r w:rsidR="00552C4B">
        <w:t xml:space="preserve"> </w:t>
      </w:r>
      <w:r w:rsidR="003B5BE1">
        <w:t>prompt</w:t>
      </w:r>
      <w:r w:rsidR="00552C4B" w:rsidRPr="009A60BE">
        <w:t xml:space="preserve"> prosecutors and judges</w:t>
      </w:r>
      <w:r w:rsidR="00552C4B">
        <w:t xml:space="preserve"> to</w:t>
      </w:r>
      <w:r w:rsidR="00552C4B" w:rsidRPr="009A60BE">
        <w:t xml:space="preserve"> </w:t>
      </w:r>
      <w:r w:rsidR="00AF0276" w:rsidRPr="009A60BE">
        <w:t xml:space="preserve">consider the application of the aggravating factor where it is relevant. The court hate crime flag we recommend in Chapter </w:t>
      </w:r>
      <w:r w:rsidR="008A6E85">
        <w:t>6</w:t>
      </w:r>
      <w:r w:rsidR="00AF0276" w:rsidRPr="009A60BE">
        <w:t xml:space="preserve"> would </w:t>
      </w:r>
      <w:r w:rsidR="00A857EE">
        <w:t>prompt</w:t>
      </w:r>
      <w:r w:rsidR="00AF0276" w:rsidRPr="009A60BE">
        <w:t xml:space="preserve"> the courts </w:t>
      </w:r>
      <w:r w:rsidR="00A857EE">
        <w:t xml:space="preserve">to consider whether </w:t>
      </w:r>
      <w:r w:rsidR="009566D1">
        <w:t>the hostility aggravating factor may apply</w:t>
      </w:r>
      <w:r w:rsidR="00AF0276" w:rsidRPr="009A60BE">
        <w:t xml:space="preserve"> at appropriate points in a proceeding</w:t>
      </w:r>
      <w:r w:rsidR="008A6E85">
        <w:t xml:space="preserve">, </w:t>
      </w:r>
      <w:r w:rsidR="00AF0276" w:rsidRPr="009A60BE">
        <w:t xml:space="preserve">based on information provided by the </w:t>
      </w:r>
      <w:r w:rsidR="00AF0276">
        <w:t>investigating police officer</w:t>
      </w:r>
      <w:r w:rsidR="00AF0276" w:rsidRPr="009A60BE">
        <w:t xml:space="preserve"> when charges are laid. </w:t>
      </w:r>
      <w:r w:rsidR="00AF0276" w:rsidRPr="000C39E7">
        <w:t>In Chapter</w:t>
      </w:r>
      <w:r w:rsidR="00AF0276" w:rsidRPr="000C39E7">
        <w:rPr>
          <w:rFonts w:ascii="Calibri" w:hAnsi="Calibri" w:cs="Calibri"/>
        </w:rPr>
        <w:t> </w:t>
      </w:r>
      <w:r w:rsidR="008A6E85">
        <w:t>9</w:t>
      </w:r>
      <w:r w:rsidR="00AF0276" w:rsidRPr="000C39E7">
        <w:t xml:space="preserve">, we make recommendations </w:t>
      </w:r>
      <w:r w:rsidR="00EE4380" w:rsidRPr="000C39E7">
        <w:t>to ensure</w:t>
      </w:r>
      <w:r w:rsidR="00AF0276" w:rsidRPr="000C39E7">
        <w:t xml:space="preserve"> </w:t>
      </w:r>
      <w:r w:rsidR="006A786A">
        <w:t xml:space="preserve">that </w:t>
      </w:r>
      <w:r w:rsidR="00AF0276" w:rsidRPr="000C39E7">
        <w:t>Police, prosecutors and judges</w:t>
      </w:r>
      <w:r w:rsidR="00EE4380" w:rsidRPr="000C39E7">
        <w:t xml:space="preserve"> are </w:t>
      </w:r>
      <w:r w:rsidR="00940242" w:rsidRPr="000C39E7">
        <w:t xml:space="preserve">informed of </w:t>
      </w:r>
      <w:r w:rsidR="00EE4380" w:rsidRPr="000C39E7">
        <w:t>the new court flag process</w:t>
      </w:r>
      <w:r w:rsidR="00AF0276" w:rsidRPr="000C39E7">
        <w:t>.</w:t>
      </w:r>
      <w:r w:rsidR="00AF0276" w:rsidRPr="009A60BE">
        <w:t xml:space="preserve"> Taken together, these recommendations would </w:t>
      </w:r>
      <w:r w:rsidR="00AF0276">
        <w:t>encourage consideration of</w:t>
      </w:r>
      <w:r w:rsidR="00AF0276" w:rsidRPr="009A60BE">
        <w:t xml:space="preserve"> section 9(1)(h) in appropriate cases.</w:t>
      </w:r>
    </w:p>
    <w:p w14:paraId="3E952A65" w14:textId="1FE44DCA" w:rsidR="00D90C02" w:rsidRDefault="007A6CDC" w:rsidP="00E56512">
      <w:pPr>
        <w:pStyle w:val="Heading2"/>
      </w:pPr>
      <w:bookmarkStart w:id="131" w:name="_Toc231467842"/>
      <w:r>
        <w:t xml:space="preserve">Other </w:t>
      </w:r>
      <w:r w:rsidR="00D90C02">
        <w:t xml:space="preserve">disadvantages of the </w:t>
      </w:r>
      <w:r w:rsidR="00E51B9F">
        <w:t>alter</w:t>
      </w:r>
      <w:r w:rsidR="007C3514">
        <w:t>n</w:t>
      </w:r>
      <w:r w:rsidR="00E51B9F">
        <w:t xml:space="preserve">ative </w:t>
      </w:r>
      <w:r w:rsidR="00D90C02">
        <w:t>models</w:t>
      </w:r>
      <w:bookmarkEnd w:id="131"/>
      <w:r w:rsidR="00D90C02">
        <w:t xml:space="preserve"> </w:t>
      </w:r>
    </w:p>
    <w:p w14:paraId="4FBA96A3" w14:textId="58544728" w:rsidR="006B2B78" w:rsidRPr="006B2B78" w:rsidRDefault="002D01E9" w:rsidP="00B57565">
      <w:pPr>
        <w:pStyle w:val="BodyText"/>
      </w:pPr>
      <w:r>
        <w:t>We conclude</w:t>
      </w:r>
      <w:r w:rsidR="006B2B78">
        <w:t xml:space="preserve"> that</w:t>
      </w:r>
      <w:r w:rsidR="003E5912">
        <w:t xml:space="preserve"> </w:t>
      </w:r>
      <w:r w:rsidR="00B96C70">
        <w:t>it is n</w:t>
      </w:r>
      <w:r w:rsidR="000F7C17">
        <w:t>either</w:t>
      </w:r>
      <w:r w:rsidR="00B96C70">
        <w:t xml:space="preserve"> necessary </w:t>
      </w:r>
      <w:r w:rsidR="000F7C17">
        <w:t>nor desirable</w:t>
      </w:r>
      <w:r w:rsidR="00B96C70">
        <w:t xml:space="preserve"> to change</w:t>
      </w:r>
      <w:r w:rsidR="003E5912">
        <w:t xml:space="preserve"> the legal model to address the problems with the current law</w:t>
      </w:r>
      <w:r w:rsidR="00B96C70">
        <w:t>.</w:t>
      </w:r>
      <w:r w:rsidR="00F776FA">
        <w:t xml:space="preserve"> Those problems can be addressed by making changes to the </w:t>
      </w:r>
      <w:r w:rsidR="00863B07">
        <w:t xml:space="preserve">law within the current sentence aggravation model. Moreover, </w:t>
      </w:r>
      <w:r w:rsidR="00404094">
        <w:t>the alternative legal models considered would not address the problems with the current law in a comprehensive way.</w:t>
      </w:r>
    </w:p>
    <w:p w14:paraId="7405C9C2" w14:textId="4E270B58" w:rsidR="009E0DBD" w:rsidRDefault="00501EC1" w:rsidP="00B57565">
      <w:pPr>
        <w:pStyle w:val="BodyText"/>
      </w:pPr>
      <w:r>
        <w:t xml:space="preserve">We have also identified some disadvantages of changing the model. Some of these have already been referred to above. </w:t>
      </w:r>
      <w:r w:rsidR="009E0DBD">
        <w:t>To summarise</w:t>
      </w:r>
      <w:r w:rsidR="005C3E24">
        <w:t xml:space="preserve"> those</w:t>
      </w:r>
      <w:r w:rsidR="009E0DBD">
        <w:t>, making hostile motivation an element of offences (under either alternative model)</w:t>
      </w:r>
      <w:r w:rsidR="009E0DBD" w:rsidRPr="0042385A">
        <w:t xml:space="preserve"> is likely to:</w:t>
      </w:r>
    </w:p>
    <w:p w14:paraId="1D1A1895" w14:textId="24184A24" w:rsidR="009E0DBD" w:rsidRDefault="00A1147D" w:rsidP="009E0DBD">
      <w:pPr>
        <w:pStyle w:val="BodyTextalphalist"/>
        <w:tabs>
          <w:tab w:val="left" w:pos="709"/>
          <w:tab w:val="num" w:pos="5416"/>
        </w:tabs>
        <w:spacing w:before="0"/>
      </w:pPr>
      <w:r>
        <w:t>i</w:t>
      </w:r>
      <w:r w:rsidR="009E0DBD" w:rsidRPr="0042385A">
        <w:t>ncrease the cost</w:t>
      </w:r>
      <w:r w:rsidR="009E0DBD">
        <w:t xml:space="preserve"> and</w:t>
      </w:r>
      <w:r w:rsidR="009E0DBD" w:rsidRPr="0042385A">
        <w:t xml:space="preserve"> complexity </w:t>
      </w:r>
      <w:r w:rsidR="009E0DBD">
        <w:t xml:space="preserve">of </w:t>
      </w:r>
      <w:r w:rsidR="009E0DBD" w:rsidRPr="0042385A">
        <w:t>hate crime proceedings</w:t>
      </w:r>
      <w:r w:rsidR="009E0DBD">
        <w:t xml:space="preserve"> and the </w:t>
      </w:r>
      <w:r w:rsidR="009E0DBD" w:rsidRPr="0042385A">
        <w:t>time take</w:t>
      </w:r>
      <w:r w:rsidR="009E0DBD">
        <w:t>n</w:t>
      </w:r>
      <w:r w:rsidR="009E0DBD" w:rsidRPr="0042385A">
        <w:t xml:space="preserve"> to resolve</w:t>
      </w:r>
      <w:r w:rsidR="009E0DBD">
        <w:t xml:space="preserve"> them</w:t>
      </w:r>
      <w:r>
        <w:t>;</w:t>
      </w:r>
      <w:r w:rsidR="009E0DBD">
        <w:rPr>
          <w:rStyle w:val="FootnoteReference"/>
        </w:rPr>
        <w:footnoteReference w:id="412"/>
      </w:r>
    </w:p>
    <w:p w14:paraId="0D2DBE69" w14:textId="380E4DAE" w:rsidR="009E0DBD" w:rsidRPr="0042385A" w:rsidRDefault="00A1147D" w:rsidP="009E0DBD">
      <w:pPr>
        <w:pStyle w:val="BodyTextalphalist"/>
        <w:tabs>
          <w:tab w:val="left" w:pos="709"/>
          <w:tab w:val="num" w:pos="5416"/>
        </w:tabs>
        <w:spacing w:before="0"/>
      </w:pPr>
      <w:r>
        <w:t>l</w:t>
      </w:r>
      <w:r w:rsidR="009E0DBD" w:rsidRPr="0042385A">
        <w:t xml:space="preserve">ead to </w:t>
      </w:r>
      <w:r w:rsidR="009E0DBD">
        <w:t>hostile</w:t>
      </w:r>
      <w:r w:rsidR="009E0DBD" w:rsidRPr="0042385A">
        <w:t xml:space="preserve"> motivation not being addressed at all in some cases, given the disincentives for prosec</w:t>
      </w:r>
      <w:r w:rsidR="009E0DBD">
        <w:t>u</w:t>
      </w:r>
      <w:r w:rsidR="009E0DBD" w:rsidRPr="0042385A">
        <w:t>tors to charge a person with a hate crime offence</w:t>
      </w:r>
      <w:r w:rsidR="009E0DBD">
        <w:t xml:space="preserve"> and the potential reluctance of juries to convict</w:t>
      </w:r>
      <w:r>
        <w:t>;</w:t>
      </w:r>
      <w:r w:rsidR="009E0DBD">
        <w:rPr>
          <w:rStyle w:val="FootnoteReference"/>
        </w:rPr>
        <w:footnoteReference w:id="413"/>
      </w:r>
      <w:r w:rsidR="009E0DBD" w:rsidRPr="0042385A">
        <w:t xml:space="preserve"> </w:t>
      </w:r>
      <w:r>
        <w:t>and</w:t>
      </w:r>
    </w:p>
    <w:p w14:paraId="2EEE710D" w14:textId="415AF617" w:rsidR="009E0DBD" w:rsidRDefault="00A1147D" w:rsidP="009E0DBD">
      <w:pPr>
        <w:pStyle w:val="BodyTextalphalist"/>
        <w:tabs>
          <w:tab w:val="left" w:pos="709"/>
          <w:tab w:val="num" w:pos="5416"/>
        </w:tabs>
        <w:spacing w:before="0"/>
      </w:pPr>
      <w:r>
        <w:t>i</w:t>
      </w:r>
      <w:r w:rsidR="009E0DBD">
        <w:t>ncrease the burden on victims, in cases where the defendant is charged with a hate crime offence, as there is more likely to be a defended trial at which the victim must give evidence of the alleged hostile motivation.</w:t>
      </w:r>
      <w:r w:rsidR="009E0DBD">
        <w:rPr>
          <w:rStyle w:val="FootnoteReference"/>
        </w:rPr>
        <w:footnoteReference w:id="414"/>
      </w:r>
    </w:p>
    <w:p w14:paraId="7276B719" w14:textId="77777777" w:rsidR="00100C1E" w:rsidRDefault="00100C1E" w:rsidP="00B57565">
      <w:pPr>
        <w:pStyle w:val="BodyText"/>
      </w:pPr>
      <w:r>
        <w:t>In this section, we discuss two other disadvantages we have identified. They are that changing the legal model would:</w:t>
      </w:r>
    </w:p>
    <w:p w14:paraId="4F5B3BB5" w14:textId="77777777" w:rsidR="00100C1E" w:rsidRDefault="00100C1E" w:rsidP="00100C1E">
      <w:pPr>
        <w:pStyle w:val="BodyTextalphalist"/>
      </w:pPr>
      <w:r>
        <w:t>provide less flexibility and scope for future-proofing the law; and</w:t>
      </w:r>
    </w:p>
    <w:p w14:paraId="7A0E71E1" w14:textId="77777777" w:rsidR="00100C1E" w:rsidRDefault="00100C1E" w:rsidP="00100C1E">
      <w:pPr>
        <w:pStyle w:val="BodyTextalphalist"/>
      </w:pPr>
      <w:r>
        <w:t>reduce the overall coherence of the criminal law.</w:t>
      </w:r>
    </w:p>
    <w:p w14:paraId="3BEEA090" w14:textId="77777777" w:rsidR="00100C1E" w:rsidRDefault="00100C1E" w:rsidP="00100C1E">
      <w:pPr>
        <w:pStyle w:val="Heading3"/>
      </w:pPr>
      <w:r>
        <w:t>Reduced flexibility and future-proofing</w:t>
      </w:r>
    </w:p>
    <w:p w14:paraId="4C9288D5" w14:textId="599F9C42" w:rsidR="00100C1E" w:rsidRPr="00045FCC" w:rsidRDefault="00100C1E" w:rsidP="00B57565">
      <w:pPr>
        <w:pStyle w:val="BodyText"/>
      </w:pPr>
      <w:r>
        <w:t>T</w:t>
      </w:r>
      <w:r w:rsidRPr="00045FCC">
        <w:t>he scope of the alternative legal models</w:t>
      </w:r>
      <w:r>
        <w:t xml:space="preserve"> is more confined than the current law</w:t>
      </w:r>
      <w:r w:rsidR="00475980">
        <w:t xml:space="preserve"> in two respects</w:t>
      </w:r>
      <w:r>
        <w:t>. This means that, under either model, some</w:t>
      </w:r>
      <w:r w:rsidRPr="00045FCC">
        <w:t xml:space="preserve"> </w:t>
      </w:r>
      <w:r>
        <w:t xml:space="preserve">hostility-motivated offending may not be captured. </w:t>
      </w:r>
    </w:p>
    <w:p w14:paraId="39E8106C" w14:textId="5F845445" w:rsidR="008A7D35" w:rsidRDefault="00F93CFF" w:rsidP="00B57565">
      <w:pPr>
        <w:pStyle w:val="BodyText"/>
      </w:pPr>
      <w:r>
        <w:t xml:space="preserve">First, if the approach to specific offences in England and Wales were adopted, </w:t>
      </w:r>
      <w:r w:rsidR="00100C1E" w:rsidRPr="0002142A">
        <w:t xml:space="preserve">legislation would need to single out certain types of offences. </w:t>
      </w:r>
      <w:r w:rsidR="00616397">
        <w:t>The offences identified are generally those</w:t>
      </w:r>
      <w:r w:rsidR="00100C1E" w:rsidRPr="0002142A">
        <w:t xml:space="preserve"> </w:t>
      </w:r>
      <w:r w:rsidR="00100C1E" w:rsidRPr="00045FCC">
        <w:t xml:space="preserve">that are most frequently motivated by </w:t>
      </w:r>
      <w:r w:rsidR="00100C1E">
        <w:t xml:space="preserve">hostility </w:t>
      </w:r>
      <w:r w:rsidR="00100C1E" w:rsidRPr="00045FCC">
        <w:t xml:space="preserve">such as certain public order offences and crimes against the person. </w:t>
      </w:r>
      <w:r w:rsidR="00100C1E">
        <w:t>While this would likely capture the bulk of hate crimes</w:t>
      </w:r>
      <w:r w:rsidR="00100C1E" w:rsidRPr="00045FCC">
        <w:t xml:space="preserve">, </w:t>
      </w:r>
      <w:r w:rsidR="00100C1E">
        <w:t>hostile motivation</w:t>
      </w:r>
      <w:r w:rsidR="00100C1E" w:rsidRPr="00045FCC">
        <w:t xml:space="preserve"> can </w:t>
      </w:r>
      <w:r w:rsidR="00100C1E">
        <w:t>accompany</w:t>
      </w:r>
      <w:r w:rsidR="00100C1E" w:rsidRPr="00045FCC">
        <w:t xml:space="preserve"> a wide range of offending</w:t>
      </w:r>
      <w:r w:rsidR="00100C1E">
        <w:t xml:space="preserve"> and some would inevitably be missed</w:t>
      </w:r>
      <w:r w:rsidR="00100C1E" w:rsidRPr="00045FCC">
        <w:t>.</w:t>
      </w:r>
      <w:r w:rsidR="00100C1E">
        <w:rPr>
          <w:rStyle w:val="FootnoteReference"/>
        </w:rPr>
        <w:footnoteReference w:id="415"/>
      </w:r>
      <w:r w:rsidR="00100C1E" w:rsidRPr="00045FCC">
        <w:t xml:space="preserve"> </w:t>
      </w:r>
      <w:r w:rsidR="00100C1E">
        <w:t>In cases that did not fall within the scope of a specific hate crime offence, p</w:t>
      </w:r>
      <w:r w:rsidR="00100C1E" w:rsidRPr="00045FCC">
        <w:t>rosecutors would have to rely on the aggravating factor</w:t>
      </w:r>
      <w:r w:rsidR="00100C1E">
        <w:t xml:space="preserve"> at sentencing</w:t>
      </w:r>
      <w:r w:rsidR="00100C1E" w:rsidRPr="00045FCC">
        <w:t xml:space="preserve"> (</w:t>
      </w:r>
      <w:r w:rsidR="00100C1E">
        <w:t>assuming</w:t>
      </w:r>
      <w:r w:rsidR="00100C1E" w:rsidRPr="00045FCC">
        <w:t xml:space="preserve"> it w</w:t>
      </w:r>
      <w:r w:rsidR="00100C1E">
        <w:t>as</w:t>
      </w:r>
      <w:r w:rsidR="00100C1E" w:rsidRPr="00045FCC">
        <w:t xml:space="preserve"> retained).</w:t>
      </w:r>
      <w:r w:rsidR="00100C1E">
        <w:rPr>
          <w:rStyle w:val="FootnoteReference"/>
        </w:rPr>
        <w:footnoteReference w:id="416"/>
      </w:r>
      <w:r w:rsidR="00100C1E" w:rsidRPr="00045FCC">
        <w:t xml:space="preserve"> </w:t>
      </w:r>
      <w:r w:rsidR="00100C1E">
        <w:t xml:space="preserve">These cases would therefore be treated differently — there would be no increased maximum penalty and the hostility would not form part of the offence. </w:t>
      </w:r>
      <w:r w:rsidR="00277F53">
        <w:t>This</w:t>
      </w:r>
      <w:r w:rsidR="008A7D35">
        <w:t xml:space="preserve"> could</w:t>
      </w:r>
      <w:r w:rsidR="008A7D35" w:rsidRPr="00045FCC">
        <w:t xml:space="preserve"> send the wrong message to the public and affected </w:t>
      </w:r>
      <w:r w:rsidR="008A7D35" w:rsidRPr="009B2827">
        <w:t>communities</w:t>
      </w:r>
      <w:r w:rsidR="008A7D35">
        <w:t>. It may suggest that hate crimes involving certain types of offences are</w:t>
      </w:r>
      <w:r w:rsidR="008A7D35" w:rsidRPr="00045FCC">
        <w:t xml:space="preserve"> not taken as seriously as other hate crimes.</w:t>
      </w:r>
      <w:r w:rsidR="008A7D35">
        <w:t xml:space="preserve"> </w:t>
      </w:r>
    </w:p>
    <w:p w14:paraId="646A9642" w14:textId="7EBC2CCA" w:rsidR="00100C1E" w:rsidRDefault="00100C1E" w:rsidP="00B57565">
      <w:pPr>
        <w:pStyle w:val="BodyText"/>
      </w:pPr>
      <w:r>
        <w:t xml:space="preserve">While the sentence aggravation model could be retained alongside specific offences to address the issue, </w:t>
      </w:r>
      <w:r w:rsidR="006F39FE">
        <w:t>there would still be</w:t>
      </w:r>
      <w:r>
        <w:t xml:space="preserve"> disparity in the treatment of different hate crimes. Another alternative would be to adopt the</w:t>
      </w:r>
      <w:r w:rsidR="00FD084B">
        <w:t xml:space="preserve"> approach in the</w:t>
      </w:r>
      <w:r>
        <w:t xml:space="preserve"> Canadian </w:t>
      </w:r>
      <w:r w:rsidR="00FD084B">
        <w:t xml:space="preserve">Bill </w:t>
      </w:r>
      <w:r>
        <w:t xml:space="preserve">but, as explained earlier, </w:t>
      </w:r>
      <w:r w:rsidR="00FD084B">
        <w:t xml:space="preserve">that </w:t>
      </w:r>
      <w:r>
        <w:t>has its own disadvantages.</w:t>
      </w:r>
    </w:p>
    <w:p w14:paraId="68133BF7" w14:textId="3D104B80" w:rsidR="00100C1E" w:rsidRDefault="00C37414" w:rsidP="00B57565">
      <w:pPr>
        <w:pStyle w:val="BodyText"/>
      </w:pPr>
      <w:r>
        <w:t>Second, b</w:t>
      </w:r>
      <w:r w:rsidR="00100C1E">
        <w:t xml:space="preserve">oth alternative models require specification of a closed list of </w:t>
      </w:r>
      <w:r w:rsidR="00100C1E" w:rsidRPr="00045FCC">
        <w:t>protected characteristics</w:t>
      </w:r>
      <w:r w:rsidR="00100C1E">
        <w:t xml:space="preserve">, for reasons already discussed. If </w:t>
      </w:r>
      <w:r w:rsidR="00100C1E" w:rsidRPr="00045FCC">
        <w:t xml:space="preserve">new groups of people </w:t>
      </w:r>
      <w:r w:rsidR="00100C1E">
        <w:t xml:space="preserve">outside the scope of that list </w:t>
      </w:r>
      <w:r w:rsidR="00100C1E" w:rsidRPr="00045FCC">
        <w:t>bec</w:t>
      </w:r>
      <w:r w:rsidR="00100C1E">
        <w:t>a</w:t>
      </w:r>
      <w:r w:rsidR="00100C1E" w:rsidRPr="00045FCC">
        <w:t>me the target of hate crimes in future</w:t>
      </w:r>
      <w:r w:rsidR="00100C1E">
        <w:t xml:space="preserve">, </w:t>
      </w:r>
      <w:r w:rsidR="00100C1E" w:rsidRPr="00045FCC">
        <w:t xml:space="preserve">legislative amendment would be </w:t>
      </w:r>
      <w:r w:rsidR="00100C1E">
        <w:t>needed to bring them within it</w:t>
      </w:r>
      <w:r w:rsidR="00100C1E" w:rsidRPr="00045FCC">
        <w:t xml:space="preserve">. </w:t>
      </w:r>
      <w:r w:rsidR="00100C1E">
        <w:t>Until that occurred</w:t>
      </w:r>
      <w:r w:rsidR="00100C1E" w:rsidRPr="00045FCC">
        <w:t>, offending</w:t>
      </w:r>
      <w:r w:rsidR="00100C1E">
        <w:t xml:space="preserve"> against them</w:t>
      </w:r>
      <w:r w:rsidR="00100C1E" w:rsidRPr="00045FCC">
        <w:t xml:space="preserve"> would either be dealt with under the aggravating factor (if retained) or not treated as a hate crime at all.</w:t>
      </w:r>
      <w:r w:rsidR="00100C1E">
        <w:t xml:space="preserve"> The chance of this occurring could be reduced by making the list of characteristics relatively extensive but it would not be eliminated entirely. By contrast, as some submitters noted, the open list of characteristics in section</w:t>
      </w:r>
      <w:r w:rsidR="00100C1E">
        <w:rPr>
          <w:rFonts w:ascii="Calibri" w:hAnsi="Calibri" w:cs="Calibri"/>
        </w:rPr>
        <w:t> </w:t>
      </w:r>
      <w:r w:rsidR="00100C1E">
        <w:t>9(1)(h) provides flexibility to recognise additional groups.</w:t>
      </w:r>
      <w:r w:rsidR="00100C1E" w:rsidRPr="002803B7">
        <w:rPr>
          <w:vertAlign w:val="superscript"/>
        </w:rPr>
        <w:footnoteReference w:id="417"/>
      </w:r>
      <w:r w:rsidR="00100C1E">
        <w:t xml:space="preserve"> </w:t>
      </w:r>
    </w:p>
    <w:p w14:paraId="5293A4C1" w14:textId="77777777" w:rsidR="00100C1E" w:rsidRDefault="00100C1E" w:rsidP="00100C1E">
      <w:pPr>
        <w:pStyle w:val="Heading3"/>
      </w:pPr>
      <w:r>
        <w:t xml:space="preserve">Reduced coherence of the criminal law </w:t>
      </w:r>
    </w:p>
    <w:p w14:paraId="05244F17" w14:textId="5100EF39" w:rsidR="00100C1E" w:rsidRDefault="00100C1E" w:rsidP="00B57565">
      <w:pPr>
        <w:pStyle w:val="BodyText"/>
      </w:pPr>
      <w:r>
        <w:t xml:space="preserve">Making hostile motivation an element of offences (under either alternative model) would </w:t>
      </w:r>
      <w:r w:rsidR="00AD0702">
        <w:t xml:space="preserve">also </w:t>
      </w:r>
      <w:r>
        <w:t>reduce the overall coherence of the criminal law. There are two reasons for this.</w:t>
      </w:r>
    </w:p>
    <w:p w14:paraId="5CFAEA10" w14:textId="352D301D" w:rsidR="00100C1E" w:rsidRDefault="00100C1E" w:rsidP="00B57565">
      <w:pPr>
        <w:pStyle w:val="BodyText"/>
      </w:pPr>
      <w:r>
        <w:t xml:space="preserve">First, it would elevate hostility above other aggravating </w:t>
      </w:r>
      <w:r w:rsidRPr="009B2827">
        <w:t>factors</w:t>
      </w:r>
      <w:r>
        <w:t xml:space="preserve"> that are only considered at sentencing. That may lead to hostile motivation being given disproportionate weight in some cases.</w:t>
      </w:r>
      <w:r w:rsidRPr="002F4082">
        <w:rPr>
          <w:vertAlign w:val="superscript"/>
        </w:rPr>
        <w:footnoteReference w:id="418"/>
      </w:r>
      <w:r>
        <w:t xml:space="preserve"> Although hate crime is, in general, more serious than equivalent non-hate crime and requires additional denunciation, other aggravating factors also increase the seriousness of the offence. Which of these factors is most significant</w:t>
      </w:r>
      <w:r w:rsidRPr="002F4082">
        <w:t xml:space="preserve"> will depend on the circumstances</w:t>
      </w:r>
      <w:r>
        <w:t xml:space="preserve"> of the case. </w:t>
      </w:r>
      <w:r w:rsidRPr="00842615">
        <w:t>The sentence aggravation model allows the sentencing judge to consider all relevant factors together when assessing the seriousness of the offence and to reach a sentence starting point that appropriately holds the offender to account.</w:t>
      </w:r>
      <w:r>
        <w:t xml:space="preserve"> </w:t>
      </w:r>
    </w:p>
    <w:p w14:paraId="20F2574F" w14:textId="5025433A" w:rsidR="00100C1E" w:rsidRPr="00C00D98" w:rsidRDefault="00100C1E" w:rsidP="00B57565">
      <w:pPr>
        <w:pStyle w:val="BodyText"/>
      </w:pPr>
      <w:r>
        <w:t xml:space="preserve">Second, there are good reasons to limit the number of offences on the statue book that are overly specific or overlap with more generic offences. </w:t>
      </w:r>
      <w:r w:rsidR="00575334">
        <w:t xml:space="preserve">Difficulties with inconsistent charging decisions have been observed in Aotearoa New Zealand in relation to offences that cover specific </w:t>
      </w:r>
      <w:r w:rsidR="00575334" w:rsidRPr="002F4082">
        <w:t>circumstances or types of victims</w:t>
      </w:r>
      <w:r w:rsidR="00575334">
        <w:t xml:space="preserve"> and overlap with generic offences.</w:t>
      </w:r>
      <w:r w:rsidR="00575334" w:rsidRPr="002F4082">
        <w:rPr>
          <w:vertAlign w:val="superscript"/>
        </w:rPr>
        <w:footnoteReference w:id="419"/>
      </w:r>
      <w:r w:rsidR="00575334">
        <w:t xml:space="preserve"> </w:t>
      </w:r>
      <w:r w:rsidRPr="00C00D98">
        <w:t xml:space="preserve">As </w:t>
      </w:r>
      <w:r w:rsidR="004C7C5B" w:rsidRPr="00400349">
        <w:rPr>
          <w:color w:val="auto"/>
        </w:rPr>
        <w:t>Te Aka Matua o te Ture |</w:t>
      </w:r>
      <w:r w:rsidRPr="00400349">
        <w:rPr>
          <w:color w:val="auto"/>
        </w:rPr>
        <w:t xml:space="preserve"> </w:t>
      </w:r>
      <w:r w:rsidR="00495C18">
        <w:t xml:space="preserve">Law </w:t>
      </w:r>
      <w:r w:rsidRPr="00C00D98">
        <w:t xml:space="preserve">Commission explained in its review of </w:t>
      </w:r>
      <w:r w:rsidRPr="00E47856">
        <w:rPr>
          <w:i/>
        </w:rPr>
        <w:t>Maximum Penalties</w:t>
      </w:r>
      <w:r w:rsidRPr="00C00D98">
        <w:t>:</w:t>
      </w:r>
      <w:r w:rsidRPr="00C00D98">
        <w:rPr>
          <w:vertAlign w:val="superscript"/>
        </w:rPr>
        <w:footnoteReference w:id="420"/>
      </w:r>
    </w:p>
    <w:p w14:paraId="0C0C2FF8" w14:textId="77777777" w:rsidR="00100C1E" w:rsidRPr="00C00D98" w:rsidRDefault="00100C1E" w:rsidP="00100C1E">
      <w:pPr>
        <w:pStyle w:val="Quote"/>
        <w:ind w:left="1134"/>
      </w:pPr>
      <w:r w:rsidRPr="00C00D98">
        <w:t>Offences in New Zealand tend to be broadly defined, with widely varying degrees of seriousness encapsulated within one offence category. That is desirable as a means of ensuring that there are not unnecessary pleas of not guilty and defended trials because of denials or disputes about secondary matters that do not bear on core culpability and ought to be addressed at sentencing.</w:t>
      </w:r>
    </w:p>
    <w:p w14:paraId="4A98EE65" w14:textId="77777777" w:rsidR="00100C1E" w:rsidRDefault="00100C1E" w:rsidP="00B57565">
      <w:pPr>
        <w:pStyle w:val="BodyText"/>
      </w:pPr>
      <w:r>
        <w:t>In our view, hostile motivation properly falls into the category of a secondary matter that ought to be addressed at sentencing. It affects the seriousness of an offence but does not alter whether an offence has been committed and will not necessarily warrant a substantially higher penalty (depending on the significance of the factor in the particular case). Other kinds of</w:t>
      </w:r>
      <w:r w:rsidRPr="00F43D23">
        <w:t xml:space="preserve"> motivation</w:t>
      </w:r>
      <w:r>
        <w:t xml:space="preserve"> </w:t>
      </w:r>
      <w:r w:rsidRPr="00F43D23">
        <w:t>are treated as aggravating factors at sentencing.</w:t>
      </w:r>
      <w:r w:rsidRPr="00F43D23">
        <w:rPr>
          <w:rStyle w:val="FootnoteReference"/>
        </w:rPr>
        <w:footnoteReference w:id="421"/>
      </w:r>
    </w:p>
    <w:p w14:paraId="40AA89E4" w14:textId="527F8BDB" w:rsidR="009E0DBD" w:rsidRDefault="00100C1E" w:rsidP="00B57565">
      <w:pPr>
        <w:pStyle w:val="BodyText"/>
      </w:pPr>
      <w:r>
        <w:t xml:space="preserve">There is a risk that introducing hate crime offences </w:t>
      </w:r>
      <w:r w:rsidR="00C46E9D">
        <w:t xml:space="preserve">would </w:t>
      </w:r>
      <w:r>
        <w:t>encourage the creation of further narrowly defined offences in response to every issue of public concern. This could lead</w:t>
      </w:r>
      <w:r w:rsidRPr="002F4082">
        <w:t xml:space="preserve"> to a patchwork of </w:t>
      </w:r>
      <w:r>
        <w:t xml:space="preserve">overlapping </w:t>
      </w:r>
      <w:r w:rsidRPr="002F4082">
        <w:t>offences without any logical or coherent structure</w:t>
      </w:r>
      <w:r>
        <w:t>, which would be detrimental to the clarity of the criminal law as a whole.</w:t>
      </w:r>
      <w:r w:rsidRPr="002F4082">
        <w:rPr>
          <w:vertAlign w:val="superscript"/>
        </w:rPr>
        <w:footnoteReference w:id="422"/>
      </w:r>
    </w:p>
    <w:p w14:paraId="68E14B1A" w14:textId="7514C65E" w:rsidR="00DB25C5" w:rsidRPr="006B2B78" w:rsidRDefault="00DB25C5" w:rsidP="00847DA9">
      <w:pPr>
        <w:pStyle w:val="Heading2"/>
      </w:pPr>
      <w:bookmarkStart w:id="132" w:name="_Toc231467843"/>
      <w:r>
        <w:t>Other potential advantages and disadvantages we considered</w:t>
      </w:r>
      <w:bookmarkEnd w:id="132"/>
    </w:p>
    <w:p w14:paraId="484045E4" w14:textId="3D7A909B" w:rsidR="00404094" w:rsidRPr="006B2B78" w:rsidRDefault="00C6784C" w:rsidP="00B57565">
      <w:pPr>
        <w:pStyle w:val="BodyText"/>
      </w:pPr>
      <w:r>
        <w:t>S</w:t>
      </w:r>
      <w:r w:rsidR="00A03B96">
        <w:t xml:space="preserve">ome submitters to our review suggested the alternative legal models </w:t>
      </w:r>
      <w:r w:rsidR="003943FB">
        <w:t xml:space="preserve">would have other advantages or disadvantages. </w:t>
      </w:r>
      <w:r w:rsidR="002C6988">
        <w:t>Similar points</w:t>
      </w:r>
      <w:r w:rsidR="00EC7228">
        <w:t xml:space="preserve"> are </w:t>
      </w:r>
      <w:r w:rsidR="002C6988">
        <w:t>raised in</w:t>
      </w:r>
      <w:r w:rsidR="00EC7228">
        <w:t xml:space="preserve"> </w:t>
      </w:r>
      <w:r w:rsidR="0036445D">
        <w:t xml:space="preserve">overseas commentary and law reform reports. </w:t>
      </w:r>
      <w:r w:rsidR="003943FB">
        <w:t xml:space="preserve">For completeness, we </w:t>
      </w:r>
      <w:r w:rsidR="00E51B9F">
        <w:t>discuss these below.</w:t>
      </w:r>
    </w:p>
    <w:p w14:paraId="233AA7A0" w14:textId="321A75A8" w:rsidR="00F05F63" w:rsidRDefault="002B3273" w:rsidP="00E82953">
      <w:pPr>
        <w:pStyle w:val="Heading3"/>
      </w:pPr>
      <w:r>
        <w:t>Potential a</w:t>
      </w:r>
      <w:r w:rsidR="00F05F63">
        <w:t>dvantages</w:t>
      </w:r>
    </w:p>
    <w:p w14:paraId="1C3D6EC8" w14:textId="61073B52" w:rsidR="00F05F63" w:rsidRDefault="003306ED" w:rsidP="00B57565">
      <w:pPr>
        <w:pStyle w:val="BodyText"/>
      </w:pPr>
      <w:r>
        <w:t>Some submitters to this review</w:t>
      </w:r>
      <w:r w:rsidR="00C6784C">
        <w:t xml:space="preserve"> (as outlined earlier)</w:t>
      </w:r>
      <w:r>
        <w:t>, as well as o</w:t>
      </w:r>
      <w:r w:rsidR="001D5D4B">
        <w:t>verseas commentary and law reform reports</w:t>
      </w:r>
      <w:r>
        <w:t>,</w:t>
      </w:r>
      <w:r w:rsidR="001D5D4B">
        <w:t xml:space="preserve"> suggest </w:t>
      </w:r>
      <w:r w:rsidR="00CB589B">
        <w:t xml:space="preserve">that </w:t>
      </w:r>
      <w:r w:rsidR="001D5D4B">
        <w:t xml:space="preserve">making hostile motivation an element of offences may: </w:t>
      </w:r>
    </w:p>
    <w:p w14:paraId="6AB93F6C" w14:textId="70318AEC" w:rsidR="00F05F63" w:rsidRPr="00294257" w:rsidRDefault="00F05F63" w:rsidP="00F05F63">
      <w:pPr>
        <w:pStyle w:val="BodyTextalphalist"/>
        <w:tabs>
          <w:tab w:val="left" w:pos="709"/>
          <w:tab w:val="num" w:pos="5416"/>
        </w:tabs>
      </w:pPr>
      <w:r w:rsidRPr="00294257">
        <w:t>increase reporting of hate crimes to Police (by showing hate crime is taken seriously)</w:t>
      </w:r>
      <w:r w:rsidRPr="00294257">
        <w:rPr>
          <w:rStyle w:val="FootnoteReference"/>
        </w:rPr>
        <w:footnoteReference w:id="423"/>
      </w:r>
      <w:r w:rsidRPr="00294257">
        <w:t xml:space="preserve"> and increase prosecutions for hostility-motivated offending;</w:t>
      </w:r>
      <w:r w:rsidRPr="00294257">
        <w:rPr>
          <w:rStyle w:val="FootnoteReference"/>
        </w:rPr>
        <w:footnoteReference w:id="424"/>
      </w:r>
      <w:r w:rsidRPr="00294257">
        <w:t xml:space="preserve"> </w:t>
      </w:r>
    </w:p>
    <w:p w14:paraId="39800385" w14:textId="2C328CF4" w:rsidR="00322EBB" w:rsidRPr="00294257" w:rsidRDefault="00322EBB" w:rsidP="00322EBB">
      <w:pPr>
        <w:pStyle w:val="BodyTextalphalist"/>
        <w:tabs>
          <w:tab w:val="left" w:pos="709"/>
          <w:tab w:val="num" w:pos="5416"/>
        </w:tabs>
      </w:pPr>
      <w:r w:rsidRPr="00294257">
        <w:t>prompt investigators and prosecutors to consider hostile motivation at an early stage and ensure relevant evidence is secured;</w:t>
      </w:r>
      <w:r w:rsidRPr="00294257">
        <w:rPr>
          <w:rStyle w:val="FootnoteReference"/>
        </w:rPr>
        <w:footnoteReference w:id="425"/>
      </w:r>
      <w:r w:rsidR="009638D7">
        <w:t xml:space="preserve"> and</w:t>
      </w:r>
    </w:p>
    <w:p w14:paraId="5FC302B3" w14:textId="6667AC52" w:rsidR="00F05F63" w:rsidRPr="00294257" w:rsidRDefault="00F05F63" w:rsidP="00F05F63">
      <w:pPr>
        <w:pStyle w:val="BodyTextalphalist"/>
        <w:tabs>
          <w:tab w:val="left" w:pos="709"/>
          <w:tab w:val="num" w:pos="5416"/>
        </w:tabs>
      </w:pPr>
      <w:r w:rsidRPr="00294257">
        <w:t>be fairer to the defendant, since hostility must be proven at trial.</w:t>
      </w:r>
      <w:r w:rsidRPr="00294257">
        <w:rPr>
          <w:rStyle w:val="FootnoteReference"/>
        </w:rPr>
        <w:footnoteReference w:id="426"/>
      </w:r>
      <w:r w:rsidRPr="00294257">
        <w:t xml:space="preserve"> </w:t>
      </w:r>
    </w:p>
    <w:p w14:paraId="54450020" w14:textId="77777777" w:rsidR="00D36AED" w:rsidRDefault="001420E6" w:rsidP="00B57565">
      <w:pPr>
        <w:pStyle w:val="BodyText"/>
      </w:pPr>
      <w:r>
        <w:t xml:space="preserve">The first two of these potential advantages have already been </w:t>
      </w:r>
      <w:r w:rsidR="00C874DA">
        <w:t xml:space="preserve">addressed </w:t>
      </w:r>
      <w:r w:rsidR="004211FD">
        <w:t>in Chapter</w:t>
      </w:r>
      <w:r w:rsidR="00F706D7" w:rsidRPr="00BE5606">
        <w:rPr>
          <w:rFonts w:ascii="Calibri" w:hAnsi="Calibri" w:cs="Calibri"/>
        </w:rPr>
        <w:t> </w:t>
      </w:r>
      <w:r w:rsidR="004211FD">
        <w:t xml:space="preserve">4. </w:t>
      </w:r>
      <w:r w:rsidR="0032125C">
        <w:t>As</w:t>
      </w:r>
      <w:r w:rsidR="004211FD">
        <w:t xml:space="preserve"> </w:t>
      </w:r>
      <w:r w:rsidR="00BE5606">
        <w:t xml:space="preserve">we </w:t>
      </w:r>
      <w:r w:rsidR="004211FD">
        <w:t>explained</w:t>
      </w:r>
      <w:r w:rsidR="008421C5">
        <w:t xml:space="preserve"> there</w:t>
      </w:r>
      <w:r w:rsidR="004211FD">
        <w:t xml:space="preserve">, </w:t>
      </w:r>
      <w:r w:rsidR="00BE5606">
        <w:t>issues relating to reporting, investigation and prosecution of hate crimes are</w:t>
      </w:r>
      <w:r w:rsidR="00F05F63">
        <w:t xml:space="preserve"> </w:t>
      </w:r>
      <w:r w:rsidR="004D63A5">
        <w:t xml:space="preserve">primarily operational </w:t>
      </w:r>
      <w:r w:rsidR="00BE5606">
        <w:t>and</w:t>
      </w:r>
      <w:r w:rsidR="004D63A5">
        <w:t xml:space="preserve"> would </w:t>
      </w:r>
      <w:r w:rsidR="00F05F63">
        <w:t xml:space="preserve">not </w:t>
      </w:r>
      <w:r w:rsidR="004D63A5">
        <w:t xml:space="preserve">be </w:t>
      </w:r>
      <w:r w:rsidR="00F05F63">
        <w:t xml:space="preserve">strongly influenced by </w:t>
      </w:r>
      <w:r w:rsidR="001B419B">
        <w:t xml:space="preserve">law reform. </w:t>
      </w:r>
    </w:p>
    <w:p w14:paraId="32882920" w14:textId="311A2D34" w:rsidR="00FB6A1A" w:rsidRDefault="00BE5606" w:rsidP="00B57565">
      <w:pPr>
        <w:pStyle w:val="BodyText"/>
      </w:pPr>
      <w:r>
        <w:t>In relation to the final potential advantage, fairness to defendants,</w:t>
      </w:r>
      <w:r w:rsidR="000068A3">
        <w:t xml:space="preserve"> </w:t>
      </w:r>
      <w:r>
        <w:t>t</w:t>
      </w:r>
      <w:r w:rsidR="00240268">
        <w:t>he Law Association Criminal Law Committee</w:t>
      </w:r>
      <w:r w:rsidR="00FB6A1A">
        <w:t xml:space="preserve"> suggested</w:t>
      </w:r>
      <w:r w:rsidR="00240268">
        <w:t xml:space="preserve"> in its submission that</w:t>
      </w:r>
      <w:r w:rsidR="00FB6A1A">
        <w:t xml:space="preserve"> </w:t>
      </w:r>
      <w:r w:rsidR="00DD4163">
        <w:t xml:space="preserve">the alternative models would </w:t>
      </w:r>
      <w:r w:rsidR="003100F8">
        <w:t>provide</w:t>
      </w:r>
      <w:r w:rsidR="00CD3B9B">
        <w:t xml:space="preserve"> more</w:t>
      </w:r>
      <w:r w:rsidR="003100F8">
        <w:t xml:space="preserve"> clarity to defendants about the nature of the </w:t>
      </w:r>
      <w:r w:rsidR="000270BE">
        <w:t xml:space="preserve">alleged </w:t>
      </w:r>
      <w:r w:rsidR="003100F8">
        <w:t xml:space="preserve">offending. </w:t>
      </w:r>
      <w:r w:rsidR="00B06F64">
        <w:t>It said that, w</w:t>
      </w:r>
      <w:r w:rsidR="00B06F64" w:rsidRPr="00B06F64">
        <w:t xml:space="preserve">hile in many cases </w:t>
      </w:r>
      <w:r w:rsidR="00B06F64">
        <w:t>hostile</w:t>
      </w:r>
      <w:r w:rsidR="00B06F64" w:rsidRPr="00B06F64">
        <w:t xml:space="preserve"> motivation may be obvious </w:t>
      </w:r>
      <w:r w:rsidR="005B622B">
        <w:t>from</w:t>
      </w:r>
      <w:r w:rsidR="00B06F64" w:rsidRPr="00B06F64">
        <w:t xml:space="preserve"> the </w:t>
      </w:r>
      <w:r w:rsidR="005B622B">
        <w:t xml:space="preserve">summary of </w:t>
      </w:r>
      <w:r w:rsidR="00B06F64" w:rsidRPr="00B06F64">
        <w:t>facts, that is not a guarantee</w:t>
      </w:r>
      <w:r w:rsidR="00EA4209">
        <w:t xml:space="preserve"> (for example, in a case </w:t>
      </w:r>
      <w:r w:rsidR="00844E0A">
        <w:t>where the court applies the residual category in section 9(1)(h) at sentencing)</w:t>
      </w:r>
      <w:r w:rsidR="00B06F64" w:rsidRPr="00B06F64">
        <w:t>.</w:t>
      </w:r>
      <w:r w:rsidR="00D06516">
        <w:t xml:space="preserve"> Under either of the alternative models, the prosecution would be required to specify at the outset if the offending was said to be motivated by hostility.</w:t>
      </w:r>
    </w:p>
    <w:p w14:paraId="591A4D35" w14:textId="7E286BD0" w:rsidR="00F05F63" w:rsidRDefault="00F57056" w:rsidP="00B57565">
      <w:pPr>
        <w:pStyle w:val="BodyText"/>
      </w:pPr>
      <w:r>
        <w:t>We</w:t>
      </w:r>
      <w:r w:rsidR="0073527B">
        <w:t xml:space="preserve"> found no basis to conclude that</w:t>
      </w:r>
      <w:r w:rsidR="00F05F63" w:rsidRPr="00045FCC">
        <w:t xml:space="preserve"> the current </w:t>
      </w:r>
      <w:r w:rsidR="0073527B">
        <w:t>sentence aggravation model</w:t>
      </w:r>
      <w:r w:rsidR="00F05F63" w:rsidRPr="00045FCC">
        <w:t xml:space="preserve"> is unfair</w:t>
      </w:r>
      <w:r w:rsidR="00716210">
        <w:t xml:space="preserve"> to defendants</w:t>
      </w:r>
      <w:r w:rsidR="00F05F63" w:rsidRPr="00045FCC">
        <w:t>.</w:t>
      </w:r>
      <w:r w:rsidR="00F05F63">
        <w:t xml:space="preserve"> Nor did the Public Defence Service </w:t>
      </w:r>
      <w:r w:rsidR="00716210">
        <w:t>consider that to be the</w:t>
      </w:r>
      <w:r w:rsidR="00F05F63">
        <w:t xml:space="preserve"> case.</w:t>
      </w:r>
      <w:r w:rsidR="005055EA">
        <w:t xml:space="preserve"> </w:t>
      </w:r>
      <w:r w:rsidR="00AC322E">
        <w:t xml:space="preserve">As explained in Chapter 2, in </w:t>
      </w:r>
      <w:r w:rsidR="00973BF9" w:rsidRPr="00973BF9">
        <w:t>Te Kōti Matua | High Court</w:t>
      </w:r>
      <w:r w:rsidR="00AC322E">
        <w:t xml:space="preserve"> and some </w:t>
      </w:r>
      <w:r w:rsidR="00D65153" w:rsidRPr="00D65153">
        <w:t>Te Kōti ā Rohe | District Court</w:t>
      </w:r>
      <w:r w:rsidR="00AC322E">
        <w:t xml:space="preserve"> proceedings, the prosecutor must identify any applicable aggravating factors in a sentencing memorandum filed in advance of the</w:t>
      </w:r>
      <w:r w:rsidR="002238BB">
        <w:t xml:space="preserve"> sentencing</w:t>
      </w:r>
      <w:r w:rsidR="00AC322E">
        <w:t xml:space="preserve"> hearing.</w:t>
      </w:r>
      <w:r w:rsidR="00AC322E">
        <w:rPr>
          <w:rStyle w:val="FootnoteReference"/>
        </w:rPr>
        <w:footnoteReference w:id="427"/>
      </w:r>
      <w:r w:rsidR="00AC322E">
        <w:t xml:space="preserve"> Aggravating factors are also addressed in oral submissions. </w:t>
      </w:r>
      <w:r w:rsidR="005055EA">
        <w:t xml:space="preserve">There must be some evidence </w:t>
      </w:r>
      <w:r w:rsidR="006E1372">
        <w:t xml:space="preserve">before the court to </w:t>
      </w:r>
      <w:r w:rsidR="008112C2">
        <w:t>establish hostile motivation.</w:t>
      </w:r>
      <w:r w:rsidR="00F05F63" w:rsidRPr="00045FCC">
        <w:t xml:space="preserve"> </w:t>
      </w:r>
      <w:r w:rsidR="00C74426">
        <w:t>If</w:t>
      </w:r>
      <w:r w:rsidR="00F05F63" w:rsidRPr="00045FCC">
        <w:t xml:space="preserve"> a defendant disagrees with the facts </w:t>
      </w:r>
      <w:r w:rsidR="00F05F63">
        <w:t>asserted</w:t>
      </w:r>
      <w:r w:rsidR="00F05F63" w:rsidRPr="00045FCC">
        <w:t xml:space="preserve"> by the prosecution</w:t>
      </w:r>
      <w:r w:rsidR="00F05F63">
        <w:t>,</w:t>
      </w:r>
      <w:r w:rsidR="00F05F63" w:rsidRPr="00045FCC">
        <w:t xml:space="preserve"> they are entitled to dispute them. The prosecution must then prove the disputed facts beyond reasonable doubt (the same standard of proof that applies to elements of an offence at trial).</w:t>
      </w:r>
      <w:r w:rsidR="00F05F63" w:rsidRPr="00045FCC">
        <w:rPr>
          <w:rStyle w:val="FootnoteReference"/>
        </w:rPr>
        <w:footnoteReference w:id="428"/>
      </w:r>
      <w:r w:rsidR="00F05F63" w:rsidRPr="00045FCC">
        <w:t xml:space="preserve"> This is the same approach taken to all aggravating factors — it is not unique to </w:t>
      </w:r>
      <w:r w:rsidR="00F05F63">
        <w:t>hostile</w:t>
      </w:r>
      <w:r w:rsidR="00F05F63" w:rsidRPr="00045FCC">
        <w:t xml:space="preserve"> motivation.</w:t>
      </w:r>
      <w:r w:rsidR="00F05F63">
        <w:rPr>
          <w:rStyle w:val="FootnoteReference"/>
        </w:rPr>
        <w:footnoteReference w:id="429"/>
      </w:r>
      <w:r w:rsidR="00F05F63">
        <w:t xml:space="preserve"> It is</w:t>
      </w:r>
      <w:r w:rsidR="005B233B">
        <w:t>, therefore,</w:t>
      </w:r>
      <w:r w:rsidR="00F05F63">
        <w:t xml:space="preserve"> not unusual for sentencing judges to make findings of fact that affect the penalty imposed.</w:t>
      </w:r>
      <w:r w:rsidR="00F05F63">
        <w:rPr>
          <w:rStyle w:val="FootnoteReference"/>
        </w:rPr>
        <w:footnoteReference w:id="430"/>
      </w:r>
      <w:r w:rsidR="00E83A9C">
        <w:t xml:space="preserve"> </w:t>
      </w:r>
      <w:r w:rsidR="000C722D">
        <w:t>W</w:t>
      </w:r>
      <w:r w:rsidR="00E83A9C">
        <w:t>e do not see this as a reason to change the legal model.</w:t>
      </w:r>
    </w:p>
    <w:p w14:paraId="426BA29A" w14:textId="361EBFBA" w:rsidR="005164EE" w:rsidRDefault="005164EE" w:rsidP="00B57565">
      <w:pPr>
        <w:pStyle w:val="BodyText"/>
      </w:pPr>
      <w:r>
        <w:t xml:space="preserve">Further, </w:t>
      </w:r>
      <w:r w:rsidR="000D4E62">
        <w:t xml:space="preserve">the court hate crime flag </w:t>
      </w:r>
      <w:r w:rsidR="003B2997">
        <w:t xml:space="preserve">process </w:t>
      </w:r>
      <w:r w:rsidR="000D4E62">
        <w:t xml:space="preserve">we recommend in Chapter 6 would enable Police to specify </w:t>
      </w:r>
      <w:r w:rsidR="00F66FCA">
        <w:t>that hostile motivation is in issue when laying a charge.</w:t>
      </w:r>
      <w:r w:rsidR="00C04661">
        <w:t xml:space="preserve"> If adopted, that </w:t>
      </w:r>
      <w:r w:rsidR="00D846EA">
        <w:t xml:space="preserve">process would </w:t>
      </w:r>
      <w:r w:rsidR="00C86F03">
        <w:t xml:space="preserve">help to ensure </w:t>
      </w:r>
      <w:r w:rsidR="001805CD">
        <w:t xml:space="preserve">defendants are aware </w:t>
      </w:r>
      <w:r w:rsidR="005457EB">
        <w:t xml:space="preserve">that </w:t>
      </w:r>
      <w:r w:rsidR="0072291E">
        <w:t xml:space="preserve">the hostility aggravating factor will be raised at sentencing. </w:t>
      </w:r>
    </w:p>
    <w:p w14:paraId="5CDC7561" w14:textId="2D6FB9D7" w:rsidR="0030464D" w:rsidRPr="0030464D" w:rsidRDefault="002B3273" w:rsidP="00D127EF">
      <w:pPr>
        <w:pStyle w:val="Heading3"/>
      </w:pPr>
      <w:r>
        <w:t>Potential d</w:t>
      </w:r>
      <w:r w:rsidR="0030464D">
        <w:t>isadvantages</w:t>
      </w:r>
    </w:p>
    <w:p w14:paraId="126CC538" w14:textId="660F1AA6" w:rsidR="000B0277" w:rsidRDefault="000C722D" w:rsidP="00B57565">
      <w:pPr>
        <w:pStyle w:val="BodyText"/>
      </w:pPr>
      <w:r>
        <w:t xml:space="preserve">Some additional disadvantages of changing the </w:t>
      </w:r>
      <w:r w:rsidR="00A80D1E">
        <w:t>legal</w:t>
      </w:r>
      <w:r>
        <w:t xml:space="preserve"> model suggested by submitters </w:t>
      </w:r>
      <w:r w:rsidR="00875F41">
        <w:t xml:space="preserve">and </w:t>
      </w:r>
      <w:r w:rsidR="00D36A0E">
        <w:t>commentators</w:t>
      </w:r>
      <w:r>
        <w:t xml:space="preserve"> are </w:t>
      </w:r>
      <w:r w:rsidR="000B0277">
        <w:t xml:space="preserve">that </w:t>
      </w:r>
      <w:r w:rsidR="0093546E">
        <w:t>it</w:t>
      </w:r>
      <w:r w:rsidR="000B0277">
        <w:t xml:space="preserve"> would:</w:t>
      </w:r>
    </w:p>
    <w:p w14:paraId="32C0F442" w14:textId="7C3AF4DD" w:rsidR="008E05A4" w:rsidRPr="00D704EB" w:rsidRDefault="00355603" w:rsidP="008E05A4">
      <w:pPr>
        <w:pStyle w:val="BodyTextalphalist"/>
      </w:pPr>
      <w:r>
        <w:t>b</w:t>
      </w:r>
      <w:r w:rsidR="0089216E">
        <w:t>e inconsistent with the</w:t>
      </w:r>
      <w:r w:rsidR="008E05A4" w:rsidRPr="00011D46">
        <w:t xml:space="preserve"> rights to freedom of expression and thought</w:t>
      </w:r>
      <w:r>
        <w:t>;</w:t>
      </w:r>
      <w:r w:rsidRPr="00D704EB">
        <w:rPr>
          <w:b/>
        </w:rPr>
        <w:t xml:space="preserve"> </w:t>
      </w:r>
      <w:r w:rsidRPr="00A80D1E">
        <w:t>and</w:t>
      </w:r>
    </w:p>
    <w:p w14:paraId="2F676903" w14:textId="4E11BE58" w:rsidR="008E05A4" w:rsidRPr="00D704EB" w:rsidRDefault="00355603" w:rsidP="008E05A4">
      <w:pPr>
        <w:pStyle w:val="BodyTextalphalist"/>
      </w:pPr>
      <w:r>
        <w:t>e</w:t>
      </w:r>
      <w:r w:rsidR="008E05A4" w:rsidRPr="004B3CA7">
        <w:t>xacerbat</w:t>
      </w:r>
      <w:r w:rsidR="008E05A4">
        <w:t>e</w:t>
      </w:r>
      <w:r w:rsidR="008E05A4" w:rsidRPr="004B3CA7">
        <w:t xml:space="preserve"> justice system inequities.</w:t>
      </w:r>
      <w:r w:rsidR="00D36A0E">
        <w:rPr>
          <w:rStyle w:val="FootnoteReference"/>
        </w:rPr>
        <w:footnoteReference w:id="431"/>
      </w:r>
    </w:p>
    <w:p w14:paraId="41664CEB" w14:textId="3F820314" w:rsidR="005035EF" w:rsidRPr="009608F7" w:rsidRDefault="00361C31" w:rsidP="00B57565">
      <w:pPr>
        <w:pStyle w:val="BodyText"/>
      </w:pPr>
      <w:r w:rsidRPr="009608F7">
        <w:t>We</w:t>
      </w:r>
      <w:r w:rsidR="009608F7" w:rsidRPr="009608F7">
        <w:t xml:space="preserve"> discuss each of these below.</w:t>
      </w:r>
      <w:r w:rsidR="004A42E9">
        <w:t xml:space="preserve"> </w:t>
      </w:r>
    </w:p>
    <w:p w14:paraId="11BB0AE4" w14:textId="01197BD3" w:rsidR="0089216E" w:rsidRPr="0089216E" w:rsidRDefault="0089216E" w:rsidP="0089216E">
      <w:pPr>
        <w:pStyle w:val="Heading4"/>
      </w:pPr>
      <w:r w:rsidRPr="0089216E">
        <w:t>Inconsiste</w:t>
      </w:r>
      <w:r w:rsidR="005C07BB">
        <w:t>nt</w:t>
      </w:r>
      <w:r w:rsidRPr="0089216E">
        <w:t xml:space="preserve"> with rights to freedom of expression and thought</w:t>
      </w:r>
    </w:p>
    <w:p w14:paraId="22C9FCBE" w14:textId="03185089" w:rsidR="0089216E" w:rsidRDefault="0089216E" w:rsidP="00B57565">
      <w:pPr>
        <w:pStyle w:val="BodyText"/>
      </w:pPr>
      <w:r>
        <w:t>S</w:t>
      </w:r>
      <w:r w:rsidR="00B13092" w:rsidRPr="00053DA5">
        <w:t xml:space="preserve">ome submitters said </w:t>
      </w:r>
      <w:r w:rsidR="001D1C9A">
        <w:t>the alternative models</w:t>
      </w:r>
      <w:r w:rsidR="00B13092" w:rsidRPr="00053DA5">
        <w:t xml:space="preserve"> would be inconsistent with the rights to freedom of expression and thought. They suggested the current sentenc</w:t>
      </w:r>
      <w:r w:rsidR="00504B4A">
        <w:t>e</w:t>
      </w:r>
      <w:r w:rsidR="00B13092" w:rsidRPr="00053DA5">
        <w:t xml:space="preserve"> aggravation model is preferable because it </w:t>
      </w:r>
      <w:r w:rsidR="00B35729" w:rsidRPr="00563B2F">
        <w:t xml:space="preserve">allows </w:t>
      </w:r>
      <w:r w:rsidR="00B35729">
        <w:t>hostile</w:t>
      </w:r>
      <w:r w:rsidR="00B35729" w:rsidRPr="00563B2F">
        <w:t xml:space="preserve"> motivation to be considered in a way that protects individual rights</w:t>
      </w:r>
      <w:r w:rsidR="00B35729">
        <w:t>.</w:t>
      </w:r>
      <w:r w:rsidR="00B35729" w:rsidRPr="00563B2F">
        <w:rPr>
          <w:vertAlign w:val="superscript"/>
        </w:rPr>
        <w:footnoteReference w:id="432"/>
      </w:r>
      <w:r w:rsidR="00B35729">
        <w:t xml:space="preserve"> </w:t>
      </w:r>
    </w:p>
    <w:p w14:paraId="1CEC6DD0" w14:textId="2AD36C47" w:rsidR="00B13092" w:rsidRDefault="00B13092" w:rsidP="00B57565">
      <w:pPr>
        <w:pStyle w:val="BodyText"/>
      </w:pPr>
      <w:r w:rsidRPr="00053DA5">
        <w:t xml:space="preserve">Given our conclusion that the current model should be retained, it is unnecessary </w:t>
      </w:r>
      <w:r w:rsidR="00053DA5" w:rsidRPr="00053DA5">
        <w:t>for us to analyse the human rights implications of the alternative models</w:t>
      </w:r>
      <w:r w:rsidRPr="00053DA5">
        <w:t>. It would be difficult to do so in the abstract, as the impact of a particular model on human rights would depend on the precise framing of the relevant legislation.</w:t>
      </w:r>
      <w:r w:rsidR="009A33DA">
        <w:t xml:space="preserve"> </w:t>
      </w:r>
      <w:r w:rsidR="00A268ED">
        <w:t>We therefore</w:t>
      </w:r>
      <w:r w:rsidR="009A33DA">
        <w:t xml:space="preserve"> reach no conclusion on this issue.</w:t>
      </w:r>
    </w:p>
    <w:p w14:paraId="0DF1621E" w14:textId="2A62C366" w:rsidR="0089216E" w:rsidRPr="00053DA5" w:rsidRDefault="0089216E" w:rsidP="0089216E">
      <w:pPr>
        <w:pStyle w:val="Heading4"/>
      </w:pPr>
      <w:r>
        <w:t>Increase</w:t>
      </w:r>
      <w:r w:rsidR="00A275C6">
        <w:t>d</w:t>
      </w:r>
      <w:r w:rsidR="00A75C98">
        <w:t xml:space="preserve"> </w:t>
      </w:r>
      <w:r w:rsidR="0063266A">
        <w:t>justice system inequities</w:t>
      </w:r>
    </w:p>
    <w:p w14:paraId="3D8F798A" w14:textId="2748FCAB" w:rsidR="007244D8" w:rsidRDefault="00A275C6" w:rsidP="00B57565">
      <w:pPr>
        <w:pStyle w:val="BodyText"/>
      </w:pPr>
      <w:r>
        <w:t>S</w:t>
      </w:r>
      <w:r w:rsidR="0063266A">
        <w:t>ome</w:t>
      </w:r>
      <w:r w:rsidR="0063266A" w:rsidRPr="00192722">
        <w:t xml:space="preserve"> submitters</w:t>
      </w:r>
      <w:r w:rsidR="0063266A">
        <w:t xml:space="preserve"> </w:t>
      </w:r>
      <w:r>
        <w:t>suggested</w:t>
      </w:r>
      <w:r w:rsidR="0063266A">
        <w:t xml:space="preserve"> that,</w:t>
      </w:r>
      <w:r w:rsidR="0063266A" w:rsidRPr="00192722">
        <w:t xml:space="preserve"> if specific hate crime offences </w:t>
      </w:r>
      <w:r w:rsidR="00ED6BAF">
        <w:t>were</w:t>
      </w:r>
      <w:r w:rsidR="0063266A" w:rsidRPr="00192722">
        <w:t xml:space="preserve"> adopted</w:t>
      </w:r>
      <w:r w:rsidR="0063266A">
        <w:t>,</w:t>
      </w:r>
      <w:r w:rsidR="0063266A" w:rsidRPr="00192722">
        <w:t xml:space="preserve"> it is likely they would </w:t>
      </w:r>
      <w:r w:rsidR="0063266A">
        <w:t>be enforced</w:t>
      </w:r>
      <w:r w:rsidR="0063266A" w:rsidRPr="00192722">
        <w:t xml:space="preserve"> disproportionate</w:t>
      </w:r>
      <w:r w:rsidR="0063266A">
        <w:t>ly against</w:t>
      </w:r>
      <w:r w:rsidR="0063266A" w:rsidRPr="00192722">
        <w:t xml:space="preserve"> </w:t>
      </w:r>
      <w:r w:rsidR="00642277" w:rsidRPr="00D704EB">
        <w:t>minorities, lower socio-economic groups and Māori</w:t>
      </w:r>
      <w:r w:rsidR="0063266A" w:rsidRPr="00192722">
        <w:t>.</w:t>
      </w:r>
      <w:r w:rsidR="005507C2">
        <w:t xml:space="preserve"> </w:t>
      </w:r>
      <w:r w:rsidR="0063266A" w:rsidRPr="00192722">
        <w:t xml:space="preserve">Māori, </w:t>
      </w:r>
      <w:r w:rsidR="002172C3">
        <w:t>in particular,</w:t>
      </w:r>
      <w:r w:rsidR="0063266A" w:rsidRPr="00192722">
        <w:t xml:space="preserve"> are overrepresented in the justice system generally and as </w:t>
      </w:r>
      <w:r w:rsidR="00705086">
        <w:t xml:space="preserve">alleged </w:t>
      </w:r>
      <w:r w:rsidR="0063266A" w:rsidRPr="00192722">
        <w:t xml:space="preserve">hate crime offenders in Police data. </w:t>
      </w:r>
      <w:r w:rsidR="0063266A">
        <w:t xml:space="preserve">Under the specific hate crime offence model, to the extent </w:t>
      </w:r>
      <w:r w:rsidR="00705086">
        <w:t xml:space="preserve">that </w:t>
      </w:r>
      <w:r w:rsidR="0063266A">
        <w:t>those offences were used, h</w:t>
      </w:r>
      <w:r w:rsidR="0063266A" w:rsidRPr="00192722">
        <w:t xml:space="preserve">igher prosecution and conviction rates for </w:t>
      </w:r>
      <w:r w:rsidR="0063266A">
        <w:t xml:space="preserve">Māori </w:t>
      </w:r>
      <w:r w:rsidR="0085346E">
        <w:t xml:space="preserve">and </w:t>
      </w:r>
      <w:r w:rsidR="00110C1B">
        <w:t>other</w:t>
      </w:r>
      <w:r w:rsidR="0085346E">
        <w:t xml:space="preserve"> groups </w:t>
      </w:r>
      <w:r w:rsidR="00110C1B">
        <w:t xml:space="preserve">that are overrepresented in the justice system </w:t>
      </w:r>
      <w:r w:rsidR="0063266A" w:rsidRPr="00192722">
        <w:t xml:space="preserve">could lead to longer sentences and associated socio-economic impacts. </w:t>
      </w:r>
      <w:r w:rsidR="0063266A">
        <w:t xml:space="preserve">The stigma of conviction for a hate crime offence (under either alternative model) </w:t>
      </w:r>
      <w:r w:rsidR="003C5FF3">
        <w:t>may</w:t>
      </w:r>
      <w:r w:rsidR="0063266A">
        <w:t xml:space="preserve"> also be greater. </w:t>
      </w:r>
    </w:p>
    <w:p w14:paraId="07989E4F" w14:textId="3EB18AE9" w:rsidR="0063266A" w:rsidRPr="00192722" w:rsidRDefault="0063266A" w:rsidP="00B57565">
      <w:pPr>
        <w:pStyle w:val="BodyText"/>
      </w:pPr>
      <w:r w:rsidRPr="00192722">
        <w:t xml:space="preserve">As discussed </w:t>
      </w:r>
      <w:r w:rsidRPr="002C12BE">
        <w:t xml:space="preserve">in Chapter </w:t>
      </w:r>
      <w:r>
        <w:t>3</w:t>
      </w:r>
      <w:r w:rsidRPr="002C12BE">
        <w:t>, we</w:t>
      </w:r>
      <w:r w:rsidRPr="00192722">
        <w:t xml:space="preserve"> do not </w:t>
      </w:r>
      <w:r w:rsidR="005616F6">
        <w:t>consider</w:t>
      </w:r>
      <w:r w:rsidRPr="00192722">
        <w:t xml:space="preserve"> this </w:t>
      </w:r>
      <w:r>
        <w:t>points strongly against changing the legal model</w:t>
      </w:r>
      <w:r w:rsidR="00D04F10">
        <w:t>.</w:t>
      </w:r>
      <w:r w:rsidRPr="00192722">
        <w:t xml:space="preserve"> </w:t>
      </w:r>
      <w:r w:rsidR="00D04F10">
        <w:t>T</w:t>
      </w:r>
      <w:r>
        <w:t>his issue is not specific to hate crime</w:t>
      </w:r>
      <w:r w:rsidR="007F662B">
        <w:t>,</w:t>
      </w:r>
      <w:r>
        <w:t xml:space="preserve"> and the existing sentence aggravation provision may </w:t>
      </w:r>
      <w:r w:rsidR="001E262C">
        <w:t xml:space="preserve">already </w:t>
      </w:r>
      <w:r>
        <w:t>be disproportionately applied to Māori</w:t>
      </w:r>
      <w:r w:rsidR="00D04F10">
        <w:t xml:space="preserve"> and other overrepresented groups</w:t>
      </w:r>
      <w:r>
        <w:t>. Additionally, as explained above, it is likely that hate crime offences would not be charged in all relevant cases, which could mean some hostility-motivated offending is not treated as a hate crime at all. Nonetheless,</w:t>
      </w:r>
      <w:r w:rsidR="00FE5FB8">
        <w:t xml:space="preserve"> we acknowledge that</w:t>
      </w:r>
      <w:r w:rsidR="004D47DE">
        <w:t>,</w:t>
      </w:r>
      <w:r>
        <w:t xml:space="preserve"> in cases where the offending </w:t>
      </w:r>
      <w:r w:rsidR="00DF58D9">
        <w:t>wa</w:t>
      </w:r>
      <w:r>
        <w:t>s charged as a hate crime offence, the consequences of conviction and therefore the impact o</w:t>
      </w:r>
      <w:r w:rsidR="006868F1">
        <w:t>n</w:t>
      </w:r>
      <w:r>
        <w:t xml:space="preserve"> Māori </w:t>
      </w:r>
      <w:r w:rsidR="006868F1">
        <w:t xml:space="preserve">and other </w:t>
      </w:r>
      <w:r w:rsidR="00993D50">
        <w:t xml:space="preserve">overrepresented </w:t>
      </w:r>
      <w:r w:rsidR="006868F1">
        <w:t xml:space="preserve">groups </w:t>
      </w:r>
      <w:r w:rsidR="00590D5A">
        <w:t>c</w:t>
      </w:r>
      <w:r>
        <w:t xml:space="preserve">ould be more significant. </w:t>
      </w:r>
    </w:p>
    <w:p w14:paraId="67AA1D4F" w14:textId="1C81EE5D" w:rsidR="00E56512" w:rsidRPr="009A60BE" w:rsidRDefault="00035688" w:rsidP="00E56512">
      <w:pPr>
        <w:pStyle w:val="Heading2"/>
      </w:pPr>
      <w:bookmarkStart w:id="133" w:name="_Toc231467844"/>
      <w:bookmarkEnd w:id="129"/>
      <w:r>
        <w:t>Changing</w:t>
      </w:r>
      <w:r w:rsidR="00E56512" w:rsidRPr="009A60BE">
        <w:t xml:space="preserve"> the legal model </w:t>
      </w:r>
      <w:r>
        <w:t>is neither necessary nor desirable</w:t>
      </w:r>
      <w:bookmarkEnd w:id="133"/>
    </w:p>
    <w:p w14:paraId="3D83F32B" w14:textId="1E625748" w:rsidR="00FB42F3" w:rsidRDefault="009C364C" w:rsidP="00B57565">
      <w:pPr>
        <w:pStyle w:val="BodyText"/>
      </w:pPr>
      <w:r>
        <w:t>We conclude</w:t>
      </w:r>
      <w:r w:rsidR="00E56512" w:rsidRPr="009A60BE">
        <w:t xml:space="preserve"> that there are no compelling reasons to change the legal model</w:t>
      </w:r>
      <w:r w:rsidR="000B0ABA">
        <w:t xml:space="preserve"> for hate crime in Aotearoa New Zealand</w:t>
      </w:r>
      <w:r w:rsidR="0021024A">
        <w:t xml:space="preserve"> and that there </w:t>
      </w:r>
      <w:r w:rsidR="00942616">
        <w:t xml:space="preserve">would be </w:t>
      </w:r>
      <w:r w:rsidR="0021024A">
        <w:t>significant disadvantages to doing so</w:t>
      </w:r>
      <w:r w:rsidR="00E56512" w:rsidRPr="009A60BE">
        <w:t xml:space="preserve">. </w:t>
      </w:r>
    </w:p>
    <w:p w14:paraId="16E26E37" w14:textId="38B8A10A" w:rsidR="009870C7" w:rsidRDefault="00FB42F3" w:rsidP="00B57565">
      <w:pPr>
        <w:pStyle w:val="BodyText"/>
      </w:pPr>
      <w:r>
        <w:t>First, t</w:t>
      </w:r>
      <w:r w:rsidR="009C364C">
        <w:t>he problems we have identified with the current law can be addressed</w:t>
      </w:r>
      <w:r w:rsidR="00E56512">
        <w:t xml:space="preserve"> </w:t>
      </w:r>
      <w:r w:rsidR="00200738">
        <w:t>by improving</w:t>
      </w:r>
      <w:r w:rsidR="00E56512" w:rsidRPr="009A60BE">
        <w:t xml:space="preserve"> the sentence aggravation model.</w:t>
      </w:r>
      <w:r w:rsidR="00E56512">
        <w:t xml:space="preserve"> </w:t>
      </w:r>
      <w:r>
        <w:t>Second, n</w:t>
      </w:r>
      <w:r w:rsidR="0085587A">
        <w:t>either</w:t>
      </w:r>
      <w:r w:rsidR="00B9407F">
        <w:t xml:space="preserve"> of the alternative </w:t>
      </w:r>
      <w:r w:rsidR="0085587A">
        <w:t xml:space="preserve">legal </w:t>
      </w:r>
      <w:r w:rsidR="00B9407F">
        <w:t xml:space="preserve">models has significant advantages over the sentence aggravation model. </w:t>
      </w:r>
      <w:r w:rsidR="00FD547E">
        <w:t xml:space="preserve">They would not effectively resolve the problems with the current law. </w:t>
      </w:r>
      <w:r w:rsidR="00B9407F">
        <w:t xml:space="preserve">The practical enforcement of any hate crime offences is likely to be inconsistent, limiting their potential advantages. </w:t>
      </w:r>
      <w:r w:rsidR="0085587A">
        <w:t>Changing the legal model is also likely to create new problems</w:t>
      </w:r>
      <w:r w:rsidR="00272BEF">
        <w:t xml:space="preserve"> that would outweigh any advantages</w:t>
      </w:r>
      <w:r w:rsidR="0085587A">
        <w:t>. It would</w:t>
      </w:r>
      <w:r w:rsidR="009870C7">
        <w:t>:</w:t>
      </w:r>
      <w:r w:rsidR="0085587A">
        <w:t xml:space="preserve"> </w:t>
      </w:r>
    </w:p>
    <w:p w14:paraId="773B5303" w14:textId="77777777" w:rsidR="009870C7" w:rsidRDefault="009870C7" w:rsidP="009870C7">
      <w:pPr>
        <w:pStyle w:val="BodyTextalphalist"/>
        <w:numPr>
          <w:ilvl w:val="3"/>
          <w:numId w:val="31"/>
        </w:numPr>
        <w:tabs>
          <w:tab w:val="left" w:pos="709"/>
          <w:tab w:val="num" w:pos="5416"/>
        </w:tabs>
        <w:spacing w:before="0"/>
      </w:pPr>
      <w:r>
        <w:t>i</w:t>
      </w:r>
      <w:r w:rsidRPr="0042385A">
        <w:t>ncrease the cost</w:t>
      </w:r>
      <w:r>
        <w:t xml:space="preserve"> and</w:t>
      </w:r>
      <w:r w:rsidRPr="0042385A">
        <w:t xml:space="preserve"> complexity </w:t>
      </w:r>
      <w:r>
        <w:t xml:space="preserve">of </w:t>
      </w:r>
      <w:r w:rsidRPr="0042385A">
        <w:t>hate crime proceedings</w:t>
      </w:r>
      <w:r>
        <w:t xml:space="preserve"> and the </w:t>
      </w:r>
      <w:r w:rsidRPr="0042385A">
        <w:t>time take</w:t>
      </w:r>
      <w:r>
        <w:t>n</w:t>
      </w:r>
      <w:r w:rsidRPr="0042385A">
        <w:t xml:space="preserve"> to resolve</w:t>
      </w:r>
      <w:r>
        <w:t xml:space="preserve"> them;</w:t>
      </w:r>
    </w:p>
    <w:p w14:paraId="13858E7B" w14:textId="77777777" w:rsidR="009870C7" w:rsidRDefault="009870C7" w:rsidP="009870C7">
      <w:pPr>
        <w:pStyle w:val="BodyTextalphalist"/>
        <w:numPr>
          <w:ilvl w:val="3"/>
          <w:numId w:val="31"/>
        </w:numPr>
        <w:tabs>
          <w:tab w:val="left" w:pos="709"/>
          <w:tab w:val="num" w:pos="5416"/>
        </w:tabs>
        <w:spacing w:before="0"/>
      </w:pPr>
      <w:r>
        <w:t>l</w:t>
      </w:r>
      <w:r w:rsidRPr="0042385A">
        <w:t xml:space="preserve">ead to </w:t>
      </w:r>
      <w:r>
        <w:t>hostile</w:t>
      </w:r>
      <w:r w:rsidRPr="0042385A">
        <w:t xml:space="preserve"> motivation not being addressed at all in some cases</w:t>
      </w:r>
      <w:r>
        <w:t xml:space="preserve">; </w:t>
      </w:r>
    </w:p>
    <w:p w14:paraId="5A3A3EA9" w14:textId="765FBB3E" w:rsidR="009870C7" w:rsidRDefault="005A3F08" w:rsidP="009870C7">
      <w:pPr>
        <w:pStyle w:val="BodyTextalphalist"/>
        <w:numPr>
          <w:ilvl w:val="3"/>
          <w:numId w:val="31"/>
        </w:numPr>
        <w:tabs>
          <w:tab w:val="left" w:pos="709"/>
          <w:tab w:val="num" w:pos="5416"/>
        </w:tabs>
        <w:spacing w:before="0"/>
      </w:pPr>
      <w:r>
        <w:t>have a detrimental impact on victims in some cases;</w:t>
      </w:r>
    </w:p>
    <w:p w14:paraId="65E09605" w14:textId="047D43B5" w:rsidR="005A3F08" w:rsidRDefault="005A3F08" w:rsidP="009870C7">
      <w:pPr>
        <w:pStyle w:val="BodyTextalphalist"/>
        <w:numPr>
          <w:ilvl w:val="3"/>
          <w:numId w:val="31"/>
        </w:numPr>
        <w:tabs>
          <w:tab w:val="left" w:pos="709"/>
          <w:tab w:val="num" w:pos="5416"/>
        </w:tabs>
        <w:spacing w:before="0"/>
      </w:pPr>
      <w:r>
        <w:t xml:space="preserve">reduce the flexibility of the law and </w:t>
      </w:r>
      <w:r w:rsidR="00D108FA">
        <w:t>the extent to which it is future-proofed; and</w:t>
      </w:r>
    </w:p>
    <w:p w14:paraId="7AEB35A1" w14:textId="6A3BBEFA" w:rsidR="00D108FA" w:rsidRDefault="00D108FA" w:rsidP="009870C7">
      <w:pPr>
        <w:pStyle w:val="BodyTextalphalist"/>
        <w:numPr>
          <w:ilvl w:val="3"/>
          <w:numId w:val="31"/>
        </w:numPr>
        <w:tabs>
          <w:tab w:val="left" w:pos="709"/>
          <w:tab w:val="num" w:pos="5416"/>
        </w:tabs>
        <w:spacing w:before="0"/>
      </w:pPr>
      <w:r>
        <w:t>reduce the overall coherenc</w:t>
      </w:r>
      <w:r w:rsidR="000E5D6A">
        <w:t>e</w:t>
      </w:r>
      <w:r>
        <w:t xml:space="preserve"> of the criminal law.</w:t>
      </w:r>
    </w:p>
    <w:p w14:paraId="067FE0F9" w14:textId="4EC0C41C" w:rsidR="00447493" w:rsidRDefault="0064281E" w:rsidP="00B57565">
      <w:pPr>
        <w:pStyle w:val="BodyText"/>
      </w:pPr>
      <w:r>
        <w:t>This means the</w:t>
      </w:r>
      <w:r w:rsidR="00447493">
        <w:t xml:space="preserve"> alternative models would fail to meet the objectives of hate crime law identified in Chapter </w:t>
      </w:r>
      <w:r w:rsidR="00817BB1">
        <w:t>3</w:t>
      </w:r>
      <w:r w:rsidR="006317C2">
        <w:t xml:space="preserve"> —</w:t>
      </w:r>
      <w:r w:rsidR="00635C70">
        <w:t xml:space="preserve"> </w:t>
      </w:r>
      <w:r w:rsidR="00817BB1">
        <w:t>to hold hate crime offenders accountable, denounce hate crime, reduce the occurrence of hate crime and provide reassurance to victims and communities.</w:t>
      </w:r>
      <w:r w:rsidR="00447493">
        <w:t xml:space="preserve"> In cases where hostile motivation is not addressed at all, none of th</w:t>
      </w:r>
      <w:r w:rsidR="006317C2">
        <w:t>ose</w:t>
      </w:r>
      <w:r w:rsidR="00447493">
        <w:t xml:space="preserve"> objectives would be met. </w:t>
      </w:r>
      <w:r w:rsidR="009640DA">
        <w:t xml:space="preserve">Where hate crime offences </w:t>
      </w:r>
      <w:r w:rsidR="00394E94">
        <w:t xml:space="preserve">were </w:t>
      </w:r>
      <w:r w:rsidR="009640DA">
        <w:t>relied on, t</w:t>
      </w:r>
      <w:r w:rsidR="00447493">
        <w:t xml:space="preserve">he increased time taken to resolve proceedings and the need for more victims to give evidence at trial </w:t>
      </w:r>
      <w:r w:rsidR="00394E94">
        <w:t xml:space="preserve">could </w:t>
      </w:r>
      <w:r w:rsidR="00447493">
        <w:t>damage affected communities’ trust in the justice system</w:t>
      </w:r>
      <w:r w:rsidR="009640DA">
        <w:t xml:space="preserve"> </w:t>
      </w:r>
      <w:r w:rsidR="008D70D1">
        <w:t>(</w:t>
      </w:r>
      <w:r w:rsidR="009640DA">
        <w:t>and</w:t>
      </w:r>
      <w:r w:rsidR="008D70D1">
        <w:t>, consequently, their</w:t>
      </w:r>
      <w:r w:rsidR="009640DA">
        <w:t xml:space="preserve"> willingness to report hate crimes</w:t>
      </w:r>
      <w:r w:rsidR="008D70D1">
        <w:t>)</w:t>
      </w:r>
      <w:r w:rsidR="00447493">
        <w:t xml:space="preserve">. </w:t>
      </w:r>
      <w:r w:rsidR="002E425E">
        <w:t xml:space="preserve">Disparity in how different offences and victims are treated, resulting from the more limited scope of the alternative models compared to the </w:t>
      </w:r>
      <w:r w:rsidR="00393D16">
        <w:t xml:space="preserve">current hostility </w:t>
      </w:r>
      <w:r w:rsidR="00426122">
        <w:t xml:space="preserve">aggravating factor, could also send the wrong message to </w:t>
      </w:r>
      <w:r w:rsidR="00393D16">
        <w:t xml:space="preserve">the public, </w:t>
      </w:r>
      <w:r w:rsidR="00426122">
        <w:t>victims and</w:t>
      </w:r>
      <w:r w:rsidR="00393D16">
        <w:t xml:space="preserve"> affected</w:t>
      </w:r>
      <w:r w:rsidR="00426122">
        <w:t xml:space="preserve"> communities.</w:t>
      </w:r>
    </w:p>
    <w:p w14:paraId="4A1EF64F" w14:textId="46200285" w:rsidR="00040531" w:rsidRPr="00D34BD7" w:rsidRDefault="006B2F6F" w:rsidP="00B57565">
      <w:pPr>
        <w:pStyle w:val="BodyText"/>
      </w:pPr>
      <w:r w:rsidRPr="00D34BD7">
        <w:t xml:space="preserve">We conclude that the sentence aggravation model </w:t>
      </w:r>
      <w:r w:rsidR="00F0483B">
        <w:t>is</w:t>
      </w:r>
      <w:r w:rsidRPr="00D34BD7">
        <w:t xml:space="preserve"> the most appropriate way to address hate crime in Aotearoa New Zealand. We do not recommend changing the model.</w:t>
      </w:r>
      <w:r w:rsidR="00040531" w:rsidRPr="00D34BD7">
        <w:t xml:space="preserve"> The sentence aggravation model can fulfil the objectives of hate crime law, with some changes to address the </w:t>
      </w:r>
      <w:r w:rsidR="00465746">
        <w:t>problems</w:t>
      </w:r>
      <w:r w:rsidR="00040531" w:rsidRPr="00D34BD7">
        <w:t xml:space="preserve"> discussed in Chapter</w:t>
      </w:r>
      <w:r w:rsidR="00465746">
        <w:rPr>
          <w:rFonts w:ascii="Calibri" w:hAnsi="Calibri" w:cs="Calibri"/>
        </w:rPr>
        <w:t> </w:t>
      </w:r>
      <w:r w:rsidR="00040531" w:rsidRPr="00D34BD7">
        <w:t>4. In considering hostile motivation as an aggravating factor, sentencing decisions are capable of:</w:t>
      </w:r>
    </w:p>
    <w:p w14:paraId="20DC1CDA" w14:textId="3E1CAB97" w:rsidR="00040531" w:rsidRPr="00D34BD7" w:rsidRDefault="00C65756" w:rsidP="00040531">
      <w:pPr>
        <w:pStyle w:val="BodyTextalphalist"/>
        <w:numPr>
          <w:ilvl w:val="3"/>
          <w:numId w:val="31"/>
        </w:numPr>
        <w:tabs>
          <w:tab w:val="left" w:pos="709"/>
          <w:tab w:val="num" w:pos="5416"/>
        </w:tabs>
      </w:pPr>
      <w:r>
        <w:t>h</w:t>
      </w:r>
      <w:r w:rsidR="00040531" w:rsidRPr="00D34BD7">
        <w:t>olding the offender accountable for their hostile motivation and the harm caused by the offending by imposing a sentence that reflects the seriousness of the offence</w:t>
      </w:r>
      <w:r>
        <w:t>;</w:t>
      </w:r>
    </w:p>
    <w:p w14:paraId="374B9D1B" w14:textId="385C25A7" w:rsidR="00040531" w:rsidRPr="00D34BD7" w:rsidRDefault="00C65756" w:rsidP="00040531">
      <w:pPr>
        <w:pStyle w:val="BodyTextalphalist"/>
        <w:numPr>
          <w:ilvl w:val="3"/>
          <w:numId w:val="31"/>
        </w:numPr>
        <w:tabs>
          <w:tab w:val="left" w:pos="709"/>
          <w:tab w:val="num" w:pos="5416"/>
        </w:tabs>
      </w:pPr>
      <w:r>
        <w:t>d</w:t>
      </w:r>
      <w:r w:rsidR="00040531" w:rsidRPr="00D34BD7">
        <w:t>enouncing hate crime by communicating its seriousness to the public</w:t>
      </w:r>
      <w:r>
        <w:t>;</w:t>
      </w:r>
    </w:p>
    <w:p w14:paraId="6AD6DA57" w14:textId="2363E9D4" w:rsidR="00040531" w:rsidRPr="00D34BD7" w:rsidRDefault="00C65756" w:rsidP="00040531">
      <w:pPr>
        <w:pStyle w:val="BodyTextalphalist"/>
        <w:numPr>
          <w:ilvl w:val="3"/>
          <w:numId w:val="31"/>
        </w:numPr>
        <w:tabs>
          <w:tab w:val="left" w:pos="709"/>
          <w:tab w:val="num" w:pos="5416"/>
        </w:tabs>
      </w:pPr>
      <w:r>
        <w:t>i</w:t>
      </w:r>
      <w:r w:rsidR="00040531" w:rsidRPr="00D34BD7">
        <w:t>nfluencing societal views about what behaviour is acceptable, potentially helping to reduce occurrences of hate crime over time</w:t>
      </w:r>
      <w:r>
        <w:t>; and</w:t>
      </w:r>
    </w:p>
    <w:p w14:paraId="4F832B06" w14:textId="79D5C230" w:rsidR="00040531" w:rsidRPr="00D34BD7" w:rsidRDefault="00C65756" w:rsidP="00040531">
      <w:pPr>
        <w:pStyle w:val="BodyTextalphalist"/>
        <w:numPr>
          <w:ilvl w:val="3"/>
          <w:numId w:val="31"/>
        </w:numPr>
        <w:tabs>
          <w:tab w:val="left" w:pos="709"/>
          <w:tab w:val="num" w:pos="5416"/>
        </w:tabs>
      </w:pPr>
      <w:r>
        <w:t>p</w:t>
      </w:r>
      <w:r w:rsidR="00040531" w:rsidRPr="00D34BD7">
        <w:t>roviding reassurance to victims and affected communities by acknowledging the harm caused by the offending and showing that hate crime is not tolerated by society.</w:t>
      </w:r>
    </w:p>
    <w:p w14:paraId="761662E9" w14:textId="7E370B05" w:rsidR="00040531" w:rsidRDefault="00040531" w:rsidP="00B57565">
      <w:pPr>
        <w:pStyle w:val="BodyText"/>
      </w:pPr>
      <w:r w:rsidRPr="00D34BD7">
        <w:t>It is well accepted that sentencing can and should fulfil these kinds of functions, which are similar to the purposes of sentencing set out in the Sentencing Act.</w:t>
      </w:r>
      <w:r w:rsidRPr="00D34BD7">
        <w:rPr>
          <w:rStyle w:val="FootnoteReference"/>
        </w:rPr>
        <w:footnoteReference w:id="433"/>
      </w:r>
      <w:r w:rsidRPr="00D34BD7">
        <w:t xml:space="preserve"> </w:t>
      </w:r>
    </w:p>
    <w:p w14:paraId="532F470F" w14:textId="53ABB726" w:rsidR="00D5101F" w:rsidRDefault="00420447" w:rsidP="00B57565">
      <w:pPr>
        <w:pStyle w:val="BodyText"/>
      </w:pPr>
      <w:r>
        <w:t>In</w:t>
      </w:r>
      <w:r w:rsidRPr="009A60BE">
        <w:t xml:space="preserve"> Part 3</w:t>
      </w:r>
      <w:r>
        <w:t xml:space="preserve"> of this Report,</w:t>
      </w:r>
      <w:r w:rsidRPr="009A60BE">
        <w:t xml:space="preserve"> we make recommendations </w:t>
      </w:r>
      <w:r>
        <w:t xml:space="preserve">to improve how the sentence aggravation model operates. </w:t>
      </w:r>
      <w:r w:rsidR="00B22DED">
        <w:t>Some of the</w:t>
      </w:r>
      <w:r>
        <w:t xml:space="preserve"> changes we </w:t>
      </w:r>
      <w:r w:rsidR="00AE22F5">
        <w:t xml:space="preserve">recommend — such as flagging </w:t>
      </w:r>
      <w:r w:rsidR="00DA181A">
        <w:t xml:space="preserve">alleged </w:t>
      </w:r>
      <w:r w:rsidR="00AE22F5">
        <w:t>hostility-motivated offences in the courts and requiring sentencing judges to record the application of the aggravating factor</w:t>
      </w:r>
      <w:r w:rsidR="00DA181A">
        <w:t xml:space="preserve"> —</w:t>
      </w:r>
      <w:r>
        <w:t xml:space="preserve"> will </w:t>
      </w:r>
      <w:r w:rsidR="00DA181A">
        <w:t>treat</w:t>
      </w:r>
      <w:r>
        <w:t xml:space="preserve"> hostile motivation differently to other aggravating factors in some respects. </w:t>
      </w:r>
      <w:r w:rsidR="00DE78EE">
        <w:t>That</w:t>
      </w:r>
      <w:r w:rsidR="00886778">
        <w:t xml:space="preserve"> is necessary to respond to </w:t>
      </w:r>
      <w:r w:rsidR="00682F8F">
        <w:t xml:space="preserve">the </w:t>
      </w:r>
      <w:r w:rsidR="00B954E7">
        <w:t>problems we have identified</w:t>
      </w:r>
      <w:r w:rsidR="00CB64C5">
        <w:t xml:space="preserve"> with </w:t>
      </w:r>
      <w:r w:rsidR="00682F8F">
        <w:t>the current law</w:t>
      </w:r>
      <w:r w:rsidR="00B954E7">
        <w:t xml:space="preserve"> and is preferable to changing the legal model.</w:t>
      </w:r>
      <w:r w:rsidR="00905390">
        <w:t xml:space="preserve"> </w:t>
      </w:r>
      <w:r w:rsidR="0058687D">
        <w:t>There is precedent for treating some sentencing factors differently from others for recording purposes.</w:t>
      </w:r>
      <w:r w:rsidR="0058687D">
        <w:rPr>
          <w:rStyle w:val="FootnoteReference"/>
        </w:rPr>
        <w:footnoteReference w:id="434"/>
      </w:r>
      <w:r w:rsidR="0058687D">
        <w:t xml:space="preserve"> </w:t>
      </w:r>
      <w:r w:rsidR="00905390">
        <w:t xml:space="preserve">Our recommendations </w:t>
      </w:r>
      <w:r w:rsidR="00D5101F">
        <w:t>would not require the courts to give greater weight to the hostility aggravating factor compared to other aggravating factors. As occurs now, the significance of the factor would be assessed in the context of the case alongside all other relevant factors.</w:t>
      </w:r>
    </w:p>
    <w:p w14:paraId="1D7D2361" w14:textId="77777777" w:rsidR="008C5E6D" w:rsidRPr="00A42BC3" w:rsidRDefault="008C5E6D" w:rsidP="009D6965">
      <w:pPr>
        <w:rPr>
          <w:highlight w:val="yellow"/>
        </w:rPr>
      </w:pPr>
    </w:p>
    <w:p w14:paraId="21CEBC80" w14:textId="6E89EEA5" w:rsidR="00B11C50" w:rsidRPr="00A42BC3" w:rsidRDefault="004E488F" w:rsidP="009D6965">
      <w:pPr>
        <w:rPr>
          <w:highlight w:val="yellow"/>
        </w:rPr>
      </w:pPr>
      <w:r w:rsidRPr="00A42BC3">
        <w:rPr>
          <w:noProof/>
          <w:highlight w:val="yellow"/>
        </w:rPr>
        <mc:AlternateContent>
          <mc:Choice Requires="wps">
            <w:drawing>
              <wp:anchor distT="0" distB="0" distL="114300" distR="114300" simplePos="0" relativeHeight="251658255" behindDoc="0" locked="0" layoutInCell="1" allowOverlap="1" wp14:anchorId="1E821B81" wp14:editId="0D7C2154">
                <wp:simplePos x="0" y="0"/>
                <wp:positionH relativeFrom="margin">
                  <wp:posOffset>0</wp:posOffset>
                </wp:positionH>
                <wp:positionV relativeFrom="paragraph">
                  <wp:posOffset>173677</wp:posOffset>
                </wp:positionV>
                <wp:extent cx="2721610" cy="0"/>
                <wp:effectExtent l="0" t="19050" r="21590" b="19050"/>
                <wp:wrapNone/>
                <wp:docPr id="757944702" name="Straight Connector 75794470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BB883" id="Straight Connector 757944702" o:spid="_x0000_s1026" style="position:absolute;z-index:251658255;visibility:visible;mso-wrap-style:square;mso-wrap-distance-left:9pt;mso-wrap-distance-top:0;mso-wrap-distance-right:9pt;mso-wrap-distance-bottom:0;mso-position-horizontal:absolute;mso-position-horizontal-relative:margin;mso-position-vertical:absolute;mso-position-vertical-relative:text" from="0,13.7pt" to="214.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9XQvR2wAAAAYBAAAPAAAA&#10;ZHJzL2Rvd25yZXYueG1sTI/BTsMwEETvSPyDtUjcqNOoKiVkU1UVXEG0VcXRiZfEaryOYrd1+/UY&#10;cYDjzoxm3pbLaHtxotEbxwjTSQaCuHHacIuw274+LED4oFir3jEhXMjDsrq9KVWh3Zk/6LQJrUgl&#10;7AuF0IUwFFL6piOr/MQNxMn7cqNVIZ1jK/Wozqnc9jLPsrm0ynBa6NRA646aw+ZoEeL+3brPl1Wd&#10;X9dvOhyiMdMng3h/F1fPIALF8BeGH/yEDlViqt2RtRc9QnokIOSPMxDJneW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V0L0dsAAAAGAQAADwAAAAAAAAAAAAAA&#10;AAAdBAAAZHJzL2Rvd25yZXYueG1sUEsFBgAAAAAEAAQA8wAAACUFAAAAAA==&#10;" strokecolor="#5ca0b9" strokeweight="2.5pt">
                <w10:wrap anchorx="margin"/>
              </v:line>
            </w:pict>
          </mc:Fallback>
        </mc:AlternateContent>
      </w:r>
    </w:p>
    <w:p w14:paraId="617D7F80" w14:textId="0D559F8B" w:rsidR="00A42BC3" w:rsidRPr="00330E85" w:rsidRDefault="00A42BC3" w:rsidP="00A42BC3">
      <w:pPr>
        <w:pStyle w:val="BodyText"/>
        <w:numPr>
          <w:ilvl w:val="0"/>
          <w:numId w:val="0"/>
        </w:numPr>
        <w:ind w:left="709" w:hanging="709"/>
      </w:pPr>
    </w:p>
    <w:p w14:paraId="26912C3D" w14:textId="77777777" w:rsidR="00A42BC3" w:rsidRPr="00330E85" w:rsidRDefault="00A42BC3" w:rsidP="00A42BC3">
      <w:pPr>
        <w:pStyle w:val="BodyText"/>
        <w:numPr>
          <w:ilvl w:val="0"/>
          <w:numId w:val="0"/>
        </w:numPr>
        <w:ind w:left="709" w:hanging="709"/>
      </w:pPr>
    </w:p>
    <w:p w14:paraId="6E854917" w14:textId="77777777" w:rsidR="00CA5754" w:rsidRPr="00862717" w:rsidRDefault="00CA5754" w:rsidP="00CA5754">
      <w:pPr>
        <w:pStyle w:val="TOC1"/>
        <w:spacing w:after="0"/>
        <w:rPr>
          <w:color w:val="0D0D0D"/>
        </w:rPr>
      </w:pPr>
    </w:p>
    <w:p w14:paraId="0A51E4D4" w14:textId="77777777" w:rsidR="00CA5754" w:rsidRPr="00862717" w:rsidRDefault="00CA5754" w:rsidP="00CA5754">
      <w:pPr>
        <w:spacing w:before="0" w:after="0" w:line="240" w:lineRule="auto"/>
        <w:rPr>
          <w:color w:val="0D0D0D"/>
        </w:rPr>
        <w:sectPr w:rsidR="00CA5754" w:rsidRPr="00862717" w:rsidSect="00741396">
          <w:headerReference w:type="default" r:id="rId45"/>
          <w:footnotePr>
            <w:numRestart w:val="eachSect"/>
          </w:footnotePr>
          <w:pgSz w:w="11907" w:h="16840" w:code="9"/>
          <w:pgMar w:top="1134" w:right="1134" w:bottom="1134" w:left="1701" w:header="499" w:footer="46" w:gutter="0"/>
          <w:cols w:space="720"/>
        </w:sectPr>
      </w:pPr>
    </w:p>
    <w:p w14:paraId="02C45B08" w14:textId="77777777" w:rsidR="00CA5754" w:rsidRPr="00862717" w:rsidRDefault="00CA5754" w:rsidP="00CA5754">
      <w:pPr>
        <w:spacing w:before="0" w:after="0" w:line="240" w:lineRule="auto"/>
        <w:rPr>
          <w:color w:val="0D0D0D"/>
        </w:rPr>
      </w:pPr>
    </w:p>
    <w:p w14:paraId="41E4F65B" w14:textId="77777777" w:rsidR="00CA5754" w:rsidRPr="00862717" w:rsidRDefault="00CA5754" w:rsidP="00CA5754">
      <w:pPr>
        <w:spacing w:before="0" w:after="0" w:line="240" w:lineRule="auto"/>
        <w:rPr>
          <w:color w:val="0D0D0D"/>
        </w:rPr>
      </w:pPr>
    </w:p>
    <w:p w14:paraId="07CBE099" w14:textId="77777777" w:rsidR="00CA5754" w:rsidRPr="00862717" w:rsidRDefault="00CA5754" w:rsidP="00CA5754">
      <w:pPr>
        <w:spacing w:before="0" w:after="0" w:line="240" w:lineRule="auto"/>
        <w:rPr>
          <w:color w:val="0D0D0D"/>
        </w:rPr>
      </w:pPr>
    </w:p>
    <w:p w14:paraId="33740867" w14:textId="77777777" w:rsidR="00CA5754" w:rsidRPr="00862717" w:rsidRDefault="00CA5754" w:rsidP="00CA5754">
      <w:pPr>
        <w:spacing w:after="240"/>
        <w:rPr>
          <w:rFonts w:ascii="Metropolis Black" w:eastAsia="Metropolis Black" w:hAnsi="Metropolis Black"/>
          <w:b/>
          <w:color w:val="5CA0B9"/>
          <w:spacing w:val="-7"/>
          <w:sz w:val="66"/>
        </w:rPr>
      </w:pPr>
    </w:p>
    <w:p w14:paraId="05732173" w14:textId="77777777" w:rsidR="00CA5754" w:rsidRPr="00862717" w:rsidRDefault="00CA5754" w:rsidP="00CA5754">
      <w:pPr>
        <w:spacing w:after="240"/>
        <w:rPr>
          <w:rFonts w:ascii="Metropolis Black" w:eastAsia="Metropolis Black" w:hAnsi="Metropolis Black"/>
          <w:b/>
          <w:color w:val="5CA0B9"/>
          <w:spacing w:val="-7"/>
          <w:sz w:val="66"/>
        </w:rPr>
      </w:pPr>
    </w:p>
    <w:p w14:paraId="2CD6FDF0" w14:textId="73115F22" w:rsidR="00CA5754" w:rsidRPr="00862717" w:rsidRDefault="00CA5754" w:rsidP="00CA5754">
      <w:pPr>
        <w:spacing w:after="240"/>
        <w:rPr>
          <w:rFonts w:ascii="Metropolis Black" w:eastAsia="Metropolis Black" w:hAnsi="Metropolis Black"/>
          <w:b/>
          <w:color w:val="5CA0B9"/>
          <w:spacing w:val="-7"/>
          <w:sz w:val="40"/>
          <w:szCs w:val="2"/>
        </w:rPr>
      </w:pPr>
      <w:r w:rsidRPr="00862717">
        <w:rPr>
          <w:rFonts w:ascii="Metropolis Black" w:eastAsia="Metropolis Black" w:hAnsi="Metropolis Black"/>
          <w:b/>
          <w:noProof/>
          <w:color w:val="5CA0B9"/>
          <w:spacing w:val="-7"/>
          <w:sz w:val="66"/>
        </w:rPr>
        <mc:AlternateContent>
          <mc:Choice Requires="wpg">
            <w:drawing>
              <wp:anchor distT="0" distB="0" distL="114300" distR="114300" simplePos="0" relativeHeight="251658279" behindDoc="1" locked="0" layoutInCell="1" allowOverlap="1" wp14:anchorId="15229FFC" wp14:editId="09DFBB51">
                <wp:simplePos x="0" y="0"/>
                <wp:positionH relativeFrom="page">
                  <wp:posOffset>1080135</wp:posOffset>
                </wp:positionH>
                <wp:positionV relativeFrom="paragraph">
                  <wp:posOffset>496570</wp:posOffset>
                </wp:positionV>
                <wp:extent cx="1332230" cy="1270"/>
                <wp:effectExtent l="0" t="19050" r="1270" b="0"/>
                <wp:wrapNone/>
                <wp:docPr id="1049891676" name="Group 104989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7470711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810E" id="Group 1049891676" o:spid="_x0000_s1026" style="position:absolute;margin-left:85.05pt;margin-top:39.1pt;width:104.9pt;height:.1pt;z-index:-25165820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I3/AIAAOIGAAAOAAAAZHJzL2Uyb0RvYy54bWykVW1P2zAQ/j5p/8Hyx02Ql7YUIlrEYKBJ&#10;bEOi+wGu47xojp3ZblP263dnJyV0oEnsi3XOnZ97/Nz5cn6xayTZCmNrrRY0OY4pEYrrvFblgv5Y&#10;3RydUm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Pr="00862717">
        <w:rPr>
          <w:rFonts w:ascii="Metropolis Black" w:eastAsia="Metropolis Black" w:hAnsi="Metropolis Black"/>
          <w:b/>
          <w:color w:val="5CA0B9"/>
          <w:spacing w:val="-7"/>
          <w:sz w:val="40"/>
          <w:szCs w:val="2"/>
        </w:rPr>
        <w:t>P</w:t>
      </w:r>
      <w:r>
        <w:rPr>
          <w:rFonts w:ascii="Metropolis Black" w:eastAsia="Metropolis Black" w:hAnsi="Metropolis Black"/>
          <w:b/>
          <w:color w:val="5CA0B9"/>
          <w:spacing w:val="-7"/>
          <w:sz w:val="40"/>
          <w:szCs w:val="2"/>
        </w:rPr>
        <w:t>ART</w:t>
      </w:r>
      <w:r w:rsidRPr="00862717">
        <w:rPr>
          <w:rFonts w:ascii="Metropolis Black" w:eastAsia="Metropolis Black" w:hAnsi="Metropolis Black"/>
          <w:b/>
          <w:color w:val="5CA0B9"/>
          <w:spacing w:val="-7"/>
          <w:sz w:val="40"/>
          <w:szCs w:val="2"/>
        </w:rPr>
        <w:t xml:space="preserve"> </w:t>
      </w:r>
      <w:r>
        <w:rPr>
          <w:rFonts w:ascii="Metropolis Black" w:eastAsia="Metropolis Black" w:hAnsi="Metropolis Black"/>
          <w:b/>
          <w:color w:val="5CA0B9"/>
          <w:spacing w:val="-7"/>
          <w:sz w:val="40"/>
          <w:szCs w:val="2"/>
        </w:rPr>
        <w:t>3</w:t>
      </w:r>
      <w:r w:rsidRPr="00862717">
        <w:rPr>
          <w:rFonts w:ascii="Metropolis Black" w:eastAsia="Metropolis Black" w:hAnsi="Metropolis Black"/>
          <w:b/>
          <w:color w:val="5CA0B9"/>
          <w:spacing w:val="-7"/>
          <w:sz w:val="40"/>
          <w:szCs w:val="2"/>
        </w:rPr>
        <w:t>:</w:t>
      </w:r>
    </w:p>
    <w:p w14:paraId="4ED8ACC3" w14:textId="77777777" w:rsidR="00CA5754" w:rsidRPr="00862717" w:rsidRDefault="00CA5754" w:rsidP="00CA5754">
      <w:pPr>
        <w:spacing w:after="240"/>
        <w:rPr>
          <w:rFonts w:ascii="Metropolis Black" w:eastAsia="Metropolis Black" w:hAnsi="Metropolis Black"/>
          <w:b/>
          <w:color w:val="5CA0B9"/>
          <w:spacing w:val="-7"/>
          <w:sz w:val="32"/>
          <w:szCs w:val="10"/>
        </w:rPr>
      </w:pPr>
    </w:p>
    <w:p w14:paraId="6968A71A" w14:textId="2741B630" w:rsidR="00CA5754" w:rsidRPr="00862717" w:rsidRDefault="00CA5754" w:rsidP="00523BE0">
      <w:pPr>
        <w:pStyle w:val="Heading1-Mainpart"/>
        <w:ind w:right="-142"/>
        <w:rPr>
          <w:b w:val="0"/>
        </w:rPr>
      </w:pPr>
      <w:bookmarkStart w:id="134" w:name="_Toc231467845"/>
      <w:r w:rsidRPr="00CA5754">
        <w:t>IMPROVING THE SENTENCE AGGRAVATION MODEL</w:t>
      </w:r>
      <w:bookmarkEnd w:id="134"/>
      <w:r w:rsidRPr="00862717">
        <w:rPr>
          <w:b w:val="0"/>
        </w:rPr>
        <w:t xml:space="preserve"> </w:t>
      </w:r>
    </w:p>
    <w:p w14:paraId="6EDF90B8" w14:textId="77777777" w:rsidR="00CA5754" w:rsidRPr="00862717" w:rsidRDefault="00CA5754" w:rsidP="00CA5754">
      <w:pPr>
        <w:spacing w:before="0" w:after="0" w:line="240" w:lineRule="auto"/>
        <w:rPr>
          <w:color w:val="0D0D0D"/>
        </w:rPr>
      </w:pPr>
    </w:p>
    <w:p w14:paraId="11BFE1DA" w14:textId="77777777" w:rsidR="00CA5754" w:rsidRPr="00862717" w:rsidRDefault="00CA5754" w:rsidP="00CA5754">
      <w:pPr>
        <w:spacing w:before="0" w:after="0" w:line="240" w:lineRule="auto"/>
        <w:rPr>
          <w:color w:val="0D0D0D"/>
        </w:rPr>
      </w:pPr>
    </w:p>
    <w:p w14:paraId="0948172E" w14:textId="77777777" w:rsidR="00CA5754" w:rsidRPr="00862717" w:rsidRDefault="00CA5754" w:rsidP="00CA5754">
      <w:pPr>
        <w:spacing w:before="0" w:after="0" w:line="240" w:lineRule="auto"/>
        <w:rPr>
          <w:color w:val="0D0D0D"/>
        </w:rPr>
      </w:pPr>
      <w:r w:rsidRPr="00862717">
        <w:rPr>
          <w:noProof/>
          <w:color w:val="0D0D0D"/>
        </w:rPr>
        <w:drawing>
          <wp:anchor distT="0" distB="0" distL="114300" distR="114300" simplePos="0" relativeHeight="251658280" behindDoc="0" locked="0" layoutInCell="1" allowOverlap="1" wp14:anchorId="41DB52A5" wp14:editId="6721DA21">
            <wp:simplePos x="0" y="0"/>
            <wp:positionH relativeFrom="column">
              <wp:posOffset>-884555</wp:posOffset>
            </wp:positionH>
            <wp:positionV relativeFrom="page">
              <wp:posOffset>9463973</wp:posOffset>
            </wp:positionV>
            <wp:extent cx="7171055" cy="1148080"/>
            <wp:effectExtent l="0" t="0" r="0" b="0"/>
            <wp:wrapNone/>
            <wp:docPr id="925708603" name="Picture 925708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DEEEB" w14:textId="77777777" w:rsidR="00CA5754" w:rsidRPr="00862717" w:rsidRDefault="00CA5754" w:rsidP="00CA5754">
      <w:pPr>
        <w:spacing w:before="0" w:after="0" w:line="240" w:lineRule="auto"/>
        <w:rPr>
          <w:color w:val="0D0D0D"/>
        </w:rPr>
      </w:pPr>
    </w:p>
    <w:p w14:paraId="04B3717C" w14:textId="77777777" w:rsidR="00CA5754" w:rsidRDefault="00CA5754" w:rsidP="00CA5754">
      <w:pPr>
        <w:spacing w:after="0" w:line="240" w:lineRule="auto"/>
      </w:pPr>
    </w:p>
    <w:p w14:paraId="731559CA" w14:textId="77777777" w:rsidR="00CA5754" w:rsidRDefault="00CA5754" w:rsidP="00CA5754">
      <w:pPr>
        <w:spacing w:after="0" w:line="240" w:lineRule="auto"/>
      </w:pPr>
    </w:p>
    <w:p w14:paraId="5C30EB2D" w14:textId="77777777" w:rsidR="00A42BC3" w:rsidRPr="00330E85" w:rsidRDefault="00A42BC3" w:rsidP="00A42BC3">
      <w:pPr>
        <w:spacing w:after="0" w:line="240" w:lineRule="auto"/>
      </w:pPr>
    </w:p>
    <w:p w14:paraId="2EA9BE1C" w14:textId="77777777" w:rsidR="00A42BC3" w:rsidRPr="00330E85" w:rsidRDefault="00A42BC3" w:rsidP="00A42BC3">
      <w:pPr>
        <w:spacing w:after="0" w:line="240" w:lineRule="auto"/>
        <w:sectPr w:rsidR="00A42BC3" w:rsidRPr="00330E85" w:rsidSect="00A42BC3">
          <w:headerReference w:type="even" r:id="rId46"/>
          <w:headerReference w:type="default" r:id="rId47"/>
          <w:footnotePr>
            <w:numRestart w:val="eachSect"/>
          </w:footnotePr>
          <w:pgSz w:w="11907" w:h="16840" w:code="9"/>
          <w:pgMar w:top="1134" w:right="1134" w:bottom="1134" w:left="1701" w:header="499" w:footer="46" w:gutter="0"/>
          <w:cols w:space="720"/>
        </w:sectPr>
      </w:pPr>
    </w:p>
    <w:p w14:paraId="699F6242" w14:textId="274B066A" w:rsidR="00A42BC3" w:rsidRPr="00330E85" w:rsidRDefault="00A42BC3" w:rsidP="00A42BC3">
      <w:pPr>
        <w:pStyle w:val="HEADING2topchapter-notinTOC"/>
        <w:rPr>
          <w:sz w:val="21"/>
          <w:szCs w:val="21"/>
        </w:rPr>
      </w:pPr>
      <w:r w:rsidRPr="00330E85">
        <w:t xml:space="preserve">CHAPTER </w:t>
      </w:r>
      <w:r w:rsidR="00E9439D">
        <w:t>6</w:t>
      </w:r>
    </w:p>
    <w:p w14:paraId="2289660E" w14:textId="77777777" w:rsidR="00A42BC3" w:rsidRPr="00330E85" w:rsidRDefault="00A42BC3" w:rsidP="00A42BC3">
      <w:pPr>
        <w:spacing w:after="0" w:line="200" w:lineRule="exact"/>
        <w:rPr>
          <w:szCs w:val="20"/>
        </w:rPr>
      </w:pPr>
      <w:r w:rsidRPr="00330E85">
        <w:rPr>
          <w:noProof/>
        </w:rPr>
        <mc:AlternateContent>
          <mc:Choice Requires="wpg">
            <w:drawing>
              <wp:anchor distT="0" distB="0" distL="114300" distR="114300" simplePos="0" relativeHeight="251658256" behindDoc="1" locked="0" layoutInCell="1" allowOverlap="1" wp14:anchorId="29ACE94A" wp14:editId="4C0599AA">
                <wp:simplePos x="0" y="0"/>
                <wp:positionH relativeFrom="page">
                  <wp:posOffset>1079500</wp:posOffset>
                </wp:positionH>
                <wp:positionV relativeFrom="paragraph">
                  <wp:posOffset>120015</wp:posOffset>
                </wp:positionV>
                <wp:extent cx="1332230" cy="1270"/>
                <wp:effectExtent l="0" t="19050" r="1270" b="0"/>
                <wp:wrapNone/>
                <wp:docPr id="110289736" name="Group 110289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136956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71A74" id="Group 110289736" o:spid="_x0000_s1026" style="position:absolute;margin-left:85pt;margin-top:9.45pt;width:104.9pt;height:.1pt;z-index:-25165822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K3SgOX7AgAA4g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0C1CE607" w14:textId="4A30BA2C" w:rsidR="00A42BC3" w:rsidRPr="00330E85" w:rsidRDefault="000F3D5A" w:rsidP="00A42BC3">
      <w:pPr>
        <w:pStyle w:val="Heading1"/>
        <w:rPr>
          <w:rFonts w:eastAsia="Metropolis Black"/>
        </w:rPr>
      </w:pPr>
      <w:bookmarkStart w:id="135" w:name="_Toc231467846"/>
      <w:r w:rsidRPr="000F3D5A">
        <w:rPr>
          <w:rFonts w:eastAsia="Metropolis Black"/>
        </w:rPr>
        <w:t>Identifying and recording hate crime in the courts</w:t>
      </w:r>
      <w:bookmarkEnd w:id="135"/>
    </w:p>
    <w:p w14:paraId="4BB16432" w14:textId="77777777" w:rsidR="00A42BC3" w:rsidRPr="00330E85" w:rsidRDefault="00A42BC3" w:rsidP="00A42BC3">
      <w:pPr>
        <w:spacing w:after="0" w:line="200" w:lineRule="exact"/>
        <w:rPr>
          <w:szCs w:val="20"/>
        </w:rPr>
      </w:pPr>
      <w:r w:rsidRPr="00330E85">
        <w:rPr>
          <w:noProof/>
          <w:lang w:eastAsia="en-NZ"/>
        </w:rPr>
        <mc:AlternateContent>
          <mc:Choice Requires="wpg">
            <w:drawing>
              <wp:anchor distT="0" distB="0" distL="114300" distR="114300" simplePos="0" relativeHeight="251658257" behindDoc="1" locked="0" layoutInCell="1" allowOverlap="1" wp14:anchorId="35FE0601" wp14:editId="0DE4E4B4">
                <wp:simplePos x="0" y="0"/>
                <wp:positionH relativeFrom="page">
                  <wp:posOffset>1089025</wp:posOffset>
                </wp:positionH>
                <wp:positionV relativeFrom="paragraph">
                  <wp:posOffset>86731</wp:posOffset>
                </wp:positionV>
                <wp:extent cx="1332230" cy="1270"/>
                <wp:effectExtent l="0" t="19050" r="1270" b="17780"/>
                <wp:wrapNone/>
                <wp:docPr id="321751178" name="Group 32175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89738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135FB" id="Group 321751178" o:spid="_x0000_s1026" style="position:absolute;margin-left:85.75pt;margin-top:6.85pt;width:104.9pt;height:.1pt;z-index:-25165822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6F5DC135" w14:textId="77777777" w:rsidR="00A42BC3" w:rsidRPr="00330E85" w:rsidRDefault="00A42BC3" w:rsidP="00A42BC3"/>
    <w:p w14:paraId="7AC9EF6F" w14:textId="77777777" w:rsidR="00A42BC3" w:rsidRDefault="00A42BC3" w:rsidP="00A42BC3">
      <w:pPr>
        <w:pStyle w:val="Heading2"/>
      </w:pPr>
      <w:bookmarkStart w:id="136" w:name="_Toc231467847"/>
      <w:r w:rsidRPr="00E34108">
        <w:t>Introduction</w:t>
      </w:r>
      <w:bookmarkEnd w:id="136"/>
    </w:p>
    <w:p w14:paraId="2FF365CB" w14:textId="77777777" w:rsidR="00A42BC3" w:rsidRPr="00684CD4" w:rsidRDefault="00A42BC3" w:rsidP="003E75B9">
      <w:pPr>
        <w:pStyle w:val="ListParagraph"/>
        <w:numPr>
          <w:ilvl w:val="0"/>
          <w:numId w:val="28"/>
        </w:numPr>
        <w:spacing w:before="80" w:after="80"/>
        <w:contextualSpacing w:val="0"/>
        <w:jc w:val="both"/>
        <w:rPr>
          <w:vanish/>
          <w:sz w:val="20"/>
        </w:rPr>
      </w:pPr>
    </w:p>
    <w:p w14:paraId="23466B3D" w14:textId="1889A7F3" w:rsidR="005900F0" w:rsidRDefault="005900F0" w:rsidP="003E75B9">
      <w:pPr>
        <w:pStyle w:val="BodyText"/>
        <w:numPr>
          <w:ilvl w:val="1"/>
          <w:numId w:val="31"/>
        </w:numPr>
        <w:ind w:hanging="709"/>
      </w:pPr>
      <w:r>
        <w:t xml:space="preserve">In Chapter </w:t>
      </w:r>
      <w:r w:rsidR="00F81F3F">
        <w:t>4</w:t>
      </w:r>
      <w:r w:rsidR="00BA4652">
        <w:t>,</w:t>
      </w:r>
      <w:r>
        <w:t xml:space="preserve"> we </w:t>
      </w:r>
      <w:r w:rsidR="00F81F3F">
        <w:t>identified</w:t>
      </w:r>
      <w:r>
        <w:t xml:space="preserve"> the </w:t>
      </w:r>
      <w:r w:rsidR="00F81F3F">
        <w:t xml:space="preserve">following problems with the current law </w:t>
      </w:r>
      <w:r>
        <w:t>relating to hate crime in Aotearoa New Zealand:</w:t>
      </w:r>
    </w:p>
    <w:p w14:paraId="046029F6" w14:textId="5EBA87CB" w:rsidR="005304A1" w:rsidRPr="00836C4B" w:rsidRDefault="005304A1" w:rsidP="005304A1">
      <w:pPr>
        <w:pStyle w:val="BodyTextalphalist"/>
        <w:numPr>
          <w:ilvl w:val="3"/>
          <w:numId w:val="31"/>
        </w:numPr>
      </w:pPr>
      <w:r>
        <w:t xml:space="preserve">It does not require the courts </w:t>
      </w:r>
      <w:r w:rsidRPr="00836C4B">
        <w:t xml:space="preserve">to communicate </w:t>
      </w:r>
      <w:r>
        <w:t xml:space="preserve">clearly </w:t>
      </w:r>
      <w:r w:rsidRPr="00836C4B">
        <w:t>to the public that an offence was a hate crime and that this makes it more serious.</w:t>
      </w:r>
      <w:r>
        <w:t xml:space="preserve"> This means hate crimes may not be consistently denounced.</w:t>
      </w:r>
    </w:p>
    <w:p w14:paraId="2BF5D7CC" w14:textId="77777777" w:rsidR="004D2180" w:rsidRPr="00141736" w:rsidRDefault="004D2180" w:rsidP="004D2180">
      <w:pPr>
        <w:pStyle w:val="BodyTextalphalist"/>
        <w:numPr>
          <w:ilvl w:val="3"/>
          <w:numId w:val="31"/>
        </w:numPr>
      </w:pPr>
      <w:r w:rsidRPr="004D2180">
        <w:rPr>
          <w:rFonts w:eastAsia="Calibri"/>
          <w:lang w:eastAsia="en-US"/>
        </w:rPr>
        <w:t xml:space="preserve">It does not </w:t>
      </w:r>
      <w:r w:rsidRPr="004D2180">
        <w:rPr>
          <w:rFonts w:eastAsia="Calibri"/>
        </w:rPr>
        <w:t>provide</w:t>
      </w:r>
      <w:r w:rsidRPr="004D2180">
        <w:rPr>
          <w:rFonts w:eastAsia="Calibri"/>
          <w:lang w:eastAsia="en-US"/>
        </w:rPr>
        <w:t xml:space="preserve"> a mechanism for systematically documenting court findings that an offence was motivated by hostility. </w:t>
      </w:r>
    </w:p>
    <w:p w14:paraId="5E9B36E3" w14:textId="2EBF3616" w:rsidR="005304A1" w:rsidRDefault="005304A1" w:rsidP="005304A1">
      <w:pPr>
        <w:pStyle w:val="BodyTextalphalist"/>
        <w:numPr>
          <w:ilvl w:val="3"/>
          <w:numId w:val="31"/>
        </w:numPr>
      </w:pPr>
      <w:r w:rsidRPr="00836C4B">
        <w:t xml:space="preserve">It does not </w:t>
      </w:r>
      <w:r>
        <w:t>provide</w:t>
      </w:r>
      <w:r w:rsidR="004D2180">
        <w:t xml:space="preserve"> a</w:t>
      </w:r>
      <w:r>
        <w:t xml:space="preserve"> mechanism to ensure</w:t>
      </w:r>
      <w:r w:rsidRPr="005304A1">
        <w:rPr>
          <w:rFonts w:eastAsia="Calibri"/>
        </w:rPr>
        <w:t xml:space="preserve"> the courts are aware that the hostility aggravating factor may apply to an offence and consider</w:t>
      </w:r>
      <w:r w:rsidRPr="00836C4B">
        <w:t xml:space="preserve"> it at appropriate points in </w:t>
      </w:r>
      <w:r>
        <w:t xml:space="preserve">a </w:t>
      </w:r>
      <w:r w:rsidRPr="00836C4B">
        <w:t>proceeding.</w:t>
      </w:r>
    </w:p>
    <w:p w14:paraId="3A349A55" w14:textId="2038EB7A" w:rsidR="005900F0" w:rsidRDefault="005900F0" w:rsidP="003E75B9">
      <w:pPr>
        <w:pStyle w:val="BodyText"/>
        <w:numPr>
          <w:ilvl w:val="1"/>
          <w:numId w:val="31"/>
        </w:numPr>
        <w:ind w:hanging="709"/>
      </w:pPr>
      <w:r>
        <w:t>In this chapter</w:t>
      </w:r>
      <w:r w:rsidR="007574AA">
        <w:t>,</w:t>
      </w:r>
      <w:r>
        <w:t xml:space="preserve"> we recommend introducing a court hate crime flag to help address those problems. This</w:t>
      </w:r>
      <w:r w:rsidR="005E2553">
        <w:t xml:space="preserve"> flag</w:t>
      </w:r>
      <w:r>
        <w:t xml:space="preserve"> would</w:t>
      </w:r>
      <w:r w:rsidR="00135904">
        <w:t xml:space="preserve"> have the following effects</w:t>
      </w:r>
      <w:r>
        <w:t xml:space="preserve">: </w:t>
      </w:r>
    </w:p>
    <w:p w14:paraId="0F118E6A" w14:textId="162D3D4D" w:rsidR="005900F0" w:rsidRDefault="005900F0" w:rsidP="003E75B9">
      <w:pPr>
        <w:pStyle w:val="BodyTextalphalist"/>
        <w:numPr>
          <w:ilvl w:val="3"/>
          <w:numId w:val="31"/>
        </w:numPr>
      </w:pPr>
      <w:r>
        <w:t xml:space="preserve">Enable </w:t>
      </w:r>
      <w:r w:rsidRPr="008D2E0B">
        <w:t>Ngā</w:t>
      </w:r>
      <w:r>
        <w:t xml:space="preserve"> </w:t>
      </w:r>
      <w:r w:rsidRPr="008D2E0B">
        <w:t>Pirihimana</w:t>
      </w:r>
      <w:r>
        <w:rPr>
          <w:rFonts w:ascii="Calibri" w:hAnsi="Calibri" w:cs="Calibri"/>
        </w:rPr>
        <w:t xml:space="preserve"> </w:t>
      </w:r>
      <w:r w:rsidRPr="008D2E0B">
        <w:t xml:space="preserve">o Aotearoa | New Zealand Police </w:t>
      </w:r>
      <w:r>
        <w:t xml:space="preserve">to indicate that </w:t>
      </w:r>
      <w:r w:rsidR="00782F8D">
        <w:t>section</w:t>
      </w:r>
      <w:r w:rsidR="003728CF">
        <w:rPr>
          <w:rFonts w:ascii="Calibri" w:hAnsi="Calibri" w:cs="Calibri"/>
        </w:rPr>
        <w:t> </w:t>
      </w:r>
      <w:r w:rsidR="00782F8D">
        <w:t xml:space="preserve">9(1)(h) of the Sentencing Act 2002 </w:t>
      </w:r>
      <w:r>
        <w:t xml:space="preserve">may apply to an </w:t>
      </w:r>
      <w:r w:rsidR="00F61C39">
        <w:t xml:space="preserve">alleged </w:t>
      </w:r>
      <w:r>
        <w:t>offence when filing charges against a defendant. This would be flagged on the court file for the judge to consider at relevant points in the proceeding (such as at bail and sentencing hearings).</w:t>
      </w:r>
    </w:p>
    <w:p w14:paraId="2F9142B0" w14:textId="5F0975A1" w:rsidR="005900F0" w:rsidRDefault="005900F0" w:rsidP="003E75B9">
      <w:pPr>
        <w:pStyle w:val="BodyTextalphalist"/>
        <w:numPr>
          <w:ilvl w:val="3"/>
          <w:numId w:val="31"/>
        </w:numPr>
      </w:pPr>
      <w:r>
        <w:t xml:space="preserve">Require sentencing judges to </w:t>
      </w:r>
      <w:r w:rsidR="00C810E1">
        <w:t xml:space="preserve">formally </w:t>
      </w:r>
      <w:r>
        <w:t xml:space="preserve">record if </w:t>
      </w:r>
      <w:r w:rsidR="00606431">
        <w:t>section 9(1)(h)</w:t>
      </w:r>
      <w:r>
        <w:t xml:space="preserve"> is </w:t>
      </w:r>
      <w:r w:rsidR="0090079F">
        <w:t xml:space="preserve">found to apply </w:t>
      </w:r>
      <w:r>
        <w:t>to an offence at sentencing. These records would assist the courts in later cases and enable monitoring of how hate crimes are being addressed in the court system. The requirement would also encourage judges to make a clear finding on whether the aggravating factor applies, which would support clearer denunciation of hate crime.</w:t>
      </w:r>
    </w:p>
    <w:p w14:paraId="72B82D08" w14:textId="6E449E4E" w:rsidR="005900F0" w:rsidRDefault="005900F0" w:rsidP="000A5EA3">
      <w:pPr>
        <w:pStyle w:val="BodyText"/>
        <w:numPr>
          <w:ilvl w:val="1"/>
          <w:numId w:val="31"/>
        </w:numPr>
        <w:ind w:hanging="709"/>
      </w:pPr>
      <w:r>
        <w:t xml:space="preserve">We also recommend that the courts share information about alleged or proven hostility with Police and </w:t>
      </w:r>
      <w:r w:rsidRPr="008D2E0B">
        <w:t xml:space="preserve">Ara Poutama </w:t>
      </w:r>
      <w:r w:rsidR="00B920DC">
        <w:t xml:space="preserve">Aotearoa </w:t>
      </w:r>
      <w:r w:rsidRPr="008D2E0B">
        <w:t>| Department of Corrections</w:t>
      </w:r>
      <w:r>
        <w:t>. This would</w:t>
      </w:r>
      <w:r w:rsidR="00C70ED2">
        <w:t xml:space="preserve"> have the following effects</w:t>
      </w:r>
      <w:r>
        <w:t>:</w:t>
      </w:r>
    </w:p>
    <w:p w14:paraId="1EA4769B" w14:textId="63C3CB75" w:rsidR="005900F0" w:rsidRPr="00FE7E28" w:rsidRDefault="005900F0" w:rsidP="005900F0">
      <w:pPr>
        <w:pStyle w:val="BodyTextalphalist"/>
      </w:pPr>
      <w:r w:rsidRPr="00FE7E28">
        <w:t xml:space="preserve">Help to ensure Police and prosecutors are aware if a defendant or suspect has previously committed hostility-motivated offending. This could inform </w:t>
      </w:r>
      <w:r w:rsidR="007B6D19">
        <w:t>investigations</w:t>
      </w:r>
      <w:r w:rsidR="00616AD6">
        <w:t xml:space="preserve">, </w:t>
      </w:r>
      <w:r w:rsidRPr="00FE7E28">
        <w:t>charging decisions, submissions to the court at bail and sentencing hearings and consideration of firearm licen</w:t>
      </w:r>
      <w:r w:rsidR="00E517D6">
        <w:t>c</w:t>
      </w:r>
      <w:r w:rsidRPr="00FE7E28">
        <w:t>e applications.</w:t>
      </w:r>
    </w:p>
    <w:p w14:paraId="2666E4F6" w14:textId="3B7B0973" w:rsidR="005900F0" w:rsidRPr="00FE7E28" w:rsidRDefault="005900F0" w:rsidP="005900F0">
      <w:pPr>
        <w:pStyle w:val="BodyTextalphalist"/>
      </w:pPr>
      <w:r w:rsidRPr="00FE7E28">
        <w:t xml:space="preserve">Alert Corrections if a person under </w:t>
      </w:r>
      <w:r w:rsidR="003410A5">
        <w:t>Corrections</w:t>
      </w:r>
      <w:r w:rsidRPr="00FE7E28">
        <w:t xml:space="preserve"> management is alleged or confirmed to have committed hostility-motivated offending. This would assist Corrections to ensure the safety of its staff and other prisoners, provide accurate reports to the courts and Parole Board to support informed decision-making and assess the rehabilitative needs of offenders to address their risk</w:t>
      </w:r>
      <w:r w:rsidR="00F61C39">
        <w:t>s</w:t>
      </w:r>
      <w:r w:rsidRPr="00FE7E28">
        <w:t xml:space="preserve"> of reoffending.</w:t>
      </w:r>
    </w:p>
    <w:p w14:paraId="546A843D" w14:textId="760F7239" w:rsidR="005900F0" w:rsidRDefault="005900F0" w:rsidP="000A5EA3">
      <w:pPr>
        <w:pStyle w:val="BodyText"/>
        <w:numPr>
          <w:ilvl w:val="1"/>
          <w:numId w:val="31"/>
        </w:numPr>
        <w:ind w:hanging="709"/>
      </w:pPr>
      <w:r>
        <w:t xml:space="preserve">Finally, we recommend that the court record </w:t>
      </w:r>
      <w:r w:rsidR="0055000F">
        <w:t>sh</w:t>
      </w:r>
      <w:r>
        <w:t>ould</w:t>
      </w:r>
      <w:r w:rsidRPr="00757D69">
        <w:t xml:space="preserve"> </w:t>
      </w:r>
      <w:r>
        <w:t>also include information about the protected characteristic and group targeted by the offending</w:t>
      </w:r>
      <w:r w:rsidR="0055000F">
        <w:t>, if it is feasible to record that information</w:t>
      </w:r>
      <w:r>
        <w:t>.</w:t>
      </w:r>
    </w:p>
    <w:p w14:paraId="155FEDF5" w14:textId="3858ED61" w:rsidR="005900F0" w:rsidRDefault="005900F0" w:rsidP="000A5EA3">
      <w:pPr>
        <w:pStyle w:val="BodyText"/>
        <w:numPr>
          <w:ilvl w:val="1"/>
          <w:numId w:val="31"/>
        </w:numPr>
        <w:ind w:hanging="709"/>
      </w:pPr>
      <w:r>
        <w:t xml:space="preserve">At the end of this chapter, we address a concern raised with us about how recording hostility in the courts would affect offenders in </w:t>
      </w:r>
      <w:r w:rsidR="0044722A">
        <w:t xml:space="preserve">the </w:t>
      </w:r>
      <w:r>
        <w:t xml:space="preserve">future, including their employment prospects. We conclude </w:t>
      </w:r>
      <w:r w:rsidR="00527ACB">
        <w:t>that</w:t>
      </w:r>
      <w:r>
        <w:t xml:space="preserve"> our recommendations in this chapter would not unfairly prejudice offenders</w:t>
      </w:r>
      <w:r w:rsidR="003C3666">
        <w:t>. We also discuss whether the court flag</w:t>
      </w:r>
      <w:r w:rsidR="00276F84">
        <w:t xml:space="preserve"> is likely to have a </w:t>
      </w:r>
      <w:r w:rsidR="004A58DD">
        <w:t xml:space="preserve">significant impact on </w:t>
      </w:r>
      <w:r w:rsidR="00276F84">
        <w:t xml:space="preserve">defendants’ </w:t>
      </w:r>
      <w:r w:rsidR="004A58DD">
        <w:t>willingness to plead guilty</w:t>
      </w:r>
      <w:r w:rsidR="00276F84">
        <w:t xml:space="preserve"> and conclude it would not</w:t>
      </w:r>
      <w:r>
        <w:t>.</w:t>
      </w:r>
    </w:p>
    <w:p w14:paraId="1C3882A8" w14:textId="55AD19F2" w:rsidR="005900F0" w:rsidRPr="000C2844" w:rsidRDefault="005900F0" w:rsidP="005900F0">
      <w:pPr>
        <w:pStyle w:val="Heading2"/>
      </w:pPr>
      <w:bookmarkStart w:id="137" w:name="_Toc231467848"/>
      <w:r>
        <w:t xml:space="preserve">Introducing a </w:t>
      </w:r>
      <w:r w:rsidR="00883234">
        <w:t xml:space="preserve">court </w:t>
      </w:r>
      <w:r>
        <w:t>hate crime flag</w:t>
      </w:r>
      <w:bookmarkEnd w:id="137"/>
    </w:p>
    <w:p w14:paraId="3EF938C7" w14:textId="7801B651" w:rsidR="005900F0" w:rsidRPr="00AF679D" w:rsidRDefault="005900F0" w:rsidP="000A5EA3">
      <w:pPr>
        <w:pStyle w:val="BodyText"/>
        <w:numPr>
          <w:ilvl w:val="1"/>
          <w:numId w:val="31"/>
        </w:numPr>
        <w:ind w:hanging="709"/>
      </w:pPr>
      <w:r>
        <w:t>In our Consultation Paper, we sought feedback on the option of introducing a hate crime flag in the court system.</w:t>
      </w:r>
      <w:r>
        <w:rPr>
          <w:rStyle w:val="FootnoteReference"/>
        </w:rPr>
        <w:footnoteReference w:id="435"/>
      </w:r>
      <w:r>
        <w:t xml:space="preserve"> By this, we envisaged a process </w:t>
      </w:r>
      <w:r w:rsidR="005107C0">
        <w:t xml:space="preserve">under which </w:t>
      </w:r>
      <w:r>
        <w:t xml:space="preserve">Police would be prompted </w:t>
      </w:r>
      <w:r w:rsidRPr="00D10838">
        <w:t xml:space="preserve">to specify whether </w:t>
      </w:r>
      <w:r>
        <w:t>section</w:t>
      </w:r>
      <w:r>
        <w:rPr>
          <w:rFonts w:ascii="Calibri" w:hAnsi="Calibri" w:cs="Calibri"/>
        </w:rPr>
        <w:t xml:space="preserve"> </w:t>
      </w:r>
      <w:r>
        <w:t>9(1)(h) of the Sentencing Act is alleged to apply to an offence</w:t>
      </w:r>
      <w:r w:rsidRPr="00D10838">
        <w:t xml:space="preserve"> </w:t>
      </w:r>
      <w:r>
        <w:t xml:space="preserve">on the charging document filed with the court </w:t>
      </w:r>
      <w:r w:rsidRPr="00D10838">
        <w:t xml:space="preserve">when laying </w:t>
      </w:r>
      <w:r>
        <w:t>a</w:t>
      </w:r>
      <w:r w:rsidRPr="00D10838">
        <w:t xml:space="preserve"> charge</w:t>
      </w:r>
      <w:r>
        <w:t xml:space="preserve">. The court would then be notified of </w:t>
      </w:r>
      <w:r w:rsidR="00586F4F">
        <w:t xml:space="preserve">any </w:t>
      </w:r>
      <w:r>
        <w:t>alleged hostile motivation at relevant points in a proceeding (such as at bail and sentencing hearings).</w:t>
      </w:r>
      <w:r w:rsidRPr="00D10838">
        <w:t xml:space="preserve"> </w:t>
      </w:r>
      <w:r>
        <w:t xml:space="preserve">If the hostile motivation was proven, the courts would be required to record it on the permanent court record. The permanent court record is a record of formal steps in </w:t>
      </w:r>
      <w:r w:rsidRPr="17D1245A">
        <w:t>proceedings,</w:t>
      </w:r>
      <w:r w:rsidRPr="17D1245A">
        <w:rPr>
          <w:rStyle w:val="FootnoteReference"/>
        </w:rPr>
        <w:footnoteReference w:id="436"/>
      </w:r>
      <w:r w:rsidRPr="17D1245A">
        <w:t xml:space="preserve"> including charges and convictions.</w:t>
      </w:r>
      <w:r w:rsidRPr="17D1245A">
        <w:rPr>
          <w:rStyle w:val="FootnoteReference"/>
        </w:rPr>
        <w:footnoteReference w:id="437"/>
      </w:r>
      <w:r>
        <w:rPr>
          <w:szCs w:val="20"/>
        </w:rPr>
        <w:t xml:space="preserve"> </w:t>
      </w:r>
    </w:p>
    <w:p w14:paraId="7A040AA6" w14:textId="39D7DCE2" w:rsidR="005900F0" w:rsidRPr="00E82270" w:rsidRDefault="005900F0" w:rsidP="000A5EA3">
      <w:pPr>
        <w:pStyle w:val="BodyText"/>
        <w:numPr>
          <w:ilvl w:val="1"/>
          <w:numId w:val="31"/>
        </w:numPr>
        <w:ind w:hanging="709"/>
      </w:pPr>
      <w:r>
        <w:t xml:space="preserve">The court flag we discuss in this chapter differs from the existing Police </w:t>
      </w:r>
      <w:r w:rsidR="00115380">
        <w:t xml:space="preserve">perceived </w:t>
      </w:r>
      <w:r>
        <w:t xml:space="preserve">hate crime flag referred to in Chapter 2. The Police flag records if an alleged offence reported to Police is perceived (by the victim, police officer or someone else) to be motivated by hostility. These </w:t>
      </w:r>
      <w:r w:rsidR="00B960BE">
        <w:t>alleged</w:t>
      </w:r>
      <w:r>
        <w:t xml:space="preserve"> offences will not necessarily be prosecuted and, if they are, may not be treated as a hate crime in the courts. The Police hate crime flag does not indicate that Police </w:t>
      </w:r>
      <w:r w:rsidR="00592E82">
        <w:t xml:space="preserve">believes there is sufficient evidence that a crime has been committed or </w:t>
      </w:r>
      <w:r>
        <w:t xml:space="preserve">intends to raise hostility as an issue in any prosecution. </w:t>
      </w:r>
      <w:r w:rsidR="009776E6">
        <w:t>The flag</w:t>
      </w:r>
      <w:r>
        <w:t xml:space="preserve"> is recorded in the Police National Intelligence Application and is not shared with the courts. </w:t>
      </w:r>
      <w:r w:rsidR="006451D1">
        <w:t>By contrast, t</w:t>
      </w:r>
      <w:r>
        <w:t xml:space="preserve">he </w:t>
      </w:r>
      <w:r w:rsidR="00037877">
        <w:t>proposed</w:t>
      </w:r>
      <w:r>
        <w:t xml:space="preserve"> court hate crime flag we discuss in this chapter would identify if criminal charges before a court are alleged by Police, and ultimately found by the court, to be motivated by hostility. </w:t>
      </w:r>
    </w:p>
    <w:p w14:paraId="081972C7" w14:textId="77777777" w:rsidR="005900F0" w:rsidRPr="00B84CBA" w:rsidRDefault="005900F0" w:rsidP="005900F0">
      <w:pPr>
        <w:pStyle w:val="Heading3"/>
      </w:pPr>
      <w:r>
        <w:t>Background</w:t>
      </w:r>
    </w:p>
    <w:p w14:paraId="5354E222" w14:textId="78EC9D4A" w:rsidR="005900F0" w:rsidRDefault="005900F0" w:rsidP="005900F0">
      <w:pPr>
        <w:pStyle w:val="Heading4"/>
      </w:pPr>
      <w:r>
        <w:t>Explanation of key documents and systems</w:t>
      </w:r>
    </w:p>
    <w:p w14:paraId="7A7401C6" w14:textId="77777777" w:rsidR="005900F0" w:rsidRDefault="005900F0" w:rsidP="000A5EA3">
      <w:pPr>
        <w:pStyle w:val="BodyText"/>
        <w:numPr>
          <w:ilvl w:val="1"/>
          <w:numId w:val="31"/>
        </w:numPr>
        <w:ind w:hanging="709"/>
      </w:pPr>
      <w:r>
        <w:t>In this chapter, we refer to several IT systems and key documents used by Police and the courts.</w:t>
      </w:r>
    </w:p>
    <w:p w14:paraId="4F74F773" w14:textId="539E7F63" w:rsidR="005900F0" w:rsidRDefault="005900F0" w:rsidP="00F545FF">
      <w:pPr>
        <w:pStyle w:val="BodyText"/>
        <w:numPr>
          <w:ilvl w:val="1"/>
          <w:numId w:val="31"/>
        </w:numPr>
        <w:ind w:hanging="709"/>
      </w:pPr>
      <w:r>
        <w:t xml:space="preserve">The courts’ </w:t>
      </w:r>
      <w:r w:rsidRPr="00C63BF8">
        <w:rPr>
          <w:b/>
          <w:bCs/>
        </w:rPr>
        <w:t>Case Management System</w:t>
      </w:r>
      <w:r>
        <w:t xml:space="preserve"> is a computer application used by the courts to record information about proceedings. It can be accessed by court staff and </w:t>
      </w:r>
      <w:r w:rsidR="00EF3209" w:rsidRPr="00871E76">
        <w:t>Te Tāhū o te Ture | Ministry of Justice</w:t>
      </w:r>
      <w:r>
        <w:t xml:space="preserve">. As we discuss later, information </w:t>
      </w:r>
      <w:r w:rsidR="007F4B2B" w:rsidRPr="007F4B2B">
        <w:t>about criminal proceedings entered in</w:t>
      </w:r>
      <w:r>
        <w:t xml:space="preserve"> the </w:t>
      </w:r>
      <w:r w:rsidR="007F4B2B" w:rsidRPr="007F4B2B">
        <w:t xml:space="preserve">courts’ </w:t>
      </w:r>
      <w:r>
        <w:t xml:space="preserve">Case Management System </w:t>
      </w:r>
      <w:r w:rsidR="007F4B2B" w:rsidRPr="007F4B2B">
        <w:t>can</w:t>
      </w:r>
      <w:r>
        <w:t xml:space="preserve"> also </w:t>
      </w:r>
      <w:r w:rsidR="007F4B2B" w:rsidRPr="007F4B2B">
        <w:t xml:space="preserve">be viewed </w:t>
      </w:r>
      <w:r w:rsidR="007F4B2B">
        <w:t>by</w:t>
      </w:r>
      <w:r>
        <w:t xml:space="preserve"> Police </w:t>
      </w:r>
      <w:r w:rsidR="007F4B2B">
        <w:t xml:space="preserve">staff </w:t>
      </w:r>
      <w:r w:rsidR="007F4B2B" w:rsidRPr="007F4B2B">
        <w:t>in the Police</w:t>
      </w:r>
      <w:r>
        <w:t xml:space="preserve"> National Intelligence Application.</w:t>
      </w:r>
    </w:p>
    <w:p w14:paraId="137C1D73" w14:textId="77777777" w:rsidR="00680C86" w:rsidRPr="00680C86" w:rsidRDefault="00680C86" w:rsidP="00A30DDA">
      <w:pPr>
        <w:pStyle w:val="BodyText"/>
        <w:numPr>
          <w:ilvl w:val="1"/>
          <w:numId w:val="31"/>
        </w:numPr>
        <w:ind w:hanging="709"/>
      </w:pPr>
      <w:r w:rsidRPr="00680C86">
        <w:t xml:space="preserve">The Police </w:t>
      </w:r>
      <w:r w:rsidRPr="0095641D">
        <w:rPr>
          <w:b/>
          <w:bCs/>
        </w:rPr>
        <w:t>National Intelligence Application</w:t>
      </w:r>
      <w:r w:rsidRPr="00680C86">
        <w:t xml:space="preserve"> is a computer application used to record information about incidents reported to Police and investigations into alleged offences. It is accessible to Police staff. </w:t>
      </w:r>
    </w:p>
    <w:p w14:paraId="71EE143E" w14:textId="77777777" w:rsidR="005900F0" w:rsidRDefault="005900F0" w:rsidP="00F545FF">
      <w:pPr>
        <w:pStyle w:val="BodyText"/>
        <w:numPr>
          <w:ilvl w:val="1"/>
          <w:numId w:val="31"/>
        </w:numPr>
        <w:ind w:hanging="709"/>
      </w:pPr>
      <w:r>
        <w:t xml:space="preserve">A </w:t>
      </w:r>
      <w:r w:rsidRPr="00C63BF8">
        <w:rPr>
          <w:b/>
          <w:bCs/>
        </w:rPr>
        <w:t>charging document</w:t>
      </w:r>
      <w:r>
        <w:t xml:space="preserve"> is filed with a court (usually by Police) to commence a criminal proceeding against a defendant.</w:t>
      </w:r>
      <w:r>
        <w:rPr>
          <w:rStyle w:val="FootnoteReference"/>
        </w:rPr>
        <w:footnoteReference w:id="438"/>
      </w:r>
      <w:r>
        <w:t xml:space="preserve"> It specifies the offence the defendant is alleged to have committed.</w:t>
      </w:r>
      <w:r>
        <w:rPr>
          <w:rStyle w:val="FootnoteReference"/>
        </w:rPr>
        <w:footnoteReference w:id="439"/>
      </w:r>
      <w:r>
        <w:t xml:space="preserve"> A separate charging document must be filed for each offence.</w:t>
      </w:r>
      <w:r>
        <w:rPr>
          <w:rStyle w:val="FootnoteReference"/>
        </w:rPr>
        <w:footnoteReference w:id="440"/>
      </w:r>
    </w:p>
    <w:p w14:paraId="558B734D" w14:textId="20D4A963" w:rsidR="005900F0" w:rsidRDefault="005900F0" w:rsidP="00B57565">
      <w:pPr>
        <w:pStyle w:val="BodyText"/>
        <w:numPr>
          <w:ilvl w:val="1"/>
          <w:numId w:val="31"/>
        </w:numPr>
        <w:ind w:hanging="709"/>
      </w:pPr>
      <w:r>
        <w:t xml:space="preserve">There are two types of </w:t>
      </w:r>
      <w:r w:rsidRPr="00BB1775">
        <w:t>criminal conviction history reports</w:t>
      </w:r>
      <w:r>
        <w:t xml:space="preserve"> discussed in this chapter</w:t>
      </w:r>
      <w:r w:rsidR="00FB6A79">
        <w:t>:</w:t>
      </w:r>
      <w:r>
        <w:rPr>
          <w:rStyle w:val="FootnoteReference"/>
        </w:rPr>
        <w:footnoteReference w:id="441"/>
      </w:r>
      <w:r>
        <w:t xml:space="preserve"> </w:t>
      </w:r>
    </w:p>
    <w:p w14:paraId="61D336A6" w14:textId="77777777" w:rsidR="005900F0" w:rsidRDefault="005900F0" w:rsidP="005900F0">
      <w:pPr>
        <w:pStyle w:val="BodyTextalphalist"/>
      </w:pPr>
      <w:r>
        <w:t xml:space="preserve">A </w:t>
      </w:r>
      <w:r w:rsidRPr="00993396">
        <w:rPr>
          <w:b/>
          <w:bCs/>
        </w:rPr>
        <w:t>court criminal and traffic history report</w:t>
      </w:r>
      <w:r>
        <w:t xml:space="preserve"> is a record of a defendant’s previous convictions used in court by prosecutors and judges. It can be produced by Police and court staff based on information from the Case Management System.</w:t>
      </w:r>
    </w:p>
    <w:p w14:paraId="7EE46ACC" w14:textId="0A60C8EB" w:rsidR="005900F0" w:rsidRDefault="005900F0" w:rsidP="005900F0">
      <w:pPr>
        <w:pStyle w:val="BodyTextalphalist"/>
      </w:pPr>
      <w:r>
        <w:t xml:space="preserve">A </w:t>
      </w:r>
      <w:r w:rsidRPr="00582255">
        <w:rPr>
          <w:b/>
          <w:bCs/>
        </w:rPr>
        <w:t>Ministry of Justice conviction history report</w:t>
      </w:r>
      <w:r>
        <w:t xml:space="preserve"> is a record of a person’s convictions provided on request to the person concerned or to a third party (such as a prospective employer</w:t>
      </w:r>
      <w:r w:rsidR="003C0A1C">
        <w:t xml:space="preserve">) </w:t>
      </w:r>
      <w:r>
        <w:t>with the person’s consent. It is produced by the Ministry of Justice Criminal Records Unit based on information from the Case Management System. It does not list convictions to which the clean slate scheme applies</w:t>
      </w:r>
      <w:r w:rsidR="005A6D9C">
        <w:t xml:space="preserve"> (</w:t>
      </w:r>
      <w:r w:rsidR="003C0A1C">
        <w:t>except in certain situations where a</w:t>
      </w:r>
      <w:r w:rsidR="005A6D9C">
        <w:t xml:space="preserve"> full record is </w:t>
      </w:r>
      <w:r w:rsidR="003C0A1C">
        <w:t>required</w:t>
      </w:r>
      <w:r w:rsidR="005A6D9C">
        <w:t>)</w:t>
      </w:r>
      <w:r>
        <w:t>.</w:t>
      </w:r>
      <w:r>
        <w:rPr>
          <w:rStyle w:val="FootnoteReference"/>
        </w:rPr>
        <w:footnoteReference w:id="442"/>
      </w:r>
    </w:p>
    <w:p w14:paraId="1BE214EA" w14:textId="77777777" w:rsidR="005900F0" w:rsidRDefault="005900F0" w:rsidP="005900F0">
      <w:pPr>
        <w:pStyle w:val="BodyTextalphalist"/>
        <w:numPr>
          <w:ilvl w:val="0"/>
          <w:numId w:val="0"/>
        </w:numPr>
        <w:ind w:left="709"/>
      </w:pPr>
      <w:r>
        <w:t xml:space="preserve">While both reports list the offences a person has been convicted of, the court criminal and traffic history report includes some additional information that does not appear in the Ministry of Justice conviction history report. For example, only the court report shows if an offence is flagged as a family violence offence (discussed below). </w:t>
      </w:r>
    </w:p>
    <w:p w14:paraId="4B4911C6" w14:textId="77777777" w:rsidR="005900F0" w:rsidRDefault="005900F0" w:rsidP="005900F0">
      <w:pPr>
        <w:pStyle w:val="Heading4"/>
      </w:pPr>
      <w:r>
        <w:t>The family violence flag</w:t>
      </w:r>
    </w:p>
    <w:p w14:paraId="4D3BBEAF" w14:textId="3D7C4C05" w:rsidR="005900F0" w:rsidRDefault="005900F0" w:rsidP="003E75B9">
      <w:pPr>
        <w:pStyle w:val="BodyText"/>
        <w:numPr>
          <w:ilvl w:val="1"/>
          <w:numId w:val="31"/>
        </w:numPr>
        <w:ind w:hanging="709"/>
      </w:pPr>
      <w:r>
        <w:t xml:space="preserve">Our court hate crime flag proposal </w:t>
      </w:r>
      <w:r w:rsidR="00193982">
        <w:t>i</w:t>
      </w:r>
      <w:r>
        <w:t>s modelled in part on an existing court flag for family violence cases, although with some differences (which we discuss later in this chapter). The family violence flag was introduced to ensure consistent identification of family violence offending throughout the court process, including for the purposes of bail and sentencing decisions.</w:t>
      </w:r>
      <w:r>
        <w:rPr>
          <w:rStyle w:val="FootnoteReference"/>
        </w:rPr>
        <w:footnoteReference w:id="443"/>
      </w:r>
    </w:p>
    <w:p w14:paraId="080F0CAE" w14:textId="684692E0" w:rsidR="005900F0" w:rsidRDefault="005900F0" w:rsidP="003E75B9">
      <w:pPr>
        <w:pStyle w:val="BodyText"/>
        <w:numPr>
          <w:ilvl w:val="1"/>
          <w:numId w:val="31"/>
        </w:numPr>
        <w:ind w:hanging="709"/>
      </w:pPr>
      <w:r>
        <w:t xml:space="preserve">Section 16A of the Criminal Procedure Act 2011 provides </w:t>
      </w:r>
      <w:r w:rsidR="008733DA">
        <w:t>as follows</w:t>
      </w:r>
      <w:r>
        <w:t>:</w:t>
      </w:r>
      <w:r>
        <w:rPr>
          <w:rStyle w:val="FootnoteReference"/>
        </w:rPr>
        <w:footnoteReference w:id="444"/>
      </w:r>
    </w:p>
    <w:p w14:paraId="44661F2A" w14:textId="7476BA86" w:rsidR="005900F0" w:rsidRDefault="005900F0" w:rsidP="003E75B9">
      <w:pPr>
        <w:pStyle w:val="BodyTextalphalist"/>
        <w:numPr>
          <w:ilvl w:val="3"/>
          <w:numId w:val="31"/>
        </w:numPr>
      </w:pPr>
      <w:r>
        <w:t xml:space="preserve">A charging document may specify an </w:t>
      </w:r>
      <w:r w:rsidRPr="00582DF1">
        <w:t>offence</w:t>
      </w:r>
      <w:r>
        <w:t xml:space="preserve"> is a family violence offence.</w:t>
      </w:r>
      <w:r>
        <w:rPr>
          <w:rStyle w:val="FootnoteReference"/>
        </w:rPr>
        <w:footnoteReference w:id="445"/>
      </w:r>
      <w:r>
        <w:t xml:space="preserve"> </w:t>
      </w:r>
    </w:p>
    <w:p w14:paraId="1CC671B1" w14:textId="040E69C8" w:rsidR="005900F0" w:rsidRDefault="005900F0" w:rsidP="003E75B9">
      <w:pPr>
        <w:pStyle w:val="BodyTextalphalist"/>
        <w:numPr>
          <w:ilvl w:val="3"/>
          <w:numId w:val="31"/>
        </w:numPr>
      </w:pPr>
      <w:r>
        <w:t xml:space="preserve">The court may amend the </w:t>
      </w:r>
      <w:r w:rsidR="00101A73">
        <w:t xml:space="preserve">charging </w:t>
      </w:r>
      <w:r>
        <w:t xml:space="preserve">document at any time after </w:t>
      </w:r>
      <w:r w:rsidR="00101A73">
        <w:t>it</w:t>
      </w:r>
      <w:r>
        <w:t xml:space="preserve"> is filed and before a verdict or decision of the court to add, confirm or remove such a specification.</w:t>
      </w:r>
      <w:r>
        <w:rPr>
          <w:rStyle w:val="FootnoteReference"/>
        </w:rPr>
        <w:footnoteReference w:id="446"/>
      </w:r>
      <w:r>
        <w:t xml:space="preserve"> This power </w:t>
      </w:r>
      <w:r w:rsidRPr="00751EF1">
        <w:t>is exercisable on the court’s own motion or on the application of the defendant or the prosecutor</w:t>
      </w:r>
      <w:r>
        <w:t>.</w:t>
      </w:r>
      <w:r>
        <w:rPr>
          <w:rStyle w:val="FootnoteReference"/>
        </w:rPr>
        <w:footnoteReference w:id="447"/>
      </w:r>
      <w:r>
        <w:t xml:space="preserve"> It may also be exercised by the </w:t>
      </w:r>
      <w:r w:rsidR="00F23901">
        <w:t>r</w:t>
      </w:r>
      <w:r>
        <w:t>egistrar if the parties agree.</w:t>
      </w:r>
      <w:r>
        <w:rPr>
          <w:rStyle w:val="FootnoteReference"/>
        </w:rPr>
        <w:footnoteReference w:id="448"/>
      </w:r>
    </w:p>
    <w:p w14:paraId="04044834" w14:textId="77777777" w:rsidR="005900F0" w:rsidRDefault="005900F0" w:rsidP="003E75B9">
      <w:pPr>
        <w:pStyle w:val="BodyTextalphalist"/>
        <w:numPr>
          <w:ilvl w:val="3"/>
          <w:numId w:val="31"/>
        </w:numPr>
      </w:pPr>
      <w:r>
        <w:t xml:space="preserve">If the defendant is convicted, the court “may </w:t>
      </w:r>
      <w:r w:rsidRPr="00EA3841">
        <w:t>enter in the permanent court record of the proceeding a specification that the conviction is for a family violence offence</w:t>
      </w:r>
      <w:r>
        <w:t>” (whether or not this is specified on the charging document).</w:t>
      </w:r>
      <w:r>
        <w:rPr>
          <w:rStyle w:val="FootnoteReference"/>
        </w:rPr>
        <w:footnoteReference w:id="449"/>
      </w:r>
    </w:p>
    <w:p w14:paraId="396BA5FC" w14:textId="1D943F73" w:rsidR="00397CEF" w:rsidRDefault="00397CEF" w:rsidP="003E75B9">
      <w:pPr>
        <w:pStyle w:val="BodyText"/>
        <w:numPr>
          <w:ilvl w:val="1"/>
          <w:numId w:val="31"/>
        </w:numPr>
        <w:ind w:hanging="709"/>
      </w:pPr>
      <w:r>
        <w:t xml:space="preserve">Before </w:t>
      </w:r>
      <w:r w:rsidR="00640DF1">
        <w:t xml:space="preserve">section 16A was enacted, </w:t>
      </w:r>
      <w:r w:rsidR="006777CC">
        <w:t xml:space="preserve">a court family violence flag already existed </w:t>
      </w:r>
      <w:r w:rsidR="001C1D03">
        <w:t xml:space="preserve">but it did not have a statutory basis. </w:t>
      </w:r>
      <w:r w:rsidR="005900F0">
        <w:t>We understand from discussion with the Ministry of Justice that</w:t>
      </w:r>
      <w:r w:rsidR="001C1D03">
        <w:t xml:space="preserve"> the</w:t>
      </w:r>
      <w:r w:rsidR="00B06105">
        <w:t xml:space="preserve">re used to be some </w:t>
      </w:r>
      <w:r w:rsidR="003B389A">
        <w:t>inaccuracies in the use of the flag</w:t>
      </w:r>
      <w:r w:rsidR="00734027">
        <w:t xml:space="preserve"> and that it </w:t>
      </w:r>
      <w:r w:rsidR="001C1D03" w:rsidRPr="00333542">
        <w:t>has operated more effectively since legislative amendment</w:t>
      </w:r>
      <w:r w:rsidR="001C1D03">
        <w:t xml:space="preserve">. </w:t>
      </w:r>
    </w:p>
    <w:p w14:paraId="3352AF82" w14:textId="0A8388AE" w:rsidR="005900F0" w:rsidRPr="007F16F2" w:rsidRDefault="006617DC" w:rsidP="003E75B9">
      <w:pPr>
        <w:pStyle w:val="BodyText"/>
        <w:numPr>
          <w:ilvl w:val="1"/>
          <w:numId w:val="31"/>
        </w:numPr>
        <w:ind w:hanging="709"/>
      </w:pPr>
      <w:r>
        <w:t xml:space="preserve">The Ministry of Justice </w:t>
      </w:r>
      <w:r w:rsidR="00734027">
        <w:t>informed us that</w:t>
      </w:r>
      <w:r w:rsidR="005900F0">
        <w:t>, in practice, the specification on the charging document is reflected in the courts’ Case Management System as a family violence flag and becomes part of the permanent court record. If the charging document is amended, it remains possible for the Ministry to view earlier versions in the Case Management System. For example, if the family violence specification is removed, the Ministry can still determine that it was originally included on the charging document.</w:t>
      </w:r>
    </w:p>
    <w:p w14:paraId="0623E60C" w14:textId="24474C6F" w:rsidR="005900F0" w:rsidRDefault="005900F0" w:rsidP="003E75B9">
      <w:pPr>
        <w:pStyle w:val="BodyText"/>
        <w:numPr>
          <w:ilvl w:val="1"/>
          <w:numId w:val="31"/>
        </w:numPr>
        <w:ind w:hanging="709"/>
      </w:pPr>
      <w:r>
        <w:t>Under section 16A</w:t>
      </w:r>
      <w:r w:rsidRPr="00113168">
        <w:t xml:space="preserve">, the court </w:t>
      </w:r>
      <w:r>
        <w:t xml:space="preserve">is not required </w:t>
      </w:r>
      <w:r w:rsidRPr="00113168">
        <w:t xml:space="preserve">to make a finding </w:t>
      </w:r>
      <w:r>
        <w:t>as to whether</w:t>
      </w:r>
      <w:r w:rsidRPr="00113168">
        <w:t xml:space="preserve"> an offence was a family violence offence.</w:t>
      </w:r>
      <w:r>
        <w:t xml:space="preserve"> The initial proposal</w:t>
      </w:r>
      <w:r w:rsidRPr="00EF0EAD">
        <w:t xml:space="preserve"> </w:t>
      </w:r>
      <w:r>
        <w:t xml:space="preserve">was for </w:t>
      </w:r>
      <w:r w:rsidRPr="00EF0EAD">
        <w:t>“a requirement for the court to direct an offence be recorded on a person’s criminal record as a family violence offence, if satisfied this was the case at the point of conviction</w:t>
      </w:r>
      <w:r>
        <w:t>”</w:t>
      </w:r>
      <w:r w:rsidRPr="00EF0EAD">
        <w:t>.</w:t>
      </w:r>
      <w:r w:rsidRPr="00EF0EAD">
        <w:rPr>
          <w:rStyle w:val="FootnoteReference"/>
          <w:szCs w:val="20"/>
        </w:rPr>
        <w:footnoteReference w:id="450"/>
      </w:r>
      <w:r>
        <w:t xml:space="preserve"> However, as enacted, section</w:t>
      </w:r>
      <w:r>
        <w:rPr>
          <w:rFonts w:ascii="Calibri" w:hAnsi="Calibri" w:cs="Calibri"/>
        </w:rPr>
        <w:t> </w:t>
      </w:r>
      <w:r>
        <w:t xml:space="preserve">16A only provides that the court “may” make an entry on the permanent court record. </w:t>
      </w:r>
      <w:r w:rsidRPr="00113168">
        <w:t xml:space="preserve">In practice, </w:t>
      </w:r>
      <w:r>
        <w:t xml:space="preserve">the Ministry of Justice told us that the judge usually does not confirm or remove the flag, although it is sometimes removed by the </w:t>
      </w:r>
      <w:r w:rsidR="00B0353E">
        <w:t>r</w:t>
      </w:r>
      <w:r>
        <w:t>egistrar with the agreement of the parties. Unless the family violence specification on the charging document is challenged, it usually becomes part of the permanent court record without any positive action from a judge.</w:t>
      </w:r>
    </w:p>
    <w:p w14:paraId="2A3D0957" w14:textId="77777777" w:rsidR="005900F0" w:rsidRDefault="005900F0" w:rsidP="005900F0">
      <w:pPr>
        <w:pStyle w:val="Heading4"/>
      </w:pPr>
      <w:r>
        <w:t>Overseas approaches to recording hostile motivation in the courts</w:t>
      </w:r>
    </w:p>
    <w:p w14:paraId="029C242D" w14:textId="1E93837C" w:rsidR="005900F0" w:rsidRPr="0070196D" w:rsidRDefault="005900F0" w:rsidP="003E75B9">
      <w:pPr>
        <w:pStyle w:val="BodyText"/>
        <w:numPr>
          <w:ilvl w:val="1"/>
          <w:numId w:val="31"/>
        </w:numPr>
        <w:ind w:hanging="709"/>
      </w:pPr>
      <w:r>
        <w:t xml:space="preserve">We </w:t>
      </w:r>
      <w:r w:rsidR="00DD7787">
        <w:t>have</w:t>
      </w:r>
      <w:r>
        <w:t xml:space="preserve"> also considered how hate crime cases are recorded in the courts in other jurisdictions. </w:t>
      </w:r>
      <w:r w:rsidRPr="0070196D">
        <w:t xml:space="preserve">In Canada, as well as </w:t>
      </w:r>
      <w:r>
        <w:t xml:space="preserve">those </w:t>
      </w:r>
      <w:r w:rsidRPr="0070196D">
        <w:t xml:space="preserve">jurisdictions </w:t>
      </w:r>
      <w:r w:rsidR="00181D50">
        <w:t xml:space="preserve">in Australia </w:t>
      </w:r>
      <w:r w:rsidRPr="0070196D">
        <w:t xml:space="preserve">and </w:t>
      </w:r>
      <w:r w:rsidR="00181D50">
        <w:t>the United States of America</w:t>
      </w:r>
      <w:r w:rsidRPr="0070196D">
        <w:t xml:space="preserve"> </w:t>
      </w:r>
      <w:r>
        <w:t xml:space="preserve">that have </w:t>
      </w:r>
      <w:r w:rsidRPr="0070196D">
        <w:t>hate crime sentenc</w:t>
      </w:r>
      <w:r w:rsidR="002209DF">
        <w:t>e aggravation</w:t>
      </w:r>
      <w:r w:rsidRPr="0070196D">
        <w:t xml:space="preserve"> provisions, there does not appear to be a process for recording information about hate crime prosecutions and case outcomes. The only official data on hate crimes </w:t>
      </w:r>
      <w:r>
        <w:t>we found</w:t>
      </w:r>
      <w:r w:rsidRPr="0070196D">
        <w:t xml:space="preserve"> in these jurisdictions </w:t>
      </w:r>
      <w:r>
        <w:t>relates to</w:t>
      </w:r>
      <w:r w:rsidRPr="0070196D">
        <w:t xml:space="preserve"> alleged hate crimes reported to Police.</w:t>
      </w:r>
    </w:p>
    <w:p w14:paraId="3B249675" w14:textId="56191399" w:rsidR="005900F0" w:rsidRPr="0070196D" w:rsidRDefault="005900F0" w:rsidP="003E75B9">
      <w:pPr>
        <w:pStyle w:val="BodyText"/>
        <w:numPr>
          <w:ilvl w:val="1"/>
          <w:numId w:val="31"/>
        </w:numPr>
        <w:ind w:hanging="709"/>
      </w:pPr>
      <w:r w:rsidRPr="0070196D">
        <w:t>In Scotland</w:t>
      </w:r>
      <w:r>
        <w:t xml:space="preserve">, </w:t>
      </w:r>
      <w:r w:rsidR="0013132F">
        <w:t>under the Scottish hybrid model of hate crime law</w:t>
      </w:r>
      <w:r>
        <w:t>, prosecutors can specify that an offence was “aggravated by prejudice” when laying a charge.</w:t>
      </w:r>
      <w:r>
        <w:rPr>
          <w:rStyle w:val="FootnoteReference"/>
        </w:rPr>
        <w:footnoteReference w:id="451"/>
      </w:r>
      <w:r>
        <w:t xml:space="preserve"> If the aggravation is proved, the judge must record the conviction in a way that shows the offence was aggravated by prejudice and the type of prejudice involved (by reference to one or more protected characteristics).</w:t>
      </w:r>
      <w:r>
        <w:rPr>
          <w:rStyle w:val="FootnoteReference"/>
        </w:rPr>
        <w:footnoteReference w:id="452"/>
      </w:r>
      <w:r>
        <w:t xml:space="preserve"> </w:t>
      </w:r>
      <w:r w:rsidR="00255C01">
        <w:t>An independent review of hate crime law in Scotland found</w:t>
      </w:r>
      <w:r>
        <w:t xml:space="preserve"> this</w:t>
      </w:r>
      <w:r w:rsidR="00513C9B">
        <w:t xml:space="preserve"> recording requirement</w:t>
      </w:r>
      <w:r>
        <w:t xml:space="preserve"> was “essential” to ensure the aggravation could be taken into account in future cases.</w:t>
      </w:r>
      <w:r>
        <w:rPr>
          <w:rStyle w:val="FootnoteReference"/>
        </w:rPr>
        <w:footnoteReference w:id="453"/>
      </w:r>
      <w:r>
        <w:t xml:space="preserve"> </w:t>
      </w:r>
      <w:r w:rsidR="00255C01">
        <w:t>The review</w:t>
      </w:r>
      <w:r>
        <w:t xml:space="preserve"> also noted that “</w:t>
      </w:r>
      <w:r w:rsidRPr="00156EC9">
        <w:t>good recording allows for the maintenance of statistics and monitoring the impact of legislation</w:t>
      </w:r>
      <w:r>
        <w:t>”</w:t>
      </w:r>
      <w:r w:rsidRPr="00156EC9">
        <w:t>.</w:t>
      </w:r>
    </w:p>
    <w:p w14:paraId="05ACE49F" w14:textId="77777777" w:rsidR="005900F0" w:rsidRDefault="005900F0" w:rsidP="003E75B9">
      <w:pPr>
        <w:pStyle w:val="BodyText"/>
        <w:numPr>
          <w:ilvl w:val="1"/>
          <w:numId w:val="31"/>
        </w:numPr>
        <w:ind w:hanging="709"/>
      </w:pPr>
      <w:r>
        <w:t>In England and Wales, which have both specific hate crime offences and a sentence aggravation provision, sentence aggravations are now recorded on the Police National Computer. The Law Commission of England and Wales noted in 2021 that the introduction of this measure had “</w:t>
      </w:r>
      <w:r w:rsidRPr="00732D50">
        <w:t>narrowed the distinction between the two models as far as recognition and labelling is concerned</w:t>
      </w:r>
      <w:r>
        <w:t>”.</w:t>
      </w:r>
      <w:r>
        <w:rPr>
          <w:rStyle w:val="FootnoteReference"/>
        </w:rPr>
        <w:footnoteReference w:id="454"/>
      </w:r>
      <w:r>
        <w:t xml:space="preserve"> The recording of sentence aggravations appears to have resulted from a recommendation by the Law Commission in 2014.</w:t>
      </w:r>
      <w:r>
        <w:rPr>
          <w:rStyle w:val="FootnoteReference"/>
        </w:rPr>
        <w:footnoteReference w:id="455"/>
      </w:r>
      <w:r>
        <w:t xml:space="preserve"> In explaining that recommendation, the Law Commission reasoned:</w:t>
      </w:r>
    </w:p>
    <w:p w14:paraId="54CB5145" w14:textId="77777777" w:rsidR="005900F0" w:rsidRPr="002D6F37" w:rsidRDefault="005900F0" w:rsidP="005900F0">
      <w:pPr>
        <w:pStyle w:val="Quote"/>
        <w:ind w:left="1134"/>
      </w:pPr>
      <w:r w:rsidRPr="002D6F37">
        <w:t xml:space="preserve">3.91 Sentencing courts need a full picture of the punishment merited, the danger posed by the offender to the public or sections of it, and the likely response to rehabilitation. Courts and prosecutors also need accurate information on the antecedents for the purpose of bail applications and to assess the defendant’s character. </w:t>
      </w:r>
    </w:p>
    <w:p w14:paraId="16F9B609" w14:textId="77777777" w:rsidR="005900F0" w:rsidRDefault="005900F0" w:rsidP="005900F0">
      <w:pPr>
        <w:pStyle w:val="Quote"/>
        <w:ind w:left="1134"/>
        <w:rPr>
          <w:lang w:eastAsia="en-US"/>
        </w:rPr>
      </w:pPr>
      <w:r w:rsidRPr="002D6F37">
        <w:t>3.92 Giving the prison and probation services access to accurate information about offenders’ records where hostility aggravation findings have been made should enable them to tailor rehabilitation and education programmes. This could have the further benefit of reducing hostility-based offending.</w:t>
      </w:r>
      <w:r w:rsidRPr="00655349">
        <w:t xml:space="preserve"> </w:t>
      </w:r>
    </w:p>
    <w:p w14:paraId="04C93550" w14:textId="77777777" w:rsidR="005900F0" w:rsidRPr="00F75FB8" w:rsidRDefault="005900F0" w:rsidP="005900F0">
      <w:pPr>
        <w:pStyle w:val="Heading3"/>
      </w:pPr>
      <w:r>
        <w:t>Consultation</w:t>
      </w:r>
    </w:p>
    <w:p w14:paraId="360F00D3" w14:textId="2C212D6B" w:rsidR="005900F0" w:rsidRPr="00530D57" w:rsidRDefault="005900F0" w:rsidP="003E75B9">
      <w:pPr>
        <w:pStyle w:val="BodyText"/>
        <w:numPr>
          <w:ilvl w:val="1"/>
          <w:numId w:val="31"/>
        </w:numPr>
        <w:ind w:hanging="709"/>
      </w:pPr>
      <w:r w:rsidRPr="00530D57">
        <w:t>Eight submitters</w:t>
      </w:r>
      <w:r>
        <w:t xml:space="preserve"> on our Consultation Paper</w:t>
      </w:r>
      <w:r w:rsidRPr="00530D57">
        <w:t xml:space="preserve"> supported introducing a</w:t>
      </w:r>
      <w:r>
        <w:t xml:space="preserve"> court</w:t>
      </w:r>
      <w:r w:rsidRPr="00530D57">
        <w:t xml:space="preserve"> hate crime flag </w:t>
      </w:r>
      <w:r>
        <w:t>(</w:t>
      </w:r>
      <w:r w:rsidRPr="00530D57">
        <w:t xml:space="preserve">or </w:t>
      </w:r>
      <w:r>
        <w:t>‘</w:t>
      </w:r>
      <w:r w:rsidRPr="00530D57">
        <w:t>conviction notation</w:t>
      </w:r>
      <w:r w:rsidR="003A0725">
        <w:t>’</w:t>
      </w:r>
      <w:r>
        <w:t>, as some referred to it)</w:t>
      </w:r>
      <w:r w:rsidRPr="00530D57">
        <w:t>.</w:t>
      </w:r>
      <w:r w:rsidRPr="00530D57">
        <w:rPr>
          <w:color w:val="262626" w:themeColor="text1" w:themeTint="D9"/>
          <w:sz w:val="18"/>
          <w:szCs w:val="18"/>
          <w:vertAlign w:val="superscript"/>
        </w:rPr>
        <w:footnoteReference w:id="456"/>
      </w:r>
      <w:r w:rsidRPr="00530D57">
        <w:t xml:space="preserve"> </w:t>
      </w:r>
      <w:r>
        <w:t xml:space="preserve">Some said this </w:t>
      </w:r>
      <w:r w:rsidRPr="00530D57">
        <w:t xml:space="preserve">could help </w:t>
      </w:r>
      <w:r>
        <w:t xml:space="preserve">to </w:t>
      </w:r>
      <w:r w:rsidRPr="00530D57">
        <w:t xml:space="preserve">ensure </w:t>
      </w:r>
      <w:r>
        <w:t>hostile</w:t>
      </w:r>
      <w:r w:rsidRPr="00530D57">
        <w:t xml:space="preserve"> motivation is considered at sentencing for the </w:t>
      </w:r>
      <w:r w:rsidR="00523B2B">
        <w:t xml:space="preserve">relevant </w:t>
      </w:r>
      <w:r w:rsidRPr="00530D57">
        <w:t>offence (including in pre-sentence reports) and for any subsequent offences.</w:t>
      </w:r>
      <w:r w:rsidRPr="00530D57">
        <w:rPr>
          <w:color w:val="262626" w:themeColor="text1" w:themeTint="D9"/>
          <w:sz w:val="18"/>
          <w:szCs w:val="18"/>
          <w:vertAlign w:val="superscript"/>
        </w:rPr>
        <w:footnoteReference w:id="457"/>
      </w:r>
      <w:r w:rsidRPr="00530D57">
        <w:t xml:space="preserve"> </w:t>
      </w:r>
      <w:r w:rsidR="00117CC4">
        <w:t>Submitters said it</w:t>
      </w:r>
      <w:r w:rsidRPr="00530D57">
        <w:t xml:space="preserve"> could also provide more accurate data on hate crimes.</w:t>
      </w:r>
      <w:r w:rsidRPr="00530D57">
        <w:rPr>
          <w:color w:val="262626" w:themeColor="text1" w:themeTint="D9"/>
          <w:sz w:val="18"/>
          <w:szCs w:val="18"/>
          <w:vertAlign w:val="superscript"/>
        </w:rPr>
        <w:footnoteReference w:id="458"/>
      </w:r>
      <w:r>
        <w:t xml:space="preserve"> </w:t>
      </w:r>
    </w:p>
    <w:p w14:paraId="789F726B" w14:textId="4C731362" w:rsidR="005900F0" w:rsidRDefault="005900F0" w:rsidP="0032402B">
      <w:pPr>
        <w:pStyle w:val="BodyText"/>
        <w:numPr>
          <w:ilvl w:val="1"/>
          <w:numId w:val="31"/>
        </w:numPr>
        <w:ind w:hanging="709"/>
      </w:pPr>
      <w:r>
        <w:t>Additionally, the</w:t>
      </w:r>
      <w:r w:rsidRPr="00530D57">
        <w:t xml:space="preserve"> Law Association Criminal Law Committee supported </w:t>
      </w:r>
      <w:r w:rsidR="00B14262">
        <w:t xml:space="preserve">ensuring that </w:t>
      </w:r>
      <w:r w:rsidRPr="00126314">
        <w:t>prosecutors</w:t>
      </w:r>
      <w:r w:rsidRPr="00530D57">
        <w:t xml:space="preserve"> record suspected or identified </w:t>
      </w:r>
      <w:r>
        <w:t>hostile</w:t>
      </w:r>
      <w:r w:rsidRPr="00530D57">
        <w:t xml:space="preserve"> motivation but did not specify </w:t>
      </w:r>
      <w:r>
        <w:t xml:space="preserve">in its submission </w:t>
      </w:r>
      <w:r w:rsidRPr="00530D57">
        <w:t>how this should occur.</w:t>
      </w:r>
      <w:r w:rsidRPr="00530D57">
        <w:rPr>
          <w:color w:val="262626" w:themeColor="text1" w:themeTint="D9"/>
          <w:sz w:val="18"/>
          <w:szCs w:val="18"/>
          <w:vertAlign w:val="superscript"/>
        </w:rPr>
        <w:footnoteReference w:id="459"/>
      </w:r>
      <w:r>
        <w:t xml:space="preserve"> When we later consulted the Committee on our proposed recommendations, it supported the court flag recommendation, saying: </w:t>
      </w:r>
    </w:p>
    <w:p w14:paraId="17F575EC" w14:textId="77777777" w:rsidR="005900F0" w:rsidRDefault="005900F0" w:rsidP="005900F0">
      <w:pPr>
        <w:pStyle w:val="QuoteIndent0"/>
        <w:ind w:left="1134" w:firstLine="0"/>
      </w:pPr>
      <w:r>
        <w:t xml:space="preserve">We consider that this approach will greatly improve the current difficulties in collecting data on hate crime, monitoring trends, allocating resources and ensuring consistency in sentencing. Additionally, the flag mechanism can support more informed decision-making at the bail stage, which was one of the areas upon which we initially expressed concern. </w:t>
      </w:r>
    </w:p>
    <w:p w14:paraId="3EB9ACBC" w14:textId="5FA5637B" w:rsidR="005900F0" w:rsidRDefault="00EF440C" w:rsidP="0032402B">
      <w:pPr>
        <w:pStyle w:val="BodyText"/>
        <w:numPr>
          <w:ilvl w:val="1"/>
          <w:numId w:val="31"/>
        </w:numPr>
        <w:ind w:hanging="709"/>
      </w:pPr>
      <w:r>
        <w:t xml:space="preserve">Although </w:t>
      </w:r>
      <w:r w:rsidR="005900F0" w:rsidRPr="00530D57">
        <w:t xml:space="preserve">Luke Cunningham Clere </w:t>
      </w:r>
      <w:r w:rsidR="005900F0">
        <w:t xml:space="preserve">did not </w:t>
      </w:r>
      <w:r>
        <w:t>clearly state that</w:t>
      </w:r>
      <w:r w:rsidR="005900F0">
        <w:t xml:space="preserve"> </w:t>
      </w:r>
      <w:r w:rsidR="005900F0" w:rsidRPr="00530D57">
        <w:t xml:space="preserve">a </w:t>
      </w:r>
      <w:r w:rsidR="005900F0">
        <w:t xml:space="preserve">court </w:t>
      </w:r>
      <w:r w:rsidR="005900F0" w:rsidRPr="00530D57">
        <w:t xml:space="preserve">hate crime flag </w:t>
      </w:r>
      <w:r w:rsidR="005900F0">
        <w:t xml:space="preserve">should be </w:t>
      </w:r>
      <w:r w:rsidR="005900F0" w:rsidRPr="00126314">
        <w:t>adopted</w:t>
      </w:r>
      <w:r w:rsidR="005900F0">
        <w:t xml:space="preserve">, it said a flag </w:t>
      </w:r>
      <w:r w:rsidR="005900F0" w:rsidRPr="00530D57">
        <w:t>would serve the symbolic function of “marking out” hate crimes without increasing the complexity of the law</w:t>
      </w:r>
      <w:r w:rsidR="005900F0">
        <w:t>.</w:t>
      </w:r>
      <w:r w:rsidR="005900F0" w:rsidRPr="00530D57">
        <w:t xml:space="preserve"> </w:t>
      </w:r>
      <w:r w:rsidR="005900F0">
        <w:t>It noted a flag would make it</w:t>
      </w:r>
      <w:r w:rsidR="005900F0" w:rsidRPr="00577C64">
        <w:t xml:space="preserve"> easier to identify </w:t>
      </w:r>
      <w:r w:rsidR="005900F0">
        <w:t xml:space="preserve">hate crimes </w:t>
      </w:r>
      <w:r w:rsidR="005900F0" w:rsidRPr="00577C64">
        <w:t>post-conviction</w:t>
      </w:r>
      <w:r w:rsidR="005900F0">
        <w:t xml:space="preserve"> and at sentencing.</w:t>
      </w:r>
    </w:p>
    <w:p w14:paraId="74248581" w14:textId="5939D6D6" w:rsidR="005900F0" w:rsidRDefault="005900F0" w:rsidP="003E75B9">
      <w:pPr>
        <w:pStyle w:val="BodyText"/>
        <w:numPr>
          <w:ilvl w:val="1"/>
          <w:numId w:val="31"/>
        </w:numPr>
        <w:ind w:hanging="709"/>
      </w:pPr>
      <w:r w:rsidRPr="00530D57">
        <w:t xml:space="preserve">No submitters expressly opposed the introduction of a court flag. However, </w:t>
      </w:r>
      <w:r w:rsidR="001B3BA6" w:rsidRPr="001B3BA6">
        <w:t xml:space="preserve">Ratonga Wawao ā-Ture Tūmatanui | Public Defence Service </w:t>
      </w:r>
      <w:r w:rsidRPr="00530D57">
        <w:t>cautioned that a hate crime flag</w:t>
      </w:r>
      <w:r>
        <w:t xml:space="preserve"> could be misapplied</w:t>
      </w:r>
      <w:r w:rsidRPr="00530D57">
        <w:t xml:space="preserve">. It </w:t>
      </w:r>
      <w:r>
        <w:t>said</w:t>
      </w:r>
      <w:r w:rsidRPr="00530D57">
        <w:t xml:space="preserve"> the existing</w:t>
      </w:r>
      <w:r>
        <w:t xml:space="preserve"> court flag for</w:t>
      </w:r>
      <w:r w:rsidRPr="00530D57">
        <w:t xml:space="preserve"> family violence</w:t>
      </w:r>
      <w:r>
        <w:t xml:space="preserve"> cases</w:t>
      </w:r>
      <w:r w:rsidRPr="00530D57">
        <w:t xml:space="preserve"> is not always accurately applied, with some cases being flagged </w:t>
      </w:r>
      <w:r>
        <w:t>that</w:t>
      </w:r>
      <w:r w:rsidRPr="00530D57">
        <w:t xml:space="preserve"> are clearly not family violence related.</w:t>
      </w:r>
      <w:r>
        <w:t xml:space="preserve"> </w:t>
      </w:r>
    </w:p>
    <w:p w14:paraId="3822A491" w14:textId="2742DC1B" w:rsidR="005900F0" w:rsidRDefault="005900F0" w:rsidP="003E75B9">
      <w:pPr>
        <w:pStyle w:val="BodyText"/>
        <w:numPr>
          <w:ilvl w:val="1"/>
          <w:numId w:val="31"/>
        </w:numPr>
        <w:ind w:hanging="709"/>
      </w:pPr>
      <w:r>
        <w:t>We raised the issue of the accuracy of the family violence flag with the Ministry of Justice. The Ministry said this was an issue when the flag was implemented operationally before amendments to the Criminal Procedure Act provided a legislative basis for it. However, the Ministry considered the flag is now much more accurate. The Ministry also said, if the flag is incorrectly applied, counsel can raise that with the court and have it removed. It said this does sometimes occur.</w:t>
      </w:r>
    </w:p>
    <w:p w14:paraId="24102E83" w14:textId="577DBDA3" w:rsidR="005900F0" w:rsidRDefault="005900F0" w:rsidP="003E75B9">
      <w:pPr>
        <w:pStyle w:val="BodyText"/>
        <w:numPr>
          <w:ilvl w:val="1"/>
          <w:numId w:val="31"/>
        </w:numPr>
        <w:ind w:hanging="709"/>
      </w:pPr>
      <w:r>
        <w:t>We also discussed the option of creating a court hate crime flag with staff at the Ministry</w:t>
      </w:r>
      <w:r w:rsidR="00CC03C1">
        <w:t xml:space="preserve"> of Justice</w:t>
      </w:r>
      <w:r>
        <w:t>. They noted there would be costs involved to make the necessary IT changes and train staff to implement the flag, which could not be met within existing baselines and would require additional funding. Provided that funding is allocated, they did not identify practical difficulties with the proposal.</w:t>
      </w:r>
    </w:p>
    <w:p w14:paraId="1BD51748" w14:textId="77777777" w:rsidR="005900F0" w:rsidRDefault="005900F0" w:rsidP="005900F0">
      <w:pPr>
        <w:pStyle w:val="Heading3"/>
      </w:pPr>
      <w:r>
        <w:t>The need for reform</w:t>
      </w:r>
    </w:p>
    <w:p w14:paraId="58EAE7C4" w14:textId="5E5EA146" w:rsidR="005900F0" w:rsidRDefault="005900F0" w:rsidP="00F545FF">
      <w:pPr>
        <w:pStyle w:val="BodyText"/>
        <w:numPr>
          <w:ilvl w:val="1"/>
          <w:numId w:val="31"/>
        </w:numPr>
        <w:ind w:hanging="709"/>
      </w:pPr>
      <w:r>
        <w:t xml:space="preserve">In Chapter </w:t>
      </w:r>
      <w:r w:rsidR="00A12886">
        <w:t>4</w:t>
      </w:r>
      <w:r>
        <w:t xml:space="preserve">, we </w:t>
      </w:r>
      <w:r w:rsidR="00A34AA1">
        <w:t>discussed</w:t>
      </w:r>
      <w:r>
        <w:t xml:space="preserve"> </w:t>
      </w:r>
      <w:r w:rsidR="00A12886">
        <w:t>that</w:t>
      </w:r>
      <w:r>
        <w:t xml:space="preserve"> hostile motivation may be relevant at various stages of a proceeding, including at bail and sentencing hearings, and in subsequent proceedings involving the same offender. We </w:t>
      </w:r>
      <w:r w:rsidR="00A34AA1">
        <w:t>explained</w:t>
      </w:r>
      <w:r w:rsidR="00B527CF">
        <w:t xml:space="preserve"> the </w:t>
      </w:r>
      <w:r w:rsidR="0075148E">
        <w:t>current law does not</w:t>
      </w:r>
      <w:r w:rsidR="009A48A0">
        <w:t xml:space="preserve"> </w:t>
      </w:r>
      <w:r w:rsidR="0075148E">
        <w:t>ensure</w:t>
      </w:r>
      <w:r w:rsidR="0075148E" w:rsidRPr="00836C4B">
        <w:rPr>
          <w:rFonts w:eastAsia="Calibri"/>
        </w:rPr>
        <w:t xml:space="preserve"> </w:t>
      </w:r>
      <w:r w:rsidR="0075148E">
        <w:rPr>
          <w:rFonts w:eastAsia="Calibri"/>
        </w:rPr>
        <w:t>the courts are aware</w:t>
      </w:r>
      <w:r w:rsidR="00B527CF">
        <w:rPr>
          <w:rFonts w:eastAsia="Calibri"/>
        </w:rPr>
        <w:t xml:space="preserve"> that </w:t>
      </w:r>
      <w:r w:rsidR="007D148D">
        <w:rPr>
          <w:rFonts w:eastAsia="Calibri"/>
        </w:rPr>
        <w:t xml:space="preserve">the hostility aggravating factor may apply to </w:t>
      </w:r>
      <w:r w:rsidR="0075148E">
        <w:rPr>
          <w:rFonts w:eastAsia="Calibri"/>
        </w:rPr>
        <w:t>an</w:t>
      </w:r>
      <w:r w:rsidR="007D148D">
        <w:rPr>
          <w:rFonts w:eastAsia="Calibri"/>
        </w:rPr>
        <w:t xml:space="preserve"> offence</w:t>
      </w:r>
      <w:r w:rsidR="007D148D">
        <w:t xml:space="preserve"> </w:t>
      </w:r>
      <w:r w:rsidR="008A1479">
        <w:t xml:space="preserve">or that </w:t>
      </w:r>
      <w:r w:rsidR="00716C6B">
        <w:t xml:space="preserve">previous </w:t>
      </w:r>
      <w:r w:rsidR="008A1479">
        <w:t xml:space="preserve">offending by the same offender was found to be </w:t>
      </w:r>
      <w:r w:rsidR="00716C6B">
        <w:t xml:space="preserve">motivated </w:t>
      </w:r>
      <w:r w:rsidR="008A1479">
        <w:t>by hostility</w:t>
      </w:r>
      <w:r w:rsidR="007D148D">
        <w:t>. T</w:t>
      </w:r>
      <w:r w:rsidR="00A34AA1">
        <w:t>his means</w:t>
      </w:r>
      <w:r>
        <w:t xml:space="preserve"> </w:t>
      </w:r>
      <w:r w:rsidR="00D37204">
        <w:t xml:space="preserve">there is a risk </w:t>
      </w:r>
      <w:r w:rsidR="007D148D">
        <w:t xml:space="preserve">that </w:t>
      </w:r>
      <w:r w:rsidR="00F40916">
        <w:t>hostility</w:t>
      </w:r>
      <w:r>
        <w:t xml:space="preserve"> may be overlooked. We also discussed the need for consistent denunciation of hate crime</w:t>
      </w:r>
      <w:r w:rsidR="000518EA">
        <w:t>s</w:t>
      </w:r>
      <w:r>
        <w:t xml:space="preserve"> at sentencing and </w:t>
      </w:r>
      <w:r w:rsidR="00AA6871">
        <w:t xml:space="preserve">for </w:t>
      </w:r>
      <w:r>
        <w:t xml:space="preserve">better information about hate crime cases in the </w:t>
      </w:r>
      <w:r w:rsidRPr="00320725">
        <w:t>courts to support policy, practice and public accountability.</w:t>
      </w:r>
    </w:p>
    <w:p w14:paraId="46CA3666" w14:textId="3D7A166C" w:rsidR="005900F0" w:rsidRDefault="005900F0" w:rsidP="00F545FF">
      <w:pPr>
        <w:pStyle w:val="BodyText"/>
        <w:numPr>
          <w:ilvl w:val="1"/>
          <w:numId w:val="31"/>
        </w:numPr>
        <w:ind w:hanging="709"/>
      </w:pPr>
      <w:r>
        <w:t>A court hate crime flag would</w:t>
      </w:r>
      <w:r w:rsidR="006E78BB">
        <w:t xml:space="preserve"> </w:t>
      </w:r>
      <w:r w:rsidR="003B28E8">
        <w:t>help to address all these issues</w:t>
      </w:r>
      <w:r w:rsidR="0088724C">
        <w:t xml:space="preserve"> in these ways</w:t>
      </w:r>
      <w:r>
        <w:t>:</w:t>
      </w:r>
    </w:p>
    <w:p w14:paraId="5695CBFB" w14:textId="77777777" w:rsidR="005900F0" w:rsidRDefault="005900F0" w:rsidP="005900F0">
      <w:pPr>
        <w:pStyle w:val="BodyTextalphalist"/>
      </w:pPr>
      <w:r>
        <w:t>Help to ensure hostile motivation is consistently identified and addressed in cases where it is relevant and at all relevant stages of a proceeding. The hate crime field on the charging document would prompt Police to consider whether hostile motivation is an issue and, if it is, to ensure it is raised with the prosecutor and included in the summary of facts. The flag on the court file would alert the judge to consider whether the offending was motivated by hostility and to raise this with the prosecutor if it is not covered in submissions.</w:t>
      </w:r>
    </w:p>
    <w:p w14:paraId="4BBF4FB9" w14:textId="2BA252B5" w:rsidR="005900F0" w:rsidRDefault="005900F0" w:rsidP="005900F0">
      <w:pPr>
        <w:pStyle w:val="BodyTextalphalist"/>
      </w:pPr>
      <w:r>
        <w:t>Encourage sentencing judges to make a clear finding on whether the aggravating factor applies at sentencing, since they would be required to record this</w:t>
      </w:r>
      <w:r w:rsidR="00A12886">
        <w:t xml:space="preserve"> on the permanent court record</w:t>
      </w:r>
      <w:r>
        <w:t xml:space="preserve">. This </w:t>
      </w:r>
      <w:r w:rsidRPr="00E1319D">
        <w:t>would</w:t>
      </w:r>
      <w:r>
        <w:t xml:space="preserve"> help to ensure the aggravating factor is properly applied and</w:t>
      </w:r>
      <w:r w:rsidRPr="00E1319D">
        <w:t xml:space="preserve"> </w:t>
      </w:r>
      <w:r w:rsidR="00F414C3">
        <w:t xml:space="preserve">to </w:t>
      </w:r>
      <w:r>
        <w:t xml:space="preserve">strengthen denunciation of hate crimes (alongside our recommendation in Chapter </w:t>
      </w:r>
      <w:r w:rsidR="00604BC9">
        <w:t>7</w:t>
      </w:r>
      <w:r>
        <w:t xml:space="preserve"> to require judges to state if the aggravating factor applies when imposing a sentence).</w:t>
      </w:r>
    </w:p>
    <w:p w14:paraId="0562497F" w14:textId="77BC9894" w:rsidR="005900F0" w:rsidRDefault="005900F0" w:rsidP="005900F0">
      <w:pPr>
        <w:pStyle w:val="BodyTextalphalist"/>
      </w:pPr>
      <w:r>
        <w:t>Ensure the courts are properly informed in future cases involving the same offender. This would support decisions about bail and sentencing for any subsequent hostility-motivated offending by showing if there is a concerning pattern of behaviour that needs to be addressed.</w:t>
      </w:r>
    </w:p>
    <w:p w14:paraId="26AA4616" w14:textId="0249C867" w:rsidR="005900F0" w:rsidRDefault="005900F0" w:rsidP="005900F0">
      <w:pPr>
        <w:pStyle w:val="BodyTextalphalist"/>
      </w:pPr>
      <w:r>
        <w:t>Allow data to be gathered on how hate crime is dealt with in the courts. This would support future policy and operational decisions by Police and the Ministry of Justice. For example, the cases flagged as potential hate crimes on the charging document could be compared to those where the court applies section 9(1)(h) at sentencing. This would show if Police is overlooking the potential application of section 9(1)(h) at the charging stage and it is being picked up later in proceedings and</w:t>
      </w:r>
      <w:r w:rsidR="00F66198">
        <w:t xml:space="preserve"> indicate</w:t>
      </w:r>
      <w:r>
        <w:t xml:space="preserve"> how often the courts disagree with the Police view that the aggravating factor applies. This could indicate </w:t>
      </w:r>
      <w:r w:rsidR="00D41A26">
        <w:t>whether</w:t>
      </w:r>
      <w:r>
        <w:t xml:space="preserve"> further training or guidance on the application of the factor is required or </w:t>
      </w:r>
      <w:r w:rsidR="00D41A26">
        <w:t>whether</w:t>
      </w:r>
      <w:r w:rsidR="00F04104">
        <w:t xml:space="preserve"> further</w:t>
      </w:r>
      <w:r>
        <w:t xml:space="preserve"> legislative clarification is needed. We also </w:t>
      </w:r>
      <w:r w:rsidR="00285F1C">
        <w:t>recommend</w:t>
      </w:r>
      <w:r>
        <w:t xml:space="preserve"> </w:t>
      </w:r>
      <w:r w:rsidRPr="00C41C4F">
        <w:t xml:space="preserve">in Chapter </w:t>
      </w:r>
      <w:r w:rsidR="00215C1A">
        <w:t>9</w:t>
      </w:r>
      <w:r w:rsidRPr="00C41C4F">
        <w:t xml:space="preserve"> that</w:t>
      </w:r>
      <w:r>
        <w:t xml:space="preserve"> court data on section 9(1)(h) be published to support research and public confidence in the justice system. We discuss further what information should be </w:t>
      </w:r>
      <w:r w:rsidR="008C0E18">
        <w:t xml:space="preserve">recorded </w:t>
      </w:r>
      <w:r>
        <w:t>later in this chapter.</w:t>
      </w:r>
    </w:p>
    <w:p w14:paraId="6D4F6F44" w14:textId="51B912A1" w:rsidR="005900F0" w:rsidRDefault="005900F0" w:rsidP="00F545FF">
      <w:pPr>
        <w:pStyle w:val="BodyText"/>
        <w:numPr>
          <w:ilvl w:val="1"/>
          <w:numId w:val="31"/>
        </w:numPr>
        <w:ind w:hanging="709"/>
      </w:pPr>
      <w:r>
        <w:t>There would also be wider benefits for the effectiveness of the justice system response to hate crime if court information is shared with Police and Corrections. We discuss that later in this chapter.</w:t>
      </w:r>
    </w:p>
    <w:p w14:paraId="1B6C632A" w14:textId="0A30ECE8" w:rsidR="005900F0" w:rsidRDefault="009379D5" w:rsidP="005900F0">
      <w:pPr>
        <w:pStyle w:val="Heading3"/>
      </w:pPr>
      <w:r w:rsidRPr="00663187">
        <w:rPr>
          <w:b w:val="0"/>
          <w:noProof/>
        </w:rPr>
        <mc:AlternateContent>
          <mc:Choice Requires="wpg">
            <w:drawing>
              <wp:anchor distT="0" distB="0" distL="114300" distR="114300" simplePos="0" relativeHeight="251658308" behindDoc="1" locked="0" layoutInCell="1" allowOverlap="1" wp14:anchorId="4A9047D3" wp14:editId="16A3884A">
                <wp:simplePos x="0" y="0"/>
                <wp:positionH relativeFrom="margin">
                  <wp:posOffset>5715</wp:posOffset>
                </wp:positionH>
                <wp:positionV relativeFrom="paragraph">
                  <wp:posOffset>264161</wp:posOffset>
                </wp:positionV>
                <wp:extent cx="5759450" cy="2266951"/>
                <wp:effectExtent l="0" t="0" r="0" b="0"/>
                <wp:wrapNone/>
                <wp:docPr id="2057663816" name="Group 2057663816"/>
                <wp:cNvGraphicFramePr/>
                <a:graphic xmlns:a="http://schemas.openxmlformats.org/drawingml/2006/main">
                  <a:graphicData uri="http://schemas.microsoft.com/office/word/2010/wordprocessingGroup">
                    <wpg:wgp>
                      <wpg:cNvGrpSpPr/>
                      <wpg:grpSpPr>
                        <a:xfrm>
                          <a:off x="0" y="0"/>
                          <a:ext cx="5759450" cy="2266951"/>
                          <a:chOff x="-1" y="40639"/>
                          <a:chExt cx="5760000" cy="1870602"/>
                        </a:xfrm>
                      </wpg:grpSpPr>
                      <wps:wsp>
                        <wps:cNvPr id="98789743" name="Freeform 51"/>
                        <wps:cNvSpPr>
                          <a:spLocks/>
                        </wps:cNvSpPr>
                        <wps:spPr bwMode="auto">
                          <a:xfrm>
                            <a:off x="-1" y="40639"/>
                            <a:ext cx="5760000" cy="187060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3C685C" w14:textId="77777777" w:rsidR="005900F0" w:rsidRDefault="005900F0" w:rsidP="005900F0">
                              <w:r>
                                <w:t xml:space="preserve"> </w:t>
                              </w:r>
                            </w:p>
                          </w:txbxContent>
                        </wps:txbx>
                        <wps:bodyPr rot="0" vert="horz" wrap="square" lIns="91440" tIns="45720" rIns="91440" bIns="45720" anchor="t" anchorCtr="0" upright="1">
                          <a:noAutofit/>
                        </wps:bodyPr>
                      </wps:wsp>
                      <wpg:grpSp>
                        <wpg:cNvPr id="1089706556" name="Group 1089706556"/>
                        <wpg:cNvGrpSpPr/>
                        <wpg:grpSpPr>
                          <a:xfrm>
                            <a:off x="0" y="170822"/>
                            <a:ext cx="1282065" cy="297815"/>
                            <a:chOff x="0" y="0"/>
                            <a:chExt cx="1282672" cy="298450"/>
                          </a:xfrm>
                        </wpg:grpSpPr>
                        <wpg:grpSp>
                          <wpg:cNvPr id="1112954251" name="Group 52"/>
                          <wpg:cNvGrpSpPr>
                            <a:grpSpLocks/>
                          </wpg:cNvGrpSpPr>
                          <wpg:grpSpPr bwMode="auto">
                            <a:xfrm>
                              <a:off x="172528" y="2540"/>
                              <a:ext cx="1110144" cy="1270"/>
                              <a:chOff x="1417" y="1374"/>
                              <a:chExt cx="1814" cy="2"/>
                            </a:xfrm>
                          </wpg:grpSpPr>
                          <wps:wsp>
                            <wps:cNvPr id="4917240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051966" name="Group 54"/>
                          <wpg:cNvGrpSpPr>
                            <a:grpSpLocks/>
                          </wpg:cNvGrpSpPr>
                          <wpg:grpSpPr bwMode="auto">
                            <a:xfrm>
                              <a:off x="0" y="0"/>
                              <a:ext cx="492038" cy="298450"/>
                              <a:chOff x="1134" y="1366"/>
                              <a:chExt cx="804" cy="470"/>
                            </a:xfrm>
                          </wpg:grpSpPr>
                          <wps:wsp>
                            <wps:cNvPr id="17436056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43BF0A" w14:textId="77777777" w:rsidR="005900F0" w:rsidRPr="008D464F" w:rsidRDefault="005900F0" w:rsidP="005900F0">
                                  <w:pPr>
                                    <w:spacing w:before="80" w:after="0"/>
                                    <w:jc w:val="center"/>
                                    <w:rPr>
                                      <w:rFonts w:ascii="Metropolis" w:hAnsi="Metropolis"/>
                                      <w:b/>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A9047D3" id="Group 2057663816" o:spid="_x0000_s1091" style="position:absolute;margin-left:.45pt;margin-top:20.8pt;width:453.5pt;height:178.5pt;z-index:-251658172;mso-position-horizontal-relative:margin;mso-width-relative:margin;mso-height-relative:margin" coordorigin=",406" coordsize="57600,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">
                <v:shape id="Freeform 51" o:spid="_x0000_s1092" style="position:absolute;top:406;width:57599;height:187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" adj="-11796480,,5400" path="m,l9354,r,1638l,1638,,e" fillcolor="#e2eaef" stroked="f">
                  <v:stroke joinstyle="round"/>
                  <v:formulas/>
                  <v:path arrowok="t" o:connecttype="custom" o:connectlocs="0,1203672;5760000,1203672;5760000,3074274;0,3074274;0,1203672" o:connectangles="0,0,0,0,0" textboxrect="0,0,9354,1638"/>
                  <v:textbox>
                    <w:txbxContent>
                      <w:p w14:paraId="1F3C685C" w14:textId="77777777" w:rsidR="005900F0" w:rsidRDefault="005900F0" w:rsidP="005900F0">
                        <w:r>
                          <w:t xml:space="preserve"> </w:t>
                        </w:r>
                      </w:p>
                    </w:txbxContent>
                  </v:textbox>
                </v:shape>
                <v:group id="Group 1089706556" o:spid="_x0000_s109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">
                  <v:group id="Group 52" o:spid="_x0000_s10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">
                    <v:shape id="Freeform 53" o:spid="_x0000_s10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" path="m,l1815,e" filled="f" strokecolor="#5ca0b9" strokeweight=".5pt">
                      <v:path arrowok="t" o:connecttype="custom" o:connectlocs="0,0;1815,0" o:connectangles="0,0"/>
                    </v:shape>
                  </v:group>
                  <v:group id="Group 54" o:spid="_x0000_s10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">
                    <v:shape id="Freeform 55" o:spid="_x0000_s10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943BF0A" w14:textId="77777777" w:rsidR="005900F0" w:rsidRPr="008D464F" w:rsidRDefault="005900F0" w:rsidP="005900F0">
                            <w:pPr>
                              <w:spacing w:before="80" w:after="0"/>
                              <w:jc w:val="center"/>
                              <w:rPr>
                                <w:rFonts w:ascii="Metropolis" w:hAnsi="Metropolis"/>
                                <w:b/>
                                <w:color w:val="FFFFFF" w:themeColor="background1"/>
                                <w:szCs w:val="20"/>
                              </w:rPr>
                            </w:pPr>
                          </w:p>
                        </w:txbxContent>
                      </v:textbox>
                    </v:shape>
                  </v:group>
                </v:group>
                <w10:wrap anchorx="margin"/>
              </v:group>
            </w:pict>
          </mc:Fallback>
        </mc:AlternateContent>
      </w:r>
      <w:r w:rsidR="005900F0">
        <w:t>Recommendation</w:t>
      </w:r>
    </w:p>
    <w:p w14:paraId="2825059F" w14:textId="2DFAD101" w:rsidR="005900F0" w:rsidRDefault="005900F0" w:rsidP="004E6F34">
      <w:pPr>
        <w:pStyle w:val="RxRecommendationText"/>
        <w:numPr>
          <w:ilvl w:val="0"/>
          <w:numId w:val="0"/>
        </w:numPr>
      </w:pPr>
    </w:p>
    <w:p w14:paraId="2F55638E" w14:textId="360133BB" w:rsidR="005900F0" w:rsidRDefault="005900F0" w:rsidP="00D8103B">
      <w:pPr>
        <w:pStyle w:val="RxRecommendationText"/>
        <w:numPr>
          <w:ilvl w:val="0"/>
          <w:numId w:val="42"/>
        </w:numPr>
        <w:ind w:left="993" w:hanging="851"/>
      </w:pPr>
      <w:r>
        <w:t>The Sentencing Act 2002 and Criminal Procedure Act 2011 should be amended to provide that:</w:t>
      </w:r>
    </w:p>
    <w:p w14:paraId="79D8FA4D" w14:textId="3E3748C2" w:rsidR="005900F0" w:rsidRDefault="002F176A" w:rsidP="005900F0">
      <w:pPr>
        <w:pStyle w:val="aRecommendationText"/>
      </w:pPr>
      <w:r>
        <w:t>a</w:t>
      </w:r>
      <w:r w:rsidR="005900F0">
        <w:t xml:space="preserve"> charging document may specify that section 9(1)(h) of the Sentencing Act</w:t>
      </w:r>
      <w:r w:rsidR="00DD6038">
        <w:t xml:space="preserve"> 2002</w:t>
      </w:r>
      <w:r w:rsidR="005900F0">
        <w:t xml:space="preserve"> is alleged to apply to an offence</w:t>
      </w:r>
      <w:r>
        <w:t>;</w:t>
      </w:r>
    </w:p>
    <w:p w14:paraId="14075343" w14:textId="1EDE8695" w:rsidR="005900F0" w:rsidRDefault="002F176A" w:rsidP="005900F0">
      <w:pPr>
        <w:pStyle w:val="aRecommendationText"/>
      </w:pPr>
      <w:r>
        <w:t>t</w:t>
      </w:r>
      <w:r w:rsidR="005900F0">
        <w:t>he court may amend the charging document at any time before sentencing to add or remove the specification</w:t>
      </w:r>
      <w:r>
        <w:t>; and</w:t>
      </w:r>
      <w:r w:rsidR="005900F0">
        <w:t xml:space="preserve"> </w:t>
      </w:r>
    </w:p>
    <w:p w14:paraId="7811EB68" w14:textId="2C27AEFA" w:rsidR="005900F0" w:rsidRDefault="002F176A" w:rsidP="005900F0">
      <w:pPr>
        <w:pStyle w:val="aRecommendationText"/>
      </w:pPr>
      <w:r>
        <w:t>i</w:t>
      </w:r>
      <w:r w:rsidR="005900F0">
        <w:t xml:space="preserve">f the court determines at sentencing that section 9(1)(h) applies to an offence, it must make an entry on the permanent court record to that effect (whether or not the charging document specifies that section 9(1)(h) is alleged to apply). </w:t>
      </w:r>
    </w:p>
    <w:p w14:paraId="6280EC37" w14:textId="77777777" w:rsidR="005900F0" w:rsidRDefault="005900F0" w:rsidP="005900F0">
      <w:pPr>
        <w:pStyle w:val="RxRecommendationText"/>
        <w:numPr>
          <w:ilvl w:val="0"/>
          <w:numId w:val="0"/>
        </w:numPr>
        <w:ind w:left="993" w:hanging="851"/>
      </w:pPr>
    </w:p>
    <w:p w14:paraId="06F2E881" w14:textId="361DD772" w:rsidR="005900F0" w:rsidRDefault="001F0A28" w:rsidP="00F545FF">
      <w:pPr>
        <w:pStyle w:val="BodyText"/>
        <w:numPr>
          <w:ilvl w:val="1"/>
          <w:numId w:val="31"/>
        </w:numPr>
        <w:ind w:hanging="709"/>
      </w:pPr>
      <w:r>
        <w:t>For the reasons discussed above, w</w:t>
      </w:r>
      <w:r w:rsidR="005900F0">
        <w:t>e recommend introducing a hate crime flag in court proceedings. In practical terms, the court flag process would involve the following:</w:t>
      </w:r>
    </w:p>
    <w:p w14:paraId="2FCE4D45" w14:textId="77777777" w:rsidR="005900F0" w:rsidRDefault="005900F0" w:rsidP="003E75B9">
      <w:pPr>
        <w:pStyle w:val="BodyTextalphalist"/>
        <w:numPr>
          <w:ilvl w:val="3"/>
          <w:numId w:val="31"/>
        </w:numPr>
      </w:pPr>
      <w:r>
        <w:t>The charging document filed by Police would include a field to specify if the prosecution alleges that section 9(1)(h) of the Sentencing Act applies to the offence.</w:t>
      </w:r>
    </w:p>
    <w:p w14:paraId="18771095" w14:textId="77777777" w:rsidR="005900F0" w:rsidRDefault="005900F0" w:rsidP="003E75B9">
      <w:pPr>
        <w:pStyle w:val="BodyTextalphalist"/>
        <w:numPr>
          <w:ilvl w:val="3"/>
          <w:numId w:val="31"/>
        </w:numPr>
      </w:pPr>
      <w:r>
        <w:t>If section 9(1)(h) is alleged to apply, the offence would be flagged as a potential hate crime in the courts’ Case Management System and in the file provided to the judge dealing with the case.</w:t>
      </w:r>
    </w:p>
    <w:p w14:paraId="2AC3E6AB" w14:textId="0FDBDCBB" w:rsidR="005900F0" w:rsidRDefault="005900F0" w:rsidP="003E75B9">
      <w:pPr>
        <w:pStyle w:val="BodyTextalphalist"/>
        <w:numPr>
          <w:ilvl w:val="3"/>
          <w:numId w:val="31"/>
        </w:numPr>
      </w:pPr>
      <w:r>
        <w:t>As with the family violence flag, the court could amend the charging document to add or remove the specification. This could occur, for example, if the specification was added</w:t>
      </w:r>
      <w:r w:rsidR="00217772">
        <w:t xml:space="preserve"> or omitted</w:t>
      </w:r>
      <w:r>
        <w:t xml:space="preserve"> by mistake when charges were filed. If the charging document </w:t>
      </w:r>
      <w:r w:rsidR="00DD2F75">
        <w:t>wa</w:t>
      </w:r>
      <w:r>
        <w:t xml:space="preserve">s amended, the Case Management System flag </w:t>
      </w:r>
      <w:r w:rsidR="006A220B">
        <w:t xml:space="preserve">and the file provided to the judge </w:t>
      </w:r>
      <w:r>
        <w:t>would also need to be updated accordingly.</w:t>
      </w:r>
    </w:p>
    <w:p w14:paraId="212052BF" w14:textId="00AF9E98" w:rsidR="0021220B" w:rsidRDefault="005900F0" w:rsidP="0021220B">
      <w:pPr>
        <w:pStyle w:val="BodyTextalphalist"/>
      </w:pPr>
      <w:r>
        <w:t xml:space="preserve">At sentencing, if the judge determined that the aggravating factor applied, the court would be required to make an entry on the permanent court record to that effect (whether or not the charging document alleged that section 9(1)(h) applied). The entry could be made by </w:t>
      </w:r>
      <w:r w:rsidR="00505857">
        <w:t>the</w:t>
      </w:r>
      <w:r>
        <w:t xml:space="preserve"> judge directly or by a registrar at the judge’s direction.</w:t>
      </w:r>
      <w:r w:rsidR="001117C0">
        <w:t xml:space="preserve"> </w:t>
      </w:r>
      <w:r w:rsidR="004A2D1F">
        <w:t xml:space="preserve">The </w:t>
      </w:r>
      <w:r w:rsidR="00DF6B76">
        <w:t xml:space="preserve">record of the </w:t>
      </w:r>
      <w:r w:rsidR="004A2D1F">
        <w:t>judge’s finding</w:t>
      </w:r>
      <w:r w:rsidR="001117C0">
        <w:t xml:space="preserve"> </w:t>
      </w:r>
      <w:r w:rsidR="0021220B">
        <w:t xml:space="preserve">would need to be clearly </w:t>
      </w:r>
      <w:r w:rsidR="00DF6B76">
        <w:t>communicated to</w:t>
      </w:r>
      <w:r w:rsidR="0021220B">
        <w:t xml:space="preserve"> any later court dealing with the offender. </w:t>
      </w:r>
    </w:p>
    <w:p w14:paraId="4E7FF2B9" w14:textId="71CA4F32" w:rsidR="001A517D" w:rsidRPr="001A517D" w:rsidRDefault="005900F0" w:rsidP="006305CE">
      <w:pPr>
        <w:pStyle w:val="BodyText"/>
        <w:numPr>
          <w:ilvl w:val="1"/>
          <w:numId w:val="31"/>
        </w:numPr>
        <w:ind w:hanging="709"/>
      </w:pPr>
      <w:r>
        <w:t xml:space="preserve">There are several matters we wish to highlight in relation to the operation of the court flag. </w:t>
      </w:r>
      <w:r>
        <w:rPr>
          <w:rFonts w:cs="Calibri"/>
        </w:rPr>
        <w:t xml:space="preserve">First, </w:t>
      </w:r>
      <w:r w:rsidR="00F774B0">
        <w:rPr>
          <w:rFonts w:cs="Calibri"/>
        </w:rPr>
        <w:t xml:space="preserve">for the flag to have the desired effect, </w:t>
      </w:r>
      <w:r w:rsidR="00E30476">
        <w:rPr>
          <w:rFonts w:cs="Calibri"/>
        </w:rPr>
        <w:t xml:space="preserve">the </w:t>
      </w:r>
      <w:r w:rsidR="008158C7">
        <w:rPr>
          <w:rFonts w:cs="Calibri"/>
        </w:rPr>
        <w:t xml:space="preserve">record of the </w:t>
      </w:r>
      <w:r w:rsidR="00E30476">
        <w:rPr>
          <w:rFonts w:cs="Calibri"/>
        </w:rPr>
        <w:t>sentencing judge’s finding</w:t>
      </w:r>
      <w:r w:rsidR="00F774B0">
        <w:rPr>
          <w:rFonts w:cs="Calibri"/>
        </w:rPr>
        <w:t xml:space="preserve"> would need to be </w:t>
      </w:r>
      <w:r w:rsidR="00BC155D">
        <w:rPr>
          <w:rFonts w:cs="Calibri"/>
        </w:rPr>
        <w:t>readily available</w:t>
      </w:r>
      <w:r w:rsidR="00F91299">
        <w:rPr>
          <w:rFonts w:cs="Calibri"/>
        </w:rPr>
        <w:t xml:space="preserve"> to </w:t>
      </w:r>
      <w:r w:rsidR="00024C74">
        <w:rPr>
          <w:rFonts w:cs="Calibri"/>
        </w:rPr>
        <w:t xml:space="preserve">any court dealing with the same offender in the future. We </w:t>
      </w:r>
      <w:r w:rsidR="00627469">
        <w:rPr>
          <w:rFonts w:cs="Calibri"/>
        </w:rPr>
        <w:t xml:space="preserve">have not been prescriptive in our recommendation about how that should occur as the </w:t>
      </w:r>
      <w:r w:rsidR="00C1378C">
        <w:rPr>
          <w:rFonts w:cs="Calibri"/>
        </w:rPr>
        <w:t>appropriate mechanism may vary over time</w:t>
      </w:r>
      <w:r w:rsidR="00BF372E">
        <w:rPr>
          <w:rFonts w:cs="Calibri"/>
        </w:rPr>
        <w:t xml:space="preserve"> </w:t>
      </w:r>
      <w:r w:rsidR="006A02DC">
        <w:rPr>
          <w:rFonts w:cs="Calibri"/>
        </w:rPr>
        <w:t xml:space="preserve">(including as case management </w:t>
      </w:r>
      <w:r w:rsidR="007D25B1">
        <w:rPr>
          <w:rFonts w:cs="Calibri"/>
        </w:rPr>
        <w:t>is digitised, which we discuss below)</w:t>
      </w:r>
      <w:r w:rsidR="00BF372E">
        <w:rPr>
          <w:rFonts w:cs="Calibri"/>
        </w:rPr>
        <w:t xml:space="preserve"> or between courts</w:t>
      </w:r>
      <w:r w:rsidR="007D25B1">
        <w:rPr>
          <w:rFonts w:cs="Calibri"/>
        </w:rPr>
        <w:t>.</w:t>
      </w:r>
      <w:r w:rsidR="00290C8B">
        <w:rPr>
          <w:rFonts w:cs="Calibri"/>
        </w:rPr>
        <w:t xml:space="preserve"> </w:t>
      </w:r>
      <w:r w:rsidR="008F1649">
        <w:rPr>
          <w:rFonts w:cs="Calibri"/>
        </w:rPr>
        <w:t xml:space="preserve">One possible way </w:t>
      </w:r>
      <w:r w:rsidR="003D20A8">
        <w:rPr>
          <w:rFonts w:cs="Calibri"/>
        </w:rPr>
        <w:t xml:space="preserve">at the current time </w:t>
      </w:r>
      <w:r w:rsidR="008F1649">
        <w:rPr>
          <w:rFonts w:cs="Calibri"/>
        </w:rPr>
        <w:t xml:space="preserve">to ensure courts are notified </w:t>
      </w:r>
      <w:r w:rsidR="00FD4215">
        <w:rPr>
          <w:rFonts w:cs="Calibri"/>
        </w:rPr>
        <w:t xml:space="preserve">that an offence was </w:t>
      </w:r>
      <w:r w:rsidR="00C97CC5">
        <w:rPr>
          <w:rFonts w:cs="Calibri"/>
        </w:rPr>
        <w:t xml:space="preserve">found to be </w:t>
      </w:r>
      <w:r w:rsidR="00FD4215">
        <w:rPr>
          <w:rFonts w:cs="Calibri"/>
        </w:rPr>
        <w:t xml:space="preserve">motivated by hostility </w:t>
      </w:r>
      <w:r w:rsidR="006F470C">
        <w:rPr>
          <w:rFonts w:cs="Calibri"/>
        </w:rPr>
        <w:t>would be</w:t>
      </w:r>
      <w:r w:rsidR="008310E6">
        <w:rPr>
          <w:rFonts w:cs="Calibri"/>
        </w:rPr>
        <w:t xml:space="preserve"> to include a </w:t>
      </w:r>
      <w:r w:rsidR="005D6B1F">
        <w:rPr>
          <w:rFonts w:cs="Calibri"/>
        </w:rPr>
        <w:t xml:space="preserve">notation on the offender’s </w:t>
      </w:r>
      <w:r w:rsidR="005D6B1F" w:rsidRPr="00D217C5">
        <w:t>court criminal and traffic history report</w:t>
      </w:r>
      <w:r w:rsidR="005D6B1F">
        <w:t>.</w:t>
      </w:r>
    </w:p>
    <w:p w14:paraId="01C87A77" w14:textId="36C4937F" w:rsidR="006305CE" w:rsidRPr="00FA352A" w:rsidRDefault="00DB6E80" w:rsidP="006305CE">
      <w:pPr>
        <w:pStyle w:val="BodyText"/>
        <w:numPr>
          <w:ilvl w:val="1"/>
          <w:numId w:val="31"/>
        </w:numPr>
        <w:ind w:hanging="709"/>
      </w:pPr>
      <w:r>
        <w:rPr>
          <w:rFonts w:cs="Calibri"/>
        </w:rPr>
        <w:t xml:space="preserve">Second, </w:t>
      </w:r>
      <w:r w:rsidR="005900F0">
        <w:rPr>
          <w:rFonts w:cs="Calibri"/>
        </w:rPr>
        <w:t xml:space="preserve">it is important that anyone viewing the court record after sentencing </w:t>
      </w:r>
      <w:r w:rsidR="00DF748D">
        <w:rPr>
          <w:rFonts w:cs="Calibri"/>
        </w:rPr>
        <w:t xml:space="preserve">could </w:t>
      </w:r>
      <w:r w:rsidR="005900F0">
        <w:rPr>
          <w:rFonts w:cs="Calibri"/>
        </w:rPr>
        <w:t xml:space="preserve">tell both whether hostility was alleged on the charging document and whether it was confirmed by the court at sentencing. </w:t>
      </w:r>
      <w:r w:rsidR="006305CE">
        <w:rPr>
          <w:rFonts w:cs="Calibri"/>
        </w:rPr>
        <w:t>In cases where</w:t>
      </w:r>
      <w:r w:rsidR="005900F0">
        <w:rPr>
          <w:rFonts w:cs="Calibri"/>
        </w:rPr>
        <w:t xml:space="preserve"> hostility </w:t>
      </w:r>
      <w:r w:rsidR="00234307">
        <w:rPr>
          <w:rFonts w:cs="Calibri"/>
        </w:rPr>
        <w:t>wa</w:t>
      </w:r>
      <w:r w:rsidR="006305CE">
        <w:rPr>
          <w:rFonts w:cs="Calibri"/>
        </w:rPr>
        <w:t>s</w:t>
      </w:r>
      <w:r w:rsidR="005900F0">
        <w:rPr>
          <w:rFonts w:cs="Calibri"/>
        </w:rPr>
        <w:t xml:space="preserve"> alleged but the court ultimately </w:t>
      </w:r>
      <w:r w:rsidR="00234307">
        <w:rPr>
          <w:rFonts w:cs="Calibri"/>
        </w:rPr>
        <w:t xml:space="preserve">did </w:t>
      </w:r>
      <w:r w:rsidR="005900F0">
        <w:rPr>
          <w:rFonts w:cs="Calibri"/>
        </w:rPr>
        <w:t>not confirm the application of section 9(1)(h), there may need to be a mechanism to</w:t>
      </w:r>
      <w:r w:rsidR="00B2326C">
        <w:rPr>
          <w:rFonts w:cs="Calibri"/>
        </w:rPr>
        <w:t xml:space="preserve"> remove the flag or</w:t>
      </w:r>
      <w:r w:rsidR="005900F0">
        <w:rPr>
          <w:rFonts w:cs="Calibri"/>
        </w:rPr>
        <w:t xml:space="preserve"> indicate </w:t>
      </w:r>
      <w:r w:rsidR="006305CE">
        <w:rPr>
          <w:rFonts w:cs="Calibri"/>
        </w:rPr>
        <w:t xml:space="preserve">for the avoidance of doubt that </w:t>
      </w:r>
      <w:r w:rsidR="005900F0">
        <w:rPr>
          <w:rFonts w:cs="Calibri"/>
        </w:rPr>
        <w:t>the provision was not applied</w:t>
      </w:r>
      <w:r w:rsidR="00FA6B0B">
        <w:rPr>
          <w:rFonts w:cs="Calibri"/>
        </w:rPr>
        <w:t xml:space="preserve"> </w:t>
      </w:r>
      <w:r w:rsidR="00CB10E5">
        <w:rPr>
          <w:rFonts w:cs="Calibri"/>
        </w:rPr>
        <w:t xml:space="preserve">(while ensuring the original allegation on the charging document </w:t>
      </w:r>
      <w:r w:rsidR="00234307">
        <w:rPr>
          <w:rFonts w:cs="Calibri"/>
        </w:rPr>
        <w:t>could</w:t>
      </w:r>
      <w:r w:rsidR="00D50BB4">
        <w:rPr>
          <w:rFonts w:cs="Calibri"/>
        </w:rPr>
        <w:t xml:space="preserve"> still be accessed)</w:t>
      </w:r>
      <w:r w:rsidR="006305CE">
        <w:rPr>
          <w:rFonts w:cs="Calibri"/>
        </w:rPr>
        <w:t>.</w:t>
      </w:r>
      <w:r w:rsidR="005900F0">
        <w:rPr>
          <w:rFonts w:cs="Calibri"/>
        </w:rPr>
        <w:t xml:space="preserve"> </w:t>
      </w:r>
      <w:r w:rsidR="005900F0">
        <w:t>T</w:t>
      </w:r>
      <w:r w:rsidR="005900F0">
        <w:rPr>
          <w:rFonts w:cs="Calibri"/>
        </w:rPr>
        <w:t>his should be investigated further prior to implementation if our recommendation is accepted.</w:t>
      </w:r>
    </w:p>
    <w:p w14:paraId="531FCA7C" w14:textId="4D448D42" w:rsidR="005900F0" w:rsidRPr="007D7F7B" w:rsidRDefault="00000F4B" w:rsidP="003E75B9">
      <w:pPr>
        <w:pStyle w:val="BodyText"/>
        <w:numPr>
          <w:ilvl w:val="1"/>
          <w:numId w:val="31"/>
        </w:numPr>
        <w:ind w:hanging="709"/>
      </w:pPr>
      <w:r>
        <w:rPr>
          <w:rFonts w:cs="Calibri"/>
        </w:rPr>
        <w:t>Third</w:t>
      </w:r>
      <w:r w:rsidR="005900F0">
        <w:rPr>
          <w:rFonts w:cs="Calibri"/>
        </w:rPr>
        <w:t>, there would need to be a process to ensure that, if a decision on the application of section</w:t>
      </w:r>
      <w:r w:rsidR="005900F0">
        <w:rPr>
          <w:rFonts w:ascii="Calibri" w:hAnsi="Calibri" w:cs="Calibri"/>
        </w:rPr>
        <w:t> </w:t>
      </w:r>
      <w:r w:rsidR="005900F0">
        <w:rPr>
          <w:rFonts w:cs="Calibri"/>
        </w:rPr>
        <w:t xml:space="preserve">9(1)(h) is reversed on appeal, the permanent court record and any associated records that may be relied on in future </w:t>
      </w:r>
      <w:r w:rsidR="00940744">
        <w:rPr>
          <w:rFonts w:cs="Calibri"/>
        </w:rPr>
        <w:t>(</w:t>
      </w:r>
      <w:r w:rsidR="005900F0">
        <w:rPr>
          <w:rFonts w:cs="Calibri"/>
        </w:rPr>
        <w:t xml:space="preserve">such as the </w:t>
      </w:r>
      <w:r w:rsidR="00F25674">
        <w:rPr>
          <w:rFonts w:cs="Calibri"/>
        </w:rPr>
        <w:t xml:space="preserve">offender’s </w:t>
      </w:r>
      <w:r w:rsidR="005900F0">
        <w:rPr>
          <w:rFonts w:cs="Calibri"/>
        </w:rPr>
        <w:t xml:space="preserve">criminal and traffic history report) are updated to reflect that decision. </w:t>
      </w:r>
    </w:p>
    <w:p w14:paraId="05A7CB92" w14:textId="4FBB5B51" w:rsidR="005900F0" w:rsidRDefault="00E0489D" w:rsidP="003E75B9">
      <w:pPr>
        <w:pStyle w:val="BodyText"/>
        <w:numPr>
          <w:ilvl w:val="1"/>
          <w:numId w:val="31"/>
        </w:numPr>
        <w:ind w:hanging="709"/>
      </w:pPr>
      <w:r>
        <w:t>Fourth</w:t>
      </w:r>
      <w:r w:rsidR="005900F0">
        <w:t>, it is important t</w:t>
      </w:r>
      <w:r w:rsidR="003301A2">
        <w:t>hat the legislation</w:t>
      </w:r>
      <w:r w:rsidR="005900F0">
        <w:t xml:space="preserve"> </w:t>
      </w:r>
      <w:r w:rsidR="005900F0" w:rsidRPr="004B5B6F">
        <w:rPr>
          <w:i/>
          <w:iCs/>
        </w:rPr>
        <w:t>require</w:t>
      </w:r>
      <w:r w:rsidR="003301A2">
        <w:rPr>
          <w:i/>
          <w:iCs/>
        </w:rPr>
        <w:t>s</w:t>
      </w:r>
      <w:r w:rsidR="005900F0">
        <w:t xml:space="preserve"> the court to record if the aggravating factor is applied at sentencing. That approach was not taken for the family violence flag, and we understand the specification on the charging document becomes part of the permanent court record by default unless the defence challenges it. However, the family violence flag simply indicates that the offender and victim were in a family relationship, which </w:t>
      </w:r>
      <w:r w:rsidR="00D148E5">
        <w:t>will often be</w:t>
      </w:r>
      <w:r w:rsidR="005900F0">
        <w:t xml:space="preserve"> clear from the facts before the court and not disputed. The application of the hostility aggravating factor involves a more complex factual determination about the offender’s motivation. It would be inappropriate for an offence to be permanently flagged as hostility-motivated without the sentencing judge making an explicit finding on the matter. Mandatory recording will help to </w:t>
      </w:r>
      <w:r w:rsidR="005900F0" w:rsidRPr="002553CC">
        <w:t>ensure</w:t>
      </w:r>
      <w:r w:rsidR="005900F0">
        <w:t xml:space="preserve"> there are</w:t>
      </w:r>
      <w:r w:rsidR="005900F0" w:rsidRPr="002553CC">
        <w:t xml:space="preserve"> </w:t>
      </w:r>
      <w:r w:rsidR="005900F0">
        <w:t>accurate records for use in future cases and for statistical purposes.</w:t>
      </w:r>
    </w:p>
    <w:p w14:paraId="5EA4C7DE" w14:textId="5856FE98" w:rsidR="005900F0" w:rsidRDefault="00E0489D" w:rsidP="003E75B9">
      <w:pPr>
        <w:pStyle w:val="BodyText"/>
        <w:numPr>
          <w:ilvl w:val="1"/>
          <w:numId w:val="31"/>
        </w:numPr>
        <w:ind w:hanging="709"/>
      </w:pPr>
      <w:r>
        <w:t>Fifth</w:t>
      </w:r>
      <w:r w:rsidR="005900F0">
        <w:t>, Police should be enabled (and encouraged) to identify hostile motivation on the charging document where appropriate. However, if that does not occur,</w:t>
      </w:r>
      <w:r w:rsidR="005900F0" w:rsidRPr="005C3F8B">
        <w:t xml:space="preserve"> the court</w:t>
      </w:r>
      <w:r w:rsidR="005900F0">
        <w:t xml:space="preserve"> should not be prevented</w:t>
      </w:r>
      <w:r w:rsidR="005900F0" w:rsidRPr="005C3F8B">
        <w:t xml:space="preserve"> from considering or applying the aggravating factor at sentencing</w:t>
      </w:r>
      <w:r w:rsidR="005900F0">
        <w:t xml:space="preserve"> if it is relevant, as required by section 9(1)(h)</w:t>
      </w:r>
      <w:r w:rsidR="005900F0" w:rsidRPr="005C3F8B">
        <w:t xml:space="preserve">. </w:t>
      </w:r>
      <w:r w:rsidR="006F0B36">
        <w:t>We anticipate that, i</w:t>
      </w:r>
      <w:r w:rsidR="006F0B36" w:rsidRPr="005C3F8B">
        <w:t xml:space="preserve">f </w:t>
      </w:r>
      <w:r w:rsidR="006F0B36">
        <w:t>a</w:t>
      </w:r>
      <w:r w:rsidR="005900F0" w:rsidRPr="005C3F8B">
        <w:t xml:space="preserve"> sentencing judge </w:t>
      </w:r>
      <w:r w:rsidR="006F0B36" w:rsidRPr="005C3F8B">
        <w:t>consider</w:t>
      </w:r>
      <w:r w:rsidR="006F0B36">
        <w:t>ed</w:t>
      </w:r>
      <w:r w:rsidR="005900F0" w:rsidRPr="005C3F8B">
        <w:t xml:space="preserve"> the </w:t>
      </w:r>
      <w:r w:rsidR="005900F0">
        <w:t xml:space="preserve">hostility </w:t>
      </w:r>
      <w:r w:rsidR="005900F0" w:rsidRPr="005C3F8B">
        <w:t xml:space="preserve">aggravating factor may be relevant, they </w:t>
      </w:r>
      <w:r w:rsidR="006F0B36">
        <w:t>would want to</w:t>
      </w:r>
      <w:r w:rsidR="005900F0" w:rsidRPr="005C3F8B">
        <w:t xml:space="preserve"> ensure the defendant has adequate opportunity to challenge the facts </w:t>
      </w:r>
      <w:r w:rsidR="005900F0">
        <w:t xml:space="preserve">that would be </w:t>
      </w:r>
      <w:r w:rsidR="005900F0" w:rsidRPr="005C3F8B">
        <w:t xml:space="preserve">relied on to establish </w:t>
      </w:r>
      <w:r w:rsidR="005900F0">
        <w:t>hostile</w:t>
      </w:r>
      <w:r w:rsidR="005900F0" w:rsidRPr="005C3F8B">
        <w:t xml:space="preserve"> motivation</w:t>
      </w:r>
      <w:r w:rsidR="005900F0" w:rsidRPr="005C3F8B">
        <w:rPr>
          <w:rStyle w:val="FootnoteReference"/>
        </w:rPr>
        <w:footnoteReference w:id="460"/>
      </w:r>
      <w:r w:rsidR="005900F0" w:rsidRPr="005C3F8B">
        <w:t xml:space="preserve"> and to make submissions on the matter. </w:t>
      </w:r>
    </w:p>
    <w:p w14:paraId="729469A2" w14:textId="6A01D115" w:rsidR="005900F0" w:rsidRDefault="005900F0" w:rsidP="003E75B9">
      <w:pPr>
        <w:pStyle w:val="BodyText"/>
        <w:numPr>
          <w:ilvl w:val="1"/>
          <w:numId w:val="31"/>
        </w:numPr>
        <w:ind w:hanging="709"/>
      </w:pPr>
      <w:r>
        <w:t xml:space="preserve">Finally, the requirement for the court to </w:t>
      </w:r>
      <w:r w:rsidR="000B5098">
        <w:t>flag</w:t>
      </w:r>
      <w:r>
        <w:t xml:space="preserve"> the application of the aggravating factor </w:t>
      </w:r>
      <w:r w:rsidR="000B5098">
        <w:t xml:space="preserve">on the court record </w:t>
      </w:r>
      <w:r>
        <w:t>would assist appellate courts by making the sentencing judge’s finding clear.</w:t>
      </w:r>
      <w:r w:rsidR="000B5098">
        <w:rPr>
          <w:rStyle w:val="FootnoteReference"/>
        </w:rPr>
        <w:footnoteReference w:id="461"/>
      </w:r>
      <w:r>
        <w:t xml:space="preserve"> In this way, it could support appeals on the substantive question of whether the aggravating factor should have been applied in the circumstances. We do not, however, anticipate a significant increase in </w:t>
      </w:r>
      <w:r w:rsidR="00400EA9">
        <w:t xml:space="preserve">the number of </w:t>
      </w:r>
      <w:r>
        <w:t>appeals as a result of the flag. A f</w:t>
      </w:r>
      <w:r w:rsidRPr="00C65451">
        <w:t xml:space="preserve">ailure by the </w:t>
      </w:r>
      <w:r>
        <w:t>court</w:t>
      </w:r>
      <w:r w:rsidRPr="00C65451">
        <w:t xml:space="preserve"> to comply with </w:t>
      </w:r>
      <w:r>
        <w:t>the duty to record hostile motivation would not in itself be a ground for appeal</w:t>
      </w:r>
      <w:r w:rsidRPr="00C65451">
        <w:t xml:space="preserve">. </w:t>
      </w:r>
      <w:r>
        <w:t>Appeals against sentence are only allowed if there is an error in the sentence imposed.</w:t>
      </w:r>
      <w:r>
        <w:rPr>
          <w:rStyle w:val="FootnoteReference"/>
        </w:rPr>
        <w:footnoteReference w:id="462"/>
      </w:r>
      <w:r>
        <w:t xml:space="preserve"> The appellate courts are concerned primarily with the appropriateness of the end sentence rather than the means by which it was reached</w:t>
      </w:r>
      <w:r>
        <w:rPr>
          <w:rStyle w:val="FootnoteReference"/>
        </w:rPr>
        <w:footnoteReference w:id="463"/>
      </w:r>
      <w:r>
        <w:t xml:space="preserve"> or compliance with requirements of the Sentencing Act that do not affect the sentence.</w:t>
      </w:r>
      <w:r>
        <w:rPr>
          <w:rStyle w:val="FootnoteReference"/>
        </w:rPr>
        <w:footnoteReference w:id="464"/>
      </w:r>
      <w:r>
        <w:t xml:space="preserve"> </w:t>
      </w:r>
      <w:r w:rsidRPr="00C65451">
        <w:t>The</w:t>
      </w:r>
      <w:r w:rsidRPr="00E81D6F">
        <w:t xml:space="preserve"> correct course</w:t>
      </w:r>
      <w:r>
        <w:t xml:space="preserve"> of action if the application of the aggravating factor is not recorded</w:t>
      </w:r>
      <w:r w:rsidRPr="00E81D6F">
        <w:t xml:space="preserve"> would be for the prosecution to seek a correction </w:t>
      </w:r>
      <w:r>
        <w:t>of</w:t>
      </w:r>
      <w:r w:rsidRPr="00E81D6F">
        <w:t xml:space="preserve"> the</w:t>
      </w:r>
      <w:r>
        <w:t xml:space="preserve"> permanent court</w:t>
      </w:r>
      <w:r w:rsidRPr="00E81D6F">
        <w:t xml:space="preserve"> record</w:t>
      </w:r>
      <w:r>
        <w:t>.</w:t>
      </w:r>
      <w:r>
        <w:rPr>
          <w:rStyle w:val="FootnoteReference"/>
        </w:rPr>
        <w:footnoteReference w:id="465"/>
      </w:r>
      <w:r>
        <w:t xml:space="preserve"> </w:t>
      </w:r>
    </w:p>
    <w:p w14:paraId="42A571D3" w14:textId="77777777" w:rsidR="005900F0" w:rsidRDefault="005900F0" w:rsidP="005900F0">
      <w:pPr>
        <w:pStyle w:val="Heading4"/>
      </w:pPr>
      <w:r>
        <w:t>Legislative amendments required</w:t>
      </w:r>
    </w:p>
    <w:p w14:paraId="600C7CCC" w14:textId="4A6CCD50" w:rsidR="005900F0" w:rsidRDefault="005900F0" w:rsidP="003E75B9">
      <w:pPr>
        <w:pStyle w:val="BodyText"/>
        <w:numPr>
          <w:ilvl w:val="1"/>
          <w:numId w:val="31"/>
        </w:numPr>
        <w:ind w:hanging="709"/>
      </w:pPr>
      <w:r w:rsidRPr="00333542">
        <w:t xml:space="preserve">It would be possible to introduce a </w:t>
      </w:r>
      <w:r>
        <w:t xml:space="preserve">court </w:t>
      </w:r>
      <w:r w:rsidRPr="00333542">
        <w:t xml:space="preserve">hate crime flag without any change to legislation. </w:t>
      </w:r>
      <w:r w:rsidR="006576B4">
        <w:t xml:space="preserve">As noted </w:t>
      </w:r>
      <w:r w:rsidR="008A0754">
        <w:t>earlier</w:t>
      </w:r>
      <w:r w:rsidR="006576B4">
        <w:t>, there</w:t>
      </w:r>
      <w:r>
        <w:t xml:space="preserve"> </w:t>
      </w:r>
      <w:r w:rsidRPr="00333542">
        <w:t>was a non-statutory process for identifying family violence cases before section</w:t>
      </w:r>
      <w:r>
        <w:rPr>
          <w:rFonts w:ascii="Calibri" w:hAnsi="Calibri" w:cs="Calibri"/>
        </w:rPr>
        <w:t> </w:t>
      </w:r>
      <w:r w:rsidRPr="00333542">
        <w:t>16A of the Criminal Procedure Act was enacted. There is also no statutory basis for recording</w:t>
      </w:r>
      <w:r>
        <w:t xml:space="preserve"> hate crime</w:t>
      </w:r>
      <w:r w:rsidRPr="00333542">
        <w:t xml:space="preserve"> sentence aggravations in England and Wales. </w:t>
      </w:r>
    </w:p>
    <w:p w14:paraId="5A1C9372" w14:textId="7C16AF38" w:rsidR="005900F0" w:rsidRPr="00333542" w:rsidRDefault="005900F0" w:rsidP="003E75B9">
      <w:pPr>
        <w:pStyle w:val="BodyText"/>
        <w:numPr>
          <w:ilvl w:val="1"/>
          <w:numId w:val="31"/>
        </w:numPr>
        <w:ind w:hanging="709"/>
      </w:pPr>
      <w:r>
        <w:t>Nonetheless</w:t>
      </w:r>
      <w:r w:rsidRPr="00333542">
        <w:t xml:space="preserve">, we </w:t>
      </w:r>
      <w:r>
        <w:t>propose</w:t>
      </w:r>
      <w:r w:rsidRPr="00333542">
        <w:t xml:space="preserve"> the</w:t>
      </w:r>
      <w:r>
        <w:t xml:space="preserve"> court hate crime</w:t>
      </w:r>
      <w:r w:rsidRPr="00333542">
        <w:t xml:space="preserve"> flag be provided for in legislation for </w:t>
      </w:r>
      <w:r>
        <w:t>two</w:t>
      </w:r>
      <w:r w:rsidRPr="00333542">
        <w:t xml:space="preserve"> reasons:</w:t>
      </w:r>
    </w:p>
    <w:p w14:paraId="1551677D" w14:textId="77777777" w:rsidR="005900F0" w:rsidRPr="00333542" w:rsidRDefault="005900F0" w:rsidP="003E75B9">
      <w:pPr>
        <w:pStyle w:val="BodyTextalphalist"/>
        <w:numPr>
          <w:ilvl w:val="3"/>
          <w:numId w:val="31"/>
        </w:numPr>
      </w:pPr>
      <w:r w:rsidRPr="00333542">
        <w:t xml:space="preserve">As explained </w:t>
      </w:r>
      <w:r>
        <w:t>above</w:t>
      </w:r>
      <w:r w:rsidRPr="00333542">
        <w:t xml:space="preserve">, we propose that judges should be </w:t>
      </w:r>
      <w:r w:rsidRPr="00FA0CAB">
        <w:rPr>
          <w:i/>
          <w:iCs/>
        </w:rPr>
        <w:t>required</w:t>
      </w:r>
      <w:r w:rsidRPr="00333542">
        <w:t xml:space="preserve"> to record the aggravation on the permanent court record. A statutory </w:t>
      </w:r>
      <w:r>
        <w:t>provision</w:t>
      </w:r>
      <w:r w:rsidRPr="00333542">
        <w:t xml:space="preserve"> is needed </w:t>
      </w:r>
      <w:r>
        <w:t>to make this mandatory</w:t>
      </w:r>
      <w:r w:rsidRPr="00333542">
        <w:t xml:space="preserve">. </w:t>
      </w:r>
    </w:p>
    <w:p w14:paraId="6EFBEF8A" w14:textId="77777777" w:rsidR="005900F0" w:rsidRPr="00333542" w:rsidRDefault="005900F0" w:rsidP="003E75B9">
      <w:pPr>
        <w:pStyle w:val="BodyTextalphalist"/>
        <w:numPr>
          <w:ilvl w:val="3"/>
          <w:numId w:val="31"/>
        </w:numPr>
      </w:pPr>
      <w:r w:rsidRPr="00333542">
        <w:t xml:space="preserve">The Ministry of Justice </w:t>
      </w:r>
      <w:r>
        <w:t>considers</w:t>
      </w:r>
      <w:r w:rsidRPr="00333542">
        <w:t xml:space="preserve"> the family violence flag has operated more effectively since legislative amendment</w:t>
      </w:r>
      <w:r>
        <w:t xml:space="preserve">. Statutory provisions would make it </w:t>
      </w:r>
      <w:r w:rsidRPr="00333542">
        <w:t xml:space="preserve">clearer what </w:t>
      </w:r>
      <w:r>
        <w:t>Police, court staff and judges need</w:t>
      </w:r>
      <w:r w:rsidRPr="00333542">
        <w:t xml:space="preserve"> to do</w:t>
      </w:r>
      <w:r>
        <w:t xml:space="preserve"> to implement the flag effectively.</w:t>
      </w:r>
    </w:p>
    <w:p w14:paraId="522165C3" w14:textId="07980E79" w:rsidR="005900F0" w:rsidRDefault="005900F0" w:rsidP="003E75B9">
      <w:pPr>
        <w:pStyle w:val="BodyText"/>
        <w:numPr>
          <w:ilvl w:val="1"/>
          <w:numId w:val="31"/>
        </w:numPr>
        <w:ind w:hanging="709"/>
      </w:pPr>
      <w:r>
        <w:t>Our recommendation is to amend the Sentencing Act and the Criminal Procedure Act. The reason we propose amendments to two different enactments is that they deal with different stages of proceedings</w:t>
      </w:r>
      <w:r w:rsidR="007718B3">
        <w:t>:</w:t>
      </w:r>
    </w:p>
    <w:p w14:paraId="6649C194" w14:textId="77777777" w:rsidR="005900F0" w:rsidRDefault="005900F0" w:rsidP="003E75B9">
      <w:pPr>
        <w:pStyle w:val="BodyTextalphalist"/>
        <w:numPr>
          <w:ilvl w:val="3"/>
          <w:numId w:val="31"/>
        </w:numPr>
      </w:pPr>
      <w:r>
        <w:t>The Criminal Procedure Act addresses the filing of charging documents by prosecutors and the powers of the court in relation to charging documents.</w:t>
      </w:r>
      <w:r>
        <w:rPr>
          <w:rStyle w:val="FootnoteReference"/>
        </w:rPr>
        <w:footnoteReference w:id="466"/>
      </w:r>
      <w:r>
        <w:t xml:space="preserve"> </w:t>
      </w:r>
    </w:p>
    <w:p w14:paraId="36943F81" w14:textId="77777777" w:rsidR="005900F0" w:rsidRDefault="005900F0" w:rsidP="003E75B9">
      <w:pPr>
        <w:pStyle w:val="BodyTextalphalist"/>
        <w:numPr>
          <w:ilvl w:val="3"/>
          <w:numId w:val="31"/>
        </w:numPr>
      </w:pPr>
      <w:r>
        <w:t>The Sentencing Act sets out the powers and duties of sentencing judges, including requirements to make entries on the permanent court record in relation to other sentencing factors.</w:t>
      </w:r>
      <w:r>
        <w:rPr>
          <w:rStyle w:val="FootnoteReference"/>
        </w:rPr>
        <w:footnoteReference w:id="467"/>
      </w:r>
    </w:p>
    <w:p w14:paraId="7055118D" w14:textId="77777777" w:rsidR="005900F0" w:rsidRDefault="005900F0" w:rsidP="003E75B9">
      <w:pPr>
        <w:pStyle w:val="BodyText"/>
        <w:numPr>
          <w:ilvl w:val="1"/>
          <w:numId w:val="31"/>
        </w:numPr>
        <w:ind w:hanging="709"/>
      </w:pPr>
      <w:r>
        <w:t>Because of this, we consider it is appropriate to include our proposed provisions relating to charging documents in the Criminal Procedure Act and the provisions relating to recording hostile motivation at sentencing in the Sentencing Act. This differs from the approach taken for the family violence flag because that flag does not depend on a determination made at sentencing.</w:t>
      </w:r>
      <w:r>
        <w:rPr>
          <w:rStyle w:val="FootnoteReference"/>
        </w:rPr>
        <w:footnoteReference w:id="468"/>
      </w:r>
    </w:p>
    <w:p w14:paraId="3370836C" w14:textId="77777777" w:rsidR="005900F0" w:rsidRDefault="005900F0" w:rsidP="003E75B9">
      <w:pPr>
        <w:pStyle w:val="BodyText"/>
        <w:numPr>
          <w:ilvl w:val="1"/>
          <w:numId w:val="31"/>
        </w:numPr>
        <w:ind w:hanging="709"/>
      </w:pPr>
      <w:r>
        <w:t>There are existing legislative provisions dealing with the permanent court record that would facilitate recording of hostile motivation. The Criminal Procedure Act requires c</w:t>
      </w:r>
      <w:r w:rsidRPr="005B7526">
        <w:t>ourts conducting criminal proceedings to maintain a permanent court record of the formal steps in those proceeding</w:t>
      </w:r>
      <w:r>
        <w:t>s.</w:t>
      </w:r>
      <w:r>
        <w:rPr>
          <w:rStyle w:val="FootnoteReference"/>
        </w:rPr>
        <w:footnoteReference w:id="469"/>
      </w:r>
      <w:r>
        <w:t xml:space="preserve"> The permanent court record is conclusive evidence of the matters recorded in it (subject to the court’s power to amend it).</w:t>
      </w:r>
      <w:r>
        <w:rPr>
          <w:rStyle w:val="FootnoteReference"/>
        </w:rPr>
        <w:footnoteReference w:id="470"/>
      </w:r>
      <w:r>
        <w:t xml:space="preserve"> The Criminal Procedure Rules 2012 state that the permanent court record may be kept in electronic or hardcopy form and that entries may be made by a judicial officer or a court registrar.</w:t>
      </w:r>
      <w:r>
        <w:rPr>
          <w:rStyle w:val="FootnoteReference"/>
        </w:rPr>
        <w:footnoteReference w:id="471"/>
      </w:r>
      <w:r>
        <w:t xml:space="preserve"> The judicial officer or registrar who made an entry can also correct any errors.</w:t>
      </w:r>
      <w:r>
        <w:rPr>
          <w:rStyle w:val="FootnoteReference"/>
        </w:rPr>
        <w:footnoteReference w:id="472"/>
      </w:r>
    </w:p>
    <w:p w14:paraId="7E6E93B5" w14:textId="7DB9D18E" w:rsidR="005900F0" w:rsidRDefault="005900F0" w:rsidP="003E75B9">
      <w:pPr>
        <w:pStyle w:val="BodyText"/>
        <w:numPr>
          <w:ilvl w:val="1"/>
          <w:numId w:val="31"/>
        </w:numPr>
        <w:ind w:hanging="709"/>
      </w:pPr>
      <w:r>
        <w:t>The Criminal Procedure Rules also contain a list of information that must be recorded on the permanent court record.</w:t>
      </w:r>
      <w:r>
        <w:rPr>
          <w:rStyle w:val="FootnoteReference"/>
        </w:rPr>
        <w:footnoteReference w:id="473"/>
      </w:r>
      <w:r>
        <w:t xml:space="preserve"> This includes matters such as the offence charged, the outcome of any bail applications, pleas entered, verdicts and any judgments or orders of the court. We considered whether that list should be amended to also refer to the application of </w:t>
      </w:r>
      <w:r w:rsidR="00C1490C">
        <w:t>section 9(1)(h) of the Sentencing Act</w:t>
      </w:r>
      <w:r>
        <w:t xml:space="preserve">. However, </w:t>
      </w:r>
      <w:r w:rsidR="00430EFE">
        <w:t xml:space="preserve">the list does not refer to </w:t>
      </w:r>
      <w:r>
        <w:t>other matters the Sentencing Act requires courts to enter on the permanent court record.</w:t>
      </w:r>
      <w:r>
        <w:rPr>
          <w:rStyle w:val="FootnoteReference"/>
        </w:rPr>
        <w:footnoteReference w:id="474"/>
      </w:r>
      <w:r>
        <w:t xml:space="preserve"> We have been unable to determine whether that omission was intentional. In any event, a consistent approach is desirable. We therefore do not make any recommendation to amend the list in the Criminal Procedure Rules but suggest the Ministry of Justice consider it further if R1 is accepted, having regard to all the recording requirements in the Sentencing Act.</w:t>
      </w:r>
    </w:p>
    <w:p w14:paraId="73257FE9" w14:textId="77777777" w:rsidR="005900F0" w:rsidRDefault="005900F0" w:rsidP="005900F0">
      <w:pPr>
        <w:pStyle w:val="Heading4"/>
      </w:pPr>
      <w:r>
        <w:t>Implementation</w:t>
      </w:r>
    </w:p>
    <w:p w14:paraId="00A902E9" w14:textId="3E0A8CA3" w:rsidR="005900F0" w:rsidRDefault="005900F0" w:rsidP="003E75B9">
      <w:pPr>
        <w:pStyle w:val="BodyText"/>
        <w:numPr>
          <w:ilvl w:val="1"/>
          <w:numId w:val="31"/>
        </w:numPr>
        <w:ind w:hanging="709"/>
      </w:pPr>
      <w:r>
        <w:t>The Ministry of Justice indicated the biggest challenge to implementing the flag would be ensuring that sentencing judges record their finding as to whether the aggravating factor applies. If the flag was implemented with the current paper-based court system</w:t>
      </w:r>
      <w:r w:rsidR="001A1531">
        <w:t>s</w:t>
      </w:r>
      <w:r w:rsidR="000374F7">
        <w:t xml:space="preserve"> still in place</w:t>
      </w:r>
      <w:r>
        <w:t xml:space="preserve">, the judge would need to do this manually on the physical charging document. A court registrar would then need to update the Case Management System to reflect </w:t>
      </w:r>
      <w:r w:rsidR="00D66C8B">
        <w:t>the judge’s finding</w:t>
      </w:r>
      <w:r>
        <w:t xml:space="preserve">. If the judge failed to record the </w:t>
      </w:r>
      <w:r w:rsidR="00D66C8B">
        <w:t>finding</w:t>
      </w:r>
      <w:r>
        <w:t>, the registrar would need to go back to the judge to check the outcome. There is a risk the application of the aggravating factor would not be recorded in some cases due to human error.</w:t>
      </w:r>
    </w:p>
    <w:p w14:paraId="6EE16275" w14:textId="2105C003" w:rsidR="005900F0" w:rsidRDefault="005900F0" w:rsidP="003E75B9">
      <w:pPr>
        <w:pStyle w:val="BodyText"/>
        <w:numPr>
          <w:ilvl w:val="1"/>
          <w:numId w:val="31"/>
        </w:numPr>
        <w:ind w:hanging="709"/>
      </w:pPr>
      <w:r>
        <w:t>The Ministry suggested that the digitisation of court case management could make this process easier. After digitisation, judges will be able to record decisions on a screen in real</w:t>
      </w:r>
      <w:r w:rsidR="00F827AB">
        <w:t xml:space="preserve"> </w:t>
      </w:r>
      <w:r>
        <w:t>time and could be prompted or required to enter certain information (</w:t>
      </w:r>
      <w:r w:rsidRPr="0034417F">
        <w:t>such as whether section 9(1)(h) applies to an offence)</w:t>
      </w:r>
      <w:r>
        <w:t xml:space="preserve"> at the same time as recording the sentence</w:t>
      </w:r>
      <w:r w:rsidRPr="0034417F">
        <w:t xml:space="preserve">. This could automatically update </w:t>
      </w:r>
      <w:r>
        <w:t>the Case Management System</w:t>
      </w:r>
      <w:r w:rsidRPr="0034417F">
        <w:t xml:space="preserve">. A </w:t>
      </w:r>
      <w:r>
        <w:t xml:space="preserve">programme to digitise case management, </w:t>
      </w:r>
      <w:r w:rsidRPr="00427CE9">
        <w:t>Te Au Reka</w:t>
      </w:r>
      <w:r>
        <w:t>, is</w:t>
      </w:r>
      <w:r w:rsidRPr="0034417F">
        <w:t xml:space="preserve"> in progress</w:t>
      </w:r>
      <w:r w:rsidR="009477D7">
        <w:t>,</w:t>
      </w:r>
      <w:r w:rsidRPr="0034417F">
        <w:t xml:space="preserve"> </w:t>
      </w:r>
      <w:r w:rsidR="0070111E">
        <w:t>with roll-out</w:t>
      </w:r>
      <w:r w:rsidRPr="0034417F">
        <w:t xml:space="preserve"> currently scheduled to be</w:t>
      </w:r>
      <w:r>
        <w:t>gin</w:t>
      </w:r>
      <w:r w:rsidRPr="0034417F">
        <w:t xml:space="preserve"> in </w:t>
      </w:r>
      <w:r w:rsidR="00E35D08" w:rsidRPr="00D65153">
        <w:t>Te Kōti ā Rohe |</w:t>
      </w:r>
      <w:r w:rsidRPr="0034417F">
        <w:t xml:space="preserve"> District </w:t>
      </w:r>
      <w:r w:rsidR="00973BF9">
        <w:t xml:space="preserve">Court </w:t>
      </w:r>
      <w:r w:rsidRPr="0034417F">
        <w:t xml:space="preserve">and </w:t>
      </w:r>
      <w:r w:rsidR="00973BF9" w:rsidRPr="00973BF9">
        <w:t>Te Kōti Matua | High Court</w:t>
      </w:r>
      <w:r w:rsidR="00973BF9">
        <w:t xml:space="preserve"> </w:t>
      </w:r>
      <w:r w:rsidRPr="0034417F">
        <w:t>in the second half of 2027.</w:t>
      </w:r>
      <w:r w:rsidRPr="0034417F">
        <w:rPr>
          <w:rStyle w:val="FootnoteReference"/>
        </w:rPr>
        <w:footnoteReference w:id="475"/>
      </w:r>
      <w:r w:rsidRPr="0034417F">
        <w:t xml:space="preserve"> There </w:t>
      </w:r>
      <w:r>
        <w:t>is</w:t>
      </w:r>
      <w:r w:rsidRPr="0034417F">
        <w:t xml:space="preserve"> a moratorium on policy proposals affecting </w:t>
      </w:r>
      <w:r>
        <w:t>the Case Management System</w:t>
      </w:r>
      <w:r w:rsidRPr="0034417F">
        <w:t xml:space="preserve"> until that time.</w:t>
      </w:r>
      <w:r w:rsidRPr="0034417F">
        <w:rPr>
          <w:rStyle w:val="FootnoteReference"/>
        </w:rPr>
        <w:footnoteReference w:id="476"/>
      </w:r>
      <w:r w:rsidRPr="0034417F">
        <w:t xml:space="preserve"> If our recommendation to introduce a court flag is accepted, </w:t>
      </w:r>
      <w:r>
        <w:t>we anticipate it would be implemented as part of or following digitisation, which should help to mitigate the risk of errors associated with a paper-based system.</w:t>
      </w:r>
    </w:p>
    <w:p w14:paraId="578B1D16" w14:textId="613E7EEF" w:rsidR="005900F0" w:rsidRDefault="005900F0" w:rsidP="003E75B9">
      <w:pPr>
        <w:pStyle w:val="BodyText"/>
        <w:numPr>
          <w:ilvl w:val="1"/>
          <w:numId w:val="31"/>
        </w:numPr>
        <w:ind w:hanging="709"/>
      </w:pPr>
      <w:r>
        <w:t>Judges are already required to enter certain matters on the permanent court record at sentencing. The Sentencing Act requires the court to make an entry on the permanent court record if an offender has had a sentence reduction under the remorse or youth mitigating factors.</w:t>
      </w:r>
      <w:r>
        <w:rPr>
          <w:rStyle w:val="FootnoteReference"/>
        </w:rPr>
        <w:footnoteReference w:id="477"/>
      </w:r>
      <w:r>
        <w:t xml:space="preserve"> The Ministry of Justice will need to ensure the digital case management system has a process in place to capture these decisions</w:t>
      </w:r>
      <w:r w:rsidR="002D070C">
        <w:t xml:space="preserve"> and communicate them to </w:t>
      </w:r>
      <w:r w:rsidR="00FD7116">
        <w:t>any court</w:t>
      </w:r>
      <w:r w:rsidR="00605399">
        <w:t xml:space="preserve"> dealing with the same offender in future.</w:t>
      </w:r>
      <w:r>
        <w:t xml:space="preserve"> </w:t>
      </w:r>
      <w:r w:rsidR="0076367A">
        <w:t>That process could also</w:t>
      </w:r>
      <w:r>
        <w:t xml:space="preserve"> apply to the hostility aggravating factor.</w:t>
      </w:r>
    </w:p>
    <w:p w14:paraId="0EE7C0AB" w14:textId="04E62D93" w:rsidR="005900F0" w:rsidRDefault="005900F0" w:rsidP="003E75B9">
      <w:pPr>
        <w:pStyle w:val="BodyText"/>
        <w:numPr>
          <w:ilvl w:val="1"/>
          <w:numId w:val="31"/>
        </w:numPr>
        <w:ind w:hanging="709"/>
      </w:pPr>
      <w:r>
        <w:t>As with any process requiring human input, there would still be some risk of inaccuracies — for example, if Police made an error on the charging document or a judge’s decision was not accurately recorded. However, this risk and its associated impacts can be minimised</w:t>
      </w:r>
      <w:r w:rsidR="007E0171">
        <w:t>:</w:t>
      </w:r>
    </w:p>
    <w:p w14:paraId="6BD71445" w14:textId="77777777" w:rsidR="005900F0" w:rsidRDefault="005900F0" w:rsidP="003E75B9">
      <w:pPr>
        <w:pStyle w:val="BodyTextalphalist"/>
        <w:numPr>
          <w:ilvl w:val="3"/>
          <w:numId w:val="31"/>
        </w:numPr>
      </w:pPr>
      <w:r>
        <w:t xml:space="preserve">As with the family violence flag, if the hate crime flag was applied in error, it could be removed with the agreement of the parties before the sentencing hearing. </w:t>
      </w:r>
    </w:p>
    <w:p w14:paraId="35318517" w14:textId="5080D285" w:rsidR="005900F0" w:rsidRDefault="005900F0" w:rsidP="003E75B9">
      <w:pPr>
        <w:pStyle w:val="BodyTextalphalist"/>
        <w:numPr>
          <w:ilvl w:val="3"/>
          <w:numId w:val="31"/>
        </w:numPr>
      </w:pPr>
      <w:r>
        <w:t>The flag would not be treated as determinative at the pre-sentence stage. It would simply be a signal to the judge to consider whether hostile motivation may be an issue. If the flag was applied erroneously, that would likely be obvious to the judge from the facts and the parties’ submissions</w:t>
      </w:r>
      <w:r w:rsidR="00671BE3">
        <w:t xml:space="preserve"> or could be resolved at the sentencing hearing</w:t>
      </w:r>
      <w:r>
        <w:t>.</w:t>
      </w:r>
    </w:p>
    <w:p w14:paraId="47CB9E18" w14:textId="39E43563" w:rsidR="005900F0" w:rsidRDefault="005900F0" w:rsidP="003E75B9">
      <w:pPr>
        <w:pStyle w:val="BodyTextalphalist"/>
        <w:numPr>
          <w:ilvl w:val="3"/>
          <w:numId w:val="31"/>
        </w:numPr>
      </w:pPr>
      <w:r>
        <w:t xml:space="preserve">Unlike the family violence flag, judges would be </w:t>
      </w:r>
      <w:r w:rsidRPr="00BA16A3">
        <w:rPr>
          <w:i/>
          <w:iCs/>
        </w:rPr>
        <w:t>require</w:t>
      </w:r>
      <w:r>
        <w:rPr>
          <w:i/>
          <w:iCs/>
        </w:rPr>
        <w:t>d</w:t>
      </w:r>
      <w:r w:rsidRPr="00BA16A3">
        <w:rPr>
          <w:i/>
          <w:iCs/>
        </w:rPr>
        <w:t xml:space="preserve"> </w:t>
      </w:r>
      <w:r>
        <w:t xml:space="preserve">to make an entry on the permanent court record if they </w:t>
      </w:r>
      <w:r w:rsidR="00E817FA">
        <w:t xml:space="preserve">were </w:t>
      </w:r>
      <w:r>
        <w:t xml:space="preserve">satisfied the </w:t>
      </w:r>
      <w:r w:rsidR="00A15A52">
        <w:t>hostility</w:t>
      </w:r>
      <w:r>
        <w:t xml:space="preserve"> aggravating factor applie</w:t>
      </w:r>
      <w:r w:rsidR="00E817FA">
        <w:t>d</w:t>
      </w:r>
      <w:r>
        <w:t>. If no such finding was made, the permanent court record would reflect that</w:t>
      </w:r>
      <w:r w:rsidR="00F86CF1">
        <w:t xml:space="preserve"> </w:t>
      </w:r>
      <w:r w:rsidR="00456DED">
        <w:t>(as discussed earlier)</w:t>
      </w:r>
      <w:r>
        <w:t xml:space="preserve">. </w:t>
      </w:r>
      <w:r w:rsidR="008B333E">
        <w:t>A</w:t>
      </w:r>
      <w:r>
        <w:t xml:space="preserve">fter sentencing, the record </w:t>
      </w:r>
      <w:r w:rsidR="00BA59C0">
        <w:t xml:space="preserve">would only </w:t>
      </w:r>
      <w:r w:rsidR="008F7403">
        <w:t>indicate</w:t>
      </w:r>
      <w:r w:rsidR="00A44ADC">
        <w:t xml:space="preserve"> that</w:t>
      </w:r>
      <w:r w:rsidR="008F7403">
        <w:t xml:space="preserve"> </w:t>
      </w:r>
      <w:r w:rsidR="0022743F">
        <w:t>an offence was motivated by hostility if the court ha</w:t>
      </w:r>
      <w:r w:rsidR="008B333E">
        <w:t>d</w:t>
      </w:r>
      <w:r w:rsidR="0022743F">
        <w:t xml:space="preserve"> made an explicit finding to that effect</w:t>
      </w:r>
      <w:r>
        <w:t>.</w:t>
      </w:r>
    </w:p>
    <w:p w14:paraId="697CD748" w14:textId="48CDB00B" w:rsidR="005900F0" w:rsidRDefault="005900F0" w:rsidP="003E75B9">
      <w:pPr>
        <w:pStyle w:val="BodyTextalphalist"/>
        <w:numPr>
          <w:ilvl w:val="3"/>
          <w:numId w:val="31"/>
        </w:numPr>
      </w:pPr>
      <w:r>
        <w:t xml:space="preserve">If any error </w:t>
      </w:r>
      <w:r w:rsidR="00AA606F">
        <w:t>wa</w:t>
      </w:r>
      <w:r>
        <w:t xml:space="preserve">s made on the permanent court record, </w:t>
      </w:r>
      <w:r w:rsidR="00AC3EDD">
        <w:t>it could be corrected by</w:t>
      </w:r>
      <w:r>
        <w:t xml:space="preserve"> the judge or registrar </w:t>
      </w:r>
      <w:r w:rsidR="00AC3EDD">
        <w:t>as already provided for in the Criminal Procedure Rules</w:t>
      </w:r>
      <w:r>
        <w:t>.</w:t>
      </w:r>
      <w:r>
        <w:rPr>
          <w:rStyle w:val="FootnoteReference"/>
        </w:rPr>
        <w:footnoteReference w:id="478"/>
      </w:r>
    </w:p>
    <w:p w14:paraId="755BD9D1" w14:textId="54C90BDB" w:rsidR="005900F0" w:rsidRDefault="005900F0" w:rsidP="003E75B9">
      <w:pPr>
        <w:pStyle w:val="BodyText"/>
        <w:numPr>
          <w:ilvl w:val="1"/>
          <w:numId w:val="31"/>
        </w:numPr>
        <w:ind w:hanging="709"/>
      </w:pPr>
      <w:r>
        <w:t xml:space="preserve">It will be important for Police to identify offences to which the aggravating factor is alleged to apply on the charging document. We understand that would be done by the investigating officer, who would also need to ensure evidence of the hostile motivation is gathered and provided to the prosecutor. As discussed in Chapter 4, the Police Hate Crime Quality Assurance Team </w:t>
      </w:r>
      <w:r w:rsidR="00CB4018">
        <w:t xml:space="preserve">currently </w:t>
      </w:r>
      <w:r>
        <w:t xml:space="preserve">plays an important role in ensuring potential hate crime cases have been identified and recorded in the Police National Intelligence Application using the existing Police </w:t>
      </w:r>
      <w:r w:rsidR="00CB4018">
        <w:t xml:space="preserve">perceived </w:t>
      </w:r>
      <w:r>
        <w:t>hate crime flag.</w:t>
      </w:r>
      <w:r>
        <w:rPr>
          <w:rStyle w:val="FootnoteReference"/>
        </w:rPr>
        <w:footnoteReference w:id="479"/>
      </w:r>
      <w:r>
        <w:t xml:space="preserve"> The Police flag would feed into the investigating officer’s decision to </w:t>
      </w:r>
      <w:r w:rsidR="00C83DEE">
        <w:t>note the potential application of</w:t>
      </w:r>
      <w:r>
        <w:t xml:space="preserve"> section</w:t>
      </w:r>
      <w:r w:rsidR="00C23CDF">
        <w:rPr>
          <w:rFonts w:ascii="Calibri" w:hAnsi="Calibri" w:cs="Calibri"/>
        </w:rPr>
        <w:t> </w:t>
      </w:r>
      <w:r>
        <w:t xml:space="preserve">9(1)(h) on the charging document and inform the prosecutor. </w:t>
      </w:r>
    </w:p>
    <w:p w14:paraId="5FC02002" w14:textId="1B3B09CA" w:rsidR="005900F0" w:rsidRDefault="005900F0" w:rsidP="003E75B9">
      <w:pPr>
        <w:pStyle w:val="BodyText"/>
        <w:numPr>
          <w:ilvl w:val="1"/>
          <w:numId w:val="31"/>
        </w:numPr>
        <w:ind w:hanging="709"/>
      </w:pPr>
      <w:r>
        <w:t>There has been discussion within</w:t>
      </w:r>
      <w:r w:rsidRPr="00546AE5">
        <w:t xml:space="preserve"> Police </w:t>
      </w:r>
      <w:r>
        <w:t>about implementing a</w:t>
      </w:r>
      <w:r w:rsidRPr="00546AE5">
        <w:t xml:space="preserve"> section</w:t>
      </w:r>
      <w:r>
        <w:rPr>
          <w:rFonts w:ascii="Calibri" w:hAnsi="Calibri" w:cs="Calibri"/>
        </w:rPr>
        <w:t xml:space="preserve"> </w:t>
      </w:r>
      <w:r w:rsidRPr="00546AE5">
        <w:t xml:space="preserve">9(1)(h) flag in </w:t>
      </w:r>
      <w:r>
        <w:t>the Police National Intelligence Application</w:t>
      </w:r>
      <w:r w:rsidRPr="00546AE5">
        <w:t xml:space="preserve">. This would be applied </w:t>
      </w:r>
      <w:r>
        <w:t xml:space="preserve">by the investigating officer </w:t>
      </w:r>
      <w:r w:rsidR="00A67D69">
        <w:t>if</w:t>
      </w:r>
      <w:r w:rsidRPr="00546AE5">
        <w:t xml:space="preserve">, at the point of </w:t>
      </w:r>
      <w:r>
        <w:t>deciding to prosecute</w:t>
      </w:r>
      <w:r w:rsidRPr="00546AE5">
        <w:t xml:space="preserve">, </w:t>
      </w:r>
      <w:r>
        <w:t>they</w:t>
      </w:r>
      <w:r w:rsidRPr="00546AE5">
        <w:t xml:space="preserve"> consider the aggravating factor applies. </w:t>
      </w:r>
      <w:r>
        <w:t xml:space="preserve">We </w:t>
      </w:r>
      <w:r w:rsidR="00A84CCC">
        <w:t>consider</w:t>
      </w:r>
      <w:r>
        <w:t xml:space="preserve"> such a flag would be valuable and </w:t>
      </w:r>
      <w:r w:rsidR="00A67D69">
        <w:t xml:space="preserve">we </w:t>
      </w:r>
      <w:r>
        <w:t>support its implementation if technically feasible. Ideally, applying the Police section 9(1)(h) flag would automatically populate the charging document that goes to the court. This would help to ensure</w:t>
      </w:r>
      <w:r w:rsidR="00866328">
        <w:t xml:space="preserve"> the court flag is applied to</w:t>
      </w:r>
      <w:r>
        <w:t xml:space="preserve"> all relevant offences. </w:t>
      </w:r>
    </w:p>
    <w:p w14:paraId="6898DAF2" w14:textId="15E774EC" w:rsidR="005900F0" w:rsidRDefault="005900F0" w:rsidP="003E75B9">
      <w:pPr>
        <w:pStyle w:val="BodyText"/>
        <w:numPr>
          <w:ilvl w:val="1"/>
          <w:numId w:val="31"/>
        </w:numPr>
        <w:ind w:hanging="709"/>
      </w:pPr>
      <w:r>
        <w:t xml:space="preserve">Training </w:t>
      </w:r>
      <w:r w:rsidR="000B2186">
        <w:t xml:space="preserve">and </w:t>
      </w:r>
      <w:r>
        <w:t xml:space="preserve">guidance for Police, prosecutors and judges will be crucial to ensure the </w:t>
      </w:r>
      <w:r w:rsidR="00D96EAF">
        <w:t xml:space="preserve">court </w:t>
      </w:r>
      <w:r>
        <w:t xml:space="preserve">flag is implemented effectively. We make recommendations about </w:t>
      </w:r>
      <w:r w:rsidR="00FE58CE">
        <w:t>that</w:t>
      </w:r>
      <w:r>
        <w:t xml:space="preserve"> in Chapter</w:t>
      </w:r>
      <w:r w:rsidR="0080027B">
        <w:rPr>
          <w:rFonts w:ascii="Calibri" w:hAnsi="Calibri" w:cs="Calibri"/>
        </w:rPr>
        <w:t> </w:t>
      </w:r>
      <w:r w:rsidR="00FE58CE">
        <w:t>9</w:t>
      </w:r>
      <w:r>
        <w:t xml:space="preserve">. Training will also be required for court staff on how to apply the flag, and defence counsel may benefit from training through legal professional bodies. </w:t>
      </w:r>
    </w:p>
    <w:p w14:paraId="4B14572C" w14:textId="06B11261" w:rsidR="005900F0" w:rsidRDefault="005900F0" w:rsidP="003E75B9">
      <w:pPr>
        <w:pStyle w:val="BodyText"/>
        <w:numPr>
          <w:ilvl w:val="1"/>
          <w:numId w:val="31"/>
        </w:numPr>
        <w:ind w:hanging="709"/>
      </w:pPr>
      <w:r>
        <w:t xml:space="preserve">As noted earlier, the Ministry of Justice indicated there would be some costs associated with implementing the flag (both in terms of system changes and court staff time) and </w:t>
      </w:r>
      <w:r w:rsidR="004472B7">
        <w:t xml:space="preserve">that </w:t>
      </w:r>
      <w:r>
        <w:t xml:space="preserve">additional funding would be required to meet those costs. There would also be some impact on judicial time, since judges would be required to record the application of the aggravating factor. However, we expect </w:t>
      </w:r>
      <w:r w:rsidR="004472B7">
        <w:t xml:space="preserve">that </w:t>
      </w:r>
      <w:r w:rsidR="001628D6">
        <w:t xml:space="preserve">section 9(1)(h) </w:t>
      </w:r>
      <w:r w:rsidR="000A518E">
        <w:t>would</w:t>
      </w:r>
      <w:r w:rsidR="001628D6">
        <w:t xml:space="preserve"> only be relevant in </w:t>
      </w:r>
      <w:r>
        <w:t xml:space="preserve">a small proportion of cases and the additional time involved in </w:t>
      </w:r>
      <w:r w:rsidR="00ED7DAD">
        <w:t>entering the flag on the court record</w:t>
      </w:r>
      <w:r>
        <w:t xml:space="preserve"> would not be substantial. We do not therefore anticipate a significant ongoing impact on judicial resourcing. </w:t>
      </w:r>
    </w:p>
    <w:p w14:paraId="666103FB" w14:textId="77777777" w:rsidR="005900F0" w:rsidRPr="00596347" w:rsidRDefault="005900F0" w:rsidP="005900F0">
      <w:pPr>
        <w:pStyle w:val="Heading4"/>
      </w:pPr>
      <w:r w:rsidRPr="00596347">
        <w:t>Decisions of public interest</w:t>
      </w:r>
    </w:p>
    <w:p w14:paraId="32E29B96" w14:textId="2383DC18" w:rsidR="005900F0" w:rsidRPr="00596347" w:rsidRDefault="00345EFC" w:rsidP="00F545FF">
      <w:pPr>
        <w:pStyle w:val="BodyText"/>
        <w:numPr>
          <w:ilvl w:val="1"/>
          <w:numId w:val="31"/>
        </w:numPr>
        <w:ind w:hanging="709"/>
      </w:pPr>
      <w:r>
        <w:t>As discussed in Chapter 4, m</w:t>
      </w:r>
      <w:r w:rsidR="005900F0" w:rsidRPr="00596347">
        <w:t>ost District Court decisions (including sentencing notes) are not published online. This makes it difficult to assess how the courts are dealing with hate crime cases. Many potential hate crime</w:t>
      </w:r>
      <w:r w:rsidR="00E973E6">
        <w:t xml:space="preserve"> case</w:t>
      </w:r>
      <w:r w:rsidR="005900F0" w:rsidRPr="00596347">
        <w:t xml:space="preserve">s involve lower-level offences </w:t>
      </w:r>
      <w:r w:rsidR="00851791">
        <w:t>and</w:t>
      </w:r>
      <w:r w:rsidR="00851791" w:rsidRPr="00596347">
        <w:t xml:space="preserve"> </w:t>
      </w:r>
      <w:r w:rsidR="005900F0" w:rsidRPr="00596347">
        <w:t xml:space="preserve">are heard in the District Court. </w:t>
      </w:r>
    </w:p>
    <w:p w14:paraId="3A779672" w14:textId="30BEF5BC" w:rsidR="005900F0" w:rsidRPr="00596347" w:rsidRDefault="005900F0" w:rsidP="00F545FF">
      <w:pPr>
        <w:pStyle w:val="BodyText"/>
        <w:numPr>
          <w:ilvl w:val="1"/>
          <w:numId w:val="31"/>
        </w:numPr>
        <w:ind w:hanging="709"/>
      </w:pPr>
      <w:r w:rsidRPr="00596347">
        <w:t>The District Court publish</w:t>
      </w:r>
      <w:r w:rsidR="00706345">
        <w:t>es</w:t>
      </w:r>
      <w:r w:rsidRPr="00596347">
        <w:t xml:space="preserve"> a representative sample of cases each year, with an emphasis on significant cases of particular interest.</w:t>
      </w:r>
      <w:r w:rsidRPr="00596347">
        <w:rPr>
          <w:rStyle w:val="FootnoteReference"/>
        </w:rPr>
        <w:footnoteReference w:id="480"/>
      </w:r>
      <w:r w:rsidRPr="00596347">
        <w:t xml:space="preserve"> Given the need for strong denunciation of hate crimes discussed in Chapter 3 and the need for better information to ensure they are being responded to appropriately, the fact that section 9(1)(h) has been applied may be relevant when deciding whether a case is sufficiently significant to be published. The court hate crime flag would allow the courts to identify such cases.</w:t>
      </w:r>
    </w:p>
    <w:p w14:paraId="18D35BCC" w14:textId="77777777" w:rsidR="005900F0" w:rsidRDefault="005900F0" w:rsidP="005900F0">
      <w:pPr>
        <w:pStyle w:val="Heading2"/>
      </w:pPr>
      <w:bookmarkStart w:id="139" w:name="_Toc212106764"/>
      <w:bookmarkStart w:id="140" w:name="_Toc231467849"/>
      <w:r>
        <w:t>Sharing court information with Police and Corrections</w:t>
      </w:r>
      <w:bookmarkEnd w:id="139"/>
      <w:bookmarkEnd w:id="140"/>
    </w:p>
    <w:p w14:paraId="7F75666A" w14:textId="043FE13C" w:rsidR="005900F0" w:rsidRPr="006E0B3C" w:rsidRDefault="005900F0" w:rsidP="003E75B9">
      <w:pPr>
        <w:pStyle w:val="BodyText"/>
        <w:numPr>
          <w:ilvl w:val="1"/>
          <w:numId w:val="31"/>
        </w:numPr>
        <w:ind w:hanging="709"/>
      </w:pPr>
      <w:r>
        <w:t xml:space="preserve">As explained in Chapter </w:t>
      </w:r>
      <w:r w:rsidR="00886560">
        <w:t>4</w:t>
      </w:r>
      <w:r>
        <w:t xml:space="preserve">, there is currently no straightforward way for Corrections to know if hostility </w:t>
      </w:r>
      <w:r w:rsidR="00886560">
        <w:t>is at issue in relation to</w:t>
      </w:r>
      <w:r>
        <w:t xml:space="preserve"> </w:t>
      </w:r>
      <w:r w:rsidR="00A629DB">
        <w:t>alleged</w:t>
      </w:r>
      <w:r>
        <w:t xml:space="preserve"> offending currently before the court or for Police or Corrections to know if the court applied the aggravating factor at sentencing for an offence. </w:t>
      </w:r>
    </w:p>
    <w:p w14:paraId="55E6F162" w14:textId="1F043108" w:rsidR="005900F0" w:rsidRDefault="005900F0" w:rsidP="003E75B9">
      <w:pPr>
        <w:pStyle w:val="BodyText"/>
        <w:numPr>
          <w:ilvl w:val="1"/>
          <w:numId w:val="31"/>
        </w:numPr>
        <w:ind w:hanging="709"/>
      </w:pPr>
      <w:r w:rsidRPr="00C727AE">
        <w:t xml:space="preserve">In our Consultation Paper, we </w:t>
      </w:r>
      <w:r w:rsidR="008E35BE">
        <w:t>suggested</w:t>
      </w:r>
      <w:r w:rsidRPr="00C727AE">
        <w:t xml:space="preserve"> that</w:t>
      </w:r>
      <w:r w:rsidR="008E35BE">
        <w:t>,</w:t>
      </w:r>
      <w:r w:rsidRPr="00C727AE">
        <w:t xml:space="preserve"> if a court hate crime flag was adopted, it could also be shared with Police and Corrections.</w:t>
      </w:r>
      <w:r>
        <w:rPr>
          <w:rStyle w:val="FootnoteReference"/>
        </w:rPr>
        <w:footnoteReference w:id="481"/>
      </w:r>
      <w:r w:rsidRPr="00C727AE">
        <w:t xml:space="preserve"> We suggested this might allow Police to monitor how hate crime cases are dealt with once in court. It could also provide Police with more accurate information</w:t>
      </w:r>
      <w:r>
        <w:t xml:space="preserve"> to inform future investigations</w:t>
      </w:r>
      <w:r w:rsidR="00BA73C8">
        <w:t xml:space="preserve"> —</w:t>
      </w:r>
      <w:r>
        <w:t xml:space="preserve"> for example</w:t>
      </w:r>
      <w:r w:rsidR="00BA73C8">
        <w:t>,</w:t>
      </w:r>
      <w:r>
        <w:t xml:space="preserve"> if</w:t>
      </w:r>
      <w:r w:rsidRPr="00C727AE">
        <w:t xml:space="preserve"> </w:t>
      </w:r>
      <w:r>
        <w:t>the same offender comes to Police’s attention again</w:t>
      </w:r>
      <w:r w:rsidRPr="00C727AE">
        <w:t>. For Corrections, we suggested information about hostile motivation could assist in assessing offenders’ rehabilitative needs.</w:t>
      </w:r>
    </w:p>
    <w:p w14:paraId="17C726A1" w14:textId="77777777" w:rsidR="005900F0" w:rsidRPr="00C727AE" w:rsidRDefault="005900F0" w:rsidP="005900F0">
      <w:pPr>
        <w:pStyle w:val="Heading3"/>
      </w:pPr>
      <w:r>
        <w:t>Consultation</w:t>
      </w:r>
    </w:p>
    <w:p w14:paraId="4E21A2CA" w14:textId="4CE0BFAD" w:rsidR="005900F0" w:rsidRPr="00577C64" w:rsidRDefault="005900F0" w:rsidP="003E75B9">
      <w:pPr>
        <w:pStyle w:val="BodyText"/>
        <w:numPr>
          <w:ilvl w:val="1"/>
          <w:numId w:val="31"/>
        </w:numPr>
        <w:ind w:hanging="709"/>
      </w:pPr>
      <w:r w:rsidRPr="00530D57">
        <w:t xml:space="preserve">Five submitters </w:t>
      </w:r>
      <w:r w:rsidR="004379AD">
        <w:t>on our Consultation Paper</w:t>
      </w:r>
      <w:r w:rsidRPr="00530D57">
        <w:t xml:space="preserve"> said a</w:t>
      </w:r>
      <w:r>
        <w:t xml:space="preserve"> court</w:t>
      </w:r>
      <w:r w:rsidRPr="00530D57">
        <w:t xml:space="preserve"> hate crime flag could be shared with Corrections to help assess the offender’s rehabilitative needs.</w:t>
      </w:r>
      <w:r w:rsidRPr="00530D57">
        <w:rPr>
          <w:color w:val="262626" w:themeColor="text1" w:themeTint="D9"/>
          <w:sz w:val="18"/>
          <w:szCs w:val="18"/>
          <w:vertAlign w:val="superscript"/>
        </w:rPr>
        <w:footnoteReference w:id="482"/>
      </w:r>
      <w:r>
        <w:t xml:space="preserve"> In addition, although Luke Cunningham Clere did not </w:t>
      </w:r>
      <w:r w:rsidR="0027094C">
        <w:t>clearly state this should happen</w:t>
      </w:r>
      <w:r>
        <w:t>, it noted a flag would make it</w:t>
      </w:r>
      <w:r w:rsidRPr="00577C64">
        <w:t xml:space="preserve"> easier to identify </w:t>
      </w:r>
      <w:r>
        <w:t xml:space="preserve">hate crimes </w:t>
      </w:r>
      <w:r w:rsidRPr="00577C64">
        <w:t>when pre-sentence reports are completed.</w:t>
      </w:r>
      <w:r>
        <w:t xml:space="preserve"> Pre-sentence reports are prepared by Corrections to assist the courts when determining the appropriate sentence.</w:t>
      </w:r>
    </w:p>
    <w:p w14:paraId="7B6EF0FA" w14:textId="57EAA89E" w:rsidR="005900F0" w:rsidRPr="00442E11" w:rsidRDefault="005900F0" w:rsidP="003E75B9">
      <w:pPr>
        <w:pStyle w:val="BodyText"/>
        <w:numPr>
          <w:ilvl w:val="1"/>
          <w:numId w:val="31"/>
        </w:numPr>
        <w:ind w:hanging="709"/>
      </w:pPr>
      <w:r>
        <w:t xml:space="preserve">No submitters specifically commented on whether a court hate crime flag should also be shared with Police. However, </w:t>
      </w:r>
      <w:r w:rsidRPr="00530D57">
        <w:t xml:space="preserve">Justice for Palestine, Alternative Jewish Voices and Dayenu </w:t>
      </w:r>
      <w:r w:rsidR="002C1FC0">
        <w:t xml:space="preserve">(in their joint submission) </w:t>
      </w:r>
      <w:r w:rsidRPr="00530D57">
        <w:t>said it is important to identify convicted perpetrators of hate crimes for the purposes of vetting individuals for firearms licences. They said minor crimes such as intentional damage are often overlooked in assessing fit and proper status for a firearms licence.</w:t>
      </w:r>
    </w:p>
    <w:p w14:paraId="6A1F9F9A" w14:textId="77777777" w:rsidR="005900F0" w:rsidRDefault="005900F0" w:rsidP="005900F0">
      <w:pPr>
        <w:pStyle w:val="Heading3"/>
      </w:pPr>
      <w:r>
        <w:t>The need for reform</w:t>
      </w:r>
    </w:p>
    <w:p w14:paraId="5A3ACFA7" w14:textId="77777777" w:rsidR="005900F0" w:rsidRDefault="005900F0" w:rsidP="005900F0">
      <w:pPr>
        <w:pStyle w:val="Heading4"/>
      </w:pPr>
      <w:r>
        <w:t xml:space="preserve">Police </w:t>
      </w:r>
    </w:p>
    <w:p w14:paraId="1D3D2B69" w14:textId="59D326A1" w:rsidR="005900F0" w:rsidRDefault="005900F0" w:rsidP="003E75B9">
      <w:pPr>
        <w:pStyle w:val="BodyText"/>
        <w:numPr>
          <w:ilvl w:val="1"/>
          <w:numId w:val="31"/>
        </w:numPr>
        <w:ind w:hanging="709"/>
      </w:pPr>
      <w:r>
        <w:t xml:space="preserve">Having access to court information about hostile motivation would assist Police in several ways. First, it would allow Police to check that </w:t>
      </w:r>
      <w:r w:rsidR="009A3FF9">
        <w:t xml:space="preserve">the </w:t>
      </w:r>
      <w:r w:rsidR="00D478AA">
        <w:t>court hate crime flag has been applied</w:t>
      </w:r>
      <w:r>
        <w:t xml:space="preserve"> </w:t>
      </w:r>
      <w:r w:rsidR="008E3943">
        <w:t xml:space="preserve">to an alleged offence </w:t>
      </w:r>
      <w:r w:rsidR="00ED606B">
        <w:t>in</w:t>
      </w:r>
      <w:r w:rsidR="00F13C99">
        <w:t xml:space="preserve"> the Case Management System</w:t>
      </w:r>
      <w:r>
        <w:t xml:space="preserve"> </w:t>
      </w:r>
      <w:r w:rsidR="005C06BF">
        <w:t xml:space="preserve">(and therefore </w:t>
      </w:r>
      <w:r w:rsidR="0087687D">
        <w:t>should</w:t>
      </w:r>
      <w:r w:rsidR="005C06BF">
        <w:t xml:space="preserve"> </w:t>
      </w:r>
      <w:r w:rsidR="00C024CA">
        <w:t xml:space="preserve">also </w:t>
      </w:r>
      <w:r w:rsidR="005C06BF">
        <w:t xml:space="preserve">be included in the </w:t>
      </w:r>
      <w:r w:rsidR="00DA5EA4">
        <w:t>file</w:t>
      </w:r>
      <w:r w:rsidR="005C06BF">
        <w:t xml:space="preserve"> provided to the judge) </w:t>
      </w:r>
      <w:r>
        <w:t xml:space="preserve">and to remedy the situation if it has not been. This may be particularly helpful in cases that go to trial, where there may be an extended period between when the charge is laid </w:t>
      </w:r>
      <w:r w:rsidR="009D7EF4">
        <w:t xml:space="preserve">by Police </w:t>
      </w:r>
      <w:r>
        <w:t>and when the offender is sentenced.</w:t>
      </w:r>
    </w:p>
    <w:p w14:paraId="4EB72AA5" w14:textId="149B00FE" w:rsidR="005900F0" w:rsidRDefault="005900F0" w:rsidP="003E75B9">
      <w:pPr>
        <w:pStyle w:val="BodyText"/>
        <w:numPr>
          <w:ilvl w:val="1"/>
          <w:numId w:val="31"/>
        </w:numPr>
        <w:ind w:hanging="709"/>
      </w:pPr>
      <w:r>
        <w:t xml:space="preserve">Second, the record of the court’s finding would assist Police </w:t>
      </w:r>
      <w:r w:rsidRPr="005C72F1">
        <w:t xml:space="preserve">when dealing with the same offender again in future. </w:t>
      </w:r>
      <w:r>
        <w:t>W</w:t>
      </w:r>
      <w:r w:rsidRPr="005C72F1">
        <w:t xml:space="preserve">hen a </w:t>
      </w:r>
      <w:r>
        <w:t xml:space="preserve">potential </w:t>
      </w:r>
      <w:r w:rsidRPr="005C72F1">
        <w:t xml:space="preserve">hate crime is reported to Police, </w:t>
      </w:r>
      <w:r>
        <w:t>the National Intelligence Application would show if a suspect</w:t>
      </w:r>
      <w:r w:rsidRPr="005C72F1">
        <w:t xml:space="preserve"> has previously been convicted of </w:t>
      </w:r>
      <w:r>
        <w:t>an offence that was found to be motivated by hostility</w:t>
      </w:r>
      <w:r w:rsidRPr="005C72F1">
        <w:t>.</w:t>
      </w:r>
      <w:r>
        <w:t xml:space="preserve"> This </w:t>
      </w:r>
      <w:r w:rsidR="0018107D">
        <w:t>w</w:t>
      </w:r>
      <w:r>
        <w:t>ould inform the triage process, which determines whether a report is investigated further</w:t>
      </w:r>
      <w:r w:rsidR="008D0EFC">
        <w:t>.</w:t>
      </w:r>
      <w:r>
        <w:t xml:space="preserve"> </w:t>
      </w:r>
      <w:r w:rsidR="008D0EFC">
        <w:t xml:space="preserve">It </w:t>
      </w:r>
      <w:r w:rsidR="001572F0">
        <w:t xml:space="preserve">would also </w:t>
      </w:r>
      <w:r w:rsidR="0018107D">
        <w:t>inform</w:t>
      </w:r>
      <w:r w:rsidR="008D0EFC">
        <w:t xml:space="preserve"> </w:t>
      </w:r>
      <w:r>
        <w:t>any ensuing investigation</w:t>
      </w:r>
      <w:r w:rsidR="001572F0">
        <w:t xml:space="preserve"> and</w:t>
      </w:r>
      <w:r>
        <w:t xml:space="preserve"> may be relevant when deciding whether to prosecute a </w:t>
      </w:r>
      <w:r w:rsidR="0018107D">
        <w:t>suspect</w:t>
      </w:r>
      <w:r>
        <w:t>.</w:t>
      </w:r>
      <w:r>
        <w:rPr>
          <w:rStyle w:val="FootnoteReference"/>
        </w:rPr>
        <w:footnoteReference w:id="483"/>
      </w:r>
      <w:r>
        <w:t xml:space="preserve"> If a suspect is charged, evidence of previous hostility-motivated offending could be provided to the prosecutor to </w:t>
      </w:r>
      <w:r w:rsidR="00C4652E">
        <w:t>inform</w:t>
      </w:r>
      <w:r>
        <w:t xml:space="preserve"> submissions on bail or sentencing</w:t>
      </w:r>
      <w:r w:rsidRPr="000E5D1D">
        <w:t>.</w:t>
      </w:r>
      <w:r>
        <w:t xml:space="preserve"> At all of these stages, information about previous hostility-motivated offending </w:t>
      </w:r>
      <w:r w:rsidR="0025072D">
        <w:t xml:space="preserve">would </w:t>
      </w:r>
      <w:r>
        <w:t>allow Police and prosecutors to establish any concerning patterns of behaviour on the part of the offender and to address them appropriately.</w:t>
      </w:r>
      <w:r w:rsidRPr="000E5D1D">
        <w:t xml:space="preserve"> </w:t>
      </w:r>
    </w:p>
    <w:p w14:paraId="63EBCB10" w14:textId="56C43D0F" w:rsidR="005900F0" w:rsidRDefault="005900F0" w:rsidP="003E75B9">
      <w:pPr>
        <w:pStyle w:val="BodyText"/>
        <w:numPr>
          <w:ilvl w:val="1"/>
          <w:numId w:val="31"/>
        </w:numPr>
        <w:ind w:hanging="709"/>
      </w:pPr>
      <w:r w:rsidRPr="000E5D1D">
        <w:t xml:space="preserve">Previous </w:t>
      </w:r>
      <w:r>
        <w:t>hostility</w:t>
      </w:r>
      <w:r w:rsidRPr="000E5D1D">
        <w:t xml:space="preserve">-motivated offending may also be relevant </w:t>
      </w:r>
      <w:r>
        <w:t xml:space="preserve">when determining </w:t>
      </w:r>
      <w:r w:rsidRPr="000E5D1D">
        <w:t>application</w:t>
      </w:r>
      <w:r>
        <w:t>s</w:t>
      </w:r>
      <w:r w:rsidRPr="000E5D1D">
        <w:t xml:space="preserve"> for firearms licen</w:t>
      </w:r>
      <w:r w:rsidR="00E517D6">
        <w:t>c</w:t>
      </w:r>
      <w:r w:rsidRPr="000E5D1D">
        <w:t>e</w:t>
      </w:r>
      <w:r>
        <w:t>s</w:t>
      </w:r>
      <w:r w:rsidRPr="000E5D1D">
        <w:t>.</w:t>
      </w:r>
      <w:r>
        <w:t xml:space="preserve"> Currently, Police is responsible for these decisions, although at the time of publication</w:t>
      </w:r>
      <w:r w:rsidR="00A3160F">
        <w:t>,</w:t>
      </w:r>
      <w:r>
        <w:t xml:space="preserve"> there is an Arms Bill before Parliament that would establish a new arms regulator.</w:t>
      </w:r>
      <w:r w:rsidR="00984518">
        <w:rPr>
          <w:rStyle w:val="FootnoteReference"/>
        </w:rPr>
        <w:footnoteReference w:id="484"/>
      </w:r>
      <w:r>
        <w:t xml:space="preserve"> The regulator would be an autonomous agency within Police with access to Police information.</w:t>
      </w:r>
      <w:r>
        <w:rPr>
          <w:rStyle w:val="FootnoteReference"/>
        </w:rPr>
        <w:footnoteReference w:id="485"/>
      </w:r>
      <w:r>
        <w:t xml:space="preserve"> Under both the current legislation and the Bill, one of the matters considered when assessing whether someone is a fit and proper person to possess a firearm is whether they have “</w:t>
      </w:r>
      <w:r w:rsidRPr="00650C56">
        <w:t>shown patterns of behaviour demonstrating a tendency to exhibit, encourage, or promote violence, hatred, or extremism</w:t>
      </w:r>
      <w:r>
        <w:t>”.</w:t>
      </w:r>
      <w:r>
        <w:rPr>
          <w:rStyle w:val="FootnoteReference"/>
        </w:rPr>
        <w:footnoteReference w:id="486"/>
      </w:r>
      <w:r>
        <w:t xml:space="preserve"> The existing Police flag for perceived hate crimes is already used as part of that assessment</w:t>
      </w:r>
      <w:r w:rsidR="00DF2052">
        <w:t>.</w:t>
      </w:r>
      <w:r>
        <w:rPr>
          <w:rStyle w:val="FootnoteReference"/>
        </w:rPr>
        <w:footnoteReference w:id="487"/>
      </w:r>
      <w:r>
        <w:t xml:space="preserve"> </w:t>
      </w:r>
      <w:r w:rsidR="00DF2052">
        <w:t>I</w:t>
      </w:r>
      <w:r w:rsidR="00017D8D">
        <w:t xml:space="preserve">f the regulator </w:t>
      </w:r>
      <w:r w:rsidR="00DF2052">
        <w:t xml:space="preserve">also </w:t>
      </w:r>
      <w:r w:rsidR="00017D8D">
        <w:t>had</w:t>
      </w:r>
      <w:r w:rsidR="00EC191C">
        <w:t xml:space="preserve"> </w:t>
      </w:r>
      <w:r>
        <w:t>information about any court finding</w:t>
      </w:r>
      <w:r w:rsidR="00414DA7">
        <w:t xml:space="preserve"> </w:t>
      </w:r>
      <w:r w:rsidR="00017D8D">
        <w:t>(as would be the case under our recommendation)</w:t>
      </w:r>
      <w:r w:rsidR="005D7EC3">
        <w:t>,</w:t>
      </w:r>
      <w:r w:rsidR="00017D8D">
        <w:t xml:space="preserve"> that</w:t>
      </w:r>
      <w:r>
        <w:t xml:space="preserve"> </w:t>
      </w:r>
      <w:r w:rsidR="0076107B">
        <w:t xml:space="preserve">would </w:t>
      </w:r>
      <w:r>
        <w:t xml:space="preserve">provide a more complete picture. While conviction for an imprisonable offence </w:t>
      </w:r>
      <w:r w:rsidR="00EE1AA0">
        <w:t>is</w:t>
      </w:r>
      <w:r>
        <w:t xml:space="preserve"> </w:t>
      </w:r>
      <w:r w:rsidR="0076107B">
        <w:t xml:space="preserve">automatically </w:t>
      </w:r>
      <w:r>
        <w:t>disqualifying in any event,</w:t>
      </w:r>
      <w:r>
        <w:rPr>
          <w:rStyle w:val="FootnoteReference"/>
        </w:rPr>
        <w:footnoteReference w:id="488"/>
      </w:r>
      <w:r>
        <w:t xml:space="preserve"> some summary offences are not punishable by imprisonment yet may nonetheless cause concern if they were motivated by hostility.</w:t>
      </w:r>
      <w:r>
        <w:rPr>
          <w:rStyle w:val="FootnoteReference"/>
        </w:rPr>
        <w:footnoteReference w:id="489"/>
      </w:r>
      <w:r>
        <w:t xml:space="preserve"> </w:t>
      </w:r>
    </w:p>
    <w:p w14:paraId="67DA1DD2" w14:textId="6A2DA28D" w:rsidR="005900F0" w:rsidRPr="005C72F1" w:rsidRDefault="005900F0" w:rsidP="003E75B9">
      <w:pPr>
        <w:pStyle w:val="BodyText"/>
        <w:numPr>
          <w:ilvl w:val="1"/>
          <w:numId w:val="31"/>
        </w:numPr>
        <w:ind w:hanging="709"/>
      </w:pPr>
      <w:r>
        <w:t>Having a</w:t>
      </w:r>
      <w:r w:rsidRPr="005C72F1">
        <w:t>c</w:t>
      </w:r>
      <w:r>
        <w:t>c</w:t>
      </w:r>
      <w:r w:rsidRPr="005C72F1">
        <w:t>ess to</w:t>
      </w:r>
      <w:r>
        <w:t xml:space="preserve"> court</w:t>
      </w:r>
      <w:r w:rsidRPr="005C72F1">
        <w:t xml:space="preserve"> </w:t>
      </w:r>
      <w:r>
        <w:t>information</w:t>
      </w:r>
      <w:r w:rsidRPr="005C72F1">
        <w:t xml:space="preserve"> </w:t>
      </w:r>
      <w:r>
        <w:t xml:space="preserve">about hostile motivation will therefore support Police </w:t>
      </w:r>
      <w:r w:rsidR="008F62DF">
        <w:t xml:space="preserve">(or a new arms regulator) </w:t>
      </w:r>
      <w:r>
        <w:t>to take steps to prevent further hate crimes — for example, by declining applications for firearms licen</w:t>
      </w:r>
      <w:r w:rsidR="009A6AA2">
        <w:t>c</w:t>
      </w:r>
      <w:r>
        <w:t xml:space="preserve">es in appropriate cases or prosecuting a person who might otherwise have been given a warning </w:t>
      </w:r>
      <w:r w:rsidR="00E70D73">
        <w:t xml:space="preserve">because </w:t>
      </w:r>
      <w:r>
        <w:t xml:space="preserve">they have shown a concerning pattern of hostility. </w:t>
      </w:r>
    </w:p>
    <w:p w14:paraId="35B6E88B" w14:textId="312AC997" w:rsidR="005900F0" w:rsidRDefault="005900F0" w:rsidP="003E75B9">
      <w:pPr>
        <w:pStyle w:val="BodyText"/>
        <w:numPr>
          <w:ilvl w:val="1"/>
          <w:numId w:val="31"/>
        </w:numPr>
        <w:ind w:hanging="709"/>
      </w:pPr>
      <w:r>
        <w:t xml:space="preserve">Third, data about case outcomes in the courts could be compared </w:t>
      </w:r>
      <w:r w:rsidR="00C95AC4">
        <w:t>to</w:t>
      </w:r>
      <w:r>
        <w:t xml:space="preserve"> Police’s own data. For example, comparing the Police </w:t>
      </w:r>
      <w:r w:rsidR="00E517D6">
        <w:t xml:space="preserve">perceived </w:t>
      </w:r>
      <w:r>
        <w:t xml:space="preserve">hate crime flag to the courts’ data would allow Police to monitor what proportion of </w:t>
      </w:r>
      <w:r w:rsidR="00D86FFD">
        <w:t>the alleged offences that have been</w:t>
      </w:r>
      <w:r>
        <w:t xml:space="preserve"> flagged as potential hate crimes are identified as such on the charging document and how they are treated by the courts at sentencing. This would assist Police in evaluating and improving its response to hate crime. </w:t>
      </w:r>
    </w:p>
    <w:p w14:paraId="4503DB83" w14:textId="77777777" w:rsidR="005900F0" w:rsidRPr="00FB7BD4" w:rsidRDefault="005900F0" w:rsidP="005900F0">
      <w:pPr>
        <w:pStyle w:val="Heading4"/>
      </w:pPr>
      <w:r>
        <w:t xml:space="preserve">Corrections </w:t>
      </w:r>
    </w:p>
    <w:p w14:paraId="40090137" w14:textId="20D525E3" w:rsidR="005900F0" w:rsidRDefault="005900F0" w:rsidP="003E75B9">
      <w:pPr>
        <w:pStyle w:val="BodyText"/>
        <w:numPr>
          <w:ilvl w:val="1"/>
          <w:numId w:val="31"/>
        </w:numPr>
        <w:ind w:hanging="709"/>
      </w:pPr>
      <w:r>
        <w:t>In Chapter 4</w:t>
      </w:r>
      <w:r w:rsidR="00EC6BBB">
        <w:t>,</w:t>
      </w:r>
      <w:r>
        <w:t xml:space="preserve"> we explained that Corrections has an important role in helping to reduce the occurrence of hate crimes by addressing offenders’ risks of reoffending through rehabilitation, taking precautions to prevent hate crimes against its own staff and other prisoners and supporting informed decisions about bail and parole. </w:t>
      </w:r>
      <w:r w:rsidR="00B82581">
        <w:t>Corrections</w:t>
      </w:r>
      <w:r>
        <w:t xml:space="preserve"> also provides information to </w:t>
      </w:r>
      <w:r w:rsidR="00B82581">
        <w:t xml:space="preserve">the courts to </w:t>
      </w:r>
      <w:r>
        <w:t xml:space="preserve">support sentencing decisions, helping to ensure that offenders are held accountable for their hostility. </w:t>
      </w:r>
    </w:p>
    <w:p w14:paraId="34805F8A" w14:textId="39D58094" w:rsidR="005900F0" w:rsidRDefault="005900F0" w:rsidP="003E75B9">
      <w:pPr>
        <w:pStyle w:val="BodyText"/>
        <w:numPr>
          <w:ilvl w:val="1"/>
          <w:numId w:val="31"/>
        </w:numPr>
        <w:ind w:hanging="709"/>
      </w:pPr>
      <w:r>
        <w:t xml:space="preserve">To fulfil these functions, Corrections needs to know if a prisoner on remand may have been motivated by hostility or if a convicted offender has been found by the court to be so motivated. Corrections told us that having information about a person’s alleged or proven hostile motivation would be helpful in </w:t>
      </w:r>
      <w:r w:rsidR="00A52B3A">
        <w:t xml:space="preserve">the following </w:t>
      </w:r>
      <w:r>
        <w:t>ways</w:t>
      </w:r>
      <w:r w:rsidR="00A52B3A">
        <w:t>:</w:t>
      </w:r>
    </w:p>
    <w:p w14:paraId="3BDE12B1" w14:textId="6CEA0ADA" w:rsidR="005900F0" w:rsidRDefault="005900F0" w:rsidP="003E75B9">
      <w:pPr>
        <w:pStyle w:val="BodyTextalphalist"/>
        <w:numPr>
          <w:ilvl w:val="3"/>
          <w:numId w:val="31"/>
        </w:numPr>
      </w:pPr>
      <w:r>
        <w:t xml:space="preserve">It would allow managers to avoid exposing staff who are members of the targeted group to the </w:t>
      </w:r>
      <w:r w:rsidR="0060487E">
        <w:t xml:space="preserve">prisoner or </w:t>
      </w:r>
      <w:r>
        <w:t xml:space="preserve">offender. Corrections noted it would be particularly helpful for this purpose to also have information about the group </w:t>
      </w:r>
      <w:r w:rsidR="00517313">
        <w:t>of people</w:t>
      </w:r>
      <w:r>
        <w:t xml:space="preserve"> </w:t>
      </w:r>
      <w:r w:rsidR="00517313">
        <w:t xml:space="preserve">alleged or found to have been </w:t>
      </w:r>
      <w:r>
        <w:t>targeted by the offending, which we discuss further below.</w:t>
      </w:r>
    </w:p>
    <w:p w14:paraId="517FD6CF" w14:textId="6E6FC6BB" w:rsidR="005900F0" w:rsidRDefault="005900F0" w:rsidP="003E75B9">
      <w:pPr>
        <w:pStyle w:val="BodyTextalphalist"/>
        <w:numPr>
          <w:ilvl w:val="3"/>
          <w:numId w:val="31"/>
        </w:numPr>
      </w:pPr>
      <w:r>
        <w:t xml:space="preserve">It would be helpful to know if an offence is alleged to be </w:t>
      </w:r>
      <w:r w:rsidR="003E2BE6">
        <w:t>hostility</w:t>
      </w:r>
      <w:r>
        <w:t xml:space="preserve">-motivated when preparing a report for the court on the suitability of bail with </w:t>
      </w:r>
      <w:r w:rsidR="00184DC4">
        <w:t>a</w:t>
      </w:r>
      <w:r>
        <w:t xml:space="preserve"> condition</w:t>
      </w:r>
      <w:r w:rsidR="00184DC4">
        <w:t xml:space="preserve"> for electronic monitoring</w:t>
      </w:r>
      <w:r>
        <w:t>.</w:t>
      </w:r>
      <w:r>
        <w:rPr>
          <w:rStyle w:val="FootnoteReference"/>
        </w:rPr>
        <w:footnoteReference w:id="490"/>
      </w:r>
      <w:r>
        <w:t xml:space="preserve"> For example, the report may recommend other bail conditions and refer to </w:t>
      </w:r>
      <w:r w:rsidR="007C3A6A">
        <w:t>Police’s</w:t>
      </w:r>
      <w:r>
        <w:t xml:space="preserve"> view on the application, including any reasons for opposing it.</w:t>
      </w:r>
    </w:p>
    <w:p w14:paraId="30609A1E" w14:textId="77777777" w:rsidR="005900F0" w:rsidRDefault="005900F0" w:rsidP="003E75B9">
      <w:pPr>
        <w:pStyle w:val="BodyTextalphalist"/>
        <w:numPr>
          <w:ilvl w:val="3"/>
          <w:numId w:val="31"/>
        </w:numPr>
      </w:pPr>
      <w:r>
        <w:t>It would assist prisons when deciding where to house a defendant who is remanded in custody or a convicted offender (including who they can safely be housed around).</w:t>
      </w:r>
    </w:p>
    <w:p w14:paraId="05053F5A" w14:textId="11680F27" w:rsidR="005900F0" w:rsidRDefault="005900F0" w:rsidP="003E75B9">
      <w:pPr>
        <w:pStyle w:val="BodyTextalphalist"/>
        <w:numPr>
          <w:ilvl w:val="3"/>
          <w:numId w:val="31"/>
        </w:numPr>
      </w:pPr>
      <w:r>
        <w:t xml:space="preserve">It may be relevant for probation officers </w:t>
      </w:r>
      <w:r w:rsidR="00503FF2">
        <w:t xml:space="preserve">when </w:t>
      </w:r>
      <w:r>
        <w:t xml:space="preserve">preparing pre-sentence reports. These </w:t>
      </w:r>
      <w:r w:rsidR="00F244B4">
        <w:t>reports</w:t>
      </w:r>
      <w:r>
        <w:t xml:space="preserve"> support sentencing decisions by the courts. They can include information about factors contributing to the offence and the rehabilitative needs of the offender and recommendations on the appropriate sentence.</w:t>
      </w:r>
      <w:r>
        <w:rPr>
          <w:rStyle w:val="FootnoteReference"/>
        </w:rPr>
        <w:footnoteReference w:id="491"/>
      </w:r>
      <w:r>
        <w:t xml:space="preserve"> We are aware of one case </w:t>
      </w:r>
      <w:r w:rsidR="00D42A13">
        <w:t xml:space="preserve">in which </w:t>
      </w:r>
      <w:r>
        <w:t>the pre-sentence report addressed hostile motivation.</w:t>
      </w:r>
      <w:r>
        <w:rPr>
          <w:rStyle w:val="FootnoteReference"/>
        </w:rPr>
        <w:footnoteReference w:id="492"/>
      </w:r>
    </w:p>
    <w:p w14:paraId="355C19FE" w14:textId="1F9E564C" w:rsidR="005900F0" w:rsidRDefault="005900F0" w:rsidP="003E75B9">
      <w:pPr>
        <w:pStyle w:val="BodyTextalphalist"/>
        <w:numPr>
          <w:ilvl w:val="3"/>
          <w:numId w:val="31"/>
        </w:numPr>
      </w:pPr>
      <w:r>
        <w:t>If an offender receives a Corrections</w:t>
      </w:r>
      <w:r w:rsidR="001978D7">
        <w:t>-managed</w:t>
      </w:r>
      <w:r>
        <w:t xml:space="preserve"> sentence</w:t>
      </w:r>
      <w:r w:rsidR="00E76633">
        <w:t xml:space="preserve"> (</w:t>
      </w:r>
      <w:r w:rsidR="00D513F9">
        <w:t xml:space="preserve">which includes </w:t>
      </w:r>
      <w:r w:rsidR="00E76633">
        <w:t>imprison</w:t>
      </w:r>
      <w:r w:rsidR="00CB5F03">
        <w:t xml:space="preserve">ment </w:t>
      </w:r>
      <w:r w:rsidR="00A4354C">
        <w:t>and</w:t>
      </w:r>
      <w:r w:rsidR="00CB5F03">
        <w:t xml:space="preserve"> community-based sentence</w:t>
      </w:r>
      <w:r w:rsidR="00A4354C">
        <w:t>s</w:t>
      </w:r>
      <w:r w:rsidR="00CB5F03">
        <w:t>)</w:t>
      </w:r>
      <w:r>
        <w:t xml:space="preserve">, hostile motivation may be relevant to risk management and rehabilitation. </w:t>
      </w:r>
    </w:p>
    <w:p w14:paraId="295DE4E4" w14:textId="173F4046" w:rsidR="005900F0" w:rsidRDefault="005900F0" w:rsidP="003E75B9">
      <w:pPr>
        <w:pStyle w:val="BodyTextalphalist"/>
        <w:numPr>
          <w:ilvl w:val="3"/>
          <w:numId w:val="31"/>
        </w:numPr>
      </w:pPr>
      <w:r>
        <w:t>Corrections provides the Parole Board with information about an offender’s convictions and a parole assessment report.</w:t>
      </w:r>
      <w:r>
        <w:rPr>
          <w:rStyle w:val="FootnoteReference"/>
        </w:rPr>
        <w:footnoteReference w:id="493"/>
      </w:r>
      <w:r>
        <w:t xml:space="preserve"> The report includes information about the offender’s assessed risk of reoffending, progress made during their sentence of imprisonment and proposed special release conditions.</w:t>
      </w:r>
      <w:r>
        <w:rPr>
          <w:rStyle w:val="FootnoteReference"/>
        </w:rPr>
        <w:footnoteReference w:id="494"/>
      </w:r>
      <w:r>
        <w:t xml:space="preserve"> The offender’s hostile motivation, and any progress made in addressing it, may be relevant to the Parole Board’s decision whether to release an offender and, if so, what conditions to impose.</w:t>
      </w:r>
    </w:p>
    <w:p w14:paraId="1222BA79" w14:textId="77777777" w:rsidR="005900F0" w:rsidRDefault="005900F0" w:rsidP="003E75B9">
      <w:pPr>
        <w:pStyle w:val="BodyTextalphalist"/>
        <w:numPr>
          <w:ilvl w:val="3"/>
          <w:numId w:val="31"/>
        </w:numPr>
      </w:pPr>
      <w:r>
        <w:t>An offender’s hostile motivation may be relevant to a health assessor’s report considered by</w:t>
      </w:r>
      <w:r w:rsidRPr="000D31A7">
        <w:t xml:space="preserve"> a court </w:t>
      </w:r>
      <w:r>
        <w:t>when</w:t>
      </w:r>
      <w:r w:rsidRPr="000D31A7">
        <w:t xml:space="preserve"> </w:t>
      </w:r>
      <w:r>
        <w:t>deciding</w:t>
      </w:r>
      <w:r w:rsidRPr="000D31A7">
        <w:t xml:space="preserve"> whether to impose </w:t>
      </w:r>
      <w:r>
        <w:t xml:space="preserve">a sentence of </w:t>
      </w:r>
      <w:r w:rsidRPr="000D31A7">
        <w:t>preventive detention, an extended supervision order or a public protection order.</w:t>
      </w:r>
      <w:r>
        <w:rPr>
          <w:rStyle w:val="FootnoteReference"/>
        </w:rPr>
        <w:footnoteReference w:id="495"/>
      </w:r>
      <w:r w:rsidRPr="000D31A7">
        <w:t xml:space="preserve"> </w:t>
      </w:r>
      <w:r>
        <w:t>The preparation of these reports is overseen by Corrections.</w:t>
      </w:r>
      <w:r>
        <w:rPr>
          <w:rStyle w:val="FootnoteReference"/>
        </w:rPr>
        <w:footnoteReference w:id="496"/>
      </w:r>
    </w:p>
    <w:p w14:paraId="59587DE9" w14:textId="20415755" w:rsidR="005900F0" w:rsidRDefault="005900F0" w:rsidP="00F545FF">
      <w:pPr>
        <w:pStyle w:val="BodyText"/>
        <w:numPr>
          <w:ilvl w:val="1"/>
          <w:numId w:val="31"/>
        </w:numPr>
        <w:ind w:hanging="709"/>
      </w:pPr>
      <w:r>
        <w:t xml:space="preserve">We agree that, for </w:t>
      </w:r>
      <w:r w:rsidRPr="00B8210B">
        <w:t>these</w:t>
      </w:r>
      <w:r>
        <w:t xml:space="preserve"> reasons, it </w:t>
      </w:r>
      <w:r w:rsidRPr="0011553C">
        <w:t>is</w:t>
      </w:r>
      <w:r>
        <w:t xml:space="preserve"> important for Corrections to have access to court information </w:t>
      </w:r>
      <w:r w:rsidR="00831D20">
        <w:t xml:space="preserve">showing that an offence </w:t>
      </w:r>
      <w:r w:rsidR="00613DE6">
        <w:t xml:space="preserve">is alleged or has been found by the court to have been motivated by hostility. </w:t>
      </w:r>
    </w:p>
    <w:p w14:paraId="32E33833" w14:textId="77777777" w:rsidR="005900F0" w:rsidRPr="00AB4116" w:rsidRDefault="005900F0" w:rsidP="005900F0">
      <w:pPr>
        <w:pStyle w:val="Heading3"/>
      </w:pPr>
      <w:r>
        <w:t>Recommendation</w:t>
      </w:r>
    </w:p>
    <w:p w14:paraId="51EFCD39" w14:textId="3ECB24AB" w:rsidR="005900F0" w:rsidRDefault="005B779A" w:rsidP="005900F0">
      <w:pPr>
        <w:pStyle w:val="RxRecommendationText"/>
        <w:numPr>
          <w:ilvl w:val="0"/>
          <w:numId w:val="0"/>
        </w:numPr>
        <w:ind w:left="993" w:hanging="851"/>
      </w:pPr>
      <w:r w:rsidRPr="00663187">
        <w:rPr>
          <w:b/>
          <w:noProof/>
        </w:rPr>
        <mc:AlternateContent>
          <mc:Choice Requires="wpg">
            <w:drawing>
              <wp:anchor distT="0" distB="0" distL="114300" distR="114300" simplePos="0" relativeHeight="251658309" behindDoc="1" locked="0" layoutInCell="1" allowOverlap="1" wp14:anchorId="7CB2AE1E" wp14:editId="5942FD17">
                <wp:simplePos x="0" y="0"/>
                <wp:positionH relativeFrom="margin">
                  <wp:posOffset>5715</wp:posOffset>
                </wp:positionH>
                <wp:positionV relativeFrom="paragraph">
                  <wp:posOffset>7942</wp:posOffset>
                </wp:positionV>
                <wp:extent cx="5759450" cy="1604513"/>
                <wp:effectExtent l="0" t="0" r="0" b="0"/>
                <wp:wrapNone/>
                <wp:docPr id="163536059" name="Group 163536059"/>
                <wp:cNvGraphicFramePr/>
                <a:graphic xmlns:a="http://schemas.openxmlformats.org/drawingml/2006/main">
                  <a:graphicData uri="http://schemas.microsoft.com/office/word/2010/wordprocessingGroup">
                    <wpg:wgp>
                      <wpg:cNvGrpSpPr/>
                      <wpg:grpSpPr>
                        <a:xfrm>
                          <a:off x="0" y="0"/>
                          <a:ext cx="5759450" cy="1604513"/>
                          <a:chOff x="-1" y="36583"/>
                          <a:chExt cx="5760000" cy="1605312"/>
                        </a:xfrm>
                      </wpg:grpSpPr>
                      <wps:wsp>
                        <wps:cNvPr id="1960965762" name="Freeform 51"/>
                        <wps:cNvSpPr>
                          <a:spLocks/>
                        </wps:cNvSpPr>
                        <wps:spPr bwMode="auto">
                          <a:xfrm>
                            <a:off x="-1" y="36583"/>
                            <a:ext cx="5760000" cy="160531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22C242" w14:textId="77777777" w:rsidR="005B779A" w:rsidRDefault="005B779A" w:rsidP="005B779A"/>
                            <w:p w14:paraId="1E83131A" w14:textId="77777777" w:rsidR="005B779A" w:rsidRDefault="005B779A" w:rsidP="005B779A"/>
                            <w:p w14:paraId="25809DF8" w14:textId="77777777" w:rsidR="005B779A" w:rsidRDefault="005B779A" w:rsidP="005B779A"/>
                            <w:p w14:paraId="5238FE8C" w14:textId="77777777" w:rsidR="005B779A" w:rsidRDefault="005B779A" w:rsidP="005B779A"/>
                            <w:p w14:paraId="6F8A1753" w14:textId="77777777" w:rsidR="005B779A" w:rsidRDefault="005B779A" w:rsidP="005B779A"/>
                            <w:p w14:paraId="1FADBC85" w14:textId="77777777" w:rsidR="005B779A" w:rsidRDefault="005B779A" w:rsidP="005B779A"/>
                          </w:txbxContent>
                        </wps:txbx>
                        <wps:bodyPr rot="0" vert="horz" wrap="square" lIns="91440" tIns="45720" rIns="91440" bIns="45720" anchor="t" anchorCtr="0" upright="1">
                          <a:noAutofit/>
                        </wps:bodyPr>
                      </wps:wsp>
                      <wpg:grpSp>
                        <wpg:cNvPr id="332103140" name="Group 332103140"/>
                        <wpg:cNvGrpSpPr/>
                        <wpg:grpSpPr>
                          <a:xfrm>
                            <a:off x="0" y="170822"/>
                            <a:ext cx="1282065" cy="297815"/>
                            <a:chOff x="0" y="0"/>
                            <a:chExt cx="1282672" cy="298450"/>
                          </a:xfrm>
                        </wpg:grpSpPr>
                        <wpg:grpSp>
                          <wpg:cNvPr id="677903807" name="Group 52"/>
                          <wpg:cNvGrpSpPr>
                            <a:grpSpLocks/>
                          </wpg:cNvGrpSpPr>
                          <wpg:grpSpPr bwMode="auto">
                            <a:xfrm>
                              <a:off x="172528" y="2540"/>
                              <a:ext cx="1110144" cy="1270"/>
                              <a:chOff x="1417" y="1374"/>
                              <a:chExt cx="1814" cy="2"/>
                            </a:xfrm>
                          </wpg:grpSpPr>
                          <wps:wsp>
                            <wps:cNvPr id="61228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335039" name="Group 54"/>
                          <wpg:cNvGrpSpPr>
                            <a:grpSpLocks/>
                          </wpg:cNvGrpSpPr>
                          <wpg:grpSpPr bwMode="auto">
                            <a:xfrm>
                              <a:off x="0" y="0"/>
                              <a:ext cx="492038" cy="298450"/>
                              <a:chOff x="1134" y="1366"/>
                              <a:chExt cx="804" cy="470"/>
                            </a:xfrm>
                          </wpg:grpSpPr>
                          <wps:wsp>
                            <wps:cNvPr id="14478963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60D69" w14:textId="77777777" w:rsidR="005B779A" w:rsidRPr="008D464F" w:rsidRDefault="005B779A" w:rsidP="005B779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CB2AE1E" id="Group 163536059" o:spid="_x0000_s1098" style="position:absolute;left:0;text-align:left;margin-left:.45pt;margin-top:.65pt;width:453.5pt;height:126.35pt;z-index:-251658171;mso-position-horizontal-relative:margin;mso-width-relative:margin;mso-height-relative:margin" coordorigin=",365" coordsize="57600,1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">
                <v:shape id="Freeform 51" o:spid="_x0000_s1099" style="position:absolute;top:365;width:57599;height:160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" adj="-11796480,,5400" path="m,l9354,r,1638l,1638,,e" fillcolor="#e2eaef" stroked="f">
                  <v:stroke joinstyle="round"/>
                  <v:formulas/>
                  <v:path arrowok="t" o:connecttype="custom" o:connectlocs="0,1032966;5760000,1032966;5760000,2638278;0,2638278;0,1032966" o:connectangles="0,0,0,0,0" textboxrect="0,0,9354,1638"/>
                  <v:textbox>
                    <w:txbxContent>
                      <w:p w14:paraId="2622C242" w14:textId="77777777" w:rsidR="005B779A" w:rsidRDefault="005B779A" w:rsidP="005B779A"/>
                      <w:p w14:paraId="1E83131A" w14:textId="77777777" w:rsidR="005B779A" w:rsidRDefault="005B779A" w:rsidP="005B779A"/>
                      <w:p w14:paraId="25809DF8" w14:textId="77777777" w:rsidR="005B779A" w:rsidRDefault="005B779A" w:rsidP="005B779A"/>
                      <w:p w14:paraId="5238FE8C" w14:textId="77777777" w:rsidR="005B779A" w:rsidRDefault="005B779A" w:rsidP="005B779A"/>
                      <w:p w14:paraId="6F8A1753" w14:textId="77777777" w:rsidR="005B779A" w:rsidRDefault="005B779A" w:rsidP="005B779A"/>
                      <w:p w14:paraId="1FADBC85" w14:textId="77777777" w:rsidR="005B779A" w:rsidRDefault="005B779A" w:rsidP="005B779A"/>
                    </w:txbxContent>
                  </v:textbox>
                </v:shape>
                <v:group id="Group 332103140" o:spid="_x0000_s110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">
                  <v:group id="Group 52" o:spid="_x0000_s11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">
                    <v:shape id="Freeform 53" o:spid="_x0000_s11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" path="m,l1815,e" filled="f" strokecolor="#5ca0b9" strokeweight=".5pt">
                      <v:path arrowok="t" o:connecttype="custom" o:connectlocs="0,0;1815,0" o:connectangles="0,0"/>
                    </v:shape>
                  </v:group>
                  <v:group id="Group 54" o:spid="_x0000_s11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">
                    <v:shape id="Freeform 55" o:spid="_x0000_s11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260D69" w14:textId="77777777" w:rsidR="005B779A" w:rsidRPr="008D464F" w:rsidRDefault="005B779A" w:rsidP="005B779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77A0F598" w14:textId="3B8029AA" w:rsidR="005900F0" w:rsidRDefault="005900F0" w:rsidP="005B779A">
      <w:pPr>
        <w:pStyle w:val="RxRecommendationText"/>
      </w:pPr>
      <w:r>
        <w:t xml:space="preserve">The courts should share the following information with Ngā Pirihimana o Aotearoa | New Zealand Police and Ara Poutama Aotearoa | Department of Corrections: </w:t>
      </w:r>
    </w:p>
    <w:p w14:paraId="74FACC04" w14:textId="7DF6CE0F" w:rsidR="005900F0" w:rsidRDefault="005900F0" w:rsidP="005900F0">
      <w:pPr>
        <w:pStyle w:val="aRecommendationText"/>
      </w:pPr>
      <w:r>
        <w:t xml:space="preserve">The fact that a charging document specifies </w:t>
      </w:r>
      <w:r w:rsidR="003814FA">
        <w:t xml:space="preserve">that </w:t>
      </w:r>
      <w:r>
        <w:t>section 9(1)(h) of the Sentencing Act</w:t>
      </w:r>
      <w:r w:rsidR="007D50F3">
        <w:t xml:space="preserve"> 2002</w:t>
      </w:r>
      <w:r>
        <w:t xml:space="preserve"> is alleged to apply to an offence</w:t>
      </w:r>
      <w:r w:rsidR="00062B3D">
        <w:t>.</w:t>
      </w:r>
    </w:p>
    <w:p w14:paraId="5471A2C6" w14:textId="77777777" w:rsidR="005900F0" w:rsidRPr="00A916C3" w:rsidRDefault="005900F0" w:rsidP="005900F0">
      <w:pPr>
        <w:pStyle w:val="aRecommendationText"/>
      </w:pPr>
      <w:r>
        <w:t>Any entry on the permanent court record of a determination by the court that section 9(1)(h) applies to an offence.</w:t>
      </w:r>
    </w:p>
    <w:p w14:paraId="267E605F" w14:textId="77777777" w:rsidR="005900F0" w:rsidRDefault="005900F0" w:rsidP="005900F0">
      <w:pPr>
        <w:pStyle w:val="BodyText"/>
        <w:numPr>
          <w:ilvl w:val="0"/>
          <w:numId w:val="0"/>
        </w:numPr>
        <w:ind w:left="709"/>
      </w:pPr>
    </w:p>
    <w:p w14:paraId="5943D934" w14:textId="360176E4" w:rsidR="005900F0" w:rsidRDefault="00927A8C" w:rsidP="003E75B9">
      <w:pPr>
        <w:pStyle w:val="BodyText"/>
        <w:numPr>
          <w:ilvl w:val="1"/>
          <w:numId w:val="31"/>
        </w:numPr>
        <w:ind w:hanging="709"/>
      </w:pPr>
      <w:r>
        <w:t>For the reasons discussed above, w</w:t>
      </w:r>
      <w:r w:rsidR="005900F0">
        <w:t>e recommend that court information about hostile motivation should be shared with Police and Corrections. This should include the fact that hostile motivation is alleged on the charging document and any record made by the court at sentencing confirming that section 9(1)(h) was</w:t>
      </w:r>
      <w:r w:rsidR="00127CB6">
        <w:t xml:space="preserve"> found to</w:t>
      </w:r>
      <w:r w:rsidR="005900F0">
        <w:t xml:space="preserve"> appl</w:t>
      </w:r>
      <w:r w:rsidR="00127CB6">
        <w:t>y</w:t>
      </w:r>
      <w:r w:rsidR="005900F0">
        <w:t xml:space="preserve">. </w:t>
      </w:r>
    </w:p>
    <w:p w14:paraId="1AF07EAD" w14:textId="77777777" w:rsidR="005900F0" w:rsidRDefault="005900F0" w:rsidP="005900F0">
      <w:pPr>
        <w:pStyle w:val="Heading4"/>
      </w:pPr>
      <w:r>
        <w:t>Legal basis for sharing court information</w:t>
      </w:r>
    </w:p>
    <w:p w14:paraId="17388413" w14:textId="3495F547" w:rsidR="005900F0" w:rsidRDefault="005900F0" w:rsidP="00F545FF">
      <w:pPr>
        <w:pStyle w:val="BodyText"/>
        <w:numPr>
          <w:ilvl w:val="1"/>
          <w:numId w:val="31"/>
        </w:numPr>
        <w:ind w:hanging="709"/>
      </w:pPr>
      <w:r w:rsidRPr="00021C1D">
        <w:t>Our understanding</w:t>
      </w:r>
      <w:r>
        <w:t>, based on our own analysis and preliminary feedback from the Office of the Privacy Commissioner,</w:t>
      </w:r>
      <w:r w:rsidRPr="00021C1D">
        <w:t xml:space="preserve"> is that records of the alleged or proven application of s</w:t>
      </w:r>
      <w:r>
        <w:t>ection</w:t>
      </w:r>
      <w:r w:rsidRPr="00021C1D">
        <w:t xml:space="preserve"> 9(1)(h) </w:t>
      </w:r>
      <w:r>
        <w:t>are likely to</w:t>
      </w:r>
      <w:r w:rsidRPr="00021C1D">
        <w:t xml:space="preserve"> fall within s</w:t>
      </w:r>
      <w:r>
        <w:t>ection</w:t>
      </w:r>
      <w:r w:rsidRPr="00021C1D">
        <w:t xml:space="preserve"> 172 and </w:t>
      </w:r>
      <w:r w:rsidR="00FB42C8">
        <w:t>S</w:t>
      </w:r>
      <w:r w:rsidRPr="00021C1D">
        <w:t>ch</w:t>
      </w:r>
      <w:r>
        <w:t>edule</w:t>
      </w:r>
      <w:r w:rsidRPr="00021C1D">
        <w:t xml:space="preserve"> 4 of the Privacy Act 2020. </w:t>
      </w:r>
      <w:r>
        <w:t xml:space="preserve">Those provisions authorise </w:t>
      </w:r>
      <w:r w:rsidRPr="00021C1D">
        <w:t>Police and Corrections to access court records relating to “</w:t>
      </w:r>
      <w:r>
        <w:t>c</w:t>
      </w:r>
      <w:r w:rsidRPr="00021C1D">
        <w:t xml:space="preserve">ourt document processing” (including </w:t>
      </w:r>
      <w:r>
        <w:t>“</w:t>
      </w:r>
      <w:r w:rsidRPr="00021C1D">
        <w:t>particulars of proceedings in respect of which informations are to be laid or charging documents filed</w:t>
      </w:r>
      <w:r>
        <w:t>”</w:t>
      </w:r>
      <w:r w:rsidRPr="00021C1D">
        <w:t>) and “</w:t>
      </w:r>
      <w:r>
        <w:t>d</w:t>
      </w:r>
      <w:r w:rsidRPr="00021C1D">
        <w:t xml:space="preserve">etails of hearings” (including </w:t>
      </w:r>
      <w:r>
        <w:t>“</w:t>
      </w:r>
      <w:r w:rsidRPr="00021C1D">
        <w:t>convictions, sentences, and all other matters ancillary and subsequent to a determination</w:t>
      </w:r>
      <w:r>
        <w:t>”</w:t>
      </w:r>
      <w:r w:rsidRPr="00021C1D">
        <w:t>).</w:t>
      </w:r>
      <w:r>
        <w:t xml:space="preserve"> </w:t>
      </w:r>
    </w:p>
    <w:p w14:paraId="6E2F7C7B" w14:textId="5E346CA1" w:rsidR="005900F0" w:rsidRDefault="005900F0" w:rsidP="00F545FF">
      <w:pPr>
        <w:pStyle w:val="BodyText"/>
        <w:numPr>
          <w:ilvl w:val="1"/>
          <w:numId w:val="31"/>
        </w:numPr>
        <w:ind w:hanging="709"/>
      </w:pPr>
      <w:r>
        <w:t xml:space="preserve">Accordingly, legislative amendment is unlikely to be required to enable the courts to share information about hostile motivation with Police and Corrections. However, the Office of the Privacy Commissioner indicated </w:t>
      </w:r>
      <w:r w:rsidR="0019074E">
        <w:t>that</w:t>
      </w:r>
      <w:r>
        <w:t xml:space="preserve"> it would need to consider further</w:t>
      </w:r>
      <w:r w:rsidRPr="00C1487D">
        <w:t xml:space="preserve"> how the proposal would fit with </w:t>
      </w:r>
      <w:r w:rsidR="00E14183">
        <w:t>S</w:t>
      </w:r>
      <w:r w:rsidRPr="00C1487D">
        <w:t xml:space="preserve">chedule 4 of the Privacy Act </w:t>
      </w:r>
      <w:r>
        <w:t>if our recommendation is accepted.</w:t>
      </w:r>
    </w:p>
    <w:p w14:paraId="2EC761A3" w14:textId="77777777" w:rsidR="005900F0" w:rsidRDefault="005900F0" w:rsidP="005900F0">
      <w:pPr>
        <w:pStyle w:val="Heading4"/>
      </w:pPr>
      <w:r>
        <w:t>Implementation</w:t>
      </w:r>
    </w:p>
    <w:p w14:paraId="31F973DF" w14:textId="7D98E233" w:rsidR="005900F0" w:rsidRDefault="005900F0" w:rsidP="003E75B9">
      <w:pPr>
        <w:pStyle w:val="BodyText"/>
        <w:numPr>
          <w:ilvl w:val="1"/>
          <w:numId w:val="31"/>
        </w:numPr>
        <w:ind w:hanging="709"/>
      </w:pPr>
      <w:r>
        <w:t xml:space="preserve">In relation to Police, we understand that information about criminal proceedings entered in the courts’ Case Management System can also be viewed in the Police National Intelligence Application and is automatically updated. However, some changes to both the Case Management System and </w:t>
      </w:r>
      <w:r w:rsidR="00F82FA7">
        <w:t xml:space="preserve">the </w:t>
      </w:r>
      <w:r>
        <w:t>National Intelligence Application may be required to ensure this new information is included. Funding would need to be allocated to implement any necessary changes.</w:t>
      </w:r>
    </w:p>
    <w:p w14:paraId="49DEFAB1" w14:textId="71637797" w:rsidR="005900F0" w:rsidRDefault="005900F0" w:rsidP="003E75B9">
      <w:pPr>
        <w:pStyle w:val="BodyText"/>
        <w:numPr>
          <w:ilvl w:val="1"/>
          <w:numId w:val="31"/>
        </w:numPr>
        <w:ind w:hanging="709"/>
      </w:pPr>
      <w:r>
        <w:t xml:space="preserve">Unlike Police, Corrections does not automatically receive information from the courts’ Case Management System. Instead, the courts provide specific information about a defendant or offender to Corrections when </w:t>
      </w:r>
      <w:r w:rsidR="009B7EFC">
        <w:t>that information</w:t>
      </w:r>
      <w:r>
        <w:t xml:space="preserve"> is required. For example, this occurs when the courts request an electronically</w:t>
      </w:r>
      <w:r w:rsidR="009A10AA">
        <w:t xml:space="preserve"> </w:t>
      </w:r>
      <w:r>
        <w:t xml:space="preserve">monitored bail report or pre-sentence report, issue a warrant to detain a defendant on remand or to commit a person sentenced to imprisonment or impose another type of Corrections-managed sentence (such as </w:t>
      </w:r>
      <w:r w:rsidR="00C64EC8">
        <w:t xml:space="preserve">a </w:t>
      </w:r>
      <w:r>
        <w:t>community-based sentence). We recommend that</w:t>
      </w:r>
      <w:r w:rsidR="00AC6CE9">
        <w:t>,</w:t>
      </w:r>
      <w:r>
        <w:t xml:space="preserve"> </w:t>
      </w:r>
      <w:r w:rsidR="004C7D8E">
        <w:t xml:space="preserve">when </w:t>
      </w:r>
      <w:r>
        <w:t xml:space="preserve">the courts provide information </w:t>
      </w:r>
      <w:r w:rsidR="007240C9">
        <w:t xml:space="preserve">to Corrections about a charge or conviction, </w:t>
      </w:r>
      <w:r w:rsidR="00DE0700">
        <w:t xml:space="preserve">any record </w:t>
      </w:r>
      <w:r w:rsidR="00382398">
        <w:t>that the offence is</w:t>
      </w:r>
      <w:r w:rsidR="00DE0700">
        <w:t xml:space="preserve"> </w:t>
      </w:r>
      <w:r>
        <w:t xml:space="preserve">alleged or </w:t>
      </w:r>
      <w:r w:rsidR="00C94E4A">
        <w:t>has been found to be</w:t>
      </w:r>
      <w:r w:rsidR="00382398">
        <w:t xml:space="preserve"> motivated by hostility </w:t>
      </w:r>
      <w:r w:rsidR="00DE0700">
        <w:t>should be provided as well</w:t>
      </w:r>
      <w:r>
        <w:t>. There should also be a mechanism for updating Corrections if the</w:t>
      </w:r>
      <w:r w:rsidR="000372AF">
        <w:t xml:space="preserve"> court hate crime</w:t>
      </w:r>
      <w:r>
        <w:t xml:space="preserve"> flag is removed (for example, if it was applied in error)</w:t>
      </w:r>
      <w:r w:rsidR="00F86B33">
        <w:t xml:space="preserve"> or added</w:t>
      </w:r>
      <w:r>
        <w:t xml:space="preserve">. Again, some changes to both </w:t>
      </w:r>
      <w:r w:rsidR="00EB19C9">
        <w:t xml:space="preserve">the </w:t>
      </w:r>
      <w:r>
        <w:t>courts</w:t>
      </w:r>
      <w:r w:rsidR="00EB19C9">
        <w:t>’</w:t>
      </w:r>
      <w:r>
        <w:t xml:space="preserve"> and Corrections</w:t>
      </w:r>
      <w:r w:rsidR="00EB19C9">
        <w:t>’</w:t>
      </w:r>
      <w:r>
        <w:t xml:space="preserve"> IT systems would be required to achieve this and funding would need to be allocated for that purpose.</w:t>
      </w:r>
    </w:p>
    <w:p w14:paraId="0A44397D" w14:textId="1907C2FA" w:rsidR="005900F0" w:rsidRPr="00000E8F" w:rsidRDefault="003C0CB4" w:rsidP="005900F0">
      <w:pPr>
        <w:pStyle w:val="Heading2"/>
      </w:pPr>
      <w:bookmarkStart w:id="141" w:name="_Toc231467850"/>
      <w:r w:rsidRPr="00663187">
        <w:rPr>
          <w:b w:val="0"/>
          <w:noProof/>
        </w:rPr>
        <mc:AlternateContent>
          <mc:Choice Requires="wpg">
            <w:drawing>
              <wp:anchor distT="0" distB="0" distL="114300" distR="114300" simplePos="0" relativeHeight="251658310" behindDoc="1" locked="0" layoutInCell="1" allowOverlap="1" wp14:anchorId="0E74DC9A" wp14:editId="1DDA4AF2">
                <wp:simplePos x="0" y="0"/>
                <wp:positionH relativeFrom="margin">
                  <wp:posOffset>6350</wp:posOffset>
                </wp:positionH>
                <wp:positionV relativeFrom="paragraph">
                  <wp:posOffset>527363</wp:posOffset>
                </wp:positionV>
                <wp:extent cx="5759450" cy="1121410"/>
                <wp:effectExtent l="0" t="0" r="0" b="2540"/>
                <wp:wrapNone/>
                <wp:docPr id="967925657" name="Group 967925657"/>
                <wp:cNvGraphicFramePr/>
                <a:graphic xmlns:a="http://schemas.openxmlformats.org/drawingml/2006/main">
                  <a:graphicData uri="http://schemas.microsoft.com/office/word/2010/wordprocessingGroup">
                    <wpg:wgp>
                      <wpg:cNvGrpSpPr/>
                      <wpg:grpSpPr>
                        <a:xfrm>
                          <a:off x="0" y="0"/>
                          <a:ext cx="5759450" cy="1121410"/>
                          <a:chOff x="-1" y="36584"/>
                          <a:chExt cx="5760000" cy="1121992"/>
                        </a:xfrm>
                      </wpg:grpSpPr>
                      <wps:wsp>
                        <wps:cNvPr id="1324125089" name="Freeform 51"/>
                        <wps:cNvSpPr>
                          <a:spLocks/>
                        </wps:cNvSpPr>
                        <wps:spPr bwMode="auto">
                          <a:xfrm>
                            <a:off x="-1" y="36584"/>
                            <a:ext cx="5760000" cy="112199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69EFD0" w14:textId="77777777" w:rsidR="005B779A" w:rsidRDefault="005B779A" w:rsidP="005B779A"/>
                            <w:p w14:paraId="1821D9D4" w14:textId="77777777" w:rsidR="005B779A" w:rsidRDefault="005B779A" w:rsidP="005B779A"/>
                            <w:p w14:paraId="65AE56A1" w14:textId="77777777" w:rsidR="005B779A" w:rsidRDefault="005B779A" w:rsidP="005B779A"/>
                            <w:p w14:paraId="6C3E5CAA" w14:textId="77777777" w:rsidR="005B779A" w:rsidRDefault="005B779A" w:rsidP="005B779A"/>
                            <w:p w14:paraId="2F75E177" w14:textId="77777777" w:rsidR="005B779A" w:rsidRDefault="005B779A" w:rsidP="005B779A"/>
                            <w:p w14:paraId="585767DF" w14:textId="77777777" w:rsidR="005B779A" w:rsidRDefault="005B779A" w:rsidP="005B779A"/>
                          </w:txbxContent>
                        </wps:txbx>
                        <wps:bodyPr rot="0" vert="horz" wrap="square" lIns="91440" tIns="45720" rIns="91440" bIns="45720" anchor="t" anchorCtr="0" upright="1">
                          <a:noAutofit/>
                        </wps:bodyPr>
                      </wps:wsp>
                      <wpg:grpSp>
                        <wpg:cNvPr id="1459454629" name="Group 1459454629"/>
                        <wpg:cNvGrpSpPr/>
                        <wpg:grpSpPr>
                          <a:xfrm>
                            <a:off x="0" y="170822"/>
                            <a:ext cx="1282065" cy="297815"/>
                            <a:chOff x="0" y="0"/>
                            <a:chExt cx="1282672" cy="298450"/>
                          </a:xfrm>
                        </wpg:grpSpPr>
                        <wpg:grpSp>
                          <wpg:cNvPr id="1323368729" name="Group 52"/>
                          <wpg:cNvGrpSpPr>
                            <a:grpSpLocks/>
                          </wpg:cNvGrpSpPr>
                          <wpg:grpSpPr bwMode="auto">
                            <a:xfrm>
                              <a:off x="172528" y="2540"/>
                              <a:ext cx="1110144" cy="1270"/>
                              <a:chOff x="1417" y="1374"/>
                              <a:chExt cx="1814" cy="2"/>
                            </a:xfrm>
                          </wpg:grpSpPr>
                          <wps:wsp>
                            <wps:cNvPr id="5911848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214254" name="Group 54"/>
                          <wpg:cNvGrpSpPr>
                            <a:grpSpLocks/>
                          </wpg:cNvGrpSpPr>
                          <wpg:grpSpPr bwMode="auto">
                            <a:xfrm>
                              <a:off x="0" y="0"/>
                              <a:ext cx="492038" cy="298450"/>
                              <a:chOff x="1134" y="1366"/>
                              <a:chExt cx="804" cy="470"/>
                            </a:xfrm>
                          </wpg:grpSpPr>
                          <wps:wsp>
                            <wps:cNvPr id="14772622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38C774" w14:textId="77777777" w:rsidR="005B779A" w:rsidRPr="008D464F" w:rsidRDefault="005B779A" w:rsidP="005B779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E74DC9A" id="Group 967925657" o:spid="_x0000_s1105" style="position:absolute;margin-left:.5pt;margin-top:41.5pt;width:453.5pt;height:88.3pt;z-index:-251658170;mso-position-horizontal-relative:margin;mso-width-relative:margin;mso-height-relative:margin" coordorigin=",365" coordsize="57600,1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">
                <v:shape id="Freeform 51" o:spid="_x0000_s1106" style="position:absolute;top:365;width:57599;height:1122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" adj="-11796480,,5400" path="m,l9354,r,1638l,1638,,e" fillcolor="#e2eaef" stroked="f">
                  <v:stroke joinstyle="round"/>
                  <v:formulas/>
                  <v:path arrowok="t" o:connecttype="custom" o:connectlocs="0,721966;5760000,721966;5760000,1843958;0,1843958;0,721966" o:connectangles="0,0,0,0,0" textboxrect="0,0,9354,1638"/>
                  <v:textbox>
                    <w:txbxContent>
                      <w:p w14:paraId="4169EFD0" w14:textId="77777777" w:rsidR="005B779A" w:rsidRDefault="005B779A" w:rsidP="005B779A"/>
                      <w:p w14:paraId="1821D9D4" w14:textId="77777777" w:rsidR="005B779A" w:rsidRDefault="005B779A" w:rsidP="005B779A"/>
                      <w:p w14:paraId="65AE56A1" w14:textId="77777777" w:rsidR="005B779A" w:rsidRDefault="005B779A" w:rsidP="005B779A"/>
                      <w:p w14:paraId="6C3E5CAA" w14:textId="77777777" w:rsidR="005B779A" w:rsidRDefault="005B779A" w:rsidP="005B779A"/>
                      <w:p w14:paraId="2F75E177" w14:textId="77777777" w:rsidR="005B779A" w:rsidRDefault="005B779A" w:rsidP="005B779A"/>
                      <w:p w14:paraId="585767DF" w14:textId="77777777" w:rsidR="005B779A" w:rsidRDefault="005B779A" w:rsidP="005B779A"/>
                    </w:txbxContent>
                  </v:textbox>
                </v:shape>
                <v:group id="Group 1459454629" o:spid="_x0000_s110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">
                  <v:group id="Group 52" o:spid="_x0000_s11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">
                    <v:shape id="Freeform 53" o:spid="_x0000_s11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" path="m,l1815,e" filled="f" strokecolor="#5ca0b9" strokeweight=".5pt">
                      <v:path arrowok="t" o:connecttype="custom" o:connectlocs="0,0;1815,0" o:connectangles="0,0"/>
                    </v:shape>
                  </v:group>
                  <v:group id="Group 54" o:spid="_x0000_s11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">
                    <v:shape id="Freeform 55" o:spid="_x0000_s11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C38C774" w14:textId="77777777" w:rsidR="005B779A" w:rsidRPr="008D464F" w:rsidRDefault="005B779A" w:rsidP="005B779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900F0">
        <w:t>Recording additional information about the targeted group</w:t>
      </w:r>
      <w:bookmarkEnd w:id="141"/>
    </w:p>
    <w:p w14:paraId="32DF73CB" w14:textId="1851E696" w:rsidR="005B779A" w:rsidRDefault="005B779A" w:rsidP="005B779A">
      <w:pPr>
        <w:pStyle w:val="RxRecommendationText"/>
        <w:numPr>
          <w:ilvl w:val="0"/>
          <w:numId w:val="0"/>
        </w:numPr>
        <w:ind w:left="993"/>
      </w:pPr>
    </w:p>
    <w:p w14:paraId="765E1413" w14:textId="16598731" w:rsidR="005900F0" w:rsidRPr="000B029A" w:rsidRDefault="005900F0" w:rsidP="004D6FD3">
      <w:pPr>
        <w:pStyle w:val="RxRecommendationText"/>
      </w:pPr>
      <w:r>
        <w:t>The recording and sharing of information by the courts in accordance with r</w:t>
      </w:r>
      <w:r w:rsidRPr="00BA4A29">
        <w:t>ecommendations R1</w:t>
      </w:r>
      <w:r w:rsidRPr="004E6F34">
        <w:rPr>
          <w:rFonts w:cs="Calibri"/>
        </w:rPr>
        <w:t xml:space="preserve">(c) and R2 should also include </w:t>
      </w:r>
      <w:r w:rsidRPr="00BA4A29">
        <w:t>information</w:t>
      </w:r>
      <w:r>
        <w:t xml:space="preserve"> about the characteristic(s) and group(s) of people targeted by the offending if it is technically </w:t>
      </w:r>
      <w:r w:rsidRPr="000B029A">
        <w:t>feasible to record that information.</w:t>
      </w:r>
    </w:p>
    <w:p w14:paraId="1235086D" w14:textId="77777777" w:rsidR="005900F0" w:rsidRDefault="005900F0" w:rsidP="005900F0">
      <w:pPr>
        <w:pStyle w:val="BodyText"/>
        <w:numPr>
          <w:ilvl w:val="0"/>
          <w:numId w:val="0"/>
        </w:numPr>
      </w:pPr>
    </w:p>
    <w:p w14:paraId="17910A41" w14:textId="16436751" w:rsidR="005900F0" w:rsidRPr="000B029A" w:rsidRDefault="005900F0" w:rsidP="00F545FF">
      <w:pPr>
        <w:pStyle w:val="BodyText"/>
        <w:numPr>
          <w:ilvl w:val="1"/>
          <w:numId w:val="31"/>
        </w:numPr>
        <w:ind w:hanging="709"/>
      </w:pPr>
      <w:r w:rsidRPr="000B029A">
        <w:t>We recommend that, when the court is recording the application of the aggravating factor on the permanent court record, they should also be required to include information about the characteristics and groups of people targeted (for example</w:t>
      </w:r>
      <w:r w:rsidR="00BD7DFA">
        <w:t>,</w:t>
      </w:r>
      <w:r w:rsidRPr="000B029A">
        <w:t xml:space="preserve"> “Religion </w:t>
      </w:r>
      <w:r w:rsidR="00BD7DFA">
        <w:t>—</w:t>
      </w:r>
      <w:r w:rsidRPr="000B029A">
        <w:t xml:space="preserve"> Muslim”) if it is technically feasible to do so. Also, if that additional information is able to be recorded, it should be shared with Police and Corrections.</w:t>
      </w:r>
    </w:p>
    <w:p w14:paraId="32430C1F" w14:textId="446773DF" w:rsidR="005900F0" w:rsidRPr="000B029A" w:rsidRDefault="005900F0" w:rsidP="003E75B9">
      <w:pPr>
        <w:pStyle w:val="BodyText"/>
        <w:numPr>
          <w:ilvl w:val="1"/>
          <w:numId w:val="31"/>
        </w:numPr>
        <w:ind w:hanging="709"/>
      </w:pPr>
      <w:r w:rsidRPr="000B029A">
        <w:t xml:space="preserve">Similar information is included in Police records of </w:t>
      </w:r>
      <w:r w:rsidR="00FB5E94">
        <w:t>perceived</w:t>
      </w:r>
      <w:r w:rsidRPr="000B029A">
        <w:t xml:space="preserve"> hate crimes. Including it in court data would provide more accurate information about hate crime trends to support policy and operational decisions. It could also be helpful for the courts, Police and Corrections when dealing with the offender in future, by showing if there is a consistent pattern of hostility toward</w:t>
      </w:r>
      <w:r w:rsidR="00E80DA7">
        <w:t>s</w:t>
      </w:r>
      <w:r w:rsidRPr="000B029A">
        <w:t xml:space="preserve"> a particular group. If shared with Corrections, this information would help to ensure the safety of staff and other prisoners by identifying groups of people who should not be placed in contact with the offender.</w:t>
      </w:r>
    </w:p>
    <w:p w14:paraId="5134D70E" w14:textId="5B744679" w:rsidR="005900F0" w:rsidRDefault="005900F0" w:rsidP="003E75B9">
      <w:pPr>
        <w:pStyle w:val="BodyText"/>
        <w:numPr>
          <w:ilvl w:val="1"/>
          <w:numId w:val="31"/>
        </w:numPr>
        <w:ind w:hanging="709"/>
      </w:pPr>
      <w:r w:rsidRPr="000B029A">
        <w:t xml:space="preserve">Information about the relevant characteristics and groups targeted should already be included in evidence provided to the court and in the court’s sentencing notes, since it is relevant to whether the aggravating factor applies. Including it on the permanent court record would make it more accessible and allow it to be used for data purposes. Additionally, requiring the court to record characteristics and groups would support clearer analysis of the basis of the offender’s hostility and the application of the aggravating factor. </w:t>
      </w:r>
    </w:p>
    <w:p w14:paraId="732B0D19" w14:textId="77777777" w:rsidR="005900F0" w:rsidRPr="000B029A" w:rsidRDefault="005900F0" w:rsidP="005900F0">
      <w:pPr>
        <w:pStyle w:val="Heading3"/>
      </w:pPr>
      <w:r>
        <w:t>Implementation</w:t>
      </w:r>
    </w:p>
    <w:p w14:paraId="55A27031" w14:textId="77777777" w:rsidR="005900F0" w:rsidRPr="000B029A" w:rsidRDefault="005900F0" w:rsidP="003E75B9">
      <w:pPr>
        <w:pStyle w:val="BodyText"/>
        <w:numPr>
          <w:ilvl w:val="1"/>
          <w:numId w:val="31"/>
        </w:numPr>
        <w:ind w:hanging="709"/>
      </w:pPr>
      <w:r w:rsidRPr="000B029A">
        <w:t>As with the application of the aggravating factor, Police could be prompted to enter information about the characteristics and groups of people allegedly targeted on the charging document when filing charges. The court would then confirm or amend that information as appropriate if the aggravating factor is applied at sentencing. It should be possible to record more than one characteristic and group, as some victims may be targeted based on more than one aspect of their identity</w:t>
      </w:r>
      <w:r>
        <w:t xml:space="preserve"> (for example, because they are a Muslim woman)</w:t>
      </w:r>
      <w:r w:rsidRPr="000B029A">
        <w:t>.</w:t>
      </w:r>
    </w:p>
    <w:p w14:paraId="53B6E83C" w14:textId="48A60E8C" w:rsidR="005900F0" w:rsidRDefault="005900F0" w:rsidP="003E75B9">
      <w:pPr>
        <w:pStyle w:val="BodyText"/>
        <w:numPr>
          <w:ilvl w:val="1"/>
          <w:numId w:val="31"/>
        </w:numPr>
        <w:ind w:hanging="709"/>
      </w:pPr>
      <w:r w:rsidRPr="000B029A">
        <w:t xml:space="preserve">We acknowledge that it could be difficult to record this level of detail </w:t>
      </w:r>
      <w:r w:rsidR="004C53E1">
        <w:t>under</w:t>
      </w:r>
      <w:r w:rsidR="004C53E1" w:rsidRPr="000B029A">
        <w:t xml:space="preserve"> </w:t>
      </w:r>
      <w:r w:rsidRPr="000B029A">
        <w:t xml:space="preserve">the current paper-based system. For the information to be recorded in a consistent and helpful way, the charging document would need to include various categories that could be selected, preferably in line with the categories used by Police to allow comparisons of the data. For example, when </w:t>
      </w:r>
      <w:r>
        <w:t>p</w:t>
      </w:r>
      <w:r w:rsidRPr="000B029A">
        <w:t>olice officers record perceived hate crimes</w:t>
      </w:r>
      <w:r w:rsidR="000D2D50">
        <w:t>,</w:t>
      </w:r>
      <w:r w:rsidRPr="000B029A">
        <w:t xml:space="preserve"> they select from 17 different groups under the “race/ethnicity” characteristic (such as South Asian, Māori and Pasifika). Including all these categories could make the physical charging document unwieldy. The Ministry of Justice suggested that recording the characteristics and groups targeted could become easier after case management is digitised. We agree and suggest that the feasibility of recording this additional information be assessed in that context. For example, it may be that categories could be selected from drop</w:t>
      </w:r>
      <w:r w:rsidR="006849DF">
        <w:t>-</w:t>
      </w:r>
      <w:r w:rsidRPr="000B029A">
        <w:t xml:space="preserve">down lists on the digital platforms used by Police to file charges and by judges to record their decisions at sentencing. </w:t>
      </w:r>
    </w:p>
    <w:p w14:paraId="2AF816DF" w14:textId="77777777" w:rsidR="005900F0" w:rsidRPr="000B029A" w:rsidRDefault="005900F0" w:rsidP="005900F0">
      <w:pPr>
        <w:pStyle w:val="Heading3"/>
      </w:pPr>
      <w:r>
        <w:t>Protecting victims</w:t>
      </w:r>
    </w:p>
    <w:p w14:paraId="0A923105" w14:textId="77777777" w:rsidR="005900F0" w:rsidRDefault="005900F0" w:rsidP="003E75B9">
      <w:pPr>
        <w:pStyle w:val="BodyText"/>
        <w:numPr>
          <w:ilvl w:val="1"/>
          <w:numId w:val="31"/>
        </w:numPr>
        <w:ind w:hanging="709"/>
      </w:pPr>
      <w:r>
        <w:t>If information about the characteristics and groups targeted is recorded, access to that information or the identity of the victim may need to be restricted in certain cases. By default, any person can access information on the permanent court record on request.</w:t>
      </w:r>
      <w:r>
        <w:rPr>
          <w:rStyle w:val="FootnoteReference"/>
        </w:rPr>
        <w:footnoteReference w:id="497"/>
      </w:r>
      <w:r>
        <w:t xml:space="preserve"> There may be cases where disclosure of the characteristics or groups targeted, along with the victim’s identity, would cause harm to the victim — for example, if they are gay and have not made that fact public. Similar issues could arise if that information is referred to in the court’s oral reasons for imposing a sentence (which must be given in a court room open to the public)</w:t>
      </w:r>
      <w:r>
        <w:rPr>
          <w:rStyle w:val="FootnoteReference"/>
        </w:rPr>
        <w:footnoteReference w:id="498"/>
      </w:r>
      <w:r>
        <w:t xml:space="preserve"> and in the recorded sentencing notes (which are generally available to the public on request).</w:t>
      </w:r>
      <w:r>
        <w:rPr>
          <w:rStyle w:val="FootnoteReference"/>
        </w:rPr>
        <w:footnoteReference w:id="499"/>
      </w:r>
      <w:r>
        <w:t xml:space="preserve"> </w:t>
      </w:r>
    </w:p>
    <w:p w14:paraId="256F55A6" w14:textId="743E9136" w:rsidR="005900F0" w:rsidRDefault="005900F0" w:rsidP="003E75B9">
      <w:pPr>
        <w:pStyle w:val="BodyText"/>
        <w:numPr>
          <w:ilvl w:val="1"/>
          <w:numId w:val="31"/>
        </w:numPr>
        <w:ind w:hanging="709"/>
      </w:pPr>
      <w:r>
        <w:t>There are exceptions to the general rules concerning access to court information. Certain documents can only be accessed with the permission of a judge such as documents identifying a person with name suppression.</w:t>
      </w:r>
      <w:r>
        <w:rPr>
          <w:rStyle w:val="FootnoteReference"/>
        </w:rPr>
        <w:footnoteReference w:id="500"/>
      </w:r>
      <w:r>
        <w:t xml:space="preserve"> Where there is concern about associating the victim with the relevant characteristic or group, one option may be for the court to grant the victim name suppression.</w:t>
      </w:r>
      <w:r>
        <w:rPr>
          <w:rStyle w:val="FootnoteReference"/>
        </w:rPr>
        <w:footnoteReference w:id="501"/>
      </w:r>
      <w:r>
        <w:t xml:space="preserve"> That would allow the court to discuss the characteristic and group targeted by the offending at sentencing, enhancing denunciation and recognising the harm caused to the affected group, without implicating the victim. It would also help to address concerns about access to the permanent court record, as access would only be available with a judge’s permission. Alternatively, a specific exception to the general access rules could be added for documents recording the application of section 9(1)(h) so that a judge would consider access requests and could decline them if appropriate.</w:t>
      </w:r>
      <w:r>
        <w:rPr>
          <w:rStyle w:val="FootnoteReference"/>
        </w:rPr>
        <w:footnoteReference w:id="502"/>
      </w:r>
    </w:p>
    <w:p w14:paraId="3B358A10" w14:textId="7A78DCFE" w:rsidR="005900F0" w:rsidRDefault="005900F0" w:rsidP="005900F0">
      <w:pPr>
        <w:pStyle w:val="Heading2"/>
      </w:pPr>
      <w:bookmarkStart w:id="142" w:name="_Toc231467851"/>
      <w:r>
        <w:t>Impact on offenders</w:t>
      </w:r>
      <w:bookmarkEnd w:id="142"/>
    </w:p>
    <w:p w14:paraId="0FFE499A" w14:textId="5EB0AFE1" w:rsidR="005900F0" w:rsidRDefault="005900F0" w:rsidP="00F545FF">
      <w:pPr>
        <w:pStyle w:val="BodyText"/>
        <w:numPr>
          <w:ilvl w:val="1"/>
          <w:numId w:val="31"/>
        </w:numPr>
        <w:ind w:hanging="709"/>
      </w:pPr>
      <w:r>
        <w:t>During consultation on our proposed recommendations, some of the feedback</w:t>
      </w:r>
      <w:r w:rsidRPr="00916DFE">
        <w:t xml:space="preserve"> </w:t>
      </w:r>
      <w:r>
        <w:t xml:space="preserve">we received </w:t>
      </w:r>
      <w:r w:rsidRPr="00916DFE">
        <w:t xml:space="preserve">queried </w:t>
      </w:r>
      <w:r>
        <w:t>how</w:t>
      </w:r>
      <w:r w:rsidRPr="00916DFE">
        <w:t xml:space="preserve"> a court flag would </w:t>
      </w:r>
      <w:r>
        <w:t>affect</w:t>
      </w:r>
      <w:r w:rsidRPr="00916DFE">
        <w:t xml:space="preserve"> offenders</w:t>
      </w:r>
      <w:r>
        <w:t xml:space="preserve"> in the future</w:t>
      </w:r>
      <w:r w:rsidRPr="00916DFE">
        <w:t xml:space="preserve">, particularly young offenders. There was some concern that marking out young </w:t>
      </w:r>
      <w:r w:rsidR="00A94E11">
        <w:t>people</w:t>
      </w:r>
      <w:r w:rsidR="00A94E11" w:rsidRPr="00916DFE">
        <w:t xml:space="preserve"> </w:t>
      </w:r>
      <w:r w:rsidRPr="00916DFE">
        <w:t>as hate crime offenders could affect how they are treated for the rest of their lives</w:t>
      </w:r>
      <w:r>
        <w:t xml:space="preserve"> — including their employment prospects —</w:t>
      </w:r>
      <w:r w:rsidRPr="00916DFE">
        <w:t xml:space="preserve"> even if the </w:t>
      </w:r>
      <w:r w:rsidR="00DE18BC">
        <w:t>offending</w:t>
      </w:r>
      <w:r w:rsidRPr="00916DFE">
        <w:t xml:space="preserve"> was relatively minor.</w:t>
      </w:r>
      <w:r>
        <w:t xml:space="preserve"> </w:t>
      </w:r>
      <w:r w:rsidR="00BF6DC5">
        <w:t>This could have a particular impact on Māori, given their overrepresentation in the criminal justice system.</w:t>
      </w:r>
      <w:r>
        <w:t xml:space="preserve"> Other feedback acknowledged that the criminal law in general does stigmatise people and suggested the additional “marking out” of a person as a hate crime offender may be justified if it is necessary to reflect the seriousness of the crime. </w:t>
      </w:r>
    </w:p>
    <w:p w14:paraId="295A5EDB" w14:textId="4765BF01" w:rsidR="005900F0" w:rsidRDefault="005900F0" w:rsidP="00F545FF">
      <w:pPr>
        <w:pStyle w:val="BodyText"/>
        <w:numPr>
          <w:ilvl w:val="1"/>
          <w:numId w:val="31"/>
        </w:numPr>
        <w:ind w:hanging="709"/>
      </w:pPr>
      <w:r>
        <w:t xml:space="preserve">Below, we address how our recommendations in this chapter would affect offenders if they are later investigated by Police or sentenced by the courts. We then discuss potential impacts on future employment. For the reasons we explain, we do not </w:t>
      </w:r>
      <w:r w:rsidR="00F15F8F">
        <w:t>consider</w:t>
      </w:r>
      <w:r>
        <w:t xml:space="preserve"> our recommendations would unfairly prejudice offenders in either context.</w:t>
      </w:r>
      <w:r w:rsidR="00142CB0">
        <w:t xml:space="preserve"> </w:t>
      </w:r>
    </w:p>
    <w:p w14:paraId="0AF5BD18" w14:textId="761F5922" w:rsidR="005900F0" w:rsidRDefault="005900F0" w:rsidP="00F545FF">
      <w:pPr>
        <w:pStyle w:val="BodyText"/>
        <w:numPr>
          <w:ilvl w:val="1"/>
          <w:numId w:val="31"/>
        </w:numPr>
        <w:ind w:hanging="709"/>
      </w:pPr>
      <w:r>
        <w:t>We begin with a point of clarification about how our recommendations would affect young people. The</w:t>
      </w:r>
      <w:r w:rsidRPr="00916DFE">
        <w:t xml:space="preserve"> court flag and recording requirement would not apply to sentencing in the Youth Court. Different sentencing factors apply in the Youth Court</w:t>
      </w:r>
      <w:r w:rsidR="00D83564">
        <w:t>,</w:t>
      </w:r>
      <w:r w:rsidRPr="00916DFE">
        <w:rPr>
          <w:rStyle w:val="FootnoteReference"/>
        </w:rPr>
        <w:footnoteReference w:id="503"/>
      </w:r>
      <w:r w:rsidRPr="00916DFE">
        <w:t xml:space="preserve"> and those in the Sentencing Act are not directly relevant.</w:t>
      </w:r>
      <w:r w:rsidRPr="00916DFE">
        <w:rPr>
          <w:rStyle w:val="FootnoteReference"/>
        </w:rPr>
        <w:footnoteReference w:id="504"/>
      </w:r>
      <w:r w:rsidRPr="00916DFE">
        <w:t xml:space="preserve"> </w:t>
      </w:r>
      <w:r>
        <w:t xml:space="preserve">Any offending </w:t>
      </w:r>
      <w:r w:rsidR="00ED7CC6">
        <w:t xml:space="preserve">dealt with </w:t>
      </w:r>
      <w:r>
        <w:t xml:space="preserve">in the Youth Court would not </w:t>
      </w:r>
      <w:r w:rsidR="00ED7CC6">
        <w:t>be</w:t>
      </w:r>
      <w:r w:rsidR="003B0BDB">
        <w:t xml:space="preserve"> </w:t>
      </w:r>
      <w:r>
        <w:t xml:space="preserve">marked </w:t>
      </w:r>
      <w:r w:rsidR="003B0BDB">
        <w:t xml:space="preserve">as </w:t>
      </w:r>
      <w:r>
        <w:t>hostility</w:t>
      </w:r>
      <w:r w:rsidR="003B0BDB">
        <w:t>-motivated</w:t>
      </w:r>
      <w:r>
        <w:t xml:space="preserve"> on the permanent court record. </w:t>
      </w:r>
      <w:r w:rsidRPr="00916DFE">
        <w:t>The Youth Court deals with offending by young people under 18 years of age, except certain serious offences such as murder and manslaughter or where the young person elects trial by jury.</w:t>
      </w:r>
      <w:r w:rsidRPr="00916DFE">
        <w:rPr>
          <w:rStyle w:val="FootnoteReference"/>
        </w:rPr>
        <w:footnoteReference w:id="505"/>
      </w:r>
      <w:r w:rsidRPr="00916DFE">
        <w:t xml:space="preserve"> A young person may also be transferred to the District or High Court for sentencing in certain circumstances such as where the offending is too serious to be sentenced in the Youth Court.</w:t>
      </w:r>
      <w:r w:rsidRPr="00916DFE">
        <w:rPr>
          <w:rStyle w:val="FootnoteReference"/>
        </w:rPr>
        <w:footnoteReference w:id="506"/>
      </w:r>
      <w:r w:rsidRPr="00916DFE">
        <w:t xml:space="preserve"> Where a young person is sentenced in the District or High Court, the Sentencing Act applies</w:t>
      </w:r>
      <w:r w:rsidRPr="00916DFE">
        <w:rPr>
          <w:rStyle w:val="FootnoteReference"/>
        </w:rPr>
        <w:footnoteReference w:id="507"/>
      </w:r>
      <w:r w:rsidRPr="00916DFE">
        <w:t xml:space="preserve"> and the </w:t>
      </w:r>
      <w:r w:rsidR="00CD76D5">
        <w:t xml:space="preserve">proposed </w:t>
      </w:r>
      <w:r w:rsidRPr="00916DFE">
        <w:t>recording requirement would be engaged.</w:t>
      </w:r>
      <w:r>
        <w:t xml:space="preserve"> </w:t>
      </w:r>
    </w:p>
    <w:p w14:paraId="10640AC7" w14:textId="77777777" w:rsidR="005900F0" w:rsidRDefault="005900F0" w:rsidP="00F545FF">
      <w:pPr>
        <w:pStyle w:val="BodyText"/>
        <w:numPr>
          <w:ilvl w:val="1"/>
          <w:numId w:val="31"/>
        </w:numPr>
        <w:ind w:hanging="709"/>
      </w:pPr>
      <w:r>
        <w:t xml:space="preserve">In effect, this means that hostility would only be recorded in relation to offending by a person under 18 years of age if that offending was quite serious. Young offenders aged 18 years and over are dealt with in the adult courts so any finding of hostility would be recorded. Our discussion below of how recording may affect offenders in the future is relevant to all offenders dealt with in the adult courts. </w:t>
      </w:r>
    </w:p>
    <w:p w14:paraId="68FE2B96" w14:textId="77777777" w:rsidR="005900F0" w:rsidRDefault="005900F0" w:rsidP="005900F0">
      <w:pPr>
        <w:pStyle w:val="Heading3"/>
      </w:pPr>
      <w:r>
        <w:t>Police and the courts</w:t>
      </w:r>
    </w:p>
    <w:p w14:paraId="79DB1BA4" w14:textId="5A2CEFE8" w:rsidR="005900F0" w:rsidRDefault="005900F0" w:rsidP="00F545FF">
      <w:pPr>
        <w:pStyle w:val="BodyText"/>
        <w:numPr>
          <w:ilvl w:val="1"/>
          <w:numId w:val="31"/>
        </w:numPr>
        <w:ind w:hanging="709"/>
      </w:pPr>
      <w:r>
        <w:t xml:space="preserve">If our recommendations in this chapter are accepted, </w:t>
      </w:r>
      <w:r w:rsidR="00807D3E">
        <w:t xml:space="preserve">the </w:t>
      </w:r>
      <w:r w:rsidR="00666D09">
        <w:t xml:space="preserve">fact that </w:t>
      </w:r>
      <w:r w:rsidR="00EF468A">
        <w:t>section 9(1)(h)</w:t>
      </w:r>
      <w:r w:rsidR="00666D09">
        <w:t xml:space="preserve"> was found to apply to an offence </w:t>
      </w:r>
      <w:r>
        <w:t xml:space="preserve">would </w:t>
      </w:r>
      <w:r w:rsidR="00807D3E">
        <w:t xml:space="preserve">be </w:t>
      </w:r>
      <w:r w:rsidR="00A5785F">
        <w:t>communicated</w:t>
      </w:r>
      <w:r>
        <w:t xml:space="preserve"> to judges in future proceedings involving the same defendant</w:t>
      </w:r>
      <w:r w:rsidR="003A0F36">
        <w:t xml:space="preserve"> </w:t>
      </w:r>
      <w:r w:rsidR="00A5785F">
        <w:t>(for example, through</w:t>
      </w:r>
      <w:r>
        <w:t xml:space="preserve"> a notation on the court criminal and traffic history report</w:t>
      </w:r>
      <w:r w:rsidR="00A5785F">
        <w:t xml:space="preserve">). </w:t>
      </w:r>
      <w:r w:rsidR="00F14C18">
        <w:t>It</w:t>
      </w:r>
      <w:r>
        <w:t xml:space="preserve"> would also be </w:t>
      </w:r>
      <w:r w:rsidR="00F14C18">
        <w:t>communicated to</w:t>
      </w:r>
      <w:r>
        <w:t xml:space="preserve"> Police and could be taken into account in any future investigations. This could lead to </w:t>
      </w:r>
      <w:r w:rsidR="00ED3F23">
        <w:t>a defendant</w:t>
      </w:r>
      <w:r>
        <w:t xml:space="preserve"> being prosecuted when they otherwise may not have been, or </w:t>
      </w:r>
      <w:r w:rsidR="00ED3F23">
        <w:t xml:space="preserve">an offender </w:t>
      </w:r>
      <w:r>
        <w:t xml:space="preserve">receiving a harsher sentence, because they have committed similar hostility-motivated offending in the past. </w:t>
      </w:r>
    </w:p>
    <w:p w14:paraId="65C04FF9" w14:textId="5B6F172F" w:rsidR="005900F0" w:rsidRDefault="005900F0" w:rsidP="00F545FF">
      <w:pPr>
        <w:pStyle w:val="BodyText"/>
        <w:numPr>
          <w:ilvl w:val="1"/>
          <w:numId w:val="31"/>
        </w:numPr>
        <w:ind w:hanging="709"/>
      </w:pPr>
      <w:r>
        <w:t xml:space="preserve">These outcomes would not occur by default. The fact </w:t>
      </w:r>
      <w:r w:rsidR="00B43141">
        <w:t xml:space="preserve">that a person </w:t>
      </w:r>
      <w:r>
        <w:t>previous</w:t>
      </w:r>
      <w:r w:rsidR="00B43141">
        <w:t>ly committed a</w:t>
      </w:r>
      <w:r>
        <w:t xml:space="preserve"> hostility-motivated offence would not require Police or the courts to take any particular action, although it would be a relevant consideration. For example, a sentencing </w:t>
      </w:r>
      <w:r w:rsidR="007E5868">
        <w:t xml:space="preserve">judge </w:t>
      </w:r>
      <w:r>
        <w:t>could take into account any relevant circumstances such as the offender’s youth when the previous offending occurred, the nature and seriousness of the hostility in that case and any steps taken toward</w:t>
      </w:r>
      <w:r w:rsidR="00E80DA7">
        <w:t>s</w:t>
      </w:r>
      <w:r>
        <w:t xml:space="preserve"> rehabilitation in the intervening period. </w:t>
      </w:r>
      <w:r w:rsidR="00847A03">
        <w:t>In our view,</w:t>
      </w:r>
      <w:r>
        <w:t xml:space="preserve"> this approach strikes an appropriate balance. It is important that Police and the courts are aware of previous hostility-motivated offending so they can establish whether there is </w:t>
      </w:r>
      <w:r w:rsidR="0077516A">
        <w:t>a</w:t>
      </w:r>
      <w:r>
        <w:t xml:space="preserve"> pattern of hostile behaviour that needs to be addressed.</w:t>
      </w:r>
    </w:p>
    <w:p w14:paraId="1DC8E4CB" w14:textId="4FD95F62" w:rsidR="005900F0" w:rsidRDefault="005900F0" w:rsidP="00F545FF">
      <w:pPr>
        <w:pStyle w:val="BodyText"/>
        <w:numPr>
          <w:ilvl w:val="1"/>
          <w:numId w:val="31"/>
        </w:numPr>
        <w:ind w:hanging="709"/>
      </w:pPr>
      <w:r>
        <w:t>Police and the courts can (and sometimes do) already take previous hostility-motivated offending into account when they are aware of it.</w:t>
      </w:r>
      <w:r>
        <w:rPr>
          <w:rStyle w:val="FootnoteReference"/>
        </w:rPr>
        <w:footnoteReference w:id="508"/>
      </w:r>
      <w:r>
        <w:t xml:space="preserve"> This may occur, for example, if a</w:t>
      </w:r>
      <w:r w:rsidR="005E4948">
        <w:t xml:space="preserve"> police</w:t>
      </w:r>
      <w:r>
        <w:t xml:space="preserve"> officer views the entry for the previous offence in the National Intelligence Application and it has been flagged by Police as a perceived hate crime. That may prompt a review of the sentencing notes to determine whether the aggravating factor applied. Our recommendations in this chapter would simply improve the information available to Police and the courts so that previous hostility can be taken into account more consistently. </w:t>
      </w:r>
    </w:p>
    <w:p w14:paraId="3EFDF159" w14:textId="77777777" w:rsidR="005900F0" w:rsidRDefault="005900F0" w:rsidP="005900F0">
      <w:pPr>
        <w:pStyle w:val="Heading3"/>
      </w:pPr>
      <w:r>
        <w:t>Employment</w:t>
      </w:r>
    </w:p>
    <w:p w14:paraId="1770425D" w14:textId="19F28CA5" w:rsidR="005900F0" w:rsidRPr="00A11EA3" w:rsidRDefault="005900F0" w:rsidP="00F545FF">
      <w:pPr>
        <w:pStyle w:val="BodyText"/>
        <w:numPr>
          <w:ilvl w:val="1"/>
          <w:numId w:val="31"/>
        </w:numPr>
        <w:ind w:hanging="709"/>
      </w:pPr>
      <w:r w:rsidRPr="00A11EA3">
        <w:t>There are several ways in which potential employers may find out about an applicant’s previous convictions and the circumstances relating to them.</w:t>
      </w:r>
      <w:r>
        <w:t xml:space="preserve"> The most common is by requesting a Ministry of Justice </w:t>
      </w:r>
      <w:r w:rsidRPr="00A11EA3">
        <w:t>conviction history report</w:t>
      </w:r>
      <w:r>
        <w:t>. This requires the consent of the person seeking employment. These reports</w:t>
      </w:r>
      <w:r w:rsidRPr="00A11EA3">
        <w:t xml:space="preserve"> only list the offence a person was convicted for — they do not refer to aggravating factors such as hostile motivation.</w:t>
      </w:r>
      <w:r w:rsidR="00CF0759" w:rsidRPr="00A11EA3">
        <w:rPr>
          <w:rStyle w:val="CommentReference"/>
          <w:sz w:val="20"/>
          <w:szCs w:val="24"/>
        </w:rPr>
        <w:t xml:space="preserve"> </w:t>
      </w:r>
      <w:r w:rsidRPr="00A11EA3">
        <w:t xml:space="preserve">Court flags such as the existing flag for family violence offending and the hate crime flag we recommend are not shown. </w:t>
      </w:r>
      <w:r w:rsidR="00122767">
        <w:t>As noted earlier, c</w:t>
      </w:r>
      <w:r w:rsidRPr="00A11EA3">
        <w:t>onvictions also will not be listed if the Criminal Records (Clean Slate) Act 2004 applies.</w:t>
      </w:r>
      <w:r w:rsidR="00D27BC8">
        <w:t xml:space="preserve"> </w:t>
      </w:r>
    </w:p>
    <w:p w14:paraId="48AEAEA5" w14:textId="7FFDAA49" w:rsidR="005900F0" w:rsidRPr="00A11EA3" w:rsidRDefault="005900F0" w:rsidP="00F545FF">
      <w:pPr>
        <w:pStyle w:val="BodyText"/>
        <w:numPr>
          <w:ilvl w:val="1"/>
          <w:numId w:val="31"/>
        </w:numPr>
        <w:ind w:hanging="709"/>
      </w:pPr>
      <w:r w:rsidRPr="00A11EA3">
        <w:t xml:space="preserve">In our Consultation Paper, we asked whether </w:t>
      </w:r>
      <w:r>
        <w:t>the fact that hostility is not recorded on Ministry of Justice conviction history reports</w:t>
      </w:r>
      <w:r w:rsidRPr="00A11EA3">
        <w:t xml:space="preserve"> </w:t>
      </w:r>
      <w:r>
        <w:t>is</w:t>
      </w:r>
      <w:r w:rsidRPr="00A11EA3">
        <w:t xml:space="preserve"> likely to cause problems in practice.</w:t>
      </w:r>
      <w:r>
        <w:rPr>
          <w:rStyle w:val="FootnoteReference"/>
        </w:rPr>
        <w:footnoteReference w:id="509"/>
      </w:r>
      <w:r w:rsidRPr="00A11EA3">
        <w:t xml:space="preserve"> For example, we asked whether some potential employers may need to know if an offence was motivated by hostility to ensure the safety of staff or customers. No submitters suggested it was necessary to record hostility on conviction history reports. </w:t>
      </w:r>
    </w:p>
    <w:p w14:paraId="706EC701" w14:textId="6BB08F08" w:rsidR="005900F0" w:rsidRPr="00A11EA3" w:rsidRDefault="005900F0" w:rsidP="00F545FF">
      <w:pPr>
        <w:pStyle w:val="BodyText"/>
        <w:numPr>
          <w:ilvl w:val="1"/>
          <w:numId w:val="31"/>
        </w:numPr>
        <w:ind w:hanging="709"/>
      </w:pPr>
      <w:r w:rsidRPr="00A11EA3">
        <w:t>We</w:t>
      </w:r>
      <w:r>
        <w:t xml:space="preserve"> do not </w:t>
      </w:r>
      <w:r w:rsidR="00FE7457">
        <w:t>consider</w:t>
      </w:r>
      <w:r>
        <w:t xml:space="preserve"> it is necessary</w:t>
      </w:r>
      <w:r w:rsidRPr="00A11EA3">
        <w:t xml:space="preserve"> for </w:t>
      </w:r>
      <w:r>
        <w:t xml:space="preserve">Ministry of Justice </w:t>
      </w:r>
      <w:r w:rsidRPr="00A11EA3">
        <w:t xml:space="preserve">conviction history reports to </w:t>
      </w:r>
      <w:r>
        <w:t>identify</w:t>
      </w:r>
      <w:r w:rsidRPr="00A11EA3">
        <w:t xml:space="preserve"> hostility. Depending on the offence committed and the nature of the employment, the fact of a conviction may be enough for a potential employer to decide against hiring a person. In those situations, more detailed information about the circumstances of the offence (such as whether it involved hostility) is unnecessary. Where an employer does wish to know more about the circumstances of a previous conviction to inform a hiring decision, there are </w:t>
      </w:r>
      <w:r>
        <w:t xml:space="preserve">already </w:t>
      </w:r>
      <w:r w:rsidRPr="00A11EA3">
        <w:t xml:space="preserve">other ways in which that information can be obtained. </w:t>
      </w:r>
    </w:p>
    <w:p w14:paraId="64D5741C" w14:textId="5504D255" w:rsidR="005900F0" w:rsidRPr="00A11EA3" w:rsidRDefault="005900F0" w:rsidP="00F545FF">
      <w:pPr>
        <w:pStyle w:val="BodyText"/>
        <w:numPr>
          <w:ilvl w:val="1"/>
          <w:numId w:val="31"/>
        </w:numPr>
        <w:ind w:hanging="709"/>
      </w:pPr>
      <w:r w:rsidRPr="00A11EA3">
        <w:t xml:space="preserve">First, any person </w:t>
      </w:r>
      <w:r>
        <w:t>can</w:t>
      </w:r>
      <w:r w:rsidRPr="00A11EA3">
        <w:t xml:space="preserve"> access the permanent court record and sentencing notes</w:t>
      </w:r>
      <w:r>
        <w:t xml:space="preserve"> relating to a case</w:t>
      </w:r>
      <w:r w:rsidRPr="00A11EA3">
        <w:t xml:space="preserve"> by making a request to the court (with certain exceptions such as where the information would identify a person with name suppression).</w:t>
      </w:r>
      <w:r w:rsidRPr="00A11EA3">
        <w:rPr>
          <w:rStyle w:val="FootnoteReference"/>
        </w:rPr>
        <w:footnoteReference w:id="510"/>
      </w:r>
      <w:r w:rsidRPr="00A11EA3">
        <w:t xml:space="preserve"> If an employer </w:t>
      </w:r>
      <w:r>
        <w:t>were to obtain</w:t>
      </w:r>
      <w:r w:rsidRPr="00A11EA3">
        <w:t xml:space="preserve"> the sentencing notes relating to an offence, that </w:t>
      </w:r>
      <w:r>
        <w:t>would</w:t>
      </w:r>
      <w:r w:rsidRPr="00A11EA3">
        <w:t xml:space="preserve"> usually alert them to any hostility involved. Similarly, an Internet search may bring up media reporting of the case that refers to the hostility. If our recommendations in this chapter are accepted, the permanent court record would also record the application of the hostility aggravating factor. This would improve the consistency and accessibility of court information relating to hostility, but in most cases it would not substantively change the information </w:t>
      </w:r>
      <w:r>
        <w:t xml:space="preserve">potential </w:t>
      </w:r>
      <w:r w:rsidRPr="00A11EA3">
        <w:t>employers can access.</w:t>
      </w:r>
    </w:p>
    <w:p w14:paraId="6BD45506" w14:textId="4C0B0480" w:rsidR="005900F0" w:rsidRDefault="005900F0" w:rsidP="00281692">
      <w:pPr>
        <w:pStyle w:val="BodyText"/>
        <w:numPr>
          <w:ilvl w:val="1"/>
          <w:numId w:val="31"/>
        </w:numPr>
        <w:ind w:hanging="709"/>
      </w:pPr>
      <w:r w:rsidRPr="00A11EA3">
        <w:t xml:space="preserve">Second, certain types of authorised employers can </w:t>
      </w:r>
      <w:r>
        <w:t>request Police vetting of a person who is applying for a position</w:t>
      </w:r>
      <w:r w:rsidRPr="00A11EA3">
        <w:t xml:space="preserve">. </w:t>
      </w:r>
      <w:r>
        <w:t>Employers can be authorised if they employ people in</w:t>
      </w:r>
      <w:r w:rsidRPr="00A11EA3">
        <w:t xml:space="preserve"> law enforcement</w:t>
      </w:r>
      <w:r w:rsidR="00935FE6">
        <w:t xml:space="preserve"> or</w:t>
      </w:r>
      <w:r w:rsidRPr="00A11EA3">
        <w:t xml:space="preserve"> national security</w:t>
      </w:r>
      <w:r w:rsidR="0059485E">
        <w:t xml:space="preserve"> or in</w:t>
      </w:r>
      <w:r w:rsidR="00F606C4">
        <w:t xml:space="preserve"> </w:t>
      </w:r>
      <w:r w:rsidR="00935FE6">
        <w:t>roles</w:t>
      </w:r>
      <w:r w:rsidR="00F606C4">
        <w:t xml:space="preserve"> </w:t>
      </w:r>
      <w:r w:rsidR="00C44E8D">
        <w:t>working with</w:t>
      </w:r>
      <w:r w:rsidR="00F606C4" w:rsidRPr="00F606C4">
        <w:t xml:space="preserve"> children, young people or vulnerable adults</w:t>
      </w:r>
      <w:r w:rsidRPr="00A11EA3">
        <w:t>.</w:t>
      </w:r>
      <w:r w:rsidRPr="00A11EA3">
        <w:rPr>
          <w:rStyle w:val="FootnoteReference"/>
        </w:rPr>
        <w:footnoteReference w:id="511"/>
      </w:r>
      <w:r w:rsidRPr="00A11EA3">
        <w:t xml:space="preserve"> Police vet</w:t>
      </w:r>
      <w:r>
        <w:t xml:space="preserve">ting </w:t>
      </w:r>
      <w:r w:rsidRPr="00A11EA3">
        <w:t xml:space="preserve">can </w:t>
      </w:r>
      <w:r>
        <w:t>provide</w:t>
      </w:r>
      <w:r w:rsidRPr="00A11EA3">
        <w:t xml:space="preserve"> any relevant information Police holds</w:t>
      </w:r>
      <w:r>
        <w:t xml:space="preserve"> about a person, </w:t>
      </w:r>
      <w:r w:rsidR="00E615DB">
        <w:t>provided</w:t>
      </w:r>
      <w:r w:rsidR="00817494" w:rsidRPr="00817494">
        <w:t xml:space="preserve"> </w:t>
      </w:r>
      <w:r w:rsidR="00817494">
        <w:t xml:space="preserve">it is </w:t>
      </w:r>
      <w:r w:rsidR="00817494" w:rsidRPr="00817494">
        <w:t>sufficiently substantiated. This</w:t>
      </w:r>
      <w:r w:rsidR="00A7235C">
        <w:t xml:space="preserve"> information</w:t>
      </w:r>
      <w:r w:rsidR="00817494" w:rsidRPr="00817494">
        <w:t xml:space="preserve"> can relate </w:t>
      </w:r>
      <w:r>
        <w:t>to previous convictions, charges and investigations (whether or not they resulted in prosecution</w:t>
      </w:r>
      <w:r w:rsidR="00817494">
        <w:t xml:space="preserve"> or conviction</w:t>
      </w:r>
      <w:r>
        <w:t>)</w:t>
      </w:r>
      <w:r w:rsidRPr="00A11EA3">
        <w:t>.</w:t>
      </w:r>
      <w:r>
        <w:rPr>
          <w:rStyle w:val="FootnoteReference"/>
        </w:rPr>
        <w:footnoteReference w:id="512"/>
      </w:r>
      <w:r w:rsidRPr="00A11EA3">
        <w:t xml:space="preserve"> </w:t>
      </w:r>
      <w:r w:rsidR="008D4203">
        <w:t xml:space="preserve">It </w:t>
      </w:r>
      <w:r>
        <w:t>could include the fact that an offence was flagged by Police as a perceived</w:t>
      </w:r>
      <w:r w:rsidRPr="00A11EA3">
        <w:t xml:space="preserve"> </w:t>
      </w:r>
      <w:r>
        <w:t>hate crime</w:t>
      </w:r>
      <w:r w:rsidRPr="00A11EA3">
        <w:t xml:space="preserve"> and </w:t>
      </w:r>
      <w:r>
        <w:t xml:space="preserve">any </w:t>
      </w:r>
      <w:r w:rsidRPr="00A11EA3">
        <w:t xml:space="preserve">other information about </w:t>
      </w:r>
      <w:r>
        <w:t xml:space="preserve">the </w:t>
      </w:r>
      <w:r w:rsidR="005D5411">
        <w:t xml:space="preserve">alleged </w:t>
      </w:r>
      <w:r>
        <w:t>hostility recorded during the</w:t>
      </w:r>
      <w:r w:rsidRPr="00A11EA3">
        <w:t xml:space="preserve"> investigation. Accordingly, Police vet</w:t>
      </w:r>
      <w:r>
        <w:t>ting</w:t>
      </w:r>
      <w:r w:rsidRPr="00A11EA3">
        <w:t xml:space="preserve"> </w:t>
      </w:r>
      <w:r w:rsidR="002953AA">
        <w:t>can currently</w:t>
      </w:r>
      <w:r w:rsidRPr="00A11EA3">
        <w:t xml:space="preserve"> alert a potential employer </w:t>
      </w:r>
      <w:r>
        <w:t>if a person applying for a position has been investigated for hostility-motivated offending</w:t>
      </w:r>
      <w:r w:rsidRPr="00A11EA3">
        <w:t>.</w:t>
      </w:r>
      <w:r>
        <w:t xml:space="preserve"> </w:t>
      </w:r>
    </w:p>
    <w:p w14:paraId="4BCEB4E0" w14:textId="2E6BE055" w:rsidR="005900F0" w:rsidRDefault="005900F0" w:rsidP="00F545FF">
      <w:pPr>
        <w:pStyle w:val="BodyText"/>
        <w:numPr>
          <w:ilvl w:val="1"/>
          <w:numId w:val="31"/>
        </w:numPr>
        <w:ind w:hanging="709"/>
      </w:pPr>
      <w:r w:rsidRPr="00A11EA3">
        <w:t>If a court hate crime flag was introduced and shared with Police, vet</w:t>
      </w:r>
      <w:r>
        <w:t>ting</w:t>
      </w:r>
      <w:r w:rsidRPr="00A11EA3">
        <w:t xml:space="preserve"> could also include confirmation of </w:t>
      </w:r>
      <w:r>
        <w:t xml:space="preserve">whether any offence the person was convicted </w:t>
      </w:r>
      <w:r w:rsidR="00451E67">
        <w:t xml:space="preserve">of </w:t>
      </w:r>
      <w:r>
        <w:t>was found by the court to be motivated by hostility. In</w:t>
      </w:r>
      <w:r w:rsidRPr="00A11EA3">
        <w:t xml:space="preserve"> most cases</w:t>
      </w:r>
      <w:r>
        <w:t>,</w:t>
      </w:r>
      <w:r w:rsidRPr="00A11EA3">
        <w:t xml:space="preserve"> </w:t>
      </w:r>
      <w:r>
        <w:t>this</w:t>
      </w:r>
      <w:r w:rsidRPr="00A11EA3">
        <w:t xml:space="preserve"> would not mean hostility is </w:t>
      </w:r>
      <w:r>
        <w:t xml:space="preserve">raised as an issue </w:t>
      </w:r>
      <w:r w:rsidR="008E1133">
        <w:t xml:space="preserve">with </w:t>
      </w:r>
      <w:r>
        <w:t xml:space="preserve">a potential employer </w:t>
      </w:r>
      <w:r w:rsidRPr="00A11EA3">
        <w:t>when it otherwise would not have been,</w:t>
      </w:r>
      <w:r>
        <w:t xml:space="preserve"> but it</w:t>
      </w:r>
      <w:r w:rsidRPr="00A11EA3">
        <w:t xml:space="preserve"> would improve the completeness of the information available. In some instances, the additional information about the court’s finding may be beneficial to the person being vetted. For example, if Police had flagged an offence as a perceived hate crime but the court did not apply the aggravating factor, the employer could take that into account rather than making a decision based on the Police flag alone.</w:t>
      </w:r>
    </w:p>
    <w:p w14:paraId="53FDCC37" w14:textId="5D758C9A" w:rsidR="005900F0" w:rsidRPr="00A11EA3" w:rsidRDefault="005900F0" w:rsidP="00F545FF">
      <w:pPr>
        <w:pStyle w:val="BodyText"/>
        <w:numPr>
          <w:ilvl w:val="1"/>
          <w:numId w:val="31"/>
        </w:numPr>
        <w:ind w:hanging="709"/>
      </w:pPr>
      <w:r>
        <w:t xml:space="preserve">We consider these processes are sufficient to allow employers to access information about hostility if they require it to assess a person’s suitability for a role — particularly </w:t>
      </w:r>
      <w:r w:rsidR="006E4773">
        <w:t xml:space="preserve">for </w:t>
      </w:r>
      <w:r>
        <w:t>sensitive roles such as</w:t>
      </w:r>
      <w:r w:rsidR="00322C33">
        <w:t xml:space="preserve"> those in</w:t>
      </w:r>
      <w:r>
        <w:t xml:space="preserve"> law enforcement or working with children. We also do not </w:t>
      </w:r>
      <w:r w:rsidR="006E4773">
        <w:t>consider</w:t>
      </w:r>
      <w:r>
        <w:t xml:space="preserve"> recording hostility on the permanent court record will have a significant additional impact on an offender’s future employment prospects. Most potential employers are likely to make decisions based on a Ministry of Justice conviction history report (and potentially any media reporting of the case) without seeking additional information from the court. Those who do take the step of requesting court information should already be able to identify potential hostility from the court’s sentencing notes in most cases.</w:t>
      </w:r>
    </w:p>
    <w:p w14:paraId="5FA3D485" w14:textId="0ED3AF75" w:rsidR="00F47D32" w:rsidRDefault="00F47D32" w:rsidP="001A08C6">
      <w:pPr>
        <w:pStyle w:val="BodyText"/>
        <w:numPr>
          <w:ilvl w:val="1"/>
          <w:numId w:val="31"/>
        </w:numPr>
        <w:ind w:hanging="709"/>
      </w:pPr>
      <w:r>
        <w:t xml:space="preserve">Accordingly, our recommendations would </w:t>
      </w:r>
      <w:r w:rsidRPr="00A11EA3">
        <w:t>improve the completeness and accessibility of court and Police records</w:t>
      </w:r>
      <w:r>
        <w:t xml:space="preserve"> but are unlikely to lead to hostility being disclosed to employers in many additional cases. To the extent they do, we consider it appropriate. </w:t>
      </w:r>
    </w:p>
    <w:p w14:paraId="1CC0A2F7" w14:textId="7B89F9B6" w:rsidR="005A3BB7" w:rsidRDefault="007E7F20" w:rsidP="00B5043D">
      <w:pPr>
        <w:pStyle w:val="Heading2"/>
      </w:pPr>
      <w:bookmarkStart w:id="143" w:name="_Toc231467852"/>
      <w:r>
        <w:t>I</w:t>
      </w:r>
      <w:r w:rsidR="000C500B">
        <w:t xml:space="preserve">mpact on defendants’ </w:t>
      </w:r>
      <w:r>
        <w:t>w</w:t>
      </w:r>
      <w:r w:rsidR="005A3BB7">
        <w:t>illingness to plead guilty</w:t>
      </w:r>
      <w:bookmarkEnd w:id="143"/>
    </w:p>
    <w:p w14:paraId="0D243590" w14:textId="2211B681" w:rsidR="00E137DF" w:rsidRDefault="005A3BB7" w:rsidP="001776C6">
      <w:pPr>
        <w:pStyle w:val="BodyText"/>
        <w:numPr>
          <w:ilvl w:val="1"/>
          <w:numId w:val="31"/>
        </w:numPr>
        <w:ind w:hanging="709"/>
      </w:pPr>
      <w:r>
        <w:t xml:space="preserve">In Chapter 5, we explained that the alternative legal models considered in this review </w:t>
      </w:r>
      <w:r w:rsidR="008F6202">
        <w:t>are</w:t>
      </w:r>
      <w:r w:rsidR="00C829CF">
        <w:t xml:space="preserve"> likely to</w:t>
      </w:r>
      <w:r>
        <w:t xml:space="preserve"> discourage defendants from pleading guilty and lead to plea bargaining. </w:t>
      </w:r>
      <w:r w:rsidR="005340FA">
        <w:t>A</w:t>
      </w:r>
      <w:r>
        <w:t xml:space="preserve"> court hate crime flag </w:t>
      </w:r>
      <w:r w:rsidR="00667060">
        <w:t>carries s</w:t>
      </w:r>
      <w:r w:rsidR="005E2FEF">
        <w:t>ignificantly less risk in that regard</w:t>
      </w:r>
      <w:r>
        <w:t>. The flag would not increase the maximum penalty for the offending. Nor would it significantly increase the public stigma associated with conviction compared to the current law.</w:t>
      </w:r>
      <w:r w:rsidR="007F433D">
        <w:t xml:space="preserve"> </w:t>
      </w:r>
      <w:r w:rsidR="00AF08C3">
        <w:t xml:space="preserve">The hostility would not form part of the offence itself and, </w:t>
      </w:r>
      <w:r w:rsidR="00CA6061">
        <w:t xml:space="preserve">as discussed above, the flag would not appear on the offender’s Ministry of Justice conviction history report provided for employment purposes. </w:t>
      </w:r>
    </w:p>
    <w:p w14:paraId="3E223C82" w14:textId="3B705F5D" w:rsidR="00F84E86" w:rsidRDefault="008E7829" w:rsidP="005A3BB7">
      <w:pPr>
        <w:pStyle w:val="BodyText"/>
        <w:numPr>
          <w:ilvl w:val="1"/>
          <w:numId w:val="31"/>
        </w:numPr>
        <w:ind w:hanging="709"/>
      </w:pPr>
      <w:r>
        <w:t xml:space="preserve">While </w:t>
      </w:r>
      <w:r w:rsidR="00B30F99">
        <w:t>a court hate crime</w:t>
      </w:r>
      <w:r>
        <w:t xml:space="preserve"> flag </w:t>
      </w:r>
      <w:r w:rsidR="006959F4">
        <w:t>would</w:t>
      </w:r>
      <w:r>
        <w:t xml:space="preserve"> </w:t>
      </w:r>
      <w:r w:rsidR="00A82F01">
        <w:t xml:space="preserve">help to ensure the sentencing judge considers hostile motivation and addresses it in their sentencing decision, in </w:t>
      </w:r>
      <w:r w:rsidR="00F44D36">
        <w:t>many cases</w:t>
      </w:r>
      <w:r w:rsidR="00FF15EC">
        <w:t>,</w:t>
      </w:r>
      <w:r w:rsidR="00F44D36">
        <w:t xml:space="preserve"> that already occurs</w:t>
      </w:r>
      <w:r w:rsidR="00A82F01">
        <w:t>.</w:t>
      </w:r>
      <w:r>
        <w:t xml:space="preserve"> </w:t>
      </w:r>
      <w:r w:rsidR="000D079E">
        <w:t xml:space="preserve">Similarly, while the flag </w:t>
      </w:r>
      <w:r w:rsidR="006959F4">
        <w:t>would</w:t>
      </w:r>
      <w:r w:rsidR="000D079E">
        <w:t xml:space="preserve"> increase the consistency with which </w:t>
      </w:r>
      <w:r w:rsidR="004E782D">
        <w:t>Police and the courts take account of</w:t>
      </w:r>
      <w:r w:rsidR="000D079E">
        <w:t xml:space="preserve"> </w:t>
      </w:r>
      <w:r w:rsidR="006959F4">
        <w:t xml:space="preserve">any </w:t>
      </w:r>
      <w:r w:rsidR="000D079E">
        <w:t xml:space="preserve">previous hostility-motivated offending, they can and do already consider it in some cases. Accordingly, it is unlikely that introducing a court flag would significantly affect </w:t>
      </w:r>
      <w:r w:rsidR="00246C4D">
        <w:t xml:space="preserve">a </w:t>
      </w:r>
      <w:r w:rsidR="000D079E">
        <w:t>defendant</w:t>
      </w:r>
      <w:r w:rsidR="00B153DE">
        <w:t>’</w:t>
      </w:r>
      <w:r w:rsidR="000D079E">
        <w:t xml:space="preserve">s decision </w:t>
      </w:r>
      <w:r w:rsidR="00246C4D">
        <w:t>whether</w:t>
      </w:r>
      <w:r w:rsidR="000D079E">
        <w:t xml:space="preserve"> to plead guilty</w:t>
      </w:r>
      <w:r w:rsidR="00246C4D">
        <w:t>.</w:t>
      </w:r>
      <w:r w:rsidR="00B05A5B">
        <w:t xml:space="preserve"> </w:t>
      </w:r>
    </w:p>
    <w:p w14:paraId="61DFB6D2" w14:textId="77777777" w:rsidR="000B3200" w:rsidRDefault="000B3200" w:rsidP="000B3200"/>
    <w:p w14:paraId="2E5A709E" w14:textId="2BC8C657" w:rsidR="00A42BC3" w:rsidRPr="00330E85" w:rsidRDefault="00246C4D" w:rsidP="00A42BC3">
      <w:pPr>
        <w:spacing w:after="0" w:line="240" w:lineRule="auto"/>
        <w:sectPr w:rsidR="00A42BC3" w:rsidRPr="00330E85" w:rsidSect="00A42BC3">
          <w:headerReference w:type="even" r:id="rId48"/>
          <w:headerReference w:type="default" r:id="rId49"/>
          <w:footnotePr>
            <w:numRestart w:val="eachSect"/>
          </w:footnotePr>
          <w:pgSz w:w="11907" w:h="16840" w:code="9"/>
          <w:pgMar w:top="1134" w:right="1134" w:bottom="1134" w:left="1701" w:header="499" w:footer="46" w:gutter="0"/>
          <w:cols w:space="720"/>
        </w:sectPr>
      </w:pPr>
      <w:r w:rsidRPr="00A42BC3">
        <w:rPr>
          <w:noProof/>
          <w:highlight w:val="yellow"/>
        </w:rPr>
        <mc:AlternateContent>
          <mc:Choice Requires="wps">
            <w:drawing>
              <wp:anchor distT="0" distB="0" distL="114300" distR="114300" simplePos="0" relativeHeight="251658258" behindDoc="0" locked="0" layoutInCell="1" allowOverlap="1" wp14:anchorId="43E26741" wp14:editId="31D717AE">
                <wp:simplePos x="0" y="0"/>
                <wp:positionH relativeFrom="margin">
                  <wp:posOffset>0</wp:posOffset>
                </wp:positionH>
                <wp:positionV relativeFrom="paragraph">
                  <wp:posOffset>103183</wp:posOffset>
                </wp:positionV>
                <wp:extent cx="2721610" cy="0"/>
                <wp:effectExtent l="0" t="19050" r="21590" b="19050"/>
                <wp:wrapNone/>
                <wp:docPr id="1310110771" name="Straight Connector 131011077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51F7C" id="Straight Connector 1310110771" o:spid="_x0000_s1026" style="position:absolute;z-index:251658258;visibility:visible;mso-wrap-style:square;mso-wrap-distance-left:9pt;mso-wrap-distance-top:0;mso-wrap-distance-right:9pt;mso-wrap-distance-bottom:0;mso-position-horizontal:absolute;mso-position-horizontal-relative:margin;mso-position-vertical:absolute;mso-position-vertical-relative:text" from="0,8.1pt" to="21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" strokecolor="#5ca0b9" strokeweight="2.5pt">
                <w10:wrap anchorx="margin"/>
              </v:line>
            </w:pict>
          </mc:Fallback>
        </mc:AlternateContent>
      </w:r>
    </w:p>
    <w:p w14:paraId="5E9F1FDC" w14:textId="6EF93350" w:rsidR="00A42BC3" w:rsidRPr="00330E85" w:rsidRDefault="00A42BC3" w:rsidP="00A42BC3">
      <w:pPr>
        <w:pStyle w:val="HEADING2topchapter-notinTOC"/>
        <w:rPr>
          <w:sz w:val="21"/>
          <w:szCs w:val="21"/>
        </w:rPr>
      </w:pPr>
      <w:r w:rsidRPr="00330E85">
        <w:t xml:space="preserve">CHAPTER </w:t>
      </w:r>
      <w:r w:rsidR="008C5E6D">
        <w:t>7</w:t>
      </w:r>
    </w:p>
    <w:p w14:paraId="1996192F" w14:textId="0648C34E" w:rsidR="00A42BC3" w:rsidRPr="00330E85" w:rsidRDefault="00A42BC3" w:rsidP="004753E7">
      <w:pPr>
        <w:tabs>
          <w:tab w:val="center" w:pos="4536"/>
        </w:tabs>
        <w:spacing w:after="0" w:line="200" w:lineRule="exact"/>
        <w:rPr>
          <w:szCs w:val="20"/>
        </w:rPr>
      </w:pPr>
      <w:r w:rsidRPr="00330E85">
        <w:rPr>
          <w:noProof/>
        </w:rPr>
        <mc:AlternateContent>
          <mc:Choice Requires="wpg">
            <w:drawing>
              <wp:anchor distT="0" distB="0" distL="114300" distR="114300" simplePos="0" relativeHeight="251658259" behindDoc="1" locked="0" layoutInCell="1" allowOverlap="1" wp14:anchorId="7118AB33" wp14:editId="5F219FB0">
                <wp:simplePos x="0" y="0"/>
                <wp:positionH relativeFrom="page">
                  <wp:posOffset>1079500</wp:posOffset>
                </wp:positionH>
                <wp:positionV relativeFrom="paragraph">
                  <wp:posOffset>120015</wp:posOffset>
                </wp:positionV>
                <wp:extent cx="1332230" cy="1270"/>
                <wp:effectExtent l="0" t="19050" r="1270" b="0"/>
                <wp:wrapNone/>
                <wp:docPr id="282678923" name="Group 282678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4632856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1285D" id="Group 282678923" o:spid="_x0000_s1026" style="position:absolute;margin-left:85pt;margin-top:9.45pt;width:104.9pt;height:.1pt;z-index:-25165822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CDVttF/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r w:rsidR="004753E7">
        <w:rPr>
          <w:szCs w:val="20"/>
        </w:rPr>
        <w:tab/>
      </w:r>
    </w:p>
    <w:p w14:paraId="2E50E6E2" w14:textId="13299AC1" w:rsidR="00A42BC3" w:rsidRPr="00330E85" w:rsidRDefault="00004E67" w:rsidP="00A42BC3">
      <w:pPr>
        <w:pStyle w:val="Heading1"/>
        <w:rPr>
          <w:rFonts w:eastAsia="Metropolis Black"/>
        </w:rPr>
      </w:pPr>
      <w:bookmarkStart w:id="144" w:name="_Toc231467853"/>
      <w:r w:rsidRPr="00004E67">
        <w:rPr>
          <w:rFonts w:eastAsia="Metropolis Black"/>
        </w:rPr>
        <w:t>Denouncing hate crime in sentencing decisions</w:t>
      </w:r>
      <w:bookmarkEnd w:id="144"/>
    </w:p>
    <w:p w14:paraId="70B63887" w14:textId="77777777" w:rsidR="00A42BC3" w:rsidRPr="00330E85" w:rsidRDefault="00A42BC3" w:rsidP="00A42BC3">
      <w:pPr>
        <w:spacing w:after="0" w:line="200" w:lineRule="exact"/>
        <w:rPr>
          <w:szCs w:val="20"/>
        </w:rPr>
      </w:pPr>
      <w:r w:rsidRPr="00330E85">
        <w:rPr>
          <w:noProof/>
          <w:lang w:eastAsia="en-NZ"/>
        </w:rPr>
        <mc:AlternateContent>
          <mc:Choice Requires="wpg">
            <w:drawing>
              <wp:anchor distT="0" distB="0" distL="114300" distR="114300" simplePos="0" relativeHeight="251658260" behindDoc="1" locked="0" layoutInCell="1" allowOverlap="1" wp14:anchorId="1924F41D" wp14:editId="27F8040C">
                <wp:simplePos x="0" y="0"/>
                <wp:positionH relativeFrom="page">
                  <wp:posOffset>1089025</wp:posOffset>
                </wp:positionH>
                <wp:positionV relativeFrom="paragraph">
                  <wp:posOffset>86731</wp:posOffset>
                </wp:positionV>
                <wp:extent cx="1332230" cy="1270"/>
                <wp:effectExtent l="0" t="19050" r="1270" b="17780"/>
                <wp:wrapNone/>
                <wp:docPr id="2090998642" name="Group 2090998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4586770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F523" id="Group 2090998642" o:spid="_x0000_s1026" style="position:absolute;margin-left:85.75pt;margin-top:6.85pt;width:104.9pt;height:.1pt;z-index:-25165822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&#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19A37760" w14:textId="77777777" w:rsidR="00A42BC3" w:rsidRPr="00330E85" w:rsidRDefault="00A42BC3" w:rsidP="00A42BC3"/>
    <w:p w14:paraId="2F2759BE" w14:textId="77777777" w:rsidR="00A42BC3" w:rsidRDefault="00A42BC3" w:rsidP="00A42BC3">
      <w:pPr>
        <w:pStyle w:val="Heading2"/>
      </w:pPr>
      <w:bookmarkStart w:id="145" w:name="_Toc231467854"/>
      <w:r w:rsidRPr="00E34108">
        <w:t>Introduction</w:t>
      </w:r>
      <w:bookmarkEnd w:id="145"/>
    </w:p>
    <w:p w14:paraId="13AAACE3" w14:textId="77777777" w:rsidR="00A42BC3" w:rsidRPr="00684CD4" w:rsidRDefault="00A42BC3" w:rsidP="003E75B9">
      <w:pPr>
        <w:pStyle w:val="ListParagraph"/>
        <w:numPr>
          <w:ilvl w:val="0"/>
          <w:numId w:val="28"/>
        </w:numPr>
        <w:spacing w:before="80" w:after="80"/>
        <w:contextualSpacing w:val="0"/>
        <w:jc w:val="both"/>
        <w:rPr>
          <w:vanish/>
          <w:sz w:val="20"/>
        </w:rPr>
      </w:pPr>
    </w:p>
    <w:p w14:paraId="03B98B61" w14:textId="154CA90B" w:rsidR="004B6D96" w:rsidRDefault="005900F0">
      <w:pPr>
        <w:pStyle w:val="BodyText"/>
        <w:numPr>
          <w:ilvl w:val="1"/>
          <w:numId w:val="31"/>
        </w:numPr>
        <w:ind w:hanging="709"/>
      </w:pPr>
      <w:r>
        <w:t xml:space="preserve">In Chapter </w:t>
      </w:r>
      <w:r w:rsidR="001001B7">
        <w:t>4</w:t>
      </w:r>
      <w:r>
        <w:t xml:space="preserve">, one problem </w:t>
      </w:r>
      <w:r w:rsidRPr="00146421">
        <w:t xml:space="preserve">we </w:t>
      </w:r>
      <w:r>
        <w:t>discussed</w:t>
      </w:r>
      <w:r w:rsidRPr="00146421">
        <w:t xml:space="preserve"> </w:t>
      </w:r>
      <w:r>
        <w:t xml:space="preserve">with the current law is that </w:t>
      </w:r>
      <w:r w:rsidR="00AF5B5E">
        <w:t xml:space="preserve">it does not </w:t>
      </w:r>
      <w:r w:rsidR="004B6D96">
        <w:t xml:space="preserve">require the courts to </w:t>
      </w:r>
      <w:r w:rsidR="004B6D96" w:rsidRPr="00836C4B">
        <w:t xml:space="preserve">communicate </w:t>
      </w:r>
      <w:r w:rsidR="00675B7B">
        <w:t xml:space="preserve">clearly </w:t>
      </w:r>
      <w:r w:rsidR="004B6D96" w:rsidRPr="00836C4B">
        <w:t>to the public that an offence was a hate crime and that this makes it more serious.</w:t>
      </w:r>
      <w:r w:rsidR="004B6D96">
        <w:t xml:space="preserve"> This means hate crimes may not be consistently denounced.</w:t>
      </w:r>
    </w:p>
    <w:p w14:paraId="5077FB94" w14:textId="326FF969" w:rsidR="005900F0" w:rsidRDefault="005900F0" w:rsidP="003E75B9">
      <w:pPr>
        <w:pStyle w:val="BodyText"/>
        <w:numPr>
          <w:ilvl w:val="1"/>
          <w:numId w:val="31"/>
        </w:numPr>
        <w:ind w:hanging="709"/>
      </w:pPr>
      <w:r>
        <w:t xml:space="preserve">In this chapter, we recommend </w:t>
      </w:r>
      <w:r w:rsidR="001001B7">
        <w:t>introducing a legislative requirement for</w:t>
      </w:r>
      <w:r>
        <w:t xml:space="preserve"> judges to state if </w:t>
      </w:r>
      <w:r w:rsidR="005343DE">
        <w:t>section 9(1)(h) of the Sentencing Act 2002</w:t>
      </w:r>
      <w:r>
        <w:t xml:space="preserve"> applies at sentencing. Alongside our recommendations in Chapter </w:t>
      </w:r>
      <w:r w:rsidR="001001B7">
        <w:t>6</w:t>
      </w:r>
      <w:r w:rsidR="00D82A4A">
        <w:t xml:space="preserve"> </w:t>
      </w:r>
      <w:r w:rsidR="00166A29">
        <w:t>to introduce</w:t>
      </w:r>
      <w:r w:rsidR="00D82A4A">
        <w:t xml:space="preserve"> a court hate crime flag</w:t>
      </w:r>
      <w:r>
        <w:t xml:space="preserve">, this would help to ensure that sentencing decisions (and media reporting of them) </w:t>
      </w:r>
      <w:r w:rsidR="008008CD">
        <w:t>communicate the seriousness of hate crimes to the public</w:t>
      </w:r>
      <w:r>
        <w:t xml:space="preserve">. </w:t>
      </w:r>
    </w:p>
    <w:p w14:paraId="25FB437F" w14:textId="246632A9" w:rsidR="005900F0" w:rsidRPr="000C04F4" w:rsidRDefault="000A275E" w:rsidP="00F545FF">
      <w:pPr>
        <w:pStyle w:val="BodyText"/>
        <w:numPr>
          <w:ilvl w:val="1"/>
          <w:numId w:val="31"/>
        </w:numPr>
        <w:ind w:hanging="709"/>
      </w:pPr>
      <w:r w:rsidRPr="000A275E">
        <w:t xml:space="preserve">Te Tari Tohutohu Pāremata | Parliamentary Counsel Office will be able to advise on how the </w:t>
      </w:r>
      <w:r w:rsidR="00493597">
        <w:t>amendments to the Sentencing Act</w:t>
      </w:r>
      <w:r w:rsidRPr="000A275E">
        <w:t xml:space="preserve"> we </w:t>
      </w:r>
      <w:r w:rsidR="00B5043D">
        <w:t>recommend</w:t>
      </w:r>
      <w:r w:rsidRPr="000A275E">
        <w:t xml:space="preserve"> </w:t>
      </w:r>
      <w:r w:rsidR="00EF0AA2">
        <w:t xml:space="preserve">in this </w:t>
      </w:r>
      <w:r w:rsidR="004B6D96">
        <w:t xml:space="preserve">chapter and </w:t>
      </w:r>
      <w:r w:rsidR="00ED5671">
        <w:t xml:space="preserve">in </w:t>
      </w:r>
      <w:r w:rsidR="004B6D96">
        <w:t xml:space="preserve">Chapter 6 </w:t>
      </w:r>
      <w:r w:rsidRPr="000A275E">
        <w:t>can best be achieved. One approach</w:t>
      </w:r>
      <w:r w:rsidR="0084305C">
        <w:t xml:space="preserve"> </w:t>
      </w:r>
      <w:r w:rsidR="00054D1D">
        <w:t>would be</w:t>
      </w:r>
      <w:r w:rsidR="00054D1D" w:rsidRPr="000A275E">
        <w:t xml:space="preserve"> </w:t>
      </w:r>
      <w:r w:rsidRPr="000A275E">
        <w:t>to insert a new section</w:t>
      </w:r>
      <w:r w:rsidR="00F24D07">
        <w:t xml:space="preserve"> or sections</w:t>
      </w:r>
      <w:r w:rsidRPr="000A275E">
        <w:t xml:space="preserve"> into the Act</w:t>
      </w:r>
      <w:r w:rsidR="0037231B">
        <w:t xml:space="preserve"> </w:t>
      </w:r>
      <w:r w:rsidR="008E0CC4">
        <w:t>on</w:t>
      </w:r>
      <w:r w:rsidR="00B73593">
        <w:t xml:space="preserve"> offending aggravated by hostility</w:t>
      </w:r>
      <w:r w:rsidRPr="000A275E">
        <w:t xml:space="preserve">. </w:t>
      </w:r>
      <w:r w:rsidR="007300C9">
        <w:t xml:space="preserve">We discuss </w:t>
      </w:r>
      <w:r w:rsidR="0084305C">
        <w:t>some potential benefits of this approach but</w:t>
      </w:r>
      <w:r w:rsidRPr="000A275E">
        <w:t xml:space="preserve"> make no formal recommendation on the point.</w:t>
      </w:r>
    </w:p>
    <w:p w14:paraId="335913BD" w14:textId="6B1CB7EB" w:rsidR="005900F0" w:rsidRPr="000C04F4" w:rsidRDefault="005900F0" w:rsidP="003E75B9">
      <w:pPr>
        <w:pStyle w:val="BodyText"/>
        <w:numPr>
          <w:ilvl w:val="1"/>
          <w:numId w:val="31"/>
        </w:numPr>
        <w:ind w:hanging="709"/>
      </w:pPr>
      <w:r w:rsidRPr="000C04F4">
        <w:t xml:space="preserve">We </w:t>
      </w:r>
      <w:r w:rsidR="00BC4837">
        <w:t>also</w:t>
      </w:r>
      <w:r w:rsidRPr="000C04F4">
        <w:t xml:space="preserve"> discuss </w:t>
      </w:r>
      <w:r w:rsidR="00BC4837">
        <w:t xml:space="preserve">in this chapter </w:t>
      </w:r>
      <w:r w:rsidR="006C3D1F">
        <w:t>the following</w:t>
      </w:r>
      <w:r w:rsidRPr="000C04F4">
        <w:t xml:space="preserve"> options</w:t>
      </w:r>
      <w:r>
        <w:t xml:space="preserve"> </w:t>
      </w:r>
      <w:r w:rsidR="00BC4837">
        <w:t>on</w:t>
      </w:r>
      <w:r>
        <w:t xml:space="preserve"> which </w:t>
      </w:r>
      <w:r w:rsidR="00BC4837">
        <w:t xml:space="preserve">we sought feedback </w:t>
      </w:r>
      <w:r w:rsidRPr="000C04F4">
        <w:t xml:space="preserve">in our Consultation Paper or </w:t>
      </w:r>
      <w:r w:rsidR="00CA5A40">
        <w:t>that</w:t>
      </w:r>
      <w:r w:rsidR="00BC4837">
        <w:t xml:space="preserve"> were</w:t>
      </w:r>
      <w:r w:rsidR="00BC4837" w:rsidRPr="000C04F4">
        <w:t xml:space="preserve"> raised </w:t>
      </w:r>
      <w:r w:rsidRPr="000C04F4">
        <w:t>by submitters:</w:t>
      </w:r>
    </w:p>
    <w:p w14:paraId="7B5700C4" w14:textId="6A1F66D0" w:rsidR="005900F0" w:rsidRPr="000C04F4" w:rsidRDefault="00E321A8" w:rsidP="003E75B9">
      <w:pPr>
        <w:pStyle w:val="BodyTextalphalist"/>
        <w:numPr>
          <w:ilvl w:val="3"/>
          <w:numId w:val="31"/>
        </w:numPr>
      </w:pPr>
      <w:r>
        <w:t>R</w:t>
      </w:r>
      <w:r w:rsidR="005900F0" w:rsidRPr="000C04F4">
        <w:t xml:space="preserve">equiring judges to state the </w:t>
      </w:r>
      <w:r w:rsidR="005900F0">
        <w:t>difference</w:t>
      </w:r>
      <w:r w:rsidR="005900F0" w:rsidRPr="000C04F4">
        <w:t xml:space="preserve"> hostile motivation </w:t>
      </w:r>
      <w:r w:rsidR="005900F0">
        <w:t>made to</w:t>
      </w:r>
      <w:r w:rsidR="005900F0" w:rsidRPr="000C04F4">
        <w:t xml:space="preserve"> </w:t>
      </w:r>
      <w:r w:rsidR="00124A52">
        <w:t>a</w:t>
      </w:r>
      <w:r w:rsidR="00124A52" w:rsidRPr="000C04F4">
        <w:t xml:space="preserve"> </w:t>
      </w:r>
      <w:r w:rsidR="005900F0" w:rsidRPr="000C04F4">
        <w:t>sentence</w:t>
      </w:r>
      <w:r>
        <w:t>.</w:t>
      </w:r>
    </w:p>
    <w:p w14:paraId="53C54781" w14:textId="4BEAC8F2" w:rsidR="005900F0" w:rsidRPr="000C04F4" w:rsidRDefault="00E321A8" w:rsidP="003E75B9">
      <w:pPr>
        <w:pStyle w:val="BodyTextalphalist"/>
        <w:numPr>
          <w:ilvl w:val="3"/>
          <w:numId w:val="31"/>
        </w:numPr>
      </w:pPr>
      <w:r>
        <w:t>C</w:t>
      </w:r>
      <w:r w:rsidR="005900F0" w:rsidRPr="000C04F4">
        <w:t xml:space="preserve">reating sentencing guidelines for </w:t>
      </w:r>
      <w:r w:rsidR="005900F0">
        <w:t>hostility</w:t>
      </w:r>
      <w:r w:rsidR="005900F0" w:rsidRPr="000C04F4">
        <w:t>-motivated offending</w:t>
      </w:r>
      <w:r>
        <w:t>.</w:t>
      </w:r>
    </w:p>
    <w:p w14:paraId="5254F3B5" w14:textId="6E515A2A" w:rsidR="005900F0" w:rsidRPr="000C04F4" w:rsidRDefault="00E321A8" w:rsidP="003E75B9">
      <w:pPr>
        <w:pStyle w:val="BodyTextalphalist"/>
        <w:numPr>
          <w:ilvl w:val="3"/>
          <w:numId w:val="31"/>
        </w:numPr>
        <w:rPr>
          <w:szCs w:val="20"/>
        </w:rPr>
      </w:pPr>
      <w:r>
        <w:t>P</w:t>
      </w:r>
      <w:r w:rsidR="00E90877">
        <w:t>roviding for</w:t>
      </w:r>
      <w:r w:rsidR="005900F0" w:rsidRPr="000C04F4">
        <w:t xml:space="preserve"> affected comm</w:t>
      </w:r>
      <w:r w:rsidR="005900F0" w:rsidRPr="000C04F4">
        <w:rPr>
          <w:szCs w:val="20"/>
        </w:rPr>
        <w:t xml:space="preserve">unities to </w:t>
      </w:r>
      <w:r w:rsidR="0085643C">
        <w:rPr>
          <w:szCs w:val="20"/>
        </w:rPr>
        <w:t>give</w:t>
      </w:r>
      <w:r w:rsidR="005900F0" w:rsidRPr="000C04F4">
        <w:rPr>
          <w:szCs w:val="20"/>
        </w:rPr>
        <w:t xml:space="preserve"> impact statements at sentencing</w:t>
      </w:r>
      <w:r w:rsidR="006F6ABA">
        <w:rPr>
          <w:szCs w:val="20"/>
        </w:rPr>
        <w:t>.</w:t>
      </w:r>
    </w:p>
    <w:p w14:paraId="4499B7DC" w14:textId="41FCE808" w:rsidR="006F6ABA" w:rsidRPr="000C04F4" w:rsidRDefault="00A87A6E" w:rsidP="006F6ABA">
      <w:pPr>
        <w:pStyle w:val="BodyTextalphalist"/>
        <w:numPr>
          <w:ilvl w:val="0"/>
          <w:numId w:val="0"/>
        </w:numPr>
        <w:ind w:left="709"/>
        <w:rPr>
          <w:szCs w:val="20"/>
        </w:rPr>
      </w:pPr>
      <w:r w:rsidRPr="00A87A6E">
        <w:rPr>
          <w:szCs w:val="20"/>
        </w:rPr>
        <w:t xml:space="preserve">We do not recommend reform </w:t>
      </w:r>
      <w:r w:rsidR="003A268D">
        <w:rPr>
          <w:szCs w:val="20"/>
        </w:rPr>
        <w:t>to implement</w:t>
      </w:r>
      <w:r w:rsidRPr="00A87A6E">
        <w:rPr>
          <w:szCs w:val="20"/>
        </w:rPr>
        <w:t xml:space="preserve"> these </w:t>
      </w:r>
      <w:r w:rsidR="003A268D">
        <w:rPr>
          <w:szCs w:val="20"/>
        </w:rPr>
        <w:t>options</w:t>
      </w:r>
      <w:r w:rsidR="00E321A8">
        <w:rPr>
          <w:szCs w:val="20"/>
        </w:rPr>
        <w:t>,</w:t>
      </w:r>
      <w:r w:rsidRPr="00A87A6E">
        <w:rPr>
          <w:szCs w:val="20"/>
        </w:rPr>
        <w:t xml:space="preserve"> although</w:t>
      </w:r>
      <w:r w:rsidR="0078417B">
        <w:rPr>
          <w:szCs w:val="20"/>
        </w:rPr>
        <w:t>, in relation to option (c),</w:t>
      </w:r>
      <w:r w:rsidRPr="00A87A6E">
        <w:rPr>
          <w:szCs w:val="20"/>
        </w:rPr>
        <w:t xml:space="preserve"> we suggest </w:t>
      </w:r>
      <w:r w:rsidR="0078417B">
        <w:rPr>
          <w:szCs w:val="20"/>
        </w:rPr>
        <w:t>community impact statements can already be given</w:t>
      </w:r>
      <w:r w:rsidRPr="00A87A6E">
        <w:rPr>
          <w:szCs w:val="20"/>
        </w:rPr>
        <w:t xml:space="preserve"> under the current law.</w:t>
      </w:r>
    </w:p>
    <w:p w14:paraId="20164A69" w14:textId="77777777" w:rsidR="005900F0" w:rsidRDefault="005900F0" w:rsidP="005900F0">
      <w:pPr>
        <w:pStyle w:val="Heading2"/>
      </w:pPr>
      <w:bookmarkStart w:id="146" w:name="_Toc212106768"/>
      <w:bookmarkStart w:id="147" w:name="_Toc231467855"/>
      <w:r>
        <w:t xml:space="preserve">Requiring sentencing judges to state </w:t>
      </w:r>
      <w:bookmarkEnd w:id="146"/>
      <w:r>
        <w:t>if offending was motivated by hostility</w:t>
      </w:r>
      <w:bookmarkEnd w:id="147"/>
    </w:p>
    <w:p w14:paraId="75AF5E93" w14:textId="0101CEBD" w:rsidR="00956605" w:rsidRPr="00ED5B70" w:rsidRDefault="00956605" w:rsidP="00ED5B70">
      <w:pPr>
        <w:pStyle w:val="BodyText"/>
        <w:numPr>
          <w:ilvl w:val="1"/>
          <w:numId w:val="31"/>
        </w:numPr>
        <w:spacing w:after="120"/>
        <w:ind w:hanging="709"/>
      </w:pPr>
      <w:r w:rsidRPr="00BC6A64">
        <w:t>Under the Sentencing Act, a judge must give reasons in open court for imposing a sentence or otherwise dealing with an offender.</w:t>
      </w:r>
      <w:r w:rsidRPr="00BC6A64">
        <w:rPr>
          <w:rStyle w:val="FootnoteReference"/>
        </w:rPr>
        <w:footnoteReference w:id="513"/>
      </w:r>
      <w:r w:rsidRPr="00BC6A64">
        <w:t xml:space="preserve"> Reasons may be given “with whatever level of particularity is appropriate to the particular case”.</w:t>
      </w:r>
      <w:r w:rsidRPr="00BC6A64">
        <w:rPr>
          <w:rStyle w:val="FootnoteReference"/>
        </w:rPr>
        <w:footnoteReference w:id="514"/>
      </w:r>
      <w:r w:rsidRPr="00BC6A64">
        <w:t xml:space="preserve"> </w:t>
      </w:r>
      <w:r w:rsidR="004E2178">
        <w:t>In practice, s</w:t>
      </w:r>
      <w:r w:rsidR="004B7C5E" w:rsidRPr="00BC6A64">
        <w:t xml:space="preserve">entencing judges usually identify the aggravating factors that apply when giving reasons for their decision </w:t>
      </w:r>
      <w:r w:rsidR="004B7C5E">
        <w:t>in open court</w:t>
      </w:r>
      <w:r w:rsidR="00BA7EC6">
        <w:t>. However, this is not specifically required by legislation.</w:t>
      </w:r>
    </w:p>
    <w:p w14:paraId="123167F4" w14:textId="17EAEA9E" w:rsidR="005900F0" w:rsidRDefault="005900F0" w:rsidP="003E75B9">
      <w:pPr>
        <w:pStyle w:val="BodyText"/>
        <w:numPr>
          <w:ilvl w:val="1"/>
          <w:numId w:val="31"/>
        </w:numPr>
        <w:spacing w:after="120"/>
        <w:ind w:hanging="709"/>
      </w:pPr>
      <w:r>
        <w:t>In our Consultation Paper, we sought feedback on the option of requiring</w:t>
      </w:r>
      <w:r w:rsidRPr="001A5DF0">
        <w:t xml:space="preserve"> judges to state </w:t>
      </w:r>
      <w:r w:rsidR="00E03902">
        <w:t xml:space="preserve">in their sentencing decisions </w:t>
      </w:r>
      <w:r>
        <w:t>if</w:t>
      </w:r>
      <w:r w:rsidRPr="001A5DF0">
        <w:t xml:space="preserve"> the </w:t>
      </w:r>
      <w:r>
        <w:t>hostility</w:t>
      </w:r>
      <w:r w:rsidRPr="001A5DF0">
        <w:t xml:space="preserve"> aggravating factor</w:t>
      </w:r>
      <w:r>
        <w:t xml:space="preserve"> applies to an offence</w:t>
      </w:r>
      <w:r w:rsidRPr="001A5DF0">
        <w:t>.</w:t>
      </w:r>
      <w:r>
        <w:rPr>
          <w:rStyle w:val="FootnoteReference"/>
        </w:rPr>
        <w:footnoteReference w:id="515"/>
      </w:r>
      <w:r w:rsidRPr="001A5DF0">
        <w:t xml:space="preserve"> </w:t>
      </w:r>
      <w:r>
        <w:t>We suggested this</w:t>
      </w:r>
      <w:r w:rsidRPr="001A5DF0">
        <w:t xml:space="preserve"> could help </w:t>
      </w:r>
      <w:r>
        <w:t xml:space="preserve">to </w:t>
      </w:r>
      <w:r w:rsidRPr="001A5DF0">
        <w:t xml:space="preserve">ensure sentencing decisions consistently convey the seriousness of </w:t>
      </w:r>
      <w:r>
        <w:t xml:space="preserve">hate crime </w:t>
      </w:r>
      <w:r w:rsidRPr="001A5DF0">
        <w:t>to the public.</w:t>
      </w:r>
    </w:p>
    <w:p w14:paraId="0C6DABE6" w14:textId="77777777" w:rsidR="005900F0" w:rsidRDefault="005900F0" w:rsidP="005900F0">
      <w:pPr>
        <w:pStyle w:val="Heading3"/>
      </w:pPr>
      <w:r>
        <w:t>Consultation</w:t>
      </w:r>
    </w:p>
    <w:p w14:paraId="66684921" w14:textId="09020D45" w:rsidR="005900F0" w:rsidRDefault="005900F0" w:rsidP="003E75B9">
      <w:pPr>
        <w:pStyle w:val="BodyText"/>
        <w:numPr>
          <w:ilvl w:val="1"/>
          <w:numId w:val="31"/>
        </w:numPr>
        <w:spacing w:after="120"/>
        <w:ind w:hanging="709"/>
      </w:pPr>
      <w:r w:rsidRPr="00D072C8">
        <w:t xml:space="preserve">Nine submitters expressly supported requiring sentencing judges to state </w:t>
      </w:r>
      <w:r>
        <w:t>if</w:t>
      </w:r>
      <w:r w:rsidRPr="00D072C8">
        <w:t xml:space="preserve"> an offence was a hate crime.</w:t>
      </w:r>
      <w:r w:rsidRPr="6A35053A">
        <w:rPr>
          <w:color w:val="262626" w:themeColor="text1" w:themeTint="D9"/>
          <w:sz w:val="18"/>
          <w:szCs w:val="18"/>
          <w:vertAlign w:val="superscript"/>
        </w:rPr>
        <w:footnoteReference w:id="516"/>
      </w:r>
      <w:r w:rsidRPr="00D072C8">
        <w:t xml:space="preserve"> </w:t>
      </w:r>
      <w:r w:rsidR="009A5B9D">
        <w:t>Some reasons submitters gave for supporting</w:t>
      </w:r>
      <w:r w:rsidRPr="00D072C8">
        <w:t xml:space="preserve"> this option </w:t>
      </w:r>
      <w:r w:rsidR="009A5B9D">
        <w:t>were that</w:t>
      </w:r>
      <w:r w:rsidR="008D10AE">
        <w:t xml:space="preserve"> </w:t>
      </w:r>
      <w:r w:rsidRPr="00D072C8">
        <w:t>it would reinforce the law’s denunciation of hate crimes</w:t>
      </w:r>
      <w:r w:rsidR="008D10AE">
        <w:t>,</w:t>
      </w:r>
      <w:r w:rsidRPr="6A35053A">
        <w:rPr>
          <w:color w:val="262626" w:themeColor="text1" w:themeTint="D9"/>
          <w:sz w:val="18"/>
          <w:szCs w:val="18"/>
          <w:vertAlign w:val="superscript"/>
        </w:rPr>
        <w:footnoteReference w:id="517"/>
      </w:r>
      <w:r w:rsidRPr="00D072C8">
        <w:t xml:space="preserve"> contribute to wider public awareness</w:t>
      </w:r>
      <w:r w:rsidRPr="6A35053A">
        <w:rPr>
          <w:color w:val="262626" w:themeColor="text1" w:themeTint="D9"/>
          <w:sz w:val="18"/>
          <w:szCs w:val="18"/>
          <w:vertAlign w:val="superscript"/>
        </w:rPr>
        <w:footnoteReference w:id="518"/>
      </w:r>
      <w:r w:rsidRPr="00D072C8">
        <w:t xml:space="preserve"> and, potentially, increase reporting rates</w:t>
      </w:r>
      <w:r>
        <w:t xml:space="preserve"> for hate crime</w:t>
      </w:r>
      <w:r w:rsidRPr="00D072C8">
        <w:t>.</w:t>
      </w:r>
      <w:r w:rsidRPr="6A35053A">
        <w:rPr>
          <w:color w:val="262626" w:themeColor="text1" w:themeTint="D9"/>
          <w:sz w:val="18"/>
          <w:szCs w:val="18"/>
          <w:vertAlign w:val="superscript"/>
        </w:rPr>
        <w:footnoteReference w:id="519"/>
      </w:r>
      <w:r>
        <w:t xml:space="preserve"> The Law Association Public and Administrative Law Committee emphasised that “[t]</w:t>
      </w:r>
      <w:r w:rsidRPr="006A69A0">
        <w:t>he judiciary can and should use sentencing remarks to publicly denounce conduct motivated by hostility</w:t>
      </w:r>
      <w:r>
        <w:t>”</w:t>
      </w:r>
      <w:r w:rsidRPr="006A69A0">
        <w:t>.</w:t>
      </w:r>
    </w:p>
    <w:p w14:paraId="49CA6821" w14:textId="1F35AAEE" w:rsidR="005900F0" w:rsidRDefault="005900F0" w:rsidP="003E75B9">
      <w:pPr>
        <w:pStyle w:val="BodyText"/>
        <w:numPr>
          <w:ilvl w:val="1"/>
          <w:numId w:val="31"/>
        </w:numPr>
        <w:spacing w:after="120"/>
        <w:ind w:hanging="709"/>
      </w:pPr>
      <w:r w:rsidRPr="00D072C8">
        <w:t xml:space="preserve">Four </w:t>
      </w:r>
      <w:r>
        <w:t>additional</w:t>
      </w:r>
      <w:r w:rsidRPr="00D072C8">
        <w:t xml:space="preserve"> submitters </w:t>
      </w:r>
      <w:r>
        <w:t>did not express</w:t>
      </w:r>
      <w:r w:rsidR="00222A4C">
        <w:t xml:space="preserve"> clear</w:t>
      </w:r>
      <w:r>
        <w:t xml:space="preserve"> support </w:t>
      </w:r>
      <w:r w:rsidR="00222A4C">
        <w:t xml:space="preserve">for </w:t>
      </w:r>
      <w:r>
        <w:t>this option but made related comments</w:t>
      </w:r>
      <w:r w:rsidR="005906C3">
        <w:t>:</w:t>
      </w:r>
    </w:p>
    <w:p w14:paraId="75099E77" w14:textId="77777777" w:rsidR="005900F0" w:rsidRDefault="005900F0" w:rsidP="003E75B9">
      <w:pPr>
        <w:pStyle w:val="BodyTextalphalist"/>
        <w:numPr>
          <w:ilvl w:val="3"/>
          <w:numId w:val="31"/>
        </w:numPr>
      </w:pPr>
      <w:r w:rsidRPr="00E941E6">
        <w:t xml:space="preserve">Luke Cunningham Clere noted this option would meet the international trend of “marking out” </w:t>
      </w:r>
      <w:r>
        <w:t>hostility-</w:t>
      </w:r>
      <w:r w:rsidRPr="00E941E6">
        <w:t>motivated offending</w:t>
      </w:r>
      <w:r>
        <w:t>.</w:t>
      </w:r>
    </w:p>
    <w:p w14:paraId="0D112B54" w14:textId="283DEE7E" w:rsidR="005900F0" w:rsidRDefault="005900F0" w:rsidP="003E75B9">
      <w:pPr>
        <w:pStyle w:val="BodyTextalphalist"/>
        <w:numPr>
          <w:ilvl w:val="3"/>
          <w:numId w:val="31"/>
        </w:numPr>
      </w:pPr>
      <w:r>
        <w:t xml:space="preserve">Dr David Harvey </w:t>
      </w:r>
      <w:r w:rsidRPr="00E941E6">
        <w:t xml:space="preserve">said judges should make it clear when and how </w:t>
      </w:r>
      <w:r w:rsidR="00EB1387">
        <w:t xml:space="preserve">a </w:t>
      </w:r>
      <w:r w:rsidRPr="00E941E6">
        <w:t>hostility aggravation forms a part of a sentencing outcome</w:t>
      </w:r>
      <w:r>
        <w:t>.</w:t>
      </w:r>
    </w:p>
    <w:p w14:paraId="66B7DECD" w14:textId="305683A9" w:rsidR="005900F0" w:rsidRPr="00D072C8" w:rsidRDefault="005900F0" w:rsidP="003E75B9">
      <w:pPr>
        <w:pStyle w:val="BodyTextalphalist"/>
        <w:numPr>
          <w:ilvl w:val="3"/>
          <w:numId w:val="31"/>
        </w:numPr>
      </w:pPr>
      <w:r>
        <w:t>The Maxim Institute and an individual submitter</w:t>
      </w:r>
      <w:r w:rsidR="00B6016B">
        <w:rPr>
          <w:rStyle w:val="FootnoteReference"/>
        </w:rPr>
        <w:footnoteReference w:id="520"/>
      </w:r>
      <w:r>
        <w:t xml:space="preserve"> supported requiring judges to explain the impact of hostile motivation on the sentence imposed (discussed below). In practice, that would also require judges to </w:t>
      </w:r>
      <w:r w:rsidR="0072598A">
        <w:t xml:space="preserve">make it clear </w:t>
      </w:r>
      <w:r w:rsidR="000367BC">
        <w:t xml:space="preserve">that </w:t>
      </w:r>
      <w:r>
        <w:t>the aggravating factor applie</w:t>
      </w:r>
      <w:r w:rsidR="000367BC">
        <w:t>d</w:t>
      </w:r>
      <w:r>
        <w:t>.</w:t>
      </w:r>
    </w:p>
    <w:p w14:paraId="36EB3B89" w14:textId="77777777" w:rsidR="005900F0" w:rsidRDefault="005900F0" w:rsidP="003E75B9">
      <w:pPr>
        <w:pStyle w:val="BodyText"/>
        <w:numPr>
          <w:ilvl w:val="1"/>
          <w:numId w:val="31"/>
        </w:numPr>
        <w:ind w:hanging="709"/>
      </w:pPr>
      <w:r>
        <w:t xml:space="preserve">No submitters disagreed with requiring judges to state if the aggravating factor applies. </w:t>
      </w:r>
    </w:p>
    <w:p w14:paraId="7957C12C" w14:textId="77777777" w:rsidR="005900F0" w:rsidRDefault="005900F0" w:rsidP="005900F0">
      <w:pPr>
        <w:pStyle w:val="Heading3"/>
      </w:pPr>
      <w:r>
        <w:t>Overseas approaches</w:t>
      </w:r>
    </w:p>
    <w:p w14:paraId="369A9CFC" w14:textId="0205AAD6" w:rsidR="005900F0" w:rsidRDefault="005900F0" w:rsidP="003E75B9">
      <w:pPr>
        <w:pStyle w:val="BodyText"/>
        <w:numPr>
          <w:ilvl w:val="1"/>
          <w:numId w:val="31"/>
        </w:numPr>
        <w:spacing w:after="120"/>
        <w:ind w:hanging="709"/>
      </w:pPr>
      <w:r>
        <w:t>As discussed in Chapter 5, England and Wales have both specific hate crime offences and a</w:t>
      </w:r>
      <w:r w:rsidR="00C33D13">
        <w:t xml:space="preserve"> hostility</w:t>
      </w:r>
      <w:r>
        <w:t xml:space="preserve"> aggravating factor </w:t>
      </w:r>
      <w:r w:rsidR="00A520E0">
        <w:t>at sentencing</w:t>
      </w:r>
      <w:r>
        <w:t xml:space="preserve"> (to address cases not covered by a specific hate crime offence). Where the aggravating factor applies, the courts are required by legislation to state in open court that the offending was aggravated by hostility.</w:t>
      </w:r>
      <w:r>
        <w:rPr>
          <w:rStyle w:val="FootnoteReference"/>
        </w:rPr>
        <w:footnoteReference w:id="521"/>
      </w:r>
      <w:r>
        <w:t xml:space="preserve"> Similar requirements apply in Northern Ireland</w:t>
      </w:r>
      <w:r>
        <w:rPr>
          <w:rStyle w:val="FootnoteReference"/>
        </w:rPr>
        <w:footnoteReference w:id="522"/>
      </w:r>
      <w:r>
        <w:t xml:space="preserve"> and (since 2024) the Republic of Ireland.</w:t>
      </w:r>
      <w:r>
        <w:rPr>
          <w:rStyle w:val="FootnoteReference"/>
        </w:rPr>
        <w:footnoteReference w:id="523"/>
      </w:r>
      <w:r>
        <w:t xml:space="preserve"> In the Republic of Ireland, the court must also state </w:t>
      </w:r>
      <w:r w:rsidR="00B152DD">
        <w:t>which</w:t>
      </w:r>
      <w:r>
        <w:t xml:space="preserve"> protected characteristics </w:t>
      </w:r>
      <w:r w:rsidR="00B152DD">
        <w:t>are at issue</w:t>
      </w:r>
      <w:r>
        <w:t>.</w:t>
      </w:r>
    </w:p>
    <w:p w14:paraId="64854DE1" w14:textId="77777777" w:rsidR="005900F0" w:rsidRDefault="005900F0" w:rsidP="003E75B9">
      <w:pPr>
        <w:pStyle w:val="BodyText"/>
        <w:numPr>
          <w:ilvl w:val="1"/>
          <w:numId w:val="31"/>
        </w:numPr>
        <w:spacing w:after="120"/>
        <w:ind w:hanging="709"/>
      </w:pPr>
      <w:r>
        <w:t>The Law Commission of England and Wales considered the requirement to state the aggravation in open court as part of its review of hate crime in 2020. The Commission said:</w:t>
      </w:r>
      <w:r>
        <w:rPr>
          <w:rStyle w:val="FootnoteReference"/>
        </w:rPr>
        <w:footnoteReference w:id="524"/>
      </w:r>
    </w:p>
    <w:p w14:paraId="6909A4E0" w14:textId="77777777" w:rsidR="005900F0" w:rsidRDefault="005900F0" w:rsidP="005900F0">
      <w:pPr>
        <w:pStyle w:val="Quote"/>
        <w:ind w:left="1134"/>
      </w:pPr>
      <w:r w:rsidRPr="00F122E3">
        <w:t>We consider this to be an appropriate and important component of recognising the additional harm suffered by the victim, and also wider members of their community. We therefore consider that this requirement should be retained.</w:t>
      </w:r>
    </w:p>
    <w:p w14:paraId="3207140C" w14:textId="2E778F50" w:rsidR="005900F0" w:rsidRDefault="005900F0" w:rsidP="003E75B9">
      <w:pPr>
        <w:pStyle w:val="BodyText"/>
        <w:numPr>
          <w:ilvl w:val="1"/>
          <w:numId w:val="31"/>
        </w:numPr>
        <w:spacing w:after="120"/>
        <w:ind w:hanging="709"/>
      </w:pPr>
      <w:r>
        <w:t>The Commission noted that, historically, the requirement was not routinely complied with, but the situation had improved more recently.</w:t>
      </w:r>
      <w:r>
        <w:rPr>
          <w:rStyle w:val="FootnoteReference"/>
        </w:rPr>
        <w:footnoteReference w:id="525"/>
      </w:r>
      <w:r>
        <w:t xml:space="preserve"> Data and case summaries published by the Crown Prosecution Service indicate that it is now common for sentencing judges to specify </w:t>
      </w:r>
      <w:r w:rsidR="00865836">
        <w:t>if</w:t>
      </w:r>
      <w:r>
        <w:t xml:space="preserve"> an offence was motivated by hostility and to increase the sentence to reflect th</w:t>
      </w:r>
      <w:r w:rsidR="006F1EDD">
        <w:t>at</w:t>
      </w:r>
      <w:r>
        <w:t>.</w:t>
      </w:r>
      <w:r>
        <w:rPr>
          <w:rStyle w:val="FootnoteReference"/>
        </w:rPr>
        <w:footnoteReference w:id="526"/>
      </w:r>
      <w:r>
        <w:t xml:space="preserve"> </w:t>
      </w:r>
    </w:p>
    <w:p w14:paraId="5498CEB3" w14:textId="762A91F7" w:rsidR="005900F0" w:rsidRDefault="005900F0" w:rsidP="003E75B9">
      <w:pPr>
        <w:pStyle w:val="BodyText"/>
        <w:numPr>
          <w:ilvl w:val="1"/>
          <w:numId w:val="31"/>
        </w:numPr>
        <w:spacing w:after="120"/>
        <w:ind w:hanging="709"/>
      </w:pPr>
      <w:r>
        <w:t xml:space="preserve">In Scotland, </w:t>
      </w:r>
      <w:r w:rsidR="00A1105B">
        <w:t xml:space="preserve">under </w:t>
      </w:r>
      <w:r>
        <w:t xml:space="preserve">the </w:t>
      </w:r>
      <w:r w:rsidR="00A1105B">
        <w:t>Scottish</w:t>
      </w:r>
      <w:r>
        <w:t xml:space="preserve"> hybrid model of hate crime law, the court is required to state on conviction if an offence was aggravated by prejudice and the type of prejudice involved (by reference to one or more protected characteristics).</w:t>
      </w:r>
      <w:r>
        <w:rPr>
          <w:rStyle w:val="FootnoteReference"/>
        </w:rPr>
        <w:footnoteReference w:id="527"/>
      </w:r>
      <w:r>
        <w:t xml:space="preserve"> This requirement would also apply in Northern Ireland under a Bill that has been introduced to adopt the hybrid model.</w:t>
      </w:r>
      <w:r>
        <w:rPr>
          <w:rStyle w:val="FootnoteReference"/>
        </w:rPr>
        <w:footnoteReference w:id="528"/>
      </w:r>
      <w:r>
        <w:t xml:space="preserve"> </w:t>
      </w:r>
      <w:r w:rsidR="002161DC">
        <w:t>An independent review in Scotland</w:t>
      </w:r>
      <w:r>
        <w:t xml:space="preserve"> in 2018 found that this requirement — along with the requirements to take the aggravation into account at sentencing and to record the aggravation — were “</w:t>
      </w:r>
      <w:r w:rsidRPr="00080B5B">
        <w:t>vital</w:t>
      </w:r>
      <w:r>
        <w:t xml:space="preserve"> … </w:t>
      </w:r>
      <w:r w:rsidRPr="00080B5B">
        <w:t>to promote understanding of the law, transparency of the judicial process and consistency in sentencing</w:t>
      </w:r>
      <w:r>
        <w:t>”.</w:t>
      </w:r>
      <w:r>
        <w:rPr>
          <w:rStyle w:val="FootnoteReference"/>
        </w:rPr>
        <w:footnoteReference w:id="529"/>
      </w:r>
      <w:r>
        <w:t xml:space="preserve"> </w:t>
      </w:r>
    </w:p>
    <w:p w14:paraId="053E87AA" w14:textId="58CADB6E" w:rsidR="005900F0" w:rsidRDefault="005900F0" w:rsidP="003E75B9">
      <w:pPr>
        <w:pStyle w:val="BodyText"/>
        <w:numPr>
          <w:ilvl w:val="1"/>
          <w:numId w:val="31"/>
        </w:numPr>
        <w:spacing w:after="120"/>
        <w:ind w:hanging="709"/>
      </w:pPr>
      <w:r>
        <w:t>In Australia and Canada, there is no requirement to state in open court if the hostility aggravating factor applies. The Canadian courts have nonetheless adopted a practice of considering the evidence of hostile motivation in some detail</w:t>
      </w:r>
      <w:r>
        <w:rPr>
          <w:rStyle w:val="FootnoteReference"/>
        </w:rPr>
        <w:footnoteReference w:id="530"/>
      </w:r>
      <w:r>
        <w:t xml:space="preserve"> and emphasising the need for strong denunciation of hate crimes when sentencing </w:t>
      </w:r>
      <w:r w:rsidR="00E84D41">
        <w:t>an</w:t>
      </w:r>
      <w:r>
        <w:t xml:space="preserve"> offender.</w:t>
      </w:r>
      <w:r>
        <w:rPr>
          <w:rStyle w:val="FootnoteReference"/>
        </w:rPr>
        <w:footnoteReference w:id="531"/>
      </w:r>
      <w:r>
        <w:t xml:space="preserve"> This has occurred through judicial precedent rather than legislative prescription. As far back as 1977, the Ontario Court of Appeal said in </w:t>
      </w:r>
      <w:r>
        <w:rPr>
          <w:i/>
          <w:iCs/>
        </w:rPr>
        <w:t xml:space="preserve">R v Ingram </w:t>
      </w:r>
      <w:r>
        <w:t>(in the context of a racially motivated assault):</w:t>
      </w:r>
      <w:r>
        <w:rPr>
          <w:rStyle w:val="FootnoteReference"/>
        </w:rPr>
        <w:footnoteReference w:id="532"/>
      </w:r>
    </w:p>
    <w:p w14:paraId="4AE7480B" w14:textId="77777777" w:rsidR="005900F0" w:rsidRDefault="005900F0" w:rsidP="005900F0">
      <w:pPr>
        <w:pStyle w:val="Quote"/>
        <w:ind w:left="1134"/>
      </w:pPr>
      <w:r w:rsidRPr="00014914">
        <w:t xml:space="preserve">It is a fundamental principle of our society that every member must respect the dignity, privacy and person of the other. Crimes of violence increase when respect for the rights of others decreases, and, in that manner, assaults such as occurred in this case attack the very fabric of our society. </w:t>
      </w:r>
      <w:r>
        <w:t>…</w:t>
      </w:r>
      <w:r w:rsidRPr="00014914">
        <w:t xml:space="preserve"> An assault which is racially motivated renders the offence more heinous. Such assaults, unfortunately, invite imitation and repetition by others and incite retaliation. The danger is even greater in a multicultural, pluralistic urban society. The sentence imposed must be one which expresses the public abhorrence for such conduct and their refusal to countenance it.</w:t>
      </w:r>
    </w:p>
    <w:p w14:paraId="25C3AC2F" w14:textId="77777777" w:rsidR="005900F0" w:rsidRPr="004A5AC4" w:rsidRDefault="005900F0" w:rsidP="003E75B9">
      <w:pPr>
        <w:pStyle w:val="BodyText"/>
        <w:numPr>
          <w:ilvl w:val="1"/>
          <w:numId w:val="31"/>
        </w:numPr>
        <w:ind w:hanging="709"/>
      </w:pPr>
      <w:r>
        <w:t>Similar remarks continue to be made in modern hate crime sentencing decisions. It is common for sentencing judges in Canada to refer to the values of Canadian society that are transgressed by hate crimes (such as human dignity and tolerance) and the harm hate crimes cause to the wider community.</w:t>
      </w:r>
      <w:r>
        <w:rPr>
          <w:rStyle w:val="FootnoteReference"/>
        </w:rPr>
        <w:footnoteReference w:id="533"/>
      </w:r>
      <w:r>
        <w:t xml:space="preserve"> </w:t>
      </w:r>
    </w:p>
    <w:p w14:paraId="5EB146E9" w14:textId="77777777" w:rsidR="005900F0" w:rsidRDefault="005900F0" w:rsidP="005900F0">
      <w:pPr>
        <w:pStyle w:val="Heading3"/>
      </w:pPr>
      <w:r>
        <w:t>Other requirements for sentencing judges to state certain matters</w:t>
      </w:r>
    </w:p>
    <w:p w14:paraId="51FA4F8E" w14:textId="1AF2EDE4" w:rsidR="005900F0" w:rsidRDefault="005900F0" w:rsidP="00F545FF">
      <w:pPr>
        <w:pStyle w:val="BodyText"/>
        <w:numPr>
          <w:ilvl w:val="1"/>
          <w:numId w:val="31"/>
        </w:numPr>
        <w:ind w:hanging="709"/>
      </w:pPr>
      <w:r>
        <w:t>In Aotearoa New Zealand, there is precedent in the Sentencing Act for requiring judges to state certain matters</w:t>
      </w:r>
      <w:r w:rsidR="00DA350A">
        <w:t xml:space="preserve"> at sentencing</w:t>
      </w:r>
      <w:r>
        <w:t xml:space="preserve">. </w:t>
      </w:r>
      <w:r w:rsidR="00640326">
        <w:t>Current examples</w:t>
      </w:r>
      <w:r>
        <w:t xml:space="preserve"> relate to sentence reductions for guilty pleas and personal mitigating factors, </w:t>
      </w:r>
      <w:r w:rsidR="00640326">
        <w:t xml:space="preserve">respectively, </w:t>
      </w:r>
      <w:r>
        <w:t>both of which are capped at certain percentages in the Act.</w:t>
      </w:r>
      <w:r>
        <w:rPr>
          <w:rStyle w:val="FootnoteReference"/>
        </w:rPr>
        <w:footnoteReference w:id="534"/>
      </w:r>
      <w:r>
        <w:t xml:space="preserve"> At sentencing, the court must state how it has applied the limits on guilty plea reductions and give reasons for that.</w:t>
      </w:r>
      <w:r>
        <w:rPr>
          <w:rStyle w:val="FootnoteReference"/>
        </w:rPr>
        <w:footnoteReference w:id="535"/>
      </w:r>
      <w:r>
        <w:t xml:space="preserve"> It must also state the total sentence reduction that would have been made for personal mitigating factors but for the statutory limit.</w:t>
      </w:r>
      <w:r>
        <w:rPr>
          <w:rStyle w:val="FootnoteReference"/>
        </w:rPr>
        <w:footnoteReference w:id="536"/>
      </w:r>
      <w:r>
        <w:t xml:space="preserve"> Although the purpose of these requirements is unclear from the legislative history, it appears the</w:t>
      </w:r>
      <w:r w:rsidR="00E839FD">
        <w:t>y</w:t>
      </w:r>
      <w:r>
        <w:t xml:space="preserve"> may have been intended to ensure the court’s reasons are adequately recorded to facilitate consideration on appeal.</w:t>
      </w:r>
      <w:r>
        <w:rPr>
          <w:rStyle w:val="FootnoteReference"/>
        </w:rPr>
        <w:footnoteReference w:id="537"/>
      </w:r>
    </w:p>
    <w:p w14:paraId="0ACADE8B" w14:textId="77777777" w:rsidR="005900F0" w:rsidRPr="00741038" w:rsidRDefault="005900F0" w:rsidP="00F545FF">
      <w:pPr>
        <w:pStyle w:val="BodyText"/>
        <w:numPr>
          <w:ilvl w:val="1"/>
          <w:numId w:val="31"/>
        </w:numPr>
        <w:ind w:hanging="709"/>
      </w:pPr>
      <w:r>
        <w:t xml:space="preserve">No similar requirements exist currently in relation to aggravating factors. </w:t>
      </w:r>
    </w:p>
    <w:p w14:paraId="23C839D0" w14:textId="0F1E94FA" w:rsidR="005900F0" w:rsidRDefault="005900F0" w:rsidP="005900F0">
      <w:pPr>
        <w:pStyle w:val="Heading3"/>
      </w:pPr>
      <w:r>
        <w:t>The need for reform</w:t>
      </w:r>
    </w:p>
    <w:p w14:paraId="40E0598E" w14:textId="6891C047" w:rsidR="004F42C9" w:rsidRDefault="00186882" w:rsidP="004F42C9">
      <w:pPr>
        <w:pStyle w:val="BodyText"/>
        <w:numPr>
          <w:ilvl w:val="1"/>
          <w:numId w:val="31"/>
        </w:numPr>
        <w:spacing w:after="120"/>
        <w:ind w:hanging="709"/>
      </w:pPr>
      <w:r>
        <w:t xml:space="preserve">In Chapter 4, we explained </w:t>
      </w:r>
      <w:r w:rsidR="00D40474">
        <w:t>that</w:t>
      </w:r>
      <w:r w:rsidR="009F0CA7">
        <w:t>,</w:t>
      </w:r>
      <w:r>
        <w:t xml:space="preserve"> </w:t>
      </w:r>
      <w:r w:rsidR="00E07517">
        <w:t>to ensure hate crime is</w:t>
      </w:r>
      <w:r w:rsidR="005347B6">
        <w:t xml:space="preserve"> appropriately</w:t>
      </w:r>
      <w:r w:rsidR="00E07517">
        <w:t xml:space="preserve"> denounced, sentencing decisions must clearly </w:t>
      </w:r>
      <w:r w:rsidR="00E07517" w:rsidRPr="00836C4B">
        <w:t>communicate to the public that an offence was a hate crime and that this makes it more serious.</w:t>
      </w:r>
      <w:r w:rsidR="00E07517">
        <w:t xml:space="preserve"> </w:t>
      </w:r>
      <w:r w:rsidR="00BF6A08">
        <w:t xml:space="preserve">We found it difficult to assess whether that </w:t>
      </w:r>
      <w:r w:rsidR="00D40474">
        <w:t>is occurring</w:t>
      </w:r>
      <w:r w:rsidR="00BF6A08">
        <w:t xml:space="preserve"> consistently, </w:t>
      </w:r>
      <w:r w:rsidR="00311A99">
        <w:t>given the absence of readily</w:t>
      </w:r>
      <w:r w:rsidR="00B312C5">
        <w:t xml:space="preserve"> </w:t>
      </w:r>
      <w:r w:rsidR="00311A99">
        <w:t xml:space="preserve">available information about hate crime cases in the courts and </w:t>
      </w:r>
      <w:r w:rsidR="009843B2">
        <w:t>because</w:t>
      </w:r>
      <w:r w:rsidR="00D43F4D">
        <w:t xml:space="preserve"> our case law searches</w:t>
      </w:r>
      <w:r w:rsidR="00FE0A1D">
        <w:t xml:space="preserve"> </w:t>
      </w:r>
      <w:r w:rsidR="00011308">
        <w:t xml:space="preserve">were </w:t>
      </w:r>
      <w:r w:rsidR="00FE0A1D">
        <w:t>unlikely to locate</w:t>
      </w:r>
      <w:r w:rsidR="002D35A7">
        <w:t xml:space="preserve"> </w:t>
      </w:r>
      <w:r w:rsidR="002538E4">
        <w:t xml:space="preserve">decisions </w:t>
      </w:r>
      <w:r w:rsidR="00FE0A1D">
        <w:t xml:space="preserve">that </w:t>
      </w:r>
      <w:r w:rsidR="00011308">
        <w:t xml:space="preserve">did </w:t>
      </w:r>
      <w:r w:rsidR="00FE0A1D">
        <w:t>not refer to hostility</w:t>
      </w:r>
      <w:r w:rsidR="000042ED">
        <w:t xml:space="preserve">. </w:t>
      </w:r>
      <w:r w:rsidR="00B17BCB">
        <w:t xml:space="preserve">Even so, </w:t>
      </w:r>
      <w:r w:rsidR="003741A3">
        <w:t xml:space="preserve">we </w:t>
      </w:r>
      <w:r w:rsidR="00512D17">
        <w:t xml:space="preserve">referred to </w:t>
      </w:r>
      <w:r w:rsidR="00E52975">
        <w:t>a small handful of</w:t>
      </w:r>
      <w:r w:rsidR="003741A3">
        <w:t xml:space="preserve"> </w:t>
      </w:r>
      <w:r w:rsidR="005043EE">
        <w:t>sentencing decisions that did not clearly state</w:t>
      </w:r>
      <w:r w:rsidR="00B60414">
        <w:t xml:space="preserve"> </w:t>
      </w:r>
      <w:r w:rsidR="003741A3">
        <w:t xml:space="preserve">whether section 9(1)(h) applied. </w:t>
      </w:r>
      <w:r w:rsidR="00ED480F">
        <w:t xml:space="preserve">We concluded that, </w:t>
      </w:r>
      <w:r w:rsidR="004F42C9">
        <w:t xml:space="preserve">given </w:t>
      </w:r>
      <w:r w:rsidR="00867860">
        <w:t>the</w:t>
      </w:r>
      <w:r w:rsidR="004F42C9">
        <w:t xml:space="preserve"> </w:t>
      </w:r>
      <w:r w:rsidR="00867860">
        <w:t>denunciation</w:t>
      </w:r>
      <w:r w:rsidR="0093673E">
        <w:t xml:space="preserve"> </w:t>
      </w:r>
      <w:r w:rsidR="00867860">
        <w:t>of</w:t>
      </w:r>
      <w:r w:rsidR="0093673E">
        <w:t xml:space="preserve"> </w:t>
      </w:r>
      <w:r w:rsidR="004F42C9">
        <w:t>hate crime</w:t>
      </w:r>
      <w:r w:rsidR="0093673E">
        <w:t xml:space="preserve"> is </w:t>
      </w:r>
      <w:r w:rsidR="00867860">
        <w:t>an objective of hate crime law</w:t>
      </w:r>
      <w:r w:rsidR="004F42C9">
        <w:t xml:space="preserve"> (discussed in Chapter 3), it is problematic that the current law</w:t>
      </w:r>
      <w:r w:rsidR="00B30408">
        <w:t xml:space="preserve"> does not contain any</w:t>
      </w:r>
      <w:r w:rsidR="004F42C9">
        <w:t xml:space="preserve"> structural mechanism</w:t>
      </w:r>
      <w:r w:rsidR="004F793F">
        <w:t xml:space="preserve"> </w:t>
      </w:r>
      <w:r w:rsidR="004F42C9">
        <w:t xml:space="preserve">to ensure that hostile motivation is consistently denounced at sentencing. </w:t>
      </w:r>
    </w:p>
    <w:p w14:paraId="6F55958A" w14:textId="5D7A86E9" w:rsidR="00225336" w:rsidRDefault="003D2C1A" w:rsidP="00225336">
      <w:pPr>
        <w:pStyle w:val="BodyText"/>
        <w:numPr>
          <w:ilvl w:val="1"/>
          <w:numId w:val="31"/>
        </w:numPr>
        <w:spacing w:after="120"/>
        <w:ind w:hanging="709"/>
      </w:pPr>
      <w:r>
        <w:t xml:space="preserve">We consider reform is required to </w:t>
      </w:r>
      <w:r w:rsidR="00EC4E4C">
        <w:t>ensure</w:t>
      </w:r>
      <w:r>
        <w:t xml:space="preserve"> </w:t>
      </w:r>
      <w:r w:rsidR="00ED68E2">
        <w:t xml:space="preserve">that </w:t>
      </w:r>
      <w:r>
        <w:t xml:space="preserve">sentencing judges </w:t>
      </w:r>
      <w:r w:rsidR="00F5135A">
        <w:t>articulate if section</w:t>
      </w:r>
      <w:r w:rsidR="006132FB">
        <w:rPr>
          <w:rFonts w:ascii="Calibri" w:hAnsi="Calibri" w:cs="Calibri"/>
        </w:rPr>
        <w:t> </w:t>
      </w:r>
      <w:r w:rsidR="00F5135A">
        <w:t xml:space="preserve">9(1)(h) applies and </w:t>
      </w:r>
      <w:r>
        <w:t xml:space="preserve">denounce </w:t>
      </w:r>
      <w:r w:rsidR="00C63476">
        <w:t>the offender’s hostility</w:t>
      </w:r>
      <w:r>
        <w:t>.</w:t>
      </w:r>
      <w:r w:rsidR="004F793F">
        <w:t xml:space="preserve"> This </w:t>
      </w:r>
      <w:r w:rsidR="006132FB">
        <w:t>is</w:t>
      </w:r>
      <w:r w:rsidR="004F793F">
        <w:t xml:space="preserve"> consistent with the approach in several other jurisdictions, as discussed above.</w:t>
      </w:r>
      <w:r>
        <w:t xml:space="preserve"> </w:t>
      </w:r>
      <w:r w:rsidR="00225336">
        <w:t xml:space="preserve">Sentencing decisions are a powerful tool for demonstrating to the public that the societal values recognised by Parliament when creating hate crime laws are being upheld. We agree with the observations of the Law Commission of England and Wales that requiring judges to state </w:t>
      </w:r>
      <w:r w:rsidR="00C2527A">
        <w:t>if</w:t>
      </w:r>
      <w:r w:rsidR="007B2774">
        <w:t xml:space="preserve"> an offence was motivated by hostility </w:t>
      </w:r>
      <w:r w:rsidR="00225336">
        <w:t>is important to recognise the harm caused to victims and affected communities.</w:t>
      </w:r>
      <w:r w:rsidR="00225336">
        <w:rPr>
          <w:rStyle w:val="FootnoteReference"/>
        </w:rPr>
        <w:footnoteReference w:id="538"/>
      </w:r>
      <w:r w:rsidR="00225336">
        <w:t xml:space="preserve"> </w:t>
      </w:r>
    </w:p>
    <w:p w14:paraId="21F16E2D" w14:textId="6390E778" w:rsidR="00705D89" w:rsidRDefault="00705D89" w:rsidP="00705D89">
      <w:pPr>
        <w:pStyle w:val="BodyText"/>
        <w:numPr>
          <w:ilvl w:val="1"/>
          <w:numId w:val="31"/>
        </w:numPr>
        <w:spacing w:after="120"/>
        <w:ind w:hanging="709"/>
      </w:pPr>
      <w:r>
        <w:t>A</w:t>
      </w:r>
      <w:r w:rsidRPr="003D2C1A">
        <w:t xml:space="preserve"> legislative requirement may </w:t>
      </w:r>
      <w:r w:rsidR="008026F8">
        <w:t>encourage</w:t>
      </w:r>
      <w:r w:rsidR="008026F8" w:rsidRPr="003D2C1A">
        <w:t xml:space="preserve"> </w:t>
      </w:r>
      <w:r w:rsidRPr="003D2C1A">
        <w:t xml:space="preserve">judges not only to refer to </w:t>
      </w:r>
      <w:r>
        <w:t>the hostility aggravating factor</w:t>
      </w:r>
      <w:r w:rsidRPr="003D2C1A">
        <w:t xml:space="preserve"> but</w:t>
      </w:r>
      <w:r>
        <w:t xml:space="preserve"> also</w:t>
      </w:r>
      <w:r w:rsidRPr="003D2C1A">
        <w:t xml:space="preserve"> to explain why hate crime</w:t>
      </w:r>
      <w:r w:rsidR="00EC191C">
        <w:t xml:space="preserve"> </w:t>
      </w:r>
      <w:r w:rsidRPr="003D2C1A">
        <w:t xml:space="preserve">is a problem, as in </w:t>
      </w:r>
      <w:r>
        <w:t xml:space="preserve">the </w:t>
      </w:r>
      <w:r w:rsidRPr="003D2C1A">
        <w:t>Canad</w:t>
      </w:r>
      <w:r>
        <w:t>i</w:t>
      </w:r>
      <w:r w:rsidRPr="003D2C1A">
        <w:t>a</w:t>
      </w:r>
      <w:r>
        <w:t>n decisions discussed above</w:t>
      </w:r>
      <w:r w:rsidRPr="003D2C1A">
        <w:t>.</w:t>
      </w:r>
      <w:r>
        <w:t xml:space="preserve"> This would help to reinforce the seriousness of hate crime to the public, explain why hate crimes are punished more severely than equivalent non-hate crimes and demonstrate public support for the targeted group. </w:t>
      </w:r>
    </w:p>
    <w:p w14:paraId="4DB1B3D0" w14:textId="7F725AC3" w:rsidR="003A483C" w:rsidRDefault="00E40B7C" w:rsidP="00721D47">
      <w:pPr>
        <w:pStyle w:val="BodyText"/>
        <w:numPr>
          <w:ilvl w:val="1"/>
          <w:numId w:val="31"/>
        </w:numPr>
        <w:spacing w:after="120"/>
        <w:ind w:hanging="709"/>
      </w:pPr>
      <w:r>
        <w:t>In terms of the objectives of hate crime law</w:t>
      </w:r>
      <w:r w:rsidR="002231BC">
        <w:t xml:space="preserve"> discussed in Chapter 3</w:t>
      </w:r>
      <w:r>
        <w:t xml:space="preserve">, </w:t>
      </w:r>
      <w:r w:rsidR="001D0970">
        <w:t xml:space="preserve">in addition to encouraging consistent denunciation of hate crimes, </w:t>
      </w:r>
      <w:r w:rsidR="00D9799A">
        <w:t xml:space="preserve">requiring judges to clearly address hostile motivation in their sentencing decisions </w:t>
      </w:r>
      <w:r>
        <w:t xml:space="preserve">would </w:t>
      </w:r>
      <w:r w:rsidR="00CE4EAC">
        <w:t>help to</w:t>
      </w:r>
      <w:r w:rsidR="00EC191C">
        <w:t xml:space="preserve"> </w:t>
      </w:r>
      <w:r w:rsidR="00D9799A">
        <w:t>reassure affected communities and potentially reduce</w:t>
      </w:r>
      <w:r w:rsidR="009C3395">
        <w:t xml:space="preserve"> occurrences of hate crime (by helping to influence public attitudes over time)</w:t>
      </w:r>
      <w:r w:rsidR="00D9799A">
        <w:t>.</w:t>
      </w:r>
    </w:p>
    <w:p w14:paraId="3CD90619" w14:textId="0DABC10C" w:rsidR="007D1DDF" w:rsidRPr="001E4ADF" w:rsidRDefault="00547DB0" w:rsidP="00C7262B">
      <w:pPr>
        <w:pStyle w:val="BodyText"/>
        <w:numPr>
          <w:ilvl w:val="1"/>
          <w:numId w:val="31"/>
        </w:numPr>
        <w:ind w:hanging="709"/>
      </w:pPr>
      <w:r>
        <w:t>As well as</w:t>
      </w:r>
      <w:r w:rsidR="006F68B8">
        <w:t xml:space="preserve"> showing that the courts take hate crime seriously in individual cases, there would be wider benefits to requiring courts to explicitly identify hostile motivation in sentencing decisions. It would encourage rigour in the application of section 9(1)(h), promote transparency and</w:t>
      </w:r>
      <w:r w:rsidR="0061210C">
        <w:t xml:space="preserve"> </w:t>
      </w:r>
      <w:r w:rsidR="006F68B8">
        <w:t>assist appellate courts consider</w:t>
      </w:r>
      <w:r w:rsidR="0061210C">
        <w:t>ing</w:t>
      </w:r>
      <w:r w:rsidR="006F68B8">
        <w:t xml:space="preserve"> the appropriateness of a sentence.</w:t>
      </w:r>
      <w:r w:rsidR="006F68B8">
        <w:rPr>
          <w:rStyle w:val="FootnoteReference"/>
        </w:rPr>
        <w:footnoteReference w:id="539"/>
      </w:r>
      <w:r w:rsidR="006F68B8">
        <w:t xml:space="preserve"> It would also enable the courts to compare starting points in similar cases, facilitating the development of precedent and encouraging consistency in sentencing hate crime offenders.</w:t>
      </w:r>
      <w:r w:rsidR="006F68B8">
        <w:rPr>
          <w:rStyle w:val="FootnoteReference"/>
        </w:rPr>
        <w:footnoteReference w:id="540"/>
      </w:r>
      <w:r w:rsidR="006F68B8">
        <w:t xml:space="preserve"> </w:t>
      </w:r>
    </w:p>
    <w:p w14:paraId="47512416" w14:textId="77777777" w:rsidR="005900F0" w:rsidRPr="009E1C3E" w:rsidRDefault="005900F0" w:rsidP="005900F0">
      <w:pPr>
        <w:pStyle w:val="Heading3"/>
      </w:pPr>
      <w:r>
        <w:t xml:space="preserve">Recommendation </w:t>
      </w:r>
    </w:p>
    <w:p w14:paraId="0EE248D2" w14:textId="77777777" w:rsidR="005900F0" w:rsidRDefault="005900F0" w:rsidP="005900F0">
      <w:pPr>
        <w:pStyle w:val="RxRecommendationText"/>
        <w:numPr>
          <w:ilvl w:val="0"/>
          <w:numId w:val="0"/>
        </w:numPr>
        <w:ind w:left="993" w:hanging="851"/>
      </w:pPr>
      <w:r w:rsidRPr="00663187">
        <w:rPr>
          <w:b/>
          <w:noProof/>
        </w:rPr>
        <mc:AlternateContent>
          <mc:Choice Requires="wpg">
            <w:drawing>
              <wp:anchor distT="0" distB="0" distL="114300" distR="114300" simplePos="0" relativeHeight="251658311" behindDoc="1" locked="0" layoutInCell="1" allowOverlap="1" wp14:anchorId="3B8E6902" wp14:editId="4F32B42B">
                <wp:simplePos x="0" y="0"/>
                <wp:positionH relativeFrom="margin">
                  <wp:posOffset>-1962</wp:posOffset>
                </wp:positionH>
                <wp:positionV relativeFrom="paragraph">
                  <wp:posOffset>26271</wp:posOffset>
                </wp:positionV>
                <wp:extent cx="5759450" cy="1105469"/>
                <wp:effectExtent l="0" t="0" r="0" b="0"/>
                <wp:wrapNone/>
                <wp:docPr id="85363067" name="Group 85363067"/>
                <wp:cNvGraphicFramePr/>
                <a:graphic xmlns:a="http://schemas.openxmlformats.org/drawingml/2006/main">
                  <a:graphicData uri="http://schemas.microsoft.com/office/word/2010/wordprocessingGroup">
                    <wpg:wgp>
                      <wpg:cNvGrpSpPr/>
                      <wpg:grpSpPr>
                        <a:xfrm>
                          <a:off x="0" y="0"/>
                          <a:ext cx="5759450" cy="1105469"/>
                          <a:chOff x="-1" y="36583"/>
                          <a:chExt cx="5760000" cy="1106019"/>
                        </a:xfrm>
                      </wpg:grpSpPr>
                      <wps:wsp>
                        <wps:cNvPr id="943183768" name="Freeform 51"/>
                        <wps:cNvSpPr>
                          <a:spLocks/>
                        </wps:cNvSpPr>
                        <wps:spPr bwMode="auto">
                          <a:xfrm>
                            <a:off x="-1" y="36583"/>
                            <a:ext cx="5760000" cy="110601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CCCACB" w14:textId="77777777" w:rsidR="005900F0" w:rsidRDefault="005900F0" w:rsidP="005900F0"/>
                            <w:p w14:paraId="648CC149" w14:textId="77777777" w:rsidR="005900F0" w:rsidRDefault="005900F0" w:rsidP="005900F0"/>
                            <w:p w14:paraId="06DFEAF5" w14:textId="77777777" w:rsidR="005900F0" w:rsidRDefault="005900F0" w:rsidP="005900F0"/>
                            <w:p w14:paraId="57457FE3" w14:textId="77777777" w:rsidR="005900F0" w:rsidRDefault="005900F0" w:rsidP="005900F0"/>
                            <w:p w14:paraId="2047FADD" w14:textId="77777777" w:rsidR="005900F0" w:rsidRDefault="005900F0" w:rsidP="005900F0"/>
                            <w:p w14:paraId="046FAA22" w14:textId="77777777" w:rsidR="005900F0" w:rsidRDefault="005900F0" w:rsidP="005900F0"/>
                          </w:txbxContent>
                        </wps:txbx>
                        <wps:bodyPr rot="0" vert="horz" wrap="square" lIns="91440" tIns="45720" rIns="91440" bIns="45720" anchor="t" anchorCtr="0" upright="1">
                          <a:noAutofit/>
                        </wps:bodyPr>
                      </wps:wsp>
                      <wpg:grpSp>
                        <wpg:cNvPr id="229782947" name="Group 229782947"/>
                        <wpg:cNvGrpSpPr/>
                        <wpg:grpSpPr>
                          <a:xfrm>
                            <a:off x="0" y="170822"/>
                            <a:ext cx="1282065" cy="297815"/>
                            <a:chOff x="0" y="0"/>
                            <a:chExt cx="1282672" cy="298450"/>
                          </a:xfrm>
                        </wpg:grpSpPr>
                        <wpg:grpSp>
                          <wpg:cNvPr id="1065806001" name="Group 52"/>
                          <wpg:cNvGrpSpPr>
                            <a:grpSpLocks/>
                          </wpg:cNvGrpSpPr>
                          <wpg:grpSpPr bwMode="auto">
                            <a:xfrm>
                              <a:off x="172528" y="2540"/>
                              <a:ext cx="1110144" cy="1270"/>
                              <a:chOff x="1417" y="1374"/>
                              <a:chExt cx="1814" cy="2"/>
                            </a:xfrm>
                          </wpg:grpSpPr>
                          <wps:wsp>
                            <wps:cNvPr id="20038811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05700" name="Group 54"/>
                          <wpg:cNvGrpSpPr>
                            <a:grpSpLocks/>
                          </wpg:cNvGrpSpPr>
                          <wpg:grpSpPr bwMode="auto">
                            <a:xfrm>
                              <a:off x="0" y="0"/>
                              <a:ext cx="492038" cy="298450"/>
                              <a:chOff x="1134" y="1366"/>
                              <a:chExt cx="804" cy="470"/>
                            </a:xfrm>
                          </wpg:grpSpPr>
                          <wps:wsp>
                            <wps:cNvPr id="5043731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140AF" w14:textId="77777777" w:rsidR="005900F0" w:rsidRPr="008D464F" w:rsidRDefault="005900F0" w:rsidP="005900F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8E6902" id="Group 85363067" o:spid="_x0000_s1112" style="position:absolute;left:0;text-align:left;margin-left:-.15pt;margin-top:2.05pt;width:453.5pt;height:87.05pt;z-index:-251658169;mso-position-horizontal-relative:margin;mso-width-relative:margin;mso-height-relative:margin" coordorigin=",365" coordsize="57600,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">
                <v:shape id="Freeform 51" o:spid="_x0000_s1113" style="position:absolute;top:365;width:57599;height:110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" adj="-11796480,,5400" path="m,l9354,r,1638l,1638,,e" fillcolor="#e2eaef" stroked="f">
                  <v:stroke joinstyle="round"/>
                  <v:formulas/>
                  <v:path arrowok="t" o:connecttype="custom" o:connectlocs="0,711687;5760000,711687;5760000,1817706;0,1817706;0,711687" o:connectangles="0,0,0,0,0" textboxrect="0,0,9354,1638"/>
                  <v:textbox>
                    <w:txbxContent>
                      <w:p w14:paraId="6DCCCACB" w14:textId="77777777" w:rsidR="005900F0" w:rsidRDefault="005900F0" w:rsidP="005900F0"/>
                      <w:p w14:paraId="648CC149" w14:textId="77777777" w:rsidR="005900F0" w:rsidRDefault="005900F0" w:rsidP="005900F0"/>
                      <w:p w14:paraId="06DFEAF5" w14:textId="77777777" w:rsidR="005900F0" w:rsidRDefault="005900F0" w:rsidP="005900F0"/>
                      <w:p w14:paraId="57457FE3" w14:textId="77777777" w:rsidR="005900F0" w:rsidRDefault="005900F0" w:rsidP="005900F0"/>
                      <w:p w14:paraId="2047FADD" w14:textId="77777777" w:rsidR="005900F0" w:rsidRDefault="005900F0" w:rsidP="005900F0"/>
                      <w:p w14:paraId="046FAA22" w14:textId="77777777" w:rsidR="005900F0" w:rsidRDefault="005900F0" w:rsidP="005900F0"/>
                    </w:txbxContent>
                  </v:textbox>
                </v:shape>
                <v:group id="Group 229782947" o:spid="_x0000_s111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">
                  <v:group id="Group 52" o:spid="_x0000_s11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">
                    <v:shape id="Freeform 53" o:spid="_x0000_s11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" path="m,l1815,e" filled="f" strokecolor="#5ca0b9" strokeweight=".5pt">
                      <v:path arrowok="t" o:connecttype="custom" o:connectlocs="0,0;1815,0" o:connectangles="0,0"/>
                    </v:shape>
                  </v:group>
                  <v:group id="Group 54" o:spid="_x0000_s11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">
                    <v:shape id="Freeform 55" o:spid="_x0000_s11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84140AF" w14:textId="77777777" w:rsidR="005900F0" w:rsidRPr="008D464F" w:rsidRDefault="005900F0" w:rsidP="005900F0">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1A105830" w14:textId="6534094E" w:rsidR="005900F0" w:rsidRDefault="005900F0" w:rsidP="005B779A">
      <w:pPr>
        <w:pStyle w:val="RxRecommendationText"/>
      </w:pPr>
      <w:r>
        <w:t>T</w:t>
      </w:r>
      <w:r w:rsidRPr="003A537D">
        <w:t>he Sentencing Act 2002</w:t>
      </w:r>
      <w:r>
        <w:t xml:space="preserve"> should be amended</w:t>
      </w:r>
      <w:r w:rsidRPr="003A537D">
        <w:t xml:space="preserve"> to provide that</w:t>
      </w:r>
      <w:r>
        <w:t>, if section 9(1)(h) applies, the court must state (using any words that it thinks fit) that the offence was committed because of hostility toward</w:t>
      </w:r>
      <w:r w:rsidR="00E80DA7">
        <w:t>s</w:t>
      </w:r>
      <w:r>
        <w:t xml:space="preserve"> a group of people with an enduring common characteristic.</w:t>
      </w:r>
    </w:p>
    <w:p w14:paraId="0013F040" w14:textId="77777777" w:rsidR="00981736" w:rsidRDefault="005900F0" w:rsidP="00981736">
      <w:pPr>
        <w:pStyle w:val="RxListRecommendationText"/>
        <w:numPr>
          <w:ilvl w:val="0"/>
          <w:numId w:val="0"/>
        </w:numPr>
        <w:ind w:left="993"/>
      </w:pPr>
      <w:r w:rsidRPr="003A537D">
        <w:t xml:space="preserve"> </w:t>
      </w:r>
    </w:p>
    <w:p w14:paraId="17F46D51" w14:textId="50A68F5B" w:rsidR="005900F0" w:rsidRPr="00C2401C" w:rsidRDefault="005900F0" w:rsidP="003E75B9">
      <w:pPr>
        <w:pStyle w:val="BodyText"/>
        <w:numPr>
          <w:ilvl w:val="1"/>
          <w:numId w:val="31"/>
        </w:numPr>
        <w:spacing w:after="120"/>
        <w:ind w:hanging="709"/>
      </w:pPr>
      <w:r>
        <w:t>We recommend that, when a judge is</w:t>
      </w:r>
      <w:r w:rsidRPr="00C2401C">
        <w:t xml:space="preserve"> giving </w:t>
      </w:r>
      <w:r w:rsidR="008B65C6">
        <w:t xml:space="preserve">their </w:t>
      </w:r>
      <w:r w:rsidRPr="00C2401C">
        <w:t xml:space="preserve">reasons for </w:t>
      </w:r>
      <w:r>
        <w:t>imposing</w:t>
      </w:r>
      <w:r w:rsidRPr="00C2401C">
        <w:t xml:space="preserve"> </w:t>
      </w:r>
      <w:r>
        <w:t>a</w:t>
      </w:r>
      <w:r w:rsidRPr="00C2401C">
        <w:t xml:space="preserve"> sentence in open court,</w:t>
      </w:r>
      <w:r>
        <w:rPr>
          <w:rStyle w:val="FootnoteReference"/>
        </w:rPr>
        <w:footnoteReference w:id="541"/>
      </w:r>
      <w:r>
        <w:t xml:space="preserve"> they should be required to state if the hostility aggravating factor applies to an offence</w:t>
      </w:r>
      <w:r w:rsidRPr="00C2401C">
        <w:t xml:space="preserve">. </w:t>
      </w:r>
      <w:r>
        <w:t>This</w:t>
      </w:r>
      <w:r w:rsidRPr="00C2401C">
        <w:t xml:space="preserve"> </w:t>
      </w:r>
      <w:r>
        <w:t xml:space="preserve">statement would be heard by anyone present in court — including the offender and, potentially, the victim(s), members of the affected community and media representatives. It </w:t>
      </w:r>
      <w:r w:rsidRPr="00C2401C">
        <w:t>would also be recorded in any published sentencing notes</w:t>
      </w:r>
      <w:r>
        <w:t>.</w:t>
      </w:r>
      <w:r w:rsidR="00A30584">
        <w:rPr>
          <w:rStyle w:val="FootnoteReference"/>
        </w:rPr>
        <w:footnoteReference w:id="542"/>
      </w:r>
      <w:r>
        <w:t xml:space="preserve"> A statement of this kind would increase the likelihood of the media reporting on the </w:t>
      </w:r>
      <w:r w:rsidR="005F4997">
        <w:t xml:space="preserve">hostility </w:t>
      </w:r>
      <w:r>
        <w:t>aspect of the offending and the court’s condemnation of it, further enhancing the denunciatory effect of the sentencing decision.</w:t>
      </w:r>
    </w:p>
    <w:p w14:paraId="3AEE3E24" w14:textId="20D67AFD" w:rsidR="005900F0" w:rsidRDefault="00E34172" w:rsidP="003E75B9">
      <w:pPr>
        <w:pStyle w:val="BodyText"/>
        <w:numPr>
          <w:ilvl w:val="1"/>
          <w:numId w:val="31"/>
        </w:numPr>
        <w:spacing w:after="120"/>
        <w:ind w:hanging="709"/>
      </w:pPr>
      <w:r>
        <w:t xml:space="preserve">A statutory </w:t>
      </w:r>
      <w:r w:rsidR="005900F0">
        <w:t>requirement</w:t>
      </w:r>
      <w:r>
        <w:t xml:space="preserve"> of this kind</w:t>
      </w:r>
      <w:r w:rsidR="005900F0">
        <w:t xml:space="preserve"> </w:t>
      </w:r>
      <w:r w:rsidR="0094344E">
        <w:t>may</w:t>
      </w:r>
      <w:r w:rsidR="005900F0">
        <w:t xml:space="preserve"> also encourage judges to address the aggravating factor in more detail where appropriate. We do not recommend specifically requiring this in legislation, as it is important to preserve discretion for sentencing judges to give their </w:t>
      </w:r>
      <w:r w:rsidR="00581626">
        <w:t xml:space="preserve">decision </w:t>
      </w:r>
      <w:r w:rsidR="005900F0">
        <w:t xml:space="preserve">in a manner appropriate to the circumstances. </w:t>
      </w:r>
      <w:r w:rsidR="0072192C">
        <w:t>M</w:t>
      </w:r>
      <w:r w:rsidR="0094344E">
        <w:t xml:space="preserve">atters such as the identity of the targeted group or characteristic and the reasons why hostile motivation is an aggravating factor </w:t>
      </w:r>
      <w:r w:rsidR="0072192C">
        <w:t>will</w:t>
      </w:r>
      <w:r w:rsidR="0094344E">
        <w:t xml:space="preserve"> often be relevant</w:t>
      </w:r>
      <w:r w:rsidR="0072192C">
        <w:t>. However,</w:t>
      </w:r>
      <w:r w:rsidR="0094344E">
        <w:t xml:space="preserve"> the</w:t>
      </w:r>
      <w:r w:rsidR="005900F0">
        <w:t xml:space="preserve"> level of detail required is likely to differ depending on the significance of the hostility to the offending, the harm caused to the affected community and the other aggravating </w:t>
      </w:r>
      <w:r w:rsidR="00267DC8">
        <w:t xml:space="preserve">and mitigating </w:t>
      </w:r>
      <w:r w:rsidR="005900F0">
        <w:t>factors that are relevant. As discussed in Chapter</w:t>
      </w:r>
      <w:r w:rsidR="009A5E19">
        <w:rPr>
          <w:rFonts w:ascii="Calibri" w:hAnsi="Calibri" w:cs="Calibri"/>
        </w:rPr>
        <w:t> </w:t>
      </w:r>
      <w:r w:rsidR="009A5E19">
        <w:t>6</w:t>
      </w:r>
      <w:r w:rsidR="005900F0">
        <w:t xml:space="preserve">, there may also be cases where the victim would not wish to be publicly associated with the relevant group or characteristic, which may influence how a judge chooses to express their reasons (although there may also be other ways to address such concerns — for example, by granting the victim name suppression). </w:t>
      </w:r>
    </w:p>
    <w:p w14:paraId="12D0C3F0" w14:textId="1BB6A2EE" w:rsidR="005900F0" w:rsidRDefault="005E66E7" w:rsidP="003E75B9">
      <w:pPr>
        <w:pStyle w:val="BodyText"/>
        <w:numPr>
          <w:ilvl w:val="1"/>
          <w:numId w:val="31"/>
        </w:numPr>
        <w:spacing w:after="120"/>
        <w:ind w:hanging="709"/>
      </w:pPr>
      <w:r>
        <w:t>A</w:t>
      </w:r>
      <w:r w:rsidR="005900F0">
        <w:t xml:space="preserve"> requirement to state if the hostility aggravating factor applies would </w:t>
      </w:r>
      <w:r>
        <w:t xml:space="preserve">not </w:t>
      </w:r>
      <w:r w:rsidR="005900F0">
        <w:t xml:space="preserve">impose a significant additional burden on sentencing judges. It would work together with our recommendation in Chapter </w:t>
      </w:r>
      <w:r w:rsidR="00C27AC0">
        <w:t>6</w:t>
      </w:r>
      <w:r w:rsidR="005900F0">
        <w:t xml:space="preserve"> to </w:t>
      </w:r>
      <w:r w:rsidR="00775E7C">
        <w:t xml:space="preserve">create a court hate crime </w:t>
      </w:r>
      <w:r w:rsidR="005900F0">
        <w:t>flag</w:t>
      </w:r>
      <w:r w:rsidR="00775E7C">
        <w:t xml:space="preserve">, which </w:t>
      </w:r>
      <w:r w:rsidR="005900F0">
        <w:t xml:space="preserve">would help to draw judicial attention to whether the aggravating factor applies. Stating its application at sentencing would simply explain the judge’s conclusion, which would need to be recorded in any event. </w:t>
      </w:r>
      <w:r w:rsidR="007B7966">
        <w:t>It</w:t>
      </w:r>
      <w:r w:rsidR="005900F0">
        <w:t xml:space="preserve"> is unlikely to significantly increase the time taken for judges to pronounce a sentence, particularly since the aggravating factor is only engaged in a small proportion of cases. We also emphasise that our recommendation would not require judges to use any particular form of words. As noted above, the level of detail with which a sentencing judge addresses the hostility is likely to differ based on the circumstances of the case.</w:t>
      </w:r>
    </w:p>
    <w:p w14:paraId="6DF98149" w14:textId="5813D163" w:rsidR="005900F0" w:rsidRDefault="005900F0" w:rsidP="003E75B9">
      <w:pPr>
        <w:pStyle w:val="BodyText"/>
        <w:numPr>
          <w:ilvl w:val="1"/>
          <w:numId w:val="31"/>
        </w:numPr>
        <w:spacing w:after="120"/>
        <w:ind w:hanging="709"/>
      </w:pPr>
      <w:r>
        <w:t xml:space="preserve">There is no guarantee that judges will always comply with a requirement to state if the aggravating factor applies, as the experience in England and Wales demonstrates. Training and process changes will be necessary to ensure judges are aware of the requirement and supported to comply with it. Overall, </w:t>
      </w:r>
      <w:r w:rsidR="003F32EF">
        <w:t>however</w:t>
      </w:r>
      <w:r w:rsidR="009C64D8">
        <w:t>,</w:t>
      </w:r>
      <w:r>
        <w:t xml:space="preserve"> when combined with the court hate crime flag (recommended in Chapter </w:t>
      </w:r>
      <w:r w:rsidR="009C64D8">
        <w:t>6</w:t>
      </w:r>
      <w:r>
        <w:t xml:space="preserve">) and appropriate training (discussed in Chapter </w:t>
      </w:r>
      <w:r w:rsidR="009C64D8">
        <w:t>9</w:t>
      </w:r>
      <w:r>
        <w:t xml:space="preserve">), this requirement </w:t>
      </w:r>
      <w:r w:rsidR="009C64D8">
        <w:t>will</w:t>
      </w:r>
      <w:r>
        <w:t xml:space="preserve"> encourage sentencing judges to make clear findings about whether offending is motivated by hostility and, if it is, to communicate society’s condemnation of such offending in their sentencing remarks. </w:t>
      </w:r>
    </w:p>
    <w:p w14:paraId="17E1C914" w14:textId="5F390916" w:rsidR="005900F0" w:rsidRDefault="005900F0" w:rsidP="003E75B9">
      <w:pPr>
        <w:pStyle w:val="BodyText"/>
        <w:numPr>
          <w:ilvl w:val="1"/>
          <w:numId w:val="31"/>
        </w:numPr>
        <w:spacing w:after="120"/>
        <w:ind w:hanging="709"/>
      </w:pPr>
      <w:r>
        <w:t xml:space="preserve">As with our recommendation in Chapter </w:t>
      </w:r>
      <w:r w:rsidR="009C64D8">
        <w:t>6</w:t>
      </w:r>
      <w:r>
        <w:t xml:space="preserve"> to require sentencing judges to record the application of the aggravating factor, failure to comply with the requirement to state if the aggravating factor applies would not in itself be a ground for appeal against sentence. That is because compliance with the requirement (or lack thereof) would not directly affect the sentence imposed. If the sentence is appealed, however, the requirement should assist appellate courts by making it clear whether and why the aggravating factor was applied by the sentencing judge. </w:t>
      </w:r>
    </w:p>
    <w:p w14:paraId="4BEBCBF9" w14:textId="1CEAAC6A" w:rsidR="005900F0" w:rsidRDefault="00B43F68" w:rsidP="005900F0">
      <w:pPr>
        <w:pStyle w:val="Heading2"/>
      </w:pPr>
      <w:bookmarkStart w:id="148" w:name="_Toc231467856"/>
      <w:r>
        <w:t>Arrangement of the new provisions we recommend</w:t>
      </w:r>
      <w:bookmarkEnd w:id="148"/>
    </w:p>
    <w:p w14:paraId="66FE0348" w14:textId="383900DE" w:rsidR="0028065D" w:rsidRDefault="003E25FF" w:rsidP="009B4724">
      <w:pPr>
        <w:pStyle w:val="BodyText"/>
        <w:numPr>
          <w:ilvl w:val="1"/>
          <w:numId w:val="31"/>
        </w:numPr>
        <w:spacing w:after="120"/>
        <w:ind w:hanging="709"/>
      </w:pPr>
      <w:r>
        <w:t xml:space="preserve">If our recommendations for reform above and in Chapter 6 are accepted, the Parliamentary Counsel Office will </w:t>
      </w:r>
      <w:r w:rsidR="0028065D">
        <w:t xml:space="preserve">be </w:t>
      </w:r>
      <w:r w:rsidR="002D0620">
        <w:t>able</w:t>
      </w:r>
      <w:r w:rsidR="0028065D">
        <w:t xml:space="preserve"> to advise on </w:t>
      </w:r>
      <w:r>
        <w:t xml:space="preserve">the appropriate arrangement of the new provisions. </w:t>
      </w:r>
      <w:r w:rsidR="005900F0">
        <w:t xml:space="preserve">We </w:t>
      </w:r>
      <w:r w:rsidR="009B4724">
        <w:t>do not make a formal recommendation on</w:t>
      </w:r>
      <w:r w:rsidR="005900F0">
        <w:t xml:space="preserve"> that </w:t>
      </w:r>
      <w:r w:rsidR="002D0620">
        <w:t>point</w:t>
      </w:r>
      <w:r w:rsidR="003D7124">
        <w:t xml:space="preserve"> but we </w:t>
      </w:r>
      <w:r w:rsidR="005D2BCC">
        <w:t>suggest</w:t>
      </w:r>
      <w:r w:rsidR="003D7124">
        <w:t xml:space="preserve"> a</w:t>
      </w:r>
      <w:r w:rsidR="004F10A5">
        <w:t xml:space="preserve"> possible</w:t>
      </w:r>
      <w:r w:rsidR="003D7124">
        <w:t xml:space="preserve"> </w:t>
      </w:r>
      <w:r w:rsidR="007E6E1A">
        <w:t xml:space="preserve">approach </w:t>
      </w:r>
      <w:r w:rsidR="00F14FBB">
        <w:t>for further consideration</w:t>
      </w:r>
      <w:r w:rsidR="003D7124">
        <w:t xml:space="preserve">. </w:t>
      </w:r>
    </w:p>
    <w:p w14:paraId="2FFCE2C7" w14:textId="70377DBF" w:rsidR="005900F0" w:rsidRDefault="004F10A5" w:rsidP="003E75B9">
      <w:pPr>
        <w:pStyle w:val="BodyText"/>
        <w:numPr>
          <w:ilvl w:val="1"/>
          <w:numId w:val="31"/>
        </w:numPr>
        <w:spacing w:after="120"/>
        <w:ind w:hanging="709"/>
      </w:pPr>
      <w:r>
        <w:t>In our view,</w:t>
      </w:r>
      <w:r w:rsidR="00CF1EE6">
        <w:t xml:space="preserve"> there would be some benefits to having a standalone </w:t>
      </w:r>
      <w:r w:rsidR="005900F0">
        <w:t xml:space="preserve">section or sections </w:t>
      </w:r>
      <w:r w:rsidR="00CF1EE6">
        <w:t>in</w:t>
      </w:r>
      <w:r w:rsidR="005900F0">
        <w:t xml:space="preserve"> the Sentencing Act </w:t>
      </w:r>
      <w:r w:rsidR="00CF1EE6">
        <w:t>on</w:t>
      </w:r>
      <w:r w:rsidR="005900F0">
        <w:t xml:space="preserve"> offending aggravated by hostility. The new section or sections could</w:t>
      </w:r>
      <w:r w:rsidR="00FC5860">
        <w:t xml:space="preserve"> encompass the following</w:t>
      </w:r>
      <w:r w:rsidR="005900F0">
        <w:t xml:space="preserve">: </w:t>
      </w:r>
    </w:p>
    <w:p w14:paraId="1394C589" w14:textId="0B866350" w:rsidR="005900F0" w:rsidRDefault="005900F0" w:rsidP="005900F0">
      <w:pPr>
        <w:pStyle w:val="BodyTextalphalist"/>
      </w:pPr>
      <w:r>
        <w:t xml:space="preserve">Define when offending is aggravated by hostility, using the language currently in section 9(1)(h) (with some amendments we propose in </w:t>
      </w:r>
      <w:r w:rsidRPr="00D02725">
        <w:t xml:space="preserve">Chapter </w:t>
      </w:r>
      <w:r w:rsidR="00884686">
        <w:t>8</w:t>
      </w:r>
      <w:r w:rsidRPr="00D02725">
        <w:t>).</w:t>
      </w:r>
      <w:r>
        <w:t xml:space="preserve"> Section 9(1)(h) could then be amended to simply state that it applies where the offence was aggravated by hostility, as defined in the relevant new provision. A similar approach is taken for some other aggravating factors currently.</w:t>
      </w:r>
      <w:r>
        <w:rPr>
          <w:rStyle w:val="FootnoteReference"/>
        </w:rPr>
        <w:footnoteReference w:id="543"/>
      </w:r>
    </w:p>
    <w:p w14:paraId="4D6AD90F" w14:textId="1BDFF2DD" w:rsidR="005900F0" w:rsidRDefault="005900F0" w:rsidP="005900F0">
      <w:pPr>
        <w:pStyle w:val="BodyTextalphalist"/>
      </w:pPr>
      <w:r>
        <w:t xml:space="preserve">Contain the new Sentencing Act provisions recommended in Chapter </w:t>
      </w:r>
      <w:r w:rsidR="00884686">
        <w:t>6</w:t>
      </w:r>
      <w:r>
        <w:t xml:space="preserve"> (R1) and above (R4), requiring the courts to take certain actions if the hostility aggravating factor applies.</w:t>
      </w:r>
    </w:p>
    <w:p w14:paraId="1715E872" w14:textId="2A1E6E48" w:rsidR="005900F0" w:rsidRPr="00694847" w:rsidRDefault="00CF1EE6" w:rsidP="003E75B9">
      <w:pPr>
        <w:pStyle w:val="BodyText"/>
        <w:numPr>
          <w:ilvl w:val="1"/>
          <w:numId w:val="31"/>
        </w:numPr>
        <w:spacing w:after="120"/>
        <w:ind w:hanging="709"/>
      </w:pPr>
      <w:r>
        <w:t>This approach c</w:t>
      </w:r>
      <w:r w:rsidR="005900F0">
        <w:t>ould highlight hostility as an aggravating factor that must be considered and make the law more accessible. Currently, the list of factors in section 9 is long and the hostility aggravating factor may be overlooked, particularly as it is not regularly engaged. A separate section or sections, cross-referenced in section</w:t>
      </w:r>
      <w:r w:rsidR="00883B86">
        <w:rPr>
          <w:rFonts w:ascii="Calibri" w:hAnsi="Calibri" w:cs="Calibri"/>
        </w:rPr>
        <w:t> </w:t>
      </w:r>
      <w:r w:rsidR="005900F0">
        <w:t>9(1)(h), could promote awareness of the aggravating factor among prosecutors and judges. It would also emphasise</w:t>
      </w:r>
      <w:r w:rsidR="005900F0" w:rsidRPr="00694847">
        <w:t xml:space="preserve"> that specific requirements apply when the factor is engaged and make it easier to identify and comply with them.</w:t>
      </w:r>
      <w:r w:rsidR="005900F0">
        <w:t xml:space="preserve"> Finally, it could strengthen denunciation at a general or symbolic level</w:t>
      </w:r>
      <w:r w:rsidR="00A02A39">
        <w:t>. Enacting specific se</w:t>
      </w:r>
      <w:r w:rsidR="002B7AF5">
        <w:t xml:space="preserve">ctions dealing with </w:t>
      </w:r>
      <w:r w:rsidR="000E1965">
        <w:t xml:space="preserve">hostility-motivated offending would make it </w:t>
      </w:r>
      <w:r w:rsidR="005900F0">
        <w:t>clearer that the law treats hate crime seriously.</w:t>
      </w:r>
    </w:p>
    <w:p w14:paraId="3E8328A4" w14:textId="6C797919" w:rsidR="005900F0" w:rsidRDefault="005900F0" w:rsidP="005900F0">
      <w:pPr>
        <w:pStyle w:val="Heading2"/>
      </w:pPr>
      <w:bookmarkStart w:id="149" w:name="_Toc212106770"/>
      <w:bookmarkStart w:id="150" w:name="_Toc231467857"/>
      <w:r w:rsidRPr="00A10E3D">
        <w:t xml:space="preserve">Requiring judges to state the </w:t>
      </w:r>
      <w:r>
        <w:t>difference</w:t>
      </w:r>
      <w:r w:rsidRPr="00A10E3D">
        <w:t xml:space="preserve"> </w:t>
      </w:r>
      <w:r>
        <w:t>hostile motivation</w:t>
      </w:r>
      <w:r w:rsidRPr="00A10E3D">
        <w:t xml:space="preserve"> </w:t>
      </w:r>
      <w:bookmarkEnd w:id="149"/>
      <w:r>
        <w:t xml:space="preserve">made to </w:t>
      </w:r>
      <w:r w:rsidR="00124A52">
        <w:t xml:space="preserve">a </w:t>
      </w:r>
      <w:r>
        <w:t>sentence</w:t>
      </w:r>
      <w:bookmarkEnd w:id="150"/>
    </w:p>
    <w:p w14:paraId="48BB0381" w14:textId="70AF161E" w:rsidR="005900F0" w:rsidRPr="00D0115F" w:rsidRDefault="005900F0" w:rsidP="003E75B9">
      <w:pPr>
        <w:pStyle w:val="BodyText"/>
        <w:numPr>
          <w:ilvl w:val="1"/>
          <w:numId w:val="31"/>
        </w:numPr>
        <w:spacing w:after="120"/>
        <w:ind w:hanging="709"/>
      </w:pPr>
      <w:r>
        <w:t xml:space="preserve">In our Consultation Paper, we </w:t>
      </w:r>
      <w:r w:rsidR="00993622">
        <w:t xml:space="preserve">sought feedback on whether sentencing </w:t>
      </w:r>
      <w:r w:rsidRPr="00F20E5D">
        <w:t xml:space="preserve">courts </w:t>
      </w:r>
      <w:r w:rsidR="00993622">
        <w:t xml:space="preserve">should also be required </w:t>
      </w:r>
      <w:r w:rsidRPr="00F20E5D">
        <w:t xml:space="preserve">to state the difference the </w:t>
      </w:r>
      <w:r w:rsidR="004A2C73">
        <w:t xml:space="preserve">hostility </w:t>
      </w:r>
      <w:r w:rsidRPr="00F20E5D">
        <w:t xml:space="preserve">aggravating factor has made to </w:t>
      </w:r>
      <w:r w:rsidR="00DE4E23">
        <w:t>a</w:t>
      </w:r>
      <w:r w:rsidR="00DE4E23" w:rsidRPr="00F20E5D">
        <w:t xml:space="preserve"> </w:t>
      </w:r>
      <w:r w:rsidRPr="00F20E5D">
        <w:t>sentence (if any) and the reasons for that</w:t>
      </w:r>
      <w:r>
        <w:t>.</w:t>
      </w:r>
      <w:r w:rsidR="004A2C73">
        <w:rPr>
          <w:rStyle w:val="FootnoteReference"/>
        </w:rPr>
        <w:footnoteReference w:id="544"/>
      </w:r>
      <w:r>
        <w:t xml:space="preserve"> We noted this would be a significant change from current sentencing practice. As we explain in more detail below, the courts consider </w:t>
      </w:r>
      <w:r w:rsidRPr="00F20E5D">
        <w:t>all aggravating factors relating to an offence together when setting a starting point</w:t>
      </w:r>
      <w:r>
        <w:t xml:space="preserve"> (rather than specifying discrete uplifts).</w:t>
      </w:r>
    </w:p>
    <w:p w14:paraId="4982433B" w14:textId="77777777" w:rsidR="005900F0" w:rsidRDefault="005900F0" w:rsidP="005900F0">
      <w:pPr>
        <w:pStyle w:val="Heading3"/>
      </w:pPr>
      <w:r>
        <w:t>Consultation</w:t>
      </w:r>
    </w:p>
    <w:p w14:paraId="255A0055" w14:textId="76DE0542" w:rsidR="005900F0" w:rsidRDefault="005900F0" w:rsidP="003E75B9">
      <w:pPr>
        <w:pStyle w:val="BodyText"/>
        <w:numPr>
          <w:ilvl w:val="1"/>
          <w:numId w:val="31"/>
        </w:numPr>
        <w:spacing w:after="120"/>
        <w:ind w:hanging="709"/>
      </w:pPr>
      <w:r w:rsidRPr="00D072C8">
        <w:t xml:space="preserve">Five submitters supported requiring judges to explain the </w:t>
      </w:r>
      <w:r>
        <w:t xml:space="preserve">difference an </w:t>
      </w:r>
      <w:r w:rsidRPr="00D072C8">
        <w:t xml:space="preserve">offender’s </w:t>
      </w:r>
      <w:r>
        <w:t>hostile</w:t>
      </w:r>
      <w:r w:rsidRPr="00D072C8">
        <w:t xml:space="preserve"> motivation </w:t>
      </w:r>
      <w:r>
        <w:t>made to</w:t>
      </w:r>
      <w:r w:rsidRPr="00D072C8">
        <w:t xml:space="preserve"> their sentence.</w:t>
      </w:r>
      <w:r w:rsidRPr="6A35053A">
        <w:rPr>
          <w:color w:val="262626" w:themeColor="text1" w:themeTint="D9"/>
          <w:sz w:val="18"/>
          <w:szCs w:val="18"/>
          <w:vertAlign w:val="superscript"/>
        </w:rPr>
        <w:footnoteReference w:id="545"/>
      </w:r>
      <w:r w:rsidRPr="00D072C8">
        <w:t xml:space="preserve"> Two </w:t>
      </w:r>
      <w:r w:rsidR="001A1988">
        <w:t>other</w:t>
      </w:r>
      <w:r w:rsidRPr="00D072C8">
        <w:t xml:space="preserve"> submitters thought it </w:t>
      </w:r>
      <w:r w:rsidR="001E2892">
        <w:t>wa</w:t>
      </w:r>
      <w:r w:rsidR="001A1988">
        <w:t>s desirable for judges to make it</w:t>
      </w:r>
      <w:r>
        <w:t xml:space="preserve"> </w:t>
      </w:r>
      <w:r w:rsidRPr="00D072C8">
        <w:t xml:space="preserve">clear how </w:t>
      </w:r>
      <w:r>
        <w:t>hostile</w:t>
      </w:r>
      <w:r w:rsidRPr="00D072C8">
        <w:t xml:space="preserve"> motivation affected the end sentence but did not </w:t>
      </w:r>
      <w:r>
        <w:t>specifically address whether</w:t>
      </w:r>
      <w:r w:rsidRPr="00D072C8">
        <w:t xml:space="preserve"> </w:t>
      </w:r>
      <w:r w:rsidR="000B4B79">
        <w:t>this</w:t>
      </w:r>
      <w:r w:rsidR="001E2892">
        <w:t xml:space="preserve"> should be a legislative requirement</w:t>
      </w:r>
      <w:r w:rsidRPr="00D072C8">
        <w:t>.</w:t>
      </w:r>
      <w:r w:rsidRPr="6A35053A">
        <w:rPr>
          <w:color w:val="262626" w:themeColor="text1" w:themeTint="D9"/>
          <w:sz w:val="18"/>
          <w:szCs w:val="18"/>
          <w:vertAlign w:val="superscript"/>
        </w:rPr>
        <w:footnoteReference w:id="546"/>
      </w:r>
      <w:r>
        <w:t xml:space="preserve"> </w:t>
      </w:r>
      <w:r w:rsidRPr="00D072C8">
        <w:t xml:space="preserve">Two submitters suggested that, if </w:t>
      </w:r>
      <w:r>
        <w:t xml:space="preserve">such a </w:t>
      </w:r>
      <w:r w:rsidRPr="00D072C8">
        <w:t xml:space="preserve">requirement </w:t>
      </w:r>
      <w:r>
        <w:t>was introduced</w:t>
      </w:r>
      <w:r w:rsidRPr="00D072C8">
        <w:t>, it may be appropriate to treat all aggravating factors in the same way.</w:t>
      </w:r>
      <w:r w:rsidRPr="6A35053A">
        <w:rPr>
          <w:color w:val="262626" w:themeColor="text1" w:themeTint="D9"/>
          <w:sz w:val="18"/>
          <w:szCs w:val="18"/>
          <w:vertAlign w:val="superscript"/>
        </w:rPr>
        <w:footnoteReference w:id="547"/>
      </w:r>
    </w:p>
    <w:p w14:paraId="08CB84D0" w14:textId="2235754D" w:rsidR="005900F0" w:rsidRDefault="005900F0" w:rsidP="003E75B9">
      <w:pPr>
        <w:pStyle w:val="BodyText"/>
        <w:numPr>
          <w:ilvl w:val="1"/>
          <w:numId w:val="31"/>
        </w:numPr>
        <w:ind w:hanging="709"/>
      </w:pPr>
      <w:r w:rsidRPr="00B21039">
        <w:t>The Law Association Criminal Law Committee</w:t>
      </w:r>
      <w:r w:rsidRPr="0082028A">
        <w:t xml:space="preserve"> </w:t>
      </w:r>
      <w:r>
        <w:t xml:space="preserve">said in its submission that the current approach </w:t>
      </w:r>
      <w:r w:rsidR="006A19B7">
        <w:t>does not adequately</w:t>
      </w:r>
      <w:r>
        <w:t xml:space="preserve"> denounce hate crime because it is unclear what portion of </w:t>
      </w:r>
      <w:r w:rsidR="001123C8">
        <w:t xml:space="preserve">a </w:t>
      </w:r>
      <w:r>
        <w:t xml:space="preserve">sentence starting point is attributed to hostile motivation. However, when we later consulted the Committee on our proposed recommendations, it said that requiring judges to state if the aggravating factor applies (as recommended above in R4) would help to </w:t>
      </w:r>
      <w:r w:rsidRPr="001B4342">
        <w:t>address</w:t>
      </w:r>
      <w:r>
        <w:t xml:space="preserve"> its </w:t>
      </w:r>
      <w:r w:rsidRPr="001B4342">
        <w:t xml:space="preserve">concern that </w:t>
      </w:r>
      <w:r>
        <w:t>hostile</w:t>
      </w:r>
      <w:r w:rsidRPr="001B4342">
        <w:t xml:space="preserve"> motivation can be </w:t>
      </w:r>
      <w:r w:rsidR="00343E3B">
        <w:t>“</w:t>
      </w:r>
      <w:r w:rsidRPr="001B4342">
        <w:t>wrapped up</w:t>
      </w:r>
      <w:r w:rsidR="00343E3B">
        <w:t>”</w:t>
      </w:r>
      <w:r w:rsidRPr="001B4342">
        <w:t xml:space="preserve"> with other aggravating factors, making it difficult for offenders and the public to understand </w:t>
      </w:r>
      <w:r>
        <w:t>its impact</w:t>
      </w:r>
      <w:r w:rsidRPr="001B4342">
        <w:t xml:space="preserve"> on the sentence. </w:t>
      </w:r>
    </w:p>
    <w:p w14:paraId="02B2E16E" w14:textId="0A8BA6A2" w:rsidR="005900F0" w:rsidRPr="00D072C8" w:rsidRDefault="005900F0" w:rsidP="003E75B9">
      <w:pPr>
        <w:pStyle w:val="BodyText"/>
        <w:numPr>
          <w:ilvl w:val="1"/>
          <w:numId w:val="31"/>
        </w:numPr>
        <w:spacing w:after="120"/>
        <w:ind w:hanging="709"/>
      </w:pPr>
      <w:r w:rsidRPr="00D072C8">
        <w:t xml:space="preserve">The Maxim Institute suggested </w:t>
      </w:r>
      <w:r w:rsidR="00EA5E69">
        <w:t>that</w:t>
      </w:r>
      <w:r w:rsidRPr="00D072C8">
        <w:t xml:space="preserve"> </w:t>
      </w:r>
      <w:r>
        <w:t xml:space="preserve">requiring judges to state the difference hostile motivation made to </w:t>
      </w:r>
      <w:r w:rsidR="00F5757F">
        <w:t xml:space="preserve">a </w:t>
      </w:r>
      <w:r>
        <w:t>sentence</w:t>
      </w:r>
      <w:r w:rsidRPr="00D072C8">
        <w:t xml:space="preserve"> would show the public </w:t>
      </w:r>
      <w:r w:rsidR="002253CD">
        <w:t>“</w:t>
      </w:r>
      <w:r w:rsidRPr="00D072C8">
        <w:t>how the law deprecates hate crime</w:t>
      </w:r>
      <w:r w:rsidR="002253CD">
        <w:t>s</w:t>
      </w:r>
      <w:r w:rsidR="00D37CEE">
        <w:t>”</w:t>
      </w:r>
      <w:r w:rsidRPr="00D072C8">
        <w:t xml:space="preserve"> and provide guidance to other judges so that like cases are treated alike.</w:t>
      </w:r>
    </w:p>
    <w:p w14:paraId="237EDF7A" w14:textId="23AB2D9D" w:rsidR="005900F0" w:rsidRDefault="005900F0" w:rsidP="003E75B9">
      <w:pPr>
        <w:pStyle w:val="BodyText"/>
        <w:numPr>
          <w:ilvl w:val="1"/>
          <w:numId w:val="31"/>
        </w:numPr>
        <w:spacing w:after="120"/>
        <w:ind w:hanging="709"/>
      </w:pPr>
      <w:r>
        <w:t xml:space="preserve">Two other submitters commented on this option </w:t>
      </w:r>
      <w:r w:rsidR="004D65E1">
        <w:t>without indicating</w:t>
      </w:r>
      <w:r>
        <w:t xml:space="preserve"> a </w:t>
      </w:r>
      <w:r w:rsidR="004D65E1">
        <w:t>view on whether it should be adopted</w:t>
      </w:r>
      <w:r>
        <w:t xml:space="preserve">. </w:t>
      </w:r>
      <w:r w:rsidRPr="00D072C8">
        <w:t xml:space="preserve">Luke Cunningham Clere </w:t>
      </w:r>
      <w:r>
        <w:t>said</w:t>
      </w:r>
      <w:r w:rsidRPr="00D072C8">
        <w:t xml:space="preserve"> requiring judges to explain how an aggravating factor increased the offender’s sentence would be a significant departure from current practice.</w:t>
      </w:r>
      <w:r>
        <w:t xml:space="preserve"> </w:t>
      </w:r>
      <w:r w:rsidR="00E62D11" w:rsidRPr="00E62D11">
        <w:t>Ratonga Wawao ā-Ture Tūmatanui | Public Defence Service</w:t>
      </w:r>
      <w:r>
        <w:t xml:space="preserve"> noted that, in relation to serious violence charges, hate crime is one of the factors in the </w:t>
      </w:r>
      <w:r w:rsidR="00B9778D">
        <w:rPr>
          <w:i/>
          <w:iCs/>
        </w:rPr>
        <w:t xml:space="preserve">R v </w:t>
      </w:r>
      <w:r>
        <w:rPr>
          <w:i/>
          <w:iCs/>
        </w:rPr>
        <w:t xml:space="preserve">Taueki </w:t>
      </w:r>
      <w:r>
        <w:t>guideline judgment that influences the sentencing band the offending falls within.</w:t>
      </w:r>
      <w:r>
        <w:rPr>
          <w:rStyle w:val="FootnoteReference"/>
        </w:rPr>
        <w:footnoteReference w:id="548"/>
      </w:r>
    </w:p>
    <w:p w14:paraId="55500CBC" w14:textId="77777777" w:rsidR="005900F0" w:rsidRDefault="005900F0" w:rsidP="005900F0">
      <w:pPr>
        <w:pStyle w:val="Heading3"/>
      </w:pPr>
      <w:r>
        <w:t>The current law</w:t>
      </w:r>
    </w:p>
    <w:p w14:paraId="7B0568BA" w14:textId="65605514" w:rsidR="005900F0" w:rsidRDefault="005900F0" w:rsidP="003E75B9">
      <w:pPr>
        <w:pStyle w:val="BodyText"/>
        <w:numPr>
          <w:ilvl w:val="1"/>
          <w:numId w:val="31"/>
        </w:numPr>
        <w:spacing w:after="120"/>
        <w:ind w:hanging="709"/>
      </w:pPr>
      <w:r>
        <w:t>The Sentencing Act sets out the purposes and principles of sentencing and identifies aggravating and mitigating factors that must be taken into account where applicable.</w:t>
      </w:r>
      <w:r>
        <w:rPr>
          <w:rStyle w:val="FootnoteReference"/>
        </w:rPr>
        <w:footnoteReference w:id="549"/>
      </w:r>
      <w:r>
        <w:t xml:space="preserve"> It does not require any particular sentencing methodology — that has been left to the courts. Through case law, the courts have developed a two-step process for sentencing offenders.</w:t>
      </w:r>
      <w:r>
        <w:rPr>
          <w:rStyle w:val="FootnoteReference"/>
        </w:rPr>
        <w:footnoteReference w:id="550"/>
      </w:r>
      <w:r>
        <w:t xml:space="preserve"> The first step involves setting a </w:t>
      </w:r>
      <w:r w:rsidR="003C5809">
        <w:t>‘</w:t>
      </w:r>
      <w:r>
        <w:t>starting point</w:t>
      </w:r>
      <w:r w:rsidR="004534DE">
        <w:t>’</w:t>
      </w:r>
      <w:r>
        <w:t xml:space="preserve"> for the sentence based on the circumstances of the offending. This takes into account all aggravating and mitigating factors relating to the offending. The second step involves adjusting that</w:t>
      </w:r>
      <w:r w:rsidRPr="00421712">
        <w:t xml:space="preserve"> starting point</w:t>
      </w:r>
      <w:r>
        <w:t xml:space="preserve"> to reflect </w:t>
      </w:r>
      <w:r w:rsidRPr="00421712">
        <w:t xml:space="preserve">aggravating and mitigating circumstances </w:t>
      </w:r>
      <w:r>
        <w:t xml:space="preserve">personal to the offender </w:t>
      </w:r>
      <w:r w:rsidRPr="00421712">
        <w:t xml:space="preserve">to reach </w:t>
      </w:r>
      <w:r>
        <w:t>an</w:t>
      </w:r>
      <w:r w:rsidRPr="00421712">
        <w:t xml:space="preserve"> appropriate end sentence.</w:t>
      </w:r>
      <w:r>
        <w:t xml:space="preserve"> This two-step process is intended to </w:t>
      </w:r>
      <w:r w:rsidRPr="00A95722">
        <w:t>e</w:t>
      </w:r>
      <w:r>
        <w:t xml:space="preserve">nsure that sentences </w:t>
      </w:r>
      <w:r w:rsidRPr="00A95722">
        <w:t xml:space="preserve">fairly </w:t>
      </w:r>
      <w:r>
        <w:t xml:space="preserve">reflect the </w:t>
      </w:r>
      <w:r w:rsidRPr="00A95722">
        <w:t>offender</w:t>
      </w:r>
      <w:r>
        <w:t>’s</w:t>
      </w:r>
      <w:r w:rsidRPr="00A95722">
        <w:t xml:space="preserve"> culpability and</w:t>
      </w:r>
      <w:r>
        <w:t xml:space="preserve"> to encourage consistency between sentencing decisions (as starting points can be compared </w:t>
      </w:r>
      <w:r w:rsidR="00A446F7">
        <w:t>to</w:t>
      </w:r>
      <w:r>
        <w:t xml:space="preserve"> those for similar offending).</w:t>
      </w:r>
      <w:r>
        <w:rPr>
          <w:rStyle w:val="FootnoteReference"/>
        </w:rPr>
        <w:footnoteReference w:id="551"/>
      </w:r>
    </w:p>
    <w:p w14:paraId="198F9F02" w14:textId="2A845345" w:rsidR="005900F0" w:rsidRDefault="005900F0" w:rsidP="003E75B9">
      <w:pPr>
        <w:pStyle w:val="BodyText"/>
        <w:numPr>
          <w:ilvl w:val="1"/>
          <w:numId w:val="31"/>
        </w:numPr>
        <w:spacing w:after="120"/>
        <w:ind w:hanging="709"/>
      </w:pPr>
      <w:r>
        <w:t>The courts have also issued guideline judgments in relation to certain types of offences. These judgments identify different starting point bands for offending depending on the number and seriousness of the aggravating factors present. The guideline judgments for serious violent offending (</w:t>
      </w:r>
      <w:r>
        <w:rPr>
          <w:i/>
          <w:iCs/>
        </w:rPr>
        <w:t>Taueki</w:t>
      </w:r>
      <w:r w:rsidRPr="00BE5166">
        <w:t>)</w:t>
      </w:r>
      <w:r>
        <w:rPr>
          <w:rStyle w:val="FootnoteReference"/>
        </w:rPr>
        <w:footnoteReference w:id="552"/>
      </w:r>
      <w:r>
        <w:t xml:space="preserve"> and sexual violation (</w:t>
      </w:r>
      <w:r>
        <w:rPr>
          <w:i/>
          <w:iCs/>
        </w:rPr>
        <w:t>R v AM</w:t>
      </w:r>
      <w:r>
        <w:t>)</w:t>
      </w:r>
      <w:r>
        <w:rPr>
          <w:rStyle w:val="FootnoteReference"/>
        </w:rPr>
        <w:footnoteReference w:id="553"/>
      </w:r>
      <w:r>
        <w:t xml:space="preserve"> identify hostile motivation as one of the aggravating factors that is relevant when assessing the seriousness of the offending and determining the appropriate starting point.</w:t>
      </w:r>
      <w:r>
        <w:rPr>
          <w:rStyle w:val="FootnoteReference"/>
        </w:rPr>
        <w:footnoteReference w:id="554"/>
      </w:r>
      <w:r>
        <w:t xml:space="preserve"> </w:t>
      </w:r>
    </w:p>
    <w:p w14:paraId="35D3D7E2" w14:textId="317B3D4F" w:rsidR="005900F0" w:rsidRDefault="005900F0" w:rsidP="003E75B9">
      <w:pPr>
        <w:pStyle w:val="BodyText"/>
        <w:numPr>
          <w:ilvl w:val="1"/>
          <w:numId w:val="31"/>
        </w:numPr>
        <w:spacing w:after="120"/>
        <w:ind w:hanging="709"/>
      </w:pPr>
      <w:r>
        <w:t>Whether or not a guideline judgment applies, hostile motivation is taken into account at the first step of the sentencing process (setting the starting point) since it affects the seriousness of the offence.</w:t>
      </w:r>
      <w:r>
        <w:rPr>
          <w:rStyle w:val="FootnoteReference"/>
        </w:rPr>
        <w:footnoteReference w:id="555"/>
      </w:r>
      <w:r>
        <w:t xml:space="preserve"> Because of this, the courts do not usually identify a discrete uplift for </w:t>
      </w:r>
      <w:r w:rsidR="00D2413B">
        <w:t>hostile motivation</w:t>
      </w:r>
      <w:r>
        <w:t>.</w:t>
      </w:r>
      <w:r>
        <w:rPr>
          <w:rStyle w:val="FootnoteReference"/>
        </w:rPr>
        <w:footnoteReference w:id="556"/>
      </w:r>
      <w:r>
        <w:t xml:space="preserve"> All aggravating factors relating to the offence are considered together to arrive at the starting point. </w:t>
      </w:r>
    </w:p>
    <w:p w14:paraId="1B0DCFDF" w14:textId="5FEBBEDD" w:rsidR="005900F0" w:rsidRDefault="005900F0" w:rsidP="003E75B9">
      <w:pPr>
        <w:pStyle w:val="BodyText"/>
        <w:numPr>
          <w:ilvl w:val="1"/>
          <w:numId w:val="31"/>
        </w:numPr>
        <w:spacing w:after="120"/>
        <w:ind w:hanging="709"/>
      </w:pPr>
      <w:r>
        <w:t>Nonetheless, the courts can — and sometimes do — make it clear that the hostility aggravating factor has influenced the starting point adopted.</w:t>
      </w:r>
      <w:r>
        <w:rPr>
          <w:rStyle w:val="FootnoteReference"/>
        </w:rPr>
        <w:footnoteReference w:id="557"/>
      </w:r>
      <w:r>
        <w:t xml:space="preserve"> </w:t>
      </w:r>
      <w:r w:rsidR="000A0816">
        <w:t>The aggravating factor</w:t>
      </w:r>
      <w:r>
        <w:t xml:space="preserve"> may also influence the type of sentence imposed. For example, in </w:t>
      </w:r>
      <w:r>
        <w:rPr>
          <w:i/>
          <w:iCs/>
        </w:rPr>
        <w:t>R v Arps</w:t>
      </w:r>
      <w:r>
        <w:t xml:space="preserve">, </w:t>
      </w:r>
      <w:r w:rsidR="004558D1" w:rsidRPr="004558D1">
        <w:t>Te Kōti Pīra | Court of Appeal</w:t>
      </w:r>
      <w:r w:rsidR="004558D1">
        <w:t xml:space="preserve"> </w:t>
      </w:r>
      <w:r>
        <w:t>declined to convert the offender’s sentence to one of home detention in part because his</w:t>
      </w:r>
      <w:r w:rsidRPr="00617361">
        <w:t xml:space="preserve"> “prospects of rehabilitation or … changing [his] views on religion or race are virtually non-existent”.</w:t>
      </w:r>
      <w:r>
        <w:rPr>
          <w:rStyle w:val="FootnoteReference"/>
        </w:rPr>
        <w:footnoteReference w:id="558"/>
      </w:r>
    </w:p>
    <w:p w14:paraId="7BEC5E86" w14:textId="77777777" w:rsidR="005900F0" w:rsidRPr="006406BA" w:rsidRDefault="005900F0" w:rsidP="005900F0">
      <w:pPr>
        <w:pStyle w:val="Heading3"/>
      </w:pPr>
      <w:r>
        <w:t>Overseas approaches</w:t>
      </w:r>
    </w:p>
    <w:p w14:paraId="35F32395" w14:textId="43475358" w:rsidR="005900F0" w:rsidRDefault="005900F0" w:rsidP="003E75B9">
      <w:pPr>
        <w:pStyle w:val="BodyText"/>
        <w:numPr>
          <w:ilvl w:val="1"/>
          <w:numId w:val="31"/>
        </w:numPr>
        <w:spacing w:after="120"/>
        <w:ind w:hanging="709"/>
      </w:pPr>
      <w:r>
        <w:t>In Scotland, if an offence is found to</w:t>
      </w:r>
      <w:r w:rsidR="00024DF3">
        <w:t xml:space="preserve"> have</w:t>
      </w:r>
      <w:r>
        <w:t xml:space="preserve"> be</w:t>
      </w:r>
      <w:r w:rsidR="00024DF3">
        <w:t>en</w:t>
      </w:r>
      <w:r>
        <w:t xml:space="preserve"> aggravated by prejudice</w:t>
      </w:r>
      <w:r w:rsidR="00E23605">
        <w:t>,</w:t>
      </w:r>
      <w:r>
        <w:t xml:space="preserve"> the court must state the difference </w:t>
      </w:r>
      <w:r w:rsidR="00E23605">
        <w:t>the</w:t>
      </w:r>
      <w:r>
        <w:t xml:space="preserve"> aggravation has made to the sentence and the reasons for that difference (or, if there is no difference, the reasons for that).</w:t>
      </w:r>
      <w:r>
        <w:rPr>
          <w:rStyle w:val="FootnoteReference"/>
        </w:rPr>
        <w:footnoteReference w:id="559"/>
      </w:r>
      <w:r>
        <w:t xml:space="preserve"> Notably, this approach is not restricted to hate crime. Other statutory aggravating factors in Scotland also contain a requirement for the court to state the difference in sentence.</w:t>
      </w:r>
      <w:r>
        <w:rPr>
          <w:rStyle w:val="FootnoteReference"/>
        </w:rPr>
        <w:footnoteReference w:id="560"/>
      </w:r>
      <w:r w:rsidR="00341079">
        <w:t xml:space="preserve"> Since most sentencing remarks in Scotland are not published, we have not been able to discern </w:t>
      </w:r>
      <w:r w:rsidR="009434A0">
        <w:t xml:space="preserve">from case law </w:t>
      </w:r>
      <w:r w:rsidR="00341079">
        <w:t>how the requirement to state the difference in sentence operates in practice.</w:t>
      </w:r>
    </w:p>
    <w:p w14:paraId="4BA8C9FE" w14:textId="77C327E9" w:rsidR="005900F0" w:rsidRDefault="00F26ED0" w:rsidP="003E75B9">
      <w:pPr>
        <w:pStyle w:val="BodyText"/>
        <w:numPr>
          <w:ilvl w:val="1"/>
          <w:numId w:val="31"/>
        </w:numPr>
        <w:spacing w:after="120"/>
        <w:ind w:hanging="709"/>
      </w:pPr>
      <w:r>
        <w:t xml:space="preserve">An independent review in Scotland </w:t>
      </w:r>
      <w:r w:rsidR="005900F0">
        <w:t>recommended removing this requirement in relation to hate crime.</w:t>
      </w:r>
      <w:r w:rsidR="005900F0">
        <w:rPr>
          <w:rStyle w:val="FootnoteReference"/>
        </w:rPr>
        <w:footnoteReference w:id="561"/>
      </w:r>
      <w:r w:rsidR="005900F0">
        <w:t xml:space="preserve"> The </w:t>
      </w:r>
      <w:r w:rsidR="00160A50">
        <w:t>review’s consultation paper</w:t>
      </w:r>
      <w:r w:rsidR="005900F0">
        <w:t xml:space="preserve"> noted there was anecdotal evidence that the requirement was not consistently complied with.</w:t>
      </w:r>
      <w:r w:rsidR="005900F0">
        <w:rPr>
          <w:rStyle w:val="FootnoteReference"/>
        </w:rPr>
        <w:footnoteReference w:id="562"/>
      </w:r>
      <w:r w:rsidR="005900F0">
        <w:t xml:space="preserve"> The limited case law we located supports that view.</w:t>
      </w:r>
      <w:r w:rsidR="005900F0">
        <w:rPr>
          <w:rStyle w:val="FootnoteReference"/>
        </w:rPr>
        <w:footnoteReference w:id="563"/>
      </w:r>
      <w:r w:rsidR="005900F0">
        <w:t xml:space="preserve"> </w:t>
      </w:r>
      <w:r w:rsidR="00005CF7">
        <w:t>The independent review</w:t>
      </w:r>
      <w:r w:rsidR="005900F0">
        <w:t xml:space="preserve"> also considered feedback from legal bodies and sheriffs (who deal with the majority of criminal cases in Scotland) that</w:t>
      </w:r>
      <w:r w:rsidR="005900F0" w:rsidRPr="00280AFD">
        <w:t xml:space="preserve"> </w:t>
      </w:r>
      <w:r w:rsidR="005900F0">
        <w:t>an overly mathematical approach to sentencing</w:t>
      </w:r>
      <w:r w:rsidR="005900F0" w:rsidRPr="00280AFD">
        <w:t xml:space="preserve"> </w:t>
      </w:r>
      <w:r w:rsidR="005900F0">
        <w:t>is</w:t>
      </w:r>
      <w:r w:rsidR="005900F0" w:rsidRPr="00280AFD">
        <w:t xml:space="preserve"> not always realistic or helpful</w:t>
      </w:r>
      <w:r w:rsidR="005900F0">
        <w:t>.</w:t>
      </w:r>
      <w:r w:rsidR="005900F0">
        <w:rPr>
          <w:rStyle w:val="FootnoteReference"/>
        </w:rPr>
        <w:footnoteReference w:id="564"/>
      </w:r>
      <w:r w:rsidR="005900F0">
        <w:t xml:space="preserve"> In some cases,</w:t>
      </w:r>
      <w:r w:rsidR="005900F0" w:rsidRPr="00854E79">
        <w:t xml:space="preserve"> particularly where other factors are at play or where the aggravation is at a relatively low level, the overall difference in sentence might be small</w:t>
      </w:r>
      <w:r w:rsidR="005900F0">
        <w:t xml:space="preserve">. </w:t>
      </w:r>
      <w:r w:rsidR="00FB70A5">
        <w:t>The independent review</w:t>
      </w:r>
      <w:r w:rsidR="005900F0">
        <w:t xml:space="preserve"> agreed, saying:</w:t>
      </w:r>
      <w:r w:rsidR="005900F0">
        <w:rPr>
          <w:rStyle w:val="FootnoteReference"/>
        </w:rPr>
        <w:footnoteReference w:id="565"/>
      </w:r>
    </w:p>
    <w:p w14:paraId="2559FE53" w14:textId="77777777" w:rsidR="005900F0" w:rsidRDefault="005900F0" w:rsidP="005900F0">
      <w:pPr>
        <w:pStyle w:val="Quote"/>
        <w:ind w:left="1134"/>
      </w:pPr>
      <w:r w:rsidRPr="00364056">
        <w:t xml:space="preserve">Sentencing is a matter of judgement and the sentencer </w:t>
      </w:r>
      <w:r>
        <w:t xml:space="preserve">[is required] </w:t>
      </w:r>
      <w:r w:rsidRPr="00364056">
        <w:t>to take into account a range of considerations in assessing the appropriate sentence in a particular case. Some factors may point in different directions. In some cases the difference in sentence attributable to the aggravation may lead to disappointment and disillusionment on the part of the victim.</w:t>
      </w:r>
    </w:p>
    <w:p w14:paraId="087E82F5" w14:textId="44AB9BE9" w:rsidR="005900F0" w:rsidRDefault="005900F0" w:rsidP="003E75B9">
      <w:pPr>
        <w:pStyle w:val="BodyText"/>
        <w:numPr>
          <w:ilvl w:val="1"/>
          <w:numId w:val="31"/>
        </w:numPr>
        <w:spacing w:after="120"/>
        <w:ind w:hanging="709"/>
      </w:pPr>
      <w:r>
        <w:t xml:space="preserve">The Scottish Government did not accept </w:t>
      </w:r>
      <w:r w:rsidR="00FB70A5">
        <w:t>the independent review’s</w:t>
      </w:r>
      <w:r>
        <w:t xml:space="preserve"> recommendation. It decided to retain the requirement</w:t>
      </w:r>
      <w:r w:rsidRPr="009D777C">
        <w:t xml:space="preserve"> </w:t>
      </w:r>
      <w:r>
        <w:t>to state the difference in sentence on the basis that it provides greater transparency.</w:t>
      </w:r>
      <w:r>
        <w:rPr>
          <w:rStyle w:val="FootnoteReference"/>
        </w:rPr>
        <w:footnoteReference w:id="566"/>
      </w:r>
      <w:r>
        <w:t xml:space="preserve"> The Government also noted</w:t>
      </w:r>
      <w:r w:rsidRPr="0030271C">
        <w:t xml:space="preserve"> </w:t>
      </w:r>
      <w:r>
        <w:t>i</w:t>
      </w:r>
      <w:r w:rsidRPr="0030271C">
        <w:t>ts removal would be inconsistent with</w:t>
      </w:r>
      <w:r>
        <w:t xml:space="preserve"> the</w:t>
      </w:r>
      <w:r w:rsidRPr="0030271C">
        <w:t xml:space="preserve"> requirements for other statutory aggravations.</w:t>
      </w:r>
      <w:r>
        <w:rPr>
          <w:rStyle w:val="FootnoteReference"/>
        </w:rPr>
        <w:footnoteReference w:id="567"/>
      </w:r>
    </w:p>
    <w:p w14:paraId="7872AB72" w14:textId="457B10CA" w:rsidR="005900F0" w:rsidRDefault="005900F0" w:rsidP="003E75B9">
      <w:pPr>
        <w:pStyle w:val="BodyText"/>
        <w:numPr>
          <w:ilvl w:val="1"/>
          <w:numId w:val="31"/>
        </w:numPr>
        <w:spacing w:after="120"/>
        <w:ind w:hanging="709"/>
      </w:pPr>
      <w:r>
        <w:t>In England and Wales, there is no legislative requirement to state the difference hostile motivation made to the sentence imposed. However, the courts are encouraged to do so by the Sentencing Council, which issues guidelines on sentencing.</w:t>
      </w:r>
      <w:r>
        <w:rPr>
          <w:rStyle w:val="FootnoteReference"/>
        </w:rPr>
        <w:footnoteReference w:id="568"/>
      </w:r>
      <w:r>
        <w:t xml:space="preserve"> It is recognised that</w:t>
      </w:r>
      <w:r w:rsidR="002F4C92">
        <w:t>,</w:t>
      </w:r>
      <w:r>
        <w:t xml:space="preserve"> in some cases (for example, those involving certain public order offences)</w:t>
      </w:r>
      <w:r w:rsidR="002F4C92">
        <w:t>,</w:t>
      </w:r>
      <w:r>
        <w:t xml:space="preserve"> the aggravation is such an integral part of the offending that it cannot sensibly be separated out.</w:t>
      </w:r>
      <w:r>
        <w:rPr>
          <w:rStyle w:val="FootnoteReference"/>
        </w:rPr>
        <w:footnoteReference w:id="569"/>
      </w:r>
      <w:r>
        <w:t xml:space="preserve"> In that situation, the court will assess the seriousness of the conduct as a whole. In practice, case law shows a mix of approaches, with some sentencing decisions specifying discrete uplifts for hostile motivation</w:t>
      </w:r>
      <w:r>
        <w:rPr>
          <w:rStyle w:val="FootnoteReference"/>
        </w:rPr>
        <w:footnoteReference w:id="570"/>
      </w:r>
      <w:r>
        <w:t xml:space="preserve"> and others taking it into account alongside other factors when setting a provisional sentence.</w:t>
      </w:r>
      <w:r>
        <w:rPr>
          <w:rStyle w:val="FootnoteReference"/>
        </w:rPr>
        <w:footnoteReference w:id="571"/>
      </w:r>
      <w:r>
        <w:t xml:space="preserve"> </w:t>
      </w:r>
    </w:p>
    <w:p w14:paraId="62282854" w14:textId="4409F310" w:rsidR="005900F0" w:rsidRDefault="008E424E" w:rsidP="003E75B9">
      <w:pPr>
        <w:pStyle w:val="BodyText"/>
        <w:numPr>
          <w:ilvl w:val="1"/>
          <w:numId w:val="31"/>
        </w:numPr>
        <w:spacing w:after="120"/>
        <w:ind w:hanging="709"/>
      </w:pPr>
      <w:r>
        <w:t>Relevantly, general s</w:t>
      </w:r>
      <w:r w:rsidR="005900F0">
        <w:t>entencing approaches in England and Wales and in Scotland differ from Aotearoa New Zealand. In England and Wales, most aggravating factors relating to the offence and the offender are taken into account by way of discrete uplifts to a provisional sentence.</w:t>
      </w:r>
      <w:r w:rsidR="005900F0">
        <w:rPr>
          <w:rStyle w:val="FootnoteReference"/>
        </w:rPr>
        <w:footnoteReference w:id="572"/>
      </w:r>
      <w:r w:rsidR="005900F0">
        <w:t xml:space="preserve"> This makes it more straightforward for the courts to state what the sentence would have been without </w:t>
      </w:r>
      <w:r w:rsidR="00B140CB">
        <w:t>the</w:t>
      </w:r>
      <w:r w:rsidR="005900F0">
        <w:t xml:space="preserve"> hostility aggravation. In Scotland, a sentence range is selected based on the seriousness of the offence and aggravating factors are considered to determine placement within that range (or, in some cases, they may take the sentence outside the range).</w:t>
      </w:r>
      <w:r w:rsidR="005900F0">
        <w:rPr>
          <w:rStyle w:val="FootnoteReference"/>
        </w:rPr>
        <w:footnoteReference w:id="573"/>
      </w:r>
      <w:r w:rsidR="005900F0">
        <w:t xml:space="preserve"> </w:t>
      </w:r>
    </w:p>
    <w:p w14:paraId="399FF85B" w14:textId="509750FD" w:rsidR="005900F0" w:rsidRDefault="005900F0" w:rsidP="003E75B9">
      <w:pPr>
        <w:pStyle w:val="BodyText"/>
        <w:numPr>
          <w:ilvl w:val="1"/>
          <w:numId w:val="31"/>
        </w:numPr>
        <w:spacing w:after="120"/>
        <w:ind w:hanging="709"/>
      </w:pPr>
      <w:r>
        <w:t>Neither Australia nor Canada require sentencing courts to state the difference hostile motivation has made to the sentence imposed. Like Aotearoa New Zealand, these jurisdictions do not generally specify discrete uplifts for aggravating factors relating to an offence (although they do not apply the same two-step process as the New Zealand courts).</w:t>
      </w:r>
      <w:r>
        <w:rPr>
          <w:rStyle w:val="FootnoteReference"/>
        </w:rPr>
        <w:footnoteReference w:id="574"/>
      </w:r>
      <w:r>
        <w:t xml:space="preserve"> Nonetheless, in some cases (particularly in Canada)</w:t>
      </w:r>
      <w:r w:rsidR="00FC0064">
        <w:t>,</w:t>
      </w:r>
      <w:r>
        <w:t xml:space="preserve"> the courts do give an indication of how hostile motivation has influenced the sentencing process. For example, they may:</w:t>
      </w:r>
    </w:p>
    <w:p w14:paraId="49078CBB" w14:textId="3A241F91" w:rsidR="005900F0" w:rsidRDefault="003A4D10" w:rsidP="003E75B9">
      <w:pPr>
        <w:pStyle w:val="BodyTextalphalist"/>
        <w:numPr>
          <w:ilvl w:val="3"/>
          <w:numId w:val="31"/>
        </w:numPr>
      </w:pPr>
      <w:r>
        <w:t>e</w:t>
      </w:r>
      <w:r w:rsidR="005900F0">
        <w:t>mphasise certain sentencing objectives (such as denunciation and deterrence) over others because of the hostile motivation</w:t>
      </w:r>
      <w:r>
        <w:t>;</w:t>
      </w:r>
      <w:r w:rsidR="005900F0">
        <w:rPr>
          <w:rStyle w:val="FootnoteReference"/>
        </w:rPr>
        <w:footnoteReference w:id="575"/>
      </w:r>
    </w:p>
    <w:p w14:paraId="41AEBB53" w14:textId="63C39427" w:rsidR="005900F0" w:rsidRDefault="003A4D10" w:rsidP="003E75B9">
      <w:pPr>
        <w:pStyle w:val="BodyTextalphalist"/>
        <w:numPr>
          <w:ilvl w:val="3"/>
          <w:numId w:val="31"/>
        </w:numPr>
      </w:pPr>
      <w:r>
        <w:t>t</w:t>
      </w:r>
      <w:r w:rsidR="005900F0">
        <w:t>ake the offender’s motivation into account when determining the appropriate type of sentence</w:t>
      </w:r>
      <w:r w:rsidR="005900F0">
        <w:rPr>
          <w:rStyle w:val="FootnoteReference"/>
        </w:rPr>
        <w:footnoteReference w:id="576"/>
      </w:r>
      <w:r w:rsidR="005900F0">
        <w:t xml:space="preserve"> (for example, imprisonment versus a community-based sentence) or declining to grant a discharge</w:t>
      </w:r>
      <w:r>
        <w:t>;</w:t>
      </w:r>
      <w:r w:rsidR="005900F0">
        <w:rPr>
          <w:rStyle w:val="FootnoteReference"/>
        </w:rPr>
        <w:footnoteReference w:id="577"/>
      </w:r>
      <w:r>
        <w:t xml:space="preserve"> and</w:t>
      </w:r>
    </w:p>
    <w:p w14:paraId="67552D60" w14:textId="5FFC6F85" w:rsidR="005900F0" w:rsidRDefault="003A4D10" w:rsidP="003E75B9">
      <w:pPr>
        <w:pStyle w:val="BodyTextalphalist"/>
        <w:numPr>
          <w:ilvl w:val="3"/>
          <w:numId w:val="31"/>
        </w:numPr>
      </w:pPr>
      <w:r>
        <w:t>e</w:t>
      </w:r>
      <w:r w:rsidR="005900F0">
        <w:t>xplicitly impose a harsher sentence on an offender who was motivated by hostility compared to one who was not.</w:t>
      </w:r>
      <w:r w:rsidR="005900F0">
        <w:rPr>
          <w:rStyle w:val="FootnoteReference"/>
        </w:rPr>
        <w:footnoteReference w:id="578"/>
      </w:r>
    </w:p>
    <w:p w14:paraId="49BAADFE" w14:textId="77777777" w:rsidR="005900F0" w:rsidRDefault="005900F0" w:rsidP="005900F0">
      <w:pPr>
        <w:pStyle w:val="Heading3"/>
      </w:pPr>
      <w:r>
        <w:t>Reform not recommended</w:t>
      </w:r>
    </w:p>
    <w:p w14:paraId="19B1B541" w14:textId="63EACFFF" w:rsidR="005900F0" w:rsidRDefault="005900F0" w:rsidP="003E75B9">
      <w:pPr>
        <w:pStyle w:val="BodyText"/>
        <w:numPr>
          <w:ilvl w:val="1"/>
          <w:numId w:val="31"/>
        </w:numPr>
        <w:spacing w:after="120"/>
        <w:ind w:hanging="709"/>
      </w:pPr>
      <w:r>
        <w:t>We do not recommend requiring the courts to state the difference hostile motivation has made to an offender’s sentence. We acknowledge that</w:t>
      </w:r>
      <w:r w:rsidR="003A4D10">
        <w:t>,</w:t>
      </w:r>
      <w:r>
        <w:t xml:space="preserve"> in some cases</w:t>
      </w:r>
      <w:r w:rsidR="003A4D10">
        <w:t>,</w:t>
      </w:r>
      <w:r>
        <w:t xml:space="preserve"> such a requirement could help to demonstrate to victims, affected communities and the public that hate crime is treated seriously. However, </w:t>
      </w:r>
      <w:r w:rsidR="00BC2E4A">
        <w:t>our analysis indicates that</w:t>
      </w:r>
      <w:r>
        <w:t xml:space="preserve"> such a requirement would </w:t>
      </w:r>
      <w:r w:rsidR="00BC2E4A">
        <w:t>not</w:t>
      </w:r>
      <w:r>
        <w:t xml:space="preserve"> be practicable or desirable. </w:t>
      </w:r>
    </w:p>
    <w:p w14:paraId="51833922" w14:textId="6E4550AB" w:rsidR="005900F0" w:rsidRDefault="00BC2E4A" w:rsidP="003E75B9">
      <w:pPr>
        <w:pStyle w:val="BodyText"/>
        <w:numPr>
          <w:ilvl w:val="1"/>
          <w:numId w:val="31"/>
        </w:numPr>
        <w:spacing w:after="120"/>
        <w:ind w:hanging="709"/>
      </w:pPr>
      <w:r>
        <w:t>One reason is that</w:t>
      </w:r>
      <w:r w:rsidR="005900F0">
        <w:t>,</w:t>
      </w:r>
      <w:r w:rsidR="005900F0" w:rsidRPr="0011183F">
        <w:t xml:space="preserve"> </w:t>
      </w:r>
      <w:r w:rsidR="005900F0">
        <w:t>because of the general approach to sentencing in Aotearoa New Zealand, specifying a discrete uplift for the hostility aggravating factor would require the courts to consider it at a different stage of sentencing to other aggravating factors relating to the offence. Hostility would need to be taken into account at step</w:t>
      </w:r>
      <w:r w:rsidR="005900F0">
        <w:rPr>
          <w:rFonts w:ascii="Calibri" w:hAnsi="Calibri" w:cs="Calibri"/>
        </w:rPr>
        <w:t xml:space="preserve"> </w:t>
      </w:r>
      <w:r w:rsidR="005900F0">
        <w:t xml:space="preserve">two of the sentencing process (adjusting the starting point). </w:t>
      </w:r>
      <w:r w:rsidR="00A75688">
        <w:t>Currently, all</w:t>
      </w:r>
      <w:r w:rsidR="005900F0">
        <w:t xml:space="preserve"> aggravating factors relating to the offence are considered together at step one to decide on the starting point. </w:t>
      </w:r>
    </w:p>
    <w:p w14:paraId="3233A1DF" w14:textId="173397A4" w:rsidR="005900F0" w:rsidRDefault="005900F0" w:rsidP="003E75B9">
      <w:pPr>
        <w:pStyle w:val="BodyText"/>
        <w:numPr>
          <w:ilvl w:val="1"/>
          <w:numId w:val="31"/>
        </w:numPr>
        <w:spacing w:after="120"/>
        <w:ind w:hanging="709"/>
      </w:pPr>
      <w:r>
        <w:t xml:space="preserve">The alternative would be to change </w:t>
      </w:r>
      <w:r w:rsidR="00DC77A1">
        <w:t xml:space="preserve">Aotearoa </w:t>
      </w:r>
      <w:r>
        <w:t>New Zealand’s sentencing process to more closely resemble the approach in England and Wales, with most aggravating factors being considered individually at the second stage. We have not considered such a change as it is outside the scope of this review. We also note there is significant debate over the merits of different sentencing approaches.</w:t>
      </w:r>
      <w:r>
        <w:rPr>
          <w:rStyle w:val="FootnoteReference"/>
        </w:rPr>
        <w:footnoteReference w:id="579"/>
      </w:r>
      <w:r>
        <w:t xml:space="preserve"> For present purposes, we proceed on the basis that the overall approach to sentencing would remain the same.</w:t>
      </w:r>
    </w:p>
    <w:p w14:paraId="01D5BDA9" w14:textId="119127A6" w:rsidR="005900F0" w:rsidRDefault="005900F0" w:rsidP="003E75B9">
      <w:pPr>
        <w:pStyle w:val="BodyText"/>
        <w:numPr>
          <w:ilvl w:val="1"/>
          <w:numId w:val="31"/>
        </w:numPr>
        <w:spacing w:after="120"/>
        <w:ind w:hanging="709"/>
      </w:pPr>
      <w:r>
        <w:t xml:space="preserve">We </w:t>
      </w:r>
      <w:r w:rsidR="00DC77A1">
        <w:t>consider</w:t>
      </w:r>
      <w:r>
        <w:t xml:space="preserve"> it is undesirable to require the courts to address hostile motivation separately from other aggravating factors</w:t>
      </w:r>
      <w:r w:rsidR="006574AF">
        <w:t xml:space="preserve"> relating to the offence</w:t>
      </w:r>
      <w:r>
        <w:t xml:space="preserve"> for three reasons</w:t>
      </w:r>
      <w:r w:rsidR="00493336">
        <w:t>:</w:t>
      </w:r>
    </w:p>
    <w:p w14:paraId="7FD9A11B" w14:textId="735C209E" w:rsidR="005900F0" w:rsidRDefault="005900F0" w:rsidP="003E75B9">
      <w:pPr>
        <w:pStyle w:val="BodyTextalphalist"/>
        <w:numPr>
          <w:ilvl w:val="3"/>
          <w:numId w:val="31"/>
        </w:numPr>
      </w:pPr>
      <w:r>
        <w:t>In some cases, the hostility will be an integral part of the conduct that constitutes the offence (for example, in cases of graffiti vandalism or offensive behaviour or language). In such cases it will be difficult to reach a view on the seriousness of the offence — and therefore the appropriate starting point — without taking hostile motivation into account. Requiring judges to specify a discrete uplift would be artificial and may create a risk of double</w:t>
      </w:r>
      <w:r w:rsidR="00D311D8">
        <w:t xml:space="preserve"> </w:t>
      </w:r>
      <w:r>
        <w:t>counting the factor.</w:t>
      </w:r>
    </w:p>
    <w:p w14:paraId="5B068929" w14:textId="5D82EB64" w:rsidR="005900F0" w:rsidRDefault="005900F0" w:rsidP="003E75B9">
      <w:pPr>
        <w:pStyle w:val="BodyTextalphalist"/>
        <w:numPr>
          <w:ilvl w:val="3"/>
          <w:numId w:val="31"/>
        </w:numPr>
      </w:pPr>
      <w:r>
        <w:t xml:space="preserve">Hostile motivation may be closely related to other aggravating factors such as the extent of the harm caused by the offending or the fact that the offending targeted a vulnerable victim. Considering these related aggravating factors when setting the starting point </w:t>
      </w:r>
      <w:r w:rsidR="00337578">
        <w:t>and</w:t>
      </w:r>
      <w:r>
        <w:t xml:space="preserve"> then applying a separate uplift for hostile motivation may further increase the risk of double</w:t>
      </w:r>
      <w:r w:rsidR="00337578">
        <w:t xml:space="preserve"> </w:t>
      </w:r>
      <w:r>
        <w:t xml:space="preserve">counting. </w:t>
      </w:r>
    </w:p>
    <w:p w14:paraId="24C8E082" w14:textId="77777777" w:rsidR="005900F0" w:rsidRDefault="005900F0" w:rsidP="003E75B9">
      <w:pPr>
        <w:pStyle w:val="BodyTextalphalist"/>
        <w:numPr>
          <w:ilvl w:val="3"/>
          <w:numId w:val="31"/>
        </w:numPr>
      </w:pPr>
      <w:r>
        <w:t xml:space="preserve">Requiring judges to specify an uplift for hostile motivation and not for other aggravating factors could lead to it being given greater weight, even where other factors are as significant or more significant on the facts of the case. </w:t>
      </w:r>
    </w:p>
    <w:p w14:paraId="4959A34F" w14:textId="53AC6812" w:rsidR="005900F0" w:rsidRDefault="00ED3950" w:rsidP="003E75B9">
      <w:pPr>
        <w:pStyle w:val="BodyText"/>
        <w:numPr>
          <w:ilvl w:val="1"/>
          <w:numId w:val="31"/>
        </w:numPr>
        <w:spacing w:after="120"/>
        <w:ind w:hanging="709"/>
      </w:pPr>
      <w:r>
        <w:t>Another reason</w:t>
      </w:r>
      <w:r w:rsidR="005900F0">
        <w:t xml:space="preserve"> we </w:t>
      </w:r>
      <w:r>
        <w:t>do not recommend</w:t>
      </w:r>
      <w:r w:rsidR="005900F0">
        <w:t xml:space="preserve"> requiring judges to state the difference hostile motivation made to the sentence </w:t>
      </w:r>
      <w:r>
        <w:t xml:space="preserve">is that we are not confident it </w:t>
      </w:r>
      <w:r w:rsidR="005900F0">
        <w:t xml:space="preserve">would have the desired effect of strengthening denunciation of hate crime. We see some merit in the observation of </w:t>
      </w:r>
      <w:r w:rsidR="0028262B">
        <w:t>the Scottish independent review</w:t>
      </w:r>
      <w:r>
        <w:t xml:space="preserve"> (discussed earlier)</w:t>
      </w:r>
      <w:r w:rsidR="005900F0">
        <w:t xml:space="preserve"> that, in some situations, </w:t>
      </w:r>
      <w:r w:rsidR="00215CA2">
        <w:t>it</w:t>
      </w:r>
      <w:r w:rsidR="005900F0">
        <w:t xml:space="preserve"> may </w:t>
      </w:r>
      <w:r w:rsidR="00C04217" w:rsidRPr="00364056">
        <w:t xml:space="preserve">lead to disappointment and disillusionment on the part of </w:t>
      </w:r>
      <w:r w:rsidR="005900F0">
        <w:t xml:space="preserve">the </w:t>
      </w:r>
      <w:r w:rsidR="00C04217" w:rsidRPr="00364056">
        <w:t>victim</w:t>
      </w:r>
      <w:r w:rsidR="00A65AE7">
        <w:t xml:space="preserve"> </w:t>
      </w:r>
      <w:r w:rsidR="00560598">
        <w:t>or the affected community</w:t>
      </w:r>
      <w:r w:rsidR="004470F9">
        <w:t>.</w:t>
      </w:r>
      <w:r w:rsidR="005900F0">
        <w:t xml:space="preserve"> There will be cases where the hostility aggravating factor has no impact or only a small impact on the sentence imposed — for example, where the hostility is a relatively minor factor in the offending and so its impact on the victim and affected community is more limited. In these cases, it is still important for the sentencing judge to recognise and denounce the hostility to send a message about public values. Requiring them to state the difference in sentence may undermine that message if the uplift is small or non-existent.</w:t>
      </w:r>
    </w:p>
    <w:p w14:paraId="0EDADD80" w14:textId="0703ED7E" w:rsidR="005900F0" w:rsidRDefault="00FB38F9" w:rsidP="003E75B9">
      <w:pPr>
        <w:pStyle w:val="BodyText"/>
        <w:numPr>
          <w:ilvl w:val="1"/>
          <w:numId w:val="31"/>
        </w:numPr>
        <w:spacing w:after="120"/>
        <w:ind w:hanging="709"/>
      </w:pPr>
      <w:r>
        <w:t>T</w:t>
      </w:r>
      <w:r w:rsidR="005900F0">
        <w:t xml:space="preserve">here are ways for the courts to convey the significance of the hostility aggravating factor in appropriate cases without specifying a discrete uplift. For example, they can emphasise certain sentencing purposes (such as denunciation) over others, refer to the factor as a reason for choosing a certain sentence type (such as imprisonment instead of a community-based sentence) or explain that a harsher sentence is required compared to cases of similar offending that were not motivated by hostility. They may also expressly state that the factor has been given significant weight in setting the starting point or that the sentence imposed reflects society’s condemnation of hate crime. </w:t>
      </w:r>
    </w:p>
    <w:p w14:paraId="7D703C22" w14:textId="720602D8" w:rsidR="005900F0" w:rsidRDefault="005C3A53" w:rsidP="003E75B9">
      <w:pPr>
        <w:pStyle w:val="BodyText"/>
        <w:numPr>
          <w:ilvl w:val="1"/>
          <w:numId w:val="31"/>
        </w:numPr>
        <w:spacing w:after="120"/>
        <w:ind w:hanging="709"/>
      </w:pPr>
      <w:r>
        <w:t>Further, a</w:t>
      </w:r>
      <w:r w:rsidR="005900F0">
        <w:t xml:space="preserve">s explained earlier, our recommendation to require sentencing judges to state if the aggravating factor applies </w:t>
      </w:r>
      <w:r w:rsidR="00E5657F">
        <w:t xml:space="preserve">(R4) </w:t>
      </w:r>
      <w:r w:rsidR="005900F0">
        <w:t xml:space="preserve">would, along with appropriate training, draw judicial attention to the factor. This should also prompt </w:t>
      </w:r>
      <w:r w:rsidR="00CA2C21">
        <w:t>sentencing judges</w:t>
      </w:r>
      <w:r w:rsidR="005900F0">
        <w:t xml:space="preserve"> to consider and explain the relevance of </w:t>
      </w:r>
      <w:r w:rsidR="00CA2C21">
        <w:t>section 9(1)(h)</w:t>
      </w:r>
      <w:r w:rsidR="005900F0">
        <w:t xml:space="preserve"> to the sentencing process in a way that is appropriate to the case at hand.</w:t>
      </w:r>
    </w:p>
    <w:p w14:paraId="55BFCCE0" w14:textId="77777777" w:rsidR="005900F0" w:rsidRDefault="005900F0" w:rsidP="005900F0">
      <w:pPr>
        <w:pStyle w:val="Heading2"/>
      </w:pPr>
      <w:bookmarkStart w:id="151" w:name="_Toc212106771"/>
      <w:bookmarkStart w:id="152" w:name="_Toc231467858"/>
      <w:r>
        <w:t>Sentencing guidelines</w:t>
      </w:r>
      <w:bookmarkEnd w:id="151"/>
      <w:bookmarkEnd w:id="152"/>
    </w:p>
    <w:p w14:paraId="3A239633" w14:textId="77777777" w:rsidR="005900F0" w:rsidRPr="007932AE" w:rsidRDefault="005900F0" w:rsidP="005900F0">
      <w:pPr>
        <w:pStyle w:val="Heading3"/>
      </w:pPr>
      <w:r>
        <w:t>Consultation</w:t>
      </w:r>
    </w:p>
    <w:p w14:paraId="024600CB" w14:textId="49B3F269" w:rsidR="005900F0" w:rsidRDefault="005900F0" w:rsidP="003E75B9">
      <w:pPr>
        <w:pStyle w:val="BodyText"/>
        <w:numPr>
          <w:ilvl w:val="1"/>
          <w:numId w:val="31"/>
        </w:numPr>
        <w:spacing w:after="120"/>
        <w:ind w:hanging="709"/>
      </w:pPr>
      <w:r w:rsidRPr="006B54E6">
        <w:t>We</w:t>
      </w:r>
      <w:r>
        <w:t xml:space="preserve"> did not </w:t>
      </w:r>
      <w:r w:rsidR="00840866">
        <w:t>identify</w:t>
      </w:r>
      <w:r>
        <w:t xml:space="preserve"> the option of creating sentencing guidelines for hate crime cases in our Consultation Paper. However, five</w:t>
      </w:r>
      <w:r w:rsidRPr="00C506C5">
        <w:t xml:space="preserve"> submitters suggested sentencing guidelines may be beneficial.</w:t>
      </w:r>
      <w:r>
        <w:rPr>
          <w:rStyle w:val="FootnoteReference"/>
        </w:rPr>
        <w:footnoteReference w:id="580"/>
      </w:r>
      <w:r>
        <w:t xml:space="preserve"> T</w:t>
      </w:r>
      <w:r w:rsidR="00840866">
        <w:t>wo committees of t</w:t>
      </w:r>
      <w:r>
        <w:t xml:space="preserve">he Law Association </w:t>
      </w:r>
      <w:r w:rsidR="00840866">
        <w:t xml:space="preserve">of New Zealand </w:t>
      </w:r>
      <w:r>
        <w:t>said guidelines could improve consistency and transparency in sentencing decisions.</w:t>
      </w:r>
      <w:r>
        <w:rPr>
          <w:rStyle w:val="FootnoteReference"/>
        </w:rPr>
        <w:footnoteReference w:id="581"/>
      </w:r>
      <w:r>
        <w:t xml:space="preserve"> The New Zealand Jewish Council suggested guidelines should require judges to consider whether hostile motivation is an aggravating factor and provide guidance on the appropriate sentences in such cases.</w:t>
      </w:r>
    </w:p>
    <w:p w14:paraId="52990C30" w14:textId="77777777" w:rsidR="005900F0" w:rsidRDefault="005900F0" w:rsidP="005900F0">
      <w:pPr>
        <w:pStyle w:val="Heading3"/>
      </w:pPr>
      <w:r>
        <w:t>Reform not recommended</w:t>
      </w:r>
    </w:p>
    <w:p w14:paraId="5475803B" w14:textId="77777777" w:rsidR="005900F0" w:rsidRDefault="005900F0" w:rsidP="003E75B9">
      <w:pPr>
        <w:pStyle w:val="BodyText"/>
        <w:numPr>
          <w:ilvl w:val="1"/>
          <w:numId w:val="31"/>
        </w:numPr>
        <w:spacing w:after="120"/>
        <w:ind w:hanging="709"/>
      </w:pPr>
      <w:r>
        <w:t>We agree there may be value in having general guidance for judges on the application of the hostility aggravating factor. This could help to ensure that sentencing decisions clearly address whether the factor applies on the facts of the case and, if it does, strongly denounce the offender’s hostile motivation.</w:t>
      </w:r>
    </w:p>
    <w:p w14:paraId="3AC52C67" w14:textId="71E605E2" w:rsidR="005900F0" w:rsidRDefault="005900F0" w:rsidP="003E75B9">
      <w:pPr>
        <w:pStyle w:val="BodyText"/>
        <w:numPr>
          <w:ilvl w:val="1"/>
          <w:numId w:val="31"/>
        </w:numPr>
        <w:spacing w:after="120"/>
        <w:ind w:hanging="709"/>
      </w:pPr>
      <w:r>
        <w:t>At present, however, there is no mechanism for issuing sentencing guidelines in Aotearoa New Zealand. In some jurisdictions, a statutory body (sometimes called a Sentencing Council) is responsible for issuing sentencing guidelines to promote consistency of sentencing.</w:t>
      </w:r>
      <w:r>
        <w:rPr>
          <w:rStyle w:val="FootnoteReference"/>
        </w:rPr>
        <w:footnoteReference w:id="582"/>
      </w:r>
      <w:r>
        <w:t xml:space="preserve"> In 2006</w:t>
      </w:r>
      <w:r w:rsidR="00C60C1A">
        <w:t>,</w:t>
      </w:r>
      <w:r>
        <w:t xml:space="preserve"> </w:t>
      </w:r>
      <w:r w:rsidR="005C1C78" w:rsidRPr="00400349">
        <w:rPr>
          <w:color w:val="auto"/>
        </w:rPr>
        <w:t>Te Aka Matua o te Ture |</w:t>
      </w:r>
      <w:r w:rsidRPr="00400349">
        <w:rPr>
          <w:color w:val="auto"/>
        </w:rPr>
        <w:t xml:space="preserve"> </w:t>
      </w:r>
      <w:r>
        <w:t xml:space="preserve">Law Commission recommended establishing a </w:t>
      </w:r>
      <w:r w:rsidR="00C60C1A">
        <w:t xml:space="preserve">New Zealand </w:t>
      </w:r>
      <w:r>
        <w:t xml:space="preserve">Sentencing Council with </w:t>
      </w:r>
      <w:r w:rsidRPr="000D233F">
        <w:t>a mandate to draft sentencing guidelines.</w:t>
      </w:r>
      <w:r>
        <w:rPr>
          <w:rStyle w:val="FootnoteReference"/>
        </w:rPr>
        <w:footnoteReference w:id="583"/>
      </w:r>
      <w:r>
        <w:t xml:space="preserve"> This recommendation was accepted and the </w:t>
      </w:r>
      <w:r w:rsidRPr="00E30920">
        <w:t>Sentencing Council Act 2007</w:t>
      </w:r>
      <w:r>
        <w:t xml:space="preserve"> was enacted. However, </w:t>
      </w:r>
      <w:r w:rsidRPr="00E30920">
        <w:t xml:space="preserve">the Council was </w:t>
      </w:r>
      <w:r>
        <w:t xml:space="preserve">ultimately </w:t>
      </w:r>
      <w:r w:rsidRPr="00E30920">
        <w:t>never</w:t>
      </w:r>
      <w:r>
        <w:rPr>
          <w:rFonts w:ascii="Calibri" w:hAnsi="Calibri" w:cs="Calibri"/>
        </w:rPr>
        <w:t xml:space="preserve"> </w:t>
      </w:r>
      <w:r w:rsidRPr="00E30920">
        <w:t>established</w:t>
      </w:r>
      <w:r>
        <w:rPr>
          <w:rFonts w:ascii="Calibri" w:hAnsi="Calibri" w:cs="Calibri"/>
        </w:rPr>
        <w:t xml:space="preserve"> </w:t>
      </w:r>
      <w:r w:rsidRPr="00E30920">
        <w:t>and the Act was repealed in 2017.</w:t>
      </w:r>
      <w:r>
        <w:t xml:space="preserve"> In 2024, </w:t>
      </w:r>
      <w:r w:rsidR="00A55AA5" w:rsidRPr="00871E76">
        <w:t>Te Tāhū o te Ture | Ministry of Justice</w:t>
      </w:r>
      <w:r w:rsidR="00A55AA5">
        <w:t xml:space="preserve"> </w:t>
      </w:r>
      <w:r>
        <w:t>raised the option of a Sentencing Council again</w:t>
      </w:r>
      <w:r w:rsidR="009077BD">
        <w:t>,</w:t>
      </w:r>
      <w:r>
        <w:rPr>
          <w:rStyle w:val="FootnoteReference"/>
        </w:rPr>
        <w:footnoteReference w:id="584"/>
      </w:r>
      <w:r>
        <w:t xml:space="preserve"> </w:t>
      </w:r>
      <w:r w:rsidR="009077BD">
        <w:t>but at this time</w:t>
      </w:r>
      <w:r w:rsidR="00D77B46">
        <w:t>,</w:t>
      </w:r>
      <w:r>
        <w:t xml:space="preserve"> there is no indication that the Government intends to establish </w:t>
      </w:r>
      <w:r w:rsidR="009077BD">
        <w:t>one</w:t>
      </w:r>
      <w:r>
        <w:t>. Accordingly, we do not recommend the development of sentencing guidelines for hate crime as there is no body with the authority to issue such guidelines.</w:t>
      </w:r>
    </w:p>
    <w:p w14:paraId="39454482" w14:textId="3AD569AA" w:rsidR="005900F0" w:rsidRDefault="005900F0" w:rsidP="003E75B9">
      <w:pPr>
        <w:pStyle w:val="BodyText"/>
        <w:numPr>
          <w:ilvl w:val="1"/>
          <w:numId w:val="31"/>
        </w:numPr>
        <w:spacing w:after="120"/>
        <w:ind w:hanging="709"/>
      </w:pPr>
      <w:r>
        <w:t>The courts occasionally issue guideline judgments, but that is done on their own initiative in response to a case before them. In any event, the purpose of a guideline judgment is to set out sentencing bands for certain types of offending. It would be difficult for the courts to identify sentencing bands for hate crimes</w:t>
      </w:r>
      <w:r w:rsidR="00671487">
        <w:t>,</w:t>
      </w:r>
      <w:r>
        <w:t xml:space="preserve"> given the wide variety of offence types that may be motivated by hostility and the range of applicable maximum penalties. As discussed earlier, some guideline judgments </w:t>
      </w:r>
      <w:r w:rsidR="002C61E2">
        <w:t>for particular types of offences</w:t>
      </w:r>
      <w:r>
        <w:t xml:space="preserve"> do already refer to hostile motivation as a relevant factor when selecting a sentencing band.</w:t>
      </w:r>
    </w:p>
    <w:p w14:paraId="316207F1" w14:textId="398EAD03" w:rsidR="005900F0" w:rsidRDefault="005900F0" w:rsidP="003E75B9">
      <w:pPr>
        <w:pStyle w:val="BodyText"/>
        <w:numPr>
          <w:ilvl w:val="1"/>
          <w:numId w:val="31"/>
        </w:numPr>
        <w:spacing w:after="120"/>
        <w:ind w:hanging="709"/>
      </w:pPr>
      <w:r>
        <w:t xml:space="preserve">The courts can provide more general guidance on the application of the aggravating factor through case law. As more hate crime cases are considered by the courts, judicial precedent will continue to develop. Our recommendation earlier in this chapter </w:t>
      </w:r>
      <w:r w:rsidR="00D05481">
        <w:t>(R4)</w:t>
      </w:r>
      <w:r>
        <w:t xml:space="preserve"> should assist that process by encouraging the courts to clearly address the application of the aggravating factor in sentencing decisions.</w:t>
      </w:r>
    </w:p>
    <w:p w14:paraId="18D784CA" w14:textId="5E69455A" w:rsidR="005900F0" w:rsidRDefault="005900F0" w:rsidP="003E75B9">
      <w:pPr>
        <w:pStyle w:val="BodyText"/>
        <w:numPr>
          <w:ilvl w:val="1"/>
          <w:numId w:val="31"/>
        </w:numPr>
        <w:spacing w:after="120"/>
        <w:ind w:hanging="709"/>
      </w:pPr>
      <w:r>
        <w:t xml:space="preserve">Additionally, training materials provided to judges by </w:t>
      </w:r>
      <w:r w:rsidRPr="00C377D2">
        <w:t xml:space="preserve">Te Kura Kaiwhakawā | </w:t>
      </w:r>
      <w:r>
        <w:t>Institute of Judicial Studies may fulfil some of the functions of sentencing guidelines (in a less formal way) by ensuring judges are well informed about aspects of the law and their application</w:t>
      </w:r>
      <w:r w:rsidRPr="00A31FFA">
        <w:t xml:space="preserve">. We discuss judicial training in Chapter </w:t>
      </w:r>
      <w:r w:rsidR="00EF136C">
        <w:t>9</w:t>
      </w:r>
      <w:r w:rsidRPr="00A31FFA">
        <w:t>.</w:t>
      </w:r>
      <w:r>
        <w:t xml:space="preserve"> </w:t>
      </w:r>
    </w:p>
    <w:p w14:paraId="1F0E03DD" w14:textId="674AC801" w:rsidR="005900F0" w:rsidRDefault="00DD4265" w:rsidP="005900F0">
      <w:pPr>
        <w:pStyle w:val="Heading2"/>
      </w:pPr>
      <w:bookmarkStart w:id="153" w:name="_Toc212106772"/>
      <w:bookmarkStart w:id="154" w:name="_Toc231467859"/>
      <w:r>
        <w:t>Express provision for</w:t>
      </w:r>
      <w:r w:rsidR="005900F0">
        <w:t xml:space="preserve"> community impact </w:t>
      </w:r>
      <w:r>
        <w:t xml:space="preserve">statements </w:t>
      </w:r>
      <w:r w:rsidR="005900F0">
        <w:t>at sentencing</w:t>
      </w:r>
      <w:bookmarkEnd w:id="153"/>
      <w:bookmarkEnd w:id="154"/>
    </w:p>
    <w:p w14:paraId="77B6FDE3" w14:textId="77777777" w:rsidR="005900F0" w:rsidRPr="00BA05A4" w:rsidRDefault="005900F0" w:rsidP="005900F0">
      <w:pPr>
        <w:pStyle w:val="Heading3"/>
      </w:pPr>
      <w:r>
        <w:t>Consultation</w:t>
      </w:r>
    </w:p>
    <w:p w14:paraId="4236EE0B" w14:textId="43031411" w:rsidR="005900F0" w:rsidRPr="00114EF0" w:rsidRDefault="00934065" w:rsidP="003E75B9">
      <w:pPr>
        <w:pStyle w:val="BodyText"/>
        <w:numPr>
          <w:ilvl w:val="1"/>
          <w:numId w:val="31"/>
        </w:numPr>
        <w:spacing w:after="120"/>
        <w:ind w:hanging="709"/>
      </w:pPr>
      <w:r>
        <w:t xml:space="preserve">Although it was </w:t>
      </w:r>
      <w:r w:rsidR="005900F0">
        <w:t xml:space="preserve">not </w:t>
      </w:r>
      <w:r>
        <w:t>an option we had identified</w:t>
      </w:r>
      <w:r w:rsidR="005900F0">
        <w:t xml:space="preserve"> in our Consultation Paper</w:t>
      </w:r>
      <w:r>
        <w:t>,</w:t>
      </w:r>
      <w:r w:rsidR="005900F0">
        <w:t xml:space="preserve"> the </w:t>
      </w:r>
      <w:r w:rsidR="005900F0" w:rsidRPr="00530D57">
        <w:t>New Zealand Jewish Council</w:t>
      </w:r>
      <w:r w:rsidR="005900F0">
        <w:t xml:space="preserve"> suggested </w:t>
      </w:r>
      <w:r w:rsidR="00497FE7">
        <w:t>in its submission that there should be provision for</w:t>
      </w:r>
      <w:r w:rsidR="005900F0" w:rsidRPr="00530D57">
        <w:t xml:space="preserve"> affected groups (not just individual victims) to make victim impact statements at sentencing</w:t>
      </w:r>
      <w:r w:rsidR="005900F0">
        <w:t>. It said this</w:t>
      </w:r>
      <w:r w:rsidR="005900F0" w:rsidRPr="00530D57">
        <w:t xml:space="preserve"> </w:t>
      </w:r>
      <w:r w:rsidR="005900F0" w:rsidRPr="00CB6C88">
        <w:t xml:space="preserve">would help </w:t>
      </w:r>
      <w:r w:rsidR="005900F0">
        <w:t xml:space="preserve">to </w:t>
      </w:r>
      <w:r w:rsidR="005900F0" w:rsidRPr="00CB6C88">
        <w:t xml:space="preserve">ensure </w:t>
      </w:r>
      <w:r w:rsidR="005900F0">
        <w:t>the</w:t>
      </w:r>
      <w:r w:rsidR="005900F0" w:rsidRPr="00CB6C88">
        <w:t xml:space="preserve"> courts understand the </w:t>
      </w:r>
      <w:r w:rsidR="005900F0" w:rsidRPr="00114EF0">
        <w:t>broader</w:t>
      </w:r>
      <w:r w:rsidR="005900F0" w:rsidRPr="00CB6C88">
        <w:t xml:space="preserve"> communal harm caused by </w:t>
      </w:r>
      <w:r w:rsidR="005900F0" w:rsidRPr="00530D57">
        <w:t>the offending.</w:t>
      </w:r>
      <w:r w:rsidR="005900F0">
        <w:t xml:space="preserve"> We refer to these statements as </w:t>
      </w:r>
      <w:r w:rsidR="00517AEB">
        <w:t>‘</w:t>
      </w:r>
      <w:r w:rsidR="005900F0">
        <w:t>community impact statements</w:t>
      </w:r>
      <w:r w:rsidR="00517AEB">
        <w:t>’</w:t>
      </w:r>
      <w:r w:rsidR="005900F0">
        <w:t>.</w:t>
      </w:r>
    </w:p>
    <w:p w14:paraId="5056EA25" w14:textId="36F9E473" w:rsidR="005900F0" w:rsidRPr="00EF21D8" w:rsidRDefault="005900F0" w:rsidP="003E75B9">
      <w:pPr>
        <w:pStyle w:val="BodyText"/>
        <w:numPr>
          <w:ilvl w:val="1"/>
          <w:numId w:val="31"/>
        </w:numPr>
        <w:spacing w:after="120"/>
        <w:ind w:hanging="709"/>
      </w:pPr>
      <w:r w:rsidRPr="00EF21D8">
        <w:t xml:space="preserve">While no other submitters </w:t>
      </w:r>
      <w:r w:rsidR="00661BE6">
        <w:t>made</w:t>
      </w:r>
      <w:r w:rsidRPr="00EF21D8">
        <w:t xml:space="preserve"> this </w:t>
      </w:r>
      <w:r w:rsidR="00661BE6">
        <w:t>suggestion</w:t>
      </w:r>
      <w:r w:rsidRPr="00EF21D8">
        <w:t xml:space="preserve">, many observed that hate crimes cause harm to the wider community </w:t>
      </w:r>
      <w:r>
        <w:t xml:space="preserve">to which </w:t>
      </w:r>
      <w:r w:rsidRPr="00EF21D8">
        <w:t>the victim belongs.</w:t>
      </w:r>
      <w:r w:rsidRPr="00EF21D8">
        <w:rPr>
          <w:color w:val="262626" w:themeColor="text1" w:themeTint="D9"/>
          <w:sz w:val="18"/>
          <w:szCs w:val="18"/>
          <w:vertAlign w:val="superscript"/>
        </w:rPr>
        <w:footnoteReference w:id="585"/>
      </w:r>
      <w:r w:rsidRPr="00EF21D8">
        <w:t xml:space="preserve"> Some submitters said hate crimes can: </w:t>
      </w:r>
    </w:p>
    <w:p w14:paraId="31617897" w14:textId="77777777" w:rsidR="005900F0" w:rsidRPr="00EF21D8" w:rsidRDefault="005900F0" w:rsidP="003E75B9">
      <w:pPr>
        <w:pStyle w:val="BodyTextalphalist"/>
        <w:numPr>
          <w:ilvl w:val="3"/>
          <w:numId w:val="31"/>
        </w:numPr>
      </w:pPr>
      <w:r w:rsidRPr="00EF21D8">
        <w:t>create feelings of fear, anxiety and anger within the targeted community;</w:t>
      </w:r>
      <w:r w:rsidRPr="00EF21D8">
        <w:rPr>
          <w:color w:val="262626" w:themeColor="text1" w:themeTint="D9"/>
          <w:sz w:val="18"/>
          <w:szCs w:val="18"/>
          <w:vertAlign w:val="superscript"/>
        </w:rPr>
        <w:footnoteReference w:id="586"/>
      </w:r>
    </w:p>
    <w:p w14:paraId="035C08F5" w14:textId="77777777" w:rsidR="005900F0" w:rsidRPr="00EF21D8" w:rsidRDefault="005900F0" w:rsidP="003E75B9">
      <w:pPr>
        <w:pStyle w:val="BodyTextalphalist"/>
        <w:numPr>
          <w:ilvl w:val="3"/>
          <w:numId w:val="31"/>
        </w:numPr>
      </w:pPr>
      <w:r w:rsidRPr="00EF21D8">
        <w:t>cause the targeted community to decrease their public presence and voice;</w:t>
      </w:r>
      <w:r w:rsidRPr="00EF21D8">
        <w:rPr>
          <w:color w:val="262626" w:themeColor="text1" w:themeTint="D9"/>
          <w:sz w:val="18"/>
          <w:szCs w:val="18"/>
          <w:vertAlign w:val="superscript"/>
        </w:rPr>
        <w:footnoteReference w:id="587"/>
      </w:r>
      <w:r w:rsidRPr="00EF21D8">
        <w:t xml:space="preserve"> and</w:t>
      </w:r>
    </w:p>
    <w:p w14:paraId="7CD05925" w14:textId="44EF8C4A" w:rsidR="005900F0" w:rsidRPr="00EF21D8" w:rsidRDefault="005900F0" w:rsidP="003E75B9">
      <w:pPr>
        <w:pStyle w:val="BodyTextalphalist"/>
        <w:numPr>
          <w:ilvl w:val="3"/>
          <w:numId w:val="31"/>
        </w:numPr>
      </w:pPr>
      <w:r w:rsidRPr="00EF21D8">
        <w:t>erode the community’s ability to safely practi</w:t>
      </w:r>
      <w:r w:rsidR="001031DF">
        <w:t>s</w:t>
      </w:r>
      <w:r w:rsidRPr="00EF21D8">
        <w:t>e their culture and religion.</w:t>
      </w:r>
      <w:r w:rsidRPr="00EF21D8">
        <w:rPr>
          <w:color w:val="262626" w:themeColor="text1" w:themeTint="D9"/>
          <w:sz w:val="18"/>
          <w:szCs w:val="18"/>
          <w:vertAlign w:val="superscript"/>
        </w:rPr>
        <w:footnoteReference w:id="588"/>
      </w:r>
      <w:r w:rsidRPr="00EF21D8">
        <w:t xml:space="preserve"> </w:t>
      </w:r>
    </w:p>
    <w:p w14:paraId="5FF8DED8" w14:textId="77777777" w:rsidR="005900F0" w:rsidRPr="00EF21D8" w:rsidRDefault="005900F0" w:rsidP="003E75B9">
      <w:pPr>
        <w:pStyle w:val="BodyText"/>
        <w:numPr>
          <w:ilvl w:val="1"/>
          <w:numId w:val="31"/>
        </w:numPr>
        <w:spacing w:after="120"/>
        <w:ind w:hanging="709"/>
      </w:pPr>
      <w:r w:rsidRPr="00EF21D8">
        <w:t xml:space="preserve">Inclusive Aotearoa Collective Tāhono emphasised that hate crimes are directed </w:t>
      </w:r>
      <w:r>
        <w:t>towards</w:t>
      </w:r>
      <w:r w:rsidRPr="00EF21D8">
        <w:t xml:space="preserve"> a community. The essence of a hate crime and the </w:t>
      </w:r>
      <w:r>
        <w:t>intention</w:t>
      </w:r>
      <w:r w:rsidRPr="00EF21D8">
        <w:t xml:space="preserve"> of the offender is to send a message to the targeted community that they should be silent and know their place.</w:t>
      </w:r>
    </w:p>
    <w:p w14:paraId="6989EECA" w14:textId="77777777" w:rsidR="005900F0" w:rsidRDefault="005900F0" w:rsidP="005900F0">
      <w:pPr>
        <w:pStyle w:val="Heading3"/>
      </w:pPr>
      <w:r>
        <w:t xml:space="preserve">The current law </w:t>
      </w:r>
    </w:p>
    <w:p w14:paraId="6B9AB1EB" w14:textId="77777777" w:rsidR="005900F0" w:rsidRDefault="005900F0" w:rsidP="003E75B9">
      <w:pPr>
        <w:pStyle w:val="BodyText"/>
        <w:numPr>
          <w:ilvl w:val="1"/>
          <w:numId w:val="31"/>
        </w:numPr>
        <w:spacing w:after="120"/>
        <w:ind w:hanging="709"/>
      </w:pPr>
      <w:r>
        <w:t xml:space="preserve">One of the purposes of sentencing in the Sentencing Act is to </w:t>
      </w:r>
      <w:r w:rsidRPr="003766C1">
        <w:t xml:space="preserve">hold the offender accountable for harm done to the victim </w:t>
      </w:r>
      <w:r w:rsidRPr="00666924">
        <w:rPr>
          <w:i/>
          <w:iCs/>
        </w:rPr>
        <w:t>and the community</w:t>
      </w:r>
      <w:r w:rsidRPr="003766C1">
        <w:t xml:space="preserve"> by the offending</w:t>
      </w:r>
      <w:r>
        <w:t>.</w:t>
      </w:r>
      <w:r>
        <w:rPr>
          <w:rStyle w:val="FootnoteReference"/>
        </w:rPr>
        <w:footnoteReference w:id="589"/>
      </w:r>
      <w:r>
        <w:t xml:space="preserve"> Despite this, in most sentencing decisions where the hostility aggravating factor is applied, community harm is not specifically discussed.</w:t>
      </w:r>
      <w:r>
        <w:rPr>
          <w:rStyle w:val="FootnoteReference"/>
        </w:rPr>
        <w:footnoteReference w:id="590"/>
      </w:r>
      <w:r>
        <w:t xml:space="preserve"> The court’s assessment of the harm caused by the offending usually focuses on the impact on the individual victims. </w:t>
      </w:r>
    </w:p>
    <w:p w14:paraId="28A86BD9" w14:textId="70A48B0F" w:rsidR="005900F0" w:rsidRDefault="005900F0" w:rsidP="003E75B9">
      <w:pPr>
        <w:pStyle w:val="BodyText"/>
        <w:numPr>
          <w:ilvl w:val="1"/>
          <w:numId w:val="31"/>
        </w:numPr>
        <w:spacing w:after="120"/>
        <w:ind w:hanging="709"/>
      </w:pPr>
      <w:r>
        <w:t>The courts are informed of the harm caused to victims through victim impact statements. These statements detail the effect of the offending on the victim and are presented to the sentencing court under the Victims’ Rights Act 2002.</w:t>
      </w:r>
      <w:r>
        <w:rPr>
          <w:rStyle w:val="FootnoteReference"/>
        </w:rPr>
        <w:footnoteReference w:id="591"/>
      </w:r>
      <w:r>
        <w:t xml:space="preserve"> A ‘victim’ is defined as </w:t>
      </w:r>
      <w:r w:rsidRPr="007205E1">
        <w:t xml:space="preserve">a person against whom </w:t>
      </w:r>
      <w:r>
        <w:t>the</w:t>
      </w:r>
      <w:r w:rsidRPr="007205E1">
        <w:t xml:space="preserve"> offence </w:t>
      </w:r>
      <w:r>
        <w:t>wa</w:t>
      </w:r>
      <w:r w:rsidRPr="007205E1">
        <w:t>s committed</w:t>
      </w:r>
      <w:r>
        <w:t xml:space="preserve"> or a person who suffered physical injury or property loss or damage.</w:t>
      </w:r>
      <w:r>
        <w:rPr>
          <w:rStyle w:val="FootnoteReference"/>
        </w:rPr>
        <w:footnoteReference w:id="592"/>
      </w:r>
      <w:r>
        <w:t xml:space="preserve"> </w:t>
      </w:r>
    </w:p>
    <w:p w14:paraId="57D3DEE4" w14:textId="22BCA08C" w:rsidR="008625EA" w:rsidRDefault="005900F0" w:rsidP="003E75B9">
      <w:pPr>
        <w:pStyle w:val="BodyText"/>
        <w:numPr>
          <w:ilvl w:val="1"/>
          <w:numId w:val="31"/>
        </w:numPr>
        <w:spacing w:after="120"/>
        <w:ind w:hanging="709"/>
      </w:pPr>
      <w:r>
        <w:t>There is no specific process for informing the courts of harm done to the community. However, under section 17AAB of the Victims</w:t>
      </w:r>
      <w:r w:rsidR="00421ADB">
        <w:t>’</w:t>
      </w:r>
      <w:r>
        <w:t xml:space="preserve"> Rights Act, a prosecutor may decide to treat a person as a victim (for the purposes of the victim impact statement provisions) if they were disadvantaged by the offence. The prosecutor can submit a victim impact statement from such a person if the sentencing judge grants leave to do so.</w:t>
      </w:r>
      <w:r>
        <w:rPr>
          <w:rStyle w:val="FootnoteReference"/>
        </w:rPr>
        <w:footnoteReference w:id="593"/>
      </w:r>
      <w:r>
        <w:t xml:space="preserve"> </w:t>
      </w:r>
      <w:r w:rsidRPr="00AF2C38">
        <w:t>The purpose of section 17AAB is not clear from the legislative history. The provision was added at the select committee stage without any explanation of the committee’s reason</w:t>
      </w:r>
      <w:r w:rsidR="008625EA">
        <w:t>s</w:t>
      </w:r>
      <w:r w:rsidRPr="00AF2C38">
        <w:t>.</w:t>
      </w:r>
      <w:r w:rsidRPr="00AF2C38">
        <w:rPr>
          <w:rStyle w:val="FootnoteReference"/>
        </w:rPr>
        <w:footnoteReference w:id="594"/>
      </w:r>
      <w:r w:rsidRPr="00AF2C38">
        <w:t xml:space="preserve"> </w:t>
      </w:r>
    </w:p>
    <w:p w14:paraId="4DF08B3E" w14:textId="5B278ABF" w:rsidR="005900F0" w:rsidRPr="00AF2C38" w:rsidRDefault="008625EA" w:rsidP="003E75B9">
      <w:pPr>
        <w:pStyle w:val="BodyText"/>
        <w:numPr>
          <w:ilvl w:val="1"/>
          <w:numId w:val="31"/>
        </w:numPr>
        <w:spacing w:after="120"/>
        <w:ind w:hanging="709"/>
      </w:pPr>
      <w:r>
        <w:t>S</w:t>
      </w:r>
      <w:r w:rsidRPr="00AF2C38">
        <w:t xml:space="preserve">ection 17AAB </w:t>
      </w:r>
      <w:r w:rsidR="005900F0">
        <w:t>has been used to admit impact statements on behalf of the wider affected community in some cases.</w:t>
      </w:r>
      <w:r w:rsidR="003760C4">
        <w:t xml:space="preserve"> </w:t>
      </w:r>
      <w:r w:rsidR="005900F0">
        <w:t xml:space="preserve">The court that sentenced the perpetrator of the Christchurch </w:t>
      </w:r>
      <w:r w:rsidR="00C44D3E">
        <w:t>terror</w:t>
      </w:r>
      <w:r w:rsidR="005900F0" w:rsidRPr="00C11075">
        <w:t xml:space="preserve"> </w:t>
      </w:r>
      <w:r w:rsidR="000E7CF2">
        <w:t xml:space="preserve">attack </w:t>
      </w:r>
      <w:r w:rsidR="00CE17F6">
        <w:t>on 15 March 2019</w:t>
      </w:r>
      <w:r w:rsidR="000E7CF2" w:rsidRPr="00C11075">
        <w:t xml:space="preserve"> </w:t>
      </w:r>
      <w:r w:rsidR="005900F0" w:rsidRPr="00C11075">
        <w:t>accepted statements</w:t>
      </w:r>
      <w:r w:rsidR="005900F0">
        <w:t xml:space="preserve"> from community groups</w:t>
      </w:r>
      <w:r w:rsidR="005900F0" w:rsidRPr="00C11075">
        <w:t xml:space="preserve"> about the impact of the offending on the Muslim community</w:t>
      </w:r>
      <w:r w:rsidR="005900F0">
        <w:t>.</w:t>
      </w:r>
      <w:r w:rsidR="005900F0">
        <w:rPr>
          <w:rStyle w:val="FootnoteReference"/>
        </w:rPr>
        <w:footnoteReference w:id="595"/>
      </w:r>
      <w:r w:rsidR="005900F0">
        <w:t xml:space="preserve"> </w:t>
      </w:r>
      <w:r w:rsidR="005900F0" w:rsidRPr="00C11075">
        <w:t>The judge took into account the harm caused “to the sense of security and wellbeing of members of the Muslim community, both in Christchurch and more widely throughout New Zealand as a whole”</w:t>
      </w:r>
      <w:r w:rsidR="005900F0">
        <w:t>.</w:t>
      </w:r>
      <w:r w:rsidR="005900F0">
        <w:rPr>
          <w:rStyle w:val="FootnoteReference"/>
        </w:rPr>
        <w:footnoteReference w:id="596"/>
      </w:r>
      <w:r w:rsidR="005900F0" w:rsidRPr="00C11075">
        <w:t xml:space="preserve"> </w:t>
      </w:r>
      <w:r w:rsidR="005900F0">
        <w:t>We did not find any other examples of community impact statements being admitted in hate crime cases, but it does occur occasionally for other types of offending (particularly environmental offending such as unlawful discharge of contaminants).</w:t>
      </w:r>
      <w:r w:rsidR="005900F0">
        <w:rPr>
          <w:rStyle w:val="FootnoteReference"/>
        </w:rPr>
        <w:footnoteReference w:id="597"/>
      </w:r>
    </w:p>
    <w:p w14:paraId="201AB174" w14:textId="0CB3F98F" w:rsidR="005900F0" w:rsidRDefault="005900F0" w:rsidP="003E75B9">
      <w:pPr>
        <w:pStyle w:val="BodyText"/>
        <w:numPr>
          <w:ilvl w:val="1"/>
          <w:numId w:val="31"/>
        </w:numPr>
        <w:spacing w:after="120"/>
        <w:ind w:hanging="709"/>
      </w:pPr>
      <w:r>
        <w:t xml:space="preserve">In addition, there is precedent for treating members of the wider community affected by hate crimes as victims in their own right (although not in the context of admitting impact statements). In </w:t>
      </w:r>
      <w:r w:rsidRPr="00232D5D">
        <w:rPr>
          <w:i/>
          <w:iCs/>
        </w:rPr>
        <w:t>Arps v Department of Corrections</w:t>
      </w:r>
      <w:r>
        <w:t>, the Court of Appeal considered the definition of ‘victim’ in the Sentencing Act, which is similar to the one in the Victims’ Rights Act.</w:t>
      </w:r>
      <w:r>
        <w:rPr>
          <w:rStyle w:val="FootnoteReference"/>
        </w:rPr>
        <w:footnoteReference w:id="598"/>
      </w:r>
      <w:r>
        <w:t xml:space="preserve"> Mr Arps was convicted of distributing </w:t>
      </w:r>
      <w:r w:rsidRPr="00CC7AAF">
        <w:t xml:space="preserve">video footage of the Christchurch </w:t>
      </w:r>
      <w:r w:rsidR="00B631E7">
        <w:t>terror</w:t>
      </w:r>
      <w:r w:rsidRPr="00CC7AAF">
        <w:t xml:space="preserve"> attack</w:t>
      </w:r>
      <w:r>
        <w:t>. The Court was considering an appeal against special release conditions imposed on Mr Arps to protect the victims of his offending. In rejecting the appeal, the Court found that</w:t>
      </w:r>
      <w:r w:rsidRPr="002724D2">
        <w:t xml:space="preserve"> </w:t>
      </w:r>
      <w:r>
        <w:t>all members of the Muslim community were “p</w:t>
      </w:r>
      <w:r w:rsidRPr="000A3D3F">
        <w:t>ersons against whom the offence was committed</w:t>
      </w:r>
      <w:r>
        <w:t>” and therefore qualified as victims.</w:t>
      </w:r>
      <w:r>
        <w:rPr>
          <w:rStyle w:val="FootnoteReference"/>
        </w:rPr>
        <w:footnoteReference w:id="599"/>
      </w:r>
      <w:r>
        <w:t xml:space="preserve"> That is because the offending was not targeted towards particular Muslims — it was intended to intimidate or denigrate any persons of the Muslim faith. If a similar approach </w:t>
      </w:r>
      <w:r w:rsidR="002410D3">
        <w:t xml:space="preserve">was </w:t>
      </w:r>
      <w:r>
        <w:t>adopted under the Victims’ Rights Act, it could enable the presentation of community impact statements at sentencing even without relying on section 17AAB. It is not clear, however, that the courts would adopt the same broad approach to defining victims in all hate crime cases (particularly where the offending targets a specific victim).</w:t>
      </w:r>
    </w:p>
    <w:p w14:paraId="3B166025" w14:textId="77777777" w:rsidR="005900F0" w:rsidRDefault="005900F0" w:rsidP="005900F0">
      <w:pPr>
        <w:pStyle w:val="Heading3"/>
      </w:pPr>
      <w:r>
        <w:t>Overseas approaches</w:t>
      </w:r>
    </w:p>
    <w:p w14:paraId="64733D56" w14:textId="71E07CAD" w:rsidR="005900F0" w:rsidRDefault="005900F0" w:rsidP="003E75B9">
      <w:pPr>
        <w:pStyle w:val="BodyText"/>
        <w:numPr>
          <w:ilvl w:val="1"/>
          <w:numId w:val="31"/>
        </w:numPr>
        <w:spacing w:after="120"/>
        <w:ind w:hanging="709"/>
      </w:pPr>
      <w:r>
        <w:t>Community impact statements are provided for in legislation in Canada,</w:t>
      </w:r>
      <w:r>
        <w:rPr>
          <w:rStyle w:val="FootnoteReference"/>
        </w:rPr>
        <w:footnoteReference w:id="600"/>
      </w:r>
      <w:r>
        <w:t xml:space="preserve"> South Australia</w:t>
      </w:r>
      <w:r>
        <w:rPr>
          <w:rStyle w:val="FootnoteReference"/>
        </w:rPr>
        <w:footnoteReference w:id="601"/>
      </w:r>
      <w:r>
        <w:t xml:space="preserve"> and some </w:t>
      </w:r>
      <w:r w:rsidR="00F7237D">
        <w:t>jurisdictions in</w:t>
      </w:r>
      <w:r>
        <w:t xml:space="preserve"> the U</w:t>
      </w:r>
      <w:r w:rsidR="00181D50">
        <w:t xml:space="preserve">nited </w:t>
      </w:r>
      <w:r>
        <w:t>S</w:t>
      </w:r>
      <w:r w:rsidR="00181D50">
        <w:t xml:space="preserve">tates </w:t>
      </w:r>
      <w:r w:rsidR="00110977">
        <w:t>o</w:t>
      </w:r>
      <w:r w:rsidR="00181D50">
        <w:t xml:space="preserve">f </w:t>
      </w:r>
      <w:r>
        <w:t>A</w:t>
      </w:r>
      <w:r w:rsidR="00181D50">
        <w:t>merica</w:t>
      </w:r>
      <w:r>
        <w:t>.</w:t>
      </w:r>
      <w:r>
        <w:rPr>
          <w:rStyle w:val="FootnoteReference"/>
        </w:rPr>
        <w:footnoteReference w:id="602"/>
      </w:r>
      <w:r>
        <w:t xml:space="preserve"> They are also used on a non-statutory basis in England and Wales.</w:t>
      </w:r>
      <w:r>
        <w:rPr>
          <w:rStyle w:val="FootnoteReference"/>
        </w:rPr>
        <w:footnoteReference w:id="603"/>
      </w:r>
      <w:r>
        <w:t xml:space="preserve"> </w:t>
      </w:r>
    </w:p>
    <w:p w14:paraId="3404FA8A" w14:textId="77777777" w:rsidR="005900F0" w:rsidRDefault="005900F0" w:rsidP="003E75B9">
      <w:pPr>
        <w:pStyle w:val="BodyText"/>
        <w:numPr>
          <w:ilvl w:val="1"/>
          <w:numId w:val="31"/>
        </w:numPr>
        <w:spacing w:after="120"/>
        <w:ind w:hanging="709"/>
      </w:pPr>
      <w:r>
        <w:t>In all these jurisdictions, community impact statements appear to be used on a case-by-case basis rather than as a matter of course. None of the jurisdictions limit their use to certain offence types. Community impact statements have been admitted in some hate crime cases in Canada</w:t>
      </w:r>
      <w:r>
        <w:rPr>
          <w:rStyle w:val="FootnoteReference"/>
        </w:rPr>
        <w:footnoteReference w:id="604"/>
      </w:r>
      <w:r>
        <w:t xml:space="preserve"> and England and Wales.</w:t>
      </w:r>
      <w:r>
        <w:rPr>
          <w:rStyle w:val="FootnoteReference"/>
        </w:rPr>
        <w:footnoteReference w:id="605"/>
      </w:r>
      <w:r>
        <w:t xml:space="preserve"> </w:t>
      </w:r>
      <w:r w:rsidRPr="002C6881">
        <w:t xml:space="preserve">They have also been </w:t>
      </w:r>
      <w:r>
        <w:t>admitted at sentencing for a range of other offending, including violent disorder offending,</w:t>
      </w:r>
      <w:r>
        <w:rPr>
          <w:rStyle w:val="FootnoteReference"/>
        </w:rPr>
        <w:footnoteReference w:id="606"/>
      </w:r>
      <w:r>
        <w:t xml:space="preserve"> drug offending,</w:t>
      </w:r>
      <w:r>
        <w:rPr>
          <w:rStyle w:val="FootnoteReference"/>
        </w:rPr>
        <w:footnoteReference w:id="607"/>
      </w:r>
      <w:r>
        <w:t xml:space="preserve"> child sexual offending</w:t>
      </w:r>
      <w:r>
        <w:rPr>
          <w:rStyle w:val="FootnoteReference"/>
        </w:rPr>
        <w:footnoteReference w:id="608"/>
      </w:r>
      <w:r>
        <w:t xml:space="preserve"> and robberies targeting elderly women.</w:t>
      </w:r>
      <w:r>
        <w:rPr>
          <w:rStyle w:val="FootnoteReference"/>
        </w:rPr>
        <w:footnoteReference w:id="609"/>
      </w:r>
      <w:r>
        <w:t xml:space="preserve"> In Canada and South Australia, they have been used to communicate the impact of offending on indigenous communities.</w:t>
      </w:r>
      <w:r>
        <w:rPr>
          <w:rStyle w:val="FootnoteReference"/>
        </w:rPr>
        <w:footnoteReference w:id="610"/>
      </w:r>
    </w:p>
    <w:p w14:paraId="3E0C41FF" w14:textId="77777777" w:rsidR="005900F0" w:rsidRDefault="005900F0" w:rsidP="003E75B9">
      <w:pPr>
        <w:pStyle w:val="BodyText"/>
        <w:numPr>
          <w:ilvl w:val="1"/>
          <w:numId w:val="31"/>
        </w:numPr>
        <w:spacing w:after="120"/>
        <w:ind w:hanging="709"/>
      </w:pPr>
      <w:r>
        <w:t>The purpose of community impact statements has been described by the Ontario Superior Court of Justice as follows:</w:t>
      </w:r>
      <w:r>
        <w:rPr>
          <w:rStyle w:val="FootnoteReference"/>
        </w:rPr>
        <w:footnoteReference w:id="611"/>
      </w:r>
    </w:p>
    <w:p w14:paraId="774CA083" w14:textId="77777777" w:rsidR="005900F0" w:rsidRDefault="005900F0" w:rsidP="005900F0">
      <w:pPr>
        <w:pStyle w:val="Quote"/>
        <w:ind w:left="1134"/>
      </w:pPr>
      <w:r w:rsidRPr="004C726A">
        <w:t xml:space="preserve">Community impact statements </w:t>
      </w:r>
      <w:r>
        <w:t xml:space="preserve">… </w:t>
      </w:r>
      <w:r w:rsidRPr="004C726A">
        <w:t>are intended to provide a mechanism for enhanced public participation in the criminal sentencing process. They also recognize that the impact of certain offences is often felt by the community where the offence occurs and not just the individual victims of the specific offence or offences. Within permissible confines, community impact statements provide the court with meaningful and helpful information to be considered in arriving at a fit sentence for a particular offence.</w:t>
      </w:r>
    </w:p>
    <w:p w14:paraId="51B6A95D" w14:textId="77777777" w:rsidR="005900F0" w:rsidRDefault="005900F0" w:rsidP="003E75B9">
      <w:pPr>
        <w:pStyle w:val="BodyText"/>
        <w:numPr>
          <w:ilvl w:val="1"/>
          <w:numId w:val="31"/>
        </w:numPr>
        <w:ind w:hanging="709"/>
      </w:pPr>
      <w:r>
        <w:t>In the context of hate crimes in particular, the Crown Prosecution Service in England and Wales states:</w:t>
      </w:r>
      <w:r>
        <w:rPr>
          <w:rStyle w:val="FootnoteReference"/>
        </w:rPr>
        <w:footnoteReference w:id="612"/>
      </w:r>
    </w:p>
    <w:p w14:paraId="678C44A7" w14:textId="77777777" w:rsidR="005900F0" w:rsidRDefault="005900F0" w:rsidP="005900F0">
      <w:pPr>
        <w:pStyle w:val="Quote"/>
        <w:ind w:left="1134"/>
      </w:pPr>
      <w:r w:rsidRPr="006C7405">
        <w:t xml:space="preserve">Hate crime offences often have a disproportionate impact on the victim because they are being targeted for a personal characteristic, whether it’s their disability, race, religion, sexual orientation or transgender identity. The fear and lack of safety felt by the victims of hate crime can have a ripple effect on the wider community, undermining peoples’ confidence and security. The use of a </w:t>
      </w:r>
      <w:r>
        <w:t>[community impact statement]</w:t>
      </w:r>
      <w:r w:rsidRPr="006C7405">
        <w:t xml:space="preserve"> allows for both the prevalence and the impact of these crimes to be fully understood and taken into account in appropriate hate crime cases</w:t>
      </w:r>
      <w:r>
        <w:t>.</w:t>
      </w:r>
    </w:p>
    <w:p w14:paraId="0B329BC7" w14:textId="5E01DB47" w:rsidR="005900F0" w:rsidRDefault="005900F0" w:rsidP="005900F0">
      <w:pPr>
        <w:pStyle w:val="Heading3"/>
      </w:pPr>
      <w:r>
        <w:t>Reform not recommended</w:t>
      </w:r>
    </w:p>
    <w:p w14:paraId="17DB4057" w14:textId="379E454A" w:rsidR="005900F0" w:rsidRDefault="005900F0" w:rsidP="003E75B9">
      <w:pPr>
        <w:pStyle w:val="BodyText"/>
        <w:numPr>
          <w:ilvl w:val="1"/>
          <w:numId w:val="31"/>
        </w:numPr>
        <w:spacing w:after="120"/>
        <w:ind w:hanging="709"/>
      </w:pPr>
      <w:r>
        <w:t xml:space="preserve">As discussed in Chapter </w:t>
      </w:r>
      <w:r w:rsidR="00905B37">
        <w:t>3</w:t>
      </w:r>
      <w:r>
        <w:t xml:space="preserve">, one of the reasons for treating hate crimes more seriously than </w:t>
      </w:r>
      <w:r w:rsidR="000051A8">
        <w:t>equivalent</w:t>
      </w:r>
      <w:r w:rsidR="00CF371D">
        <w:t xml:space="preserve"> non-hate crimes</w:t>
      </w:r>
      <w:r>
        <w:t xml:space="preserve"> is that they cause additional harm to the wider community. Hate crimes are, in a sense, crimes against the whole group to which the victim belongs. </w:t>
      </w:r>
    </w:p>
    <w:p w14:paraId="0BF5910F" w14:textId="265AC330" w:rsidR="002E07A1" w:rsidRDefault="002E07A1" w:rsidP="002E07A1">
      <w:pPr>
        <w:pStyle w:val="BodyText"/>
        <w:numPr>
          <w:ilvl w:val="1"/>
          <w:numId w:val="31"/>
        </w:numPr>
        <w:spacing w:after="120"/>
        <w:ind w:hanging="709"/>
      </w:pPr>
      <w:r>
        <w:t xml:space="preserve">It is therefore appropriate and, in many cases, desirable for sentencing decisions in cases involving hate crime to acknowledge the harm </w:t>
      </w:r>
      <w:r w:rsidR="00B57375">
        <w:t>caused</w:t>
      </w:r>
      <w:r>
        <w:t xml:space="preserve"> to the wider community.</w:t>
      </w:r>
      <w:r w:rsidR="004F092D">
        <w:t xml:space="preserve"> Currently, it is</w:t>
      </w:r>
      <w:r w:rsidR="004F092D" w:rsidRPr="005B4FA4">
        <w:t xml:space="preserve"> rare for sentencing courts to refer explicitly to </w:t>
      </w:r>
      <w:r w:rsidR="00191B4A">
        <w:t xml:space="preserve">the </w:t>
      </w:r>
      <w:r w:rsidR="004F092D" w:rsidRPr="005B4FA4">
        <w:t>community harm</w:t>
      </w:r>
      <w:r w:rsidR="00191B4A">
        <w:t xml:space="preserve"> caused by hate crimes</w:t>
      </w:r>
      <w:r w:rsidR="004F092D" w:rsidRPr="005B4FA4">
        <w:t>.</w:t>
      </w:r>
      <w:r>
        <w:t xml:space="preserve"> </w:t>
      </w:r>
      <w:r w:rsidR="004F092D">
        <w:t>We consider that, in</w:t>
      </w:r>
      <w:r>
        <w:t xml:space="preserve"> some cases, community impact statements </w:t>
      </w:r>
      <w:r w:rsidR="004F092D">
        <w:t>could</w:t>
      </w:r>
      <w:r>
        <w:t xml:space="preserve"> help to inform the court about </w:t>
      </w:r>
      <w:r w:rsidR="00537C95">
        <w:t>those</w:t>
      </w:r>
      <w:r>
        <w:t xml:space="preserve"> wider harms</w:t>
      </w:r>
      <w:r w:rsidR="00537C95">
        <w:t>.</w:t>
      </w:r>
      <w:r>
        <w:t xml:space="preserve"> </w:t>
      </w:r>
    </w:p>
    <w:p w14:paraId="2DD451BA" w14:textId="2E6200AE" w:rsidR="004E5B0E" w:rsidRDefault="006601F1" w:rsidP="004260E2">
      <w:pPr>
        <w:pStyle w:val="BodyText"/>
        <w:numPr>
          <w:ilvl w:val="1"/>
          <w:numId w:val="31"/>
        </w:numPr>
        <w:spacing w:after="120"/>
        <w:ind w:hanging="709"/>
      </w:pPr>
      <w:r>
        <w:t xml:space="preserve">Reform is not required to </w:t>
      </w:r>
      <w:r w:rsidR="002342F0">
        <w:t>enable the use of community impact statements.</w:t>
      </w:r>
      <w:r>
        <w:t xml:space="preserve"> </w:t>
      </w:r>
      <w:r w:rsidR="00500B87">
        <w:t>As explained above, there is precedent for admitting such statements under section</w:t>
      </w:r>
      <w:r>
        <w:rPr>
          <w:rFonts w:ascii="Calibri" w:hAnsi="Calibri" w:cs="Calibri"/>
        </w:rPr>
        <w:t> </w:t>
      </w:r>
      <w:r w:rsidR="00500B87">
        <w:t xml:space="preserve">17AAB of the Victims’ Rights Act, including in hate crime cases. We acknowledge the Victims’ Rights Act could be clearer about the ability to admit community impact statements, which could encourage their use in appropriate cases. However, </w:t>
      </w:r>
      <w:r w:rsidR="001C01A3">
        <w:t xml:space="preserve">that is not </w:t>
      </w:r>
      <w:r w:rsidR="002C610E">
        <w:t>an issue specific to hate crime</w:t>
      </w:r>
      <w:r w:rsidR="007C7467">
        <w:t xml:space="preserve"> and it would </w:t>
      </w:r>
      <w:r w:rsidR="00EB13DF">
        <w:t xml:space="preserve">not be appropriate for us to recommend reform as part of this review. </w:t>
      </w:r>
    </w:p>
    <w:p w14:paraId="06DD3074" w14:textId="314AF62B" w:rsidR="002E07A1" w:rsidRDefault="00500B87" w:rsidP="004260E2">
      <w:pPr>
        <w:pStyle w:val="BodyText"/>
        <w:numPr>
          <w:ilvl w:val="1"/>
          <w:numId w:val="31"/>
        </w:numPr>
        <w:spacing w:after="120"/>
        <w:ind w:hanging="709"/>
      </w:pPr>
      <w:r>
        <w:t xml:space="preserve">There are other types of offending that have impacts beyond individual victims and may equally benefit from consideration of community impact statements at sentencing. For example, as noted above, section 17AAB </w:t>
      </w:r>
      <w:r w:rsidR="00B64600">
        <w:t>of the Victims’ Rights Act</w:t>
      </w:r>
      <w:r>
        <w:t xml:space="preserve"> is sometimes used to admit statements about the community impacts of environmental offending. A reform relating solely to hate crime could inadvertently call that practice into question. On the other hand, a broader amendment is outside the scope of this review and could have significant resourcing implications for </w:t>
      </w:r>
      <w:r w:rsidR="000F6F26">
        <w:t xml:space="preserve">Ngā Pirihimana o Aotearoa | </w:t>
      </w:r>
      <w:r>
        <w:t xml:space="preserve">New Zealand Police (which prepares victim impact statements) and the courts. There are also practical issues that would need to be worked through if community impact statements were to be widely used. For example, it may not always be straightforward to determine who should prepare a statement on behalf of a community. </w:t>
      </w:r>
    </w:p>
    <w:p w14:paraId="3ED3F7EC" w14:textId="47C6CD02" w:rsidR="005900F0" w:rsidRDefault="005900F0" w:rsidP="003E75B9">
      <w:pPr>
        <w:pStyle w:val="BodyText"/>
        <w:numPr>
          <w:ilvl w:val="1"/>
          <w:numId w:val="31"/>
        </w:numPr>
        <w:spacing w:after="120"/>
        <w:ind w:hanging="709"/>
      </w:pPr>
      <w:r>
        <w:t xml:space="preserve">Issues relating to victim impact statements were going to be considered by the Ministry of Justice in a review of the Victims’ Rights Act, which was commenced in 2023 but put on hold the following year. We </w:t>
      </w:r>
      <w:r w:rsidR="004260E2">
        <w:t>consider</w:t>
      </w:r>
      <w:r>
        <w:t xml:space="preserve"> a review of the Victims’ Rights Act is the appropriate forum to consider the use of community impact statements in general and whether amendment is desirable to facilitate it. </w:t>
      </w:r>
    </w:p>
    <w:p w14:paraId="64DAFF9C" w14:textId="13D65D4A" w:rsidR="005900F0" w:rsidRPr="004C5085" w:rsidRDefault="005900F0" w:rsidP="003E75B9">
      <w:pPr>
        <w:pStyle w:val="BodyText"/>
        <w:numPr>
          <w:ilvl w:val="1"/>
          <w:numId w:val="31"/>
        </w:numPr>
        <w:spacing w:after="120"/>
        <w:ind w:hanging="709"/>
      </w:pPr>
      <w:r w:rsidRPr="004C5085">
        <w:t xml:space="preserve">In the meantime, Police </w:t>
      </w:r>
      <w:r w:rsidR="009F112A">
        <w:t>may wish</w:t>
      </w:r>
      <w:r w:rsidRPr="004C5085">
        <w:t xml:space="preserve"> to consider whether it is appropriate to prepare a community impact statement in case</w:t>
      </w:r>
      <w:r>
        <w:t>s</w:t>
      </w:r>
      <w:r w:rsidRPr="004C5085">
        <w:t xml:space="preserve"> where the </w:t>
      </w:r>
      <w:r>
        <w:t>hostility</w:t>
      </w:r>
      <w:r w:rsidRPr="004C5085">
        <w:t xml:space="preserve"> aggravating factor will be raised at sentencing. </w:t>
      </w:r>
      <w:r w:rsidR="009E7648">
        <w:t>The</w:t>
      </w:r>
      <w:r w:rsidRPr="004C5085">
        <w:t xml:space="preserve"> Police </w:t>
      </w:r>
      <w:r>
        <w:t>I</w:t>
      </w:r>
      <w:r w:rsidRPr="004C5085">
        <w:t>nstructions on hate crime currently state that victim impact statement</w:t>
      </w:r>
      <w:r>
        <w:t>s</w:t>
      </w:r>
      <w:r w:rsidRPr="004C5085">
        <w:t xml:space="preserve"> should capture </w:t>
      </w:r>
      <w:r w:rsidR="009F112A">
        <w:t xml:space="preserve">fully </w:t>
      </w:r>
      <w:r w:rsidRPr="004C5085">
        <w:t xml:space="preserve">the harm to the victim. Police could consider </w:t>
      </w:r>
      <w:r>
        <w:t>adding</w:t>
      </w:r>
      <w:r w:rsidRPr="004C5085">
        <w:t xml:space="preserve"> a prompt to assess whether a community impact statement may </w:t>
      </w:r>
      <w:r w:rsidR="00F93594">
        <w:t xml:space="preserve">also </w:t>
      </w:r>
      <w:r w:rsidRPr="004C5085">
        <w:t>be appropriate in the circumstances</w:t>
      </w:r>
      <w:r w:rsidR="00F93594">
        <w:t xml:space="preserve"> to capture the harm to the community</w:t>
      </w:r>
      <w:r w:rsidRPr="004C5085">
        <w:t xml:space="preserve">. </w:t>
      </w:r>
      <w:r w:rsidR="00662417">
        <w:t>Additionally, t</w:t>
      </w:r>
      <w:r>
        <w:t xml:space="preserve">here are general Police Instructions on victims, which cover victim impact statements but do not </w:t>
      </w:r>
      <w:r w:rsidR="00B54451">
        <w:t xml:space="preserve">presently </w:t>
      </w:r>
      <w:r>
        <w:t xml:space="preserve">refer to the possibility of community impact statements. We </w:t>
      </w:r>
      <w:r w:rsidR="00661D55">
        <w:t>discuss</w:t>
      </w:r>
      <w:r>
        <w:t xml:space="preserve"> a review of the Police guidance </w:t>
      </w:r>
      <w:r w:rsidR="00B54451">
        <w:t>relating</w:t>
      </w:r>
      <w:r>
        <w:t xml:space="preserve"> to hate crime in Chapter </w:t>
      </w:r>
      <w:r w:rsidR="00B54451">
        <w:t>9</w:t>
      </w:r>
      <w:r>
        <w:t>.</w:t>
      </w:r>
    </w:p>
    <w:p w14:paraId="2CF95F2D" w14:textId="77777777" w:rsidR="003C0CB4" w:rsidRDefault="003C0CB4">
      <w:pPr>
        <w:spacing w:before="0" w:after="0" w:line="240" w:lineRule="auto"/>
      </w:pPr>
      <w:r>
        <w:br w:type="page"/>
      </w:r>
    </w:p>
    <w:p w14:paraId="4FE30770" w14:textId="79F451F7" w:rsidR="00A42BC3" w:rsidRPr="00107F81" w:rsidRDefault="009E7648" w:rsidP="005270AD">
      <w:pPr>
        <w:pStyle w:val="BodyText"/>
        <w:numPr>
          <w:ilvl w:val="1"/>
          <w:numId w:val="31"/>
        </w:numPr>
        <w:spacing w:after="120"/>
        <w:ind w:hanging="709"/>
      </w:pPr>
      <w:r>
        <w:t>C</w:t>
      </w:r>
      <w:r w:rsidR="005900F0">
        <w:t xml:space="preserve">ommunity impact statements will </w:t>
      </w:r>
      <w:r>
        <w:t xml:space="preserve">not </w:t>
      </w:r>
      <w:r w:rsidR="005900F0">
        <w:t xml:space="preserve">be necessary in all, or even most, hate crime cases. The likely impact of such a statement </w:t>
      </w:r>
      <w:r w:rsidR="00065A09">
        <w:t>would need to</w:t>
      </w:r>
      <w:r w:rsidR="005900F0">
        <w:t xml:space="preserve"> be balanced against the time and cost involved in producing it and presenting it in court. For some offences, community impacts may be general in nature and able to be inferred by the judge from the circumstances of the offending. For example, sentencing notes sometimes refer to the community impacts of stranger sexual assaults (causing women to be fearful in public places) and drug offending (causing addiction and associated crime) without reference to an impact statement.</w:t>
      </w:r>
      <w:r w:rsidR="005900F0">
        <w:rPr>
          <w:rStyle w:val="FootnoteReference"/>
        </w:rPr>
        <w:footnoteReference w:id="613"/>
      </w:r>
      <w:r w:rsidR="005900F0">
        <w:t xml:space="preserve"> Similarly, an impact statement may not be required for the court to take account of the fact that hate crimes generally cause wider fear among the affected community.</w:t>
      </w:r>
      <w:r w:rsidR="005900F0">
        <w:rPr>
          <w:rStyle w:val="FootnoteReference"/>
        </w:rPr>
        <w:footnoteReference w:id="614"/>
      </w:r>
      <w:r w:rsidR="005900F0">
        <w:t xml:space="preserve"> There may, however, be value in a community impact statement in cases where the court requires further information to properly assess the harm </w:t>
      </w:r>
      <w:r w:rsidR="00872032" w:rsidRPr="00107F81">
        <w:t xml:space="preserve">the offending has </w:t>
      </w:r>
      <w:r w:rsidR="005900F0">
        <w:t xml:space="preserve">caused </w:t>
      </w:r>
      <w:r w:rsidR="00872032" w:rsidRPr="00107F81">
        <w:t xml:space="preserve">to </w:t>
      </w:r>
      <w:r w:rsidR="005900F0" w:rsidRPr="001A57A5">
        <w:t xml:space="preserve">the </w:t>
      </w:r>
      <w:r w:rsidR="00872032" w:rsidRPr="00107F81">
        <w:t>affected community</w:t>
      </w:r>
      <w:r w:rsidR="005900F0" w:rsidRPr="00107F81">
        <w:t xml:space="preserve">. </w:t>
      </w:r>
    </w:p>
    <w:p w14:paraId="53A136E4" w14:textId="5B672516" w:rsidR="00A42BC3" w:rsidRPr="00330E85" w:rsidRDefault="00A42BC3" w:rsidP="000B3200"/>
    <w:p w14:paraId="6AC3B58C" w14:textId="0E33FF32" w:rsidR="00A42BC3" w:rsidRPr="00330E85" w:rsidRDefault="005270AD" w:rsidP="00A42BC3">
      <w:pPr>
        <w:pStyle w:val="BodyText"/>
        <w:numPr>
          <w:ilvl w:val="0"/>
          <w:numId w:val="0"/>
        </w:numPr>
        <w:ind w:left="709" w:hanging="709"/>
      </w:pPr>
      <w:r w:rsidRPr="00A42BC3">
        <w:rPr>
          <w:noProof/>
          <w:highlight w:val="yellow"/>
        </w:rPr>
        <mc:AlternateContent>
          <mc:Choice Requires="wps">
            <w:drawing>
              <wp:anchor distT="0" distB="0" distL="114300" distR="114300" simplePos="0" relativeHeight="251658261" behindDoc="0" locked="0" layoutInCell="1" allowOverlap="1" wp14:anchorId="0E1967A1" wp14:editId="0B261413">
                <wp:simplePos x="0" y="0"/>
                <wp:positionH relativeFrom="margin">
                  <wp:posOffset>0</wp:posOffset>
                </wp:positionH>
                <wp:positionV relativeFrom="paragraph">
                  <wp:posOffset>148903</wp:posOffset>
                </wp:positionV>
                <wp:extent cx="2721610" cy="0"/>
                <wp:effectExtent l="0" t="19050" r="21590" b="19050"/>
                <wp:wrapNone/>
                <wp:docPr id="1316929622" name="Straight Connector 131692962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F576C" id="Straight Connector 1316929622" o:spid="_x0000_s1026" style="position:absolute;z-index:251658261;visibility:visible;mso-wrap-style:square;mso-wrap-distance-left:9pt;mso-wrap-distance-top:0;mso-wrap-distance-right:9pt;mso-wrap-distance-bottom:0;mso-position-horizontal:absolute;mso-position-horizontal-relative:margin;mso-position-vertical:absolute;mso-position-vertical-relative:text" from="0,11.7pt" to="214.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b4LXx2wAAAAYBAAAPAAAA&#10;ZHJzL2Rvd25yZXYueG1sTI/BTsMwEETvSPyDtUjcqNNQVW2IU1VVewXRItTjJl4Sq/E6it3W8PUY&#10;cYDjzoxm3paraHtxodEbxwqmkwwEceO04VbB22H3sADhA7LG3jEp+CQPq+r2psRCuyu/0mUfWpFK&#10;2BeooAthKKT0TUcW/cQNxMn7cKPFkM6xlXrEayq3vcyzbC4tGk4LHQ606ag57c9WQXx/se64Xdf5&#10;1+ZZh1M0Zro0St3fxfUTiEAx/IXhBz+hQ5WYandm7UWvID0SFOSPMxDJneW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G+C18dsAAAAGAQAADwAAAAAAAAAAAAAA&#10;AAAdBAAAZHJzL2Rvd25yZXYueG1sUEsFBgAAAAAEAAQA8wAAACUFAAAAAA==&#10;" strokecolor="#5ca0b9" strokeweight="2.5pt">
                <w10:wrap anchorx="margin"/>
              </v:line>
            </w:pict>
          </mc:Fallback>
        </mc:AlternateContent>
      </w:r>
    </w:p>
    <w:p w14:paraId="74169EE2" w14:textId="77777777" w:rsidR="00A42BC3" w:rsidRPr="00330E85" w:rsidRDefault="00A42BC3" w:rsidP="00A42BC3">
      <w:pPr>
        <w:spacing w:after="0" w:line="240" w:lineRule="auto"/>
      </w:pPr>
    </w:p>
    <w:p w14:paraId="22DA310D" w14:textId="77777777" w:rsidR="00A42BC3" w:rsidRPr="00330E85" w:rsidRDefault="00A42BC3" w:rsidP="00A42BC3">
      <w:pPr>
        <w:spacing w:after="0" w:line="240" w:lineRule="auto"/>
      </w:pPr>
    </w:p>
    <w:p w14:paraId="27987765" w14:textId="77777777" w:rsidR="00A42BC3" w:rsidRPr="00330E85" w:rsidRDefault="00A42BC3" w:rsidP="00A42BC3">
      <w:pPr>
        <w:spacing w:after="0" w:line="240" w:lineRule="auto"/>
        <w:sectPr w:rsidR="00A42BC3" w:rsidRPr="00330E85" w:rsidSect="00A42BC3">
          <w:headerReference w:type="default" r:id="rId50"/>
          <w:footnotePr>
            <w:numRestart w:val="eachSect"/>
          </w:footnotePr>
          <w:pgSz w:w="11907" w:h="16840" w:code="9"/>
          <w:pgMar w:top="1134" w:right="1134" w:bottom="1134" w:left="1701" w:header="499" w:footer="46" w:gutter="0"/>
          <w:cols w:space="720"/>
        </w:sectPr>
      </w:pPr>
    </w:p>
    <w:p w14:paraId="1F2935F6" w14:textId="5070C8D0" w:rsidR="00A42BC3" w:rsidRPr="00330E85" w:rsidRDefault="00A42BC3" w:rsidP="00A42BC3">
      <w:pPr>
        <w:pStyle w:val="HEADING2topchapter-notinTOC"/>
        <w:rPr>
          <w:sz w:val="21"/>
          <w:szCs w:val="21"/>
        </w:rPr>
      </w:pPr>
      <w:r w:rsidRPr="00330E85">
        <w:t xml:space="preserve">CHAPTER </w:t>
      </w:r>
      <w:r w:rsidR="008C5E6D">
        <w:t>8</w:t>
      </w:r>
    </w:p>
    <w:p w14:paraId="0B07D0CC" w14:textId="77777777" w:rsidR="00A42BC3" w:rsidRPr="00330E85" w:rsidRDefault="00A42BC3" w:rsidP="00A42BC3">
      <w:pPr>
        <w:spacing w:after="0" w:line="200" w:lineRule="exact"/>
        <w:rPr>
          <w:szCs w:val="20"/>
        </w:rPr>
      </w:pPr>
      <w:r w:rsidRPr="00330E85">
        <w:rPr>
          <w:noProof/>
        </w:rPr>
        <mc:AlternateContent>
          <mc:Choice Requires="wpg">
            <w:drawing>
              <wp:anchor distT="0" distB="0" distL="114300" distR="114300" simplePos="0" relativeHeight="251658262" behindDoc="1" locked="0" layoutInCell="1" allowOverlap="1" wp14:anchorId="133AE052" wp14:editId="11500F84">
                <wp:simplePos x="0" y="0"/>
                <wp:positionH relativeFrom="page">
                  <wp:posOffset>1079500</wp:posOffset>
                </wp:positionH>
                <wp:positionV relativeFrom="paragraph">
                  <wp:posOffset>120015</wp:posOffset>
                </wp:positionV>
                <wp:extent cx="1332230" cy="1270"/>
                <wp:effectExtent l="0" t="19050" r="1270" b="0"/>
                <wp:wrapNone/>
                <wp:docPr id="1562101897" name="Group 156210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046267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D72EF" id="Group 1562101897" o:spid="_x0000_s1026" style="position:absolute;margin-left:85pt;margin-top:9.45pt;width:104.9pt;height:.1pt;z-index:-25165821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Bq2GIn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45E1DEF3" w14:textId="3AA0CBCE" w:rsidR="00A42BC3" w:rsidRPr="00330E85" w:rsidRDefault="0035118F" w:rsidP="00A437EB">
      <w:pPr>
        <w:pStyle w:val="Heading1"/>
        <w:rPr>
          <w:rFonts w:eastAsia="Metropolis Black"/>
        </w:rPr>
      </w:pPr>
      <w:bookmarkStart w:id="155" w:name="_Toc231467860"/>
      <w:r>
        <w:rPr>
          <w:rFonts w:eastAsia="Metropolis Black"/>
        </w:rPr>
        <w:t>Wording of section 9(1)(h)</w:t>
      </w:r>
      <w:bookmarkEnd w:id="155"/>
    </w:p>
    <w:p w14:paraId="0532FD01" w14:textId="77777777" w:rsidR="00A42BC3" w:rsidRPr="00330E85" w:rsidRDefault="00A42BC3" w:rsidP="00A42BC3">
      <w:pPr>
        <w:spacing w:after="0" w:line="200" w:lineRule="exact"/>
        <w:rPr>
          <w:szCs w:val="20"/>
        </w:rPr>
      </w:pPr>
      <w:r w:rsidRPr="00330E85">
        <w:rPr>
          <w:noProof/>
          <w:lang w:eastAsia="en-NZ"/>
        </w:rPr>
        <mc:AlternateContent>
          <mc:Choice Requires="wpg">
            <w:drawing>
              <wp:anchor distT="0" distB="0" distL="114300" distR="114300" simplePos="0" relativeHeight="251658263" behindDoc="1" locked="0" layoutInCell="1" allowOverlap="1" wp14:anchorId="5AF3989F" wp14:editId="4770074E">
                <wp:simplePos x="0" y="0"/>
                <wp:positionH relativeFrom="page">
                  <wp:posOffset>1089025</wp:posOffset>
                </wp:positionH>
                <wp:positionV relativeFrom="paragraph">
                  <wp:posOffset>86731</wp:posOffset>
                </wp:positionV>
                <wp:extent cx="1332230" cy="1270"/>
                <wp:effectExtent l="0" t="19050" r="1270" b="17780"/>
                <wp:wrapNone/>
                <wp:docPr id="489354677" name="Group 489354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42801382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553BC" id="Group 489354677" o:spid="_x0000_s1026" style="position:absolute;margin-left:85.75pt;margin-top:6.85pt;width:104.9pt;height:.1pt;z-index:-25165821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1020B1FC" w14:textId="77777777" w:rsidR="00A42BC3" w:rsidRPr="00330E85" w:rsidRDefault="00A42BC3" w:rsidP="00A42BC3"/>
    <w:p w14:paraId="5158C0E0" w14:textId="77777777" w:rsidR="00A42BC3" w:rsidRDefault="00A42BC3" w:rsidP="00A42BC3">
      <w:pPr>
        <w:pStyle w:val="Heading2"/>
      </w:pPr>
      <w:bookmarkStart w:id="156" w:name="_Toc231467861"/>
      <w:r w:rsidRPr="00E34108">
        <w:t>Introduction</w:t>
      </w:r>
      <w:bookmarkEnd w:id="156"/>
    </w:p>
    <w:p w14:paraId="54EC3148" w14:textId="77777777" w:rsidR="00A42BC3" w:rsidRPr="00684CD4" w:rsidRDefault="00A42BC3" w:rsidP="003E75B9">
      <w:pPr>
        <w:pStyle w:val="ListParagraph"/>
        <w:numPr>
          <w:ilvl w:val="0"/>
          <w:numId w:val="28"/>
        </w:numPr>
        <w:spacing w:before="80" w:after="80"/>
        <w:contextualSpacing w:val="0"/>
        <w:jc w:val="both"/>
        <w:rPr>
          <w:vanish/>
          <w:sz w:val="20"/>
        </w:rPr>
      </w:pPr>
    </w:p>
    <w:p w14:paraId="4C14E7BE" w14:textId="02FECEF3" w:rsidR="00D07667" w:rsidRPr="00D07667" w:rsidRDefault="00D07667" w:rsidP="00D07667">
      <w:pPr>
        <w:pStyle w:val="BodyText"/>
        <w:rPr>
          <w:rFonts w:eastAsia="Calibri" w:cs="Cordia New"/>
          <w:color w:val="auto"/>
          <w:szCs w:val="22"/>
          <w:lang w:eastAsia="en-US"/>
        </w:rPr>
      </w:pPr>
      <w:r w:rsidRPr="00D07667">
        <w:rPr>
          <w:rFonts w:eastAsia="Calibri" w:cs="Cordia New"/>
          <w:color w:val="auto"/>
          <w:szCs w:val="22"/>
          <w:lang w:eastAsia="en-US"/>
        </w:rPr>
        <w:t>In this chapter, we recommend two reforms to the wording of section 9(1)(h) of the Sentencing Act 2002. Section 9(1)(h) provides that the court must take into account</w:t>
      </w:r>
      <w:r w:rsidR="00136E45">
        <w:rPr>
          <w:rFonts w:eastAsia="Calibri" w:cs="Cordia New"/>
          <w:color w:val="auto"/>
          <w:szCs w:val="22"/>
          <w:lang w:eastAsia="en-US"/>
        </w:rPr>
        <w:t xml:space="preserve"> (where applicable)</w:t>
      </w:r>
      <w:r w:rsidRPr="00D07667">
        <w:rPr>
          <w:rFonts w:eastAsia="Calibri" w:cs="Cordia New"/>
          <w:color w:val="auto"/>
          <w:szCs w:val="22"/>
          <w:lang w:eastAsia="en-US"/>
        </w:rPr>
        <w:t>:</w:t>
      </w:r>
    </w:p>
    <w:p w14:paraId="590B43A1" w14:textId="77777777" w:rsidR="00D07667" w:rsidRPr="00D07667" w:rsidRDefault="00D07667" w:rsidP="0047135F">
      <w:pPr>
        <w:pStyle w:val="QuoteIndent1"/>
        <w:ind w:left="1418" w:firstLine="0"/>
        <w:rPr>
          <w:rFonts w:eastAsia="Calibri"/>
          <w:lang w:eastAsia="en-US"/>
        </w:rPr>
      </w:pPr>
      <w:r w:rsidRPr="00D07667">
        <w:rPr>
          <w:rFonts w:eastAsia="Calibri"/>
          <w:lang w:eastAsia="en-US"/>
        </w:rPr>
        <w:t>that the offender committed the offence partly or wholly because of hostility towards a group of persons who have an enduring common characteristic such as race, colour, nationality, religion, gender identity, sexual orientation, age, or disability; and</w:t>
      </w:r>
    </w:p>
    <w:p w14:paraId="202E6F00" w14:textId="77777777" w:rsidR="00D07667" w:rsidRPr="00D07667" w:rsidRDefault="00D07667" w:rsidP="00842D3F">
      <w:pPr>
        <w:pStyle w:val="QuoteIndent1"/>
        <w:rPr>
          <w:rFonts w:eastAsia="Calibri"/>
          <w:lang w:eastAsia="en-US"/>
        </w:rPr>
      </w:pPr>
      <w:r w:rsidRPr="00D07667">
        <w:rPr>
          <w:rFonts w:eastAsia="Calibri"/>
          <w:lang w:eastAsia="en-US"/>
        </w:rPr>
        <w:t>(i) the hostility is because of the common characteristic; and</w:t>
      </w:r>
    </w:p>
    <w:p w14:paraId="306521FA" w14:textId="77777777" w:rsidR="00D07667" w:rsidRPr="00D07667" w:rsidRDefault="00D07667" w:rsidP="00842D3F">
      <w:pPr>
        <w:pStyle w:val="QuoteIndent1"/>
        <w:rPr>
          <w:rFonts w:eastAsia="Calibri"/>
          <w:lang w:eastAsia="en-US"/>
        </w:rPr>
      </w:pPr>
      <w:r w:rsidRPr="00D07667">
        <w:rPr>
          <w:rFonts w:eastAsia="Calibri"/>
          <w:lang w:eastAsia="en-US"/>
        </w:rPr>
        <w:t>(ii) the offender believed that the victim has that characteristic:</w:t>
      </w:r>
    </w:p>
    <w:p w14:paraId="32D53888" w14:textId="1237F690" w:rsidR="00D07667" w:rsidRPr="00D07667" w:rsidRDefault="00D07667" w:rsidP="00D07667">
      <w:pPr>
        <w:pStyle w:val="BodyText"/>
        <w:rPr>
          <w:rFonts w:eastAsia="Calibri" w:cs="Cordia New"/>
          <w:color w:val="auto"/>
          <w:szCs w:val="22"/>
          <w:lang w:eastAsia="en-US"/>
        </w:rPr>
      </w:pPr>
      <w:r w:rsidRPr="00D07667">
        <w:rPr>
          <w:rFonts w:eastAsia="Calibri" w:cs="Cordia New"/>
          <w:color w:val="auto"/>
          <w:szCs w:val="22"/>
          <w:lang w:eastAsia="en-US"/>
        </w:rPr>
        <w:t xml:space="preserve">As explained in Chapter 1, we have not been asked to conduct a comprehensive ground-up review of New Zealand hate crime law. The Government asked us to focus our attention on whether the law should be changed to create standalone hate crime offences. </w:t>
      </w:r>
    </w:p>
    <w:p w14:paraId="38E68289" w14:textId="711BCFCF" w:rsidR="00D07667" w:rsidRPr="00D07667" w:rsidRDefault="00D07667" w:rsidP="00D07667">
      <w:pPr>
        <w:pStyle w:val="BodyText"/>
        <w:rPr>
          <w:rFonts w:eastAsia="Calibri" w:cs="Cordia New"/>
          <w:color w:val="auto"/>
          <w:szCs w:val="22"/>
          <w:lang w:eastAsia="en-US"/>
        </w:rPr>
      </w:pPr>
      <w:r w:rsidRPr="00D07667">
        <w:rPr>
          <w:rFonts w:eastAsia="Calibri" w:cs="Cordia New"/>
          <w:color w:val="auto"/>
          <w:szCs w:val="22"/>
          <w:lang w:eastAsia="en-US"/>
        </w:rPr>
        <w:t>For this reason, we have not sought to re-draft section 9(1)(h) from scratch. Nevertheless, we consider it appropriate to recommend straightforward reforms to the wording of section 9(1)(h) where they address issues that arise as a consequence of other reforms we propose or where we have identified a clear problem with the current operation of the law.</w:t>
      </w:r>
    </w:p>
    <w:p w14:paraId="7E2AA665" w14:textId="00625FEC" w:rsidR="00D07667" w:rsidRPr="00D07667" w:rsidRDefault="00D07667" w:rsidP="00D07667">
      <w:pPr>
        <w:pStyle w:val="BodyText"/>
        <w:rPr>
          <w:rFonts w:eastAsia="Calibri" w:cs="Cordia New"/>
          <w:color w:val="auto"/>
          <w:szCs w:val="22"/>
          <w:lang w:eastAsia="en-US"/>
        </w:rPr>
      </w:pPr>
      <w:r w:rsidRPr="00D07667">
        <w:rPr>
          <w:rFonts w:eastAsia="Calibri" w:cs="Cordia New"/>
          <w:color w:val="auto"/>
          <w:szCs w:val="22"/>
          <w:lang w:eastAsia="en-US"/>
        </w:rPr>
        <w:t xml:space="preserve">On </w:t>
      </w:r>
      <w:r w:rsidR="00AA7915">
        <w:rPr>
          <w:rFonts w:eastAsia="Calibri" w:cs="Cordia New"/>
          <w:color w:val="auto"/>
          <w:szCs w:val="22"/>
          <w:lang w:eastAsia="en-US"/>
        </w:rPr>
        <w:t>that</w:t>
      </w:r>
      <w:r w:rsidRPr="00D07667">
        <w:rPr>
          <w:rFonts w:eastAsia="Calibri" w:cs="Cordia New"/>
          <w:color w:val="auto"/>
          <w:szCs w:val="22"/>
          <w:lang w:eastAsia="en-US"/>
        </w:rPr>
        <w:t xml:space="preserve"> basis, we recommend: </w:t>
      </w:r>
    </w:p>
    <w:p w14:paraId="453E6EB9" w14:textId="27271626" w:rsidR="00D07667" w:rsidRPr="00842D3F" w:rsidRDefault="00A65B78" w:rsidP="00842D3F">
      <w:pPr>
        <w:pStyle w:val="BodyTextalphalist"/>
        <w:rPr>
          <w:rFonts w:eastAsia="Calibri" w:cs="Cordia New"/>
          <w:color w:val="auto"/>
          <w:szCs w:val="22"/>
          <w:lang w:eastAsia="en-US"/>
        </w:rPr>
      </w:pPr>
      <w:r>
        <w:rPr>
          <w:rFonts w:eastAsia="Calibri" w:cs="Cordia New"/>
          <w:color w:val="auto"/>
          <w:szCs w:val="22"/>
          <w:lang w:eastAsia="en-US"/>
        </w:rPr>
        <w:t>removing the</w:t>
      </w:r>
      <w:r w:rsidRPr="00842D3F">
        <w:rPr>
          <w:rFonts w:eastAsia="Calibri" w:cs="Cordia New"/>
          <w:color w:val="auto"/>
          <w:szCs w:val="22"/>
          <w:lang w:eastAsia="en-US"/>
        </w:rPr>
        <w:t xml:space="preserve"> </w:t>
      </w:r>
      <w:r w:rsidR="00D07667" w:rsidRPr="00842D3F">
        <w:rPr>
          <w:rFonts w:eastAsia="Calibri" w:cs="Cordia New"/>
          <w:color w:val="auto"/>
          <w:szCs w:val="22"/>
          <w:lang w:eastAsia="en-US"/>
        </w:rPr>
        <w:t>requirement in section 9(1)(h)(ii) that the offender</w:t>
      </w:r>
      <w:r w:rsidR="0095584A">
        <w:rPr>
          <w:rFonts w:eastAsia="Calibri" w:cs="Cordia New"/>
          <w:color w:val="auto"/>
          <w:szCs w:val="22"/>
          <w:lang w:eastAsia="en-US"/>
        </w:rPr>
        <w:t xml:space="preserve"> must have</w:t>
      </w:r>
      <w:r w:rsidR="00D07667" w:rsidRPr="00842D3F">
        <w:rPr>
          <w:rFonts w:eastAsia="Calibri" w:cs="Cordia New"/>
          <w:color w:val="auto"/>
          <w:szCs w:val="22"/>
          <w:lang w:eastAsia="en-US"/>
        </w:rPr>
        <w:t xml:space="preserve"> believe</w:t>
      </w:r>
      <w:r w:rsidR="0095584A">
        <w:rPr>
          <w:rFonts w:eastAsia="Calibri" w:cs="Cordia New"/>
          <w:color w:val="auto"/>
          <w:szCs w:val="22"/>
          <w:lang w:eastAsia="en-US"/>
        </w:rPr>
        <w:t>d</w:t>
      </w:r>
      <w:r w:rsidR="00D07667" w:rsidRPr="00842D3F">
        <w:rPr>
          <w:rFonts w:eastAsia="Calibri" w:cs="Cordia New"/>
          <w:color w:val="auto"/>
          <w:szCs w:val="22"/>
          <w:lang w:eastAsia="en-US"/>
        </w:rPr>
        <w:t xml:space="preserve"> the victim has the </w:t>
      </w:r>
      <w:r w:rsidR="0095584A">
        <w:rPr>
          <w:rFonts w:eastAsia="Calibri" w:cs="Cordia New"/>
          <w:color w:val="auto"/>
          <w:szCs w:val="22"/>
          <w:lang w:eastAsia="en-US"/>
        </w:rPr>
        <w:t xml:space="preserve">relevant </w:t>
      </w:r>
      <w:r w:rsidR="00D07667" w:rsidRPr="00842D3F">
        <w:rPr>
          <w:rFonts w:eastAsia="Calibri" w:cs="Cordia New"/>
          <w:color w:val="auto"/>
          <w:szCs w:val="22"/>
          <w:lang w:eastAsia="en-US"/>
        </w:rPr>
        <w:t>protected characteristic</w:t>
      </w:r>
      <w:r w:rsidR="0095584A">
        <w:rPr>
          <w:rFonts w:eastAsia="Calibri" w:cs="Cordia New"/>
          <w:color w:val="auto"/>
          <w:szCs w:val="22"/>
          <w:lang w:eastAsia="en-US"/>
        </w:rPr>
        <w:t>;</w:t>
      </w:r>
      <w:r w:rsidR="00CD5EAD">
        <w:rPr>
          <w:rFonts w:eastAsia="Calibri" w:cs="Cordia New"/>
          <w:color w:val="auto"/>
          <w:szCs w:val="22"/>
          <w:lang w:eastAsia="en-US"/>
        </w:rPr>
        <w:t xml:space="preserve"> and</w:t>
      </w:r>
    </w:p>
    <w:p w14:paraId="072A76C4" w14:textId="2FAF8773" w:rsidR="00D07667" w:rsidRPr="00842D3F" w:rsidRDefault="00CD5EAD" w:rsidP="00842D3F">
      <w:pPr>
        <w:pStyle w:val="BodyTextalphalist"/>
        <w:rPr>
          <w:rFonts w:eastAsia="Calibri" w:cs="Cordia New"/>
          <w:color w:val="auto"/>
          <w:szCs w:val="22"/>
          <w:lang w:eastAsia="en-US"/>
        </w:rPr>
      </w:pPr>
      <w:r>
        <w:rPr>
          <w:rFonts w:eastAsia="Calibri" w:cs="Cordia New"/>
          <w:color w:val="auto"/>
          <w:szCs w:val="22"/>
          <w:lang w:eastAsia="en-US"/>
        </w:rPr>
        <w:t xml:space="preserve">adding </w:t>
      </w:r>
      <w:r w:rsidR="00D07667" w:rsidRPr="00842D3F">
        <w:rPr>
          <w:rFonts w:eastAsia="Calibri" w:cs="Cordia New"/>
          <w:color w:val="auto"/>
          <w:szCs w:val="22"/>
          <w:lang w:eastAsia="en-US"/>
        </w:rPr>
        <w:t>‘</w:t>
      </w:r>
      <w:r>
        <w:rPr>
          <w:rFonts w:eastAsia="Calibri" w:cs="Cordia New"/>
          <w:color w:val="auto"/>
          <w:szCs w:val="22"/>
          <w:lang w:eastAsia="en-US"/>
        </w:rPr>
        <w:t>s</w:t>
      </w:r>
      <w:r w:rsidR="00D07667" w:rsidRPr="00842D3F">
        <w:rPr>
          <w:rFonts w:eastAsia="Calibri" w:cs="Cordia New"/>
          <w:color w:val="auto"/>
          <w:szCs w:val="22"/>
          <w:lang w:eastAsia="en-US"/>
        </w:rPr>
        <w:t>ex’ to the illustrative list of enduring common characteristics.</w:t>
      </w:r>
    </w:p>
    <w:p w14:paraId="12D3FD2B" w14:textId="2A76D4BB" w:rsidR="00B0105A" w:rsidRPr="00FD46FE" w:rsidRDefault="00D07667" w:rsidP="00B0105A">
      <w:pPr>
        <w:pStyle w:val="BodyText"/>
      </w:pPr>
      <w:r w:rsidRPr="00D07667">
        <w:rPr>
          <w:rFonts w:eastAsia="Calibri" w:cs="Cordia New"/>
          <w:color w:val="auto"/>
          <w:szCs w:val="22"/>
          <w:lang w:eastAsia="en-US"/>
        </w:rPr>
        <w:t>We</w:t>
      </w:r>
      <w:r w:rsidR="00172FE8">
        <w:rPr>
          <w:rFonts w:eastAsia="Calibri" w:cs="Cordia New"/>
          <w:color w:val="auto"/>
          <w:szCs w:val="22"/>
          <w:lang w:eastAsia="en-US"/>
        </w:rPr>
        <w:t xml:space="preserve"> also</w:t>
      </w:r>
      <w:r w:rsidRPr="00D07667">
        <w:rPr>
          <w:rFonts w:eastAsia="Calibri" w:cs="Cordia New"/>
          <w:color w:val="auto"/>
          <w:szCs w:val="22"/>
          <w:lang w:eastAsia="en-US"/>
        </w:rPr>
        <w:t xml:space="preserve"> discuss several other </w:t>
      </w:r>
      <w:r w:rsidR="00387E99">
        <w:rPr>
          <w:rFonts w:eastAsia="Calibri" w:cs="Cordia New"/>
          <w:color w:val="auto"/>
          <w:szCs w:val="22"/>
          <w:lang w:eastAsia="en-US"/>
        </w:rPr>
        <w:t>issues</w:t>
      </w:r>
      <w:r w:rsidR="00387E99" w:rsidRPr="00D07667">
        <w:rPr>
          <w:rFonts w:eastAsia="Calibri" w:cs="Cordia New"/>
          <w:color w:val="auto"/>
          <w:szCs w:val="22"/>
          <w:lang w:eastAsia="en-US"/>
        </w:rPr>
        <w:t xml:space="preserve"> </w:t>
      </w:r>
      <w:r w:rsidRPr="00D07667">
        <w:rPr>
          <w:rFonts w:eastAsia="Calibri" w:cs="Cordia New"/>
          <w:color w:val="auto"/>
          <w:szCs w:val="22"/>
          <w:lang w:eastAsia="en-US"/>
        </w:rPr>
        <w:t xml:space="preserve">on which we sought feedback in our Consultation Paper or </w:t>
      </w:r>
      <w:r w:rsidR="00B002BD">
        <w:rPr>
          <w:rFonts w:eastAsia="Calibri" w:cs="Cordia New"/>
          <w:color w:val="auto"/>
          <w:szCs w:val="22"/>
          <w:lang w:eastAsia="en-US"/>
        </w:rPr>
        <w:t>that</w:t>
      </w:r>
      <w:r w:rsidRPr="00D07667">
        <w:rPr>
          <w:rFonts w:eastAsia="Calibri" w:cs="Cordia New"/>
          <w:color w:val="auto"/>
          <w:szCs w:val="22"/>
          <w:lang w:eastAsia="en-US"/>
        </w:rPr>
        <w:t xml:space="preserve"> were raised by submitters but make no other recommendations for reform.</w:t>
      </w:r>
    </w:p>
    <w:p w14:paraId="093A5FD7" w14:textId="77777777" w:rsidR="00A11D71" w:rsidRPr="00A11D71" w:rsidRDefault="00A11D71" w:rsidP="00142CB1">
      <w:pPr>
        <w:pStyle w:val="Heading2"/>
      </w:pPr>
      <w:bookmarkStart w:id="157" w:name="_Toc231467862"/>
      <w:r w:rsidRPr="00A11D71">
        <w:t>The victim requirement</w:t>
      </w:r>
      <w:bookmarkEnd w:id="157"/>
    </w:p>
    <w:p w14:paraId="1F7B78EC" w14:textId="109D2E36" w:rsidR="00A11D71" w:rsidRPr="00A11D71" w:rsidRDefault="00A11D71" w:rsidP="00E71BD6">
      <w:pPr>
        <w:pStyle w:val="BodyText"/>
      </w:pPr>
      <w:r w:rsidRPr="00A11D71">
        <w:t xml:space="preserve">In </w:t>
      </w:r>
      <w:r w:rsidRPr="00E71BD6">
        <w:rPr>
          <w:rFonts w:eastAsia="Calibri" w:cs="Cordia New"/>
          <w:color w:val="auto"/>
          <w:szCs w:val="22"/>
          <w:lang w:eastAsia="en-US"/>
        </w:rPr>
        <w:t>accordance</w:t>
      </w:r>
      <w:r w:rsidRPr="00A11D71">
        <w:t xml:space="preserve"> with paragraph (ii) of section 9(1)(h), the aggravating factor only applies if “the offender believed that the victim has … [a protected] characteristic”</w:t>
      </w:r>
      <w:r w:rsidR="00A179F5">
        <w:t>.</w:t>
      </w:r>
      <w:r w:rsidRPr="00A11D71">
        <w:t xml:space="preserve"> We refer to this as the ‘victim requirement’. </w:t>
      </w:r>
    </w:p>
    <w:p w14:paraId="5EDAC9F4" w14:textId="77777777" w:rsidR="00A11D71" w:rsidRPr="00A11D71" w:rsidRDefault="00A11D71" w:rsidP="00E71BD6">
      <w:pPr>
        <w:pStyle w:val="BodyText"/>
      </w:pPr>
      <w:r w:rsidRPr="00A11D71">
        <w:t xml:space="preserve">The victim </w:t>
      </w:r>
      <w:r w:rsidRPr="00E71BD6">
        <w:rPr>
          <w:rFonts w:eastAsia="Calibri" w:cs="Cordia New"/>
          <w:color w:val="auto"/>
          <w:szCs w:val="22"/>
          <w:lang w:eastAsia="en-US"/>
        </w:rPr>
        <w:t>requirement</w:t>
      </w:r>
      <w:r w:rsidRPr="00A11D71">
        <w:t xml:space="preserve"> means that section 9(1)(h) may not apply if the victim is only associated with the targeted group (such as family members or people providing support services to the group) or is an innocent bystander (such as the owner of public-facing property that is vandalised to spread hateful messages).</w:t>
      </w:r>
    </w:p>
    <w:p w14:paraId="0A8275C7" w14:textId="6FC5CF13" w:rsidR="00A11D71" w:rsidRPr="00A11D71" w:rsidRDefault="00A11D71" w:rsidP="00E71BD6">
      <w:pPr>
        <w:pStyle w:val="BodyText"/>
      </w:pPr>
      <w:r w:rsidRPr="00A11D71">
        <w:t xml:space="preserve">As an example, members of Destiny Church </w:t>
      </w:r>
      <w:r w:rsidR="003542C3">
        <w:t>New Zealand</w:t>
      </w:r>
      <w:r w:rsidRPr="00A11D71">
        <w:t xml:space="preserve"> vandalised rainbow pedestrian crossings on Council-owned property in Auckland and Gisborne in March 2024.</w:t>
      </w:r>
      <w:r w:rsidRPr="00A11D71">
        <w:rPr>
          <w:vertAlign w:val="superscript"/>
        </w:rPr>
        <w:footnoteReference w:id="615"/>
      </w:r>
      <w:r w:rsidRPr="00A11D71">
        <w:t xml:space="preserve"> </w:t>
      </w:r>
      <w:r w:rsidR="00537A36" w:rsidRPr="00537A36">
        <w:t xml:space="preserve">Ngā Pirihimana o Aotearoa | New Zealand Police </w:t>
      </w:r>
      <w:r w:rsidRPr="00A11D71">
        <w:t>said it was treating the acts of vandalism as hate crimes.</w:t>
      </w:r>
      <w:r w:rsidRPr="00A11D71">
        <w:rPr>
          <w:vertAlign w:val="superscript"/>
        </w:rPr>
        <w:footnoteReference w:id="616"/>
      </w:r>
      <w:r w:rsidRPr="00A11D71">
        <w:t xml:space="preserve"> </w:t>
      </w:r>
      <w:r w:rsidRPr="00E71BD6">
        <w:rPr>
          <w:rFonts w:eastAsia="Calibri" w:cs="Cordia New"/>
          <w:color w:val="auto"/>
          <w:szCs w:val="22"/>
          <w:lang w:eastAsia="en-US"/>
        </w:rPr>
        <w:t>However</w:t>
      </w:r>
      <w:r w:rsidRPr="00A11D71">
        <w:t xml:space="preserve">, it is debatable whether the aggravating factor would cover the situation since the victims (Auckland Council and Gisborne District Council) were not — and were probably not believed to be — members of the </w:t>
      </w:r>
      <w:r w:rsidR="00DB2EEF">
        <w:t>rainbow community</w:t>
      </w:r>
      <w:r w:rsidRPr="00A11D71">
        <w:t>. In our Consultation Paper, we sought feedback on whether the victim requirement is causing problems in practice.</w:t>
      </w:r>
      <w:r w:rsidRPr="00A11D71">
        <w:rPr>
          <w:vertAlign w:val="superscript"/>
        </w:rPr>
        <w:footnoteReference w:id="617"/>
      </w:r>
    </w:p>
    <w:p w14:paraId="49ED087E" w14:textId="77777777" w:rsidR="00A11D71" w:rsidRPr="00A11D71" w:rsidRDefault="00A11D71" w:rsidP="00142CB1">
      <w:pPr>
        <w:pStyle w:val="Heading3"/>
      </w:pPr>
      <w:r w:rsidRPr="00A11D71">
        <w:t>Consultation</w:t>
      </w:r>
    </w:p>
    <w:p w14:paraId="256BA244" w14:textId="4AF7F674" w:rsidR="00A11D71" w:rsidRPr="00A11D71" w:rsidRDefault="00A11D71" w:rsidP="00E71BD6">
      <w:pPr>
        <w:pStyle w:val="BodyText"/>
      </w:pPr>
      <w:r w:rsidRPr="00A11D71">
        <w:t xml:space="preserve">Six submitters discussed </w:t>
      </w:r>
      <w:r w:rsidR="007C2A87">
        <w:t>the victim requirement</w:t>
      </w:r>
      <w:r w:rsidRPr="00A11D71">
        <w:t>. Three did not think there is a problem with the current wording.</w:t>
      </w:r>
      <w:r w:rsidRPr="00A11D71">
        <w:rPr>
          <w:vertAlign w:val="superscript"/>
        </w:rPr>
        <w:footnoteReference w:id="618"/>
      </w:r>
      <w:r w:rsidRPr="00A11D71">
        <w:t xml:space="preserve"> They said judges have broad sentencing discretion and are unlikely to be prevented from taking hostile motivation into account merely because the direct victim is not a member of the targeted group.</w:t>
      </w:r>
      <w:r w:rsidRPr="00A11D71">
        <w:rPr>
          <w:vertAlign w:val="superscript"/>
        </w:rPr>
        <w:footnoteReference w:id="619"/>
      </w:r>
      <w:r w:rsidRPr="00A11D71">
        <w:t xml:space="preserve"> They also said the subjective element of section</w:t>
      </w:r>
      <w:r w:rsidRPr="00A11D71">
        <w:rPr>
          <w:rFonts w:ascii="Calibri" w:hAnsi="Calibri" w:cs="Calibri"/>
        </w:rPr>
        <w:t> </w:t>
      </w:r>
      <w:r w:rsidRPr="00A11D71">
        <w:t>9(1)(h) is important because it distinguishes section 9(1)(h) from other aggravating factors.</w:t>
      </w:r>
      <w:r w:rsidRPr="00A11D71">
        <w:rPr>
          <w:vertAlign w:val="superscript"/>
        </w:rPr>
        <w:footnoteReference w:id="620"/>
      </w:r>
      <w:r w:rsidRPr="00A11D71">
        <w:t xml:space="preserve"> One submitter considered that direct victimisation such as vandalism of a person’s home is more serious than public vandalism because it is more likely to create fear of future targeting in the victim and others who share the characteristic.</w:t>
      </w:r>
      <w:r w:rsidRPr="00A11D71">
        <w:rPr>
          <w:vertAlign w:val="superscript"/>
        </w:rPr>
        <w:footnoteReference w:id="621"/>
      </w:r>
    </w:p>
    <w:p w14:paraId="2D3CD209" w14:textId="181A8431" w:rsidR="00A11D71" w:rsidRPr="00A11D71" w:rsidRDefault="00A11D71" w:rsidP="00E71BD6">
      <w:pPr>
        <w:pStyle w:val="BodyText"/>
      </w:pPr>
      <w:r w:rsidRPr="00E71BD6">
        <w:rPr>
          <w:rFonts w:eastAsia="Calibri" w:cs="Cordia New"/>
          <w:color w:val="auto"/>
          <w:szCs w:val="22"/>
          <w:lang w:eastAsia="en-US"/>
        </w:rPr>
        <w:t>Conversely</w:t>
      </w:r>
      <w:r w:rsidRPr="00A11D71">
        <w:t>, three submitters identified potential problems with the victim requirement. Some arguments they made included</w:t>
      </w:r>
      <w:r w:rsidR="006C4BA5">
        <w:t xml:space="preserve"> the following</w:t>
      </w:r>
      <w:r w:rsidRPr="00A11D71">
        <w:t>:</w:t>
      </w:r>
    </w:p>
    <w:p w14:paraId="11527A1D" w14:textId="0F0C77D0" w:rsidR="00A11D71" w:rsidRPr="00A11D71" w:rsidRDefault="00A11D71" w:rsidP="00A11D71">
      <w:pPr>
        <w:pStyle w:val="BodyText"/>
        <w:numPr>
          <w:ilvl w:val="3"/>
          <w:numId w:val="31"/>
        </w:numPr>
      </w:pPr>
      <w:r w:rsidRPr="00A11D71">
        <w:t xml:space="preserve">Hate crimes cause harm to wider society regardless of whether the victim is a member of the </w:t>
      </w:r>
      <w:r w:rsidR="00BC0E2C">
        <w:t>targeted</w:t>
      </w:r>
      <w:r w:rsidR="00BC0E2C" w:rsidRPr="00A11D71">
        <w:t xml:space="preserve"> </w:t>
      </w:r>
      <w:r w:rsidRPr="00A11D71">
        <w:t>group.</w:t>
      </w:r>
      <w:r w:rsidRPr="00A11D71">
        <w:rPr>
          <w:vertAlign w:val="superscript"/>
        </w:rPr>
        <w:footnoteReference w:id="622"/>
      </w:r>
      <w:r w:rsidRPr="00A11D71">
        <w:t xml:space="preserve"> The direct victims of hate crimes are, to some extent, interchangeable because the offender’s focus is on the characteristic itself. On this basis, it seems logical to provide protection to people only assumed to be associated with members of the targeted group.</w:t>
      </w:r>
    </w:p>
    <w:p w14:paraId="24237205" w14:textId="77777777" w:rsidR="00A11D71" w:rsidRPr="00A11D71" w:rsidRDefault="00A11D71" w:rsidP="00A11D71">
      <w:pPr>
        <w:pStyle w:val="BodyText"/>
        <w:numPr>
          <w:ilvl w:val="3"/>
          <w:numId w:val="31"/>
        </w:numPr>
      </w:pPr>
      <w:r w:rsidRPr="00A11D71">
        <w:t>Prejudice-motivated offending can have ripple effects beyond the person or property directly targeted.</w:t>
      </w:r>
      <w:r w:rsidRPr="00A11D71">
        <w:rPr>
          <w:vertAlign w:val="superscript"/>
        </w:rPr>
        <w:footnoteReference w:id="623"/>
      </w:r>
      <w:r w:rsidRPr="00A11D71">
        <w:t xml:space="preserve"> This supports treating prejudice as an aggravating factor and raises questions about whether,</w:t>
      </w:r>
      <w:r w:rsidRPr="00A11D71" w:rsidDel="00380568">
        <w:t xml:space="preserve"> </w:t>
      </w:r>
      <w:r w:rsidRPr="00A11D71">
        <w:t>for example,</w:t>
      </w:r>
      <w:r w:rsidRPr="00A11D71" w:rsidDel="00380568">
        <w:t xml:space="preserve"> </w:t>
      </w:r>
      <w:r w:rsidRPr="00A11D71">
        <w:t xml:space="preserve">vandalism of rainbow crossings should engage section 9(1)(h). </w:t>
      </w:r>
    </w:p>
    <w:p w14:paraId="7ED9E83A" w14:textId="6C5D29EC" w:rsidR="00A11D71" w:rsidRPr="00A11D71" w:rsidRDefault="00A11D71" w:rsidP="00A11D71">
      <w:pPr>
        <w:pStyle w:val="BodyText"/>
        <w:numPr>
          <w:ilvl w:val="3"/>
          <w:numId w:val="31"/>
        </w:numPr>
      </w:pPr>
      <w:r w:rsidRPr="00A11D71">
        <w:t>The victim requirement prevents some hate crimes from being treated as such, including offending that targets a group symbolically rather than through an individual victim.</w:t>
      </w:r>
      <w:r w:rsidRPr="00A11D71">
        <w:rPr>
          <w:vertAlign w:val="superscript"/>
        </w:rPr>
        <w:footnoteReference w:id="624"/>
      </w:r>
      <w:r w:rsidRPr="00A11D71">
        <w:t xml:space="preserve"> </w:t>
      </w:r>
    </w:p>
    <w:p w14:paraId="08AF050A" w14:textId="77777777" w:rsidR="00A11D71" w:rsidRPr="00A11D71" w:rsidRDefault="00A11D71" w:rsidP="00142CB1">
      <w:pPr>
        <w:pStyle w:val="Heading3"/>
      </w:pPr>
      <w:r w:rsidRPr="00A11D71">
        <w:t>The need for reform</w:t>
      </w:r>
    </w:p>
    <w:p w14:paraId="3D610FCC" w14:textId="59CCB886" w:rsidR="00A11D71" w:rsidRPr="00A11D71" w:rsidRDefault="00A11D71" w:rsidP="00E71BD6">
      <w:pPr>
        <w:pStyle w:val="BodyText"/>
      </w:pPr>
      <w:r w:rsidRPr="00A11D71">
        <w:t xml:space="preserve">We </w:t>
      </w:r>
      <w:r w:rsidRPr="00E71BD6">
        <w:rPr>
          <w:rFonts w:eastAsia="Calibri" w:cs="Cordia New"/>
          <w:color w:val="auto"/>
          <w:szCs w:val="22"/>
          <w:lang w:eastAsia="en-US"/>
        </w:rPr>
        <w:t>are</w:t>
      </w:r>
      <w:r w:rsidRPr="00A11D71">
        <w:t xml:space="preserve"> not aware of any cases in Aotearoa New Zealand </w:t>
      </w:r>
      <w:r w:rsidR="00DA4833">
        <w:t>in which</w:t>
      </w:r>
      <w:r w:rsidR="00DA4833" w:rsidRPr="00A11D71">
        <w:t xml:space="preserve"> </w:t>
      </w:r>
      <w:r w:rsidRPr="00A11D71">
        <w:t xml:space="preserve">the victim requirement in section 9(1)(h) has caused problems in practice. Our research did not uncover cases involving victims associated with, but not </w:t>
      </w:r>
      <w:r w:rsidR="00543294">
        <w:t>a member</w:t>
      </w:r>
      <w:r w:rsidR="00543294" w:rsidRPr="00A11D71">
        <w:t xml:space="preserve"> </w:t>
      </w:r>
      <w:r w:rsidRPr="00A11D71">
        <w:t xml:space="preserve">of, the relevant group nor any judicial consideration of whether section 9(1)(h) can apply where the victim is an innocent bystander. We are aware of one case </w:t>
      </w:r>
      <w:r w:rsidR="00D970B3">
        <w:t>in which</w:t>
      </w:r>
      <w:r w:rsidR="00D970B3" w:rsidRPr="00A11D71">
        <w:t xml:space="preserve"> </w:t>
      </w:r>
      <w:r w:rsidRPr="00A11D71">
        <w:t>the aggravating factor was applied to property damage involving a Sikh temple, but it is unclear who the court treated as the victim.</w:t>
      </w:r>
      <w:r w:rsidRPr="00A11D71">
        <w:rPr>
          <w:vertAlign w:val="superscript"/>
        </w:rPr>
        <w:footnoteReference w:id="625"/>
      </w:r>
      <w:r w:rsidRPr="00A11D71">
        <w:t xml:space="preserve"> </w:t>
      </w:r>
    </w:p>
    <w:p w14:paraId="4FA7E3AB" w14:textId="77777777" w:rsidR="00A11D71" w:rsidRPr="00A11D71" w:rsidRDefault="00A11D71" w:rsidP="00E71BD6">
      <w:pPr>
        <w:pStyle w:val="BodyText"/>
      </w:pPr>
      <w:r w:rsidRPr="00A11D71">
        <w:t xml:space="preserve">In </w:t>
      </w:r>
      <w:r w:rsidRPr="00E71BD6">
        <w:rPr>
          <w:rFonts w:eastAsia="Calibri" w:cs="Cordia New"/>
          <w:color w:val="auto"/>
          <w:szCs w:val="22"/>
          <w:lang w:eastAsia="en-US"/>
        </w:rPr>
        <w:t>relation</w:t>
      </w:r>
      <w:r w:rsidRPr="00A11D71">
        <w:t xml:space="preserve"> to the two instances of rainbow crossing vandalism, the defendant in the Auckland case pleaded guilty and was convicted and discharged.</w:t>
      </w:r>
      <w:r w:rsidRPr="00A11D71">
        <w:rPr>
          <w:vertAlign w:val="superscript"/>
        </w:rPr>
        <w:footnoteReference w:id="626"/>
      </w:r>
      <w:r w:rsidRPr="00A11D71">
        <w:t xml:space="preserve"> It is unclear whether the aggravating factor was considered. In the Gisborne case, two defendants pleaded guilty to wilful damage and applied for a discharge without conviction.</w:t>
      </w:r>
      <w:r w:rsidRPr="00A11D71">
        <w:rPr>
          <w:vertAlign w:val="superscript"/>
        </w:rPr>
        <w:footnoteReference w:id="627"/>
      </w:r>
      <w:r w:rsidRPr="00A11D71">
        <w:t xml:space="preserve"> That application was dismissed but no further penalty ordered. In dismissing the application, the judge accepted the Police submission that the offending could properly be characterised as a hate crime.</w:t>
      </w:r>
      <w:r w:rsidRPr="00A11D71">
        <w:rPr>
          <w:vertAlign w:val="superscript"/>
        </w:rPr>
        <w:footnoteReference w:id="628"/>
      </w:r>
      <w:r w:rsidRPr="00A11D71">
        <w:t xml:space="preserve"> Again, however, it is unclear who the court treated as the victim for the purposes of section 9(1)(h). </w:t>
      </w:r>
    </w:p>
    <w:p w14:paraId="76D5F9CC" w14:textId="3CF5BE7A" w:rsidR="00A11D71" w:rsidRPr="00A11D71" w:rsidRDefault="00A11D71" w:rsidP="00E71BD6">
      <w:pPr>
        <w:pStyle w:val="BodyText"/>
      </w:pPr>
      <w:r w:rsidRPr="00E71BD6">
        <w:rPr>
          <w:rFonts w:eastAsia="Calibri" w:cs="Cordia New"/>
          <w:color w:val="auto"/>
          <w:szCs w:val="22"/>
          <w:lang w:eastAsia="en-US"/>
        </w:rPr>
        <w:t>Although</w:t>
      </w:r>
      <w:r w:rsidRPr="00A11D71">
        <w:t xml:space="preserve"> the victim requirement does not seem to be causing difficulties at this stage, if the other reforms we propose in this </w:t>
      </w:r>
      <w:r w:rsidR="00A06CB7">
        <w:t>R</w:t>
      </w:r>
      <w:r w:rsidRPr="00A11D71">
        <w:t xml:space="preserve">eport are made, we </w:t>
      </w:r>
      <w:r w:rsidR="0062329F">
        <w:t>consider</w:t>
      </w:r>
      <w:r w:rsidR="0062329F" w:rsidRPr="00A11D71">
        <w:t xml:space="preserve"> </w:t>
      </w:r>
      <w:r w:rsidRPr="00A11D71">
        <w:t xml:space="preserve">the opportunity should be taken to remove it. </w:t>
      </w:r>
    </w:p>
    <w:p w14:paraId="09DD0FC8" w14:textId="0787C7AB" w:rsidR="00A11D71" w:rsidRPr="00A11D71" w:rsidRDefault="00A11D71" w:rsidP="00E71BD6">
      <w:pPr>
        <w:pStyle w:val="BodyText"/>
      </w:pPr>
      <w:r w:rsidRPr="00A11D71">
        <w:t xml:space="preserve">A key reason is that the reforms we propose may well make the victim requirement more </w:t>
      </w:r>
      <w:r w:rsidRPr="00E71BD6">
        <w:rPr>
          <w:rFonts w:eastAsia="Calibri" w:cs="Cordia New"/>
          <w:color w:val="auto"/>
          <w:szCs w:val="22"/>
          <w:lang w:eastAsia="en-US"/>
        </w:rPr>
        <w:t>problematic</w:t>
      </w:r>
      <w:r w:rsidRPr="00A11D71">
        <w:t xml:space="preserve">. As </w:t>
      </w:r>
      <w:r w:rsidR="00E62D11" w:rsidRPr="00E62D11">
        <w:t xml:space="preserve">Ratonga Wawao ā-Ture Tūmatanui | Public Defence Service </w:t>
      </w:r>
      <w:r w:rsidRPr="00A11D71">
        <w:t xml:space="preserve">observed in its submission, one reason the victim requirement may not currently be causing difficulties is that the courts have a broad discretion in section 9(4) of the Sentencing Act to take into account any factor they consider </w:t>
      </w:r>
      <w:r w:rsidR="00355F67">
        <w:t xml:space="preserve">to be </w:t>
      </w:r>
      <w:r w:rsidRPr="00A11D71">
        <w:t>relevant</w:t>
      </w:r>
      <w:r w:rsidR="00355F67">
        <w:t>,</w:t>
      </w:r>
      <w:r w:rsidRPr="00A11D71">
        <w:t xml:space="preserve"> in addition to the specific aggravating factors listed in section 9(1). This broad discretion may mean the courts are not overly concerned with the specific wording of section 9(1)(h). If a judge </w:t>
      </w:r>
      <w:r w:rsidR="00EC249F">
        <w:t>considers</w:t>
      </w:r>
      <w:r w:rsidR="00EC249F" w:rsidRPr="00A11D71">
        <w:t xml:space="preserve"> </w:t>
      </w:r>
      <w:r w:rsidRPr="00A11D71">
        <w:t>offending involved an element of hate or prejudice, they may treat that as an aggravating factor whether or not the specific requirements of section 9(1)(h) are met.</w:t>
      </w:r>
    </w:p>
    <w:p w14:paraId="00B32B20" w14:textId="49EC001C" w:rsidR="00A11D71" w:rsidRPr="00A11D71" w:rsidRDefault="00A11D71" w:rsidP="00E71BD6">
      <w:pPr>
        <w:pStyle w:val="BodyText"/>
      </w:pPr>
      <w:r w:rsidRPr="00A11D71">
        <w:t xml:space="preserve">This position will change if the reforms </w:t>
      </w:r>
      <w:r w:rsidR="0005742B">
        <w:t>recommended</w:t>
      </w:r>
      <w:r w:rsidRPr="00A11D71">
        <w:t xml:space="preserve"> in Chapters 6 and 7 are adopted. Those reforms will require judges to state at sentencing if section 9(1)(h) applies and to make an entry on the permanent court record. These requirements will only be engaged </w:t>
      </w:r>
      <w:r w:rsidR="007563C8">
        <w:t>if</w:t>
      </w:r>
      <w:r w:rsidR="007563C8" w:rsidRPr="00A11D71">
        <w:t xml:space="preserve"> </w:t>
      </w:r>
      <w:r w:rsidRPr="00A11D71">
        <w:t>the court has determined that section 9(1)(h) applies — not if the court relies on its general discretion under section 9(4). Therefore, the precise requirements of section</w:t>
      </w:r>
      <w:r w:rsidR="00994E0F">
        <w:rPr>
          <w:rFonts w:ascii="Calibri" w:hAnsi="Calibri" w:cs="Calibri"/>
        </w:rPr>
        <w:t> </w:t>
      </w:r>
      <w:r w:rsidRPr="00A11D71">
        <w:t>9(1)(h) are likely to become more important.</w:t>
      </w:r>
    </w:p>
    <w:p w14:paraId="748A1854" w14:textId="70E69B80" w:rsidR="00A11D71" w:rsidRPr="00A11D71" w:rsidRDefault="006C6D8F" w:rsidP="00E71BD6">
      <w:pPr>
        <w:pStyle w:val="BodyText"/>
      </w:pPr>
      <w:r>
        <w:t>It</w:t>
      </w:r>
      <w:r w:rsidR="00A11D71" w:rsidRPr="00A11D71">
        <w:t xml:space="preserve"> is possible sentencing courts will take a wide view of who qualifies as a victim for the </w:t>
      </w:r>
      <w:r w:rsidR="00A11D71" w:rsidRPr="00E71BD6">
        <w:rPr>
          <w:rFonts w:eastAsia="Calibri" w:cs="Cordia New"/>
          <w:color w:val="auto"/>
          <w:szCs w:val="22"/>
          <w:lang w:eastAsia="en-US"/>
        </w:rPr>
        <w:t>purposes</w:t>
      </w:r>
      <w:r w:rsidR="00A11D71" w:rsidRPr="00A11D71">
        <w:t xml:space="preserve"> of section 9(1)(h). The Sentencing Act defines a ‘victim’ as a person against whom an offence is committed or who suffers physical injury or property damage as a result of an offence.</w:t>
      </w:r>
      <w:r w:rsidR="00A11D71" w:rsidRPr="00A11D71">
        <w:rPr>
          <w:vertAlign w:val="superscript"/>
        </w:rPr>
        <w:footnoteReference w:id="629"/>
      </w:r>
      <w:r w:rsidR="00A11D71" w:rsidRPr="00A11D71">
        <w:t xml:space="preserve"> As explained in Chapter 7, while the definition of ‘victim’ has not been discussed </w:t>
      </w:r>
      <w:r w:rsidR="00276ABF">
        <w:t>by the courts</w:t>
      </w:r>
      <w:r w:rsidR="00276ABF" w:rsidRPr="00A11D71">
        <w:t xml:space="preserve"> </w:t>
      </w:r>
      <w:r w:rsidR="00A11D71" w:rsidRPr="00A11D71">
        <w:t xml:space="preserve">in relation to section 9(1)(h), it was considered by </w:t>
      </w:r>
      <w:r w:rsidR="00E431D2" w:rsidRPr="00E431D2">
        <w:t>Te Kōti Pīra | Court of Appeal</w:t>
      </w:r>
      <w:r w:rsidR="00A11D71" w:rsidRPr="00A11D71">
        <w:t xml:space="preserve"> in a different context in </w:t>
      </w:r>
      <w:r w:rsidR="00A11D71" w:rsidRPr="00A11D71">
        <w:rPr>
          <w:i/>
          <w:iCs/>
        </w:rPr>
        <w:t>Arps v Department of Corrections</w:t>
      </w:r>
      <w:r w:rsidR="00A11D71" w:rsidRPr="00A11D71">
        <w:t>.</w:t>
      </w:r>
      <w:r w:rsidR="00A11D71" w:rsidRPr="00A11D71">
        <w:rPr>
          <w:vertAlign w:val="superscript"/>
        </w:rPr>
        <w:footnoteReference w:id="630"/>
      </w:r>
      <w:r w:rsidR="00A11D71" w:rsidRPr="00A11D71">
        <w:t xml:space="preserve"> Mr Arps was convicted of distributing video footage of the Christchurch </w:t>
      </w:r>
      <w:r w:rsidR="005A7322">
        <w:t>terror</w:t>
      </w:r>
      <w:r w:rsidR="00A11D71" w:rsidRPr="00A11D71">
        <w:t xml:space="preserve"> attack</w:t>
      </w:r>
      <w:r w:rsidR="00EA62EE">
        <w:t xml:space="preserve"> on 15 March 2019</w:t>
      </w:r>
      <w:r w:rsidR="00A11D71" w:rsidRPr="00A11D71">
        <w:t xml:space="preserve">. The case concerned special release conditions imposed </w:t>
      </w:r>
      <w:r w:rsidR="00162D60">
        <w:t xml:space="preserve">on Mr Arps </w:t>
      </w:r>
      <w:r w:rsidR="00A11D71" w:rsidRPr="00A11D71">
        <w:t>to protect the victims of his offending. The Court of Appeal found that all members of the Muslim community were “persons against whom the offence was committed”.</w:t>
      </w:r>
      <w:r w:rsidR="00A11D71" w:rsidRPr="00A11D71">
        <w:rPr>
          <w:vertAlign w:val="superscript"/>
        </w:rPr>
        <w:footnoteReference w:id="631"/>
      </w:r>
      <w:r w:rsidR="00A11D71" w:rsidRPr="00A11D71">
        <w:t xml:space="preserve"> It said:</w:t>
      </w:r>
      <w:r w:rsidR="00503A71">
        <w:rPr>
          <w:rStyle w:val="FootnoteReference"/>
        </w:rPr>
        <w:footnoteReference w:id="632"/>
      </w:r>
    </w:p>
    <w:p w14:paraId="70D44713" w14:textId="3C212726" w:rsidR="00A11D71" w:rsidRPr="00A11D71" w:rsidRDefault="00A11D71" w:rsidP="00503A71">
      <w:pPr>
        <w:pStyle w:val="QuoteIndent0"/>
        <w:ind w:firstLine="0"/>
      </w:pPr>
      <w:r w:rsidRPr="00A11D71">
        <w:t>Here, the primary purpose of distributing the video and modifying it to add crosshairs and a kill count, was to glorify and trivialise the shooting of Muslims. The offending was not targeted towards particular Muslims; it was targeted towards any persons of the Muslim faith. It was motivated by hostility towards Muslims, by bigotry and by racial hatred. There is no numerical limit to the number of persons who can be victims. Where offending is intended to intimidate or degrade an entire community, then all members of that community will be the victims of the offence.</w:t>
      </w:r>
    </w:p>
    <w:p w14:paraId="1AB79353" w14:textId="5A7527CA" w:rsidR="00A11D71" w:rsidRPr="00A11D71" w:rsidRDefault="00A11D71" w:rsidP="00E71BD6">
      <w:pPr>
        <w:pStyle w:val="BodyText"/>
      </w:pPr>
      <w:r w:rsidRPr="00A11D71">
        <w:t xml:space="preserve">If the courts </w:t>
      </w:r>
      <w:r w:rsidR="0090171B">
        <w:t xml:space="preserve">were to </w:t>
      </w:r>
      <w:r w:rsidR="00A7556A">
        <w:t xml:space="preserve">take this approach of </w:t>
      </w:r>
      <w:r w:rsidRPr="00A11D71">
        <w:t>treat</w:t>
      </w:r>
      <w:r w:rsidR="00A7556A">
        <w:t>ing</w:t>
      </w:r>
      <w:r w:rsidRPr="00A11D71">
        <w:t xml:space="preserve"> the wider affected group as victims </w:t>
      </w:r>
      <w:r w:rsidR="00B87BBF">
        <w:t xml:space="preserve">for </w:t>
      </w:r>
      <w:r w:rsidR="00B87BBF" w:rsidRPr="00E71BD6">
        <w:rPr>
          <w:rFonts w:eastAsia="Calibri" w:cs="Cordia New"/>
          <w:color w:val="auto"/>
          <w:szCs w:val="22"/>
          <w:lang w:eastAsia="en-US"/>
        </w:rPr>
        <w:t>the</w:t>
      </w:r>
      <w:r w:rsidR="00B87BBF">
        <w:t xml:space="preserve"> purposes of section 9(1)(h)</w:t>
      </w:r>
      <w:r w:rsidRPr="00A11D71">
        <w:t xml:space="preserve">, the victim requirement </w:t>
      </w:r>
      <w:r w:rsidR="001D7073">
        <w:t>is unlikely to</w:t>
      </w:r>
      <w:r w:rsidRPr="00A11D71">
        <w:t xml:space="preserve"> cause difficulty. However, the Court of Appeal in </w:t>
      </w:r>
      <w:r w:rsidRPr="00A11D71">
        <w:rPr>
          <w:i/>
          <w:iCs/>
        </w:rPr>
        <w:t xml:space="preserve">Arps </w:t>
      </w:r>
      <w:r w:rsidRPr="00A11D71">
        <w:t xml:space="preserve">recognised that the question of who </w:t>
      </w:r>
      <w:r w:rsidR="004C4C58">
        <w:t>qualifies</w:t>
      </w:r>
      <w:r w:rsidR="004C4C58" w:rsidRPr="00A11D71">
        <w:t xml:space="preserve"> </w:t>
      </w:r>
      <w:r w:rsidRPr="00A11D71">
        <w:t>as a victim is case specific.</w:t>
      </w:r>
      <w:r w:rsidRPr="00A11D71">
        <w:rPr>
          <w:vertAlign w:val="superscript"/>
        </w:rPr>
        <w:footnoteReference w:id="633"/>
      </w:r>
      <w:r w:rsidRPr="00A11D71">
        <w:t xml:space="preserve"> In that case, the offending was not directed at particular individuals but at the Muslim community as a whole. </w:t>
      </w:r>
    </w:p>
    <w:p w14:paraId="0F9B8E87" w14:textId="4B2A66A0" w:rsidR="00A11D71" w:rsidRPr="00A11D71" w:rsidRDefault="00A11D71" w:rsidP="00E71BD6">
      <w:pPr>
        <w:pStyle w:val="BodyText"/>
      </w:pPr>
      <w:r w:rsidRPr="00E71BD6">
        <w:rPr>
          <w:rFonts w:eastAsia="Calibri" w:cs="Cordia New"/>
          <w:color w:val="auto"/>
          <w:szCs w:val="22"/>
          <w:lang w:eastAsia="en-US"/>
        </w:rPr>
        <w:t>Similar</w:t>
      </w:r>
      <w:r w:rsidRPr="00A11D71">
        <w:t xml:space="preserve"> reasoning may apply in some </w:t>
      </w:r>
      <w:r w:rsidR="001B1F69">
        <w:t xml:space="preserve">other types of </w:t>
      </w:r>
      <w:r w:rsidRPr="00A11D71">
        <w:t>hate crime cases such as</w:t>
      </w:r>
      <w:r w:rsidR="00D83786">
        <w:t xml:space="preserve"> those involving</w:t>
      </w:r>
      <w:r w:rsidRPr="00A11D71">
        <w:t xml:space="preserve"> vandalism of public property or property used by a specific group (for example, religious buildings). </w:t>
      </w:r>
      <w:r w:rsidR="006C3172">
        <w:t>Often, h</w:t>
      </w:r>
      <w:r w:rsidRPr="00A11D71">
        <w:t xml:space="preserve">owever, hate crimes are directed at an identifiable individual or individuals, even though they cause indirect harm to the wider community. It is uncertain whether a court would take the same approach in those circumstances. For example, an offender </w:t>
      </w:r>
      <w:r w:rsidR="00081F9E">
        <w:t xml:space="preserve">who is </w:t>
      </w:r>
      <w:r w:rsidRPr="00A11D71">
        <w:t xml:space="preserve">hostile towards transgender people might assault or threaten a doctor who provides gender-affirming care without believing the doctor is transgender. It is </w:t>
      </w:r>
      <w:r w:rsidR="00444A7B">
        <w:t>not clear that</w:t>
      </w:r>
      <w:r w:rsidRPr="00A11D71">
        <w:t xml:space="preserve"> the transgender community would be treated as victims in this situation for the purposes of section 9(1)(h). </w:t>
      </w:r>
    </w:p>
    <w:p w14:paraId="5DB78D6F" w14:textId="29E5D7A0" w:rsidR="00A11D71" w:rsidRPr="00A11D71" w:rsidRDefault="00A11D71" w:rsidP="00E71BD6">
      <w:pPr>
        <w:pStyle w:val="BodyText"/>
      </w:pPr>
      <w:r w:rsidRPr="00E71BD6">
        <w:rPr>
          <w:rFonts w:eastAsia="Calibri" w:cs="Cordia New"/>
          <w:color w:val="auto"/>
          <w:szCs w:val="22"/>
          <w:lang w:eastAsia="en-US"/>
        </w:rPr>
        <w:t>Clarifying</w:t>
      </w:r>
      <w:r w:rsidRPr="00A11D71">
        <w:t xml:space="preserve"> the law to ensure that the aggravating factor can apply even when the offender does not believe the direct victim is a member of the targeted group would bring New Zealand law into line with most </w:t>
      </w:r>
      <w:r w:rsidR="00107ECB">
        <w:t xml:space="preserve">of the </w:t>
      </w:r>
      <w:r w:rsidRPr="00A11D71">
        <w:t xml:space="preserve">other jurisdictions </w:t>
      </w:r>
      <w:r w:rsidR="00107ECB">
        <w:t>we examined</w:t>
      </w:r>
      <w:r w:rsidRPr="00A11D71">
        <w:t xml:space="preserve">. Hate crime laws in these jurisdictions either contain a broader victim requirement — extending to people associated with the relevant group — or no victim requirement at all. </w:t>
      </w:r>
    </w:p>
    <w:p w14:paraId="65B9C499" w14:textId="337C4360" w:rsidR="00A11D71" w:rsidRPr="00A11D71" w:rsidRDefault="00A11D71" w:rsidP="00E71BD6">
      <w:pPr>
        <w:pStyle w:val="BodyText"/>
      </w:pPr>
      <w:r w:rsidRPr="00A11D71">
        <w:t xml:space="preserve">Some jurisdictions have two alternative tests for establishing that an offence was </w:t>
      </w:r>
      <w:r w:rsidRPr="00E71BD6">
        <w:rPr>
          <w:rFonts w:eastAsia="Calibri" w:cs="Cordia New"/>
          <w:color w:val="auto"/>
          <w:szCs w:val="22"/>
          <w:lang w:eastAsia="en-US"/>
        </w:rPr>
        <w:t>aggravated</w:t>
      </w:r>
      <w:r w:rsidRPr="00A11D71">
        <w:t xml:space="preserve"> by hostility.</w:t>
      </w:r>
      <w:r w:rsidRPr="00A11D71">
        <w:rPr>
          <w:vertAlign w:val="superscript"/>
        </w:rPr>
        <w:footnoteReference w:id="634"/>
      </w:r>
      <w:r w:rsidRPr="00A11D71">
        <w:t xml:space="preserve"> The first test is whether the offender </w:t>
      </w:r>
      <w:r w:rsidRPr="00A11D71">
        <w:rPr>
          <w:i/>
          <w:iCs/>
        </w:rPr>
        <w:t xml:space="preserve">demonstrated </w:t>
      </w:r>
      <w:r w:rsidRPr="00A11D71">
        <w:t xml:space="preserve">hostility towards a victim and the second is whether the offender was </w:t>
      </w:r>
      <w:r w:rsidRPr="00A11D71">
        <w:rPr>
          <w:i/>
          <w:iCs/>
        </w:rPr>
        <w:t xml:space="preserve">motivated </w:t>
      </w:r>
      <w:r w:rsidRPr="00A11D71">
        <w:t xml:space="preserve">by hostility. When the demonstration test is relied on, a specific victim is required. </w:t>
      </w:r>
      <w:r w:rsidR="006B7944">
        <w:t>However</w:t>
      </w:r>
      <w:r w:rsidRPr="00A11D71">
        <w:t>, in all but one of the jurisdictions we examined</w:t>
      </w:r>
      <w:r w:rsidR="003B6BED">
        <w:t xml:space="preserve"> that use </w:t>
      </w:r>
      <w:r w:rsidR="0052633E">
        <w:t>this test</w:t>
      </w:r>
      <w:r w:rsidRPr="00A11D71">
        <w:t>,</w:t>
      </w:r>
      <w:r w:rsidR="00AB1CA9">
        <w:rPr>
          <w:rStyle w:val="FootnoteReference"/>
        </w:rPr>
        <w:footnoteReference w:id="635"/>
      </w:r>
      <w:r w:rsidRPr="00A11D71">
        <w:t xml:space="preserve"> it is sufficient (at least in relation to some protected characteristics) if the victim was believed to be </w:t>
      </w:r>
      <w:r w:rsidRPr="00A11D71">
        <w:rPr>
          <w:i/>
          <w:iCs/>
        </w:rPr>
        <w:t xml:space="preserve">associated </w:t>
      </w:r>
      <w:r w:rsidRPr="00A11D71">
        <w:t>with the targeted group.</w:t>
      </w:r>
      <w:r w:rsidRPr="00A11D71">
        <w:rPr>
          <w:vertAlign w:val="superscript"/>
        </w:rPr>
        <w:footnoteReference w:id="636"/>
      </w:r>
      <w:r w:rsidRPr="00A11D71">
        <w:t xml:space="preserve"> When the motivation test is relied on, there is no victim requirement — it need only be shown that the offender was motivated by hostility to</w:t>
      </w:r>
      <w:r w:rsidR="005744BA">
        <w:t>wards</w:t>
      </w:r>
      <w:r w:rsidRPr="00A11D71">
        <w:t xml:space="preserve"> a group of people.</w:t>
      </w:r>
      <w:r w:rsidRPr="00A11D71">
        <w:rPr>
          <w:vertAlign w:val="superscript"/>
        </w:rPr>
        <w:footnoteReference w:id="637"/>
      </w:r>
    </w:p>
    <w:p w14:paraId="22B8034A" w14:textId="29B85355" w:rsidR="00A11D71" w:rsidRPr="00A11D71" w:rsidRDefault="00A11D71" w:rsidP="00E71BD6">
      <w:pPr>
        <w:pStyle w:val="BodyText"/>
      </w:pPr>
      <w:r w:rsidRPr="00A11D71">
        <w:t>Other jurisdictions use a motivation test only. In some of these jurisdictions, there is a victim requirement but it includes people associated with the targeted group.</w:t>
      </w:r>
      <w:r w:rsidRPr="00A11D71">
        <w:rPr>
          <w:vertAlign w:val="superscript"/>
        </w:rPr>
        <w:footnoteReference w:id="638"/>
      </w:r>
      <w:r w:rsidRPr="00A11D71">
        <w:t xml:space="preserve"> In others</w:t>
      </w:r>
      <w:r w:rsidR="00342011">
        <w:t>,</w:t>
      </w:r>
      <w:r w:rsidRPr="00A11D71">
        <w:t xml:space="preserve"> there is no victim requirement and offending need only be motivated by hate towards a group of people or based on a protected characteristic.</w:t>
      </w:r>
      <w:r w:rsidRPr="00A11D71">
        <w:rPr>
          <w:vertAlign w:val="superscript"/>
        </w:rPr>
        <w:footnoteReference w:id="639"/>
      </w:r>
      <w:r w:rsidRPr="00A11D71">
        <w:t xml:space="preserve"> </w:t>
      </w:r>
    </w:p>
    <w:p w14:paraId="08630255" w14:textId="1F525533" w:rsidR="00A11D71" w:rsidRPr="00A11D71" w:rsidRDefault="00A11D71" w:rsidP="00E71BD6">
      <w:pPr>
        <w:pStyle w:val="BodyText"/>
      </w:pPr>
      <w:r w:rsidRPr="00A11D71">
        <w:t xml:space="preserve">In contrast, New South Wales and South Australia have a victim requirement similar to </w:t>
      </w:r>
      <w:r w:rsidR="006301FB">
        <w:t xml:space="preserve">that in </w:t>
      </w:r>
      <w:r w:rsidR="001E0E70" w:rsidRPr="00E71BD6">
        <w:rPr>
          <w:rFonts w:eastAsia="Calibri" w:cs="Cordia New"/>
          <w:color w:val="auto"/>
          <w:szCs w:val="22"/>
          <w:lang w:eastAsia="en-US"/>
        </w:rPr>
        <w:t>Aotearoa</w:t>
      </w:r>
      <w:r w:rsidR="001E0E70">
        <w:t xml:space="preserve"> </w:t>
      </w:r>
      <w:r w:rsidRPr="00A11D71">
        <w:t>New Zealand.</w:t>
      </w:r>
      <w:r w:rsidRPr="00A11D71">
        <w:rPr>
          <w:vertAlign w:val="superscript"/>
        </w:rPr>
        <w:footnoteReference w:id="640"/>
      </w:r>
      <w:r w:rsidRPr="00A11D71">
        <w:t xml:space="preserve"> </w:t>
      </w:r>
      <w:r w:rsidR="00DE214B">
        <w:t>In</w:t>
      </w:r>
      <w:r w:rsidRPr="00A11D71">
        <w:t xml:space="preserve"> 2013, the New South Wales Law Reform Commission recommended amending the hostility aggravating factor to cover hostility towards groups with which the offender believed the victim was associated.</w:t>
      </w:r>
      <w:r w:rsidRPr="00A11D71">
        <w:rPr>
          <w:vertAlign w:val="superscript"/>
        </w:rPr>
        <w:footnoteReference w:id="641"/>
      </w:r>
      <w:r w:rsidRPr="00A11D71">
        <w:t xml:space="preserve"> The intention was to protect individual victims targeted for providing advocacy or support services to </w:t>
      </w:r>
      <w:r w:rsidR="00865683">
        <w:t>the relevant</w:t>
      </w:r>
      <w:r w:rsidR="00865683" w:rsidRPr="00A11D71">
        <w:t xml:space="preserve"> </w:t>
      </w:r>
      <w:r w:rsidRPr="00A11D71">
        <w:t>group.</w:t>
      </w:r>
      <w:r w:rsidRPr="00A11D71">
        <w:rPr>
          <w:vertAlign w:val="superscript"/>
        </w:rPr>
        <w:footnoteReference w:id="642"/>
      </w:r>
      <w:r w:rsidRPr="00A11D71">
        <w:t xml:space="preserve"> To date, this recommendation has not been implemented.</w:t>
      </w:r>
      <w:r w:rsidRPr="00A11D71">
        <w:rPr>
          <w:vertAlign w:val="superscript"/>
        </w:rPr>
        <w:footnoteReference w:id="643"/>
      </w:r>
    </w:p>
    <w:p w14:paraId="595D1F30" w14:textId="0419E5FE" w:rsidR="00A11D71" w:rsidRPr="00A11D71" w:rsidRDefault="004D7A40" w:rsidP="00E71BD6">
      <w:pPr>
        <w:pStyle w:val="BodyText"/>
      </w:pPr>
      <w:r>
        <w:t xml:space="preserve">An </w:t>
      </w:r>
      <w:r w:rsidRPr="00E71BD6">
        <w:rPr>
          <w:rFonts w:eastAsia="Calibri" w:cs="Cordia New"/>
          <w:color w:val="auto"/>
          <w:szCs w:val="22"/>
          <w:lang w:eastAsia="en-US"/>
        </w:rPr>
        <w:t>independent</w:t>
      </w:r>
      <w:r>
        <w:t xml:space="preserve"> review</w:t>
      </w:r>
      <w:r w:rsidR="007B784C">
        <w:t xml:space="preserve"> in Scotland</w:t>
      </w:r>
      <w:r w:rsidR="00A11D71" w:rsidRPr="00A11D71">
        <w:t xml:space="preserve"> </w:t>
      </w:r>
      <w:r w:rsidR="00CE4633">
        <w:t>in 201</w:t>
      </w:r>
      <w:r w:rsidR="0063167B">
        <w:t xml:space="preserve">8 </w:t>
      </w:r>
      <w:r w:rsidR="00A11D71" w:rsidRPr="00A11D71">
        <w:t>discussed the difficulties of a victim requirement.</w:t>
      </w:r>
      <w:r w:rsidR="00A11D71" w:rsidRPr="00A11D71">
        <w:rPr>
          <w:vertAlign w:val="superscript"/>
        </w:rPr>
        <w:footnoteReference w:id="644"/>
      </w:r>
      <w:r w:rsidR="00A11D71" w:rsidRPr="00A11D71">
        <w:t xml:space="preserve"> Under the previous law in Scotland, coverage for victims associated with the relevant group existed for some protected characteristics but not others. The </w:t>
      </w:r>
      <w:r w:rsidR="00A472A2">
        <w:t xml:space="preserve">independent </w:t>
      </w:r>
      <w:r w:rsidR="00A11D71" w:rsidRPr="00A11D71">
        <w:t xml:space="preserve">review recommended extending </w:t>
      </w:r>
      <w:r w:rsidR="004E26C4">
        <w:t>protection</w:t>
      </w:r>
      <w:r w:rsidR="00A11D71" w:rsidRPr="00A11D71">
        <w:t xml:space="preserve"> to include association for all protected characteristics</w:t>
      </w:r>
      <w:r w:rsidR="00726A2A">
        <w:t xml:space="preserve">, </w:t>
      </w:r>
      <w:r w:rsidR="00CF6D59">
        <w:t>saying:</w:t>
      </w:r>
      <w:r w:rsidR="00A11D71" w:rsidRPr="00A11D71">
        <w:rPr>
          <w:vertAlign w:val="superscript"/>
        </w:rPr>
        <w:footnoteReference w:id="645"/>
      </w:r>
    </w:p>
    <w:p w14:paraId="64826A00" w14:textId="77777777" w:rsidR="00A11D71" w:rsidRPr="00A11D71" w:rsidRDefault="00A11D71" w:rsidP="00BF7224">
      <w:pPr>
        <w:pStyle w:val="QuoteIndent0"/>
        <w:ind w:firstLine="0"/>
      </w:pPr>
      <w:r w:rsidRPr="00A11D71">
        <w:t xml:space="preserve">It would seem appropriate for legislation to apply in cases where hostility is demonstrated because of a protected characteristic, even if the person to whom the hostility is expressed does not actually have the characteristic. In their submission to the Justice Committee considering the 2009 Bill, Action on Hearing Loss Scotland (the Royal National Institute for Deaf People) referred to examples of deaf families being the victims of crimes, and gave anecdotal evidence that such crimes also affected hearing members of the family. Such a provision would also catch offending behaviour against individuals who act as advocates or champions for groups with one of the protected characteristics. </w:t>
      </w:r>
    </w:p>
    <w:p w14:paraId="7A295B9C" w14:textId="77777777" w:rsidR="00A11D71" w:rsidRPr="00A11D71" w:rsidRDefault="00A11D71" w:rsidP="00E71BD6">
      <w:pPr>
        <w:pStyle w:val="BodyText"/>
      </w:pPr>
      <w:r w:rsidRPr="00A11D71">
        <w:t xml:space="preserve">This </w:t>
      </w:r>
      <w:r w:rsidRPr="00E71BD6">
        <w:rPr>
          <w:rFonts w:eastAsia="Calibri" w:cs="Cordia New"/>
          <w:color w:val="auto"/>
          <w:szCs w:val="22"/>
          <w:lang w:eastAsia="en-US"/>
        </w:rPr>
        <w:t>recommendation</w:t>
      </w:r>
      <w:r w:rsidRPr="00A11D71">
        <w:t xml:space="preserve"> was implemented when Scotland’s hate crime legislation was passed in 2021.</w:t>
      </w:r>
      <w:r w:rsidRPr="00A11D71">
        <w:rPr>
          <w:vertAlign w:val="superscript"/>
        </w:rPr>
        <w:footnoteReference w:id="646"/>
      </w:r>
    </w:p>
    <w:p w14:paraId="1FAC792B" w14:textId="5ADA5D47" w:rsidR="00A11D71" w:rsidRPr="00A11D71" w:rsidRDefault="00A11D71" w:rsidP="00E71BD6">
      <w:pPr>
        <w:pStyle w:val="BodyText"/>
      </w:pPr>
      <w:r w:rsidRPr="00A11D71">
        <w:t xml:space="preserve">Under the current law in England and Wales, the demonstration limbs of the hostility </w:t>
      </w:r>
      <w:r w:rsidRPr="00E71BD6">
        <w:rPr>
          <w:rFonts w:eastAsia="Calibri" w:cs="Cordia New"/>
          <w:color w:val="auto"/>
          <w:szCs w:val="22"/>
          <w:lang w:eastAsia="en-US"/>
        </w:rPr>
        <w:t>aggravating</w:t>
      </w:r>
      <w:r w:rsidRPr="00A11D71">
        <w:t xml:space="preserve"> factor and hate crime offences similarly only apply to victims by association in relation to some protected characteristics.</w:t>
      </w:r>
      <w:r w:rsidRPr="00A11D71">
        <w:rPr>
          <w:vertAlign w:val="superscript"/>
        </w:rPr>
        <w:footnoteReference w:id="647"/>
      </w:r>
      <w:r w:rsidRPr="00A11D71">
        <w:t xml:space="preserve"> The Law Commission of England and Wales recommended extending this protection to other protected characteristics in 201</w:t>
      </w:r>
      <w:r w:rsidR="00CE5856">
        <w:t>4</w:t>
      </w:r>
      <w:r w:rsidRPr="00A11D71">
        <w:rPr>
          <w:vertAlign w:val="superscript"/>
        </w:rPr>
        <w:footnoteReference w:id="648"/>
      </w:r>
      <w:r w:rsidRPr="00A11D71">
        <w:t xml:space="preserve"> and again in 2021.</w:t>
      </w:r>
      <w:r w:rsidRPr="00A11D71">
        <w:rPr>
          <w:vertAlign w:val="superscript"/>
        </w:rPr>
        <w:footnoteReference w:id="649"/>
      </w:r>
      <w:r w:rsidRPr="00A11D71">
        <w:t xml:space="preserve"> It considered this was necessary to avoid inconsistency and a gap of protection in the law.</w:t>
      </w:r>
      <w:r w:rsidRPr="00A11D71">
        <w:rPr>
          <w:vertAlign w:val="superscript"/>
        </w:rPr>
        <w:footnoteReference w:id="650"/>
      </w:r>
      <w:r w:rsidRPr="00A11D71">
        <w:t xml:space="preserve"> This change has not yet been implemented.</w:t>
      </w:r>
    </w:p>
    <w:p w14:paraId="36B12616" w14:textId="55336384" w:rsidR="00A11D71" w:rsidRPr="00A11D71" w:rsidRDefault="00A11D71" w:rsidP="00E71BD6">
      <w:pPr>
        <w:pStyle w:val="BodyText"/>
      </w:pPr>
      <w:r w:rsidRPr="00A11D71">
        <w:t xml:space="preserve">A reform to ensure that the aggravating factor applies even when the direct victim does not </w:t>
      </w:r>
      <w:r w:rsidRPr="00E71BD6">
        <w:rPr>
          <w:rFonts w:eastAsia="Calibri" w:cs="Cordia New"/>
          <w:color w:val="auto"/>
          <w:szCs w:val="22"/>
          <w:lang w:eastAsia="en-US"/>
        </w:rPr>
        <w:t>share</w:t>
      </w:r>
      <w:r w:rsidRPr="00A11D71">
        <w:t xml:space="preserve"> the protected characteristic would be consistent with the rationales for hate crime law. As discussed in Chapter 3, hate crimes are treated more seriously than equivalent non-hate offences because of the additional harm they cause to the wider community and because the offender’s motive affects their moral blameworthiness. These rationales apply whether or not the offender believed that the direct victim was a member of the relevant group. The harm to the affected community will not necessarily be less where the victim is only associated with the group</w:t>
      </w:r>
      <w:r w:rsidRPr="00A11D71" w:rsidDel="004908CA">
        <w:t xml:space="preserve"> </w:t>
      </w:r>
      <w:r w:rsidRPr="00A11D71">
        <w:t xml:space="preserve">or is an innocent bystander. The offending is still intended to send a message to the targeted group about their place in society. The level of harm caused to the affected group and the culpability of the offender will differ depending on the facts, but those </w:t>
      </w:r>
      <w:r w:rsidR="000B3EA6">
        <w:t>considerations</w:t>
      </w:r>
      <w:r w:rsidR="00F1509A" w:rsidRPr="00A11D71">
        <w:t xml:space="preserve"> </w:t>
      </w:r>
      <w:r w:rsidRPr="00A11D71">
        <w:t xml:space="preserve">are properly taken into account </w:t>
      </w:r>
      <w:r w:rsidR="00F07636">
        <w:t>by</w:t>
      </w:r>
      <w:r w:rsidR="00F07636" w:rsidRPr="00A11D71">
        <w:t xml:space="preserve"> </w:t>
      </w:r>
      <w:r w:rsidRPr="00A11D71">
        <w:t>the court</w:t>
      </w:r>
      <w:r w:rsidR="00F07636">
        <w:t>s when deciding</w:t>
      </w:r>
      <w:r w:rsidRPr="00A11D71">
        <w:t xml:space="preserve"> what weight to give the aggravating factor (as opposed to whether it applies at all).</w:t>
      </w:r>
    </w:p>
    <w:p w14:paraId="450EEE10" w14:textId="7B4F5239" w:rsidR="00A11D71" w:rsidRPr="00A11D71" w:rsidRDefault="00A11D71" w:rsidP="00E71BD6">
      <w:pPr>
        <w:pStyle w:val="BodyText"/>
      </w:pPr>
      <w:r w:rsidRPr="00A11D71">
        <w:t xml:space="preserve">Overall, if the other reforms we </w:t>
      </w:r>
      <w:r w:rsidR="00546A72">
        <w:t>recommend</w:t>
      </w:r>
      <w:r w:rsidR="00546A72" w:rsidRPr="00A11D71">
        <w:t xml:space="preserve"> </w:t>
      </w:r>
      <w:r w:rsidRPr="00A11D71">
        <w:t xml:space="preserve">are </w:t>
      </w:r>
      <w:r w:rsidR="00D6168A">
        <w:t>implemented</w:t>
      </w:r>
      <w:r w:rsidRPr="00A11D71">
        <w:t xml:space="preserve">, </w:t>
      </w:r>
      <w:r w:rsidR="00D6168A">
        <w:t xml:space="preserve">we consider it desirable to </w:t>
      </w:r>
      <w:r w:rsidR="006F2473">
        <w:t xml:space="preserve">remove </w:t>
      </w:r>
      <w:r w:rsidRPr="00A11D71">
        <w:t>the victim requirement</w:t>
      </w:r>
      <w:r w:rsidR="00842AA1">
        <w:t>. This would</w:t>
      </w:r>
      <w:r w:rsidRPr="00A11D71">
        <w:t xml:space="preserve"> address the ambiguity in the current law and to ensure the law can apply in a broad range of circumstances consistent with its underlying rationale.  </w:t>
      </w:r>
    </w:p>
    <w:p w14:paraId="68CFAE02" w14:textId="4AD0D9C0" w:rsidR="00A11D71" w:rsidRDefault="003C0CB4" w:rsidP="001C60D0">
      <w:pPr>
        <w:pStyle w:val="Heading3"/>
      </w:pPr>
      <w:r w:rsidRPr="00663187">
        <w:rPr>
          <w:b w:val="0"/>
          <w:noProof/>
        </w:rPr>
        <mc:AlternateContent>
          <mc:Choice Requires="wpg">
            <w:drawing>
              <wp:anchor distT="0" distB="0" distL="114300" distR="114300" simplePos="0" relativeHeight="251658312" behindDoc="1" locked="0" layoutInCell="1" allowOverlap="1" wp14:anchorId="504A4559" wp14:editId="7BA9DAEC">
                <wp:simplePos x="0" y="0"/>
                <wp:positionH relativeFrom="margin">
                  <wp:posOffset>-2540</wp:posOffset>
                </wp:positionH>
                <wp:positionV relativeFrom="paragraph">
                  <wp:posOffset>288290</wp:posOffset>
                </wp:positionV>
                <wp:extent cx="5759450" cy="681990"/>
                <wp:effectExtent l="0" t="0" r="0" b="3810"/>
                <wp:wrapNone/>
                <wp:docPr id="1098108017" name="Group 1098108017"/>
                <wp:cNvGraphicFramePr/>
                <a:graphic xmlns:a="http://schemas.openxmlformats.org/drawingml/2006/main">
                  <a:graphicData uri="http://schemas.microsoft.com/office/word/2010/wordprocessingGroup">
                    <wpg:wgp>
                      <wpg:cNvGrpSpPr/>
                      <wpg:grpSpPr>
                        <a:xfrm>
                          <a:off x="0" y="0"/>
                          <a:ext cx="5759450" cy="681990"/>
                          <a:chOff x="-1" y="36584"/>
                          <a:chExt cx="5760000" cy="682727"/>
                        </a:xfrm>
                      </wpg:grpSpPr>
                      <wps:wsp>
                        <wps:cNvPr id="509278417" name="Freeform 51"/>
                        <wps:cNvSpPr>
                          <a:spLocks/>
                        </wps:cNvSpPr>
                        <wps:spPr bwMode="auto">
                          <a:xfrm>
                            <a:off x="-1" y="36584"/>
                            <a:ext cx="5760000" cy="6827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83BC5B" w14:textId="77777777" w:rsidR="00981736" w:rsidRDefault="00981736" w:rsidP="00981736"/>
                            <w:p w14:paraId="04DDC2FB" w14:textId="77777777" w:rsidR="00981736" w:rsidRDefault="00981736" w:rsidP="00981736"/>
                            <w:p w14:paraId="4A8DDB71" w14:textId="77777777" w:rsidR="00981736" w:rsidRDefault="00981736" w:rsidP="00981736"/>
                            <w:p w14:paraId="3F286A19" w14:textId="77777777" w:rsidR="00981736" w:rsidRDefault="00981736" w:rsidP="00981736"/>
                            <w:p w14:paraId="0C7B1814" w14:textId="77777777" w:rsidR="00981736" w:rsidRDefault="00981736" w:rsidP="00981736"/>
                            <w:p w14:paraId="69576652" w14:textId="77777777" w:rsidR="00981736" w:rsidRDefault="00981736" w:rsidP="00981736"/>
                          </w:txbxContent>
                        </wps:txbx>
                        <wps:bodyPr rot="0" vert="horz" wrap="square" lIns="91440" tIns="45720" rIns="91440" bIns="45720" anchor="t" anchorCtr="0" upright="1">
                          <a:noAutofit/>
                        </wps:bodyPr>
                      </wps:wsp>
                      <wpg:grpSp>
                        <wpg:cNvPr id="522360667" name="Group 522360667"/>
                        <wpg:cNvGrpSpPr/>
                        <wpg:grpSpPr>
                          <a:xfrm>
                            <a:off x="0" y="170822"/>
                            <a:ext cx="1282065" cy="297815"/>
                            <a:chOff x="0" y="0"/>
                            <a:chExt cx="1282672" cy="298450"/>
                          </a:xfrm>
                        </wpg:grpSpPr>
                        <wpg:grpSp>
                          <wpg:cNvPr id="752238504" name="Group 52"/>
                          <wpg:cNvGrpSpPr>
                            <a:grpSpLocks/>
                          </wpg:cNvGrpSpPr>
                          <wpg:grpSpPr bwMode="auto">
                            <a:xfrm>
                              <a:off x="172528" y="2540"/>
                              <a:ext cx="1110144" cy="1270"/>
                              <a:chOff x="1417" y="1374"/>
                              <a:chExt cx="1814" cy="2"/>
                            </a:xfrm>
                          </wpg:grpSpPr>
                          <wps:wsp>
                            <wps:cNvPr id="2236639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448927" name="Group 54"/>
                          <wpg:cNvGrpSpPr>
                            <a:grpSpLocks/>
                          </wpg:cNvGrpSpPr>
                          <wpg:grpSpPr bwMode="auto">
                            <a:xfrm>
                              <a:off x="0" y="0"/>
                              <a:ext cx="492038" cy="298450"/>
                              <a:chOff x="1134" y="1366"/>
                              <a:chExt cx="804" cy="470"/>
                            </a:xfrm>
                          </wpg:grpSpPr>
                          <wps:wsp>
                            <wps:cNvPr id="2502477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FD3453" w14:textId="77777777" w:rsidR="00981736" w:rsidRPr="008D464F" w:rsidRDefault="00981736" w:rsidP="0098173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04A4559" id="Group 1098108017" o:spid="_x0000_s1119" style="position:absolute;margin-left:-.2pt;margin-top:22.7pt;width:453.5pt;height:53.7pt;z-index:-251658168;mso-position-horizontal-relative:margin;mso-width-relative:margin;mso-height-relative:margin" coordorigin=",365" coordsize="57600,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">
                <v:shape id="Freeform 51" o:spid="_x0000_s1120" style="position:absolute;top:365;width:57599;height:68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" adj="-11796480,,5400" path="m,l9354,r,1638l,1638,,e" fillcolor="#e2eaef" stroked="f">
                  <v:stroke joinstyle="round"/>
                  <v:formulas/>
                  <v:path arrowok="t" o:connecttype="custom" o:connectlocs="0,439313;5760000,439313;5760000,1122040;0,1122040;0,439313" o:connectangles="0,0,0,0,0" textboxrect="0,0,9354,1638"/>
                  <v:textbox>
                    <w:txbxContent>
                      <w:p w14:paraId="1C83BC5B" w14:textId="77777777" w:rsidR="00981736" w:rsidRDefault="00981736" w:rsidP="00981736"/>
                      <w:p w14:paraId="04DDC2FB" w14:textId="77777777" w:rsidR="00981736" w:rsidRDefault="00981736" w:rsidP="00981736"/>
                      <w:p w14:paraId="4A8DDB71" w14:textId="77777777" w:rsidR="00981736" w:rsidRDefault="00981736" w:rsidP="00981736"/>
                      <w:p w14:paraId="3F286A19" w14:textId="77777777" w:rsidR="00981736" w:rsidRDefault="00981736" w:rsidP="00981736"/>
                      <w:p w14:paraId="0C7B1814" w14:textId="77777777" w:rsidR="00981736" w:rsidRDefault="00981736" w:rsidP="00981736"/>
                      <w:p w14:paraId="69576652" w14:textId="77777777" w:rsidR="00981736" w:rsidRDefault="00981736" w:rsidP="00981736"/>
                    </w:txbxContent>
                  </v:textbox>
                </v:shape>
                <v:group id="Group 522360667" o:spid="_x0000_s112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">
                  <v:group id="Group 52" o:spid="_x0000_s11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">
                    <v:shape id="Freeform 53" o:spid="_x0000_s11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" path="m,l1815,e" filled="f" strokecolor="#5ca0b9" strokeweight=".5pt">
                      <v:path arrowok="t" o:connecttype="custom" o:connectlocs="0,0;1815,0" o:connectangles="0,0"/>
                    </v:shape>
                  </v:group>
                  <v:group id="Group 54" o:spid="_x0000_s11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">
                    <v:shape id="Freeform 55" o:spid="_x0000_s11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8FD3453" w14:textId="77777777" w:rsidR="00981736" w:rsidRPr="008D464F" w:rsidRDefault="00981736" w:rsidP="00981736">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A11D71" w:rsidRPr="00A11D71">
        <w:t>Recommendation</w:t>
      </w:r>
    </w:p>
    <w:p w14:paraId="06B766AA" w14:textId="2E92A501" w:rsidR="00981736" w:rsidRPr="00981736" w:rsidRDefault="00887337" w:rsidP="00887337">
      <w:pPr>
        <w:pStyle w:val="BodyText"/>
        <w:numPr>
          <w:ilvl w:val="0"/>
          <w:numId w:val="0"/>
        </w:numPr>
        <w:tabs>
          <w:tab w:val="left" w:pos="1224"/>
        </w:tabs>
        <w:ind w:left="709" w:hanging="709"/>
      </w:pPr>
      <w:r>
        <w:tab/>
      </w:r>
    </w:p>
    <w:p w14:paraId="02536689" w14:textId="34F8C7EF" w:rsidR="00A11D71" w:rsidRPr="00A11D71" w:rsidRDefault="00A11D71" w:rsidP="00981736">
      <w:pPr>
        <w:pStyle w:val="RxRecommendationText"/>
      </w:pPr>
      <w:r w:rsidRPr="00A11D71">
        <w:t>Section 9(1)(h)(ii) of the Sentencing Act 2002, which requires that “the offender believed that the victim has that characteristic”, should be repealed.</w:t>
      </w:r>
    </w:p>
    <w:p w14:paraId="54914725" w14:textId="77777777" w:rsidR="00A11D71" w:rsidRPr="00A11D71" w:rsidRDefault="00A11D71" w:rsidP="001C60D0">
      <w:pPr>
        <w:pStyle w:val="BodyText"/>
        <w:numPr>
          <w:ilvl w:val="0"/>
          <w:numId w:val="0"/>
        </w:numPr>
      </w:pPr>
    </w:p>
    <w:p w14:paraId="64634B2E" w14:textId="27B7F703" w:rsidR="00A11D71" w:rsidRPr="00A11D71" w:rsidRDefault="00A11D71" w:rsidP="00E71BD6">
      <w:pPr>
        <w:pStyle w:val="BodyText"/>
      </w:pPr>
      <w:r w:rsidRPr="00A11D71">
        <w:t>For the reasons given, we recommend amending section 9(1)(h) to remove the requirement in para</w:t>
      </w:r>
      <w:r w:rsidR="00AE1385">
        <w:t>graph</w:t>
      </w:r>
      <w:r w:rsidRPr="00A11D71">
        <w:t xml:space="preserve"> (ii) that the offender </w:t>
      </w:r>
      <w:r w:rsidR="009E0BA2">
        <w:t xml:space="preserve">must have </w:t>
      </w:r>
      <w:r w:rsidRPr="00A11D71">
        <w:t>believed the victim ha</w:t>
      </w:r>
      <w:r w:rsidR="00BE207E">
        <w:t>s</w:t>
      </w:r>
      <w:r w:rsidRPr="00A11D71">
        <w:t xml:space="preserve"> the relevant characteristic.</w:t>
      </w:r>
    </w:p>
    <w:p w14:paraId="50481467" w14:textId="17F5AA2C" w:rsidR="00A11D71" w:rsidRPr="00A11D71" w:rsidRDefault="00A11D71" w:rsidP="00E71BD6">
      <w:pPr>
        <w:pStyle w:val="BodyText"/>
      </w:pPr>
      <w:r w:rsidRPr="00A11D71">
        <w:t xml:space="preserve">We considered </w:t>
      </w:r>
      <w:r w:rsidR="002E6266">
        <w:t>an</w:t>
      </w:r>
      <w:r w:rsidR="002E6266" w:rsidRPr="00A11D71">
        <w:t xml:space="preserve"> </w:t>
      </w:r>
      <w:r w:rsidRPr="00A11D71">
        <w:t xml:space="preserve">alternative option of extending section 9(1)(h) to victims who are </w:t>
      </w:r>
      <w:r w:rsidRPr="00E71BD6">
        <w:rPr>
          <w:rFonts w:eastAsia="Calibri" w:cs="Cordia New"/>
          <w:color w:val="auto"/>
          <w:szCs w:val="22"/>
          <w:lang w:eastAsia="en-US"/>
        </w:rPr>
        <w:t>associated</w:t>
      </w:r>
      <w:r w:rsidRPr="00A11D71">
        <w:t xml:space="preserve"> with </w:t>
      </w:r>
      <w:r w:rsidR="00C14F40">
        <w:t>the targeted</w:t>
      </w:r>
      <w:r w:rsidRPr="00A11D71">
        <w:t xml:space="preserve"> group. However, that would not </w:t>
      </w:r>
      <w:r w:rsidR="00317907">
        <w:t>address the situation</w:t>
      </w:r>
      <w:r w:rsidR="00ED5B58">
        <w:t xml:space="preserve"> of</w:t>
      </w:r>
      <w:r w:rsidRPr="00A11D71">
        <w:t xml:space="preserve"> other victims who are not associated with the group (such as the owners of property vandalised to spread hateful messages). It may also complicate proceedings due to disputes about the meaning of </w:t>
      </w:r>
      <w:r w:rsidR="00C3798F">
        <w:t>‘</w:t>
      </w:r>
      <w:r w:rsidRPr="00A11D71">
        <w:t>associated</w:t>
      </w:r>
      <w:r w:rsidR="00C3798F">
        <w:t>’</w:t>
      </w:r>
      <w:r w:rsidRPr="00A11D71">
        <w:t xml:space="preserve">. We see no need to restrict the provision in this way. </w:t>
      </w:r>
    </w:p>
    <w:p w14:paraId="78439472" w14:textId="23FBBD18" w:rsidR="00A11D71" w:rsidRPr="00A11D71" w:rsidRDefault="00A11D71" w:rsidP="00F54149">
      <w:pPr>
        <w:pStyle w:val="BodyText"/>
      </w:pPr>
      <w:r w:rsidRPr="00A11D71">
        <w:t xml:space="preserve">As explained above, most of the jurisdictions that provide for victims by association have separate demonstration and motivation tests and have no victim requirement under the motivation limb. A victim requirement may well be necessary under a demonstration test to ensure a sufficient link between the hostility and the offending — otherwise a verbal slur used during unrelated offending and not heard by any member of the relevant group could </w:t>
      </w:r>
      <w:r w:rsidR="00676363">
        <w:t>lead to</w:t>
      </w:r>
      <w:r w:rsidR="00676363" w:rsidRPr="00A11D71">
        <w:t xml:space="preserve"> </w:t>
      </w:r>
      <w:r w:rsidRPr="00A11D71">
        <w:t>the offence</w:t>
      </w:r>
      <w:r w:rsidR="00676363">
        <w:t xml:space="preserve"> being treated as</w:t>
      </w:r>
      <w:r w:rsidRPr="00A11D71">
        <w:t xml:space="preserve"> a hate crime. </w:t>
      </w:r>
      <w:r w:rsidR="009B12AB">
        <w:t>However, t</w:t>
      </w:r>
      <w:r w:rsidRPr="00A11D71">
        <w:t>here is no demonstration test currently in Aotearoa New Zealand</w:t>
      </w:r>
      <w:r w:rsidR="001042A4">
        <w:t>.</w:t>
      </w:r>
      <w:r w:rsidRPr="00A11D71">
        <w:t xml:space="preserve"> </w:t>
      </w:r>
      <w:r w:rsidR="001042A4">
        <w:t>U</w:t>
      </w:r>
      <w:r w:rsidR="00171725">
        <w:t>nder</w:t>
      </w:r>
      <w:r w:rsidRPr="00A11D71">
        <w:t xml:space="preserve"> section 9(1)(h), the offending must occur because of the hostility. </w:t>
      </w:r>
      <w:r w:rsidR="008D02FA">
        <w:t xml:space="preserve">That test </w:t>
      </w:r>
      <w:r w:rsidR="00816AC7">
        <w:t>explicitly requires</w:t>
      </w:r>
      <w:r w:rsidR="008D02FA">
        <w:t xml:space="preserve"> a </w:t>
      </w:r>
      <w:r w:rsidRPr="00A11D71">
        <w:t>link between the hostility and the offending</w:t>
      </w:r>
      <w:r w:rsidR="007D35F3">
        <w:t>, rendering a victim requirement unnecessary</w:t>
      </w:r>
      <w:r w:rsidRPr="00A11D71">
        <w:t>.</w:t>
      </w:r>
    </w:p>
    <w:p w14:paraId="53A2E23B" w14:textId="61AD03BD" w:rsidR="00A11D71" w:rsidRPr="00A11D71" w:rsidRDefault="00A11D71" w:rsidP="00F54149">
      <w:pPr>
        <w:pStyle w:val="BodyText"/>
      </w:pPr>
      <w:r w:rsidRPr="00A11D71">
        <w:t>If this amendment is made, it may present an opportunity to simplify the wording and structure of section 9(1)(h). The concept currently conveyed by paragraph (i) (“the hostility is because of the common characteristic”) could potentially be reflected more simply — for example, by referring to hostility toward</w:t>
      </w:r>
      <w:r w:rsidR="00E80DA7">
        <w:t>s</w:t>
      </w:r>
      <w:r w:rsidRPr="00A11D71">
        <w:t xml:space="preserve"> a group of people “based on” or “on account of” an enduring common characteristic.</w:t>
      </w:r>
      <w:r w:rsidRPr="00A11D71">
        <w:rPr>
          <w:vertAlign w:val="superscript"/>
        </w:rPr>
        <w:footnoteReference w:id="651"/>
      </w:r>
      <w:r w:rsidRPr="00A11D71">
        <w:t xml:space="preserve"> This could make the provision more concise and understandable. However, this is ultimately a matter on which Te Tari Tohutohu Pāremata | Parliamentary Counsel Office is best placed to advise.  </w:t>
      </w:r>
    </w:p>
    <w:p w14:paraId="2ACDE559" w14:textId="6BCCEBA4" w:rsidR="00A11D71" w:rsidRPr="00A11D71" w:rsidRDefault="00A11D71" w:rsidP="00F54149">
      <w:pPr>
        <w:pStyle w:val="BodyText"/>
      </w:pPr>
      <w:r w:rsidRPr="00A11D71">
        <w:t xml:space="preserve">To avoid any doubt, we emphasise </w:t>
      </w:r>
      <w:r w:rsidR="00A23A12">
        <w:t xml:space="preserve">that </w:t>
      </w:r>
      <w:r w:rsidR="000A07A0">
        <w:t>removing the victim requirement</w:t>
      </w:r>
      <w:r w:rsidRPr="00A11D71">
        <w:t xml:space="preserve"> will not mean every offence targeting public property will be treated as a hate crime. There must still be clear evidence </w:t>
      </w:r>
      <w:r w:rsidR="00B255E6">
        <w:t>that the offence was committed because of hostility toward</w:t>
      </w:r>
      <w:r w:rsidR="00F11E8E">
        <w:t>s</w:t>
      </w:r>
      <w:r w:rsidR="00B255E6">
        <w:t xml:space="preserve"> a group of people</w:t>
      </w:r>
      <w:r w:rsidRPr="00A11D71">
        <w:t xml:space="preserve">. </w:t>
      </w:r>
    </w:p>
    <w:p w14:paraId="5D7B8D76" w14:textId="77777777" w:rsidR="001D525A" w:rsidRPr="001D525A" w:rsidRDefault="001D525A" w:rsidP="00FA5428">
      <w:pPr>
        <w:pStyle w:val="Heading2"/>
      </w:pPr>
      <w:bookmarkStart w:id="158" w:name="_Toc231467863"/>
      <w:r w:rsidRPr="001D525A">
        <w:t>Which characteristics should receive protection</w:t>
      </w:r>
      <w:bookmarkEnd w:id="158"/>
    </w:p>
    <w:p w14:paraId="67EEC753" w14:textId="77777777" w:rsidR="001D525A" w:rsidRPr="001D525A" w:rsidRDefault="001D525A" w:rsidP="00F54149">
      <w:pPr>
        <w:pStyle w:val="BodyText"/>
      </w:pPr>
      <w:r w:rsidRPr="001D525A">
        <w:t xml:space="preserve">Most of the issues we address in this chapter concern the characteristics that should be protected by section 9(1)(h). Currently, section 9(1)(h) applies to offending motivated by hostility towards a group of people who have an ‘enduring common characteristic’. The provision lists the following examples: “race, colour, nationality, religion, gender identity, sexual orientation, age, or disability”. This list is illustrative, not exhaustive. Offending based on other ‘enduring common characteristics’ may also fall under the aggravating factor (we refer to this as the ‘residual category’). </w:t>
      </w:r>
    </w:p>
    <w:p w14:paraId="4E61A4BA" w14:textId="2910EE91" w:rsidR="001D525A" w:rsidRPr="001D525A" w:rsidRDefault="001D525A" w:rsidP="00F54149">
      <w:pPr>
        <w:pStyle w:val="BodyText"/>
      </w:pPr>
      <w:r w:rsidRPr="001D525A">
        <w:t xml:space="preserve">We address below </w:t>
      </w:r>
      <w:r w:rsidR="00CC4F5A">
        <w:t>the following</w:t>
      </w:r>
      <w:r w:rsidR="00CC4F5A" w:rsidRPr="001D525A">
        <w:t xml:space="preserve"> </w:t>
      </w:r>
      <w:r w:rsidRPr="001D525A">
        <w:t xml:space="preserve">issues </w:t>
      </w:r>
      <w:r w:rsidR="009550B4">
        <w:t>in relation to</w:t>
      </w:r>
      <w:r w:rsidRPr="001D525A">
        <w:t xml:space="preserve"> the current wording of section 9(1)(h) on which we consulted or </w:t>
      </w:r>
      <w:r w:rsidR="00050B61">
        <w:t>that</w:t>
      </w:r>
      <w:r w:rsidRPr="001D525A">
        <w:t xml:space="preserve"> were raised with us during consultation:</w:t>
      </w:r>
    </w:p>
    <w:p w14:paraId="12F94ACA" w14:textId="4D7A77FB" w:rsidR="001D525A" w:rsidRPr="001D525A" w:rsidRDefault="00D25C4D" w:rsidP="00B801BA">
      <w:pPr>
        <w:pStyle w:val="BodyTextalphalist"/>
        <w:numPr>
          <w:ilvl w:val="3"/>
          <w:numId w:val="31"/>
        </w:numPr>
      </w:pPr>
      <w:r>
        <w:t>W</w:t>
      </w:r>
      <w:r w:rsidR="001D525A" w:rsidRPr="001D525A">
        <w:t>hether the list of characteristics in section 9(1)(h) should be exhaustive (closed) rather than inclusive (open)</w:t>
      </w:r>
      <w:r>
        <w:t>.</w:t>
      </w:r>
    </w:p>
    <w:p w14:paraId="00B6EB59" w14:textId="3869F07C" w:rsidR="001D525A" w:rsidRPr="001D525A" w:rsidRDefault="00D25C4D" w:rsidP="00B801BA">
      <w:pPr>
        <w:pStyle w:val="BodyTextalphalist"/>
        <w:numPr>
          <w:ilvl w:val="3"/>
          <w:numId w:val="31"/>
        </w:numPr>
      </w:pPr>
      <w:r>
        <w:t>W</w:t>
      </w:r>
      <w:r w:rsidR="001D525A" w:rsidRPr="001D525A">
        <w:t>hether the list of protected characteristics should mirror the prohibited grounds of discrimination in section 21 of the Human Rights Act 1993</w:t>
      </w:r>
      <w:r>
        <w:t>.</w:t>
      </w:r>
    </w:p>
    <w:p w14:paraId="046F5F25" w14:textId="7BA6E89C" w:rsidR="001D525A" w:rsidRPr="001D525A" w:rsidRDefault="00D25C4D" w:rsidP="00B801BA">
      <w:pPr>
        <w:pStyle w:val="BodyTextalphalist"/>
        <w:numPr>
          <w:ilvl w:val="3"/>
          <w:numId w:val="31"/>
        </w:numPr>
      </w:pPr>
      <w:r>
        <w:t>W</w:t>
      </w:r>
      <w:r w:rsidR="001D525A" w:rsidRPr="001D525A">
        <w:t>hether the term ‘enduring common characteristic’ should be removed or replaced</w:t>
      </w:r>
      <w:r>
        <w:t>.</w:t>
      </w:r>
    </w:p>
    <w:p w14:paraId="3FA1CF8E" w14:textId="7280BD8A" w:rsidR="001D525A" w:rsidRPr="001D525A" w:rsidRDefault="00CB6EA7" w:rsidP="00B801BA">
      <w:pPr>
        <w:pStyle w:val="BodyTextalphalist"/>
        <w:numPr>
          <w:ilvl w:val="3"/>
          <w:numId w:val="31"/>
        </w:numPr>
      </w:pPr>
      <w:r>
        <w:t>W</w:t>
      </w:r>
      <w:r w:rsidR="001D525A" w:rsidRPr="001D525A">
        <w:t>hether the illustrative list of protected characteristics should include ‘sex’</w:t>
      </w:r>
      <w:r>
        <w:t>.</w:t>
      </w:r>
    </w:p>
    <w:p w14:paraId="3DA45A01" w14:textId="3D1546D7" w:rsidR="001D525A" w:rsidRPr="001D525A" w:rsidRDefault="009550B4" w:rsidP="00B801BA">
      <w:pPr>
        <w:pStyle w:val="BodyTextalphalist"/>
        <w:numPr>
          <w:ilvl w:val="3"/>
          <w:numId w:val="31"/>
        </w:numPr>
      </w:pPr>
      <w:r>
        <w:t>W</w:t>
      </w:r>
      <w:r w:rsidR="001D525A" w:rsidRPr="001D525A">
        <w:t xml:space="preserve">hether </w:t>
      </w:r>
      <w:r w:rsidR="009F7A07">
        <w:t>the illustrative list of protected characteristics should include</w:t>
      </w:r>
      <w:r w:rsidR="001D525A" w:rsidRPr="001D525A">
        <w:t xml:space="preserve"> having an innate variation of sex characteristics</w:t>
      </w:r>
      <w:r>
        <w:t>.</w:t>
      </w:r>
    </w:p>
    <w:p w14:paraId="651DA3AA" w14:textId="0F7B1876" w:rsidR="001D525A" w:rsidRPr="001D525A" w:rsidRDefault="009550B4" w:rsidP="00B801BA">
      <w:pPr>
        <w:pStyle w:val="BodyTextalphalist"/>
        <w:numPr>
          <w:ilvl w:val="3"/>
          <w:numId w:val="31"/>
        </w:numPr>
      </w:pPr>
      <w:r>
        <w:t>W</w:t>
      </w:r>
      <w:r w:rsidR="001D525A" w:rsidRPr="001D525A">
        <w:t xml:space="preserve">hether ‘age’ and ‘disability’ should be removed from the illustrative list due to </w:t>
      </w:r>
      <w:r w:rsidR="00932BF9">
        <w:t>overlap</w:t>
      </w:r>
      <w:r w:rsidR="001D525A" w:rsidRPr="001D525A">
        <w:t xml:space="preserve"> with a</w:t>
      </w:r>
      <w:r w:rsidR="009C3B73">
        <w:t>nother</w:t>
      </w:r>
      <w:r w:rsidR="001D525A" w:rsidRPr="001D525A">
        <w:t xml:space="preserve"> statutory aggravating factor </w:t>
      </w:r>
      <w:r w:rsidR="009C3B73">
        <w:t>(section</w:t>
      </w:r>
      <w:r w:rsidR="00EC18D8">
        <w:rPr>
          <w:rFonts w:ascii="Calibri" w:hAnsi="Calibri" w:cs="Calibri"/>
        </w:rPr>
        <w:t> </w:t>
      </w:r>
      <w:r w:rsidR="009C3B73">
        <w:t>9(1)(g</w:t>
      </w:r>
      <w:r w:rsidR="00951ED1">
        <w:t xml:space="preserve">)) </w:t>
      </w:r>
      <w:r w:rsidR="001D525A" w:rsidRPr="001D525A">
        <w:t>that applies to offending against victims who are particularly vulnerable.</w:t>
      </w:r>
    </w:p>
    <w:p w14:paraId="502216F8" w14:textId="6734D2D7" w:rsidR="00A32B3D" w:rsidRDefault="009B2B71" w:rsidP="00F54149">
      <w:pPr>
        <w:pStyle w:val="BodyText"/>
      </w:pPr>
      <w:r>
        <w:t>Before</w:t>
      </w:r>
      <w:r w:rsidR="001D525A" w:rsidRPr="001D525A">
        <w:t xml:space="preserve"> address</w:t>
      </w:r>
      <w:r>
        <w:t>ing</w:t>
      </w:r>
      <w:r w:rsidR="001D525A" w:rsidRPr="001D525A">
        <w:t xml:space="preserve"> these </w:t>
      </w:r>
      <w:r w:rsidR="008A73B4">
        <w:t xml:space="preserve">specific </w:t>
      </w:r>
      <w:r w:rsidR="001D525A" w:rsidRPr="001D525A">
        <w:t xml:space="preserve">issues, </w:t>
      </w:r>
      <w:r w:rsidR="008A73B4">
        <w:t>it is helpful to consider at a general level</w:t>
      </w:r>
      <w:r w:rsidR="001D525A" w:rsidRPr="001D525A">
        <w:t xml:space="preserve"> why particular characteristics are or should be singled out for protection under hate crime law. </w:t>
      </w:r>
    </w:p>
    <w:p w14:paraId="54018F47" w14:textId="73E8BDFB" w:rsidR="001D525A" w:rsidRPr="001D525A" w:rsidRDefault="003E602D" w:rsidP="00F54149">
      <w:pPr>
        <w:pStyle w:val="BodyText"/>
      </w:pPr>
      <w:r>
        <w:t>The</w:t>
      </w:r>
      <w:r w:rsidR="001D525A" w:rsidRPr="001D525A">
        <w:t xml:space="preserve"> characteristics already listed in section 9(1)(h) represent type</w:t>
      </w:r>
      <w:r w:rsidR="002B6A7A">
        <w:t>s</w:t>
      </w:r>
      <w:r w:rsidR="001D525A" w:rsidRPr="001D525A">
        <w:t xml:space="preserve"> of prejudice </w:t>
      </w:r>
      <w:r w:rsidR="00D25C4D">
        <w:t xml:space="preserve">that </w:t>
      </w:r>
      <w:r w:rsidR="001D525A" w:rsidRPr="001D525A">
        <w:t>hate crime provisions are directed towards</w:t>
      </w:r>
      <w:r w:rsidR="00F7523B">
        <w:t xml:space="preserve"> in </w:t>
      </w:r>
      <w:r w:rsidR="00707F1D">
        <w:t xml:space="preserve">Aotearoa </w:t>
      </w:r>
      <w:r w:rsidR="00F7523B">
        <w:t>New Zealand and overseas</w:t>
      </w:r>
      <w:r w:rsidR="001D525A" w:rsidRPr="001D525A">
        <w:t xml:space="preserve">. The legislative history of section 9(1)(h) does not, however, explain why these characteristics were singled out for protection </w:t>
      </w:r>
      <w:r w:rsidR="00CC1465">
        <w:t>under</w:t>
      </w:r>
      <w:r w:rsidR="00CC1465" w:rsidRPr="001D525A">
        <w:t xml:space="preserve"> </w:t>
      </w:r>
      <w:r w:rsidR="001D525A" w:rsidRPr="001D525A">
        <w:t>New Zealand law. Nor was much attention paid during the legislative process to which additional characteristics might qualify as ‘enduring common characteristics’ under the residual category. Aside from listing the current protected characteristics, the select committee that recommended inserting the aggravating factor simply said the law should also protect others who belong to “a specific or identifiable group”.</w:t>
      </w:r>
      <w:r w:rsidR="001D525A" w:rsidRPr="001D525A">
        <w:rPr>
          <w:vertAlign w:val="superscript"/>
        </w:rPr>
        <w:footnoteReference w:id="652"/>
      </w:r>
      <w:r w:rsidR="001D525A" w:rsidRPr="001D525A">
        <w:t xml:space="preserve"> </w:t>
      </w:r>
    </w:p>
    <w:p w14:paraId="5AE28191" w14:textId="6D6D4C53" w:rsidR="001D525A" w:rsidRPr="001D525A" w:rsidRDefault="001D525A" w:rsidP="00F54149">
      <w:pPr>
        <w:pStyle w:val="BodyText"/>
      </w:pPr>
      <w:r w:rsidRPr="001D525A">
        <w:t>There is scant New Zealand case law interpreting the term ‘enduring common characteristic’</w:t>
      </w:r>
      <w:r w:rsidR="003D2B55">
        <w:t>.</w:t>
      </w:r>
      <w:r w:rsidRPr="001D525A">
        <w:t xml:space="preserve"> </w:t>
      </w:r>
      <w:r w:rsidR="003D2B55">
        <w:t>W</w:t>
      </w:r>
      <w:r w:rsidRPr="001D525A">
        <w:t xml:space="preserve">e are aware of only two </w:t>
      </w:r>
      <w:r w:rsidR="00B658C5">
        <w:t>cases</w:t>
      </w:r>
      <w:r w:rsidR="00B658C5" w:rsidRPr="001D525A">
        <w:t xml:space="preserve"> </w:t>
      </w:r>
      <w:r w:rsidRPr="001D525A">
        <w:t>in which the prosecution clearly sought to rely on the residual category</w:t>
      </w:r>
      <w:r w:rsidR="004E22AF">
        <w:t xml:space="preserve"> and n</w:t>
      </w:r>
      <w:r w:rsidR="004E22AF" w:rsidRPr="001D525A">
        <w:t>either</w:t>
      </w:r>
      <w:r w:rsidR="00B658C5">
        <w:t xml:space="preserve"> decision</w:t>
      </w:r>
      <w:r w:rsidR="004E22AF" w:rsidRPr="001D525A">
        <w:t xml:space="preserve"> </w:t>
      </w:r>
      <w:r w:rsidR="00035A6B">
        <w:t>contains substantial reasoning on its application</w:t>
      </w:r>
      <w:r w:rsidRPr="001D525A">
        <w:t>.</w:t>
      </w:r>
      <w:r w:rsidRPr="001D525A">
        <w:rPr>
          <w:vertAlign w:val="superscript"/>
        </w:rPr>
        <w:footnoteReference w:id="653"/>
      </w:r>
      <w:r w:rsidRPr="001D525A">
        <w:t xml:space="preserve"> </w:t>
      </w:r>
    </w:p>
    <w:p w14:paraId="3E916B4C" w14:textId="07C8691F" w:rsidR="001D525A" w:rsidRPr="001D525A" w:rsidRDefault="001D525A" w:rsidP="00F54149">
      <w:pPr>
        <w:pStyle w:val="BodyText"/>
      </w:pPr>
      <w:r w:rsidRPr="001D525A">
        <w:t>Some assistance in understanding the reasons why certain characteristics are singled out for protection can</w:t>
      </w:r>
      <w:r w:rsidR="00985B65">
        <w:t xml:space="preserve"> </w:t>
      </w:r>
      <w:r w:rsidRPr="001D525A">
        <w:t>be derived from the work of overseas law reform bodies and academic commentaries on hate crime law. From these sources, we have identified two main considerations.</w:t>
      </w:r>
      <w:r w:rsidR="000457AF">
        <w:t xml:space="preserve"> These two considerations were also remarked on by a number of submitters to our review.</w:t>
      </w:r>
    </w:p>
    <w:p w14:paraId="6BCE115B" w14:textId="1C5B28D3" w:rsidR="001D525A" w:rsidRPr="001D525A" w:rsidRDefault="001D525A" w:rsidP="00E71BD6">
      <w:pPr>
        <w:pStyle w:val="BodyText"/>
      </w:pPr>
      <w:r w:rsidRPr="001D525A">
        <w:t xml:space="preserve">The </w:t>
      </w:r>
      <w:r w:rsidRPr="00E71BD6">
        <w:rPr>
          <w:rFonts w:eastAsia="Calibri" w:cs="Cordia New"/>
          <w:color w:val="auto"/>
          <w:szCs w:val="22"/>
          <w:lang w:eastAsia="en-US"/>
        </w:rPr>
        <w:t>first</w:t>
      </w:r>
      <w:r w:rsidRPr="001D525A">
        <w:t xml:space="preserve"> consideration is the </w:t>
      </w:r>
      <w:r w:rsidR="00DE0AF2">
        <w:t>disad</w:t>
      </w:r>
      <w:r w:rsidR="00653473">
        <w:t>vantage</w:t>
      </w:r>
      <w:r w:rsidRPr="001D525A">
        <w:t xml:space="preserve"> or marginalisation of the targeted group — both historically and in a contemporary context.</w:t>
      </w:r>
      <w:r w:rsidRPr="001D525A">
        <w:rPr>
          <w:vertAlign w:val="superscript"/>
        </w:rPr>
        <w:footnoteReference w:id="654"/>
      </w:r>
      <w:r w:rsidRPr="001D525A">
        <w:t xml:space="preserve"> For this consideration to be relevant, there does not necessarily need to be </w:t>
      </w:r>
      <w:r w:rsidR="004E5EE8">
        <w:t xml:space="preserve">clear </w:t>
      </w:r>
      <w:r w:rsidRPr="001D525A">
        <w:t>evidence or data showing that hate crimes are being committed against the group</w:t>
      </w:r>
      <w:r w:rsidR="004E5EE8">
        <w:t>.</w:t>
      </w:r>
      <w:r w:rsidRPr="001D525A">
        <w:t xml:space="preserve"> </w:t>
      </w:r>
      <w:r w:rsidR="004E5EE8">
        <w:t>D</w:t>
      </w:r>
      <w:r w:rsidRPr="001D525A">
        <w:t>irect evidence of that kind is unlikely</w:t>
      </w:r>
      <w:r w:rsidR="004E5EE8">
        <w:t xml:space="preserve"> </w:t>
      </w:r>
      <w:r w:rsidRPr="001D525A">
        <w:t>to be available until protection has been extended to the particular group.</w:t>
      </w:r>
      <w:r w:rsidRPr="001D525A">
        <w:rPr>
          <w:vertAlign w:val="superscript"/>
        </w:rPr>
        <w:footnoteReference w:id="655"/>
      </w:r>
      <w:r w:rsidRPr="001D525A">
        <w:t xml:space="preserve"> Generally speaking, however, the groups that are singled out for the protection of hate crime law are ones that have experienced a history of hostility, </w:t>
      </w:r>
      <w:r w:rsidR="00653473">
        <w:t>disadvantage</w:t>
      </w:r>
      <w:r w:rsidRPr="001D525A">
        <w:t xml:space="preserve"> or marginalisation. </w:t>
      </w:r>
    </w:p>
    <w:p w14:paraId="5B7CCC97" w14:textId="58030C9F" w:rsidR="001D525A" w:rsidRPr="001D525A" w:rsidRDefault="001D525A" w:rsidP="00F54149">
      <w:pPr>
        <w:pStyle w:val="BodyText"/>
      </w:pPr>
      <w:r w:rsidRPr="001D525A">
        <w:t xml:space="preserve">It is that history of marginalisation that engages the underlying rationale of hate crime law. As discussed in Chapter 3, a key reason that hate crime is treated more seriously than equivalent non-hate crimes is the additional harm it causes to the wider group. That harm is likely to be more severe where the group has historically been the target of hostility, violence or marginalisation. </w:t>
      </w:r>
    </w:p>
    <w:p w14:paraId="5DC1927F" w14:textId="45C2B60E" w:rsidR="001D525A" w:rsidRPr="001D525A" w:rsidRDefault="001D525A" w:rsidP="00F54149">
      <w:pPr>
        <w:pStyle w:val="BodyText"/>
      </w:pPr>
      <w:r w:rsidRPr="001D525A">
        <w:t>The second consideration is whether the particular characteristic is a marker of group identity that it would be unreasonable or oppressive to expect people to change.</w:t>
      </w:r>
      <w:r w:rsidRPr="001D525A">
        <w:rPr>
          <w:vertAlign w:val="superscript"/>
        </w:rPr>
        <w:footnoteReference w:id="656"/>
      </w:r>
      <w:r w:rsidRPr="001D525A">
        <w:t xml:space="preserve"> Characteristics of this kind should be protected because hostility </w:t>
      </w:r>
      <w:r w:rsidR="00CE7906">
        <w:t xml:space="preserve">based on them </w:t>
      </w:r>
      <w:r w:rsidRPr="001D525A">
        <w:t xml:space="preserve">undermines </w:t>
      </w:r>
      <w:r w:rsidR="00CE7906">
        <w:t xml:space="preserve">the </w:t>
      </w:r>
      <w:r w:rsidRPr="001D525A">
        <w:t>values of tolerance and respect for difference.</w:t>
      </w:r>
      <w:r w:rsidRPr="001D525A">
        <w:rPr>
          <w:vertAlign w:val="superscript"/>
        </w:rPr>
        <w:footnoteReference w:id="657"/>
      </w:r>
      <w:r w:rsidRPr="001D525A">
        <w:t xml:space="preserve"> </w:t>
      </w:r>
      <w:r w:rsidR="0086766D">
        <w:t>As</w:t>
      </w:r>
      <w:r w:rsidRPr="001D525A">
        <w:t xml:space="preserve"> </w:t>
      </w:r>
      <w:r w:rsidR="006A15C5">
        <w:t>discussed in Chapter</w:t>
      </w:r>
      <w:r w:rsidR="00CA55E4">
        <w:rPr>
          <w:rFonts w:ascii="Calibri" w:hAnsi="Calibri" w:cs="Calibri"/>
        </w:rPr>
        <w:t> </w:t>
      </w:r>
      <w:r w:rsidR="006A15C5">
        <w:t xml:space="preserve">3, this </w:t>
      </w:r>
      <w:r w:rsidR="00353E24">
        <w:t xml:space="preserve">aspect </w:t>
      </w:r>
      <w:r w:rsidR="00BB652A">
        <w:t xml:space="preserve">of hate crime offending </w:t>
      </w:r>
      <w:r w:rsidR="003E65D7">
        <w:t>increases</w:t>
      </w:r>
      <w:r w:rsidR="00C972CE">
        <w:t xml:space="preserve"> the </w:t>
      </w:r>
      <w:r w:rsidR="00134D22" w:rsidDel="00E449BC">
        <w:t xml:space="preserve">moral </w:t>
      </w:r>
      <w:r w:rsidR="00134D22">
        <w:t>blameworth</w:t>
      </w:r>
      <w:r w:rsidR="00C972CE">
        <w:t xml:space="preserve">iness of the </w:t>
      </w:r>
      <w:r w:rsidR="00134D22" w:rsidDel="00C972CE">
        <w:t>offender</w:t>
      </w:r>
      <w:r w:rsidR="00134D22">
        <w:t xml:space="preserve">. </w:t>
      </w:r>
      <w:r w:rsidR="001443A0">
        <w:t>The t</w:t>
      </w:r>
      <w:r w:rsidR="00AA249C">
        <w:t>argeting</w:t>
      </w:r>
      <w:r w:rsidR="001443A0">
        <w:t xml:space="preserve"> of</w:t>
      </w:r>
      <w:r w:rsidR="00AA249C">
        <w:t xml:space="preserve"> people based on</w:t>
      </w:r>
      <w:r w:rsidRPr="001D525A">
        <w:t xml:space="preserve"> a shared identity is also closely connected to the additional harm that distinguishes hate crimes from other offending. It is the reason why hate crimes cause other people with the same characteristic as the victim to experience fear and marginalisation. </w:t>
      </w:r>
    </w:p>
    <w:p w14:paraId="661E0393" w14:textId="7E1312E0" w:rsidR="001D525A" w:rsidRPr="001D525A" w:rsidRDefault="001D525A" w:rsidP="00F54149">
      <w:pPr>
        <w:pStyle w:val="BodyText"/>
      </w:pPr>
      <w:r w:rsidRPr="001D525A">
        <w:t xml:space="preserve">This second consideration also helps to explain why not all groups that experience </w:t>
      </w:r>
      <w:r w:rsidR="00653473">
        <w:t>disadvantage</w:t>
      </w:r>
      <w:r w:rsidRPr="001D525A">
        <w:t xml:space="preserve"> or marginalisation should be protected by hate crime law. Characteristics are only protected if they are ones that it would be unreasonable or oppressive to expect people to change. For that reason, hate crime laws do not generally extend protection to people who can be identified as a group because of the harm they cause others (for example, paedophiles). </w:t>
      </w:r>
      <w:r w:rsidR="00C000A9">
        <w:t>Protecting such groups</w:t>
      </w:r>
      <w:r w:rsidR="00C000A9" w:rsidRPr="001D525A">
        <w:t xml:space="preserve"> </w:t>
      </w:r>
      <w:r w:rsidRPr="001D525A">
        <w:t>would be contrary to the values of respect, dignity and tolerance underpinning hate crime law.</w:t>
      </w:r>
      <w:r w:rsidRPr="001D525A">
        <w:rPr>
          <w:vertAlign w:val="superscript"/>
        </w:rPr>
        <w:footnoteReference w:id="658"/>
      </w:r>
    </w:p>
    <w:p w14:paraId="3CB4B1B9" w14:textId="77777777" w:rsidR="00B0105A" w:rsidRPr="00FD46FE" w:rsidRDefault="00B0105A" w:rsidP="00B0105A">
      <w:pPr>
        <w:pStyle w:val="Heading3"/>
      </w:pPr>
      <w:r>
        <w:t>An o</w:t>
      </w:r>
      <w:r w:rsidRPr="00FD46FE">
        <w:t>pen list of characteristics</w:t>
      </w:r>
    </w:p>
    <w:p w14:paraId="7B12D75A" w14:textId="4FD0EC94" w:rsidR="001D525A" w:rsidRPr="001D525A" w:rsidRDefault="001D525A" w:rsidP="00F54149">
      <w:pPr>
        <w:pStyle w:val="BodyText"/>
      </w:pPr>
      <w:r w:rsidRPr="001D525A">
        <w:t xml:space="preserve">Section 9(1)(h) </w:t>
      </w:r>
      <w:r w:rsidR="001C0E02">
        <w:t>applies</w:t>
      </w:r>
      <w:r w:rsidRPr="001D525A">
        <w:t xml:space="preserve"> to enduring common characteristics “such as” race, colour, nationality, religion, gender identity, sexual orientation, age or disability. That wording means the list of characteristics in section 9(1)(h) is illustrative rather than exhaustive. The courts can apply the provision to other ‘enduring common characteristics’. As noted earlier, we call this the ‘residual category’. </w:t>
      </w:r>
    </w:p>
    <w:p w14:paraId="1CDC8D09" w14:textId="77777777" w:rsidR="001D525A" w:rsidRPr="001D525A" w:rsidRDefault="001D525A" w:rsidP="00F54149">
      <w:pPr>
        <w:pStyle w:val="BodyText"/>
      </w:pPr>
      <w:r w:rsidRPr="001D525A">
        <w:t>In our Consultation Paper, we said we were interested to understand whether this approach is too broad or vague.</w:t>
      </w:r>
      <w:r w:rsidRPr="001D525A">
        <w:rPr>
          <w:vertAlign w:val="superscript"/>
        </w:rPr>
        <w:footnoteReference w:id="659"/>
      </w:r>
      <w:r w:rsidRPr="001D525A">
        <w:t xml:space="preserve"> We also sought views on whether to limit the aggravating factor to a closed list of specific characteristics.</w:t>
      </w:r>
      <w:r w:rsidRPr="001D525A">
        <w:rPr>
          <w:vertAlign w:val="superscript"/>
        </w:rPr>
        <w:footnoteReference w:id="660"/>
      </w:r>
    </w:p>
    <w:p w14:paraId="541B5721" w14:textId="607C4A6D" w:rsidR="001D525A" w:rsidRPr="001D525A" w:rsidRDefault="001D525A" w:rsidP="00F54149">
      <w:pPr>
        <w:pStyle w:val="BodyText"/>
      </w:pPr>
      <w:r w:rsidRPr="001D525A">
        <w:t>We identified in the Consultation Paper two examples</w:t>
      </w:r>
      <w:r w:rsidR="00936510">
        <w:t xml:space="preserve"> of cases</w:t>
      </w:r>
      <w:r w:rsidRPr="001D525A">
        <w:t xml:space="preserve"> in Aotearoa New Zealand </w:t>
      </w:r>
      <w:r w:rsidR="00936510">
        <w:t>in which</w:t>
      </w:r>
      <w:r w:rsidR="00936510" w:rsidRPr="001D525A">
        <w:t xml:space="preserve"> </w:t>
      </w:r>
      <w:r w:rsidRPr="001D525A">
        <w:t>the application of the residual category has arguably led to inconsistency or uncertainty</w:t>
      </w:r>
      <w:r w:rsidR="006830D6">
        <w:t>:</w:t>
      </w:r>
    </w:p>
    <w:p w14:paraId="37EA640E" w14:textId="35E1C53C" w:rsidR="00B0105A" w:rsidRPr="002803B7" w:rsidRDefault="00B0105A" w:rsidP="001D525A">
      <w:pPr>
        <w:pStyle w:val="BodyText"/>
        <w:numPr>
          <w:ilvl w:val="3"/>
          <w:numId w:val="31"/>
        </w:numPr>
      </w:pPr>
      <w:r w:rsidRPr="002803B7">
        <w:t xml:space="preserve">In </w:t>
      </w:r>
      <w:r w:rsidRPr="002803B7">
        <w:rPr>
          <w:i/>
          <w:iCs/>
        </w:rPr>
        <w:t>R v Pahau</w:t>
      </w:r>
      <w:r w:rsidRPr="00F55B3A">
        <w:t>,</w:t>
      </w:r>
      <w:r w:rsidRPr="002803B7">
        <w:t xml:space="preserve"> </w:t>
      </w:r>
      <w:r w:rsidR="000E0D87" w:rsidRPr="000E0D87">
        <w:t>Te Kōti Matua | High Court</w:t>
      </w:r>
      <w:r w:rsidRPr="002803B7">
        <w:t xml:space="preserve"> applied the aggravating factor </w:t>
      </w:r>
      <w:r>
        <w:t>where</w:t>
      </w:r>
      <w:r w:rsidRPr="002803B7">
        <w:t xml:space="preserve"> the victim was </w:t>
      </w:r>
      <w:r>
        <w:t xml:space="preserve">targeted </w:t>
      </w:r>
      <w:r w:rsidR="00B96013">
        <w:t xml:space="preserve">because they were </w:t>
      </w:r>
      <w:r>
        <w:t xml:space="preserve">affiliated with a rival </w:t>
      </w:r>
      <w:r w:rsidRPr="002803B7">
        <w:t>gang.</w:t>
      </w:r>
      <w:r w:rsidRPr="002803B7">
        <w:rPr>
          <w:vertAlign w:val="superscript"/>
        </w:rPr>
        <w:footnoteReference w:id="661"/>
      </w:r>
      <w:r w:rsidRPr="002803B7">
        <w:t xml:space="preserve"> </w:t>
      </w:r>
      <w:r>
        <w:t>However, i</w:t>
      </w:r>
      <w:r w:rsidRPr="002803B7">
        <w:t xml:space="preserve">n more recent </w:t>
      </w:r>
      <w:r>
        <w:t>cases</w:t>
      </w:r>
      <w:r w:rsidRPr="002803B7">
        <w:t xml:space="preserve"> involving offending against rival gang members</w:t>
      </w:r>
      <w:r w:rsidR="00A704CF">
        <w:t>,</w:t>
      </w:r>
      <w:r w:rsidRPr="002803B7">
        <w:t xml:space="preserve"> the court</w:t>
      </w:r>
      <w:r>
        <w:t>s</w:t>
      </w:r>
      <w:r w:rsidRPr="002803B7">
        <w:t xml:space="preserve"> </w:t>
      </w:r>
      <w:r>
        <w:t>have</w:t>
      </w:r>
      <w:r w:rsidRPr="002803B7">
        <w:t xml:space="preserve"> not </w:t>
      </w:r>
      <w:r w:rsidR="00736C5C">
        <w:t>applied</w:t>
      </w:r>
      <w:r w:rsidR="00736C5C" w:rsidRPr="002803B7">
        <w:t xml:space="preserve"> </w:t>
      </w:r>
      <w:r w:rsidRPr="002803B7">
        <w:t xml:space="preserve">the </w:t>
      </w:r>
      <w:r>
        <w:t>hostility</w:t>
      </w:r>
      <w:r w:rsidRPr="002803B7">
        <w:t xml:space="preserve"> aggravating factor.</w:t>
      </w:r>
      <w:r w:rsidRPr="002803B7">
        <w:rPr>
          <w:vertAlign w:val="superscript"/>
        </w:rPr>
        <w:footnoteReference w:id="662"/>
      </w:r>
      <w:r w:rsidRPr="002803B7">
        <w:rPr>
          <w:i/>
          <w:iCs/>
        </w:rPr>
        <w:t xml:space="preserve"> </w:t>
      </w:r>
    </w:p>
    <w:p w14:paraId="360D4979" w14:textId="45754E24" w:rsidR="00B0105A" w:rsidRPr="002803B7" w:rsidRDefault="00B0105A" w:rsidP="001D525A">
      <w:pPr>
        <w:pStyle w:val="BodyText"/>
        <w:numPr>
          <w:ilvl w:val="3"/>
          <w:numId w:val="31"/>
        </w:numPr>
      </w:pPr>
      <w:r w:rsidRPr="002803B7">
        <w:t xml:space="preserve">In </w:t>
      </w:r>
      <w:r w:rsidRPr="002803B7">
        <w:rPr>
          <w:i/>
          <w:iCs/>
        </w:rPr>
        <w:t>Lawrence v New Zealand Police</w:t>
      </w:r>
      <w:r w:rsidRPr="002803B7">
        <w:t>, the sentencing judge applied the aggravating factor to</w:t>
      </w:r>
      <w:r>
        <w:t xml:space="preserve"> offending based on hostility toward</w:t>
      </w:r>
      <w:r w:rsidR="00E80DA7">
        <w:t>s</w:t>
      </w:r>
      <w:r w:rsidRPr="002803B7">
        <w:t xml:space="preserve"> members of a political party. </w:t>
      </w:r>
      <w:r w:rsidR="001D525A" w:rsidRPr="001D525A">
        <w:t>On appeal, the High Court held that the aggravating factor was misapplied both because the hostility was towards a particular government policy rather than politicians themselves</w:t>
      </w:r>
      <w:r w:rsidR="001D525A" w:rsidRPr="001D525A">
        <w:rPr>
          <w:vertAlign w:val="superscript"/>
        </w:rPr>
        <w:footnoteReference w:id="663"/>
      </w:r>
      <w:r w:rsidR="001D525A" w:rsidRPr="001D525A">
        <w:t xml:space="preserve"> and because political party membership was not an ‘enduring common characteristic’.</w:t>
      </w:r>
      <w:r w:rsidRPr="002803B7">
        <w:rPr>
          <w:vertAlign w:val="superscript"/>
        </w:rPr>
        <w:footnoteReference w:id="664"/>
      </w:r>
    </w:p>
    <w:p w14:paraId="36C87F60" w14:textId="00EDEC64" w:rsidR="00B0105A" w:rsidRDefault="001D525A" w:rsidP="00F54149">
      <w:pPr>
        <w:pStyle w:val="BodyText"/>
      </w:pPr>
      <w:r w:rsidRPr="001D525A">
        <w:t>We</w:t>
      </w:r>
      <w:r w:rsidR="00B0105A" w:rsidRPr="002803B7">
        <w:t xml:space="preserve"> also </w:t>
      </w:r>
      <w:r w:rsidR="00B0105A">
        <w:t>discussed</w:t>
      </w:r>
      <w:r w:rsidR="00B0105A" w:rsidRPr="002803B7">
        <w:t xml:space="preserve"> </w:t>
      </w:r>
      <w:r w:rsidR="00B0105A">
        <w:t>cases from</w:t>
      </w:r>
      <w:r w:rsidR="00B0105A" w:rsidRPr="002803B7">
        <w:t xml:space="preserve"> New South Wales (NSW) </w:t>
      </w:r>
      <w:r w:rsidR="00484700">
        <w:t>in which</w:t>
      </w:r>
      <w:r w:rsidR="00CE06EF">
        <w:t xml:space="preserve"> </w:t>
      </w:r>
      <w:r w:rsidR="00B0105A">
        <w:t xml:space="preserve">an analogous </w:t>
      </w:r>
      <w:r w:rsidR="00CD3AB8">
        <w:t xml:space="preserve">hostility </w:t>
      </w:r>
      <w:r w:rsidR="00B0105A" w:rsidRPr="002803B7">
        <w:t xml:space="preserve">aggravating factor has been applied </w:t>
      </w:r>
      <w:r w:rsidR="00B0105A">
        <w:t>to</w:t>
      </w:r>
      <w:r w:rsidR="00B0105A" w:rsidRPr="00FD46FE">
        <w:t xml:space="preserve"> </w:t>
      </w:r>
      <w:r w:rsidR="00B0105A">
        <w:t>vigilante attacks on</w:t>
      </w:r>
      <w:r w:rsidR="00B0105A" w:rsidRPr="00FD46FE">
        <w:t xml:space="preserve"> alleged paedophile</w:t>
      </w:r>
      <w:r w:rsidR="00B0105A">
        <w:t>s</w:t>
      </w:r>
      <w:r w:rsidR="00B0105A" w:rsidRPr="00FD46FE">
        <w:t>.</w:t>
      </w:r>
      <w:r w:rsidR="00B0105A" w:rsidRPr="002803B7">
        <w:t xml:space="preserve"> </w:t>
      </w:r>
      <w:r w:rsidR="00B0105A">
        <w:t>In</w:t>
      </w:r>
      <w:r w:rsidR="00B0105A" w:rsidRPr="002803B7">
        <w:t xml:space="preserve"> NSW</w:t>
      </w:r>
      <w:r w:rsidR="00B0105A">
        <w:t>, the</w:t>
      </w:r>
      <w:r w:rsidR="00B0105A" w:rsidRPr="002803B7">
        <w:t xml:space="preserve"> aggravating factor applies when an offence is motivated by hatred </w:t>
      </w:r>
      <w:r w:rsidR="00B0105A">
        <w:t>for</w:t>
      </w:r>
      <w:r w:rsidR="00B0105A" w:rsidRPr="002803B7">
        <w:t xml:space="preserve"> “a group of people”, followed by a list of example</w:t>
      </w:r>
      <w:r w:rsidR="00B0105A">
        <w:t xml:space="preserve"> characteristics that are similar to those in </w:t>
      </w:r>
      <w:r w:rsidR="00D54F38">
        <w:t>the</w:t>
      </w:r>
      <w:r w:rsidRPr="001D525A">
        <w:t xml:space="preserve"> New Zealand sentencing provision.</w:t>
      </w:r>
      <w:r w:rsidRPr="001D525A">
        <w:rPr>
          <w:vertAlign w:val="superscript"/>
        </w:rPr>
        <w:footnoteReference w:id="665"/>
      </w:r>
      <w:r w:rsidRPr="001D525A">
        <w:t xml:space="preserve"> There is no requirement that the targeted group has an ‘enduring common characteristic’.</w:t>
      </w:r>
      <w:r w:rsidR="00B0105A">
        <w:t xml:space="preserve"> </w:t>
      </w:r>
    </w:p>
    <w:p w14:paraId="44CB463D" w14:textId="4F9AFE9D" w:rsidR="00B0105A" w:rsidRDefault="00B0105A" w:rsidP="00F54149">
      <w:pPr>
        <w:pStyle w:val="BodyText"/>
      </w:pPr>
      <w:r w:rsidRPr="002803B7">
        <w:t xml:space="preserve">In </w:t>
      </w:r>
      <w:r w:rsidRPr="00545126">
        <w:rPr>
          <w:i/>
          <w:iCs/>
        </w:rPr>
        <w:t>Dunn v R</w:t>
      </w:r>
      <w:r w:rsidRPr="00E7189C">
        <w:t>,</w:t>
      </w:r>
      <w:r w:rsidRPr="00545126">
        <w:rPr>
          <w:i/>
          <w:iCs/>
        </w:rPr>
        <w:t xml:space="preserve"> </w:t>
      </w:r>
      <w:r w:rsidRPr="002803B7">
        <w:t xml:space="preserve">the </w:t>
      </w:r>
      <w:r>
        <w:t xml:space="preserve">NSW </w:t>
      </w:r>
      <w:r w:rsidRPr="002803B7">
        <w:t xml:space="preserve">Supreme Court </w:t>
      </w:r>
      <w:r w:rsidR="00047CD2">
        <w:t xml:space="preserve">took </w:t>
      </w:r>
      <w:r>
        <w:t xml:space="preserve">a literal interpretation of the words “group of people” </w:t>
      </w:r>
      <w:r w:rsidR="00047CD2">
        <w:t xml:space="preserve">and found </w:t>
      </w:r>
      <w:r w:rsidRPr="002803B7">
        <w:t xml:space="preserve">that targeting a victim because of his presumed paedophilia came “fairly and squarely” within </w:t>
      </w:r>
      <w:r>
        <w:t xml:space="preserve">the </w:t>
      </w:r>
      <w:r w:rsidRPr="002803B7">
        <w:t>scope</w:t>
      </w:r>
      <w:r>
        <w:t xml:space="preserve"> of </w:t>
      </w:r>
      <w:r w:rsidR="006C26BB">
        <w:t>the aggravating factor</w:t>
      </w:r>
      <w:r w:rsidRPr="00545126">
        <w:rPr>
          <w:i/>
          <w:iCs/>
        </w:rPr>
        <w:t>.</w:t>
      </w:r>
      <w:r w:rsidRPr="002803B7">
        <w:rPr>
          <w:vertAlign w:val="superscript"/>
        </w:rPr>
        <w:footnoteReference w:id="666"/>
      </w:r>
      <w:r w:rsidRPr="002803B7">
        <w:t xml:space="preserve"> In </w:t>
      </w:r>
      <w:r w:rsidRPr="00545126">
        <w:rPr>
          <w:i/>
          <w:iCs/>
        </w:rPr>
        <w:t>R v Davies</w:t>
      </w:r>
      <w:r w:rsidRPr="00104E87">
        <w:t>,</w:t>
      </w:r>
      <w:r w:rsidRPr="00545126">
        <w:rPr>
          <w:i/>
          <w:iCs/>
        </w:rPr>
        <w:t xml:space="preserve"> </w:t>
      </w:r>
      <w:r w:rsidRPr="002803B7">
        <w:t>the Supreme Court again applied the provision</w:t>
      </w:r>
      <w:r w:rsidRPr="00545126">
        <w:rPr>
          <w:i/>
          <w:iCs/>
        </w:rPr>
        <w:t xml:space="preserve"> </w:t>
      </w:r>
      <w:r w:rsidRPr="002803B7">
        <w:t>to paedophiles saying they “are members of a particular and well-known group of people” and there is no reason to “read down the provision”.</w:t>
      </w:r>
      <w:r w:rsidRPr="002803B7">
        <w:rPr>
          <w:vertAlign w:val="superscript"/>
        </w:rPr>
        <w:footnoteReference w:id="667"/>
      </w:r>
      <w:r>
        <w:t xml:space="preserve"> </w:t>
      </w:r>
    </w:p>
    <w:p w14:paraId="45526D20" w14:textId="77777777" w:rsidR="001D525A" w:rsidRPr="001D525A" w:rsidRDefault="001D525A" w:rsidP="00762AE8">
      <w:pPr>
        <w:pStyle w:val="Heading4"/>
      </w:pPr>
      <w:r w:rsidRPr="001D525A">
        <w:t>Consultation</w:t>
      </w:r>
    </w:p>
    <w:p w14:paraId="06312BBC" w14:textId="76C1B826" w:rsidR="001D525A" w:rsidRPr="001D525A" w:rsidRDefault="001D525A" w:rsidP="00F54149">
      <w:pPr>
        <w:pStyle w:val="BodyText"/>
      </w:pPr>
      <w:r w:rsidRPr="001D525A">
        <w:t xml:space="preserve">Some submitters to our review said it is unclear how the residual category should be applied in practice and expressed concern </w:t>
      </w:r>
      <w:r w:rsidR="00A27B46">
        <w:t xml:space="preserve">that </w:t>
      </w:r>
      <w:r w:rsidRPr="001D525A">
        <w:t>there could be incongruous outcomes regarding which groups are protected.</w:t>
      </w:r>
      <w:r w:rsidRPr="001D525A">
        <w:rPr>
          <w:vertAlign w:val="superscript"/>
        </w:rPr>
        <w:footnoteReference w:id="668"/>
      </w:r>
      <w:r w:rsidRPr="001D525A">
        <w:t xml:space="preserve"> These submitters considered it problematic that some groups (such as paedophiles) could meet the threshold for protection even though society, in general, might consider they should not be protected by hate crime law. Some submitters said hate crime law </w:t>
      </w:r>
      <w:r w:rsidR="008F6594">
        <w:t>is</w:t>
      </w:r>
      <w:r w:rsidRPr="001D525A">
        <w:t xml:space="preserve"> not intended to protect socially deviant groups. Submitters that held these views sometimes referred to the New Zealand and NSW cases we had identified in the Consultation Paper. </w:t>
      </w:r>
    </w:p>
    <w:p w14:paraId="27678D3C" w14:textId="0826BEB5" w:rsidR="001D525A" w:rsidRPr="001D525A" w:rsidRDefault="001D525A" w:rsidP="00F54149">
      <w:pPr>
        <w:pStyle w:val="BodyText"/>
      </w:pPr>
      <w:r w:rsidRPr="001D525A">
        <w:t>Although several submitters expressed these general concerns, only two submitters suggested the aggravating factor should be amended to apply to a closed list of protected characteristics.</w:t>
      </w:r>
      <w:r w:rsidRPr="001D525A">
        <w:rPr>
          <w:vertAlign w:val="superscript"/>
        </w:rPr>
        <w:footnoteReference w:id="669"/>
      </w:r>
      <w:r w:rsidRPr="001D525A">
        <w:t xml:space="preserve"> Both considered this would ensure clarity </w:t>
      </w:r>
      <w:r w:rsidR="00F67AA2">
        <w:t>in</w:t>
      </w:r>
      <w:r w:rsidR="00F67AA2" w:rsidRPr="001D525A">
        <w:t xml:space="preserve"> </w:t>
      </w:r>
      <w:r w:rsidRPr="001D525A">
        <w:t>the criminal law. The Maxim Institute added that this approach would ensure the aggravating factor does not apply in situations where Parliament did not intend it to.</w:t>
      </w:r>
    </w:p>
    <w:p w14:paraId="4AA20AA4" w14:textId="4FDB39B2" w:rsidR="001D525A" w:rsidRPr="001D525A" w:rsidRDefault="001D525A" w:rsidP="00F54149">
      <w:pPr>
        <w:pStyle w:val="BodyText"/>
      </w:pPr>
      <w:r w:rsidRPr="001D525A">
        <w:t>Nine submitters expressed support for keeping an open list of characteristics with a residual category.</w:t>
      </w:r>
      <w:r w:rsidRPr="001D525A">
        <w:rPr>
          <w:vertAlign w:val="superscript"/>
        </w:rPr>
        <w:footnoteReference w:id="670"/>
      </w:r>
      <w:r w:rsidRPr="001D525A">
        <w:t xml:space="preserve"> They said this allows flexibility so other groups can be recognised in the future.</w:t>
      </w:r>
      <w:r w:rsidRPr="001D525A">
        <w:rPr>
          <w:vertAlign w:val="superscript"/>
        </w:rPr>
        <w:footnoteReference w:id="671"/>
      </w:r>
      <w:r w:rsidRPr="001D525A">
        <w:t xml:space="preserve"> </w:t>
      </w:r>
      <w:r w:rsidR="00042A82" w:rsidRPr="00530D57">
        <w:t>Te Kāhui Ture o Aotearoa | New Zealand Law Society</w:t>
      </w:r>
      <w:r w:rsidR="00042A82">
        <w:t xml:space="preserve"> </w:t>
      </w:r>
      <w:r w:rsidRPr="001D525A">
        <w:t xml:space="preserve">thought that a more restrictive approach may exclude certain groups that are deserving of protection. </w:t>
      </w:r>
      <w:r w:rsidR="00461712" w:rsidRPr="00400349">
        <w:rPr>
          <w:color w:val="auto"/>
        </w:rPr>
        <w:t xml:space="preserve">Te Kāhui o </w:t>
      </w:r>
      <w:r w:rsidR="00461712" w:rsidRPr="001D525A">
        <w:t>In</w:t>
      </w:r>
      <w:r w:rsidR="00461712">
        <w:rPr>
          <w:lang w:val="mi-NZ"/>
        </w:rPr>
        <w:t>ā</w:t>
      </w:r>
      <w:r w:rsidR="00461712" w:rsidRPr="001D525A">
        <w:t xml:space="preserve">ia Tonu Nei </w:t>
      </w:r>
      <w:r w:rsidR="00461712">
        <w:rPr>
          <w:color w:val="auto"/>
        </w:rPr>
        <w:t>Charitable Trust</w:t>
      </w:r>
      <w:r w:rsidRPr="001D525A">
        <w:t xml:space="preserve"> said the provision should be “flexible enough to ensure other groups may be included in the future” but also sufficiently specific to ensure those with transgender identity and variations in sex characteristics are legally recognised.</w:t>
      </w:r>
    </w:p>
    <w:p w14:paraId="457F193C" w14:textId="77777777" w:rsidR="001D525A" w:rsidRPr="001D525A" w:rsidRDefault="001D525A" w:rsidP="00342828">
      <w:pPr>
        <w:pStyle w:val="Heading4"/>
      </w:pPr>
      <w:r w:rsidRPr="001D525A">
        <w:t>Reform not recommended</w:t>
      </w:r>
    </w:p>
    <w:p w14:paraId="37F7DC9A" w14:textId="0DB0C054" w:rsidR="001D525A" w:rsidRPr="001D525A" w:rsidRDefault="001D525A" w:rsidP="00F54149">
      <w:pPr>
        <w:pStyle w:val="BodyText"/>
      </w:pPr>
      <w:r w:rsidRPr="001D525A">
        <w:t xml:space="preserve">We do not recommend reform </w:t>
      </w:r>
      <w:r w:rsidR="00CE6A31">
        <w:t>to adopt a closed list of protected characteristics</w:t>
      </w:r>
      <w:r w:rsidRPr="001D525A">
        <w:t xml:space="preserve"> for the following reasons. </w:t>
      </w:r>
    </w:p>
    <w:p w14:paraId="3AD6D690" w14:textId="21F87BFB" w:rsidR="001D525A" w:rsidRPr="001D525A" w:rsidRDefault="001D525A" w:rsidP="00F54149">
      <w:pPr>
        <w:pStyle w:val="BodyText"/>
      </w:pPr>
      <w:r w:rsidRPr="001D525A">
        <w:t xml:space="preserve">First, there was no real call for reform from submitters. </w:t>
      </w:r>
      <w:r w:rsidR="00846734">
        <w:t>O</w:t>
      </w:r>
      <w:r w:rsidRPr="001D525A">
        <w:t>nly two submitters said there should be a closed list.</w:t>
      </w:r>
    </w:p>
    <w:p w14:paraId="5EF22B40" w14:textId="54B91E74" w:rsidR="00B0105A" w:rsidRPr="002803B7" w:rsidRDefault="001D525A" w:rsidP="00F54149">
      <w:pPr>
        <w:pStyle w:val="BodyText"/>
      </w:pPr>
      <w:r w:rsidRPr="001D525A">
        <w:t xml:space="preserve">Second, although England and Wales </w:t>
      </w:r>
      <w:r w:rsidR="00B0105A" w:rsidRPr="002803B7">
        <w:t>and Northern Ireland</w:t>
      </w:r>
      <w:r w:rsidR="00B0105A">
        <w:t xml:space="preserve"> </w:t>
      </w:r>
      <w:r w:rsidR="00B0105A" w:rsidRPr="002803B7">
        <w:t>have sentencing provisions with closed lists of protected characteristics</w:t>
      </w:r>
      <w:r w:rsidRPr="001D525A">
        <w:t>,</w:t>
      </w:r>
      <w:r w:rsidR="000F0FB5" w:rsidRPr="001D525A">
        <w:rPr>
          <w:vertAlign w:val="superscript"/>
        </w:rPr>
        <w:footnoteReference w:id="672"/>
      </w:r>
      <w:r w:rsidRPr="001D525A">
        <w:t xml:space="preserve"> most of the jurisdictions we examined have open list</w:t>
      </w:r>
      <w:r w:rsidR="00301392">
        <w:t>s</w:t>
      </w:r>
      <w:r w:rsidRPr="001D525A">
        <w:t>.</w:t>
      </w:r>
      <w:r w:rsidR="00B0105A" w:rsidRPr="002803B7">
        <w:t xml:space="preserve"> Canada </w:t>
      </w:r>
      <w:r w:rsidR="00B0105A" w:rsidRPr="00FD46FE">
        <w:t>and three Australian jurisdictions</w:t>
      </w:r>
      <w:r w:rsidR="00B0105A" w:rsidRPr="002803B7">
        <w:t xml:space="preserve"> </w:t>
      </w:r>
      <w:r w:rsidR="00B0105A" w:rsidRPr="00FD46FE">
        <w:t>(</w:t>
      </w:r>
      <w:r w:rsidR="00B0105A" w:rsidRPr="002803B7">
        <w:t>NSW,</w:t>
      </w:r>
      <w:r w:rsidRPr="001D525A">
        <w:t xml:space="preserve"> South Australia</w:t>
      </w:r>
      <w:r w:rsidR="00B0105A" w:rsidRPr="002803B7">
        <w:t xml:space="preserve"> </w:t>
      </w:r>
      <w:r w:rsidR="00B0105A" w:rsidRPr="00FD46FE">
        <w:t>and Tasmania</w:t>
      </w:r>
      <w:r w:rsidR="00B0105A">
        <w:t>)</w:t>
      </w:r>
      <w:r w:rsidR="00B0105A" w:rsidRPr="00FD46FE">
        <w:t xml:space="preserve"> </w:t>
      </w:r>
      <w:r w:rsidR="00B0105A" w:rsidRPr="002803B7">
        <w:t>have sentencing provisions with an open list and a residual category.</w:t>
      </w:r>
      <w:r w:rsidRPr="001D525A">
        <w:rPr>
          <w:vertAlign w:val="superscript"/>
        </w:rPr>
        <w:footnoteReference w:id="673"/>
      </w:r>
      <w:r w:rsidR="00B0105A" w:rsidRPr="00FD46FE">
        <w:t xml:space="preserve"> </w:t>
      </w:r>
      <w:r w:rsidR="00B0105A" w:rsidRPr="002803B7">
        <w:t xml:space="preserve">Two </w:t>
      </w:r>
      <w:r w:rsidR="00B0105A">
        <w:t xml:space="preserve">other </w:t>
      </w:r>
      <w:r w:rsidR="00B0105A" w:rsidRPr="002803B7">
        <w:t>Australian jurisdictions (Victoria and Northern Territory) have sentencing provisions with a single open category (“a group of people”) and no illustrative list.</w:t>
      </w:r>
      <w:r w:rsidR="00B0105A" w:rsidRPr="002803B7">
        <w:rPr>
          <w:vertAlign w:val="superscript"/>
        </w:rPr>
        <w:footnoteReference w:id="674"/>
      </w:r>
    </w:p>
    <w:p w14:paraId="0B722765" w14:textId="6B45F991" w:rsidR="00B0105A" w:rsidRPr="00FD46FE" w:rsidRDefault="00B0105A" w:rsidP="00F54149">
      <w:pPr>
        <w:pStyle w:val="BodyText"/>
      </w:pPr>
      <w:r>
        <w:t>T</w:t>
      </w:r>
      <w:r w:rsidRPr="002803B7">
        <w:t xml:space="preserve">he recognition of paedophiles as a protected group by the courts in NSW (discussed above) led the NSW Law Reform Commission to recommend </w:t>
      </w:r>
      <w:r w:rsidR="0085381C">
        <w:t>adopting</w:t>
      </w:r>
      <w:r w:rsidRPr="002803B7">
        <w:t xml:space="preserve"> a closed list</w:t>
      </w:r>
      <w:r>
        <w:t xml:space="preserve"> but that recommendation has not been implemented</w:t>
      </w:r>
      <w:r w:rsidRPr="002803B7">
        <w:t>.</w:t>
      </w:r>
      <w:r w:rsidRPr="002803B7">
        <w:rPr>
          <w:vertAlign w:val="superscript"/>
        </w:rPr>
        <w:footnoteReference w:id="675"/>
      </w:r>
      <w:r w:rsidRPr="002803B7">
        <w:t xml:space="preserve"> In Tasmania, on the other hand, a recent review recommended moving from a closed list </w:t>
      </w:r>
      <w:r w:rsidR="001D525A" w:rsidRPr="001D525A">
        <w:t>to an open list</w:t>
      </w:r>
      <w:r w:rsidR="00C72277">
        <w:t>,</w:t>
      </w:r>
      <w:r w:rsidR="001D525A" w:rsidRPr="001D525A">
        <w:t xml:space="preserve"> and this was implemented in December 2025.</w:t>
      </w:r>
      <w:r w:rsidR="001D525A" w:rsidRPr="001D525A">
        <w:rPr>
          <w:vertAlign w:val="superscript"/>
        </w:rPr>
        <w:footnoteReference w:id="676"/>
      </w:r>
    </w:p>
    <w:p w14:paraId="355E0BCF" w14:textId="18CAC276" w:rsidR="001D525A" w:rsidRPr="001D525A" w:rsidRDefault="001D525A" w:rsidP="00F54149">
      <w:pPr>
        <w:pStyle w:val="BodyText"/>
      </w:pPr>
      <w:r w:rsidRPr="001D525A">
        <w:t xml:space="preserve">Third, there are clear benefits to having an open list and residual category. We agree with submitters who said an open list is more responsive to changing social context and </w:t>
      </w:r>
      <w:r w:rsidR="00EE385D">
        <w:t xml:space="preserve">more </w:t>
      </w:r>
      <w:r w:rsidRPr="001D525A">
        <w:t xml:space="preserve">consistent with the fact-specific nature of sentencing. It enables judges to recognise hostile motivation where it is appropriate to the case before them and to address </w:t>
      </w:r>
      <w:r w:rsidR="00BC647A">
        <w:t>evolving forms of hostility</w:t>
      </w:r>
      <w:r w:rsidRPr="001D525A">
        <w:t xml:space="preserve">. If a closed list were adopted, adding an additional characteristic would require political willpower and significant advocacy by a targeted group. Given targeted groups are likely to be marginalised, the task of pursuing recognition through legislative enactment would be especially challenging. Groups not mentioned in the illustrative list could also be targeted infrequently so may not attract legislative attention, yet recognition of hate crimes against them may still be consistent with the purposes of the aggravating factor. For example, as we discuss later, people with innate variations of sex characteristics may fall into this category. </w:t>
      </w:r>
    </w:p>
    <w:p w14:paraId="73F7CDED" w14:textId="13FDB614" w:rsidR="001D525A" w:rsidRPr="001D525A" w:rsidRDefault="001D525A" w:rsidP="00F54149">
      <w:pPr>
        <w:pStyle w:val="BodyText"/>
      </w:pPr>
      <w:r w:rsidRPr="001D525A">
        <w:t xml:space="preserve">Finally, we have not found evidence of any significant problem with the current operation of the law. Of the New Zealand cases discussed earlier, one </w:t>
      </w:r>
      <w:r w:rsidRPr="00B532FA">
        <w:t>(</w:t>
      </w:r>
      <w:r w:rsidRPr="001D525A">
        <w:rPr>
          <w:i/>
          <w:iCs/>
        </w:rPr>
        <w:t>Lawrence</w:t>
      </w:r>
      <w:r w:rsidRPr="00B532FA">
        <w:t>)</w:t>
      </w:r>
      <w:r w:rsidRPr="001D525A">
        <w:t xml:space="preserve"> was corrected on appeal. The other </w:t>
      </w:r>
      <w:r w:rsidRPr="00B532FA">
        <w:t>(</w:t>
      </w:r>
      <w:r w:rsidRPr="001D525A">
        <w:rPr>
          <w:i/>
          <w:iCs/>
        </w:rPr>
        <w:t>Pahau</w:t>
      </w:r>
      <w:r w:rsidRPr="00B532FA">
        <w:t>)</w:t>
      </w:r>
      <w:r w:rsidRPr="001D525A">
        <w:t xml:space="preserve"> dates from 2010</w:t>
      </w:r>
      <w:r w:rsidR="0055086B">
        <w:t>,</w:t>
      </w:r>
      <w:r w:rsidRPr="001D525A">
        <w:t xml:space="preserve"> and later cases have not followed </w:t>
      </w:r>
      <w:r w:rsidR="00AA4CD1">
        <w:t>the same</w:t>
      </w:r>
      <w:r w:rsidR="00AA4CD1" w:rsidRPr="001D525A">
        <w:t xml:space="preserve"> </w:t>
      </w:r>
      <w:r w:rsidRPr="001D525A">
        <w:t>approach. There is little to indicate that New Zealand courts will take an unduly wide view of the residual category in future.</w:t>
      </w:r>
    </w:p>
    <w:p w14:paraId="04A3F31D" w14:textId="77777777" w:rsidR="001D525A" w:rsidRPr="001D525A" w:rsidRDefault="001D525A" w:rsidP="00F54149">
      <w:pPr>
        <w:pStyle w:val="BodyText"/>
      </w:pPr>
      <w:r w:rsidRPr="001D525A">
        <w:t>Some submitters expressed particular concern about the approach of the NSW courts in recognising paedophiles as a protected group. As noted earlier, in NSW, the aggravating factor applies broadly to offences motivated by hatred for “a group of people”.</w:t>
      </w:r>
      <w:r w:rsidRPr="001D525A">
        <w:rPr>
          <w:vertAlign w:val="superscript"/>
        </w:rPr>
        <w:footnoteReference w:id="677"/>
      </w:r>
      <w:r w:rsidRPr="001D525A">
        <w:t xml:space="preserve"> There is no limiting language similar to the phrase “enduring common characteristic” in the New Zealand legislation. Even so, the NSW approach has been criticised for taking a literal construction without regard for the list of illustrative groups in the NSW legislation and extrinsic material.</w:t>
      </w:r>
      <w:r w:rsidRPr="001D525A">
        <w:rPr>
          <w:vertAlign w:val="superscript"/>
        </w:rPr>
        <w:footnoteReference w:id="678"/>
      </w:r>
      <w:r w:rsidRPr="001D525A">
        <w:t xml:space="preserve"> </w:t>
      </w:r>
    </w:p>
    <w:p w14:paraId="20B2564F" w14:textId="7556053C" w:rsidR="001D525A" w:rsidRPr="001D525A" w:rsidRDefault="001D525A" w:rsidP="00F54149">
      <w:pPr>
        <w:pStyle w:val="BodyText"/>
      </w:pPr>
      <w:r w:rsidRPr="001D525A">
        <w:t xml:space="preserve">We consider </w:t>
      </w:r>
      <w:r w:rsidR="006D75B5">
        <w:t>the</w:t>
      </w:r>
      <w:r w:rsidR="006D75B5" w:rsidRPr="001D525A">
        <w:t xml:space="preserve"> </w:t>
      </w:r>
      <w:r w:rsidRPr="001D525A">
        <w:t>New Zealand courts are highly unlikely to follow the lead of the NSW courts and extend protection to groups such as paedophiles.</w:t>
      </w:r>
      <w:r w:rsidRPr="001D525A">
        <w:rPr>
          <w:vertAlign w:val="superscript"/>
        </w:rPr>
        <w:footnoteReference w:id="679"/>
      </w:r>
      <w:r w:rsidRPr="001D525A">
        <w:t xml:space="preserve"> It is clear from both the legislative history of section 9(1)(h) and case law that the purpose of the aggravating factor is to respond to offending that undermines fundamental societal values.</w:t>
      </w:r>
      <w:r w:rsidRPr="001D525A">
        <w:rPr>
          <w:vertAlign w:val="superscript"/>
        </w:rPr>
        <w:footnoteReference w:id="680"/>
      </w:r>
      <w:r w:rsidRPr="001D525A">
        <w:t xml:space="preserve"> Applying the residual category to groups that cause harm to others or undermine important societal values would be inconsistent with that purpose.</w:t>
      </w:r>
    </w:p>
    <w:p w14:paraId="74A5E612" w14:textId="77777777" w:rsidR="00B0105A" w:rsidRPr="002803B7" w:rsidRDefault="00B0105A" w:rsidP="00B0105A">
      <w:pPr>
        <w:pStyle w:val="Heading3"/>
      </w:pPr>
      <w:r>
        <w:t>Protected characteristics and consistency with the Human Rights Act</w:t>
      </w:r>
    </w:p>
    <w:p w14:paraId="1B78246C" w14:textId="7905D97A" w:rsidR="001D525A" w:rsidRPr="001D525A" w:rsidRDefault="001D525A" w:rsidP="00CD116A">
      <w:pPr>
        <w:pStyle w:val="BodyText"/>
        <w:numPr>
          <w:ilvl w:val="1"/>
          <w:numId w:val="31"/>
        </w:numPr>
        <w:ind w:hanging="709"/>
      </w:pPr>
      <w:r w:rsidRPr="001D525A">
        <w:t xml:space="preserve">Although it </w:t>
      </w:r>
      <w:r w:rsidR="00784F1F">
        <w:t>is</w:t>
      </w:r>
      <w:r w:rsidR="00784F1F" w:rsidRPr="001D525A">
        <w:t xml:space="preserve"> </w:t>
      </w:r>
      <w:r w:rsidRPr="001D525A">
        <w:t xml:space="preserve">not an issue on which we specifically sought feedback, a few submitters raised the possibility of aligning the list of characteristics in section 9(1)(h) with the prohibited grounds of discrimination in section 21 of the Human Rights Act. The Human Rights Act contains a closed list of </w:t>
      </w:r>
      <w:r w:rsidR="00E626EC">
        <w:t>13</w:t>
      </w:r>
      <w:r w:rsidRPr="001D525A">
        <w:t xml:space="preserve"> prohibited grounds. Although there is substantial cross-over with the eight examples of ‘enduring common characteristics’ in section 9(1)(h), the two lists do not align fully.</w:t>
      </w:r>
    </w:p>
    <w:p w14:paraId="6B19FBA7" w14:textId="3197C476" w:rsidR="001D525A" w:rsidRPr="001D525A" w:rsidRDefault="001D525A" w:rsidP="00F54149">
      <w:pPr>
        <w:pStyle w:val="BodyText"/>
      </w:pPr>
      <w:r w:rsidRPr="001D525A">
        <w:t>Whether there should be better alignment between the two lists could be considered as part of a</w:t>
      </w:r>
      <w:r w:rsidR="00F324F6">
        <w:t>ny future</w:t>
      </w:r>
      <w:r w:rsidRPr="001D525A">
        <w:t xml:space="preserve"> comprehensive review of New Zealand hate crime law.</w:t>
      </w:r>
      <w:r w:rsidRPr="001D525A">
        <w:rPr>
          <w:vertAlign w:val="superscript"/>
        </w:rPr>
        <w:footnoteReference w:id="681"/>
      </w:r>
      <w:r w:rsidRPr="001D525A">
        <w:t xml:space="preserve"> In the context of this more limited review, it would not be appropriate to substitute the existing illustrative list of protected characteristics in section 9(1)(h) with the list in the Human Rights Act for the following reasons. </w:t>
      </w:r>
    </w:p>
    <w:p w14:paraId="5ED82D41" w14:textId="77777777" w:rsidR="001D525A" w:rsidRPr="001D525A" w:rsidRDefault="001D525A" w:rsidP="00F54149">
      <w:pPr>
        <w:pStyle w:val="BodyText"/>
      </w:pPr>
      <w:r w:rsidRPr="001D525A">
        <w:t xml:space="preserve">First, it was not a matter on which we specifically sought feedback and therefore we cannot be satisfied that we heard a full range of views on the issue. </w:t>
      </w:r>
    </w:p>
    <w:p w14:paraId="264CEC8F" w14:textId="77777777" w:rsidR="001D525A" w:rsidRPr="001D525A" w:rsidRDefault="001D525A" w:rsidP="00F54149">
      <w:pPr>
        <w:pStyle w:val="BodyText"/>
      </w:pPr>
      <w:r w:rsidRPr="001D525A">
        <w:t>Second, although a few submitters raised the general possibility of aligning the two lists, there was minimal discussion of why specific grounds in the Human Rights Act not currently protected by hate crime law should be included. Conversely, during the limited consultation that we undertook on this issue once it had been raised with us, several people pointed to grounds of discrimination in the Human Rights Act (such as marital status or employment status) that they did not consider were immediately relevant to hate crime law.</w:t>
      </w:r>
    </w:p>
    <w:p w14:paraId="701BEA89" w14:textId="77777777" w:rsidR="001D525A" w:rsidRPr="001D525A" w:rsidRDefault="001D525A" w:rsidP="00F54149">
      <w:pPr>
        <w:pStyle w:val="BodyText"/>
      </w:pPr>
      <w:r w:rsidRPr="001D525A">
        <w:t>Third, while there is significant crossover in the explanations that are given for singling out groups for protection from hate crime and from discrimination, respectively,</w:t>
      </w:r>
      <w:r w:rsidRPr="001D525A">
        <w:rPr>
          <w:vertAlign w:val="superscript"/>
        </w:rPr>
        <w:footnoteReference w:id="682"/>
      </w:r>
      <w:r w:rsidRPr="001D525A">
        <w:t xml:space="preserve"> the focus of each body of law is different. Discrimination law focuses not on criminal conduct but on the effect on an individual of being treated differently in a range of environments like employment, education and other areas of service provision.</w:t>
      </w:r>
    </w:p>
    <w:p w14:paraId="7A0179A2" w14:textId="787C3159" w:rsidR="001D525A" w:rsidRPr="001D525A" w:rsidRDefault="001D525A" w:rsidP="00F54149">
      <w:pPr>
        <w:pStyle w:val="BodyText"/>
      </w:pPr>
      <w:r w:rsidRPr="001D525A">
        <w:t xml:space="preserve">Fourth, the list of prohibited grounds in section 21 of the Human Rights Act is </w:t>
      </w:r>
      <w:r w:rsidR="00B263B5">
        <w:t>closed</w:t>
      </w:r>
      <w:r w:rsidR="00B263B5" w:rsidRPr="001D525A">
        <w:t xml:space="preserve"> </w:t>
      </w:r>
      <w:r w:rsidRPr="001D525A">
        <w:t xml:space="preserve">rather than </w:t>
      </w:r>
      <w:r w:rsidR="00B263B5">
        <w:t>open</w:t>
      </w:r>
      <w:r w:rsidRPr="001D525A">
        <w:t xml:space="preserve">. There is no residual category. By contrast, listing every characteristic that could potentially qualify for protection under section 9(1)(h) is unnecessary </w:t>
      </w:r>
      <w:r w:rsidR="00ED7B22">
        <w:t>as</w:t>
      </w:r>
      <w:r w:rsidRPr="001D525A">
        <w:t xml:space="preserve"> we do not recommend removing the residual category. </w:t>
      </w:r>
    </w:p>
    <w:p w14:paraId="25A44366" w14:textId="4D84EBDD" w:rsidR="001D525A" w:rsidRPr="001D525A" w:rsidRDefault="001D525A" w:rsidP="00F54149">
      <w:pPr>
        <w:pStyle w:val="BodyText"/>
      </w:pPr>
      <w:r w:rsidRPr="001D525A">
        <w:t>In sum, we have not found evidence of any problem with the operation of the</w:t>
      </w:r>
      <w:r w:rsidR="00367D02">
        <w:t xml:space="preserve"> current</w:t>
      </w:r>
      <w:r w:rsidRPr="001D525A">
        <w:t xml:space="preserve"> law that </w:t>
      </w:r>
      <w:r w:rsidR="007F74A1">
        <w:t>suggests</w:t>
      </w:r>
      <w:r w:rsidR="006C3903">
        <w:t xml:space="preserve"> align</w:t>
      </w:r>
      <w:r w:rsidR="007579E2">
        <w:t xml:space="preserve">ing the protected characteristics in section 9(1)(h) with the prohibited grounds of discrimination in the Human Rights Act is </w:t>
      </w:r>
      <w:r w:rsidR="00B66027">
        <w:t>appropriate</w:t>
      </w:r>
      <w:r w:rsidR="00CD56DA">
        <w:t xml:space="preserve"> </w:t>
      </w:r>
      <w:r w:rsidRPr="001D525A">
        <w:t>as part of this review.</w:t>
      </w:r>
    </w:p>
    <w:p w14:paraId="29BA6A29" w14:textId="77777777" w:rsidR="001D525A" w:rsidRPr="001D525A" w:rsidRDefault="001D525A" w:rsidP="00342828">
      <w:pPr>
        <w:pStyle w:val="Heading3"/>
      </w:pPr>
      <w:r w:rsidRPr="001D525A">
        <w:t xml:space="preserve">The term ‘enduring common characteristic’ </w:t>
      </w:r>
    </w:p>
    <w:p w14:paraId="6F877305" w14:textId="25CE0AC4" w:rsidR="001D525A" w:rsidRPr="001D525A" w:rsidRDefault="001D525A" w:rsidP="00F54149">
      <w:pPr>
        <w:pStyle w:val="BodyText"/>
      </w:pPr>
      <w:r w:rsidRPr="001D525A">
        <w:t xml:space="preserve">As we have explained, section 9(1)(h) applies to hostility directed at people with an ‘enduring common characteristic’ and </w:t>
      </w:r>
      <w:r w:rsidR="004D1180">
        <w:t>provides an</w:t>
      </w:r>
      <w:r w:rsidRPr="001D525A">
        <w:t xml:space="preserve"> illustrative </w:t>
      </w:r>
      <w:r w:rsidR="004D1180">
        <w:t>list</w:t>
      </w:r>
      <w:r w:rsidRPr="001D525A">
        <w:t>. In our Consultation Paper, we sought feedback on the use of the word ‘enduring’ in this context.</w:t>
      </w:r>
      <w:r w:rsidRPr="001D525A">
        <w:rPr>
          <w:vertAlign w:val="superscript"/>
        </w:rPr>
        <w:footnoteReference w:id="683"/>
      </w:r>
      <w:r w:rsidRPr="001D525A">
        <w:t xml:space="preserve"> We pointed to a decision in which the High Court described some characteristics in the illustrative list as “changeable and impermanent”</w:t>
      </w:r>
      <w:r w:rsidRPr="001D525A">
        <w:rPr>
          <w:vertAlign w:val="superscript"/>
        </w:rPr>
        <w:footnoteReference w:id="684"/>
      </w:r>
      <w:r w:rsidRPr="001D525A">
        <w:t xml:space="preserve"> and we queried whether the term ‘enduring’ was therefore unsuitable. </w:t>
      </w:r>
    </w:p>
    <w:p w14:paraId="3A5475A3" w14:textId="6C7FCDDA" w:rsidR="001D525A" w:rsidRPr="001D525A" w:rsidRDefault="001D525A" w:rsidP="00F54149">
      <w:pPr>
        <w:pStyle w:val="BodyText"/>
      </w:pPr>
      <w:r w:rsidRPr="001D525A">
        <w:t>The reference to ‘enduring’ characteristics does not appear in equivalent legislation in other jurisdictions. For example, as noted earlier, the aggravating factors in some Australian jurisdictions apply to hatred</w:t>
      </w:r>
      <w:r w:rsidRPr="001D525A" w:rsidDel="005F5CA7">
        <w:t xml:space="preserve"> </w:t>
      </w:r>
      <w:r w:rsidRPr="001D525A">
        <w:t>toward</w:t>
      </w:r>
      <w:r w:rsidR="00E80DA7">
        <w:t>s</w:t>
      </w:r>
      <w:r w:rsidRPr="001D525A">
        <w:t xml:space="preserve"> any “group of people” </w:t>
      </w:r>
      <w:r w:rsidR="0075392C">
        <w:t>without</w:t>
      </w:r>
      <w:r w:rsidRPr="001D525A">
        <w:t xml:space="preserve"> further qualification.</w:t>
      </w:r>
      <w:r w:rsidRPr="001D525A">
        <w:rPr>
          <w:vertAlign w:val="superscript"/>
        </w:rPr>
        <w:footnoteReference w:id="685"/>
      </w:r>
      <w:r w:rsidRPr="001D525A">
        <w:t xml:space="preserve"> Other Australian jurisdictions refer to any “group of people with common characteristics”.</w:t>
      </w:r>
      <w:r w:rsidRPr="001D525A">
        <w:rPr>
          <w:vertAlign w:val="superscript"/>
        </w:rPr>
        <w:footnoteReference w:id="686"/>
      </w:r>
      <w:r w:rsidRPr="001D525A">
        <w:t xml:space="preserve"> In Canada, the aggravating factor applies to hate based on listed characteristics “or any other similar factor”.</w:t>
      </w:r>
      <w:r w:rsidRPr="001D525A">
        <w:rPr>
          <w:vertAlign w:val="superscript"/>
        </w:rPr>
        <w:footnoteReference w:id="687"/>
      </w:r>
    </w:p>
    <w:p w14:paraId="5531BA91" w14:textId="77777777" w:rsidR="00B0105A" w:rsidRPr="00FD46FE" w:rsidRDefault="00B0105A" w:rsidP="00B0105A">
      <w:pPr>
        <w:pStyle w:val="Heading4"/>
      </w:pPr>
      <w:r w:rsidRPr="00FD46FE">
        <w:t>Consultation</w:t>
      </w:r>
    </w:p>
    <w:p w14:paraId="6FCF2A09" w14:textId="49D2C839" w:rsidR="001D525A" w:rsidRPr="001D525A" w:rsidRDefault="001D525A" w:rsidP="00F54149">
      <w:pPr>
        <w:pStyle w:val="BodyText"/>
      </w:pPr>
      <w:r w:rsidRPr="001D525A">
        <w:t>Some submitters said the term ‘enduring common characteristic’ is unclear</w:t>
      </w:r>
      <w:r w:rsidRPr="001D525A">
        <w:rPr>
          <w:vertAlign w:val="superscript"/>
        </w:rPr>
        <w:footnoteReference w:id="688"/>
      </w:r>
      <w:r w:rsidRPr="001D525A">
        <w:t xml:space="preserve"> or that the term seems anomalous </w:t>
      </w:r>
      <w:r w:rsidR="004C62E0">
        <w:t>as</w:t>
      </w:r>
      <w:r w:rsidRPr="001D525A">
        <w:t xml:space="preserve"> some of the listed characteristics may be amenable to change.</w:t>
      </w:r>
      <w:r w:rsidRPr="001D525A">
        <w:rPr>
          <w:vertAlign w:val="superscript"/>
        </w:rPr>
        <w:footnoteReference w:id="689"/>
      </w:r>
      <w:r w:rsidRPr="001D525A">
        <w:t xml:space="preserve"> The New Zealand Law Society said the existing wording could be plainer but was not convinced it is unclear. The Society noted that usually an unclear term would be defined in legislation but that there is difficulty “formulating a provision that provides sufficient protection for groups that are victims of hate crime, while remaining grounded in the rights-based justification for the legislation”. It did not favour replacing ‘enduring common characteristic’ with other language if an open list was retained. </w:t>
      </w:r>
    </w:p>
    <w:p w14:paraId="798C818B" w14:textId="07DA59B7" w:rsidR="001D525A" w:rsidRPr="001D525A" w:rsidRDefault="001D525A" w:rsidP="00F54149">
      <w:pPr>
        <w:pStyle w:val="BodyText"/>
      </w:pPr>
      <w:r w:rsidRPr="001D525A">
        <w:t xml:space="preserve">In contrast, </w:t>
      </w:r>
      <w:r w:rsidR="00773724" w:rsidRPr="00530D57">
        <w:t>Te Tari Ture o te Karauna | Crown Law</w:t>
      </w:r>
      <w:r w:rsidRPr="001D525A">
        <w:t xml:space="preserve"> suggested the description used in Australian jurisdictions of a “group of people with common characteristics” is preferable. </w:t>
      </w:r>
    </w:p>
    <w:p w14:paraId="1E52AF74" w14:textId="77777777" w:rsidR="00B0105A" w:rsidRPr="00FD46FE" w:rsidRDefault="00B0105A" w:rsidP="00B0105A">
      <w:pPr>
        <w:pStyle w:val="Heading4"/>
      </w:pPr>
      <w:r>
        <w:t xml:space="preserve">Reform not recommended </w:t>
      </w:r>
    </w:p>
    <w:p w14:paraId="6521B5A7" w14:textId="02EB0339" w:rsidR="00B0105A" w:rsidRPr="002803B7" w:rsidRDefault="00B0105A" w:rsidP="00F54149">
      <w:pPr>
        <w:pStyle w:val="BodyText"/>
      </w:pPr>
      <w:r w:rsidRPr="002803B7">
        <w:t xml:space="preserve">We </w:t>
      </w:r>
      <w:r>
        <w:t>do not recommend</w:t>
      </w:r>
      <w:r w:rsidRPr="002803B7">
        <w:t xml:space="preserve"> </w:t>
      </w:r>
      <w:r>
        <w:t xml:space="preserve">amending </w:t>
      </w:r>
      <w:r w:rsidRPr="002803B7">
        <w:t>section 9(1)(h)</w:t>
      </w:r>
      <w:r>
        <w:t xml:space="preserve"> to remove the word ‘enduring’</w:t>
      </w:r>
      <w:r w:rsidR="001D525A" w:rsidRPr="001D525A">
        <w:t xml:space="preserve">. </w:t>
      </w:r>
      <w:r w:rsidR="00A7030D">
        <w:t xml:space="preserve">We </w:t>
      </w:r>
      <w:r w:rsidR="001D525A" w:rsidRPr="001D525A">
        <w:t xml:space="preserve">have not found evidence of a significant </w:t>
      </w:r>
      <w:r>
        <w:t xml:space="preserve">problem in practice resulting from </w:t>
      </w:r>
      <w:r w:rsidR="001D525A" w:rsidRPr="001D525A">
        <w:t>it.</w:t>
      </w:r>
      <w:r>
        <w:t xml:space="preserve"> </w:t>
      </w:r>
    </w:p>
    <w:p w14:paraId="5942B091" w14:textId="5B6B262C" w:rsidR="00B0105A" w:rsidRDefault="00B0105A" w:rsidP="00F54149">
      <w:pPr>
        <w:pStyle w:val="BodyText"/>
      </w:pPr>
      <w:r>
        <w:t>We accept that, read strictly and i</w:t>
      </w:r>
      <w:r w:rsidRPr="002803B7">
        <w:t xml:space="preserve">n </w:t>
      </w:r>
      <w:r>
        <w:t>isolation, the word ‘enduring’ could be understood to mean that</w:t>
      </w:r>
      <w:r w:rsidRPr="002803B7">
        <w:t xml:space="preserve"> protected characteristics </w:t>
      </w:r>
      <w:r>
        <w:t xml:space="preserve">must be immutable or unchanging. Read in that way, it could </w:t>
      </w:r>
      <w:r w:rsidRPr="002803B7">
        <w:t xml:space="preserve">limit the kinds of characteristics that can be recognised under the residual category. </w:t>
      </w:r>
      <w:r w:rsidR="001D525A" w:rsidRPr="001D525A">
        <w:t>In our view, protected characteristics need not be immutable or unchanging. Some characteristics that can be changeable such as religion nonetheless act as markers of group identity</w:t>
      </w:r>
      <w:r w:rsidR="001D525A" w:rsidRPr="001D525A">
        <w:rPr>
          <w:vertAlign w:val="superscript"/>
        </w:rPr>
        <w:footnoteReference w:id="690"/>
      </w:r>
      <w:r w:rsidR="001D525A" w:rsidRPr="001D525A">
        <w:t xml:space="preserve"> and hostility towards people on that basis undermines values of tolerance and respect for difference</w:t>
      </w:r>
      <w:r w:rsidRPr="008276FB">
        <w:t>.</w:t>
      </w:r>
      <w:r>
        <w:t xml:space="preserve"> </w:t>
      </w:r>
    </w:p>
    <w:p w14:paraId="6E7C8FE7" w14:textId="76D9CDA9" w:rsidR="001D525A" w:rsidRPr="001D525A" w:rsidRDefault="001D525A" w:rsidP="00F54149">
      <w:pPr>
        <w:pStyle w:val="BodyText"/>
      </w:pPr>
      <w:r w:rsidRPr="001D525A">
        <w:t xml:space="preserve">However, the word ‘enduring’ can also be read more broadly to mean </w:t>
      </w:r>
      <w:r w:rsidR="00E83D66">
        <w:t>lasting or durable</w:t>
      </w:r>
      <w:r w:rsidR="009145FD">
        <w:t xml:space="preserve"> rather than</w:t>
      </w:r>
      <w:r w:rsidRPr="001D525A">
        <w:t xml:space="preserve"> a passing preference. We </w:t>
      </w:r>
      <w:r w:rsidR="00F76601">
        <w:t>consider</w:t>
      </w:r>
      <w:r w:rsidRPr="001D525A">
        <w:t xml:space="preserve"> this is the correct and intended interpretation when ‘enduring’ is read in the context of the illustrative list of characteristics. It captures the idea discussed earlier that hate crime law aim</w:t>
      </w:r>
      <w:r w:rsidR="008F6594">
        <w:t>s</w:t>
      </w:r>
      <w:r w:rsidRPr="001D525A">
        <w:t xml:space="preserve"> to protect markers of group identity that it would be unreasonable or oppressive to expect people to change. This interpretation is available on the current wording of the provision, and we found nothing to suggest the courts </w:t>
      </w:r>
      <w:r w:rsidR="004E5F64">
        <w:t>are likely to</w:t>
      </w:r>
      <w:r w:rsidR="004E5F64" w:rsidRPr="001D525A">
        <w:t xml:space="preserve"> </w:t>
      </w:r>
      <w:r w:rsidRPr="001D525A">
        <w:t xml:space="preserve">take a different approach. </w:t>
      </w:r>
    </w:p>
    <w:p w14:paraId="3BA979F8" w14:textId="20586079" w:rsidR="001D525A" w:rsidRPr="001D525A" w:rsidRDefault="001D525A" w:rsidP="00281692">
      <w:pPr>
        <w:pStyle w:val="BodyText"/>
      </w:pPr>
      <w:r w:rsidRPr="001D525A">
        <w:t>As noted earlier, the term ‘enduring common characteristic’ is likely doing some important work to ensure that section 9(1)(h) is not applied to any common characteristic, no matter how undeserving. Whether ‘enduring’ is the most apposite term could usefully be revisited as part of a</w:t>
      </w:r>
      <w:r w:rsidR="0063347C">
        <w:t>ny future comprehensive</w:t>
      </w:r>
      <w:r w:rsidRPr="001D525A">
        <w:t xml:space="preserve"> review of hate crime law. We do not consider there is sufficient evidence of a current problem to recommend reform as part of this more limited review. Further, as the New Zealand Law Society noted in </w:t>
      </w:r>
      <w:r w:rsidR="00921059">
        <w:t>its</w:t>
      </w:r>
      <w:r w:rsidR="00921059" w:rsidRPr="001D525A">
        <w:t xml:space="preserve"> </w:t>
      </w:r>
      <w:r w:rsidRPr="001D525A">
        <w:t xml:space="preserve">submission, there is a challenge in formulating an alternative that extends sufficient protection while retaining a clear link to the underlying purposes of hate crime law. </w:t>
      </w:r>
    </w:p>
    <w:p w14:paraId="6FB8EC0B" w14:textId="77777777" w:rsidR="001D525A" w:rsidRPr="001D525A" w:rsidRDefault="001D525A" w:rsidP="00342828">
      <w:pPr>
        <w:pStyle w:val="Heading3"/>
      </w:pPr>
      <w:r w:rsidRPr="001D525A">
        <w:t>Including sex in the illustrative list</w:t>
      </w:r>
    </w:p>
    <w:p w14:paraId="244450BE" w14:textId="77777777" w:rsidR="00B0105A" w:rsidRPr="002803B7" w:rsidRDefault="00B0105A" w:rsidP="00C3676D">
      <w:pPr>
        <w:pStyle w:val="BodyText"/>
      </w:pPr>
      <w:r>
        <w:t xml:space="preserve">During preliminary engagement, some people asked us to consider whether ‘sex’ should be added to the illustrative list of characteristics in section 9(1)(h). Currently, the list includes ‘gender identity’ but not sex or gender. </w:t>
      </w:r>
      <w:r w:rsidRPr="002803B7">
        <w:t>In our Consultation Paper</w:t>
      </w:r>
      <w:r>
        <w:t>,</w:t>
      </w:r>
      <w:r w:rsidRPr="002803B7">
        <w:t xml:space="preserve"> </w:t>
      </w:r>
      <w:r>
        <w:t>w</w:t>
      </w:r>
      <w:r w:rsidRPr="002803B7">
        <w:t xml:space="preserve">e observed </w:t>
      </w:r>
      <w:r w:rsidRPr="002803B7" w:rsidDel="00DF3481">
        <w:t xml:space="preserve">that </w:t>
      </w:r>
      <w:r w:rsidRPr="002803B7">
        <w:t>there are varying views about whether it is appropriate to treat offending motivated by misogyny as a hate crime.</w:t>
      </w:r>
      <w:r w:rsidRPr="001D525A">
        <w:rPr>
          <w:vertAlign w:val="superscript"/>
        </w:rPr>
        <w:footnoteReference w:id="691"/>
      </w:r>
      <w:r w:rsidRPr="002803B7">
        <w:t xml:space="preserve"> </w:t>
      </w:r>
      <w:r>
        <w:t>We sought submitters’ views.</w:t>
      </w:r>
    </w:p>
    <w:p w14:paraId="6BDA4E7B" w14:textId="77777777" w:rsidR="001D525A" w:rsidRPr="001D525A" w:rsidRDefault="001D525A" w:rsidP="00342828">
      <w:pPr>
        <w:pStyle w:val="Heading4"/>
      </w:pPr>
      <w:r w:rsidRPr="001D525A">
        <w:t>Consultation</w:t>
      </w:r>
    </w:p>
    <w:p w14:paraId="3101AD23" w14:textId="501EC12A" w:rsidR="00B0105A" w:rsidRPr="002803B7" w:rsidRDefault="00B0105A" w:rsidP="00C3676D">
      <w:pPr>
        <w:pStyle w:val="BodyText"/>
      </w:pPr>
      <w:r w:rsidRPr="002803B7">
        <w:t xml:space="preserve">Nine submitters said </w:t>
      </w:r>
      <w:r>
        <w:t>‘</w:t>
      </w:r>
      <w:r w:rsidRPr="002803B7">
        <w:t>sex</w:t>
      </w:r>
      <w:r>
        <w:t>’</w:t>
      </w:r>
      <w:r w:rsidRPr="002803B7">
        <w:t xml:space="preserve"> should be </w:t>
      </w:r>
      <w:r>
        <w:t xml:space="preserve">included as </w:t>
      </w:r>
      <w:r w:rsidRPr="002803B7">
        <w:t xml:space="preserve">a </w:t>
      </w:r>
      <w:r w:rsidR="00174A70">
        <w:t xml:space="preserve">listed </w:t>
      </w:r>
      <w:r w:rsidRPr="002803B7">
        <w:t>protected characteristic.</w:t>
      </w:r>
      <w:r w:rsidRPr="002803B7">
        <w:rPr>
          <w:vertAlign w:val="superscript"/>
        </w:rPr>
        <w:footnoteReference w:id="692"/>
      </w:r>
      <w:r w:rsidRPr="002803B7">
        <w:t xml:space="preserve"> Submitters said this would recognise that offences committed because of hostility toward</w:t>
      </w:r>
      <w:r w:rsidR="00E80DA7">
        <w:t>s</w:t>
      </w:r>
      <w:r w:rsidRPr="002803B7">
        <w:t xml:space="preserve"> women </w:t>
      </w:r>
      <w:r>
        <w:t>are worthy of</w:t>
      </w:r>
      <w:r w:rsidRPr="002803B7">
        <w:t xml:space="preserve"> condemnation, denunciation and deterrence. They </w:t>
      </w:r>
      <w:r w:rsidR="008F6730">
        <w:t>gave the following reasons</w:t>
      </w:r>
      <w:r w:rsidRPr="002803B7">
        <w:t>:</w:t>
      </w:r>
    </w:p>
    <w:p w14:paraId="285BD349" w14:textId="3D146392" w:rsidR="00B0105A" w:rsidRPr="002803B7" w:rsidRDefault="00B0105A" w:rsidP="00D8103B">
      <w:pPr>
        <w:pStyle w:val="BodyText"/>
        <w:numPr>
          <w:ilvl w:val="3"/>
          <w:numId w:val="48"/>
        </w:numPr>
      </w:pPr>
      <w:r w:rsidRPr="002803B7">
        <w:t xml:space="preserve">It sends the wrong message to exclude sex as a </w:t>
      </w:r>
      <w:r w:rsidR="00174A70">
        <w:t xml:space="preserve">listed </w:t>
      </w:r>
      <w:r w:rsidRPr="002803B7">
        <w:t>protected characteristic and it can be overlooked by courts because it is not listed.</w:t>
      </w:r>
      <w:r w:rsidRPr="002803B7">
        <w:rPr>
          <w:vertAlign w:val="superscript"/>
        </w:rPr>
        <w:footnoteReference w:id="693"/>
      </w:r>
    </w:p>
    <w:p w14:paraId="65C55A81" w14:textId="77777777" w:rsidR="00B0105A" w:rsidRPr="002803B7" w:rsidRDefault="00B0105A" w:rsidP="00D8103B">
      <w:pPr>
        <w:pStyle w:val="BodyText"/>
        <w:numPr>
          <w:ilvl w:val="3"/>
          <w:numId w:val="48"/>
        </w:numPr>
      </w:pPr>
      <w:r w:rsidRPr="002803B7">
        <w:t>Misogyny is an issue in Aotearoa New Zealand</w:t>
      </w:r>
      <w:r w:rsidRPr="002803B7">
        <w:rPr>
          <w:vertAlign w:val="superscript"/>
        </w:rPr>
        <w:footnoteReference w:id="694"/>
      </w:r>
      <w:r w:rsidRPr="002803B7">
        <w:t xml:space="preserve"> and should be properly denounced.</w:t>
      </w:r>
      <w:r w:rsidRPr="002803B7">
        <w:rPr>
          <w:vertAlign w:val="superscript"/>
        </w:rPr>
        <w:footnoteReference w:id="695"/>
      </w:r>
      <w:r w:rsidRPr="002803B7">
        <w:t xml:space="preserve"> </w:t>
      </w:r>
    </w:p>
    <w:p w14:paraId="5F2DEF89" w14:textId="507F4EF9" w:rsidR="00B0105A" w:rsidRPr="002803B7" w:rsidRDefault="00B0105A" w:rsidP="00D8103B">
      <w:pPr>
        <w:pStyle w:val="BodyText"/>
        <w:numPr>
          <w:ilvl w:val="3"/>
          <w:numId w:val="48"/>
        </w:numPr>
      </w:pPr>
      <w:r w:rsidRPr="002803B7">
        <w:t>Research shows protection from gender-based violence is required.</w:t>
      </w:r>
      <w:r w:rsidRPr="002803B7">
        <w:rPr>
          <w:vertAlign w:val="superscript"/>
        </w:rPr>
        <w:footnoteReference w:id="696"/>
      </w:r>
      <w:r w:rsidRPr="002803B7">
        <w:t xml:space="preserve"> Sex-based violence is not taken seriously enough.</w:t>
      </w:r>
      <w:r w:rsidRPr="002803B7">
        <w:rPr>
          <w:vertAlign w:val="superscript"/>
        </w:rPr>
        <w:footnoteReference w:id="697"/>
      </w:r>
    </w:p>
    <w:p w14:paraId="004B5176" w14:textId="77777777" w:rsidR="001D525A" w:rsidRPr="001D525A" w:rsidRDefault="001D525A" w:rsidP="00D8103B">
      <w:pPr>
        <w:pStyle w:val="BodyText"/>
        <w:numPr>
          <w:ilvl w:val="3"/>
          <w:numId w:val="48"/>
        </w:numPr>
      </w:pPr>
      <w:r w:rsidRPr="001D525A">
        <w:t>Publicity around the addition of sex to the list of aggravating factors will help educate the public about misogyny and crimes against women.</w:t>
      </w:r>
      <w:r w:rsidRPr="001D525A">
        <w:rPr>
          <w:vertAlign w:val="superscript"/>
        </w:rPr>
        <w:footnoteReference w:id="698"/>
      </w:r>
    </w:p>
    <w:p w14:paraId="6480C48D" w14:textId="7C9F9D7E" w:rsidR="001D525A" w:rsidRPr="001D525A" w:rsidRDefault="009F0FF4" w:rsidP="00C3676D">
      <w:pPr>
        <w:pStyle w:val="BodyText"/>
      </w:pPr>
      <w:r w:rsidRPr="001D525A">
        <w:t>The New Zealand Law Society</w:t>
      </w:r>
      <w:r w:rsidR="002D7DED">
        <w:t>,</w:t>
      </w:r>
      <w:r w:rsidRPr="001D525A">
        <w:t xml:space="preserve"> </w:t>
      </w:r>
      <w:r>
        <w:t>Public Defence Service</w:t>
      </w:r>
      <w:r w:rsidR="002D7DED">
        <w:t xml:space="preserve"> and Luke Cunningham Clere</w:t>
      </w:r>
      <w:r>
        <w:t xml:space="preserve"> </w:t>
      </w:r>
      <w:r w:rsidR="001D525A" w:rsidRPr="001D525A">
        <w:t xml:space="preserve">did not take a position on </w:t>
      </w:r>
      <w:r w:rsidR="00F53E98">
        <w:t>whether ‘sex’ should be added to the illustrative list</w:t>
      </w:r>
      <w:r w:rsidR="001D525A" w:rsidRPr="001D525A">
        <w:t xml:space="preserve"> but commented generally </w:t>
      </w:r>
      <w:r w:rsidR="009021D6">
        <w:t>on</w:t>
      </w:r>
      <w:r w:rsidR="009021D6" w:rsidRPr="001D525A">
        <w:t xml:space="preserve"> </w:t>
      </w:r>
      <w:r w:rsidR="001D525A" w:rsidRPr="001D525A">
        <w:t>the level of hostility towards women or misogynistic motivation and its connection to hate crime.</w:t>
      </w:r>
    </w:p>
    <w:p w14:paraId="3B014744" w14:textId="06BD6764" w:rsidR="00B0105A" w:rsidRPr="002803B7" w:rsidRDefault="00B0105A" w:rsidP="00C3676D">
      <w:pPr>
        <w:pStyle w:val="BodyText"/>
      </w:pPr>
      <w:r>
        <w:t>No submitter</w:t>
      </w:r>
      <w:r w:rsidR="00750E8F">
        <w:t>s</w:t>
      </w:r>
      <w:r>
        <w:t xml:space="preserve"> opposed sex being added to the illustrative list of characteristics in section</w:t>
      </w:r>
      <w:r w:rsidR="00692607">
        <w:rPr>
          <w:rFonts w:ascii="Calibri" w:hAnsi="Calibri" w:cs="Calibri"/>
        </w:rPr>
        <w:t> </w:t>
      </w:r>
      <w:r>
        <w:t xml:space="preserve">9(1)(h). </w:t>
      </w:r>
    </w:p>
    <w:p w14:paraId="3B17CF19" w14:textId="77777777" w:rsidR="001D525A" w:rsidRPr="001D525A" w:rsidRDefault="001D525A" w:rsidP="00342828">
      <w:pPr>
        <w:pStyle w:val="Heading4"/>
      </w:pPr>
      <w:r w:rsidRPr="001D525A">
        <w:t>The need for reform</w:t>
      </w:r>
    </w:p>
    <w:p w14:paraId="1B70D24B" w14:textId="77777777" w:rsidR="001D525A" w:rsidRPr="001D525A" w:rsidRDefault="001D525A" w:rsidP="00C3676D">
      <w:pPr>
        <w:pStyle w:val="BodyText"/>
      </w:pPr>
      <w:r w:rsidRPr="001D525A">
        <w:t xml:space="preserve">For the following reasons, we consider that the absence of sex from the illustrative list of characteristics is an issue that should be addressed in this review. </w:t>
      </w:r>
    </w:p>
    <w:p w14:paraId="5240436A" w14:textId="77777777" w:rsidR="001D525A" w:rsidRPr="001D525A" w:rsidRDefault="001D525A" w:rsidP="00C3676D">
      <w:pPr>
        <w:pStyle w:val="BodyText"/>
      </w:pPr>
      <w:r w:rsidRPr="001D525A">
        <w:t xml:space="preserve">First, an appreciable number of submitters had concerns about the omission of sex from the list of protected characteristics, and no submitters opposed adding it. </w:t>
      </w:r>
    </w:p>
    <w:p w14:paraId="06670DE2" w14:textId="6CC47EF3" w:rsidR="001D525A" w:rsidRPr="001D525A" w:rsidRDefault="001D525A" w:rsidP="00C3676D">
      <w:pPr>
        <w:pStyle w:val="BodyText"/>
      </w:pPr>
      <w:r w:rsidRPr="001D525A">
        <w:t>Second, the omission of sex from the list is out of line with many jurisdictions that we have examined and with the general direction of travel in some others. As in Aotearoa New Zealand, the law in New South Wales only refers to ‘gender identity’.</w:t>
      </w:r>
      <w:r w:rsidRPr="001D525A">
        <w:rPr>
          <w:vertAlign w:val="superscript"/>
        </w:rPr>
        <w:footnoteReference w:id="699"/>
      </w:r>
      <w:r w:rsidRPr="001D525A">
        <w:t xml:space="preserve"> By contrast, ‘sex’ or ‘gender’ is specified as a protected characteristic in sentence aggravation laws in Canada, South Australia, the Republic of Ireland and Tasmania.</w:t>
      </w:r>
      <w:r w:rsidRPr="001D525A">
        <w:rPr>
          <w:vertAlign w:val="superscript"/>
        </w:rPr>
        <w:footnoteReference w:id="700"/>
      </w:r>
      <w:r w:rsidRPr="001D525A">
        <w:t xml:space="preserve"> As of 2022, 25 states that are part of the Organisation for Security and Co-operation in Europe had hate crime laws relating to sex or gender.</w:t>
      </w:r>
      <w:r w:rsidRPr="001D525A">
        <w:rPr>
          <w:vertAlign w:val="superscript"/>
        </w:rPr>
        <w:footnoteReference w:id="701"/>
      </w:r>
    </w:p>
    <w:p w14:paraId="3A8C3872" w14:textId="5B11FF46" w:rsidR="001D525A" w:rsidRPr="001D525A" w:rsidRDefault="001D525A" w:rsidP="00C3676D">
      <w:pPr>
        <w:pStyle w:val="BodyText"/>
      </w:pPr>
      <w:r w:rsidRPr="001D525A">
        <w:t xml:space="preserve">Independent reviews of hate crime law in Scotland and Northern Ireland have recommended that hate crime laws should include </w:t>
      </w:r>
      <w:r w:rsidR="00C93CC4">
        <w:t xml:space="preserve">sex or gender as </w:t>
      </w:r>
      <w:r w:rsidR="0070038D">
        <w:t xml:space="preserve">a </w:t>
      </w:r>
      <w:r w:rsidR="00C93CC4">
        <w:t>protected characteristic to address</w:t>
      </w:r>
      <w:r w:rsidRPr="001D525A">
        <w:t xml:space="preserve"> hostility towards women (although in the context of a closed list and different legal models to </w:t>
      </w:r>
      <w:r w:rsidR="00D4081A">
        <w:t xml:space="preserve">the </w:t>
      </w:r>
      <w:r w:rsidRPr="001D525A">
        <w:t>New Zealand legislation).</w:t>
      </w:r>
      <w:r w:rsidRPr="001D525A">
        <w:rPr>
          <w:vertAlign w:val="superscript"/>
        </w:rPr>
        <w:footnoteReference w:id="702"/>
      </w:r>
      <w:r w:rsidRPr="001D525A">
        <w:t xml:space="preserve"> </w:t>
      </w:r>
      <w:r w:rsidR="007A5200">
        <w:t>The</w:t>
      </w:r>
      <w:r w:rsidRPr="001D525A">
        <w:t xml:space="preserve"> Scottish Parliament subsequently passed hate crime laws without</w:t>
      </w:r>
      <w:r w:rsidR="002B43E6">
        <w:t xml:space="preserve"> listing sex as a protected </w:t>
      </w:r>
      <w:r w:rsidR="00510872">
        <w:t>characteristic</w:t>
      </w:r>
      <w:r w:rsidRPr="001D525A">
        <w:t xml:space="preserve"> </w:t>
      </w:r>
      <w:r w:rsidR="007A5200">
        <w:t>but</w:t>
      </w:r>
      <w:r w:rsidRPr="001D525A">
        <w:t xml:space="preserve"> included an enabling power to add </w:t>
      </w:r>
      <w:r w:rsidR="00510872">
        <w:t>it</w:t>
      </w:r>
      <w:r w:rsidRPr="001D525A">
        <w:t xml:space="preserve"> at a later date.</w:t>
      </w:r>
      <w:r w:rsidRPr="001D525A">
        <w:rPr>
          <w:vertAlign w:val="superscript"/>
        </w:rPr>
        <w:footnoteReference w:id="703"/>
      </w:r>
      <w:r w:rsidRPr="001D525A">
        <w:t xml:space="preserve"> </w:t>
      </w:r>
      <w:r w:rsidR="00907D6C">
        <w:t>T</w:t>
      </w:r>
      <w:r w:rsidRPr="001D525A">
        <w:t xml:space="preserve">he Scottish Government </w:t>
      </w:r>
      <w:r w:rsidR="00907D6C">
        <w:t xml:space="preserve">has since </w:t>
      </w:r>
      <w:r w:rsidRPr="001D525A">
        <w:t>announced plans to rely on this power and an order was made in March 2026 to come into effect in April 2027.</w:t>
      </w:r>
      <w:r w:rsidRPr="001D525A">
        <w:rPr>
          <w:vertAlign w:val="superscript"/>
        </w:rPr>
        <w:footnoteReference w:id="704"/>
      </w:r>
      <w:r w:rsidRPr="001D525A">
        <w:t xml:space="preserve"> </w:t>
      </w:r>
    </w:p>
    <w:p w14:paraId="305E40BC" w14:textId="022931F9" w:rsidR="001D525A" w:rsidRPr="001D525A" w:rsidRDefault="001D525A" w:rsidP="00C3676D">
      <w:pPr>
        <w:pStyle w:val="BodyText"/>
      </w:pPr>
      <w:r w:rsidRPr="001D525A">
        <w:t>Although the Law Commission of England and Wales did not recommend listing sex as a protected characteristic,</w:t>
      </w:r>
      <w:r w:rsidR="00E27E37" w:rsidRPr="001D525A">
        <w:rPr>
          <w:vertAlign w:val="superscript"/>
        </w:rPr>
        <w:footnoteReference w:id="705"/>
      </w:r>
      <w:r w:rsidRPr="001D525A">
        <w:t xml:space="preserve"> the </w:t>
      </w:r>
      <w:r w:rsidR="00643B8F">
        <w:t xml:space="preserve">UK </w:t>
      </w:r>
      <w:r w:rsidRPr="001D525A">
        <w:t>Government has taken a different view. Amendments</w:t>
      </w:r>
      <w:r w:rsidRPr="001D525A" w:rsidDel="003375E5">
        <w:t xml:space="preserve"> </w:t>
      </w:r>
      <w:r w:rsidRPr="001D525A">
        <w:t>passed in April 2026 extend the hate crime offences that apply in England and Wales to the protected characteristic of sex (as well as other characteristics).</w:t>
      </w:r>
      <w:r w:rsidRPr="001D525A">
        <w:rPr>
          <w:vertAlign w:val="superscript"/>
        </w:rPr>
        <w:footnoteReference w:id="706"/>
      </w:r>
      <w:r w:rsidRPr="001D525A">
        <w:t xml:space="preserve"> The Government supported this on the basis that it furthers objectives to address violence against women and girls and </w:t>
      </w:r>
      <w:r w:rsidR="00460064">
        <w:t xml:space="preserve">will </w:t>
      </w:r>
      <w:r w:rsidRPr="001D525A">
        <w:t xml:space="preserve">ensure </w:t>
      </w:r>
      <w:r w:rsidR="00460064">
        <w:t xml:space="preserve">that </w:t>
      </w:r>
      <w:r w:rsidRPr="001D525A">
        <w:t xml:space="preserve">offences motivated by hostility </w:t>
      </w:r>
      <w:r w:rsidR="00FE426E">
        <w:t xml:space="preserve">towards a victim’s sex </w:t>
      </w:r>
      <w:r w:rsidRPr="001D525A">
        <w:t>are treated as seriously as those motivated by hostility towards other characteristics.</w:t>
      </w:r>
      <w:r w:rsidRPr="001D525A">
        <w:rPr>
          <w:vertAlign w:val="superscript"/>
        </w:rPr>
        <w:footnoteReference w:id="707"/>
      </w:r>
    </w:p>
    <w:p w14:paraId="2AE6458A" w14:textId="1977E4BF" w:rsidR="001D525A" w:rsidRPr="001D525A" w:rsidRDefault="00AC1CF5" w:rsidP="00C3676D">
      <w:pPr>
        <w:pStyle w:val="BodyText"/>
      </w:pPr>
      <w:r>
        <w:t>Including</w:t>
      </w:r>
      <w:r w:rsidR="001D525A" w:rsidRPr="001D525A">
        <w:t xml:space="preserve"> sex or gender </w:t>
      </w:r>
      <w:r w:rsidR="00D9486E">
        <w:t>as a protected characteristic</w:t>
      </w:r>
      <w:r w:rsidR="00D9486E" w:rsidRPr="001D525A">
        <w:t xml:space="preserve"> </w:t>
      </w:r>
      <w:r w:rsidR="001D525A" w:rsidRPr="001D525A">
        <w:t xml:space="preserve">is consistent with the explanations we identified earlier in this chapter for why particular characteristics should attract the protection of hate crime law. </w:t>
      </w:r>
      <w:r w:rsidR="00EA459F">
        <w:t>O</w:t>
      </w:r>
      <w:r w:rsidR="001D525A" w:rsidRPr="001D525A">
        <w:t>ne of the</w:t>
      </w:r>
      <w:r w:rsidR="00EA459F">
        <w:t xml:space="preserve"> considerations we identified</w:t>
      </w:r>
      <w:r w:rsidR="001D525A" w:rsidRPr="001D525A">
        <w:t xml:space="preserve"> is</w:t>
      </w:r>
      <w:r w:rsidR="001D525A" w:rsidRPr="001D525A" w:rsidDel="00EA459F">
        <w:t xml:space="preserve"> </w:t>
      </w:r>
      <w:r w:rsidR="001D525A" w:rsidRPr="001D525A">
        <w:t xml:space="preserve">the </w:t>
      </w:r>
      <w:r w:rsidR="00032FA8">
        <w:t xml:space="preserve">present </w:t>
      </w:r>
      <w:r w:rsidR="00E678FD">
        <w:t xml:space="preserve">and </w:t>
      </w:r>
      <w:r w:rsidR="001D525A" w:rsidRPr="001D525A">
        <w:t xml:space="preserve">historical </w:t>
      </w:r>
      <w:r w:rsidR="00653473">
        <w:t>disadvantage</w:t>
      </w:r>
      <w:r w:rsidR="001D525A" w:rsidRPr="001D525A">
        <w:t xml:space="preserve"> or marginalisation of </w:t>
      </w:r>
      <w:r w:rsidR="00BE2072">
        <w:t>the targeted</w:t>
      </w:r>
      <w:r w:rsidR="00BE2072" w:rsidRPr="001D525A">
        <w:t xml:space="preserve"> </w:t>
      </w:r>
      <w:r w:rsidR="001D525A" w:rsidRPr="001D525A">
        <w:t xml:space="preserve">group. </w:t>
      </w:r>
      <w:r w:rsidR="00925B9E">
        <w:t>In</w:t>
      </w:r>
      <w:r w:rsidR="001D525A" w:rsidRPr="001D525A">
        <w:t xml:space="preserve"> recommending </w:t>
      </w:r>
      <w:r w:rsidR="00676C99">
        <w:t>amendments to</w:t>
      </w:r>
      <w:r w:rsidR="001D525A" w:rsidRPr="001D525A">
        <w:t xml:space="preserve"> address hostility to</w:t>
      </w:r>
      <w:r w:rsidR="00BE2072">
        <w:t>wards</w:t>
      </w:r>
      <w:r w:rsidR="001D525A" w:rsidRPr="001D525A">
        <w:t xml:space="preserve"> women, </w:t>
      </w:r>
      <w:r w:rsidR="00284485">
        <w:t>the inde</w:t>
      </w:r>
      <w:r w:rsidR="00F56E47">
        <w:t>pendent</w:t>
      </w:r>
      <w:r w:rsidR="000F6DF2">
        <w:t xml:space="preserve"> reviews</w:t>
      </w:r>
      <w:r w:rsidR="001D525A" w:rsidRPr="001D525A">
        <w:t xml:space="preserve"> in Scotland and Northern Ireland both considered it relevant that there is evidence of disproportionate targeting of women due to prejudice or hostility based on their sex.</w:t>
      </w:r>
      <w:r w:rsidR="001D525A" w:rsidRPr="001D525A">
        <w:rPr>
          <w:vertAlign w:val="superscript"/>
        </w:rPr>
        <w:footnoteReference w:id="708"/>
      </w:r>
    </w:p>
    <w:p w14:paraId="5F067F6B" w14:textId="450809E5" w:rsidR="001D525A" w:rsidRPr="001D525A" w:rsidRDefault="001D525A" w:rsidP="00C3676D">
      <w:pPr>
        <w:pStyle w:val="BodyText"/>
      </w:pPr>
      <w:r w:rsidRPr="001D525A">
        <w:t>Because sex is not currently listed as a protected characteristic in section 9(1)(h), offending based on hostility toward</w:t>
      </w:r>
      <w:r w:rsidR="00E80DA7">
        <w:t>s</w:t>
      </w:r>
      <w:r w:rsidRPr="001D525A">
        <w:t xml:space="preserve"> women is not identified or recorded by Police as a discrete category of offending.</w:t>
      </w:r>
      <w:r w:rsidRPr="001D525A">
        <w:rPr>
          <w:vertAlign w:val="superscript"/>
        </w:rPr>
        <w:footnoteReference w:id="709"/>
      </w:r>
      <w:r w:rsidRPr="001D525A">
        <w:t xml:space="preserve"> This means there is limited specific evidence of hate crimes against women in Aotearoa New Zealand. However, women are overrepresented as victims of violent offending, and there is evidence that sexual, family and intimate partner violence is linked, at least in part, to misogyny and harmful gender norms.</w:t>
      </w:r>
      <w:r w:rsidRPr="001D525A">
        <w:rPr>
          <w:vertAlign w:val="superscript"/>
        </w:rPr>
        <w:footnoteReference w:id="710"/>
      </w:r>
      <w:r w:rsidRPr="001D525A">
        <w:t xml:space="preserve"> </w:t>
      </w:r>
    </w:p>
    <w:p w14:paraId="1753263B" w14:textId="35C5B334" w:rsidR="001D525A" w:rsidRPr="001D525A" w:rsidRDefault="001D525A" w:rsidP="00C3676D">
      <w:pPr>
        <w:pStyle w:val="BodyText"/>
      </w:pPr>
      <w:r w:rsidRPr="001D525A">
        <w:t>Commentaries in Aotearoa New Zealand and overseas have explored the prevalence of misogyny and how it can manifest in harassment, threats and violent offending.</w:t>
      </w:r>
      <w:r w:rsidRPr="001D525A">
        <w:rPr>
          <w:vertAlign w:val="superscript"/>
        </w:rPr>
        <w:footnoteReference w:id="711"/>
      </w:r>
      <w:r w:rsidRPr="001D525A">
        <w:t xml:space="preserve"> The United Nations Committee on the Elimination of Discrimination against Women has raised concerns about such harms and recommended improved responses to hate crimes against women in public life.</w:t>
      </w:r>
      <w:r w:rsidRPr="001D525A">
        <w:rPr>
          <w:vertAlign w:val="superscript"/>
        </w:rPr>
        <w:footnoteReference w:id="712"/>
      </w:r>
      <w:r w:rsidRPr="001D525A">
        <w:t xml:space="preserve"> </w:t>
      </w:r>
    </w:p>
    <w:p w14:paraId="6BEE70A9" w14:textId="28C8C8F8" w:rsidR="001D525A" w:rsidRPr="001D525A" w:rsidRDefault="001D525A" w:rsidP="00C3676D">
      <w:pPr>
        <w:pStyle w:val="BodyText"/>
      </w:pPr>
      <w:r w:rsidRPr="001D525A">
        <w:t>As explained earlier in</w:t>
      </w:r>
      <w:r w:rsidRPr="001D525A" w:rsidDel="00F50B60">
        <w:t xml:space="preserve"> </w:t>
      </w:r>
      <w:r w:rsidR="00F50B60">
        <w:t>this</w:t>
      </w:r>
      <w:r w:rsidR="00F50B60" w:rsidRPr="001D525A">
        <w:t xml:space="preserve"> </w:t>
      </w:r>
      <w:r w:rsidRPr="001D525A">
        <w:t xml:space="preserve">chapter, another reason sometimes given for why characteristics should attract protection under hate crime law is that they are markers of group identity that it would be unreasonable or oppressive to expect people to change. Sex manifestly meets this criterion. As a result, offending motivated by hostility towards women is likely to cause victims and other women to fear future targeting and </w:t>
      </w:r>
      <w:r w:rsidR="003853D7">
        <w:t xml:space="preserve">to </w:t>
      </w:r>
      <w:r w:rsidRPr="001D525A">
        <w:t xml:space="preserve">modify their behaviour. Failure to recognise this in the law risks reinforcing gender inequality. </w:t>
      </w:r>
    </w:p>
    <w:p w14:paraId="3564EB52" w14:textId="2A88CD22" w:rsidR="001D525A" w:rsidRPr="001D525A" w:rsidRDefault="001D525A" w:rsidP="00C3676D">
      <w:pPr>
        <w:pStyle w:val="BodyText"/>
      </w:pPr>
      <w:r w:rsidRPr="001D525A">
        <w:t>One argument against reform is that it is already open to a sentencing court to apply section 9(1)(h) in cases where the offender was motivated by hostility towards women — whether under the gender identity ground or the residual category.</w:t>
      </w:r>
      <w:r w:rsidRPr="001D525A">
        <w:rPr>
          <w:vertAlign w:val="superscript"/>
        </w:rPr>
        <w:footnoteReference w:id="713"/>
      </w:r>
      <w:r w:rsidRPr="001D525A">
        <w:t xml:space="preserve"> We agree</w:t>
      </w:r>
      <w:r w:rsidR="00602E4E">
        <w:t xml:space="preserve"> that section 9(1)(h) would already apply to offending involving hostility towards women</w:t>
      </w:r>
      <w:r w:rsidRPr="001D525A">
        <w:t xml:space="preserve">. Within the context discussed above, however, we accept the point made by submitters and others we engaged with that </w:t>
      </w:r>
      <w:r w:rsidR="004553C7">
        <w:t>including</w:t>
      </w:r>
      <w:r w:rsidRPr="001D525A">
        <w:t xml:space="preserve"> </w:t>
      </w:r>
      <w:r w:rsidR="00507ABE">
        <w:t>sex in the illustrative list</w:t>
      </w:r>
      <w:r w:rsidRPr="001D525A">
        <w:t xml:space="preserve"> would have an important signalling effect. The absence of such signalling in the current law may explain the small number of cases to date </w:t>
      </w:r>
      <w:r w:rsidR="000D0E61">
        <w:t>in which</w:t>
      </w:r>
      <w:r w:rsidR="000D0E61" w:rsidRPr="001D525A">
        <w:t xml:space="preserve"> </w:t>
      </w:r>
      <w:r w:rsidRPr="001D525A">
        <w:t xml:space="preserve">the </w:t>
      </w:r>
      <w:r w:rsidR="000A796D">
        <w:t>hostility</w:t>
      </w:r>
      <w:r w:rsidRPr="001D525A">
        <w:t xml:space="preserve"> aggravating factor has been applied due to hostility toward</w:t>
      </w:r>
      <w:r w:rsidR="00E80DA7">
        <w:t>s</w:t>
      </w:r>
      <w:r w:rsidRPr="001D525A">
        <w:t xml:space="preserve"> women.</w:t>
      </w:r>
      <w:r w:rsidRPr="001D525A">
        <w:rPr>
          <w:vertAlign w:val="superscript"/>
        </w:rPr>
        <w:footnoteReference w:id="714"/>
      </w:r>
      <w:r w:rsidRPr="001D525A">
        <w:t xml:space="preserve"> The legislative history of section 9(1)(h) suggests little focus on offending against women. We also note that </w:t>
      </w:r>
      <w:r w:rsidR="00BE17F4">
        <w:t>it is not uncommon for New Zealand legislation to refer to</w:t>
      </w:r>
      <w:r w:rsidRPr="001D525A">
        <w:t xml:space="preserve"> ‘sex’ and ‘gender identity’ separately.</w:t>
      </w:r>
      <w:r w:rsidRPr="001D525A">
        <w:rPr>
          <w:vertAlign w:val="superscript"/>
        </w:rPr>
        <w:footnoteReference w:id="715"/>
      </w:r>
      <w:r w:rsidRPr="001D525A">
        <w:t xml:space="preserve"> </w:t>
      </w:r>
    </w:p>
    <w:p w14:paraId="7BA4803A" w14:textId="5E1489DC" w:rsidR="001D525A" w:rsidRPr="001D525A" w:rsidRDefault="001D525A" w:rsidP="00C3676D">
      <w:pPr>
        <w:pStyle w:val="BodyText"/>
      </w:pPr>
      <w:r w:rsidRPr="001D525A">
        <w:t xml:space="preserve">Some other arguments </w:t>
      </w:r>
      <w:r w:rsidR="00D9318D">
        <w:t xml:space="preserve">against including sex </w:t>
      </w:r>
      <w:r w:rsidR="00063065">
        <w:t xml:space="preserve">as a protected </w:t>
      </w:r>
      <w:r w:rsidR="001E3617">
        <w:t>characteristic</w:t>
      </w:r>
      <w:r w:rsidRPr="001D525A">
        <w:t xml:space="preserve"> are that a hate crime framework may not capture structural causes of gendered violence,</w:t>
      </w:r>
      <w:r w:rsidRPr="001D525A">
        <w:rPr>
          <w:vertAlign w:val="superscript"/>
        </w:rPr>
        <w:footnoteReference w:id="716"/>
      </w:r>
      <w:r w:rsidRPr="001D525A">
        <w:t xml:space="preserve"> may shift focus away from prevention</w:t>
      </w:r>
      <w:r w:rsidRPr="001D525A">
        <w:rPr>
          <w:vertAlign w:val="superscript"/>
        </w:rPr>
        <w:footnoteReference w:id="717"/>
      </w:r>
      <w:r w:rsidRPr="001D525A">
        <w:t xml:space="preserve"> or may be unnecessary </w:t>
      </w:r>
      <w:r w:rsidR="00A455CA">
        <w:t>as</w:t>
      </w:r>
      <w:r w:rsidRPr="001D525A">
        <w:t xml:space="preserve"> existing offences already treat violence against women seriously.</w:t>
      </w:r>
      <w:r w:rsidRPr="001D525A">
        <w:rPr>
          <w:vertAlign w:val="superscript"/>
        </w:rPr>
        <w:footnoteReference w:id="718"/>
      </w:r>
      <w:r w:rsidRPr="001D525A">
        <w:t xml:space="preserve"> The Law Commission of England and Wales concluded that sex-based hostility was unsuitable</w:t>
      </w:r>
      <w:r w:rsidR="006D31A7">
        <w:t xml:space="preserve"> for inclusion in hate crime laws</w:t>
      </w:r>
      <w:r w:rsidRPr="001D525A">
        <w:t xml:space="preserve"> because it would be difficult to prove and a hate crime lens might be inappropriate.</w:t>
      </w:r>
      <w:r w:rsidRPr="001D525A">
        <w:rPr>
          <w:vertAlign w:val="superscript"/>
        </w:rPr>
        <w:footnoteReference w:id="719"/>
      </w:r>
    </w:p>
    <w:p w14:paraId="70D8304C" w14:textId="37A2903A" w:rsidR="001D525A" w:rsidRPr="001D525A" w:rsidRDefault="001D525A" w:rsidP="00C3676D">
      <w:pPr>
        <w:pStyle w:val="BodyText"/>
      </w:pPr>
      <w:r w:rsidRPr="001D525A">
        <w:t>Submitters and others we engaged with during this review did not share these concerns</w:t>
      </w:r>
      <w:r w:rsidR="001A2F2D">
        <w:t>.</w:t>
      </w:r>
      <w:r w:rsidRPr="001D525A" w:rsidDel="001A2F2D">
        <w:t xml:space="preserve"> </w:t>
      </w:r>
      <w:r w:rsidR="001A2F2D">
        <w:t>We consider they</w:t>
      </w:r>
      <w:r w:rsidR="001A2F2D" w:rsidRPr="001D525A">
        <w:t xml:space="preserve"> </w:t>
      </w:r>
      <w:r w:rsidRPr="001D525A">
        <w:t xml:space="preserve">have less salience in the context of a sentence aggravation model. </w:t>
      </w:r>
      <w:r w:rsidR="00EE4D42">
        <w:t>Including sex in the illustrative list</w:t>
      </w:r>
      <w:r w:rsidRPr="001D525A">
        <w:t xml:space="preserve"> would not displace other legal responses to sexual or family violence. Rather, it would ensure that offences motivated by hostility towards women are recognised and denounced consistently with other forms of hate crime. </w:t>
      </w:r>
    </w:p>
    <w:p w14:paraId="30C1BDEF" w14:textId="4DCD41F2" w:rsidR="001D525A" w:rsidRPr="001D525A" w:rsidRDefault="001D525A" w:rsidP="00C3676D">
      <w:pPr>
        <w:pStyle w:val="BodyText"/>
      </w:pPr>
      <w:r w:rsidRPr="001D525A">
        <w:t>The aggravating factor would apply only where there is clear evidence of hostility based on sex</w:t>
      </w:r>
      <w:r w:rsidR="00BD0901">
        <w:t>.</w:t>
      </w:r>
      <w:r w:rsidRPr="001D525A">
        <w:t xml:space="preserve"> </w:t>
      </w:r>
      <w:r w:rsidR="00924259">
        <w:t>It is likely relatively few cases would meet that criterion</w:t>
      </w:r>
      <w:r w:rsidRPr="001D525A">
        <w:t>. For example, as far as we have been able to ascertain, the Canadian courts have applied the aggravating factor on rare occasions to condemn criminal behaviour motivated by particularly blatant hostility of this kind.</w:t>
      </w:r>
      <w:r w:rsidRPr="001D525A">
        <w:rPr>
          <w:vertAlign w:val="superscript"/>
        </w:rPr>
        <w:footnoteReference w:id="720"/>
      </w:r>
      <w:r w:rsidRPr="001D525A">
        <w:t xml:space="preserve"> The cases involved threatened or actual bodily harm to the female victims where the behaviour was gratuitous and accompanied by evidence that it was driven by a persistent misogynistic attitude. The European Office of Democratic Institutions and Human Rights advises that some gender-based violence should be treated as hate crime where there is evidence of bias or hostility.</w:t>
      </w:r>
      <w:r w:rsidRPr="001D525A">
        <w:rPr>
          <w:vertAlign w:val="superscript"/>
        </w:rPr>
        <w:footnoteReference w:id="721"/>
      </w:r>
      <w:r w:rsidRPr="001D525A">
        <w:t xml:space="preserve"> It says that may </w:t>
      </w:r>
      <w:r w:rsidR="00A22C54">
        <w:t>be the case</w:t>
      </w:r>
      <w:r w:rsidR="00A22C54" w:rsidRPr="001D525A">
        <w:t xml:space="preserve"> </w:t>
      </w:r>
      <w:r w:rsidRPr="001D525A">
        <w:t>whe</w:t>
      </w:r>
      <w:r w:rsidR="00A22C54">
        <w:t>re</w:t>
      </w:r>
      <w:r w:rsidRPr="001D525A">
        <w:t xml:space="preserve"> offending is accompanied by serious misogynistic insults or threats, </w:t>
      </w:r>
      <w:r w:rsidR="00A22C54">
        <w:t>where the victim is targeted</w:t>
      </w:r>
      <w:r w:rsidR="00A22C54" w:rsidRPr="001D525A">
        <w:t xml:space="preserve"> </w:t>
      </w:r>
      <w:r w:rsidRPr="001D525A">
        <w:t>because of their association with feminist causes or where the offender is aligned with male supremacist ideology.</w:t>
      </w:r>
    </w:p>
    <w:p w14:paraId="13A04A13" w14:textId="77777777" w:rsidR="00B0105A" w:rsidRPr="00FD46FE" w:rsidRDefault="00B0105A" w:rsidP="00B0105A">
      <w:pPr>
        <w:pStyle w:val="Heading4"/>
      </w:pPr>
      <w:r>
        <w:t>R</w:t>
      </w:r>
      <w:r w:rsidRPr="00FD46FE">
        <w:t>ecommendation</w:t>
      </w:r>
    </w:p>
    <w:p w14:paraId="074682FD" w14:textId="01400293" w:rsidR="001D525A" w:rsidRPr="001D525A" w:rsidRDefault="00887337" w:rsidP="00F52DAA">
      <w:pPr>
        <w:pStyle w:val="BodyText"/>
        <w:numPr>
          <w:ilvl w:val="0"/>
          <w:numId w:val="0"/>
        </w:numPr>
      </w:pPr>
      <w:r w:rsidRPr="00663187">
        <w:rPr>
          <w:b/>
          <w:noProof/>
        </w:rPr>
        <mc:AlternateContent>
          <mc:Choice Requires="wpg">
            <w:drawing>
              <wp:anchor distT="0" distB="0" distL="114300" distR="114300" simplePos="0" relativeHeight="251658313" behindDoc="1" locked="0" layoutInCell="1" allowOverlap="1" wp14:anchorId="0B81E16E" wp14:editId="7CAF263C">
                <wp:simplePos x="0" y="0"/>
                <wp:positionH relativeFrom="margin">
                  <wp:posOffset>-1962</wp:posOffset>
                </wp:positionH>
                <wp:positionV relativeFrom="paragraph">
                  <wp:posOffset>54800</wp:posOffset>
                </wp:positionV>
                <wp:extent cx="5759450" cy="682388"/>
                <wp:effectExtent l="0" t="0" r="0" b="3810"/>
                <wp:wrapNone/>
                <wp:docPr id="432251165" name="Group 432251165"/>
                <wp:cNvGraphicFramePr/>
                <a:graphic xmlns:a="http://schemas.openxmlformats.org/drawingml/2006/main">
                  <a:graphicData uri="http://schemas.microsoft.com/office/word/2010/wordprocessingGroup">
                    <wpg:wgp>
                      <wpg:cNvGrpSpPr/>
                      <wpg:grpSpPr>
                        <a:xfrm>
                          <a:off x="0" y="0"/>
                          <a:ext cx="5759450" cy="682388"/>
                          <a:chOff x="-1" y="59456"/>
                          <a:chExt cx="5760000" cy="682727"/>
                        </a:xfrm>
                      </wpg:grpSpPr>
                      <wps:wsp>
                        <wps:cNvPr id="1262176150" name="Freeform 51"/>
                        <wps:cNvSpPr>
                          <a:spLocks/>
                        </wps:cNvSpPr>
                        <wps:spPr bwMode="auto">
                          <a:xfrm>
                            <a:off x="-1" y="59456"/>
                            <a:ext cx="5760000" cy="6827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1B8AAA" w14:textId="77777777" w:rsidR="00887337" w:rsidRDefault="00887337" w:rsidP="00887337"/>
                            <w:p w14:paraId="27A3936C" w14:textId="77777777" w:rsidR="00887337" w:rsidRDefault="00887337" w:rsidP="00887337"/>
                            <w:p w14:paraId="495B4CC8" w14:textId="77777777" w:rsidR="00887337" w:rsidRDefault="00887337" w:rsidP="00887337"/>
                            <w:p w14:paraId="4E9D777C" w14:textId="77777777" w:rsidR="00887337" w:rsidRDefault="00887337" w:rsidP="00887337"/>
                            <w:p w14:paraId="09FDC04B" w14:textId="77777777" w:rsidR="00887337" w:rsidRDefault="00887337" w:rsidP="00887337"/>
                            <w:p w14:paraId="66C6B477" w14:textId="77777777" w:rsidR="00887337" w:rsidRDefault="00887337" w:rsidP="00887337"/>
                          </w:txbxContent>
                        </wps:txbx>
                        <wps:bodyPr rot="0" vert="horz" wrap="square" lIns="91440" tIns="45720" rIns="91440" bIns="45720" anchor="t" anchorCtr="0" upright="1">
                          <a:noAutofit/>
                        </wps:bodyPr>
                      </wps:wsp>
                      <wpg:grpSp>
                        <wpg:cNvPr id="773328441" name="Group 773328441"/>
                        <wpg:cNvGrpSpPr/>
                        <wpg:grpSpPr>
                          <a:xfrm>
                            <a:off x="0" y="170822"/>
                            <a:ext cx="1282065" cy="297815"/>
                            <a:chOff x="0" y="0"/>
                            <a:chExt cx="1282672" cy="298450"/>
                          </a:xfrm>
                        </wpg:grpSpPr>
                        <wpg:grpSp>
                          <wpg:cNvPr id="1936739351" name="Group 52"/>
                          <wpg:cNvGrpSpPr>
                            <a:grpSpLocks/>
                          </wpg:cNvGrpSpPr>
                          <wpg:grpSpPr bwMode="auto">
                            <a:xfrm>
                              <a:off x="172528" y="2540"/>
                              <a:ext cx="1110144" cy="1270"/>
                              <a:chOff x="1417" y="1374"/>
                              <a:chExt cx="1814" cy="2"/>
                            </a:xfrm>
                          </wpg:grpSpPr>
                          <wps:wsp>
                            <wps:cNvPr id="13612390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85046" name="Group 54"/>
                          <wpg:cNvGrpSpPr>
                            <a:grpSpLocks/>
                          </wpg:cNvGrpSpPr>
                          <wpg:grpSpPr bwMode="auto">
                            <a:xfrm>
                              <a:off x="0" y="0"/>
                              <a:ext cx="492038" cy="298450"/>
                              <a:chOff x="1134" y="1366"/>
                              <a:chExt cx="804" cy="470"/>
                            </a:xfrm>
                          </wpg:grpSpPr>
                          <wps:wsp>
                            <wps:cNvPr id="12249071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063469"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81E16E" id="Group 432251165" o:spid="_x0000_s1126" style="position:absolute;left:0;text-align:left;margin-left:-.15pt;margin-top:4.3pt;width:453.5pt;height:53.75pt;z-index:-251658167;mso-position-horizontal-relative:margin;mso-width-relative:margin;mso-height-relative:margin" coordorigin=",594" coordsize="57600,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">
                <v:shape id="Freeform 51" o:spid="_x0000_s1127" style="position:absolute;top:594;width:57599;height:682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" adj="-11796480,,5400" path="m,l9354,r,1638l,1638,,e" fillcolor="#e2eaef" stroked="f">
                  <v:stroke joinstyle="round"/>
                  <v:formulas/>
                  <v:path arrowok="t" o:connecttype="custom" o:connectlocs="0,439313;5760000,439313;5760000,1122040;0,1122040;0,439313" o:connectangles="0,0,0,0,0" textboxrect="0,0,9354,1638"/>
                  <v:textbox>
                    <w:txbxContent>
                      <w:p w14:paraId="5C1B8AAA" w14:textId="77777777" w:rsidR="00887337" w:rsidRDefault="00887337" w:rsidP="00887337"/>
                      <w:p w14:paraId="27A3936C" w14:textId="77777777" w:rsidR="00887337" w:rsidRDefault="00887337" w:rsidP="00887337"/>
                      <w:p w14:paraId="495B4CC8" w14:textId="77777777" w:rsidR="00887337" w:rsidRDefault="00887337" w:rsidP="00887337"/>
                      <w:p w14:paraId="4E9D777C" w14:textId="77777777" w:rsidR="00887337" w:rsidRDefault="00887337" w:rsidP="00887337"/>
                      <w:p w14:paraId="09FDC04B" w14:textId="77777777" w:rsidR="00887337" w:rsidRDefault="00887337" w:rsidP="00887337"/>
                      <w:p w14:paraId="66C6B477" w14:textId="77777777" w:rsidR="00887337" w:rsidRDefault="00887337" w:rsidP="00887337"/>
                    </w:txbxContent>
                  </v:textbox>
                </v:shape>
                <v:group id="Group 773328441" o:spid="_x0000_s112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">
                  <v:group id="Group 52" o:spid="_x0000_s11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">
                    <v:shape id="Freeform 53" o:spid="_x0000_s11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" path="m,l1815,e" filled="f" strokecolor="#5ca0b9" strokeweight=".5pt">
                      <v:path arrowok="t" o:connecttype="custom" o:connectlocs="0,0;1815,0" o:connectangles="0,0"/>
                    </v:shape>
                  </v:group>
                  <v:group id="Group 54" o:spid="_x0000_s11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">
                    <v:shape id="Freeform 55" o:spid="_x0000_s11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0063469"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371BCD59" w14:textId="7E784093" w:rsidR="00B0105A" w:rsidRDefault="00B0105A" w:rsidP="00887337">
      <w:pPr>
        <w:pStyle w:val="RxRecommendationText"/>
      </w:pPr>
      <w:r w:rsidRPr="002803B7">
        <w:t xml:space="preserve">Section 9(1)(h) of the Sentencing Act 2002 should be amended to include </w:t>
      </w:r>
      <w:r w:rsidR="00864C25">
        <w:t>‘</w:t>
      </w:r>
      <w:r w:rsidRPr="002803B7">
        <w:t>sex</w:t>
      </w:r>
      <w:r>
        <w:t>’</w:t>
      </w:r>
      <w:r w:rsidRPr="002803B7">
        <w:t xml:space="preserve"> in the illustrative list of characteristics.</w:t>
      </w:r>
    </w:p>
    <w:p w14:paraId="79A753BE" w14:textId="77777777" w:rsidR="00887337" w:rsidRDefault="00887337" w:rsidP="00887337">
      <w:pPr>
        <w:pStyle w:val="BodyText"/>
        <w:numPr>
          <w:ilvl w:val="0"/>
          <w:numId w:val="0"/>
        </w:numPr>
        <w:ind w:left="709"/>
      </w:pPr>
    </w:p>
    <w:p w14:paraId="40A193F7" w14:textId="77777777" w:rsidR="00B0105A" w:rsidRPr="0051304D" w:rsidRDefault="00B0105A" w:rsidP="00E854B9">
      <w:pPr>
        <w:pStyle w:val="BodyText"/>
      </w:pPr>
      <w:r w:rsidRPr="0051304D">
        <w:t>For the reasons above, we recommend that sex be included in the illustrative list of characteristics</w:t>
      </w:r>
      <w:r w:rsidR="001D525A" w:rsidRPr="001D525A">
        <w:t xml:space="preserve"> in section 9(1)(h).</w:t>
      </w:r>
      <w:r w:rsidRPr="0051304D">
        <w:t xml:space="preserve"> </w:t>
      </w:r>
    </w:p>
    <w:p w14:paraId="11B65342" w14:textId="146D822D" w:rsidR="00B0105A" w:rsidRPr="0051304D" w:rsidRDefault="00B0105A" w:rsidP="00C3676D">
      <w:pPr>
        <w:pStyle w:val="BodyText"/>
      </w:pPr>
      <w:r w:rsidRPr="0051304D">
        <w:t xml:space="preserve">As we have explained, </w:t>
      </w:r>
      <w:r w:rsidR="00702070">
        <w:t xml:space="preserve">hate crime laws in </w:t>
      </w:r>
      <w:r w:rsidR="001D525A" w:rsidRPr="001D525A">
        <w:t xml:space="preserve">several overseas jurisdictions </w:t>
      </w:r>
      <w:r w:rsidR="00907F61">
        <w:t>refer specifically to</w:t>
      </w:r>
      <w:r w:rsidR="00B036A3">
        <w:t xml:space="preserve"> ‘sex’ or ‘gender’ to </w:t>
      </w:r>
      <w:r w:rsidR="001F01E0">
        <w:t>address</w:t>
      </w:r>
      <w:r w:rsidR="00B036A3">
        <w:t xml:space="preserve"> hostility towards women</w:t>
      </w:r>
      <w:r w:rsidR="001D525A" w:rsidRPr="001D525A">
        <w:t>. In the New Zealand context,</w:t>
      </w:r>
      <w:r w:rsidR="00C26FC9">
        <w:t xml:space="preserve"> given that ‘gender identity’ is already included in the illustrative list, </w:t>
      </w:r>
      <w:r w:rsidR="001D525A" w:rsidRPr="001D525A">
        <w:t xml:space="preserve">we </w:t>
      </w:r>
      <w:r w:rsidR="00F10CC0">
        <w:t>consider</w:t>
      </w:r>
      <w:r w:rsidR="001D525A" w:rsidRPr="001D525A">
        <w:t xml:space="preserve"> the </w:t>
      </w:r>
      <w:r w:rsidR="00E94F9E">
        <w:t>term</w:t>
      </w:r>
      <w:r w:rsidR="00E94F9E" w:rsidRPr="001D525A">
        <w:t xml:space="preserve"> </w:t>
      </w:r>
      <w:r w:rsidR="001D525A" w:rsidRPr="001D525A">
        <w:t>‘sex’ is preferable</w:t>
      </w:r>
      <w:r w:rsidR="00B20BA7">
        <w:t xml:space="preserve"> to </w:t>
      </w:r>
      <w:r w:rsidR="004354AA">
        <w:t>address hostility towards women</w:t>
      </w:r>
      <w:r w:rsidR="001D525A" w:rsidRPr="001D525A">
        <w:t>. Although the term ‘gender’ is sometimes used as a synonym for sex, it has various other meanings depending on the context. It is sometimes used to refer to a person’s social or personal identity as male or female or another gender such as non-binary, gender fluid or bigender. It is sometimes used to refer to the social and cultural norms, roles and hierarchies associated with men, women and other genders. It is also sometimes used as an umbrella term covering both gender identity and gender expression.</w:t>
      </w:r>
      <w:r w:rsidR="001D525A" w:rsidRPr="001D525A">
        <w:rPr>
          <w:vertAlign w:val="superscript"/>
        </w:rPr>
        <w:footnoteReference w:id="722"/>
      </w:r>
      <w:r w:rsidR="001D525A" w:rsidRPr="001D525A">
        <w:t xml:space="preserve"> </w:t>
      </w:r>
    </w:p>
    <w:p w14:paraId="3F674014" w14:textId="0B52BB1D" w:rsidR="00B0105A" w:rsidRDefault="00B0105A" w:rsidP="00B0105A">
      <w:pPr>
        <w:pStyle w:val="Heading3"/>
      </w:pPr>
      <w:r>
        <w:t>Innate variations of sex characteristics</w:t>
      </w:r>
    </w:p>
    <w:p w14:paraId="77120A31" w14:textId="722AE6C0" w:rsidR="001D525A" w:rsidRPr="001D525A" w:rsidRDefault="001D525A" w:rsidP="00C3676D">
      <w:pPr>
        <w:pStyle w:val="BodyText"/>
      </w:pPr>
      <w:r w:rsidRPr="001D525A">
        <w:t>One submitter to our review said people with variations in sex characteristics should be “specifically noted” in hate crime legislation.</w:t>
      </w:r>
      <w:r w:rsidRPr="001D525A">
        <w:rPr>
          <w:vertAlign w:val="superscript"/>
        </w:rPr>
        <w:footnoteReference w:id="723"/>
      </w:r>
      <w:r w:rsidRPr="001D525A">
        <w:t xml:space="preserve"> A person with an innate variation of sex characteristics is someone who was born with sex characteristics that differ from medical and social norms for male or female bodies (although, in some cases, the variation may not be evident until later in life). Some people with an innate variation of sex characteristics refer to themselves as intersex, although not everyone favours this term.</w:t>
      </w:r>
      <w:r w:rsidRPr="001D525A">
        <w:rPr>
          <w:vertAlign w:val="superscript"/>
        </w:rPr>
        <w:footnoteReference w:id="724"/>
      </w:r>
    </w:p>
    <w:p w14:paraId="0A1DEC38" w14:textId="5DEB9226" w:rsidR="001D525A" w:rsidRPr="001D525A" w:rsidRDefault="001D525A" w:rsidP="00C3676D">
      <w:pPr>
        <w:pStyle w:val="BodyText"/>
      </w:pPr>
      <w:r w:rsidRPr="001D525A">
        <w:t xml:space="preserve">If </w:t>
      </w:r>
      <w:r w:rsidR="00357607">
        <w:t>we were conducting a comprehensive</w:t>
      </w:r>
      <w:r w:rsidR="00357607" w:rsidRPr="001D525A">
        <w:t xml:space="preserve"> </w:t>
      </w:r>
      <w:r w:rsidRPr="001D525A">
        <w:t xml:space="preserve">review of hate crime law, we would need to </w:t>
      </w:r>
      <w:r w:rsidR="00673AC8">
        <w:t>examine</w:t>
      </w:r>
      <w:r w:rsidR="00C02B3F">
        <w:t xml:space="preserve"> </w:t>
      </w:r>
      <w:r w:rsidRPr="001D525A">
        <w:t>whether having an innate variation of sex characteristics should be included in any legislative list of protected characteristics. Having an innate variation of sex characteristics is clearly a marker of group identity that it would be unreasonable or oppressive to expect people to change.</w:t>
      </w:r>
      <w:r w:rsidRPr="001D525A">
        <w:rPr>
          <w:vertAlign w:val="superscript"/>
        </w:rPr>
        <w:footnoteReference w:id="725"/>
      </w:r>
      <w:r w:rsidRPr="001D525A">
        <w:t xml:space="preserve"> Although there is little contemporary data about the experiences of people with innate variations of sex characteristics, the long history of violence, stigmatisation and dehumanisation suffered by people </w:t>
      </w:r>
      <w:r w:rsidR="00D124D8">
        <w:t>who</w:t>
      </w:r>
      <w:r w:rsidR="00D124D8" w:rsidRPr="001D525A">
        <w:t xml:space="preserve"> </w:t>
      </w:r>
      <w:r w:rsidRPr="001D525A">
        <w:t>fall into this category is well known.</w:t>
      </w:r>
      <w:r w:rsidRPr="001D525A">
        <w:rPr>
          <w:vertAlign w:val="superscript"/>
        </w:rPr>
        <w:footnoteReference w:id="726"/>
      </w:r>
      <w:r w:rsidRPr="001D525A">
        <w:t xml:space="preserve"> </w:t>
      </w:r>
      <w:r w:rsidR="00430120" w:rsidRPr="00400349">
        <w:rPr>
          <w:color w:val="auto"/>
        </w:rPr>
        <w:t>Te Aka Matua o te Ture |</w:t>
      </w:r>
      <w:r w:rsidRPr="00400349">
        <w:rPr>
          <w:color w:val="auto"/>
        </w:rPr>
        <w:t xml:space="preserve"> </w:t>
      </w:r>
      <w:r w:rsidRPr="001D525A">
        <w:t>Law Commission recently recommended including “having an innate variation of sex characteristics” in the list of prohibited grounds of discrimination in section 21 of the Human Rights Act.</w:t>
      </w:r>
      <w:r w:rsidRPr="001D525A">
        <w:rPr>
          <w:vertAlign w:val="superscript"/>
        </w:rPr>
        <w:footnoteReference w:id="727"/>
      </w:r>
    </w:p>
    <w:p w14:paraId="38FBE1E8" w14:textId="77777777" w:rsidR="001D525A" w:rsidRPr="001D525A" w:rsidRDefault="001D525A" w:rsidP="00C3676D">
      <w:pPr>
        <w:pStyle w:val="BodyText"/>
      </w:pPr>
      <w:r w:rsidRPr="001D525A">
        <w:t>We do not, however, recommend adding this characteristic to the illustrative list in section</w:t>
      </w:r>
      <w:r w:rsidRPr="001D525A">
        <w:rPr>
          <w:rFonts w:ascii="Calibri" w:hAnsi="Calibri" w:cs="Calibri"/>
        </w:rPr>
        <w:t> </w:t>
      </w:r>
      <w:r w:rsidRPr="001D525A">
        <w:t>9(1)(h) as part of this review.</w:t>
      </w:r>
    </w:p>
    <w:p w14:paraId="321658A6" w14:textId="604CF5DB" w:rsidR="001D525A" w:rsidRPr="001D525A" w:rsidRDefault="001D525A" w:rsidP="00C3676D">
      <w:pPr>
        <w:pStyle w:val="BodyText"/>
      </w:pPr>
      <w:r w:rsidRPr="001D525A">
        <w:t xml:space="preserve">First, as we did not seek feedback on this issue, we are unlikely to have heard a full range of views on it. For example, we have not had the opportunity as part of this review to consult with people with innate variations of sex characteristics about whether adding this characteristic to section 9(1)(h) is desirable and, if so, how </w:t>
      </w:r>
      <w:r w:rsidR="0073405C">
        <w:t>it</w:t>
      </w:r>
      <w:r w:rsidRPr="001D525A">
        <w:t xml:space="preserve"> should be worded.</w:t>
      </w:r>
      <w:r w:rsidRPr="001D525A">
        <w:rPr>
          <w:vertAlign w:val="superscript"/>
        </w:rPr>
        <w:footnoteReference w:id="728"/>
      </w:r>
      <w:r w:rsidRPr="001D525A">
        <w:t xml:space="preserve"> </w:t>
      </w:r>
    </w:p>
    <w:p w14:paraId="1E53AA34" w14:textId="5BCB2D64" w:rsidR="001D525A" w:rsidRPr="001D525A" w:rsidRDefault="001D525A" w:rsidP="00C3676D">
      <w:pPr>
        <w:pStyle w:val="BodyText"/>
      </w:pPr>
      <w:r w:rsidRPr="001D525A">
        <w:t>Second, as explained earlier, we would only recommend reform to the wording of section 9(1)(h) as part of this review if there was a clear problem with the operation of the current law. We have no evidence that is the case. We have no information about the prevalence in Aotearoa New Zealand of hate crimes against people in this group. We are not aware of any case in which the issue has been raised. We received only one submission on the issue</w:t>
      </w:r>
      <w:r w:rsidR="00745894">
        <w:t>,</w:t>
      </w:r>
      <w:r w:rsidRPr="001D525A">
        <w:t xml:space="preserve"> and it did not identify a specific problem with the operation of the current law. </w:t>
      </w:r>
    </w:p>
    <w:p w14:paraId="0AB554D3" w14:textId="2BA5073D" w:rsidR="001D525A" w:rsidRPr="001D525A" w:rsidRDefault="001D525A" w:rsidP="00E854B9">
      <w:pPr>
        <w:pStyle w:val="BodyText"/>
      </w:pPr>
      <w:r w:rsidRPr="001D525A">
        <w:t>Third, we are confident that crimes motivated by hostility to</w:t>
      </w:r>
      <w:r w:rsidR="001B490D">
        <w:t>wards</w:t>
      </w:r>
      <w:r w:rsidRPr="001D525A">
        <w:t xml:space="preserve"> people with innate variations of sex characteristics would already fall within the scope of section</w:t>
      </w:r>
      <w:r w:rsidR="008B14B2">
        <w:rPr>
          <w:rFonts w:ascii="Calibri" w:hAnsi="Calibri" w:cs="Calibri"/>
        </w:rPr>
        <w:t> </w:t>
      </w:r>
      <w:r w:rsidRPr="001D525A">
        <w:t xml:space="preserve">9(1)(h). </w:t>
      </w:r>
      <w:r w:rsidR="00F02273">
        <w:t>H</w:t>
      </w:r>
      <w:r w:rsidRPr="001D525A">
        <w:t>aving an innate variation of sex characteristics is evidently an enduring common characteristic. This distinguishes the position from that under the Human Rights Act</w:t>
      </w:r>
      <w:r w:rsidR="003A706F">
        <w:t>,</w:t>
      </w:r>
      <w:r w:rsidRPr="001D525A">
        <w:t xml:space="preserve"> which, as explained earlier, contains a closed list of prohibited grounds</w:t>
      </w:r>
      <w:r w:rsidR="00370E10">
        <w:t xml:space="preserve"> of discrimination</w:t>
      </w:r>
      <w:r w:rsidRPr="001D525A">
        <w:t xml:space="preserve">. </w:t>
      </w:r>
    </w:p>
    <w:p w14:paraId="6983E483" w14:textId="77BB7B15" w:rsidR="001D525A" w:rsidRPr="001D525A" w:rsidRDefault="001D525A" w:rsidP="00E854B9">
      <w:pPr>
        <w:pStyle w:val="BodyText"/>
      </w:pPr>
      <w:r w:rsidRPr="001D525A">
        <w:t xml:space="preserve">Finally, it is worth noting that, in a hate crime context, it is the offender’s perception that a person has a characteristic that matters — not whether they in fact do have that characteristic. If, for example, an offence was committed against a person with an innate variation because the offender perceived them </w:t>
      </w:r>
      <w:r w:rsidR="00EE1570">
        <w:t>to be</w:t>
      </w:r>
      <w:r w:rsidR="00EE1570" w:rsidRPr="001D525A">
        <w:t xml:space="preserve"> </w:t>
      </w:r>
      <w:r w:rsidRPr="001D525A">
        <w:t xml:space="preserve">gender </w:t>
      </w:r>
      <w:r w:rsidR="00E10A41">
        <w:t>non-</w:t>
      </w:r>
      <w:r w:rsidRPr="001D525A">
        <w:t xml:space="preserve">conforming or gay, that would be covered by the ‘gender identity’ or ‘sexual orientation’ characteristic. </w:t>
      </w:r>
    </w:p>
    <w:p w14:paraId="03E268D5" w14:textId="77777777" w:rsidR="001D525A" w:rsidRPr="001D525A" w:rsidRDefault="001D525A" w:rsidP="00342828">
      <w:pPr>
        <w:pStyle w:val="Heading3"/>
      </w:pPr>
      <w:r w:rsidRPr="001D525A">
        <w:t>Hostility based on age and disability</w:t>
      </w:r>
    </w:p>
    <w:p w14:paraId="1FDC74CB" w14:textId="70C9B478" w:rsidR="001D525A" w:rsidRPr="001D525A" w:rsidRDefault="001D525A" w:rsidP="00E854B9">
      <w:pPr>
        <w:pStyle w:val="BodyText"/>
      </w:pPr>
      <w:r w:rsidRPr="001D525A">
        <w:t xml:space="preserve">In our Consultation Paper, we asked whether certain characteristics listed in section 9(1)(h) might overlap so directly with other aggravating factors in the Sentencing Act that their inclusion in the list might lead to confusion or double counting. We identified, in particular, section 9(1)(g), which lists as an aggravating factor the </w:t>
      </w:r>
      <w:r w:rsidR="0012135C">
        <w:t>“</w:t>
      </w:r>
      <w:r w:rsidRPr="001D525A">
        <w:t>vulnerability of the victim</w:t>
      </w:r>
      <w:r w:rsidR="0012135C">
        <w:t>”</w:t>
      </w:r>
      <w:r w:rsidRPr="001D525A">
        <w:t xml:space="preserve">. We suggested this aggravating factor will often apply in circumstances where the victim is vulnerable due to their age or disability and sought feedback on whether it </w:t>
      </w:r>
      <w:r w:rsidR="00F0689E">
        <w:t>is</w:t>
      </w:r>
      <w:r w:rsidR="00F0689E" w:rsidRPr="001D525A">
        <w:t xml:space="preserve"> </w:t>
      </w:r>
      <w:r w:rsidRPr="001D525A">
        <w:t>therefore unnecessary to also list age and disability as characteristics in section 9(1)(h).</w:t>
      </w:r>
      <w:r w:rsidRPr="001D525A">
        <w:rPr>
          <w:vertAlign w:val="superscript"/>
        </w:rPr>
        <w:footnoteReference w:id="729"/>
      </w:r>
      <w:r w:rsidRPr="001D525A">
        <w:t xml:space="preserve"> </w:t>
      </w:r>
    </w:p>
    <w:p w14:paraId="6779592C" w14:textId="77777777" w:rsidR="001D525A" w:rsidRPr="001D525A" w:rsidRDefault="001D525A" w:rsidP="00342828">
      <w:pPr>
        <w:pStyle w:val="Heading4"/>
      </w:pPr>
      <w:r w:rsidRPr="001D525A">
        <w:t>Consultation</w:t>
      </w:r>
    </w:p>
    <w:p w14:paraId="355EED7D" w14:textId="3B481415" w:rsidR="001D525A" w:rsidRPr="001D525A" w:rsidRDefault="000F7CA1" w:rsidP="00E854B9">
      <w:pPr>
        <w:pStyle w:val="BodyText"/>
      </w:pPr>
      <w:r>
        <w:t>Eleven</w:t>
      </w:r>
      <w:r w:rsidR="001D525A" w:rsidRPr="001D525A">
        <w:t xml:space="preserve"> submitters said section 9(1)(h) should continue to refer to disability</w:t>
      </w:r>
      <w:r w:rsidR="001D525A" w:rsidRPr="001D525A">
        <w:rPr>
          <w:vertAlign w:val="superscript"/>
        </w:rPr>
        <w:footnoteReference w:id="730"/>
      </w:r>
      <w:r w:rsidR="00936FA4">
        <w:t xml:space="preserve"> and made the following</w:t>
      </w:r>
      <w:r w:rsidR="001D525A" w:rsidRPr="001D525A">
        <w:t xml:space="preserve"> points:</w:t>
      </w:r>
    </w:p>
    <w:p w14:paraId="15C99B98" w14:textId="77777777" w:rsidR="00B0105A" w:rsidRPr="002803B7" w:rsidRDefault="00B0105A" w:rsidP="00D8103B">
      <w:pPr>
        <w:pStyle w:val="BodyText"/>
        <w:numPr>
          <w:ilvl w:val="3"/>
          <w:numId w:val="40"/>
        </w:numPr>
      </w:pPr>
      <w:r w:rsidRPr="002803B7">
        <w:t>Aotearoa New Zealand has a shameful history regarding its treatment of disabled people.</w:t>
      </w:r>
      <w:r w:rsidRPr="002803B7">
        <w:rPr>
          <w:vertAlign w:val="superscript"/>
        </w:rPr>
        <w:footnoteReference w:id="731"/>
      </w:r>
      <w:r w:rsidRPr="002803B7">
        <w:t xml:space="preserve"> The recent Royal Commission of Inquiry into Abuse in Care highlighted that disabled people experience abuse underpinned by ableism.</w:t>
      </w:r>
      <w:r w:rsidRPr="002803B7">
        <w:rPr>
          <w:vertAlign w:val="superscript"/>
        </w:rPr>
        <w:footnoteReference w:id="732"/>
      </w:r>
    </w:p>
    <w:p w14:paraId="7262DF1F" w14:textId="77777777" w:rsidR="00B0105A" w:rsidRPr="002803B7" w:rsidRDefault="00B0105A" w:rsidP="00D8103B">
      <w:pPr>
        <w:pStyle w:val="BodyText"/>
        <w:numPr>
          <w:ilvl w:val="3"/>
          <w:numId w:val="40"/>
        </w:numPr>
      </w:pPr>
      <w:r w:rsidRPr="002803B7">
        <w:t>Having disability as a protected characteristic offers additional protection.</w:t>
      </w:r>
      <w:r w:rsidRPr="002803B7">
        <w:rPr>
          <w:vertAlign w:val="superscript"/>
        </w:rPr>
        <w:footnoteReference w:id="733"/>
      </w:r>
    </w:p>
    <w:p w14:paraId="56169E59" w14:textId="77777777" w:rsidR="00B0105A" w:rsidRPr="002803B7" w:rsidRDefault="00B0105A" w:rsidP="00D8103B">
      <w:pPr>
        <w:pStyle w:val="BodyText"/>
        <w:numPr>
          <w:ilvl w:val="3"/>
          <w:numId w:val="40"/>
        </w:numPr>
      </w:pPr>
      <w:r w:rsidRPr="002803B7">
        <w:t>Disabled people are targeted both because they are vulnerable</w:t>
      </w:r>
      <w:r w:rsidRPr="002803B7">
        <w:rPr>
          <w:vertAlign w:val="superscript"/>
        </w:rPr>
        <w:footnoteReference w:id="734"/>
      </w:r>
      <w:r w:rsidRPr="002803B7">
        <w:t xml:space="preserve"> and because some people believe they should not exist.</w:t>
      </w:r>
      <w:r w:rsidRPr="002803B7">
        <w:rPr>
          <w:vertAlign w:val="superscript"/>
        </w:rPr>
        <w:footnoteReference w:id="735"/>
      </w:r>
      <w:r w:rsidRPr="002803B7" w:rsidDel="00985BE3">
        <w:t xml:space="preserve"> </w:t>
      </w:r>
    </w:p>
    <w:p w14:paraId="3CC5A05D" w14:textId="77777777" w:rsidR="00B0105A" w:rsidRPr="002803B7" w:rsidRDefault="00B0105A" w:rsidP="00D8103B">
      <w:pPr>
        <w:pStyle w:val="BodyText"/>
        <w:numPr>
          <w:ilvl w:val="3"/>
          <w:numId w:val="40"/>
        </w:numPr>
      </w:pPr>
      <w:r w:rsidRPr="002803B7">
        <w:t xml:space="preserve">The apparent absence of hate crimes against disabled people is likely due to them being invisible within the justice system, having their complaints diminished and not being </w:t>
      </w:r>
      <w:r>
        <w:t>afforded</w:t>
      </w:r>
      <w:r w:rsidRPr="002803B7">
        <w:t xml:space="preserve"> reasonable accommodations</w:t>
      </w:r>
      <w:r>
        <w:t xml:space="preserve"> in justice processes</w:t>
      </w:r>
      <w:r w:rsidRPr="002803B7">
        <w:t>.</w:t>
      </w:r>
      <w:r w:rsidRPr="002803B7">
        <w:rPr>
          <w:vertAlign w:val="superscript"/>
        </w:rPr>
        <w:footnoteReference w:id="736"/>
      </w:r>
    </w:p>
    <w:p w14:paraId="78A2550D" w14:textId="77777777" w:rsidR="00E56D0F" w:rsidRDefault="00E56D0F" w:rsidP="00E854B9">
      <w:pPr>
        <w:pStyle w:val="BodyText"/>
      </w:pPr>
      <w:r>
        <w:t>No submitters clearly supported removing disability from the list of characteristics.</w:t>
      </w:r>
    </w:p>
    <w:p w14:paraId="04A5D612" w14:textId="1591AB1D" w:rsidR="001D525A" w:rsidRPr="001D525A" w:rsidRDefault="001D525A" w:rsidP="00E854B9">
      <w:pPr>
        <w:pStyle w:val="BodyText"/>
      </w:pPr>
      <w:r w:rsidRPr="001D525A">
        <w:t>Eight submitters said section 9(1)(h) should continue to apply to age.</w:t>
      </w:r>
      <w:r w:rsidRPr="001D525A">
        <w:rPr>
          <w:vertAlign w:val="superscript"/>
        </w:rPr>
        <w:footnoteReference w:id="737"/>
      </w:r>
      <w:r w:rsidRPr="001D525A">
        <w:t xml:space="preserve"> </w:t>
      </w:r>
      <w:r w:rsidR="002F423E">
        <w:t>One</w:t>
      </w:r>
      <w:r w:rsidR="00201EE4">
        <w:t xml:space="preserve"> of these submitters</w:t>
      </w:r>
      <w:r w:rsidR="002F423E" w:rsidRPr="001D525A">
        <w:t xml:space="preserve"> </w:t>
      </w:r>
      <w:r w:rsidRPr="001D525A">
        <w:t xml:space="preserve">said </w:t>
      </w:r>
      <w:r w:rsidR="00762855">
        <w:t xml:space="preserve">that </w:t>
      </w:r>
      <w:r w:rsidRPr="001D525A">
        <w:t xml:space="preserve">hate crimes based on age appear uncommon </w:t>
      </w:r>
      <w:r w:rsidR="005C242D">
        <w:t>because</w:t>
      </w:r>
      <w:r w:rsidR="005C242D" w:rsidRPr="001D525A">
        <w:t xml:space="preserve"> </w:t>
      </w:r>
      <w:r w:rsidRPr="001D525A">
        <w:t xml:space="preserve">older people are invisible to </w:t>
      </w:r>
      <w:r w:rsidR="006A08EC">
        <w:t>P</w:t>
      </w:r>
      <w:r w:rsidRPr="001D525A">
        <w:t>olice and justice processes.</w:t>
      </w:r>
      <w:r w:rsidRPr="001D525A">
        <w:rPr>
          <w:vertAlign w:val="superscript"/>
        </w:rPr>
        <w:footnoteReference w:id="738"/>
      </w:r>
      <w:r w:rsidRPr="001D525A">
        <w:t xml:space="preserve"> </w:t>
      </w:r>
      <w:r w:rsidR="005C242D" w:rsidRPr="001D525A">
        <w:t>One submitter said crimes based on age are due to a person’s vulnerability</w:t>
      </w:r>
      <w:r w:rsidR="00BD6B4A">
        <w:t>,</w:t>
      </w:r>
      <w:r w:rsidR="005C242D" w:rsidRPr="001D525A">
        <w:t xml:space="preserve"> not </w:t>
      </w:r>
      <w:r w:rsidR="00BD6B4A">
        <w:t xml:space="preserve">due to </w:t>
      </w:r>
      <w:r w:rsidR="005C242D" w:rsidRPr="001D525A">
        <w:t>hostility</w:t>
      </w:r>
      <w:r w:rsidR="004654EC">
        <w:t>,</w:t>
      </w:r>
      <w:r w:rsidR="005C242D">
        <w:t xml:space="preserve"> and supported removing age from the illustrative list</w:t>
      </w:r>
      <w:r w:rsidR="005C242D" w:rsidRPr="001D525A">
        <w:t>.</w:t>
      </w:r>
      <w:r w:rsidR="005C242D" w:rsidRPr="001D525A">
        <w:rPr>
          <w:vertAlign w:val="superscript"/>
        </w:rPr>
        <w:footnoteReference w:id="739"/>
      </w:r>
      <w:r w:rsidR="005C242D" w:rsidRPr="001D525A">
        <w:t xml:space="preserve"> </w:t>
      </w:r>
      <w:r w:rsidRPr="001D525A">
        <w:t xml:space="preserve">Many submitters who commented </w:t>
      </w:r>
      <w:r w:rsidR="004654EC">
        <w:t>on</w:t>
      </w:r>
      <w:r w:rsidR="004654EC" w:rsidRPr="001D525A">
        <w:t xml:space="preserve"> </w:t>
      </w:r>
      <w:r w:rsidRPr="001D525A">
        <w:t>age as a protected characteristic acknowledged there is debate about its inclusion in section 9(1)(h).</w:t>
      </w:r>
    </w:p>
    <w:p w14:paraId="7A2A2608" w14:textId="77777777" w:rsidR="00B0105A" w:rsidRPr="00FD46FE" w:rsidRDefault="00B0105A" w:rsidP="00B0105A">
      <w:pPr>
        <w:pStyle w:val="Heading4"/>
      </w:pPr>
      <w:r w:rsidRPr="00FD46FE">
        <w:t>Reform not recommended</w:t>
      </w:r>
    </w:p>
    <w:p w14:paraId="3E0206CE" w14:textId="5971FE18" w:rsidR="001D525A" w:rsidRPr="001D525A" w:rsidRDefault="00875541" w:rsidP="00E854B9">
      <w:pPr>
        <w:pStyle w:val="BodyText"/>
      </w:pPr>
      <w:r>
        <w:t>We</w:t>
      </w:r>
      <w:r w:rsidR="001D525A" w:rsidRPr="001D525A">
        <w:t xml:space="preserve"> do not recommend removing the characteristics of age or disability from section</w:t>
      </w:r>
      <w:r w:rsidR="00C927AC">
        <w:rPr>
          <w:rFonts w:ascii="Calibri" w:hAnsi="Calibri" w:cs="Calibri"/>
        </w:rPr>
        <w:t> </w:t>
      </w:r>
      <w:r w:rsidR="001D525A" w:rsidRPr="001D525A">
        <w:t>9(1)(h) as part of this review. There was no clear support from submitters for doing so, and we have not identified a significant problem with the status quo. Removing these characteristics from an existing list would send the undesirable message that hostility toward</w:t>
      </w:r>
      <w:r w:rsidR="00E80DA7">
        <w:t>s</w:t>
      </w:r>
      <w:r w:rsidR="001D525A" w:rsidRPr="001D525A">
        <w:t xml:space="preserve"> these groups is not taken seriously. This would be inconsistent with one of the objectives of hate crime law — to reassure victims and affected communities. </w:t>
      </w:r>
    </w:p>
    <w:p w14:paraId="6ECBD716" w14:textId="1B21D07C" w:rsidR="001D525A" w:rsidRPr="001D525A" w:rsidRDefault="001D525A" w:rsidP="00E854B9">
      <w:pPr>
        <w:pStyle w:val="BodyText"/>
      </w:pPr>
      <w:r w:rsidRPr="001D525A">
        <w:t>Although there may be a theoretical risk of double counting</w:t>
      </w:r>
      <w:r w:rsidR="00FA063B">
        <w:t xml:space="preserve"> due to overlap with the vulnerability aggravating factor</w:t>
      </w:r>
      <w:r w:rsidRPr="001D525A">
        <w:t xml:space="preserve">, we found no evidence this has occurred to date. Indeed, we did not identify any cases </w:t>
      </w:r>
      <w:r w:rsidR="00E96648">
        <w:t>in which</w:t>
      </w:r>
      <w:r w:rsidR="00E96648" w:rsidRPr="001D525A">
        <w:t xml:space="preserve"> </w:t>
      </w:r>
      <w:r w:rsidRPr="001D525A">
        <w:t>the hostility aggravating factor has been applied based on age or disability.</w:t>
      </w:r>
      <w:r w:rsidRPr="001D525A">
        <w:rPr>
          <w:vertAlign w:val="superscript"/>
        </w:rPr>
        <w:footnoteReference w:id="740"/>
      </w:r>
    </w:p>
    <w:p w14:paraId="1D07676C" w14:textId="0865040E" w:rsidR="001D525A" w:rsidRPr="001D525A" w:rsidRDefault="001D525A" w:rsidP="00E854B9">
      <w:pPr>
        <w:pStyle w:val="BodyText"/>
      </w:pPr>
      <w:r w:rsidRPr="001D525A">
        <w:t xml:space="preserve">As discussed in Chapter 7, all aggravating factors relating to an offence are considered together at the first step of the sentencing process to assess the seriousness of the offence and determine the sentence starting point. In practice, it is uncommon for courts to identify discrete uplifts for specific aggravating factors. This assessment of seriousness in the round means double counting is less likely to occur. The law reforms we recommend will not interfere with that — judges </w:t>
      </w:r>
      <w:r w:rsidR="007905F4">
        <w:t>would</w:t>
      </w:r>
      <w:r w:rsidR="007905F4" w:rsidRPr="001D525A">
        <w:t xml:space="preserve"> </w:t>
      </w:r>
      <w:r w:rsidRPr="001D525A">
        <w:t xml:space="preserve">be </w:t>
      </w:r>
      <w:r w:rsidR="007905F4">
        <w:t>required</w:t>
      </w:r>
      <w:r w:rsidR="007905F4" w:rsidRPr="001D525A">
        <w:t xml:space="preserve"> </w:t>
      </w:r>
      <w:r w:rsidRPr="001D525A">
        <w:t xml:space="preserve">to </w:t>
      </w:r>
      <w:r w:rsidR="007905F4">
        <w:t>state</w:t>
      </w:r>
      <w:r w:rsidR="007905F4" w:rsidRPr="001D525A">
        <w:t xml:space="preserve"> </w:t>
      </w:r>
      <w:r w:rsidRPr="001D525A">
        <w:t>when they have relied on section 9(1)(h)</w:t>
      </w:r>
      <w:r w:rsidR="00997F63">
        <w:t xml:space="preserve"> (under R4)</w:t>
      </w:r>
      <w:r w:rsidRPr="001D525A">
        <w:t xml:space="preserve"> but </w:t>
      </w:r>
      <w:r w:rsidR="007905F4">
        <w:t>would</w:t>
      </w:r>
      <w:r w:rsidR="007905F4" w:rsidRPr="001D525A">
        <w:t xml:space="preserve"> </w:t>
      </w:r>
      <w:r w:rsidRPr="001D525A">
        <w:t xml:space="preserve">not be required to </w:t>
      </w:r>
      <w:r w:rsidR="007905F4">
        <w:t>specify</w:t>
      </w:r>
      <w:r w:rsidR="007905F4" w:rsidRPr="001D525A">
        <w:t xml:space="preserve"> </w:t>
      </w:r>
      <w:r w:rsidRPr="001D525A">
        <w:t>a discrete uplift.</w:t>
      </w:r>
    </w:p>
    <w:p w14:paraId="40175A99" w14:textId="350802B8" w:rsidR="001D525A" w:rsidRPr="001D525A" w:rsidRDefault="001D525A" w:rsidP="00E854B9">
      <w:pPr>
        <w:pStyle w:val="BodyText"/>
      </w:pPr>
      <w:r w:rsidRPr="001D525A">
        <w:t xml:space="preserve">Hostility and vulnerability are different considerations that can apply in different situations. Not all offending that targets people based on age or disability will involve </w:t>
      </w:r>
      <w:r w:rsidR="00DA4677">
        <w:t>hostility</w:t>
      </w:r>
      <w:r w:rsidRPr="001D525A">
        <w:t>. In many cases, the vulnerability factor may be more relevant. In some instances, however, people may be targeted because of hostility based on their age or disability. Where that occurs, the hostility aggravating factor can and should apply.</w:t>
      </w:r>
    </w:p>
    <w:p w14:paraId="6796F9C4" w14:textId="77777777" w:rsidR="00F92181" w:rsidRPr="00F92181" w:rsidRDefault="00F92181" w:rsidP="00F92181">
      <w:pPr>
        <w:pStyle w:val="Heading2"/>
      </w:pPr>
      <w:bookmarkStart w:id="159" w:name="_Toc231467864"/>
      <w:r w:rsidRPr="00F92181">
        <w:t>Partial motivation</w:t>
      </w:r>
      <w:bookmarkEnd w:id="159"/>
    </w:p>
    <w:p w14:paraId="25F8B6BC" w14:textId="4BB80DD3" w:rsidR="00F92181" w:rsidRPr="00F92181" w:rsidRDefault="00F92181" w:rsidP="00E854B9">
      <w:pPr>
        <w:pStyle w:val="BodyText"/>
      </w:pPr>
      <w:r w:rsidRPr="00F92181">
        <w:t>The final aspect of the wording of section 9(1)(h) on which we consulted was the provision made in section 9(1)(h) for situations of partial motivation. Section 9(1)(h) applies if the offender committed the offence “partly or wholly” because of hostility to</w:t>
      </w:r>
      <w:r w:rsidR="00FD119D">
        <w:t>wards</w:t>
      </w:r>
      <w:r w:rsidRPr="00F92181">
        <w:t xml:space="preserve"> a relevant group. Commentators had expressed concern that this could lead to the courts relying on the aggravating factor where the hostile motivation was only a “trivial factor” in the offending.</w:t>
      </w:r>
      <w:r w:rsidRPr="00F92181">
        <w:rPr>
          <w:vertAlign w:val="superscript"/>
        </w:rPr>
        <w:footnoteReference w:id="741"/>
      </w:r>
      <w:r w:rsidRPr="00F92181">
        <w:t xml:space="preserve"> In our Consultation Paper, we sought feedback on this concern.</w:t>
      </w:r>
      <w:r w:rsidRPr="00F92181">
        <w:rPr>
          <w:vertAlign w:val="superscript"/>
        </w:rPr>
        <w:footnoteReference w:id="742"/>
      </w:r>
      <w:r w:rsidRPr="00F92181">
        <w:t xml:space="preserve"> </w:t>
      </w:r>
    </w:p>
    <w:p w14:paraId="51871EAA" w14:textId="77777777" w:rsidR="00B0105A" w:rsidRPr="00FD46FE" w:rsidRDefault="00B0105A" w:rsidP="00B0105A">
      <w:pPr>
        <w:pStyle w:val="Heading3"/>
      </w:pPr>
      <w:r w:rsidRPr="00FD46FE">
        <w:t>Consultation</w:t>
      </w:r>
    </w:p>
    <w:p w14:paraId="47B04DD4" w14:textId="115B0BBB" w:rsidR="00B0105A" w:rsidRPr="002803B7" w:rsidRDefault="00B0105A" w:rsidP="00E854B9">
      <w:pPr>
        <w:pStyle w:val="BodyText"/>
      </w:pPr>
      <w:r w:rsidRPr="002803B7">
        <w:t xml:space="preserve">No submitters </w:t>
      </w:r>
      <w:r w:rsidR="00F92181" w:rsidRPr="00F92181">
        <w:t>told us</w:t>
      </w:r>
      <w:r w:rsidRPr="002803B7">
        <w:t xml:space="preserve"> the inclusion of partial motivation in section 9(1)(h) is problematic. </w:t>
      </w:r>
      <w:r>
        <w:t xml:space="preserve">Some submitters </w:t>
      </w:r>
      <w:r w:rsidR="00F744C7">
        <w:t>made the following points</w:t>
      </w:r>
      <w:r>
        <w:t xml:space="preserve">: </w:t>
      </w:r>
    </w:p>
    <w:p w14:paraId="51A69156" w14:textId="4476C328" w:rsidR="00B0105A" w:rsidRPr="002803B7" w:rsidRDefault="00B0105A" w:rsidP="00D8103B">
      <w:pPr>
        <w:pStyle w:val="BodyText"/>
        <w:numPr>
          <w:ilvl w:val="3"/>
          <w:numId w:val="37"/>
        </w:numPr>
      </w:pPr>
      <w:r w:rsidRPr="002803B7">
        <w:t>For any offence</w:t>
      </w:r>
      <w:r w:rsidR="00CC3581">
        <w:t>,</w:t>
      </w:r>
      <w:r w:rsidRPr="002803B7">
        <w:t xml:space="preserve"> it is plausible that there may be multiple motivations and a lack of direct evidence of them.</w:t>
      </w:r>
      <w:r w:rsidRPr="002803B7">
        <w:rPr>
          <w:vertAlign w:val="superscript"/>
        </w:rPr>
        <w:footnoteReference w:id="743"/>
      </w:r>
    </w:p>
    <w:p w14:paraId="7E22697A" w14:textId="732A1402" w:rsidR="00B0105A" w:rsidRPr="002803B7" w:rsidRDefault="00B0105A" w:rsidP="00D8103B">
      <w:pPr>
        <w:pStyle w:val="BodyText"/>
        <w:numPr>
          <w:ilvl w:val="3"/>
          <w:numId w:val="37"/>
        </w:numPr>
      </w:pPr>
      <w:r w:rsidRPr="002803B7">
        <w:t>Section 9 requires the court to take the offender’s hostility into account only to the extent it is applicable in the case.</w:t>
      </w:r>
      <w:r w:rsidRPr="002803B7">
        <w:rPr>
          <w:vertAlign w:val="superscript"/>
        </w:rPr>
        <w:footnoteReference w:id="744"/>
      </w:r>
      <w:r w:rsidRPr="002803B7">
        <w:t xml:space="preserve"> </w:t>
      </w:r>
      <w:r>
        <w:t>If</w:t>
      </w:r>
      <w:r w:rsidRPr="002803B7">
        <w:t xml:space="preserve"> the hostility was </w:t>
      </w:r>
      <w:r>
        <w:t xml:space="preserve">not a significant </w:t>
      </w:r>
      <w:r w:rsidRPr="002803B7">
        <w:t>motivation</w:t>
      </w:r>
      <w:r w:rsidR="00386CA0">
        <w:t>,</w:t>
      </w:r>
      <w:r w:rsidRPr="002803B7">
        <w:t xml:space="preserve"> this aggravating factor </w:t>
      </w:r>
      <w:r w:rsidR="00F92181" w:rsidRPr="00F92181">
        <w:t>would</w:t>
      </w:r>
      <w:r w:rsidRPr="002803B7">
        <w:t xml:space="preserve"> not weigh heavily in the court’s determination.</w:t>
      </w:r>
    </w:p>
    <w:p w14:paraId="09357A57" w14:textId="77777777" w:rsidR="00F92181" w:rsidRPr="00F92181" w:rsidRDefault="00F92181" w:rsidP="00D8103B">
      <w:pPr>
        <w:pStyle w:val="BodyText"/>
        <w:numPr>
          <w:ilvl w:val="3"/>
          <w:numId w:val="37"/>
        </w:numPr>
      </w:pPr>
      <w:r w:rsidRPr="00F92181">
        <w:t>If there is an issue as to the extent of the motivation, this can be dealt with under section 24 of the Sentencing Act.</w:t>
      </w:r>
      <w:r w:rsidRPr="00F92181">
        <w:rPr>
          <w:vertAlign w:val="superscript"/>
        </w:rPr>
        <w:footnoteReference w:id="745"/>
      </w:r>
      <w:r w:rsidRPr="00F92181">
        <w:t xml:space="preserve"> Section 24 provides that, if a fact relevant to sentencing is disputed by the offender, it must be proven beyond reasonable doubt at a disputed facts hearing.</w:t>
      </w:r>
    </w:p>
    <w:p w14:paraId="63A30963" w14:textId="77777777" w:rsidR="00B0105A" w:rsidRPr="00FD46FE" w:rsidRDefault="00B0105A" w:rsidP="00B0105A">
      <w:pPr>
        <w:pStyle w:val="Heading3"/>
      </w:pPr>
      <w:r w:rsidRPr="00FD46FE">
        <w:t>Reform not recommended</w:t>
      </w:r>
    </w:p>
    <w:p w14:paraId="00ABF422" w14:textId="39DC990B" w:rsidR="00F92181" w:rsidRPr="00F92181" w:rsidRDefault="00F92181" w:rsidP="00E854B9">
      <w:pPr>
        <w:pStyle w:val="BodyText"/>
      </w:pPr>
      <w:r w:rsidRPr="00F92181">
        <w:t>We do not recommend reform on this issue as part of this review. There was no support</w:t>
      </w:r>
      <w:r w:rsidR="006C4463">
        <w:t xml:space="preserve"> for reform</w:t>
      </w:r>
      <w:r w:rsidRPr="00F92181">
        <w:t xml:space="preserve"> from submitters</w:t>
      </w:r>
      <w:r w:rsidR="000C71E2">
        <w:t>,</w:t>
      </w:r>
      <w:r w:rsidRPr="00F92181">
        <w:t xml:space="preserve"> and from the case law we have reviewed, we have not identified a problem in practice. Specifically, we did not </w:t>
      </w:r>
      <w:r w:rsidR="009763A1">
        <w:t>find</w:t>
      </w:r>
      <w:r w:rsidR="009763A1" w:rsidRPr="00F92181">
        <w:t xml:space="preserve"> </w:t>
      </w:r>
      <w:r w:rsidRPr="00F92181">
        <w:t>any examples of the courts relying on the aggravating factor where the hostile motivation was only a trivial factor in the offending.</w:t>
      </w:r>
    </w:p>
    <w:p w14:paraId="5FC175AC" w14:textId="1F42CDEE" w:rsidR="00F92181" w:rsidRPr="00F92181" w:rsidRDefault="00F92181" w:rsidP="00E854B9">
      <w:pPr>
        <w:pStyle w:val="BodyText"/>
      </w:pPr>
      <w:r w:rsidRPr="00F92181">
        <w:t xml:space="preserve">It is also unlikely such problems will eventuate in future. We agree with submitters that the risk of a relatively minor motivation having a significant impact on a sentence is low. The fact that an aggravating factor applies does not automatically increase an offender’s sentence. When determining the appropriate sentence, the courts consider not only </w:t>
      </w:r>
      <w:r w:rsidRPr="00F92181">
        <w:rPr>
          <w:i/>
          <w:iCs/>
        </w:rPr>
        <w:t>whether</w:t>
      </w:r>
      <w:r w:rsidRPr="00F92181">
        <w:t xml:space="preserve"> an aggravating factor applies but also </w:t>
      </w:r>
      <w:r w:rsidRPr="00F92181">
        <w:rPr>
          <w:i/>
          <w:iCs/>
        </w:rPr>
        <w:t xml:space="preserve">the extent to which </w:t>
      </w:r>
      <w:r w:rsidRPr="00F92181">
        <w:t>it applies and its significance in the context of the case.</w:t>
      </w:r>
      <w:r w:rsidRPr="00F92181">
        <w:rPr>
          <w:vertAlign w:val="superscript"/>
        </w:rPr>
        <w:footnoteReference w:id="746"/>
      </w:r>
      <w:r w:rsidRPr="00F92181">
        <w:t xml:space="preserve"> If hostility was a relatively minor factor in offending, its impact on the sentence would likely be small. </w:t>
      </w:r>
      <w:r w:rsidR="009E3653">
        <w:t>Our recommendations</w:t>
      </w:r>
      <w:r w:rsidRPr="00F92181">
        <w:t xml:space="preserve"> elsewhere in this </w:t>
      </w:r>
      <w:r w:rsidR="00A06CB7">
        <w:t>R</w:t>
      </w:r>
      <w:r w:rsidRPr="00F92181">
        <w:t xml:space="preserve">eport </w:t>
      </w:r>
      <w:r w:rsidR="009E3653">
        <w:t>would</w:t>
      </w:r>
      <w:r w:rsidR="009E3653" w:rsidRPr="00F92181">
        <w:t xml:space="preserve"> </w:t>
      </w:r>
      <w:r w:rsidRPr="00F92181">
        <w:t>not change that.</w:t>
      </w:r>
    </w:p>
    <w:p w14:paraId="1BCC1F9B" w14:textId="7B4DDBFC" w:rsidR="00F92181" w:rsidRPr="00F92181" w:rsidRDefault="00F92181" w:rsidP="00E854B9">
      <w:pPr>
        <w:pStyle w:val="BodyText"/>
      </w:pPr>
      <w:r w:rsidRPr="00F92181">
        <w:t xml:space="preserve">There are good reasons for applying the aggravating factor where an offence is committed only partly because of hostility. It is often difficult to identify one single motivation for an offence. For example, in </w:t>
      </w:r>
      <w:r w:rsidR="005764BA">
        <w:t xml:space="preserve">a </w:t>
      </w:r>
      <w:r w:rsidRPr="00F92181">
        <w:t xml:space="preserve">case </w:t>
      </w:r>
      <w:r w:rsidR="001D1C0B">
        <w:t>involving</w:t>
      </w:r>
      <w:r w:rsidRPr="00F92181">
        <w:t xml:space="preserve"> robbery or burglary, an offender may be motivated partly by financial gain as well as by hostility toward</w:t>
      </w:r>
      <w:r w:rsidR="00E80DA7">
        <w:t>s</w:t>
      </w:r>
      <w:r w:rsidRPr="00F92181">
        <w:t xml:space="preserve"> a group of people. The existence of other motivations does not necessarily diminish the harm caused by the offending — the victim has still been targeted based on their identity and this is likely to create fear of future victimisation for both the victim and the wider community. Nor does it necessarily diminish an offender’s culpability. The best approach is for the courts to apply the aggravating factor in such cases and to assess the significance of the hostility in the round.</w:t>
      </w:r>
    </w:p>
    <w:p w14:paraId="00E52D44" w14:textId="3E8CD9B3" w:rsidR="000B3200" w:rsidRPr="000B3200" w:rsidRDefault="00F92181" w:rsidP="00E854B9">
      <w:pPr>
        <w:pStyle w:val="BodyText"/>
      </w:pPr>
      <w:r w:rsidRPr="00F92181">
        <w:t xml:space="preserve">New Zealand law on this issue is consistent with approaches in </w:t>
      </w:r>
      <w:r w:rsidR="00834585">
        <w:t>other</w:t>
      </w:r>
      <w:r w:rsidRPr="00F92181">
        <w:t xml:space="preserve"> jurisdictions (including those with sentence aggravation provisions and those with specific offences). Most hate crime legislation specifies that partial motivation is sufficient.</w:t>
      </w:r>
      <w:r w:rsidRPr="00F92181">
        <w:rPr>
          <w:vertAlign w:val="superscript"/>
        </w:rPr>
        <w:footnoteReference w:id="747"/>
      </w:r>
      <w:r w:rsidRPr="00F92181">
        <w:t xml:space="preserve"> Some </w:t>
      </w:r>
      <w:r w:rsidR="004D0A1B">
        <w:t>equivalent</w:t>
      </w:r>
      <w:r w:rsidRPr="00F92181">
        <w:t xml:space="preserve"> legislation does not specify the level of motivation required</w:t>
      </w:r>
      <w:r w:rsidR="00005723">
        <w:t>,</w:t>
      </w:r>
      <w:r w:rsidRPr="00F92181">
        <w:rPr>
          <w:vertAlign w:val="superscript"/>
        </w:rPr>
        <w:footnoteReference w:id="748"/>
      </w:r>
      <w:r w:rsidRPr="00F92181">
        <w:t xml:space="preserve"> </w:t>
      </w:r>
      <w:r w:rsidR="006C7A17">
        <w:t>but</w:t>
      </w:r>
      <w:r w:rsidR="001178B2">
        <w:t xml:space="preserve"> i</w:t>
      </w:r>
      <w:r w:rsidRPr="00F92181">
        <w:t>n practice</w:t>
      </w:r>
      <w:r w:rsidRPr="00F92181" w:rsidDel="001178B2">
        <w:t xml:space="preserve">, </w:t>
      </w:r>
      <w:r w:rsidRPr="00F92181">
        <w:t>the courts</w:t>
      </w:r>
      <w:r w:rsidRPr="00F92181" w:rsidDel="001178B2">
        <w:t xml:space="preserve"> </w:t>
      </w:r>
      <w:r w:rsidR="00A811A2">
        <w:t xml:space="preserve">may </w:t>
      </w:r>
      <w:r w:rsidRPr="00F92181">
        <w:t>treat partial motivation as sufficient.</w:t>
      </w:r>
      <w:r w:rsidRPr="00F92181">
        <w:rPr>
          <w:vertAlign w:val="superscript"/>
        </w:rPr>
        <w:footnoteReference w:id="749"/>
      </w:r>
      <w:r w:rsidRPr="00F92181">
        <w:t xml:space="preserve"> None of the jurisdictions we examined specifically require that offending be motivated solely or predominantly by hostility to</w:t>
      </w:r>
      <w:r w:rsidR="000C2F10">
        <w:t>wards</w:t>
      </w:r>
      <w:r w:rsidRPr="00F92181">
        <w:t xml:space="preserve"> the target</w:t>
      </w:r>
      <w:r w:rsidR="000C2F10">
        <w:t>ed</w:t>
      </w:r>
      <w:r w:rsidRPr="00F92181">
        <w:t xml:space="preserve"> group.</w:t>
      </w:r>
    </w:p>
    <w:p w14:paraId="3B40C90A" w14:textId="77777777" w:rsidR="00A42BC3" w:rsidRPr="00A42BC3" w:rsidRDefault="00A42BC3" w:rsidP="000B3200">
      <w:pPr>
        <w:rPr>
          <w:highlight w:val="yellow"/>
        </w:rPr>
      </w:pPr>
    </w:p>
    <w:p w14:paraId="3F6D62F8" w14:textId="77777777" w:rsidR="00A42BC3" w:rsidRPr="00330E85" w:rsidRDefault="00A42BC3" w:rsidP="00A42BC3">
      <w:pPr>
        <w:pStyle w:val="BodyText"/>
        <w:numPr>
          <w:ilvl w:val="0"/>
          <w:numId w:val="0"/>
        </w:numPr>
        <w:ind w:left="709" w:hanging="709"/>
      </w:pPr>
      <w:r w:rsidRPr="00A42BC3">
        <w:rPr>
          <w:noProof/>
          <w:highlight w:val="yellow"/>
        </w:rPr>
        <mc:AlternateContent>
          <mc:Choice Requires="wps">
            <w:drawing>
              <wp:anchor distT="0" distB="0" distL="114300" distR="114300" simplePos="0" relativeHeight="251658264" behindDoc="0" locked="0" layoutInCell="1" allowOverlap="1" wp14:anchorId="13FD9B55" wp14:editId="5D9ED2AB">
                <wp:simplePos x="0" y="0"/>
                <wp:positionH relativeFrom="margin">
                  <wp:posOffset>0</wp:posOffset>
                </wp:positionH>
                <wp:positionV relativeFrom="paragraph">
                  <wp:posOffset>152078</wp:posOffset>
                </wp:positionV>
                <wp:extent cx="2721610" cy="0"/>
                <wp:effectExtent l="0" t="19050" r="21590" b="19050"/>
                <wp:wrapNone/>
                <wp:docPr id="221519911" name="Straight Connector 22151991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2C841" id="Straight Connector 221519911" o:spid="_x0000_s1026" style="position:absolute;z-index:251658264;visibility:visible;mso-wrap-style:square;mso-wrap-distance-left:9pt;mso-wrap-distance-top:0;mso-wrap-distance-right:9pt;mso-wrap-distance-bottom:0;mso-position-horizontal:absolute;mso-position-horizontal-relative:margin;mso-position-vertical:absolute;mso-position-vertical-relative:text" from="0,11.95pt" to="214.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" strokecolor="#5ca0b9" strokeweight="2.5pt">
                <w10:wrap anchorx="margin"/>
              </v:line>
            </w:pict>
          </mc:Fallback>
        </mc:AlternateContent>
      </w:r>
    </w:p>
    <w:p w14:paraId="627A91DE" w14:textId="77777777" w:rsidR="00A42BC3" w:rsidRPr="00330E85" w:rsidRDefault="00A42BC3" w:rsidP="00A42BC3">
      <w:pPr>
        <w:pStyle w:val="BodyText"/>
        <w:numPr>
          <w:ilvl w:val="0"/>
          <w:numId w:val="0"/>
        </w:numPr>
        <w:ind w:left="709" w:hanging="709"/>
      </w:pPr>
    </w:p>
    <w:p w14:paraId="059F2973" w14:textId="77777777" w:rsidR="009574AF" w:rsidRPr="00330E85" w:rsidRDefault="009574AF" w:rsidP="00033905">
      <w:pPr>
        <w:pStyle w:val="BodyText"/>
        <w:numPr>
          <w:ilvl w:val="0"/>
          <w:numId w:val="0"/>
        </w:numPr>
        <w:ind w:left="709" w:hanging="709"/>
      </w:pPr>
    </w:p>
    <w:p w14:paraId="42BB36E8" w14:textId="77777777" w:rsidR="00A42BC3" w:rsidRPr="00330E85" w:rsidRDefault="00A42BC3" w:rsidP="00A42BC3">
      <w:pPr>
        <w:spacing w:after="0" w:line="240" w:lineRule="auto"/>
      </w:pPr>
    </w:p>
    <w:p w14:paraId="23363F6B" w14:textId="77777777" w:rsidR="00A42BC3" w:rsidRPr="00330E85" w:rsidRDefault="00A42BC3" w:rsidP="00A42BC3">
      <w:pPr>
        <w:spacing w:after="0" w:line="240" w:lineRule="auto"/>
      </w:pPr>
    </w:p>
    <w:p w14:paraId="732BBD3E" w14:textId="77777777" w:rsidR="00A42BC3" w:rsidRPr="00330E85" w:rsidRDefault="00A42BC3" w:rsidP="00A42BC3">
      <w:pPr>
        <w:spacing w:after="0" w:line="240" w:lineRule="auto"/>
        <w:sectPr w:rsidR="00A42BC3" w:rsidRPr="00330E85" w:rsidSect="00A42BC3">
          <w:headerReference w:type="default" r:id="rId51"/>
          <w:footnotePr>
            <w:numRestart w:val="eachSect"/>
          </w:footnotePr>
          <w:pgSz w:w="11907" w:h="16840" w:code="9"/>
          <w:pgMar w:top="1134" w:right="1134" w:bottom="1134" w:left="1701" w:header="499" w:footer="46" w:gutter="0"/>
          <w:cols w:space="720"/>
        </w:sectPr>
      </w:pPr>
    </w:p>
    <w:p w14:paraId="7007D766" w14:textId="365E8005" w:rsidR="00A42BC3" w:rsidRPr="00330E85" w:rsidRDefault="00A42BC3" w:rsidP="00A42BC3">
      <w:pPr>
        <w:pStyle w:val="HEADING2topchapter-notinTOC"/>
        <w:rPr>
          <w:sz w:val="21"/>
          <w:szCs w:val="21"/>
        </w:rPr>
      </w:pPr>
      <w:r w:rsidRPr="00330E85">
        <w:t xml:space="preserve">CHAPTER </w:t>
      </w:r>
      <w:r w:rsidR="008C5E6D">
        <w:t>9</w:t>
      </w:r>
    </w:p>
    <w:p w14:paraId="77DF6933" w14:textId="77777777" w:rsidR="00A42BC3" w:rsidRPr="00330E85" w:rsidRDefault="00A42BC3" w:rsidP="00A42BC3">
      <w:pPr>
        <w:spacing w:after="0" w:line="200" w:lineRule="exact"/>
        <w:rPr>
          <w:szCs w:val="20"/>
        </w:rPr>
      </w:pPr>
      <w:r w:rsidRPr="00330E85">
        <w:rPr>
          <w:noProof/>
        </w:rPr>
        <mc:AlternateContent>
          <mc:Choice Requires="wpg">
            <w:drawing>
              <wp:anchor distT="0" distB="0" distL="114300" distR="114300" simplePos="0" relativeHeight="251658265" behindDoc="1" locked="0" layoutInCell="1" allowOverlap="1" wp14:anchorId="39E332B5" wp14:editId="1D214AF2">
                <wp:simplePos x="0" y="0"/>
                <wp:positionH relativeFrom="page">
                  <wp:posOffset>1079500</wp:posOffset>
                </wp:positionH>
                <wp:positionV relativeFrom="paragraph">
                  <wp:posOffset>120015</wp:posOffset>
                </wp:positionV>
                <wp:extent cx="1332230" cy="1270"/>
                <wp:effectExtent l="0" t="19050" r="1270" b="0"/>
                <wp:wrapNone/>
                <wp:docPr id="2114933486" name="Group 211493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5095528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62709" id="Group 2114933486" o:spid="_x0000_s1026" style="position:absolute;margin-left:85pt;margin-top:9.45pt;width:104.9pt;height:.1pt;z-index:-25165821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CydeZU/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50D3C130" w14:textId="6BF7ECF8" w:rsidR="00A42BC3" w:rsidRPr="00330E85" w:rsidRDefault="007B188D" w:rsidP="00A42BC3">
      <w:pPr>
        <w:pStyle w:val="Heading1"/>
        <w:rPr>
          <w:rFonts w:eastAsia="Metropolis Black"/>
        </w:rPr>
      </w:pPr>
      <w:bookmarkStart w:id="160" w:name="_Toc231467865"/>
      <w:r w:rsidRPr="007B188D">
        <w:rPr>
          <w:rFonts w:eastAsia="Metropolis Black"/>
        </w:rPr>
        <w:t>Operational matters</w:t>
      </w:r>
      <w:bookmarkEnd w:id="160"/>
    </w:p>
    <w:p w14:paraId="66A72B6C" w14:textId="77777777" w:rsidR="00A42BC3" w:rsidRPr="00330E85" w:rsidRDefault="00A42BC3" w:rsidP="00A42BC3">
      <w:pPr>
        <w:spacing w:after="0" w:line="200" w:lineRule="exact"/>
        <w:rPr>
          <w:szCs w:val="20"/>
        </w:rPr>
      </w:pPr>
      <w:r w:rsidRPr="00330E85">
        <w:rPr>
          <w:noProof/>
          <w:lang w:eastAsia="en-NZ"/>
        </w:rPr>
        <mc:AlternateContent>
          <mc:Choice Requires="wpg">
            <w:drawing>
              <wp:anchor distT="0" distB="0" distL="114300" distR="114300" simplePos="0" relativeHeight="251658266" behindDoc="1" locked="0" layoutInCell="1" allowOverlap="1" wp14:anchorId="626E9C7F" wp14:editId="2144D712">
                <wp:simplePos x="0" y="0"/>
                <wp:positionH relativeFrom="page">
                  <wp:posOffset>1089025</wp:posOffset>
                </wp:positionH>
                <wp:positionV relativeFrom="paragraph">
                  <wp:posOffset>86731</wp:posOffset>
                </wp:positionV>
                <wp:extent cx="1332230" cy="1270"/>
                <wp:effectExtent l="0" t="19050" r="1270" b="17780"/>
                <wp:wrapNone/>
                <wp:docPr id="801137900" name="Group 80113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3781606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85EC2" id="Group 801137900" o:spid="_x0000_s1026" style="position:absolute;margin-left:85.75pt;margin-top:6.85pt;width:104.9pt;height:.1pt;z-index:-25165821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3639B809" w14:textId="77777777" w:rsidR="00A42BC3" w:rsidRPr="00330E85" w:rsidRDefault="00A42BC3" w:rsidP="00A42BC3"/>
    <w:p w14:paraId="5F55F707" w14:textId="77777777" w:rsidR="00A42BC3" w:rsidRDefault="00A42BC3" w:rsidP="00A42BC3">
      <w:pPr>
        <w:pStyle w:val="Heading2"/>
      </w:pPr>
      <w:bookmarkStart w:id="161" w:name="_Toc231467866"/>
      <w:r w:rsidRPr="00E34108">
        <w:t>Introduction</w:t>
      </w:r>
      <w:bookmarkEnd w:id="161"/>
    </w:p>
    <w:p w14:paraId="7FF2A580" w14:textId="77777777" w:rsidR="00A42BC3" w:rsidRPr="00684CD4" w:rsidRDefault="00A42BC3" w:rsidP="003E75B9">
      <w:pPr>
        <w:pStyle w:val="ListParagraph"/>
        <w:numPr>
          <w:ilvl w:val="0"/>
          <w:numId w:val="28"/>
        </w:numPr>
        <w:spacing w:before="80" w:after="80"/>
        <w:contextualSpacing w:val="0"/>
        <w:jc w:val="both"/>
        <w:rPr>
          <w:vanish/>
          <w:sz w:val="20"/>
        </w:rPr>
      </w:pPr>
    </w:p>
    <w:p w14:paraId="6B9C5F34" w14:textId="3847C3AA" w:rsidR="00B26C4D" w:rsidRDefault="00B26C4D" w:rsidP="003E75B9">
      <w:pPr>
        <w:pStyle w:val="BodyText"/>
        <w:numPr>
          <w:ilvl w:val="1"/>
          <w:numId w:val="31"/>
        </w:numPr>
        <w:ind w:hanging="709"/>
      </w:pPr>
      <w:r>
        <w:t>In this chapter</w:t>
      </w:r>
      <w:r w:rsidR="00274A4F">
        <w:t>,</w:t>
      </w:r>
      <w:r>
        <w:t xml:space="preserve"> we set out some operational recommendations that support or supplement </w:t>
      </w:r>
      <w:r w:rsidR="00596E30">
        <w:t xml:space="preserve">the </w:t>
      </w:r>
      <w:r>
        <w:t xml:space="preserve">law reform recommendations we make elsewhere in this Report. </w:t>
      </w:r>
    </w:p>
    <w:p w14:paraId="68FD31B1" w14:textId="1923A958" w:rsidR="00B26C4D" w:rsidRDefault="00F8493B" w:rsidP="003E75B9">
      <w:pPr>
        <w:pStyle w:val="BodyText"/>
        <w:numPr>
          <w:ilvl w:val="1"/>
          <w:numId w:val="31"/>
        </w:numPr>
        <w:ind w:hanging="709"/>
      </w:pPr>
      <w:r>
        <w:t xml:space="preserve">The </w:t>
      </w:r>
      <w:r w:rsidR="00627211">
        <w:t xml:space="preserve">recommendations we make in this chapter </w:t>
      </w:r>
      <w:r w:rsidR="0032572D">
        <w:t>will</w:t>
      </w:r>
      <w:r w:rsidR="00627211">
        <w:t xml:space="preserve"> </w:t>
      </w:r>
      <w:r w:rsidR="0032572D">
        <w:t xml:space="preserve">help to </w:t>
      </w:r>
      <w:r w:rsidR="00BE1994">
        <w:t xml:space="preserve">ensure </w:t>
      </w:r>
      <w:r w:rsidR="007B7FE5">
        <w:t xml:space="preserve">that </w:t>
      </w:r>
      <w:r w:rsidR="00FA144E">
        <w:t>our</w:t>
      </w:r>
      <w:r w:rsidR="00BE1994">
        <w:t xml:space="preserve"> recommendations </w:t>
      </w:r>
      <w:r w:rsidR="00926FC3">
        <w:t xml:space="preserve">in earlier chapters </w:t>
      </w:r>
      <w:r w:rsidR="00B42E64">
        <w:t>have the desired impact</w:t>
      </w:r>
      <w:r w:rsidR="00926FC3">
        <w:t>. As discussed in Chapter 1</w:t>
      </w:r>
      <w:r w:rsidR="00526B2E">
        <w:t>, wider operational or policy responses to hate crime are outside scope of this review.</w:t>
      </w:r>
      <w:r w:rsidR="00B26C4D">
        <w:t xml:space="preserve"> </w:t>
      </w:r>
    </w:p>
    <w:p w14:paraId="54685167" w14:textId="77F0A20D" w:rsidR="00B26C4D" w:rsidRDefault="00B26C4D" w:rsidP="003E75B9">
      <w:pPr>
        <w:pStyle w:val="BodyText"/>
        <w:numPr>
          <w:ilvl w:val="1"/>
          <w:numId w:val="31"/>
        </w:numPr>
        <w:ind w:hanging="709"/>
      </w:pPr>
      <w:r>
        <w:t>We recommend</w:t>
      </w:r>
      <w:r w:rsidR="0079134C">
        <w:t xml:space="preserve"> that</w:t>
      </w:r>
      <w:r>
        <w:t xml:space="preserve">: </w:t>
      </w:r>
    </w:p>
    <w:p w14:paraId="4107D128" w14:textId="7478B534" w:rsidR="00B26C4D" w:rsidRDefault="00A70599" w:rsidP="003E75B9">
      <w:pPr>
        <w:pStyle w:val="BodyTextalphalist"/>
        <w:numPr>
          <w:ilvl w:val="3"/>
          <w:numId w:val="31"/>
        </w:numPr>
      </w:pPr>
      <w:r>
        <w:t>Ng</w:t>
      </w:r>
      <w:r w:rsidR="0005241F">
        <w:t>ā</w:t>
      </w:r>
      <w:r>
        <w:t xml:space="preserve"> Pirihimana o Aotearoa | New Zealand </w:t>
      </w:r>
      <w:r w:rsidRPr="00C434B5">
        <w:t xml:space="preserve">Police </w:t>
      </w:r>
      <w:r w:rsidR="00B26C4D">
        <w:t>review</w:t>
      </w:r>
      <w:r w:rsidR="00B26C4D" w:rsidDel="0079134C">
        <w:t xml:space="preserve"> </w:t>
      </w:r>
      <w:r w:rsidR="0079134C">
        <w:t xml:space="preserve">the </w:t>
      </w:r>
      <w:r w:rsidR="00B26C4D">
        <w:t>guidance provided to police officers and prosecutors</w:t>
      </w:r>
      <w:r w:rsidR="00F4310C">
        <w:t xml:space="preserve"> to ensure they are informed about any changes to the law as a result of this review</w:t>
      </w:r>
      <w:r w:rsidR="00B70C6E">
        <w:t xml:space="preserve">; </w:t>
      </w:r>
    </w:p>
    <w:p w14:paraId="78F57F7C" w14:textId="6FF5D6DD" w:rsidR="004D2899" w:rsidRDefault="007B40AA" w:rsidP="003E75B9">
      <w:pPr>
        <w:pStyle w:val="BodyTextalphalist"/>
        <w:numPr>
          <w:ilvl w:val="3"/>
          <w:numId w:val="31"/>
        </w:numPr>
      </w:pPr>
      <w:r>
        <w:t>Te Kura Kaiwhakawā |</w:t>
      </w:r>
      <w:r w:rsidRPr="00C434B5">
        <w:t xml:space="preserve"> Institute of Judicial Studies consider </w:t>
      </w:r>
      <w:r>
        <w:t>providing</w:t>
      </w:r>
      <w:r w:rsidRPr="00A24927">
        <w:t xml:space="preserve"> guidance and</w:t>
      </w:r>
      <w:r>
        <w:t xml:space="preserve"> </w:t>
      </w:r>
      <w:r w:rsidRPr="00C434B5">
        <w:t xml:space="preserve">training to judges on </w:t>
      </w:r>
      <w:r>
        <w:t xml:space="preserve">any </w:t>
      </w:r>
      <w:r w:rsidRPr="00C434B5">
        <w:t xml:space="preserve">legislative </w:t>
      </w:r>
      <w:r w:rsidR="00C84667">
        <w:t>amendments</w:t>
      </w:r>
      <w:r w:rsidR="00B70C6E">
        <w:t>; and</w:t>
      </w:r>
    </w:p>
    <w:p w14:paraId="006DDF72" w14:textId="082459D5" w:rsidR="00B26C4D" w:rsidRDefault="007B40AA" w:rsidP="003E75B9">
      <w:pPr>
        <w:pStyle w:val="BodyTextalphalist"/>
        <w:numPr>
          <w:ilvl w:val="3"/>
          <w:numId w:val="31"/>
        </w:numPr>
      </w:pPr>
      <w:r>
        <w:t xml:space="preserve">Police and </w:t>
      </w:r>
      <w:r w:rsidR="00386B40" w:rsidRPr="00B45438">
        <w:t xml:space="preserve">Te Tāhū o te Ture | </w:t>
      </w:r>
      <w:r>
        <w:t xml:space="preserve">Ministry of Justice publish data </w:t>
      </w:r>
      <w:r w:rsidR="00FA144E">
        <w:t>on</w:t>
      </w:r>
      <w:r w:rsidR="00FA144E" w:rsidDel="007B40AA">
        <w:t xml:space="preserve"> </w:t>
      </w:r>
      <w:r w:rsidR="00B26C4D" w:rsidDel="007B40AA">
        <w:t>hate crime</w:t>
      </w:r>
      <w:r w:rsidR="00FA144E">
        <w:t>s</w:t>
      </w:r>
      <w:r w:rsidR="00B26C4D" w:rsidDel="007B40AA">
        <w:t xml:space="preserve"> </w:t>
      </w:r>
      <w:r>
        <w:t>annually</w:t>
      </w:r>
      <w:r w:rsidR="00B26C4D">
        <w:t>.</w:t>
      </w:r>
    </w:p>
    <w:p w14:paraId="1221D3AF" w14:textId="77777777" w:rsidR="00B26C4D" w:rsidRPr="00C434B5" w:rsidRDefault="00B26C4D" w:rsidP="00B26C4D">
      <w:pPr>
        <w:pStyle w:val="Heading2"/>
      </w:pPr>
      <w:bookmarkStart w:id="162" w:name="_Toc212106783"/>
      <w:bookmarkStart w:id="163" w:name="_Toc231467867"/>
      <w:r w:rsidRPr="00C434B5">
        <w:t>Guidance for Police and prosecutors</w:t>
      </w:r>
      <w:bookmarkEnd w:id="162"/>
      <w:bookmarkEnd w:id="163"/>
    </w:p>
    <w:p w14:paraId="659C0705" w14:textId="17F17B62" w:rsidR="00B26C4D" w:rsidRDefault="00773B64" w:rsidP="00B40F44">
      <w:pPr>
        <w:pStyle w:val="BodyText"/>
        <w:numPr>
          <w:ilvl w:val="1"/>
          <w:numId w:val="31"/>
        </w:numPr>
        <w:ind w:hanging="709"/>
      </w:pPr>
      <w:r>
        <w:t>In Chapter 4,</w:t>
      </w:r>
      <w:r w:rsidR="00B26C4D">
        <w:t xml:space="preserve"> we explained that </w:t>
      </w:r>
      <w:r w:rsidR="00B26C4D" w:rsidRPr="00755791">
        <w:t>prosecutors</w:t>
      </w:r>
      <w:r w:rsidR="0068774C">
        <w:t xml:space="preserve"> </w:t>
      </w:r>
      <w:r w:rsidR="00647F91">
        <w:t xml:space="preserve">often have </w:t>
      </w:r>
      <w:r w:rsidR="00B26C4D">
        <w:t>limited time to become familiar with a case</w:t>
      </w:r>
      <w:r w:rsidR="00D90A12">
        <w:t xml:space="preserve">, and many </w:t>
      </w:r>
      <w:r w:rsidR="00B26C4D">
        <w:t xml:space="preserve">have </w:t>
      </w:r>
      <w:r w:rsidR="00760861">
        <w:t>no</w:t>
      </w:r>
      <w:r w:rsidR="00B26C4D">
        <w:t xml:space="preserve"> experience of applying</w:t>
      </w:r>
      <w:r w:rsidR="00804888">
        <w:t xml:space="preserve"> the hostility aggravating factor in</w:t>
      </w:r>
      <w:r w:rsidR="00B26C4D">
        <w:t xml:space="preserve"> </w:t>
      </w:r>
      <w:r w:rsidR="005817C5">
        <w:t>section 9(1)(h)</w:t>
      </w:r>
      <w:r w:rsidR="00804888">
        <w:t xml:space="preserve"> of the Sentencing Act 2002</w:t>
      </w:r>
      <w:r w:rsidR="00B26C4D">
        <w:t xml:space="preserve">. </w:t>
      </w:r>
      <w:r>
        <w:t xml:space="preserve">We also explained that the investigating officer may not always provide </w:t>
      </w:r>
      <w:r w:rsidR="007C0AF0">
        <w:t>evidence of hostile motivation.</w:t>
      </w:r>
      <w:r w:rsidR="00B26C4D">
        <w:t xml:space="preserve"> These factors may increase the likelihood of hostile motivation being overlooked</w:t>
      </w:r>
      <w:r w:rsidR="00FA144E">
        <w:t>,</w:t>
      </w:r>
      <w:r w:rsidR="00B26C4D">
        <w:t xml:space="preserve"> </w:t>
      </w:r>
      <w:r w:rsidR="006B6162">
        <w:t xml:space="preserve">both before and </w:t>
      </w:r>
      <w:r w:rsidR="00B26C4D">
        <w:t xml:space="preserve">during court proceedings. </w:t>
      </w:r>
    </w:p>
    <w:p w14:paraId="2DC62854" w14:textId="7596F114" w:rsidR="00B26C4D" w:rsidRDefault="00B26C4D" w:rsidP="003E75B9">
      <w:pPr>
        <w:pStyle w:val="BodyText"/>
        <w:numPr>
          <w:ilvl w:val="1"/>
          <w:numId w:val="31"/>
        </w:numPr>
        <w:ind w:hanging="709"/>
      </w:pPr>
      <w:r>
        <w:t>In our Consultation Paper, we</w:t>
      </w:r>
      <w:r w:rsidDel="00281F27">
        <w:t xml:space="preserve"> </w:t>
      </w:r>
      <w:r>
        <w:t xml:space="preserve">sought feedback on whether the training and guidance on hate crime introduced by Police since the report </w:t>
      </w:r>
      <w:r w:rsidR="00805B90">
        <w:t xml:space="preserve">of the </w:t>
      </w:r>
      <w:r w:rsidR="00805B90" w:rsidRPr="00A30210">
        <w:rPr>
          <w:color w:val="auto"/>
        </w:rPr>
        <w:t>Royal Commission of Inquiry into the terrorist attack on Christchurch masjidain on 15 March 2019</w:t>
      </w:r>
      <w:r w:rsidR="00805B90">
        <w:rPr>
          <w:color w:val="auto"/>
        </w:rPr>
        <w:t xml:space="preserve"> </w:t>
      </w:r>
      <w:r>
        <w:t>has helped to improve the Police response to hate crime.</w:t>
      </w:r>
      <w:r>
        <w:rPr>
          <w:rStyle w:val="FootnoteReference"/>
        </w:rPr>
        <w:footnoteReference w:id="750"/>
      </w:r>
      <w:r>
        <w:t xml:space="preserve"> We also explained that, while the </w:t>
      </w:r>
      <w:r w:rsidRPr="00B07757">
        <w:t xml:space="preserve">Police </w:t>
      </w:r>
      <w:r>
        <w:t>I</w:t>
      </w:r>
      <w:r w:rsidRPr="00B07757">
        <w:t xml:space="preserve">nstructions on hate crime include </w:t>
      </w:r>
      <w:r>
        <w:t xml:space="preserve">some </w:t>
      </w:r>
      <w:r w:rsidRPr="00B07757">
        <w:t xml:space="preserve">guidance </w:t>
      </w:r>
      <w:r w:rsidR="00FA144E">
        <w:t xml:space="preserve">for </w:t>
      </w:r>
      <w:r w:rsidR="00D52D57">
        <w:t>p</w:t>
      </w:r>
      <w:r w:rsidR="00EF5DCE">
        <w:t>olice prosecutors</w:t>
      </w:r>
      <w:r>
        <w:t xml:space="preserve">, hate crime cases may also be prosecuted by Crown solicitors. We suggested </w:t>
      </w:r>
      <w:r w:rsidR="008D25E3">
        <w:t xml:space="preserve">that an </w:t>
      </w:r>
      <w:r w:rsidRPr="00B07757">
        <w:t xml:space="preserve">option </w:t>
      </w:r>
      <w:r w:rsidR="008D25E3">
        <w:t xml:space="preserve">in response </w:t>
      </w:r>
      <w:r w:rsidRPr="00B07757">
        <w:t>might be for the Solicitor-General to provide advice to Crown solicitors on prosecuting hate crime.</w:t>
      </w:r>
      <w:r>
        <w:rPr>
          <w:rStyle w:val="FootnoteReference"/>
        </w:rPr>
        <w:footnoteReference w:id="751"/>
      </w:r>
    </w:p>
    <w:p w14:paraId="2605EC5E" w14:textId="77777777" w:rsidR="00B26C4D" w:rsidRPr="00C434B5" w:rsidRDefault="00B26C4D" w:rsidP="00B26C4D">
      <w:pPr>
        <w:pStyle w:val="Heading3"/>
      </w:pPr>
      <w:r>
        <w:t>Consultation</w:t>
      </w:r>
    </w:p>
    <w:p w14:paraId="73EBD660" w14:textId="658F3AEC" w:rsidR="00FA144E" w:rsidRDefault="00B26C4D" w:rsidP="003E75B9">
      <w:pPr>
        <w:pStyle w:val="BodyText"/>
        <w:numPr>
          <w:ilvl w:val="1"/>
          <w:numId w:val="31"/>
        </w:numPr>
        <w:ind w:hanging="709"/>
      </w:pPr>
      <w:r w:rsidRPr="00C434B5">
        <w:t>Some submitters and other organisations we spoke</w:t>
      </w:r>
      <w:r w:rsidRPr="00C434B5" w:rsidDel="0071780A">
        <w:t xml:space="preserve"> </w:t>
      </w:r>
      <w:r w:rsidR="0071780A">
        <w:t>with</w:t>
      </w:r>
      <w:r w:rsidRPr="00C434B5">
        <w:t xml:space="preserve"> suggested further training or guidance for Police may be needed.</w:t>
      </w:r>
      <w:r w:rsidRPr="00C434B5">
        <w:rPr>
          <w:vertAlign w:val="superscript"/>
        </w:rPr>
        <w:footnoteReference w:id="752"/>
      </w:r>
      <w:r w:rsidRPr="00C434B5">
        <w:t xml:space="preserve"> </w:t>
      </w:r>
      <w:r>
        <w:t>However, m</w:t>
      </w:r>
      <w:r w:rsidRPr="00C434B5">
        <w:t>ost did not identify specific areas for improvement to the training and guidance that has been recently developed. The N</w:t>
      </w:r>
      <w:r>
        <w:t xml:space="preserve">ew </w:t>
      </w:r>
      <w:r w:rsidRPr="00C434B5">
        <w:t>Z</w:t>
      </w:r>
      <w:r>
        <w:t>ealand</w:t>
      </w:r>
      <w:r w:rsidRPr="00C434B5">
        <w:t xml:space="preserve"> Jewish Council recommended training on how to recognise and address antisemitic incidents and other forms of bias, noting </w:t>
      </w:r>
      <w:r w:rsidR="00027F98">
        <w:t xml:space="preserve">that </w:t>
      </w:r>
      <w:r w:rsidRPr="00C434B5">
        <w:t xml:space="preserve">some incidents reveal gaps in understanding of antisemitism. </w:t>
      </w:r>
      <w:r>
        <w:t xml:space="preserve">The </w:t>
      </w:r>
      <w:r w:rsidRPr="00530D57">
        <w:t>New Zealand Federation of Business and Professional Women</w:t>
      </w:r>
      <w:r w:rsidRPr="00C434B5">
        <w:t xml:space="preserve"> supported adopting a</w:t>
      </w:r>
      <w:r>
        <w:t xml:space="preserve">n </w:t>
      </w:r>
      <w:r w:rsidRPr="00C434B5">
        <w:t>education program</w:t>
      </w:r>
      <w:r w:rsidR="00321E65">
        <w:t>me</w:t>
      </w:r>
      <w:r w:rsidRPr="00C434B5">
        <w:t xml:space="preserve"> </w:t>
      </w:r>
      <w:r>
        <w:t xml:space="preserve">similar </w:t>
      </w:r>
      <w:r w:rsidRPr="00C434B5">
        <w:t xml:space="preserve">to </w:t>
      </w:r>
      <w:r>
        <w:t xml:space="preserve">that </w:t>
      </w:r>
      <w:r w:rsidRPr="00C434B5">
        <w:t xml:space="preserve">implemented by police in </w:t>
      </w:r>
      <w:r>
        <w:t xml:space="preserve">the Australian state of </w:t>
      </w:r>
      <w:r w:rsidRPr="00C434B5">
        <w:t>Victoria</w:t>
      </w:r>
      <w:r>
        <w:t>,</w:t>
      </w:r>
      <w:r w:rsidRPr="00C434B5">
        <w:t xml:space="preserve"> which it said had led to increased recognition of prejudice-motivated crimes. </w:t>
      </w:r>
    </w:p>
    <w:p w14:paraId="4C49A16C" w14:textId="1BE9D061" w:rsidR="00B26C4D" w:rsidRPr="00C434B5" w:rsidRDefault="00B26C4D" w:rsidP="003E75B9">
      <w:pPr>
        <w:pStyle w:val="BodyText"/>
        <w:numPr>
          <w:ilvl w:val="1"/>
          <w:numId w:val="31"/>
        </w:numPr>
        <w:ind w:hanging="709"/>
      </w:pPr>
      <w:r>
        <w:t>Other o</w:t>
      </w:r>
      <w:r w:rsidRPr="00C434B5">
        <w:t>rganisations we spoke</w:t>
      </w:r>
      <w:r w:rsidRPr="00C434B5" w:rsidDel="00644BEC">
        <w:t xml:space="preserve"> </w:t>
      </w:r>
      <w:r w:rsidR="00644BEC">
        <w:t>with</w:t>
      </w:r>
      <w:r w:rsidRPr="00C434B5">
        <w:t xml:space="preserve"> during consultation also expressed views about training</w:t>
      </w:r>
      <w:r>
        <w:t xml:space="preserve"> for Police</w:t>
      </w:r>
      <w:r w:rsidRPr="00C434B5">
        <w:t xml:space="preserve">. </w:t>
      </w:r>
      <w:r>
        <w:t xml:space="preserve">Two organisations </w:t>
      </w:r>
      <w:r w:rsidRPr="00C434B5">
        <w:t xml:space="preserve">told us they did not think the training had had any effect. </w:t>
      </w:r>
      <w:r>
        <w:t>One</w:t>
      </w:r>
      <w:r w:rsidRPr="00C434B5">
        <w:t xml:space="preserve"> noted the training is online </w:t>
      </w:r>
      <w:r>
        <w:t>but that</w:t>
      </w:r>
      <w:r w:rsidRPr="00C434B5">
        <w:t xml:space="preserve"> face-to-face engagement with communities is important for education.</w:t>
      </w:r>
    </w:p>
    <w:p w14:paraId="3FC28CD1" w14:textId="4695CABB" w:rsidR="00B26C4D" w:rsidRPr="00C434B5" w:rsidRDefault="00B26C4D" w:rsidP="003E75B9">
      <w:pPr>
        <w:pStyle w:val="BodyText"/>
        <w:numPr>
          <w:ilvl w:val="1"/>
          <w:numId w:val="31"/>
        </w:numPr>
        <w:ind w:hanging="709"/>
      </w:pPr>
      <w:r w:rsidRPr="00C434B5">
        <w:t>Five submitters supported providing advice, guidance or training for prosecutors.</w:t>
      </w:r>
      <w:r w:rsidRPr="00C434B5">
        <w:rPr>
          <w:vertAlign w:val="superscript"/>
        </w:rPr>
        <w:footnoteReference w:id="753"/>
      </w:r>
      <w:r w:rsidRPr="00C434B5">
        <w:t xml:space="preserve"> Te </w:t>
      </w:r>
      <w:r w:rsidR="00517529">
        <w:t>Kāhui Ture o Aotearoa |</w:t>
      </w:r>
      <w:r w:rsidRPr="00C434B5">
        <w:t xml:space="preserve"> New Zealand Law Society noted that the courts rely on prosecutors to raise </w:t>
      </w:r>
      <w:r>
        <w:t>hostile</w:t>
      </w:r>
      <w:r w:rsidRPr="00C434B5">
        <w:t xml:space="preserve"> motivation at sentencing and ensure there is enough evidence to apply the aggravating factor. </w:t>
      </w:r>
      <w:r w:rsidR="001575B4" w:rsidRPr="001575B4">
        <w:t xml:space="preserve">Te Tari Ture o te Karauna | Crown Law </w:t>
      </w:r>
      <w:r w:rsidRPr="0007662F" w:rsidDel="00F20713">
        <w:t>said</w:t>
      </w:r>
      <w:r>
        <w:t xml:space="preserve"> </w:t>
      </w:r>
      <w:r w:rsidRPr="0007662F">
        <w:t xml:space="preserve">it could direct Crown </w:t>
      </w:r>
      <w:r>
        <w:t>s</w:t>
      </w:r>
      <w:r w:rsidRPr="0007662F">
        <w:t>olicitors to Police material on hate crime</w:t>
      </w:r>
      <w:r>
        <w:t>,</w:t>
      </w:r>
      <w:r w:rsidRPr="0007662F">
        <w:t xml:space="preserve"> suggest in-house training</w:t>
      </w:r>
      <w:r>
        <w:t xml:space="preserve"> and assist</w:t>
      </w:r>
      <w:r w:rsidRPr="0007662F">
        <w:t xml:space="preserve"> with the implications of any legislative reform.</w:t>
      </w:r>
    </w:p>
    <w:p w14:paraId="0B6FF2A9" w14:textId="2AF91798" w:rsidR="004A3CF3" w:rsidRDefault="008D27F2" w:rsidP="006775CB">
      <w:pPr>
        <w:pStyle w:val="Heading3"/>
      </w:pPr>
      <w:r>
        <w:t>Our view</w:t>
      </w:r>
    </w:p>
    <w:p w14:paraId="56CA8D7C" w14:textId="6D0A253E" w:rsidR="00885F81" w:rsidRDefault="002E0051" w:rsidP="00454591">
      <w:pPr>
        <w:pStyle w:val="BodyText"/>
        <w:numPr>
          <w:ilvl w:val="1"/>
          <w:numId w:val="31"/>
        </w:numPr>
        <w:ind w:hanging="709"/>
      </w:pPr>
      <w:r>
        <w:t>As</w:t>
      </w:r>
      <w:r w:rsidR="00245042">
        <w:t xml:space="preserve"> we have explained, w</w:t>
      </w:r>
      <w:r w:rsidR="00885F81">
        <w:t xml:space="preserve">e do not make any recommendations about the substance of </w:t>
      </w:r>
      <w:r w:rsidR="00885F81" w:rsidRPr="00C434B5">
        <w:t xml:space="preserve">Police training </w:t>
      </w:r>
      <w:r w:rsidR="00885F81">
        <w:t xml:space="preserve">and guidance </w:t>
      </w:r>
      <w:r w:rsidR="00885F81" w:rsidRPr="00C434B5">
        <w:t xml:space="preserve">on </w:t>
      </w:r>
      <w:r w:rsidR="00885F81">
        <w:t xml:space="preserve">responding to </w:t>
      </w:r>
      <w:r w:rsidR="00885F81" w:rsidRPr="00D140D5">
        <w:t>hate</w:t>
      </w:r>
      <w:r w:rsidR="00885F81">
        <w:t xml:space="preserve"> crime</w:t>
      </w:r>
      <w:r w:rsidR="00885F81" w:rsidRPr="00C434B5">
        <w:t xml:space="preserve"> </w:t>
      </w:r>
      <w:r w:rsidR="00885F81">
        <w:t>generally because that is beyond the scope of our review and our area of expertise. Additionally, Police hate crime training and updated guidance were only</w:t>
      </w:r>
      <w:r w:rsidR="00885F81" w:rsidRPr="00C434B5">
        <w:t xml:space="preserve"> introduced </w:t>
      </w:r>
      <w:r w:rsidR="00885F81">
        <w:t xml:space="preserve">recently </w:t>
      </w:r>
      <w:r w:rsidR="00885F81" w:rsidRPr="00C434B5">
        <w:t xml:space="preserve">and </w:t>
      </w:r>
      <w:r w:rsidR="00885F81">
        <w:t>it is</w:t>
      </w:r>
      <w:r w:rsidR="00885F81" w:rsidDel="006132D8">
        <w:t xml:space="preserve"> </w:t>
      </w:r>
      <w:r w:rsidR="00885F81">
        <w:t>too early to assess their effectiveness. We encourage Police to evaluate the success of the training and guidance once they have had sufficient time to become embedded.</w:t>
      </w:r>
    </w:p>
    <w:p w14:paraId="587B7A36" w14:textId="39ED399D" w:rsidR="00364F61" w:rsidRDefault="00885F81" w:rsidP="00454591">
      <w:pPr>
        <w:pStyle w:val="BodyText"/>
        <w:numPr>
          <w:ilvl w:val="1"/>
          <w:numId w:val="31"/>
        </w:numPr>
        <w:ind w:hanging="709"/>
      </w:pPr>
      <w:r w:rsidRPr="00C434B5">
        <w:t xml:space="preserve">In </w:t>
      </w:r>
      <w:r w:rsidRPr="008F0B49">
        <w:t xml:space="preserve">Chapters </w:t>
      </w:r>
      <w:r w:rsidR="007C6052" w:rsidRPr="008F0B49">
        <w:t xml:space="preserve">6 </w:t>
      </w:r>
      <w:r w:rsidRPr="008F0B49">
        <w:t xml:space="preserve">and </w:t>
      </w:r>
      <w:r w:rsidR="007C6052">
        <w:t>7</w:t>
      </w:r>
      <w:r>
        <w:t>,</w:t>
      </w:r>
      <w:r w:rsidRPr="00C434B5">
        <w:t xml:space="preserve"> we </w:t>
      </w:r>
      <w:r>
        <w:t>recommend</w:t>
      </w:r>
      <w:r w:rsidR="00C237CF">
        <w:t>ed</w:t>
      </w:r>
      <w:r w:rsidRPr="00C434B5">
        <w:t xml:space="preserve"> </w:t>
      </w:r>
      <w:r>
        <w:t>legislative amendments to create</w:t>
      </w:r>
      <w:r w:rsidRPr="00C434B5">
        <w:t xml:space="preserve"> a court hate crime flag</w:t>
      </w:r>
      <w:r>
        <w:t xml:space="preserve"> and to require the court </w:t>
      </w:r>
      <w:r w:rsidR="00593875">
        <w:t xml:space="preserve">to </w:t>
      </w:r>
      <w:r>
        <w:t>specify (in both sentencing decisions and on the court record) when the aggravating factor is being applied</w:t>
      </w:r>
      <w:r w:rsidRPr="00C434B5">
        <w:t>.</w:t>
      </w:r>
      <w:r>
        <w:t xml:space="preserve"> We would expect the hate crime flag process</w:t>
      </w:r>
      <w:r w:rsidRPr="00C434B5">
        <w:t xml:space="preserve"> </w:t>
      </w:r>
      <w:r>
        <w:t>to</w:t>
      </w:r>
      <w:r w:rsidRPr="00C434B5">
        <w:t xml:space="preserve"> prompt </w:t>
      </w:r>
      <w:r>
        <w:t>Police</w:t>
      </w:r>
      <w:r w:rsidRPr="00C434B5">
        <w:t xml:space="preserve"> to consider if the aggravating factor </w:t>
      </w:r>
      <w:r>
        <w:t>may</w:t>
      </w:r>
      <w:r w:rsidRPr="00C434B5">
        <w:t xml:space="preserve"> apply when laying charges </w:t>
      </w:r>
      <w:r w:rsidRPr="00D140D5">
        <w:t>and</w:t>
      </w:r>
      <w:r w:rsidRPr="00C434B5">
        <w:t xml:space="preserve"> </w:t>
      </w:r>
      <w:r>
        <w:t xml:space="preserve">prosecutors to </w:t>
      </w:r>
      <w:r w:rsidRPr="00C434B5">
        <w:t xml:space="preserve">raise it at relevant points in a proceeding. </w:t>
      </w:r>
      <w:r>
        <w:t>However, for</w:t>
      </w:r>
      <w:r w:rsidRPr="00C434B5">
        <w:t xml:space="preserve"> the</w:t>
      </w:r>
      <w:r>
        <w:t xml:space="preserve"> </w:t>
      </w:r>
      <w:r w:rsidRPr="00C434B5">
        <w:t xml:space="preserve">process </w:t>
      </w:r>
      <w:r>
        <w:t xml:space="preserve">to </w:t>
      </w:r>
      <w:r w:rsidRPr="00C434B5">
        <w:t xml:space="preserve">work as intended, both police officers and prosecutors </w:t>
      </w:r>
      <w:r>
        <w:t xml:space="preserve">will </w:t>
      </w:r>
      <w:r w:rsidRPr="00C434B5">
        <w:t xml:space="preserve">need to be aware of the </w:t>
      </w:r>
      <w:r>
        <w:t xml:space="preserve">new </w:t>
      </w:r>
      <w:r w:rsidRPr="00C434B5">
        <w:t>provisions</w:t>
      </w:r>
      <w:r>
        <w:t xml:space="preserve"> — including</w:t>
      </w:r>
      <w:r w:rsidRPr="00C434B5">
        <w:t xml:space="preserve"> the </w:t>
      </w:r>
      <w:r>
        <w:t>need to specify</w:t>
      </w:r>
      <w:r w:rsidRPr="00C434B5">
        <w:t xml:space="preserve"> </w:t>
      </w:r>
      <w:r>
        <w:t>that hostile</w:t>
      </w:r>
      <w:r w:rsidRPr="00C434B5">
        <w:t xml:space="preserve"> aggravation </w:t>
      </w:r>
      <w:r>
        <w:t xml:space="preserve">is alleged </w:t>
      </w:r>
      <w:r w:rsidRPr="00C434B5">
        <w:t>on the charging document</w:t>
      </w:r>
      <w:r>
        <w:t xml:space="preserve"> and the requirements on the court at sentencing if the aggravating factor applies</w:t>
      </w:r>
      <w:r w:rsidRPr="00C434B5">
        <w:t>.</w:t>
      </w:r>
      <w:r>
        <w:t xml:space="preserve"> </w:t>
      </w:r>
    </w:p>
    <w:p w14:paraId="0241536E" w14:textId="24C29930" w:rsidR="006775CB" w:rsidRPr="006775CB" w:rsidRDefault="00F54689" w:rsidP="00281692">
      <w:pPr>
        <w:pStyle w:val="BodyText"/>
        <w:numPr>
          <w:ilvl w:val="1"/>
          <w:numId w:val="31"/>
        </w:numPr>
        <w:ind w:hanging="709"/>
      </w:pPr>
      <w:r>
        <w:t xml:space="preserve">As well as police prosecutors, Crown solicitors also prosecute some hate crime cases. Currently, they do not have any specific guidance </w:t>
      </w:r>
      <w:r w:rsidR="00620290">
        <w:t xml:space="preserve">or training </w:t>
      </w:r>
      <w:r>
        <w:t xml:space="preserve">on prosecuting hate crimes. </w:t>
      </w:r>
      <w:r w:rsidR="00B715D5">
        <w:t>We consider</w:t>
      </w:r>
      <w:r w:rsidRPr="00C434B5">
        <w:t xml:space="preserve"> Crown solicitors</w:t>
      </w:r>
      <w:r w:rsidR="00D4530C">
        <w:t xml:space="preserve"> should also have access to relevant guidance</w:t>
      </w:r>
      <w:r w:rsidR="005B2357">
        <w:t xml:space="preserve"> and training</w:t>
      </w:r>
      <w:r>
        <w:t xml:space="preserve"> to ensure that all prosecutors who may deal with hate crime cases are aware of and understand the new court flag </w:t>
      </w:r>
      <w:r w:rsidR="00857175">
        <w:t xml:space="preserve">process </w:t>
      </w:r>
      <w:r>
        <w:t xml:space="preserve">and other </w:t>
      </w:r>
      <w:r w:rsidR="00D24377">
        <w:t>legislative amendments we recommend.</w:t>
      </w:r>
      <w:r>
        <w:t xml:space="preserve"> </w:t>
      </w:r>
      <w:r w:rsidR="00D4530C">
        <w:t>Guidance</w:t>
      </w:r>
      <w:r>
        <w:t xml:space="preserve"> will also help to improve general understanding of the aggravating factor, providing more clarity about when and how to raise it in proceedings.</w:t>
      </w:r>
    </w:p>
    <w:p w14:paraId="25A10CF0" w14:textId="7EB607A2" w:rsidR="00B26C4D" w:rsidRPr="00C434B5" w:rsidRDefault="00B26C4D" w:rsidP="00C808C1">
      <w:pPr>
        <w:pStyle w:val="Heading3"/>
        <w:tabs>
          <w:tab w:val="left" w:pos="3183"/>
        </w:tabs>
      </w:pPr>
      <w:r w:rsidRPr="00663187">
        <w:rPr>
          <w:b w:val="0"/>
          <w:noProof/>
        </w:rPr>
        <mc:AlternateContent>
          <mc:Choice Requires="wpg">
            <w:drawing>
              <wp:anchor distT="0" distB="0" distL="114300" distR="114300" simplePos="0" relativeHeight="251658314" behindDoc="1" locked="0" layoutInCell="1" allowOverlap="1" wp14:anchorId="338D991D" wp14:editId="2B1636C7">
                <wp:simplePos x="0" y="0"/>
                <wp:positionH relativeFrom="margin">
                  <wp:posOffset>-13335</wp:posOffset>
                </wp:positionH>
                <wp:positionV relativeFrom="paragraph">
                  <wp:posOffset>319083</wp:posOffset>
                </wp:positionV>
                <wp:extent cx="5759450" cy="2428875"/>
                <wp:effectExtent l="0" t="0" r="0" b="9525"/>
                <wp:wrapNone/>
                <wp:docPr id="441195847" name="Group 441195847"/>
                <wp:cNvGraphicFramePr/>
                <a:graphic xmlns:a="http://schemas.openxmlformats.org/drawingml/2006/main">
                  <a:graphicData uri="http://schemas.microsoft.com/office/word/2010/wordprocessingGroup">
                    <wpg:wgp>
                      <wpg:cNvGrpSpPr/>
                      <wpg:grpSpPr>
                        <a:xfrm>
                          <a:off x="0" y="0"/>
                          <a:ext cx="5759450" cy="2428875"/>
                          <a:chOff x="-1" y="36583"/>
                          <a:chExt cx="5760000" cy="2430509"/>
                        </a:xfrm>
                      </wpg:grpSpPr>
                      <wps:wsp>
                        <wps:cNvPr id="1023068347" name="Freeform 51"/>
                        <wps:cNvSpPr>
                          <a:spLocks/>
                        </wps:cNvSpPr>
                        <wps:spPr bwMode="auto">
                          <a:xfrm>
                            <a:off x="-1" y="36583"/>
                            <a:ext cx="5760000" cy="243050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EA37B8" w14:textId="77777777" w:rsidR="00B26C4D" w:rsidRDefault="00B26C4D" w:rsidP="00B26C4D"/>
                          </w:txbxContent>
                        </wps:txbx>
                        <wps:bodyPr rot="0" vert="horz" wrap="square" lIns="91440" tIns="45720" rIns="91440" bIns="45720" anchor="t" anchorCtr="0" upright="1">
                          <a:noAutofit/>
                        </wps:bodyPr>
                      </wps:wsp>
                      <wpg:grpSp>
                        <wpg:cNvPr id="1960729644" name="Group 1960729644"/>
                        <wpg:cNvGrpSpPr/>
                        <wpg:grpSpPr>
                          <a:xfrm>
                            <a:off x="0" y="170822"/>
                            <a:ext cx="1282065" cy="297815"/>
                            <a:chOff x="0" y="0"/>
                            <a:chExt cx="1282672" cy="298450"/>
                          </a:xfrm>
                        </wpg:grpSpPr>
                        <wpg:grpSp>
                          <wpg:cNvPr id="456167619" name="Group 52"/>
                          <wpg:cNvGrpSpPr>
                            <a:grpSpLocks/>
                          </wpg:cNvGrpSpPr>
                          <wpg:grpSpPr bwMode="auto">
                            <a:xfrm>
                              <a:off x="172528" y="2540"/>
                              <a:ext cx="1110144" cy="1270"/>
                              <a:chOff x="1417" y="1374"/>
                              <a:chExt cx="1814" cy="2"/>
                            </a:xfrm>
                          </wpg:grpSpPr>
                          <wps:wsp>
                            <wps:cNvPr id="3932122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749079" name="Group 54"/>
                          <wpg:cNvGrpSpPr>
                            <a:grpSpLocks/>
                          </wpg:cNvGrpSpPr>
                          <wpg:grpSpPr bwMode="auto">
                            <a:xfrm>
                              <a:off x="0" y="0"/>
                              <a:ext cx="492038" cy="298450"/>
                              <a:chOff x="1134" y="1366"/>
                              <a:chExt cx="804" cy="470"/>
                            </a:xfrm>
                          </wpg:grpSpPr>
                          <wps:wsp>
                            <wps:cNvPr id="16446568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FD4D5" w14:textId="77777777" w:rsidR="00B26C4D" w:rsidRPr="008D464F" w:rsidRDefault="00B26C4D" w:rsidP="00B26C4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38D991D" id="Group 441195847" o:spid="_x0000_s1133" style="position:absolute;margin-left:-1.05pt;margin-top:25.1pt;width:453.5pt;height:191.25pt;z-index:-251658166;mso-position-horizontal-relative:margin;mso-width-relative:margin;mso-height-relative:margin" coordorigin=",365" coordsize="57600,2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">
                <v:shape id="Freeform 51" o:spid="_x0000_s1134" style="position:absolute;top:365;width:57599;height:2430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" adj="-11796480,,5400" path="m,l9354,r,1638l,1638,,e" fillcolor="#e2eaef" stroked="f">
                  <v:stroke joinstyle="round"/>
                  <v:formulas/>
                  <v:path arrowok="t" o:connecttype="custom" o:connectlocs="0,1563954;5760000,1563954;5760000,3994463;0,3994463;0,1563954" o:connectangles="0,0,0,0,0" textboxrect="0,0,9354,1638"/>
                  <v:textbox>
                    <w:txbxContent>
                      <w:p w14:paraId="70EA37B8" w14:textId="77777777" w:rsidR="00B26C4D" w:rsidRDefault="00B26C4D" w:rsidP="00B26C4D"/>
                    </w:txbxContent>
                  </v:textbox>
                </v:shape>
                <v:group id="Group 1960729644" o:spid="_x0000_s113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">
                  <v:group id="Group 52" o:spid="_x0000_s11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">
                    <v:shape id="Freeform 53" o:spid="_x0000_s11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" path="m,l1815,e" filled="f" strokecolor="#5ca0b9" strokeweight=".5pt">
                      <v:path arrowok="t" o:connecttype="custom" o:connectlocs="0,0;1815,0" o:connectangles="0,0"/>
                    </v:shape>
                  </v:group>
                  <v:group id="Group 54" o:spid="_x0000_s11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">
                    <v:shape id="Freeform 55" o:spid="_x0000_s11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A0FD4D5" w14:textId="77777777" w:rsidR="00B26C4D" w:rsidRPr="008D464F" w:rsidRDefault="00B26C4D" w:rsidP="00B26C4D">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R</w:t>
      </w:r>
      <w:r w:rsidRPr="00C434B5">
        <w:t>ecommendation</w:t>
      </w:r>
      <w:r w:rsidR="006A3EE4">
        <w:t>s</w:t>
      </w:r>
      <w:r w:rsidR="00C808C1">
        <w:tab/>
      </w:r>
    </w:p>
    <w:p w14:paraId="2E7A12F4" w14:textId="7DF4B50E" w:rsidR="00B26C4D" w:rsidRDefault="00B26C4D" w:rsidP="00B26C4D">
      <w:pPr>
        <w:pStyle w:val="RxRecommendationText"/>
        <w:numPr>
          <w:ilvl w:val="0"/>
          <w:numId w:val="0"/>
        </w:numPr>
        <w:ind w:left="993" w:hanging="851"/>
      </w:pPr>
    </w:p>
    <w:p w14:paraId="1C35E439" w14:textId="429C11D5" w:rsidR="00B26C4D" w:rsidRDefault="00B26C4D" w:rsidP="00B40057">
      <w:pPr>
        <w:pStyle w:val="RxRecommendationText"/>
        <w:spacing w:before="0"/>
      </w:pPr>
      <w:r>
        <w:t xml:space="preserve">Ngā Pirihimana o Aotearoa | New Zealand </w:t>
      </w:r>
      <w:r w:rsidRPr="00C434B5">
        <w:t xml:space="preserve">Police should review </w:t>
      </w:r>
      <w:r>
        <w:t xml:space="preserve">and update its </w:t>
      </w:r>
      <w:r w:rsidRPr="00C434B5">
        <w:t xml:space="preserve">guidance on hate crimes and </w:t>
      </w:r>
      <w:r w:rsidRPr="00050122">
        <w:t>other</w:t>
      </w:r>
      <w:r>
        <w:t xml:space="preserve"> relevant</w:t>
      </w:r>
      <w:r w:rsidRPr="00C434B5">
        <w:t xml:space="preserve"> guidance to ensure</w:t>
      </w:r>
      <w:r>
        <w:t xml:space="preserve"> </w:t>
      </w:r>
      <w:r w:rsidR="009873AD">
        <w:t xml:space="preserve">police </w:t>
      </w:r>
      <w:r>
        <w:t>officers</w:t>
      </w:r>
      <w:r w:rsidR="009873AD">
        <w:t xml:space="preserve"> and prosecutors</w:t>
      </w:r>
      <w:r>
        <w:t xml:space="preserve"> are informed about any changes to the law as a result of this review</w:t>
      </w:r>
      <w:r w:rsidRPr="00C434B5">
        <w:t>.</w:t>
      </w:r>
    </w:p>
    <w:p w14:paraId="5A81206B" w14:textId="7CB1E448" w:rsidR="00B26C4D" w:rsidRPr="00C434B5" w:rsidRDefault="00887337" w:rsidP="00B26C4D">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8315" behindDoc="1" locked="0" layoutInCell="1" allowOverlap="1" wp14:anchorId="7238D1D7" wp14:editId="709C694C">
                <wp:simplePos x="0" y="0"/>
                <wp:positionH relativeFrom="column">
                  <wp:posOffset>0</wp:posOffset>
                </wp:positionH>
                <wp:positionV relativeFrom="paragraph">
                  <wp:posOffset>159072</wp:posOffset>
                </wp:positionV>
                <wp:extent cx="1282065" cy="297815"/>
                <wp:effectExtent l="0" t="0" r="32385" b="6985"/>
                <wp:wrapNone/>
                <wp:docPr id="269853116"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398613524" name="Group 52"/>
                        <wpg:cNvGrpSpPr>
                          <a:grpSpLocks/>
                        </wpg:cNvGrpSpPr>
                        <wpg:grpSpPr bwMode="auto">
                          <a:xfrm>
                            <a:off x="172528" y="2540"/>
                            <a:ext cx="1110144" cy="1270"/>
                            <a:chOff x="1417" y="1374"/>
                            <a:chExt cx="1814" cy="2"/>
                          </a:xfrm>
                        </wpg:grpSpPr>
                        <wps:wsp>
                          <wps:cNvPr id="15220152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781066" name="Group 54"/>
                        <wpg:cNvGrpSpPr>
                          <a:grpSpLocks/>
                        </wpg:cNvGrpSpPr>
                        <wpg:grpSpPr bwMode="auto">
                          <a:xfrm>
                            <a:off x="0" y="0"/>
                            <a:ext cx="492038" cy="298450"/>
                            <a:chOff x="1134" y="1366"/>
                            <a:chExt cx="804" cy="470"/>
                          </a:xfrm>
                        </wpg:grpSpPr>
                        <wps:wsp>
                          <wps:cNvPr id="14878066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0ADFC2" w14:textId="77777777" w:rsidR="00887337" w:rsidRPr="008D464F" w:rsidRDefault="00887337" w:rsidP="0088733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238D1D7" id="_x0000_s1140" style="position:absolute;left:0;text-align:left;margin-left:0;margin-top:12.55pt;width:100.95pt;height:23.45pt;z-index:-25165816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">
                <v:group id="Group 52" o:spid="_x0000_s11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">
                  <v:shape id="Freeform 53" o:spid="_x0000_s11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" path="m,l1815,e" filled="f" strokecolor="#5ca0b9" strokeweight=".5pt">
                    <v:path arrowok="t" o:connecttype="custom" o:connectlocs="0,0;1815,0" o:connectangles="0,0"/>
                  </v:shape>
                </v:group>
                <v:group id="Group 54" o:spid="_x0000_s11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">
                  <v:shape id="Freeform 55" o:spid="_x0000_s11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E0ADFC2" w14:textId="77777777" w:rsidR="00887337" w:rsidRPr="008D464F" w:rsidRDefault="00887337" w:rsidP="00887337">
                          <w:pPr>
                            <w:spacing w:before="80" w:after="0"/>
                            <w:jc w:val="center"/>
                            <w:rPr>
                              <w:rFonts w:ascii="Metropolis" w:hAnsi="Metropolis"/>
                              <w:b/>
                              <w:bCs/>
                              <w:color w:val="FFFFFF" w:themeColor="background1"/>
                              <w:szCs w:val="20"/>
                            </w:rPr>
                          </w:pPr>
                        </w:p>
                      </w:txbxContent>
                    </v:textbox>
                  </v:shape>
                </v:group>
              </v:group>
            </w:pict>
          </mc:Fallback>
        </mc:AlternateContent>
      </w:r>
    </w:p>
    <w:p w14:paraId="26C58E2D" w14:textId="77777777" w:rsidR="00B26C4D" w:rsidRDefault="00B26C4D" w:rsidP="003E75B9">
      <w:pPr>
        <w:pStyle w:val="RxRecommendationText"/>
        <w:numPr>
          <w:ilvl w:val="0"/>
          <w:numId w:val="29"/>
        </w:numPr>
        <w:ind w:left="993" w:hanging="851"/>
      </w:pPr>
      <w:r>
        <w:t xml:space="preserve">Updated </w:t>
      </w:r>
      <w:r w:rsidRPr="00F21339">
        <w:t xml:space="preserve">Ngā Pirihimana o </w:t>
      </w:r>
      <w:r>
        <w:t>Aotearoa</w:t>
      </w:r>
      <w:r w:rsidRPr="00F21339">
        <w:t xml:space="preserve"> | New Zealand </w:t>
      </w:r>
      <w:r w:rsidRPr="00C434B5">
        <w:t xml:space="preserve">Police guidance </w:t>
      </w:r>
      <w:r>
        <w:t>relating to hate crime prosecutions</w:t>
      </w:r>
      <w:r w:rsidRPr="00C434B5" w:rsidDel="00350167">
        <w:t xml:space="preserve"> </w:t>
      </w:r>
      <w:r w:rsidRPr="00C434B5">
        <w:t>should be shared with Crown solicitors.</w:t>
      </w:r>
    </w:p>
    <w:p w14:paraId="03EC1E02" w14:textId="5DE496E6" w:rsidR="00B26C4D" w:rsidRDefault="00B40057" w:rsidP="00B26C4D">
      <w:pPr>
        <w:pStyle w:val="RxRecommendationText"/>
        <w:numPr>
          <w:ilvl w:val="0"/>
          <w:numId w:val="0"/>
        </w:numPr>
        <w:ind w:left="993"/>
      </w:pPr>
      <w:r>
        <w:rPr>
          <w:noProof/>
          <w14:ligatures w14:val="standardContextual"/>
        </w:rPr>
        <mc:AlternateContent>
          <mc:Choice Requires="wpg">
            <w:drawing>
              <wp:anchor distT="0" distB="0" distL="114300" distR="114300" simplePos="0" relativeHeight="251658316" behindDoc="1" locked="0" layoutInCell="1" allowOverlap="1" wp14:anchorId="404D3ECE" wp14:editId="666CE6CC">
                <wp:simplePos x="0" y="0"/>
                <wp:positionH relativeFrom="column">
                  <wp:posOffset>0</wp:posOffset>
                </wp:positionH>
                <wp:positionV relativeFrom="paragraph">
                  <wp:posOffset>137482</wp:posOffset>
                </wp:positionV>
                <wp:extent cx="1282065" cy="297815"/>
                <wp:effectExtent l="0" t="0" r="32385" b="6985"/>
                <wp:wrapNone/>
                <wp:docPr id="673490542" name="Group 2"/>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1293281077" name="Group 52"/>
                        <wpg:cNvGrpSpPr>
                          <a:grpSpLocks/>
                        </wpg:cNvGrpSpPr>
                        <wpg:grpSpPr bwMode="auto">
                          <a:xfrm>
                            <a:off x="172528" y="2540"/>
                            <a:ext cx="1110144" cy="1270"/>
                            <a:chOff x="1417" y="1374"/>
                            <a:chExt cx="1814" cy="2"/>
                          </a:xfrm>
                        </wpg:grpSpPr>
                        <wps:wsp>
                          <wps:cNvPr id="20650962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438892" name="Group 54"/>
                        <wpg:cNvGrpSpPr>
                          <a:grpSpLocks/>
                        </wpg:cNvGrpSpPr>
                        <wpg:grpSpPr bwMode="auto">
                          <a:xfrm>
                            <a:off x="0" y="0"/>
                            <a:ext cx="492038" cy="298450"/>
                            <a:chOff x="1134" y="1366"/>
                            <a:chExt cx="804" cy="470"/>
                          </a:xfrm>
                        </wpg:grpSpPr>
                        <wps:wsp>
                          <wps:cNvPr id="2781250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732FA5" w14:textId="77777777" w:rsidR="00B40057" w:rsidRPr="008D464F" w:rsidRDefault="00B40057" w:rsidP="00B4005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04D3ECE" id="_x0000_s1145" style="position:absolute;left:0;text-align:left;margin-left:0;margin-top:10.85pt;width:100.95pt;height:23.45pt;z-index:-25165816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">
                <v:group id="Group 52" o:spid="_x0000_s11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">
                  <v:shape id="Freeform 53" o:spid="_x0000_s11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" path="m,l1815,e" filled="f" strokecolor="#5ca0b9" strokeweight=".5pt">
                    <v:path arrowok="t" o:connecttype="custom" o:connectlocs="0,0;1815,0" o:connectangles="0,0"/>
                  </v:shape>
                </v:group>
                <v:group id="Group 54" o:spid="_x0000_s11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">
                  <v:shape id="Freeform 55" o:spid="_x0000_s11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2732FA5" w14:textId="77777777" w:rsidR="00B40057" w:rsidRPr="008D464F" w:rsidRDefault="00B40057" w:rsidP="00B40057">
                          <w:pPr>
                            <w:spacing w:before="80" w:after="0"/>
                            <w:jc w:val="center"/>
                            <w:rPr>
                              <w:rFonts w:ascii="Metropolis" w:hAnsi="Metropolis"/>
                              <w:b/>
                              <w:bCs/>
                              <w:color w:val="FFFFFF" w:themeColor="background1"/>
                              <w:szCs w:val="20"/>
                            </w:rPr>
                          </w:pPr>
                        </w:p>
                      </w:txbxContent>
                    </v:textbox>
                  </v:shape>
                </v:group>
              </v:group>
            </w:pict>
          </mc:Fallback>
        </mc:AlternateContent>
      </w:r>
    </w:p>
    <w:p w14:paraId="22C4E82E" w14:textId="206D1540" w:rsidR="00B26C4D" w:rsidRPr="00C434B5" w:rsidRDefault="00B26C4D" w:rsidP="00070525">
      <w:pPr>
        <w:pStyle w:val="RxRecommendationText"/>
        <w:numPr>
          <w:ilvl w:val="0"/>
          <w:numId w:val="29"/>
        </w:numPr>
        <w:ind w:left="993" w:hanging="851"/>
      </w:pPr>
      <w:r w:rsidRPr="003015D0">
        <w:t xml:space="preserve">Ngā Pirihimana o </w:t>
      </w:r>
      <w:r>
        <w:t>Aotearoa</w:t>
      </w:r>
      <w:r w:rsidRPr="003015D0">
        <w:t xml:space="preserve"> | New Zealand Police </w:t>
      </w:r>
      <w:r>
        <w:t>and the Crown Solicitor Network (supported by Te Tari Ture o te Karauna | Crown Law) should provide training on any changes to the law as a result of this review.</w:t>
      </w:r>
    </w:p>
    <w:p w14:paraId="19FB542F" w14:textId="77777777" w:rsidR="00070525" w:rsidRDefault="00070525" w:rsidP="00070525">
      <w:pPr>
        <w:pStyle w:val="BodyText"/>
        <w:numPr>
          <w:ilvl w:val="0"/>
          <w:numId w:val="0"/>
        </w:numPr>
        <w:ind w:left="709"/>
      </w:pPr>
    </w:p>
    <w:p w14:paraId="5FD97FD2" w14:textId="501A0C2A" w:rsidR="00AC2589" w:rsidRDefault="00AC2589" w:rsidP="00AC2589">
      <w:pPr>
        <w:pStyle w:val="BodyText"/>
        <w:numPr>
          <w:ilvl w:val="1"/>
          <w:numId w:val="31"/>
        </w:numPr>
        <w:ind w:hanging="709"/>
      </w:pPr>
      <w:r>
        <w:t xml:space="preserve">We recommend that </w:t>
      </w:r>
      <w:r w:rsidR="00E20C97">
        <w:t xml:space="preserve">Police </w:t>
      </w:r>
      <w:r w:rsidR="00437278">
        <w:t xml:space="preserve">review </w:t>
      </w:r>
      <w:r>
        <w:t>existing guidance</w:t>
      </w:r>
      <w:r w:rsidR="00AC6448">
        <w:t xml:space="preserve"> on hate crime</w:t>
      </w:r>
      <w:r>
        <w:t xml:space="preserve"> </w:t>
      </w:r>
      <w:r w:rsidR="00D341B0">
        <w:t xml:space="preserve">to ensure </w:t>
      </w:r>
      <w:r>
        <w:t>it reflects any</w:t>
      </w:r>
      <w:r w:rsidR="00D70357">
        <w:t xml:space="preserve"> changes to the law</w:t>
      </w:r>
      <w:r>
        <w:t xml:space="preserve"> implemented as a result of this review. </w:t>
      </w:r>
      <w:r w:rsidR="009C109F">
        <w:t xml:space="preserve">We also recommend that the parts of the updated guidance </w:t>
      </w:r>
      <w:r w:rsidR="00AC6448">
        <w:t xml:space="preserve">that are </w:t>
      </w:r>
      <w:r w:rsidR="009C109F">
        <w:t xml:space="preserve">relevant to prosecutions </w:t>
      </w:r>
      <w:r w:rsidR="00531A5A">
        <w:t xml:space="preserve">should </w:t>
      </w:r>
      <w:r w:rsidR="00AC6448">
        <w:t xml:space="preserve">be shared with Crown solicitors. </w:t>
      </w:r>
    </w:p>
    <w:p w14:paraId="17488C7F" w14:textId="6DF5A130" w:rsidR="00AC6448" w:rsidRDefault="001F1AAA" w:rsidP="00AC6448">
      <w:pPr>
        <w:pStyle w:val="BodyText"/>
        <w:numPr>
          <w:ilvl w:val="1"/>
          <w:numId w:val="31"/>
        </w:numPr>
        <w:ind w:hanging="709"/>
      </w:pPr>
      <w:r>
        <w:t>B</w:t>
      </w:r>
      <w:r w:rsidR="00AC6448" w:rsidRPr="00D140D5">
        <w:t>oth</w:t>
      </w:r>
      <w:r w:rsidR="00AC6448" w:rsidRPr="00C434B5">
        <w:t xml:space="preserve"> the Crown Solicitor Network (supported by Crown Law) and Police should provid</w:t>
      </w:r>
      <w:r w:rsidR="00AC6448">
        <w:t>e</w:t>
      </w:r>
      <w:r w:rsidR="00AC6448" w:rsidRPr="00C434B5">
        <w:t xml:space="preserve"> training to prosecutors</w:t>
      </w:r>
      <w:r w:rsidR="00AC6448">
        <w:t xml:space="preserve"> and relevant Police staff</w:t>
      </w:r>
      <w:r w:rsidR="00AC6448" w:rsidRPr="00C434B5">
        <w:t xml:space="preserve"> on the new hate crime provisions.</w:t>
      </w:r>
      <w:r w:rsidR="00AC6448">
        <w:t xml:space="preserve"> Further, it would be helpful if legal professional bodies provide training on any changes to the law to ensure defence counsel are informed.</w:t>
      </w:r>
    </w:p>
    <w:p w14:paraId="6F4583B9" w14:textId="406337D3" w:rsidR="00B26C4D" w:rsidRDefault="006A3F0E" w:rsidP="003E75B9">
      <w:pPr>
        <w:pStyle w:val="BodyText"/>
        <w:numPr>
          <w:ilvl w:val="1"/>
          <w:numId w:val="31"/>
        </w:numPr>
        <w:ind w:hanging="709"/>
      </w:pPr>
      <w:r>
        <w:t>As part of Police’s review of its</w:t>
      </w:r>
      <w:r w:rsidR="00E20C97">
        <w:t xml:space="preserve"> guidance</w:t>
      </w:r>
      <w:r w:rsidR="00B37D0D">
        <w:t xml:space="preserve"> </w:t>
      </w:r>
      <w:r>
        <w:t>on hate crime, it</w:t>
      </w:r>
      <w:r w:rsidR="00B473BB">
        <w:t xml:space="preserve"> </w:t>
      </w:r>
      <w:r w:rsidR="00005959">
        <w:t xml:space="preserve">may wish to consider whether </w:t>
      </w:r>
      <w:r w:rsidR="00615798">
        <w:t xml:space="preserve">the </w:t>
      </w:r>
      <w:r w:rsidR="00005959">
        <w:t>current</w:t>
      </w:r>
      <w:r w:rsidR="002B062C">
        <w:t xml:space="preserve"> </w:t>
      </w:r>
      <w:r w:rsidR="00E0012B">
        <w:t>g</w:t>
      </w:r>
      <w:r w:rsidR="00B26C4D">
        <w:t>uidance ensure</w:t>
      </w:r>
      <w:r w:rsidR="0065317F">
        <w:t>s</w:t>
      </w:r>
      <w:r w:rsidR="00B26C4D">
        <w:t xml:space="preserve"> police officers and prosecutors are adequately informed about section 9(1)(h) and how to apply it</w:t>
      </w:r>
      <w:r w:rsidR="005A1995">
        <w:t xml:space="preserve"> generally</w:t>
      </w:r>
      <w:r w:rsidR="00B26C4D">
        <w:t xml:space="preserve">. For example, Police </w:t>
      </w:r>
      <w:r w:rsidR="00B26C4D" w:rsidRPr="00D140D5">
        <w:t>Instructions</w:t>
      </w:r>
      <w:r w:rsidR="00B26C4D">
        <w:t xml:space="preserve"> (discussed in Chapter 2) contain prompts to include evidence of hostility in summaries of fact and witness statements. However, there is little detail</w:t>
      </w:r>
      <w:r w:rsidR="00B26C4D" w:rsidRPr="00C434B5">
        <w:t xml:space="preserve"> about </w:t>
      </w:r>
      <w:r w:rsidR="00B26C4D">
        <w:t>the kind of evidence that may be used to</w:t>
      </w:r>
      <w:r w:rsidR="00B26C4D" w:rsidRPr="00C434B5">
        <w:t xml:space="preserve"> </w:t>
      </w:r>
      <w:r w:rsidR="00B26C4D">
        <w:t xml:space="preserve">establish hostile motivation. There is also little guidance on the legislative requirements that must be met for section 9(1)(h) to apply. While there is reference to addressing section 9(1)(h) at sentencing, there is no prompt to consider it at other stages of a proceeding such as at bail hearings. </w:t>
      </w:r>
      <w:r w:rsidR="00B26C4D" w:rsidRPr="00FF0E9A">
        <w:t xml:space="preserve">Guidance on these matters could help to </w:t>
      </w:r>
      <w:r w:rsidR="00D7094F">
        <w:t>ensure</w:t>
      </w:r>
      <w:r w:rsidR="00B26C4D" w:rsidRPr="00FF0E9A">
        <w:t xml:space="preserve"> </w:t>
      </w:r>
      <w:r w:rsidR="00604A48">
        <w:t>hostile motivation</w:t>
      </w:r>
      <w:r w:rsidR="00604A48" w:rsidRPr="00FF0E9A">
        <w:t xml:space="preserve"> </w:t>
      </w:r>
      <w:r w:rsidR="00B26C4D" w:rsidRPr="00FF0E9A">
        <w:t xml:space="preserve">is </w:t>
      </w:r>
      <w:r w:rsidR="00593B3B">
        <w:t>appropriately addressed in</w:t>
      </w:r>
      <w:r w:rsidR="00B26C4D" w:rsidRPr="00FF0E9A">
        <w:t xml:space="preserve"> court proceedings.</w:t>
      </w:r>
    </w:p>
    <w:p w14:paraId="58DB4971" w14:textId="71613BFA" w:rsidR="00B26C4D" w:rsidRDefault="00DF19A2" w:rsidP="003E75B9">
      <w:pPr>
        <w:pStyle w:val="BodyText"/>
        <w:numPr>
          <w:ilvl w:val="1"/>
          <w:numId w:val="31"/>
        </w:numPr>
        <w:ind w:hanging="709"/>
      </w:pPr>
      <w:r>
        <w:t>Additionally, a</w:t>
      </w:r>
      <w:r w:rsidR="00B26C4D" w:rsidRPr="00510E25">
        <w:t xml:space="preserve">s discussed in </w:t>
      </w:r>
      <w:r w:rsidR="00B26C4D" w:rsidRPr="009A174A">
        <w:t xml:space="preserve">Chapter </w:t>
      </w:r>
      <w:r w:rsidR="00A90807">
        <w:t>7</w:t>
      </w:r>
      <w:r w:rsidR="00B26C4D" w:rsidRPr="00510E25">
        <w:t xml:space="preserve">, we </w:t>
      </w:r>
      <w:r w:rsidR="00B26C4D">
        <w:t>consider that</w:t>
      </w:r>
      <w:r w:rsidR="00B26C4D" w:rsidRPr="006B4D45">
        <w:t xml:space="preserve"> the existing law allows the use of community impact statements at sentencing and </w:t>
      </w:r>
      <w:r w:rsidR="00B26C4D">
        <w:t xml:space="preserve">that they </w:t>
      </w:r>
      <w:r w:rsidR="00B26C4D" w:rsidRPr="006B4D45">
        <w:t>may assist the court in some hate crime cases.</w:t>
      </w:r>
      <w:r w:rsidR="00B26C4D">
        <w:t xml:space="preserve"> </w:t>
      </w:r>
      <w:r w:rsidR="00B26C4D" w:rsidRPr="004C5085">
        <w:t xml:space="preserve">Police could consider </w:t>
      </w:r>
      <w:r w:rsidR="00B26C4D">
        <w:t>adding</w:t>
      </w:r>
      <w:r w:rsidR="00B26C4D" w:rsidRPr="004C5085">
        <w:t xml:space="preserve"> a prompt to</w:t>
      </w:r>
      <w:r w:rsidR="00B26C4D">
        <w:t xml:space="preserve"> the hate crime instructions to</w:t>
      </w:r>
      <w:r w:rsidR="00B26C4D" w:rsidRPr="004C5085">
        <w:t xml:space="preserve"> assess whether a community impact statement may be appropriate in the circumstances.</w:t>
      </w:r>
      <w:r w:rsidR="00B26C4D">
        <w:t xml:space="preserve"> </w:t>
      </w:r>
    </w:p>
    <w:p w14:paraId="11765B71" w14:textId="77777777" w:rsidR="005D45D2" w:rsidRDefault="00DF19A2" w:rsidP="005D45D2">
      <w:pPr>
        <w:pStyle w:val="BodyText"/>
        <w:numPr>
          <w:ilvl w:val="1"/>
          <w:numId w:val="31"/>
        </w:numPr>
        <w:ind w:hanging="709"/>
      </w:pPr>
      <w:r>
        <w:t>As well as</w:t>
      </w:r>
      <w:r w:rsidR="00B26C4D">
        <w:t xml:space="preserve"> the Police Instructions, there may be other Police guidance that could usefully refer to section 9(1)(h). </w:t>
      </w:r>
      <w:r w:rsidR="00B26C4D" w:rsidDel="007B09A8">
        <w:t xml:space="preserve">For example, </w:t>
      </w:r>
      <w:r w:rsidR="00B26C4D">
        <w:t xml:space="preserve">there are general Police Instructions relating to victims, which provide guidance on victim impact statements and could be updated to refer to the possibility of using community impact statements in hate crime cases (and potentially others). </w:t>
      </w:r>
    </w:p>
    <w:p w14:paraId="208B5641" w14:textId="77777777" w:rsidR="00B26C4D" w:rsidRDefault="00B26C4D" w:rsidP="00B26C4D">
      <w:pPr>
        <w:pStyle w:val="Heading2"/>
      </w:pPr>
      <w:bookmarkStart w:id="164" w:name="_Toc212106784"/>
      <w:bookmarkStart w:id="165" w:name="_Toc231467868"/>
      <w:r w:rsidRPr="00C434B5">
        <w:t>Judicial training</w:t>
      </w:r>
      <w:bookmarkEnd w:id="164"/>
      <w:bookmarkEnd w:id="165"/>
    </w:p>
    <w:p w14:paraId="1C78C4D2" w14:textId="055FE481" w:rsidR="00B26C4D" w:rsidRDefault="00B26C4D" w:rsidP="00281692">
      <w:pPr>
        <w:pStyle w:val="BodyText"/>
        <w:numPr>
          <w:ilvl w:val="1"/>
          <w:numId w:val="31"/>
        </w:numPr>
        <w:ind w:hanging="709"/>
      </w:pPr>
      <w:r>
        <w:t>As</w:t>
      </w:r>
      <w:r w:rsidDel="00813D33">
        <w:t xml:space="preserve"> </w:t>
      </w:r>
      <w:r>
        <w:t xml:space="preserve">discussed in </w:t>
      </w:r>
      <w:r w:rsidRPr="00050122">
        <w:t xml:space="preserve">Chapter </w:t>
      </w:r>
      <w:r w:rsidR="002E54EE">
        <w:t>4</w:t>
      </w:r>
      <w:r>
        <w:t>,</w:t>
      </w:r>
      <w:r w:rsidR="002E54EE">
        <w:t xml:space="preserve"> </w:t>
      </w:r>
      <w:r w:rsidR="002E54EE" w:rsidRPr="009A60BE">
        <w:t xml:space="preserve">given how few hate crime cases there are in the courts, </w:t>
      </w:r>
      <w:r w:rsidR="002E54EE">
        <w:t>there is a risk that</w:t>
      </w:r>
      <w:r>
        <w:t xml:space="preserve"> the</w:t>
      </w:r>
      <w:r w:rsidRPr="001F1D53">
        <w:t xml:space="preserve"> aggravating factor </w:t>
      </w:r>
      <w:r>
        <w:t>may</w:t>
      </w:r>
      <w:r w:rsidRPr="001F1D53">
        <w:t xml:space="preserve"> not always </w:t>
      </w:r>
      <w:r w:rsidR="008337E2">
        <w:t>be</w:t>
      </w:r>
      <w:r w:rsidRPr="001F1D53">
        <w:t xml:space="preserve"> front of mind for judges</w:t>
      </w:r>
      <w:r w:rsidR="002E54EE">
        <w:t>.</w:t>
      </w:r>
      <w:r w:rsidRPr="00C434B5">
        <w:t xml:space="preserve"> </w:t>
      </w:r>
      <w:r w:rsidRPr="009D646F">
        <w:t>Th</w:t>
      </w:r>
      <w:r>
        <w:t>is may be a particular challenge when judges</w:t>
      </w:r>
      <w:r w:rsidRPr="009D646F">
        <w:t xml:space="preserve"> are dealing with high caseloads (</w:t>
      </w:r>
      <w:r w:rsidR="000C32F5">
        <w:t>especially</w:t>
      </w:r>
      <w:r w:rsidR="000C32F5" w:rsidRPr="009D646F">
        <w:t xml:space="preserve"> </w:t>
      </w:r>
      <w:r w:rsidRPr="009D646F">
        <w:t xml:space="preserve">in </w:t>
      </w:r>
      <w:r w:rsidR="00D65153" w:rsidRPr="00D65153">
        <w:t>Te Kōti ā Rohe | District Court</w:t>
      </w:r>
      <w:r w:rsidRPr="009D646F">
        <w:t>).</w:t>
      </w:r>
    </w:p>
    <w:p w14:paraId="60237185" w14:textId="287E66BD" w:rsidR="00B26C4D" w:rsidRPr="00DF0F97" w:rsidRDefault="005F3C3A" w:rsidP="00281692">
      <w:pPr>
        <w:pStyle w:val="BodyText"/>
        <w:numPr>
          <w:ilvl w:val="1"/>
          <w:numId w:val="31"/>
        </w:numPr>
        <w:ind w:hanging="709"/>
      </w:pPr>
      <w:r>
        <w:t>In</w:t>
      </w:r>
      <w:r w:rsidR="00B26C4D">
        <w:t xml:space="preserve"> Chapters </w:t>
      </w:r>
      <w:r>
        <w:t>6</w:t>
      </w:r>
      <w:r w:rsidR="00B26C4D">
        <w:t xml:space="preserve"> and </w:t>
      </w:r>
      <w:r>
        <w:t>7</w:t>
      </w:r>
      <w:r w:rsidR="00B82B3B">
        <w:t>,</w:t>
      </w:r>
      <w:r w:rsidR="00B26C4D">
        <w:t xml:space="preserve"> </w:t>
      </w:r>
      <w:r w:rsidR="00B26C4D" w:rsidRPr="00C434B5" w:rsidDel="0098614F">
        <w:t xml:space="preserve">we </w:t>
      </w:r>
      <w:r w:rsidR="00B26C4D">
        <w:t>recommended</w:t>
      </w:r>
      <w:r w:rsidR="00B26C4D" w:rsidRPr="00C434B5" w:rsidDel="0098614F">
        <w:t xml:space="preserve"> changes to court processes and procedure to help </w:t>
      </w:r>
      <w:r w:rsidR="00356793">
        <w:t>ensure hostile motivation is identified and addressed in relevant proceedings</w:t>
      </w:r>
      <w:r w:rsidR="00B26C4D" w:rsidRPr="00C434B5" w:rsidDel="0098614F">
        <w:t xml:space="preserve">. </w:t>
      </w:r>
      <w:r w:rsidR="00B26C4D" w:rsidRPr="00B43DEC">
        <w:t>Further, i</w:t>
      </w:r>
      <w:r w:rsidR="00B26C4D" w:rsidRPr="00B43DEC" w:rsidDel="0098614F">
        <w:t xml:space="preserve">n Chapter </w:t>
      </w:r>
      <w:r w:rsidR="00CD4532">
        <w:t>8</w:t>
      </w:r>
      <w:r w:rsidR="00B26C4D" w:rsidRPr="00B43DEC" w:rsidDel="0098614F">
        <w:t xml:space="preserve">, we </w:t>
      </w:r>
      <w:r w:rsidR="00B82B3B">
        <w:t>recommended some changes to the wording of section 9(1)(h).</w:t>
      </w:r>
      <w:r w:rsidR="00B26C4D">
        <w:t xml:space="preserve"> </w:t>
      </w:r>
    </w:p>
    <w:p w14:paraId="4AC6F539" w14:textId="77777777" w:rsidR="00B26C4D" w:rsidRPr="00CF1D7F" w:rsidRDefault="00B26C4D" w:rsidP="00B26C4D">
      <w:pPr>
        <w:pStyle w:val="Heading3"/>
      </w:pPr>
      <w:r>
        <w:t>Consultation</w:t>
      </w:r>
    </w:p>
    <w:p w14:paraId="4DBA79DA" w14:textId="7D8E4D10" w:rsidR="00B26C4D" w:rsidRDefault="00EC2468" w:rsidP="003E75B9">
      <w:pPr>
        <w:pStyle w:val="BodyText"/>
        <w:numPr>
          <w:ilvl w:val="1"/>
          <w:numId w:val="31"/>
        </w:numPr>
        <w:ind w:hanging="709"/>
      </w:pPr>
      <w:r>
        <w:t xml:space="preserve">Although it was not something we </w:t>
      </w:r>
      <w:r w:rsidR="00EA4A55">
        <w:t xml:space="preserve">discussed </w:t>
      </w:r>
      <w:r w:rsidR="00B26C4D">
        <w:t xml:space="preserve">in our Consultation Paper, </w:t>
      </w:r>
      <w:r w:rsidR="00B26C4D" w:rsidRPr="00C434B5">
        <w:t xml:space="preserve">three submitters suggested </w:t>
      </w:r>
      <w:r w:rsidR="00B26C4D">
        <w:t>there should be</w:t>
      </w:r>
      <w:r w:rsidR="00B26C4D" w:rsidRPr="00C434B5">
        <w:t xml:space="preserve"> training for </w:t>
      </w:r>
      <w:r w:rsidR="00B26C4D">
        <w:t xml:space="preserve">members of the </w:t>
      </w:r>
      <w:r w:rsidR="00B26C4D" w:rsidRPr="00C434B5">
        <w:t>judiciary.</w:t>
      </w:r>
      <w:r w:rsidR="00B26C4D" w:rsidRPr="00C434B5">
        <w:rPr>
          <w:color w:val="262626" w:themeColor="text1" w:themeTint="D9"/>
          <w:sz w:val="18"/>
          <w:szCs w:val="18"/>
          <w:vertAlign w:val="superscript"/>
        </w:rPr>
        <w:footnoteReference w:id="754"/>
      </w:r>
      <w:r w:rsidR="00B26C4D" w:rsidRPr="00C434B5">
        <w:t xml:space="preserve"> One said this training should cover how to identify hate crimes and recognise their systemic impact.</w:t>
      </w:r>
      <w:r w:rsidR="00B26C4D" w:rsidRPr="00C434B5">
        <w:rPr>
          <w:rStyle w:val="FootnoteReference"/>
        </w:rPr>
        <w:footnoteReference w:id="755"/>
      </w:r>
      <w:r w:rsidR="00B26C4D" w:rsidRPr="00C434B5">
        <w:t xml:space="preserve"> The other two submitters did not specify what the training should cover. </w:t>
      </w:r>
      <w:r w:rsidR="00B26C4D">
        <w:t>T</w:t>
      </w:r>
      <w:r w:rsidR="00B26C4D" w:rsidRPr="00C434B5">
        <w:t xml:space="preserve">he New Zealand Law Society said there were likely to be lapses in seeing </w:t>
      </w:r>
      <w:r w:rsidR="00B26C4D">
        <w:t>hostile motivation</w:t>
      </w:r>
      <w:r w:rsidR="00B26C4D" w:rsidRPr="00C434B5">
        <w:t xml:space="preserve"> </w:t>
      </w:r>
      <w:r w:rsidR="00B26C4D">
        <w:t>“</w:t>
      </w:r>
      <w:r w:rsidR="00B26C4D" w:rsidRPr="00C434B5">
        <w:t>for what it is</w:t>
      </w:r>
      <w:r w:rsidR="00B26C4D">
        <w:t>;</w:t>
      </w:r>
      <w:r w:rsidR="00B26C4D" w:rsidRPr="00C434B5">
        <w:t xml:space="preserve"> </w:t>
      </w:r>
      <w:r w:rsidR="00B26C4D">
        <w:t>[</w:t>
      </w:r>
      <w:r w:rsidR="00B26C4D" w:rsidRPr="00C434B5">
        <w:t>and</w:t>
      </w:r>
      <w:r w:rsidR="00B26C4D">
        <w:t>]</w:t>
      </w:r>
      <w:r w:rsidR="00B26C4D" w:rsidRPr="00C434B5">
        <w:t xml:space="preserve"> even </w:t>
      </w:r>
      <w:r w:rsidR="00B26C4D">
        <w:t>once realised</w:t>
      </w:r>
      <w:r w:rsidR="00B26C4D" w:rsidRPr="00C434B5">
        <w:t>, it may not be treated adequately or consistently</w:t>
      </w:r>
      <w:r w:rsidR="00B26C4D">
        <w:t>”</w:t>
      </w:r>
      <w:r w:rsidR="00B26C4D" w:rsidRPr="00C434B5">
        <w:t>. Some groups we spoke</w:t>
      </w:r>
      <w:r w:rsidR="00B26C4D" w:rsidRPr="00C434B5" w:rsidDel="000B775D">
        <w:t xml:space="preserve"> </w:t>
      </w:r>
      <w:r w:rsidR="000B775D">
        <w:t>with</w:t>
      </w:r>
      <w:r w:rsidR="00B26C4D" w:rsidRPr="00C434B5">
        <w:t xml:space="preserve"> during consultation also thought judges do not always </w:t>
      </w:r>
      <w:r w:rsidR="00B26C4D">
        <w:t xml:space="preserve">recognise hostility-motivated offending or </w:t>
      </w:r>
      <w:r w:rsidR="00963EA5">
        <w:t xml:space="preserve">understand </w:t>
      </w:r>
      <w:r w:rsidR="00B26C4D" w:rsidRPr="00C434B5">
        <w:t>how to deal with these cases.</w:t>
      </w:r>
    </w:p>
    <w:p w14:paraId="74297171" w14:textId="75E975A2" w:rsidR="00C610B9" w:rsidRDefault="008D27F2" w:rsidP="00663FF7">
      <w:pPr>
        <w:pStyle w:val="Heading3"/>
      </w:pPr>
      <w:r>
        <w:t>Our view</w:t>
      </w:r>
    </w:p>
    <w:p w14:paraId="1A66C57A" w14:textId="3EDEF497" w:rsidR="008C39E2" w:rsidRPr="008C39E2" w:rsidRDefault="008158AD" w:rsidP="00281692">
      <w:pPr>
        <w:pStyle w:val="BodyText"/>
        <w:numPr>
          <w:ilvl w:val="1"/>
          <w:numId w:val="31"/>
        </w:numPr>
        <w:ind w:hanging="709"/>
      </w:pPr>
      <w:r w:rsidRPr="00C434B5">
        <w:t xml:space="preserve">If our </w:t>
      </w:r>
      <w:r>
        <w:t>recommendations</w:t>
      </w:r>
      <w:r w:rsidRPr="00C434B5">
        <w:t xml:space="preserve"> in </w:t>
      </w:r>
      <w:r>
        <w:t>earlier</w:t>
      </w:r>
      <w:r w:rsidRPr="00C434B5">
        <w:t xml:space="preserve"> chapters are </w:t>
      </w:r>
      <w:r w:rsidR="005719F4">
        <w:t>accepted</w:t>
      </w:r>
      <w:r w:rsidRPr="00C434B5">
        <w:t xml:space="preserve">, </w:t>
      </w:r>
      <w:r w:rsidR="003952B7">
        <w:t>i</w:t>
      </w:r>
      <w:r w:rsidR="00A74FA3" w:rsidRPr="00A74FA3">
        <w:t>t</w:t>
      </w:r>
      <w:r>
        <w:t xml:space="preserve"> would be </w:t>
      </w:r>
      <w:r w:rsidR="00A74FA3" w:rsidRPr="00A74FA3">
        <w:t xml:space="preserve">beneficial for judges </w:t>
      </w:r>
      <w:r>
        <w:t xml:space="preserve">to </w:t>
      </w:r>
      <w:r w:rsidR="00A74FA3" w:rsidRPr="00A74FA3">
        <w:t xml:space="preserve">have access to </w:t>
      </w:r>
      <w:r>
        <w:t xml:space="preserve">guidance and training </w:t>
      </w:r>
      <w:r w:rsidRPr="00C434B5">
        <w:t xml:space="preserve">to ensure </w:t>
      </w:r>
      <w:r w:rsidR="00A74FA3" w:rsidRPr="00A74FA3">
        <w:t>they</w:t>
      </w:r>
      <w:r>
        <w:t xml:space="preserve"> are aware of </w:t>
      </w:r>
      <w:r w:rsidRPr="00C434B5">
        <w:t xml:space="preserve">the legislative changes </w:t>
      </w:r>
      <w:r>
        <w:t xml:space="preserve">and </w:t>
      </w:r>
      <w:r w:rsidRPr="00C434B5" w:rsidDel="009C2B94">
        <w:t xml:space="preserve">the </w:t>
      </w:r>
      <w:r>
        <w:t>new requirements</w:t>
      </w:r>
      <w:r w:rsidR="00143EFB">
        <w:t xml:space="preserve"> they impose</w:t>
      </w:r>
      <w:r w:rsidRPr="00C434B5">
        <w:t xml:space="preserve">. </w:t>
      </w:r>
      <w:r w:rsidR="001F264D">
        <w:t xml:space="preserve">More generally, guidance and training </w:t>
      </w:r>
      <w:r w:rsidR="00143EFB">
        <w:t xml:space="preserve">could </w:t>
      </w:r>
      <w:r w:rsidR="001F264D">
        <w:t xml:space="preserve">help to </w:t>
      </w:r>
      <w:r w:rsidR="00DE1A22">
        <w:t>ensure judges are aware of</w:t>
      </w:r>
      <w:r w:rsidR="001F264D">
        <w:t xml:space="preserve"> the aggravating factor</w:t>
      </w:r>
      <w:r w:rsidR="00476C51">
        <w:t xml:space="preserve"> and </w:t>
      </w:r>
      <w:r w:rsidR="00DE1A22">
        <w:t>consider it in appropriate cases.</w:t>
      </w:r>
    </w:p>
    <w:p w14:paraId="05E17A7D" w14:textId="28385ED5" w:rsidR="00B26C4D" w:rsidRPr="00C434B5" w:rsidRDefault="00B26C4D" w:rsidP="00B26C4D">
      <w:pPr>
        <w:pStyle w:val="Heading3"/>
      </w:pPr>
      <w:r>
        <w:t>R</w:t>
      </w:r>
      <w:r w:rsidRPr="00C434B5">
        <w:t>ecommendation</w:t>
      </w:r>
    </w:p>
    <w:p w14:paraId="3624BC2B" w14:textId="159ADD82" w:rsidR="00B26C4D" w:rsidRDefault="005B779A" w:rsidP="00B26C4D">
      <w:pPr>
        <w:pStyle w:val="RxRecommendationText"/>
        <w:numPr>
          <w:ilvl w:val="0"/>
          <w:numId w:val="0"/>
        </w:numPr>
        <w:ind w:left="993" w:hanging="851"/>
      </w:pPr>
      <w:r w:rsidRPr="00663187">
        <w:rPr>
          <w:b/>
          <w:noProof/>
        </w:rPr>
        <mc:AlternateContent>
          <mc:Choice Requires="wpg">
            <w:drawing>
              <wp:anchor distT="0" distB="0" distL="114300" distR="114300" simplePos="0" relativeHeight="251658318" behindDoc="1" locked="0" layoutInCell="1" allowOverlap="1" wp14:anchorId="677B68F7" wp14:editId="726042BD">
                <wp:simplePos x="0" y="0"/>
                <wp:positionH relativeFrom="margin">
                  <wp:posOffset>9525</wp:posOffset>
                </wp:positionH>
                <wp:positionV relativeFrom="paragraph">
                  <wp:posOffset>30802</wp:posOffset>
                </wp:positionV>
                <wp:extent cx="5759450" cy="828675"/>
                <wp:effectExtent l="0" t="0" r="0" b="9525"/>
                <wp:wrapNone/>
                <wp:docPr id="1460598232" name="Group 1460598232"/>
                <wp:cNvGraphicFramePr/>
                <a:graphic xmlns:a="http://schemas.openxmlformats.org/drawingml/2006/main">
                  <a:graphicData uri="http://schemas.microsoft.com/office/word/2010/wordprocessingGroup">
                    <wpg:wgp>
                      <wpg:cNvGrpSpPr/>
                      <wpg:grpSpPr>
                        <a:xfrm>
                          <a:off x="0" y="0"/>
                          <a:ext cx="5759450" cy="828675"/>
                          <a:chOff x="-1" y="36584"/>
                          <a:chExt cx="5760000" cy="1082579"/>
                        </a:xfrm>
                      </wpg:grpSpPr>
                      <wps:wsp>
                        <wps:cNvPr id="1797228455" name="Freeform 51"/>
                        <wps:cNvSpPr>
                          <a:spLocks/>
                        </wps:cNvSpPr>
                        <wps:spPr bwMode="auto">
                          <a:xfrm>
                            <a:off x="-1" y="36584"/>
                            <a:ext cx="5760000" cy="10825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A420C" w14:textId="77777777" w:rsidR="00B26C4D" w:rsidRDefault="00B26C4D" w:rsidP="00B26C4D"/>
                          </w:txbxContent>
                        </wps:txbx>
                        <wps:bodyPr rot="0" vert="horz" wrap="square" lIns="91440" tIns="45720" rIns="91440" bIns="45720" anchor="t" anchorCtr="0" upright="1">
                          <a:noAutofit/>
                        </wps:bodyPr>
                      </wps:wsp>
                      <wpg:grpSp>
                        <wpg:cNvPr id="337664521" name="Group 337664521"/>
                        <wpg:cNvGrpSpPr/>
                        <wpg:grpSpPr>
                          <a:xfrm>
                            <a:off x="0" y="170822"/>
                            <a:ext cx="1282065" cy="403634"/>
                            <a:chOff x="0" y="0"/>
                            <a:chExt cx="1282672" cy="404495"/>
                          </a:xfrm>
                        </wpg:grpSpPr>
                        <wpg:grpSp>
                          <wpg:cNvPr id="753105047" name="Group 52"/>
                          <wpg:cNvGrpSpPr>
                            <a:grpSpLocks/>
                          </wpg:cNvGrpSpPr>
                          <wpg:grpSpPr bwMode="auto">
                            <a:xfrm>
                              <a:off x="172528" y="2540"/>
                              <a:ext cx="1110144" cy="1270"/>
                              <a:chOff x="1417" y="1374"/>
                              <a:chExt cx="1814" cy="2"/>
                            </a:xfrm>
                          </wpg:grpSpPr>
                          <wps:wsp>
                            <wps:cNvPr id="4866011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251341" name="Group 54"/>
                          <wpg:cNvGrpSpPr>
                            <a:grpSpLocks/>
                          </wpg:cNvGrpSpPr>
                          <wpg:grpSpPr bwMode="auto">
                            <a:xfrm>
                              <a:off x="0" y="0"/>
                              <a:ext cx="492038" cy="404495"/>
                              <a:chOff x="1134" y="1366"/>
                              <a:chExt cx="804" cy="637"/>
                            </a:xfrm>
                          </wpg:grpSpPr>
                          <wps:wsp>
                            <wps:cNvPr id="1126381486" name="Freeform 55"/>
                            <wps:cNvSpPr>
                              <a:spLocks/>
                            </wps:cNvSpPr>
                            <wps:spPr bwMode="auto">
                              <a:xfrm>
                                <a:off x="1134" y="1366"/>
                                <a:ext cx="804" cy="637"/>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C9083B" w14:textId="77777777" w:rsidR="00B26C4D" w:rsidRPr="008D464F" w:rsidRDefault="00B26C4D" w:rsidP="00B26C4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77B68F7" id="Group 1460598232" o:spid="_x0000_s1150" style="position:absolute;left:0;text-align:left;margin-left:.75pt;margin-top:2.45pt;width:453.5pt;height:65.25pt;z-index:-251658162;mso-position-horizontal-relative:margin;mso-width-relative:margin;mso-height-relative:margin" coordorigin=",365" coordsize="57600,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">
                <v:shape id="Freeform 51" o:spid="_x0000_s1151" style="position:absolute;top:365;width:57599;height:1082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" adj="-11796480,,5400" path="m,l9354,r,1638l,1638,,e" fillcolor="#e2eaef" stroked="f">
                  <v:stroke joinstyle="round"/>
                  <v:formulas/>
                  <v:path arrowok="t" o:connecttype="custom" o:connectlocs="0,696605;5760000,696605;5760000,1779184;0,1779184;0,696605" o:connectangles="0,0,0,0,0" textboxrect="0,0,9354,1638"/>
                  <v:textbox>
                    <w:txbxContent>
                      <w:p w14:paraId="3CCA420C" w14:textId="77777777" w:rsidR="00B26C4D" w:rsidRDefault="00B26C4D" w:rsidP="00B26C4D"/>
                    </w:txbxContent>
                  </v:textbox>
                </v:shape>
                <v:group id="Group 337664521" o:spid="_x0000_s1152" style="position:absolute;top:1708;width:12820;height:4036" coordsize="12826,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">
                  <v:group id="Group 52" o:spid="_x0000_s11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">
                    <v:shape id="Freeform 53" o:spid="_x0000_s11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" path="m,l1815,e" filled="f" strokecolor="#5ca0b9" strokeweight=".5pt">
                      <v:path arrowok="t" o:connecttype="custom" o:connectlocs="0,0;1815,0" o:connectangles="0,0"/>
                    </v:shape>
                  </v:group>
                  <v:group id="Group 54" o:spid="_x0000_s1155" style="position:absolute;width:4920;height:4044" coordorigin="1134,1366" coordsize="80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">
                    <v:shape id="Freeform 55" o:spid="_x0000_s1156" style="position:absolute;left:1134;top:1366;width:804;height:637;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" adj="-11796480,,5400" path="m,470r642,l642,,,,,470e" fillcolor="#5ca0b9" stroked="f">
                      <v:stroke joinstyle="round"/>
                      <v:formulas/>
                      <v:path arrowok="t" o:connecttype="custom" o:connectlocs="0,2488;803,2488;803,1851;0,1851;0,2488" o:connectangles="0,0,0,0,0" textboxrect="0,0,643,470"/>
                      <v:textbox>
                        <w:txbxContent>
                          <w:p w14:paraId="68C9083B" w14:textId="77777777" w:rsidR="00B26C4D" w:rsidRPr="008D464F" w:rsidRDefault="00B26C4D" w:rsidP="00B26C4D">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3A537E49" w14:textId="0ACD37F5" w:rsidR="00B26C4D" w:rsidRDefault="00B26C4D" w:rsidP="003E75B9">
      <w:pPr>
        <w:pStyle w:val="RxRecommendationText"/>
        <w:numPr>
          <w:ilvl w:val="0"/>
          <w:numId w:val="29"/>
        </w:numPr>
        <w:ind w:left="993" w:hanging="851"/>
      </w:pPr>
      <w:r>
        <w:t>Te Kura Kaiwhakawā |</w:t>
      </w:r>
      <w:r w:rsidRPr="00C434B5">
        <w:t xml:space="preserve"> Institute of Judicial Studies should consider </w:t>
      </w:r>
      <w:r w:rsidRPr="00A24927">
        <w:t>developing guidance and</w:t>
      </w:r>
      <w:r>
        <w:t xml:space="preserve"> </w:t>
      </w:r>
      <w:r w:rsidRPr="00C434B5">
        <w:t xml:space="preserve">providing training to judges on </w:t>
      </w:r>
      <w:r>
        <w:t xml:space="preserve">any </w:t>
      </w:r>
      <w:r w:rsidR="008025EB">
        <w:t>changes to the law</w:t>
      </w:r>
      <w:r>
        <w:t xml:space="preserve"> as a result of this review</w:t>
      </w:r>
      <w:r w:rsidRPr="00C434B5">
        <w:t>.</w:t>
      </w:r>
    </w:p>
    <w:p w14:paraId="666D88AC" w14:textId="77777777" w:rsidR="005B779A" w:rsidRPr="00C434B5" w:rsidRDefault="005B779A" w:rsidP="00303FEE">
      <w:pPr>
        <w:pStyle w:val="RxRecommendationText"/>
        <w:numPr>
          <w:ilvl w:val="0"/>
          <w:numId w:val="0"/>
        </w:numPr>
        <w:ind w:left="993" w:hanging="851"/>
      </w:pPr>
    </w:p>
    <w:p w14:paraId="26E3CB18" w14:textId="463E8418" w:rsidR="00056F71" w:rsidRDefault="00056F71" w:rsidP="003E75B9">
      <w:pPr>
        <w:pStyle w:val="BodyText"/>
        <w:numPr>
          <w:ilvl w:val="1"/>
          <w:numId w:val="31"/>
        </w:numPr>
        <w:ind w:hanging="709"/>
      </w:pPr>
      <w:r>
        <w:t xml:space="preserve">We recommend that the </w:t>
      </w:r>
      <w:r w:rsidRPr="00C434B5">
        <w:t xml:space="preserve">Institute of Judicial Studies </w:t>
      </w:r>
      <w:r>
        <w:t xml:space="preserve">consider developing guidance and training for judges to ensure they are informed of any changes to </w:t>
      </w:r>
      <w:r w:rsidR="00B365C7">
        <w:t>the law as a result of our recommendations in this Report.</w:t>
      </w:r>
    </w:p>
    <w:p w14:paraId="6AE79B42" w14:textId="0087DEA7" w:rsidR="00B26C4D" w:rsidRDefault="00A548AB" w:rsidP="003E75B9">
      <w:pPr>
        <w:pStyle w:val="BodyText"/>
        <w:numPr>
          <w:ilvl w:val="1"/>
          <w:numId w:val="31"/>
        </w:numPr>
        <w:ind w:hanging="709"/>
      </w:pPr>
      <w:r w:rsidRPr="00A548AB">
        <w:t>The Institute of Judicial Studies may also wish to consider whether training and guidance on the application of the aggravating factor more generally would be helpful. For example, this could cover</w:t>
      </w:r>
      <w:r w:rsidR="000B3CE9">
        <w:t xml:space="preserve"> the following</w:t>
      </w:r>
      <w:r w:rsidR="00B26C4D">
        <w:t>:</w:t>
      </w:r>
    </w:p>
    <w:p w14:paraId="523C1CC6" w14:textId="77777777" w:rsidR="00B26C4D" w:rsidRPr="002925AA" w:rsidRDefault="00B26C4D" w:rsidP="003E75B9">
      <w:pPr>
        <w:pStyle w:val="BodyTextalphalist"/>
        <w:numPr>
          <w:ilvl w:val="3"/>
          <w:numId w:val="31"/>
        </w:numPr>
      </w:pPr>
      <w:r>
        <w:t>The kinds of hate crimes the courts may encounter and types of evidence that may establish hostile motivation.</w:t>
      </w:r>
      <w:r>
        <w:rPr>
          <w:rStyle w:val="FootnoteReference"/>
        </w:rPr>
        <w:footnoteReference w:id="756"/>
      </w:r>
    </w:p>
    <w:p w14:paraId="21F604AF" w14:textId="13BFA4DA" w:rsidR="00B26C4D" w:rsidRPr="000713B3" w:rsidRDefault="00B26C4D" w:rsidP="003E75B9">
      <w:pPr>
        <w:pStyle w:val="BodyTextalphalist"/>
        <w:numPr>
          <w:ilvl w:val="3"/>
          <w:numId w:val="31"/>
        </w:numPr>
      </w:pPr>
      <w:r>
        <w:t xml:space="preserve">The test in section 9(1)(h) (or any new provision defining when offending is aggravated by hostility). </w:t>
      </w:r>
      <w:r w:rsidR="00D01CDB">
        <w:t>Guidance might discuss</w:t>
      </w:r>
      <w:r>
        <w:t>, for example, the fact that partial motivation is sufficient to engage the aggravating factor.</w:t>
      </w:r>
      <w:r>
        <w:rPr>
          <w:rStyle w:val="FootnoteReference"/>
        </w:rPr>
        <w:footnoteReference w:id="757"/>
      </w:r>
    </w:p>
    <w:p w14:paraId="0AF60DED" w14:textId="2DB5F018" w:rsidR="00B26C4D" w:rsidRPr="00C434B5" w:rsidRDefault="00B26C4D" w:rsidP="003809DE">
      <w:pPr>
        <w:pStyle w:val="BodyTextalphalist"/>
        <w:numPr>
          <w:ilvl w:val="3"/>
          <w:numId w:val="31"/>
        </w:numPr>
      </w:pPr>
      <w:r>
        <w:t>Considerations that may affect the weight given to the aggravating factor.</w:t>
      </w:r>
      <w:r>
        <w:rPr>
          <w:rStyle w:val="FootnoteReference"/>
        </w:rPr>
        <w:footnoteReference w:id="758"/>
      </w:r>
      <w:r>
        <w:t xml:space="preserve"> </w:t>
      </w:r>
    </w:p>
    <w:p w14:paraId="1C80F991" w14:textId="77777777" w:rsidR="00B26C4D" w:rsidRPr="00C434B5" w:rsidRDefault="00B26C4D" w:rsidP="00B26C4D">
      <w:pPr>
        <w:pStyle w:val="Heading2"/>
      </w:pPr>
      <w:bookmarkStart w:id="166" w:name="_Toc212106785"/>
      <w:bookmarkStart w:id="167" w:name="_Toc231467869"/>
      <w:r w:rsidRPr="00C434B5">
        <w:t>Publishing data on hate crime cases</w:t>
      </w:r>
      <w:bookmarkEnd w:id="166"/>
      <w:bookmarkEnd w:id="167"/>
    </w:p>
    <w:p w14:paraId="4BB198B0" w14:textId="427A4761" w:rsidR="00C23139" w:rsidRPr="00C23139" w:rsidRDefault="00B26C4D" w:rsidP="006938F6">
      <w:pPr>
        <w:pStyle w:val="BodyText"/>
        <w:numPr>
          <w:ilvl w:val="1"/>
          <w:numId w:val="31"/>
        </w:numPr>
        <w:ind w:hanging="709"/>
      </w:pPr>
      <w:r w:rsidRPr="00C434B5">
        <w:t xml:space="preserve">In </w:t>
      </w:r>
      <w:r w:rsidRPr="00CA2D3B">
        <w:t>Chapter 2</w:t>
      </w:r>
      <w:r>
        <w:t>,</w:t>
      </w:r>
      <w:r w:rsidRPr="00C434B5">
        <w:t xml:space="preserve"> we </w:t>
      </w:r>
      <w:r>
        <w:t xml:space="preserve">explained that </w:t>
      </w:r>
      <w:r w:rsidRPr="00C434B5">
        <w:t xml:space="preserve">data collection </w:t>
      </w:r>
      <w:r>
        <w:t xml:space="preserve">and </w:t>
      </w:r>
      <w:r w:rsidR="00DE6BE6">
        <w:t>analysis</w:t>
      </w:r>
      <w:r>
        <w:t xml:space="preserve"> by </w:t>
      </w:r>
      <w:r w:rsidRPr="00C434B5">
        <w:t>Police ha</w:t>
      </w:r>
      <w:r>
        <w:t>ve</w:t>
      </w:r>
      <w:r w:rsidRPr="00C434B5">
        <w:t xml:space="preserve"> improved since the Royal Commission’s report as a result of more structured recording and quality assurance practices. </w:t>
      </w:r>
      <w:r>
        <w:t xml:space="preserve">However, Police does not </w:t>
      </w:r>
      <w:r w:rsidR="000B4131">
        <w:t xml:space="preserve">proactively </w:t>
      </w:r>
      <w:r>
        <w:t xml:space="preserve">publish data that it collects. In addition, </w:t>
      </w:r>
      <w:r w:rsidR="00C576F3">
        <w:t>as discussed in Chapter 4</w:t>
      </w:r>
      <w:r>
        <w:t>,</w:t>
      </w:r>
      <w:r w:rsidRPr="00C434B5">
        <w:t xml:space="preserve"> information about how hate crime is dealt with in the </w:t>
      </w:r>
      <w:r>
        <w:t>court</w:t>
      </w:r>
      <w:r w:rsidRPr="00C434B5">
        <w:t xml:space="preserve"> system</w:t>
      </w:r>
      <w:r>
        <w:t xml:space="preserve"> (for example, how often the aggravating factor is applied at sentencing</w:t>
      </w:r>
      <w:r w:rsidR="00685DDC">
        <w:t>)</w:t>
      </w:r>
      <w:r w:rsidR="00EF6395">
        <w:t xml:space="preserve"> is not easily accessible</w:t>
      </w:r>
      <w:r w:rsidRPr="00C434B5">
        <w:t xml:space="preserve">. </w:t>
      </w:r>
      <w:r w:rsidR="00A7374B">
        <w:t>T</w:t>
      </w:r>
      <w:r>
        <w:t xml:space="preserve">his makes it difficult to assess how the justice system is responding to hate crime and where in the justice process any problems are occurring. </w:t>
      </w:r>
      <w:r w:rsidR="00C23139">
        <w:t xml:space="preserve">The lack of publicly available data also </w:t>
      </w:r>
      <w:r w:rsidR="00C23139" w:rsidRPr="00C23139">
        <w:t>makes hate crime and the justice system’s response to it less visible</w:t>
      </w:r>
      <w:r w:rsidR="004355C8">
        <w:t xml:space="preserve"> to affected communities and the general public.</w:t>
      </w:r>
    </w:p>
    <w:p w14:paraId="1AF2F98F" w14:textId="677BB0A3" w:rsidR="00B26C4D" w:rsidRDefault="00B26C4D" w:rsidP="003E75B9">
      <w:pPr>
        <w:pStyle w:val="BodyText"/>
        <w:numPr>
          <w:ilvl w:val="1"/>
          <w:numId w:val="31"/>
        </w:numPr>
        <w:ind w:hanging="709"/>
      </w:pPr>
      <w:r w:rsidRPr="00C434B5">
        <w:t xml:space="preserve">In </w:t>
      </w:r>
      <w:r w:rsidRPr="00195992">
        <w:t xml:space="preserve">Chapter </w:t>
      </w:r>
      <w:r w:rsidR="00431E60" w:rsidRPr="00195992">
        <w:t>6,</w:t>
      </w:r>
      <w:r w:rsidRPr="00C434B5">
        <w:t xml:space="preserve"> we </w:t>
      </w:r>
      <w:r>
        <w:t>recommended</w:t>
      </w:r>
      <w:r w:rsidRPr="00C434B5">
        <w:t xml:space="preserve"> </w:t>
      </w:r>
      <w:r w:rsidR="00431E60">
        <w:t>introducing</w:t>
      </w:r>
      <w:r w:rsidRPr="00C434B5">
        <w:t xml:space="preserve"> a hate crime flag in the court system</w:t>
      </w:r>
      <w:r w:rsidR="00A86F42">
        <w:t>.</w:t>
      </w:r>
      <w:r w:rsidDel="00A86F42">
        <w:t xml:space="preserve"> </w:t>
      </w:r>
      <w:r w:rsidR="00A86F42">
        <w:t>That</w:t>
      </w:r>
      <w:r>
        <w:t xml:space="preserve"> would help to improve recording of </w:t>
      </w:r>
      <w:r w:rsidR="00A86F42">
        <w:t>when the host</w:t>
      </w:r>
      <w:r w:rsidR="0088562C">
        <w:t xml:space="preserve">ility aggravating factor is alleged to apply to </w:t>
      </w:r>
      <w:r w:rsidR="00DB06A3">
        <w:t xml:space="preserve">an offence and </w:t>
      </w:r>
      <w:r w:rsidR="004D51A0">
        <w:t xml:space="preserve">of </w:t>
      </w:r>
      <w:r w:rsidR="00DB06A3">
        <w:t xml:space="preserve">the court’s finding </w:t>
      </w:r>
      <w:r w:rsidR="004D51A0">
        <w:t>on the matter.</w:t>
      </w:r>
    </w:p>
    <w:p w14:paraId="765C9A2B" w14:textId="77777777" w:rsidR="00B26C4D" w:rsidRPr="00C434B5" w:rsidRDefault="00B26C4D" w:rsidP="00B26C4D">
      <w:pPr>
        <w:pStyle w:val="Heading3"/>
      </w:pPr>
      <w:r>
        <w:t>Consultation</w:t>
      </w:r>
    </w:p>
    <w:p w14:paraId="59935ECD" w14:textId="0A5A237E" w:rsidR="00B26C4D" w:rsidRPr="00C434B5" w:rsidRDefault="00B26C4D" w:rsidP="003E75B9">
      <w:pPr>
        <w:pStyle w:val="BodyText"/>
        <w:numPr>
          <w:ilvl w:val="1"/>
          <w:numId w:val="31"/>
        </w:numPr>
        <w:ind w:hanging="709"/>
      </w:pPr>
      <w:r w:rsidRPr="00C434B5">
        <w:t>We did not discuss publication of</w:t>
      </w:r>
      <w:r>
        <w:t xml:space="preserve"> hate crime</w:t>
      </w:r>
      <w:r w:rsidRPr="00C434B5">
        <w:t xml:space="preserve"> data in our Consultation Paper. However, </w:t>
      </w:r>
      <w:r>
        <w:t>one submitter</w:t>
      </w:r>
      <w:r w:rsidRPr="00C434B5">
        <w:t xml:space="preserve"> called for public reporting of data alongside better collection practices.</w:t>
      </w:r>
      <w:r w:rsidRPr="00C434B5">
        <w:rPr>
          <w:rStyle w:val="FootnoteReference"/>
        </w:rPr>
        <w:footnoteReference w:id="759"/>
      </w:r>
      <w:r w:rsidRPr="00C434B5">
        <w:t xml:space="preserve"> </w:t>
      </w:r>
      <w:r>
        <w:t>In addition, t</w:t>
      </w:r>
      <w:r w:rsidRPr="00C434B5">
        <w:t>wo submitters commented on the value of wide access to the full</w:t>
      </w:r>
      <w:r>
        <w:t xml:space="preserve"> </w:t>
      </w:r>
      <w:r w:rsidRPr="00C434B5">
        <w:t>range of data about hate crime</w:t>
      </w:r>
      <w:r w:rsidR="00E0765A">
        <w:t xml:space="preserve">. One said that </w:t>
      </w:r>
      <w:r w:rsidR="009C22DB" w:rsidRPr="00C434B5">
        <w:t xml:space="preserve">information about charges or convictions for hate crimes could help researchers to understand why hate crimes occur and to identify </w:t>
      </w:r>
      <w:r w:rsidR="009C22DB">
        <w:t xml:space="preserve">circumstances that might give rise to a </w:t>
      </w:r>
      <w:r w:rsidR="009C22DB" w:rsidRPr="00C434B5">
        <w:t>heightened risk of hate crimes.</w:t>
      </w:r>
      <w:r w:rsidR="009C22DB">
        <w:rPr>
          <w:rStyle w:val="FootnoteReference"/>
        </w:rPr>
        <w:footnoteReference w:id="760"/>
      </w:r>
      <w:r w:rsidR="009C22DB">
        <w:t xml:space="preserve"> The other said publishing</w:t>
      </w:r>
      <w:r w:rsidR="009C22DB" w:rsidRPr="00C434B5">
        <w:t xml:space="preserve"> data on </w:t>
      </w:r>
      <w:r w:rsidR="009C22DB">
        <w:t xml:space="preserve">policing responses and resourcing as well as </w:t>
      </w:r>
      <w:r w:rsidR="009C22DB" w:rsidRPr="00C434B5">
        <w:t>sentencing</w:t>
      </w:r>
      <w:r w:rsidR="009C22DB">
        <w:t xml:space="preserve"> data</w:t>
      </w:r>
      <w:r w:rsidR="009C22DB" w:rsidRPr="00C434B5">
        <w:t xml:space="preserve"> could </w:t>
      </w:r>
      <w:r w:rsidR="009C22DB">
        <w:t>enhance</w:t>
      </w:r>
      <w:r w:rsidR="009C22DB" w:rsidRPr="00C434B5">
        <w:t xml:space="preserve"> public perceptions of procedural justice</w:t>
      </w:r>
      <w:r w:rsidR="003809DE">
        <w:t xml:space="preserve"> and</w:t>
      </w:r>
      <w:r w:rsidR="009C22DB" w:rsidRPr="00C434B5">
        <w:t>, in turn</w:t>
      </w:r>
      <w:r w:rsidR="009C22DB">
        <w:t>,</w:t>
      </w:r>
      <w:r w:rsidR="009C22DB" w:rsidRPr="00C434B5">
        <w:t xml:space="preserve"> support positive perceptions of policing and judicial practice.</w:t>
      </w:r>
      <w:r w:rsidR="009C22DB" w:rsidRPr="00C434B5">
        <w:rPr>
          <w:color w:val="262626" w:themeColor="text1" w:themeTint="D9"/>
          <w:sz w:val="18"/>
          <w:szCs w:val="18"/>
          <w:vertAlign w:val="superscript"/>
        </w:rPr>
        <w:footnoteReference w:id="761"/>
      </w:r>
    </w:p>
    <w:p w14:paraId="19628316" w14:textId="62BE8BE5" w:rsidR="00253107" w:rsidRPr="00C434B5" w:rsidRDefault="008D27F2" w:rsidP="009E1B68">
      <w:pPr>
        <w:pStyle w:val="Heading3"/>
      </w:pPr>
      <w:r>
        <w:t>Our view</w:t>
      </w:r>
    </w:p>
    <w:p w14:paraId="2E0FD3AC" w14:textId="2B2ADB70" w:rsidR="00463685" w:rsidRDefault="00DD26C7" w:rsidP="00281692">
      <w:pPr>
        <w:pStyle w:val="BodyText"/>
        <w:numPr>
          <w:ilvl w:val="1"/>
          <w:numId w:val="31"/>
        </w:numPr>
        <w:ind w:hanging="709"/>
      </w:pPr>
      <w:r>
        <w:t>R</w:t>
      </w:r>
      <w:r w:rsidR="00463685" w:rsidRPr="00C434B5">
        <w:t>egular publication of</w:t>
      </w:r>
      <w:r w:rsidR="00463685">
        <w:t xml:space="preserve"> both Police and courts</w:t>
      </w:r>
      <w:r w:rsidR="00463685" w:rsidRPr="00C434B5">
        <w:t xml:space="preserve"> data on hate crime would </w:t>
      </w:r>
      <w:r w:rsidR="00463685">
        <w:t>help address the issues discussed above in relation to the visibility of hate crime and the justice system response to it</w:t>
      </w:r>
      <w:r w:rsidR="00463685" w:rsidRPr="00C434B5">
        <w:t xml:space="preserve">. Commentary </w:t>
      </w:r>
      <w:r w:rsidR="00463685">
        <w:t xml:space="preserve">from other jurisdictions </w:t>
      </w:r>
      <w:r w:rsidR="00463685" w:rsidRPr="00C434B5">
        <w:t>suggests that, from the public’s perspective, hate crime processes and data “are often shrouded in mystery”.</w:t>
      </w:r>
      <w:r w:rsidR="00463685" w:rsidRPr="00C434B5">
        <w:rPr>
          <w:rStyle w:val="FootnoteReference"/>
        </w:rPr>
        <w:footnoteReference w:id="762"/>
      </w:r>
      <w:r w:rsidR="00463685" w:rsidRPr="00C434B5">
        <w:t xml:space="preserve"> Regular publication </w:t>
      </w:r>
      <w:r w:rsidR="00463685">
        <w:t xml:space="preserve">of data </w:t>
      </w:r>
      <w:r w:rsidR="00463685" w:rsidRPr="00C434B5">
        <w:t xml:space="preserve">is a way for the </w:t>
      </w:r>
      <w:r w:rsidR="00463685">
        <w:t>government</w:t>
      </w:r>
      <w:r w:rsidR="00463685" w:rsidRPr="00C434B5">
        <w:t xml:space="preserve"> to acknowledge the </w:t>
      </w:r>
      <w:r w:rsidR="00463685">
        <w:t>seriousness</w:t>
      </w:r>
      <w:r w:rsidR="00463685" w:rsidRPr="00C434B5">
        <w:t xml:space="preserve"> of hate crimes and increase public awareness.</w:t>
      </w:r>
      <w:r w:rsidR="00463685" w:rsidRPr="00C434B5">
        <w:rPr>
          <w:rStyle w:val="FootnoteReference"/>
        </w:rPr>
        <w:footnoteReference w:id="763"/>
      </w:r>
      <w:r w:rsidR="00463685" w:rsidRPr="00C434B5">
        <w:t xml:space="preserve"> Reporting of data would also enhance </w:t>
      </w:r>
      <w:r w:rsidR="008B6ABC">
        <w:t xml:space="preserve">the </w:t>
      </w:r>
      <w:r w:rsidR="00463685" w:rsidRPr="00C434B5">
        <w:t xml:space="preserve">transparency and accountability </w:t>
      </w:r>
      <w:r w:rsidR="00463685">
        <w:t xml:space="preserve">of </w:t>
      </w:r>
      <w:r w:rsidR="00463685" w:rsidRPr="00C434B5">
        <w:t>the justice process.</w:t>
      </w:r>
      <w:r w:rsidR="00463685" w:rsidRPr="00C434B5">
        <w:rPr>
          <w:rStyle w:val="FootnoteReference"/>
        </w:rPr>
        <w:footnoteReference w:id="764"/>
      </w:r>
      <w:r w:rsidR="00463685" w:rsidRPr="00C434B5">
        <w:t xml:space="preserve"> </w:t>
      </w:r>
      <w:r w:rsidR="00463685">
        <w:t>T</w:t>
      </w:r>
      <w:r w:rsidR="00463685" w:rsidRPr="00C434B5">
        <w:t>ransparency may improve trust in Police and the courts</w:t>
      </w:r>
      <w:r w:rsidR="00463685">
        <w:t>,</w:t>
      </w:r>
      <w:r w:rsidR="00463685" w:rsidRPr="00C434B5">
        <w:t xml:space="preserve"> and encourage people to report incidents</w:t>
      </w:r>
      <w:r w:rsidR="00463685">
        <w:t xml:space="preserve"> of hate crime</w:t>
      </w:r>
      <w:r w:rsidR="00463685" w:rsidRPr="00C434B5">
        <w:t>.</w:t>
      </w:r>
      <w:r w:rsidR="00463685" w:rsidRPr="00C434B5">
        <w:rPr>
          <w:rStyle w:val="FootnoteReference"/>
        </w:rPr>
        <w:footnoteReference w:id="765"/>
      </w:r>
      <w:r w:rsidR="00463685" w:rsidRPr="00C434B5">
        <w:t xml:space="preserve"> Finally, publication would enable people outside government to monitor trends, identify developing risks and assess the justice system’s response. Independent research and scrutiny of this kind could contribute to robust operational and policy decision-making in future. </w:t>
      </w:r>
    </w:p>
    <w:p w14:paraId="30383CE9" w14:textId="54A927DF" w:rsidR="00463685" w:rsidRPr="00C434B5" w:rsidRDefault="00463685" w:rsidP="00281692">
      <w:pPr>
        <w:pStyle w:val="BodyText"/>
        <w:numPr>
          <w:ilvl w:val="1"/>
          <w:numId w:val="31"/>
        </w:numPr>
        <w:ind w:hanging="709"/>
      </w:pPr>
      <w:r w:rsidRPr="00C434B5">
        <w:t xml:space="preserve">Data about hate crime is regularly published in </w:t>
      </w:r>
      <w:r w:rsidR="008B6ABC">
        <w:t xml:space="preserve">some </w:t>
      </w:r>
      <w:r w:rsidRPr="00C434B5">
        <w:t xml:space="preserve">other jurisdictions. For example, in England and Wales, </w:t>
      </w:r>
      <w:r>
        <w:t xml:space="preserve">the Home Office publishes </w:t>
      </w:r>
      <w:r w:rsidRPr="00C434B5">
        <w:t>Police data on hate crimes annually.</w:t>
      </w:r>
      <w:r w:rsidRPr="00C434B5">
        <w:rPr>
          <w:rStyle w:val="FootnoteReference"/>
        </w:rPr>
        <w:footnoteReference w:id="766"/>
      </w:r>
      <w:r>
        <w:t xml:space="preserve"> The Crown </w:t>
      </w:r>
      <w:r w:rsidRPr="00D140D5">
        <w:t>Prosecution</w:t>
      </w:r>
      <w:r>
        <w:t xml:space="preserve"> Service also publishes data on prosecutions and convictions for hate-flagged offences.</w:t>
      </w:r>
      <w:r>
        <w:rPr>
          <w:rStyle w:val="FootnoteReference"/>
        </w:rPr>
        <w:footnoteReference w:id="767"/>
      </w:r>
      <w:r w:rsidRPr="00C434B5">
        <w:t xml:space="preserve"> In Canada, </w:t>
      </w:r>
      <w:r>
        <w:t>Statistics Canada compiles and publishes Police hate crime data</w:t>
      </w:r>
      <w:r w:rsidRPr="00C434B5">
        <w:t>.</w:t>
      </w:r>
      <w:r w:rsidRPr="00C434B5">
        <w:rPr>
          <w:rStyle w:val="FootnoteReference"/>
        </w:rPr>
        <w:footnoteReference w:id="768"/>
      </w:r>
    </w:p>
    <w:p w14:paraId="09FB0924" w14:textId="1D7E389C" w:rsidR="00B26C4D" w:rsidRPr="00C434B5" w:rsidRDefault="00B26C4D" w:rsidP="00B26C4D">
      <w:pPr>
        <w:pStyle w:val="Heading3"/>
      </w:pPr>
      <w:r>
        <w:t>R</w:t>
      </w:r>
      <w:r w:rsidRPr="00C434B5">
        <w:t>ecommendation</w:t>
      </w:r>
      <w:r w:rsidR="006A3EE4">
        <w:t>s</w:t>
      </w:r>
    </w:p>
    <w:p w14:paraId="7E9A553C" w14:textId="0E4E67A8" w:rsidR="00B26C4D" w:rsidRDefault="00996658" w:rsidP="00B26C4D">
      <w:pPr>
        <w:pStyle w:val="RxRecommendationText"/>
        <w:numPr>
          <w:ilvl w:val="0"/>
          <w:numId w:val="0"/>
        </w:numPr>
        <w:ind w:left="993"/>
      </w:pPr>
      <w:r w:rsidRPr="00663187">
        <w:rPr>
          <w:b/>
          <w:noProof/>
        </w:rPr>
        <mc:AlternateContent>
          <mc:Choice Requires="wpg">
            <w:drawing>
              <wp:anchor distT="0" distB="0" distL="114300" distR="114300" simplePos="0" relativeHeight="251658319" behindDoc="1" locked="0" layoutInCell="1" allowOverlap="1" wp14:anchorId="5A07BDB0" wp14:editId="0A3A3422">
                <wp:simplePos x="0" y="0"/>
                <wp:positionH relativeFrom="margin">
                  <wp:posOffset>-1962</wp:posOffset>
                </wp:positionH>
                <wp:positionV relativeFrom="paragraph">
                  <wp:posOffset>24092</wp:posOffset>
                </wp:positionV>
                <wp:extent cx="5759450" cy="1351128"/>
                <wp:effectExtent l="0" t="0" r="0" b="1905"/>
                <wp:wrapNone/>
                <wp:docPr id="1490287655" name="Group 1490287655"/>
                <wp:cNvGraphicFramePr/>
                <a:graphic xmlns:a="http://schemas.openxmlformats.org/drawingml/2006/main">
                  <a:graphicData uri="http://schemas.microsoft.com/office/word/2010/wordprocessingGroup">
                    <wpg:wgp>
                      <wpg:cNvGrpSpPr/>
                      <wpg:grpSpPr>
                        <a:xfrm>
                          <a:off x="0" y="0"/>
                          <a:ext cx="5759450" cy="1351128"/>
                          <a:chOff x="-1" y="36584"/>
                          <a:chExt cx="5760000" cy="1352294"/>
                        </a:xfrm>
                      </wpg:grpSpPr>
                      <wps:wsp>
                        <wps:cNvPr id="1084509262" name="Freeform 51"/>
                        <wps:cNvSpPr>
                          <a:spLocks/>
                        </wps:cNvSpPr>
                        <wps:spPr bwMode="auto">
                          <a:xfrm>
                            <a:off x="-1" y="36584"/>
                            <a:ext cx="5760000" cy="135229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370A7E" w14:textId="77777777" w:rsidR="00B26C4D" w:rsidRDefault="00B26C4D" w:rsidP="00B26C4D"/>
                          </w:txbxContent>
                        </wps:txbx>
                        <wps:bodyPr rot="0" vert="horz" wrap="square" lIns="91440" tIns="45720" rIns="91440" bIns="45720" anchor="t" anchorCtr="0" upright="1">
                          <a:noAutofit/>
                        </wps:bodyPr>
                      </wps:wsp>
                      <wpg:grpSp>
                        <wpg:cNvPr id="265150881" name="Group 265150881"/>
                        <wpg:cNvGrpSpPr/>
                        <wpg:grpSpPr>
                          <a:xfrm>
                            <a:off x="0" y="170822"/>
                            <a:ext cx="1282065" cy="297815"/>
                            <a:chOff x="0" y="0"/>
                            <a:chExt cx="1282672" cy="298450"/>
                          </a:xfrm>
                        </wpg:grpSpPr>
                        <wpg:grpSp>
                          <wpg:cNvPr id="284589114" name="Group 52"/>
                          <wpg:cNvGrpSpPr>
                            <a:grpSpLocks/>
                          </wpg:cNvGrpSpPr>
                          <wpg:grpSpPr bwMode="auto">
                            <a:xfrm>
                              <a:off x="172528" y="2540"/>
                              <a:ext cx="1110144" cy="1270"/>
                              <a:chOff x="1417" y="1374"/>
                              <a:chExt cx="1814" cy="2"/>
                            </a:xfrm>
                          </wpg:grpSpPr>
                          <wps:wsp>
                            <wps:cNvPr id="6146591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889224" name="Group 54"/>
                          <wpg:cNvGrpSpPr>
                            <a:grpSpLocks/>
                          </wpg:cNvGrpSpPr>
                          <wpg:grpSpPr bwMode="auto">
                            <a:xfrm>
                              <a:off x="0" y="0"/>
                              <a:ext cx="492038" cy="298450"/>
                              <a:chOff x="1134" y="1366"/>
                              <a:chExt cx="804" cy="470"/>
                            </a:xfrm>
                          </wpg:grpSpPr>
                          <wps:wsp>
                            <wps:cNvPr id="2166063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28091F" w14:textId="77777777" w:rsidR="00B26C4D" w:rsidRPr="008D464F" w:rsidRDefault="00B26C4D" w:rsidP="00B26C4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07BDB0" id="Group 1490287655" o:spid="_x0000_s1157" style="position:absolute;left:0;text-align:left;margin-left:-.15pt;margin-top:1.9pt;width:453.5pt;height:106.4pt;z-index:-251658161;mso-position-horizontal-relative:margin;mso-width-relative:margin;mso-height-relative:margin" coordorigin=",365" coordsize="57600,1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">
                <v:shape id="Freeform 51" o:spid="_x0000_s1158" style="position:absolute;top:365;width:57599;height:1352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" adj="-11796480,,5400" path="m,l9354,r,1638l,1638,,e" fillcolor="#e2eaef" stroked="f">
                  <v:stroke joinstyle="round"/>
                  <v:formulas/>
                  <v:path arrowok="t" o:connecttype="custom" o:connectlocs="0,870157;5760000,870157;5760000,2222451;0,2222451;0,870157" o:connectangles="0,0,0,0,0" textboxrect="0,0,9354,1638"/>
                  <v:textbox>
                    <w:txbxContent>
                      <w:p w14:paraId="55370A7E" w14:textId="77777777" w:rsidR="00B26C4D" w:rsidRDefault="00B26C4D" w:rsidP="00B26C4D"/>
                    </w:txbxContent>
                  </v:textbox>
                </v:shape>
                <v:group id="Group 265150881" o:spid="_x0000_s115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">
                  <v:group id="Group 52" o:spid="_x0000_s11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">
                    <v:shape id="Freeform 53" o:spid="_x0000_s11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" path="m,l1815,e" filled="f" strokecolor="#5ca0b9" strokeweight=".5pt">
                      <v:path arrowok="t" o:connecttype="custom" o:connectlocs="0,0;1815,0" o:connectangles="0,0"/>
                    </v:shape>
                  </v:group>
                  <v:group id="Group 54" o:spid="_x0000_s11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">
                    <v:shape id="Freeform 55" o:spid="_x0000_s11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028091F" w14:textId="77777777" w:rsidR="00B26C4D" w:rsidRPr="008D464F" w:rsidRDefault="00B26C4D" w:rsidP="00B26C4D">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01C4D09E" w14:textId="1988F8D8" w:rsidR="00B26C4D" w:rsidRDefault="00B26C4D" w:rsidP="003E75B9">
      <w:pPr>
        <w:pStyle w:val="RxRecommendationText"/>
        <w:numPr>
          <w:ilvl w:val="0"/>
          <w:numId w:val="29"/>
        </w:numPr>
        <w:ind w:left="993" w:hanging="851"/>
      </w:pPr>
      <w:r>
        <w:t>Ng</w:t>
      </w:r>
      <w:r w:rsidR="006206C8">
        <w:t>ā</w:t>
      </w:r>
      <w:r>
        <w:t xml:space="preserve"> Pirihimana o Aotearoa | New Zealand </w:t>
      </w:r>
      <w:r w:rsidRPr="00C434B5">
        <w:t xml:space="preserve">Police </w:t>
      </w:r>
      <w:r>
        <w:t xml:space="preserve">should publish data on </w:t>
      </w:r>
      <w:r w:rsidR="00AD6347">
        <w:t xml:space="preserve">perceived </w:t>
      </w:r>
      <w:r>
        <w:t>hate crimes annually.</w:t>
      </w:r>
    </w:p>
    <w:p w14:paraId="7683ED93" w14:textId="77777777" w:rsidR="00B26C4D" w:rsidRDefault="00B26C4D" w:rsidP="00B26C4D">
      <w:pPr>
        <w:pStyle w:val="RxRecommendationText"/>
        <w:numPr>
          <w:ilvl w:val="0"/>
          <w:numId w:val="0"/>
        </w:numPr>
        <w:ind w:left="993"/>
      </w:pPr>
      <w:r>
        <w:rPr>
          <w:noProof/>
        </w:rPr>
        <mc:AlternateContent>
          <mc:Choice Requires="wpg">
            <w:drawing>
              <wp:anchor distT="0" distB="0" distL="114300" distR="114300" simplePos="0" relativeHeight="251658320" behindDoc="1" locked="0" layoutInCell="1" allowOverlap="1" wp14:anchorId="36D2A311" wp14:editId="63D0B581">
                <wp:simplePos x="0" y="0"/>
                <wp:positionH relativeFrom="column">
                  <wp:posOffset>0</wp:posOffset>
                </wp:positionH>
                <wp:positionV relativeFrom="paragraph">
                  <wp:posOffset>142073</wp:posOffset>
                </wp:positionV>
                <wp:extent cx="1281430" cy="297180"/>
                <wp:effectExtent l="0" t="0" r="33020" b="7620"/>
                <wp:wrapNone/>
                <wp:docPr id="390247911" name="Group 58"/>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089099093" name="Group 52"/>
                        <wpg:cNvGrpSpPr>
                          <a:grpSpLocks/>
                        </wpg:cNvGrpSpPr>
                        <wpg:grpSpPr bwMode="auto">
                          <a:xfrm>
                            <a:off x="172528" y="2540"/>
                            <a:ext cx="1110144" cy="1270"/>
                            <a:chOff x="1417" y="1374"/>
                            <a:chExt cx="1814" cy="2"/>
                          </a:xfrm>
                        </wpg:grpSpPr>
                        <wps:wsp>
                          <wps:cNvPr id="6552177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247154" name="Group 54"/>
                        <wpg:cNvGrpSpPr>
                          <a:grpSpLocks/>
                        </wpg:cNvGrpSpPr>
                        <wpg:grpSpPr bwMode="auto">
                          <a:xfrm>
                            <a:off x="0" y="0"/>
                            <a:ext cx="492038" cy="298450"/>
                            <a:chOff x="1134" y="1366"/>
                            <a:chExt cx="804" cy="470"/>
                          </a:xfrm>
                        </wpg:grpSpPr>
                        <wps:wsp>
                          <wps:cNvPr id="8545708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DEFEB9" w14:textId="77777777" w:rsidR="00B26C4D" w:rsidRPr="008D464F" w:rsidRDefault="00B26C4D" w:rsidP="00B26C4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6D2A311" id="Group 58" o:spid="_x0000_s1164" style="position:absolute;left:0;text-align:left;margin-left:0;margin-top:11.2pt;width:100.9pt;height:23.4pt;z-index:-25165816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">
                <v:group id="Group 52" o:spid="_x0000_s11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">
                  <v:shape id="Freeform 53" o:spid="_x0000_s11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" path="m,l1815,e" filled="f" strokecolor="#5ca0b9" strokeweight=".5pt">
                    <v:path arrowok="t" o:connecttype="custom" o:connectlocs="0,0;1815,0" o:connectangles="0,0"/>
                  </v:shape>
                </v:group>
                <v:group id="Group 54" o:spid="_x0000_s11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">
                  <v:shape id="Freeform 55" o:spid="_x0000_s11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9DEFEB9" w14:textId="77777777" w:rsidR="00B26C4D" w:rsidRPr="008D464F" w:rsidRDefault="00B26C4D" w:rsidP="00B26C4D">
                          <w:pPr>
                            <w:spacing w:before="80" w:after="0"/>
                            <w:jc w:val="center"/>
                            <w:rPr>
                              <w:rFonts w:ascii="Metropolis" w:hAnsi="Metropolis"/>
                              <w:b/>
                              <w:bCs/>
                              <w:color w:val="FFFFFF" w:themeColor="background1"/>
                              <w:szCs w:val="20"/>
                            </w:rPr>
                          </w:pPr>
                        </w:p>
                      </w:txbxContent>
                    </v:textbox>
                  </v:shape>
                </v:group>
              </v:group>
            </w:pict>
          </mc:Fallback>
        </mc:AlternateContent>
      </w:r>
    </w:p>
    <w:p w14:paraId="3E3E18BD" w14:textId="252EC4C6" w:rsidR="00B26C4D" w:rsidRPr="007F7A7D" w:rsidRDefault="00B26C4D" w:rsidP="007F7A7D">
      <w:pPr>
        <w:pStyle w:val="RxRecommendationText"/>
      </w:pPr>
      <w:r w:rsidRPr="007F7A7D">
        <w:t xml:space="preserve">If </w:t>
      </w:r>
      <w:r w:rsidR="009B4103" w:rsidRPr="007F7A7D">
        <w:t xml:space="preserve">the amendments in </w:t>
      </w:r>
      <w:r w:rsidRPr="007F7A7D">
        <w:t xml:space="preserve">R1 </w:t>
      </w:r>
      <w:r w:rsidR="009B4103" w:rsidRPr="007F7A7D">
        <w:t>are made</w:t>
      </w:r>
      <w:r w:rsidRPr="007F7A7D">
        <w:t>, Te Tāhū o te Ture | Ministry of Justice should publish court data on hate crime cases annually.</w:t>
      </w:r>
    </w:p>
    <w:p w14:paraId="6F47F0A3" w14:textId="77777777" w:rsidR="00B26C4D" w:rsidRPr="00C434B5" w:rsidRDefault="00B26C4D" w:rsidP="00B26C4D">
      <w:pPr>
        <w:pStyle w:val="RxRecommendationText"/>
        <w:numPr>
          <w:ilvl w:val="0"/>
          <w:numId w:val="0"/>
        </w:numPr>
        <w:ind w:left="993"/>
      </w:pPr>
    </w:p>
    <w:p w14:paraId="5AF1FFBE" w14:textId="77777777" w:rsidR="00634E52" w:rsidRDefault="00180791" w:rsidP="00281692">
      <w:pPr>
        <w:pStyle w:val="BodyText"/>
        <w:numPr>
          <w:ilvl w:val="1"/>
          <w:numId w:val="31"/>
        </w:numPr>
        <w:ind w:hanging="709"/>
      </w:pPr>
      <w:r w:rsidRPr="00C434B5">
        <w:t xml:space="preserve">We </w:t>
      </w:r>
      <w:r>
        <w:t>recommend</w:t>
      </w:r>
      <w:r w:rsidRPr="00C434B5">
        <w:t xml:space="preserve"> that Police </w:t>
      </w:r>
      <w:r w:rsidR="00634E52">
        <w:t xml:space="preserve">and the Ministry of Justice should </w:t>
      </w:r>
      <w:r w:rsidRPr="00C434B5">
        <w:t xml:space="preserve">publish data </w:t>
      </w:r>
      <w:r>
        <w:t xml:space="preserve">on hate crimes </w:t>
      </w:r>
      <w:r w:rsidRPr="00C434B5">
        <w:t xml:space="preserve">annually. </w:t>
      </w:r>
    </w:p>
    <w:p w14:paraId="53689B21" w14:textId="7230F59E" w:rsidR="006569D9" w:rsidRDefault="00180791" w:rsidP="00281692">
      <w:pPr>
        <w:pStyle w:val="BodyText"/>
        <w:numPr>
          <w:ilvl w:val="1"/>
          <w:numId w:val="31"/>
        </w:numPr>
        <w:ind w:hanging="709"/>
      </w:pPr>
      <w:r w:rsidRPr="00C434B5">
        <w:t xml:space="preserve">While Police has made some data available online in recent years, this is not a regular </w:t>
      </w:r>
      <w:r>
        <w:t xml:space="preserve">proactive </w:t>
      </w:r>
      <w:r w:rsidRPr="00C434B5">
        <w:t xml:space="preserve">publication but the collation of </w:t>
      </w:r>
      <w:r w:rsidRPr="00D140D5">
        <w:t>statistics</w:t>
      </w:r>
      <w:r w:rsidRPr="00C434B5">
        <w:t xml:space="preserve"> </w:t>
      </w:r>
      <w:r>
        <w:t>provided in response to</w:t>
      </w:r>
      <w:r w:rsidRPr="00C434B5">
        <w:t xml:space="preserve"> requests under the Official Information Act</w:t>
      </w:r>
      <w:r>
        <w:t xml:space="preserve"> 1982</w:t>
      </w:r>
      <w:r w:rsidRPr="00C434B5">
        <w:t>.</w:t>
      </w:r>
      <w:r w:rsidRPr="00C434B5">
        <w:rPr>
          <w:rStyle w:val="FootnoteReference"/>
        </w:rPr>
        <w:footnoteReference w:id="769"/>
      </w:r>
      <w:r w:rsidRPr="00C434B5">
        <w:t xml:space="preserve"> Police should publish this information in a regular and discrete way so that its availability is more apparent and </w:t>
      </w:r>
      <w:r>
        <w:t xml:space="preserve">it </w:t>
      </w:r>
      <w:r w:rsidRPr="00C434B5">
        <w:t xml:space="preserve">can be more readily evaluated across time. </w:t>
      </w:r>
    </w:p>
    <w:p w14:paraId="68BDA4F9" w14:textId="2CB3E2B2" w:rsidR="00B26C4D" w:rsidRPr="00C434B5" w:rsidRDefault="00B26C4D" w:rsidP="003E75B9">
      <w:pPr>
        <w:pStyle w:val="BodyText"/>
        <w:numPr>
          <w:ilvl w:val="1"/>
          <w:numId w:val="31"/>
        </w:numPr>
        <w:ind w:hanging="709"/>
      </w:pPr>
      <w:r w:rsidRPr="00C434B5">
        <w:t>Publication of data by Police should include</w:t>
      </w:r>
      <w:r w:rsidR="004D0F1B">
        <w:t xml:space="preserve"> the following</w:t>
      </w:r>
      <w:r w:rsidRPr="00C434B5">
        <w:t>:</w:t>
      </w:r>
    </w:p>
    <w:p w14:paraId="4E6ED659" w14:textId="574A7CF3" w:rsidR="00B26C4D" w:rsidRPr="00C434B5" w:rsidRDefault="00B26C4D" w:rsidP="00D8103B">
      <w:pPr>
        <w:pStyle w:val="BodyTextnonum"/>
        <w:numPr>
          <w:ilvl w:val="3"/>
          <w:numId w:val="35"/>
        </w:numPr>
        <w:tabs>
          <w:tab w:val="left" w:pos="709"/>
        </w:tabs>
      </w:pPr>
      <w:r w:rsidRPr="00C434B5">
        <w:t xml:space="preserve">The number of </w:t>
      </w:r>
      <w:r w:rsidR="002A682D">
        <w:t>perceived</w:t>
      </w:r>
      <w:r w:rsidRPr="00C434B5">
        <w:t xml:space="preserve"> hate crimes</w:t>
      </w:r>
      <w:r w:rsidR="002A682D">
        <w:t xml:space="preserve"> reported</w:t>
      </w:r>
      <w:r>
        <w:t>, in total and by offence type</w:t>
      </w:r>
      <w:r w:rsidRPr="00C434B5">
        <w:t xml:space="preserve">. </w:t>
      </w:r>
    </w:p>
    <w:p w14:paraId="0D21F1C5" w14:textId="3223AE59" w:rsidR="00B26C4D" w:rsidRDefault="00B26C4D" w:rsidP="00D8103B">
      <w:pPr>
        <w:pStyle w:val="BodyTextnonum"/>
        <w:numPr>
          <w:ilvl w:val="3"/>
          <w:numId w:val="35"/>
        </w:numPr>
        <w:tabs>
          <w:tab w:val="left" w:pos="709"/>
        </w:tabs>
      </w:pPr>
      <w:r w:rsidRPr="00C434B5">
        <w:t>The proportion of perceived hate crime</w:t>
      </w:r>
      <w:r w:rsidR="002A682D">
        <w:t>s</w:t>
      </w:r>
      <w:r w:rsidRPr="00C434B5">
        <w:t xml:space="preserve"> targeting each protected characteristic, including further detail about </w:t>
      </w:r>
      <w:r>
        <w:t>the group targeted</w:t>
      </w:r>
      <w:r w:rsidRPr="00C434B5">
        <w:t xml:space="preserve"> (for example, the </w:t>
      </w:r>
      <w:r>
        <w:t>relevant religious or ethnic group</w:t>
      </w:r>
      <w:r w:rsidRPr="00C434B5">
        <w:t>).</w:t>
      </w:r>
    </w:p>
    <w:p w14:paraId="6A44D972" w14:textId="3517F61C" w:rsidR="00B26C4D" w:rsidRDefault="00B26C4D" w:rsidP="00D8103B">
      <w:pPr>
        <w:pStyle w:val="BodyTextnonum"/>
        <w:numPr>
          <w:ilvl w:val="3"/>
          <w:numId w:val="35"/>
        </w:numPr>
        <w:tabs>
          <w:tab w:val="left" w:pos="709"/>
        </w:tabs>
      </w:pPr>
      <w:r>
        <w:t>Closure reasons and methods of proceeding for perceived hate crime</w:t>
      </w:r>
      <w:r w:rsidR="0031090D">
        <w:t>s</w:t>
      </w:r>
      <w:r>
        <w:t>. These indicate how investigations are resolved (for example, if the investigation is closed due to no further line of inquiry or if there is a prosecution or alternative resolution).</w:t>
      </w:r>
    </w:p>
    <w:p w14:paraId="6E56E42C" w14:textId="77777777" w:rsidR="00B26C4D" w:rsidRPr="00C434B5" w:rsidRDefault="00B26C4D" w:rsidP="00D8103B">
      <w:pPr>
        <w:pStyle w:val="BodyTextnonum"/>
        <w:numPr>
          <w:ilvl w:val="3"/>
          <w:numId w:val="35"/>
        </w:numPr>
        <w:tabs>
          <w:tab w:val="left" w:pos="709"/>
        </w:tabs>
      </w:pPr>
      <w:r>
        <w:t>Alleged offender demographics.</w:t>
      </w:r>
    </w:p>
    <w:p w14:paraId="20B5C7AB" w14:textId="77777777" w:rsidR="00EF06C4" w:rsidRPr="00572128" w:rsidRDefault="00EF06C4" w:rsidP="00281692">
      <w:pPr>
        <w:pStyle w:val="BodyText"/>
        <w:numPr>
          <w:ilvl w:val="1"/>
          <w:numId w:val="31"/>
        </w:numPr>
        <w:ind w:hanging="709"/>
      </w:pPr>
      <w:r>
        <w:t>As discussed in Chapter 4,</w:t>
      </w:r>
      <w:r w:rsidDel="009F5E91">
        <w:t xml:space="preserve"> </w:t>
      </w:r>
      <w:r>
        <w:t>the accuracy of Police data is dependent on quality assurance processes that ensure hate crimes are properly recorded. We noted in that chapter that funding for the Hate Crime Quality Assurance Team has expired and suggested that Police may wish to consider whether s</w:t>
      </w:r>
      <w:r w:rsidRPr="009A60BE">
        <w:t>ome form of quality assurance</w:t>
      </w:r>
      <w:r>
        <w:t xml:space="preserve"> can be continued. The benefits of publishing data would be significantly lessened should quality assurance processes be discontinued. </w:t>
      </w:r>
    </w:p>
    <w:p w14:paraId="167C4C32" w14:textId="63C066EB" w:rsidR="00B26C4D" w:rsidRPr="00C434B5" w:rsidRDefault="00B26C4D" w:rsidP="003E75B9">
      <w:pPr>
        <w:pStyle w:val="BodyText"/>
        <w:numPr>
          <w:ilvl w:val="1"/>
          <w:numId w:val="31"/>
        </w:numPr>
        <w:ind w:hanging="709"/>
      </w:pPr>
      <w:r w:rsidRPr="00C434B5">
        <w:t>With regard to the courts,</w:t>
      </w:r>
      <w:r w:rsidRPr="00C434B5" w:rsidDel="00954BB2">
        <w:t xml:space="preserve"> </w:t>
      </w:r>
      <w:r w:rsidRPr="00C434B5">
        <w:t xml:space="preserve">the Ministry of Justice </w:t>
      </w:r>
      <w:r w:rsidR="008B0E21">
        <w:t xml:space="preserve">already </w:t>
      </w:r>
      <w:r w:rsidRPr="00C434B5">
        <w:t xml:space="preserve">publishes data on family violence </w:t>
      </w:r>
      <w:r w:rsidRPr="00D140D5">
        <w:t>offences</w:t>
      </w:r>
      <w:r w:rsidRPr="00C434B5">
        <w:t>, which are identified based on the family violence court flag.</w:t>
      </w:r>
      <w:r w:rsidRPr="00C434B5">
        <w:rPr>
          <w:rStyle w:val="FootnoteReference"/>
        </w:rPr>
        <w:footnoteReference w:id="770"/>
      </w:r>
      <w:r w:rsidRPr="00C434B5">
        <w:t xml:space="preserve"> This includes </w:t>
      </w:r>
      <w:r>
        <w:t xml:space="preserve">data on </w:t>
      </w:r>
      <w:r w:rsidRPr="00C434B5">
        <w:t xml:space="preserve">offence type, outcomes, sentence types and offender demographics. If our </w:t>
      </w:r>
      <w:r>
        <w:t>recommendation</w:t>
      </w:r>
      <w:r w:rsidRPr="00C434B5">
        <w:t xml:space="preserve"> to introduce a court hate crime flag is adopted, we </w:t>
      </w:r>
      <w:r>
        <w:t>recommend</w:t>
      </w:r>
      <w:r w:rsidRPr="00C434B5">
        <w:t xml:space="preserve"> the Ministry of Justice publish similar data on hate crime cases annually. </w:t>
      </w:r>
      <w:r w:rsidR="00C56496">
        <w:t>T</w:t>
      </w:r>
      <w:r w:rsidRPr="00C434B5">
        <w:t>his should include</w:t>
      </w:r>
      <w:r w:rsidR="00183EC0">
        <w:t xml:space="preserve"> the following</w:t>
      </w:r>
      <w:r w:rsidRPr="00C434B5">
        <w:t xml:space="preserve">: </w:t>
      </w:r>
    </w:p>
    <w:p w14:paraId="3983D655" w14:textId="77777777" w:rsidR="00B26C4D" w:rsidRDefault="00B26C4D" w:rsidP="00D8103B">
      <w:pPr>
        <w:pStyle w:val="BodyTextnonum"/>
        <w:numPr>
          <w:ilvl w:val="3"/>
          <w:numId w:val="36"/>
        </w:numPr>
        <w:tabs>
          <w:tab w:val="left" w:pos="709"/>
        </w:tabs>
      </w:pPr>
      <w:r w:rsidRPr="00C434B5">
        <w:t xml:space="preserve">For each </w:t>
      </w:r>
      <w:r>
        <w:t>alleged</w:t>
      </w:r>
      <w:r w:rsidRPr="00C434B5">
        <w:t xml:space="preserve"> </w:t>
      </w:r>
      <w:r>
        <w:t>offence</w:t>
      </w:r>
      <w:r w:rsidRPr="00C434B5">
        <w:t xml:space="preserve"> where </w:t>
      </w:r>
      <w:r>
        <w:t>section 9(1)(h) was flagged on the</w:t>
      </w:r>
      <w:r w:rsidRPr="00C434B5">
        <w:t xml:space="preserve"> charging </w:t>
      </w:r>
      <w:r>
        <w:t xml:space="preserve">document and each conviction where </w:t>
      </w:r>
      <w:r w:rsidRPr="00C434B5">
        <w:t xml:space="preserve">the court </w:t>
      </w:r>
      <w:r>
        <w:t xml:space="preserve">recorded that section 9(1)(h) applied </w:t>
      </w:r>
      <w:r w:rsidRPr="00C434B5">
        <w:t xml:space="preserve">at sentencing: </w:t>
      </w:r>
    </w:p>
    <w:p w14:paraId="11C24F40" w14:textId="77777777" w:rsidR="00B26C4D" w:rsidRPr="003C0CB4" w:rsidRDefault="00B26C4D" w:rsidP="00D8103B">
      <w:pPr>
        <w:pStyle w:val="ListRomanNumeral"/>
        <w:numPr>
          <w:ilvl w:val="0"/>
          <w:numId w:val="39"/>
        </w:numPr>
        <w:ind w:left="1701" w:hanging="283"/>
      </w:pPr>
      <w:r w:rsidRPr="00C434B5">
        <w:t xml:space="preserve">the </w:t>
      </w:r>
      <w:r w:rsidRPr="003C0CB4">
        <w:t xml:space="preserve">offence type; </w:t>
      </w:r>
    </w:p>
    <w:p w14:paraId="666711F4" w14:textId="7CFFFD2F" w:rsidR="00B26C4D" w:rsidRPr="003C0CB4" w:rsidRDefault="00B26C4D" w:rsidP="003C0CB4">
      <w:pPr>
        <w:pStyle w:val="ListRomanNumeral"/>
        <w:ind w:left="1701" w:hanging="283"/>
      </w:pPr>
      <w:r w:rsidRPr="003C0CB4">
        <w:t xml:space="preserve">the protected characteristic and group alleged to have been targeted (if available — see Chapter </w:t>
      </w:r>
      <w:r w:rsidR="00C56496" w:rsidRPr="003C0CB4">
        <w:t>6</w:t>
      </w:r>
      <w:r w:rsidRPr="003C0CB4">
        <w:t xml:space="preserve">); </w:t>
      </w:r>
    </w:p>
    <w:p w14:paraId="1B28B754" w14:textId="77777777" w:rsidR="00B26C4D" w:rsidRPr="003C0CB4" w:rsidRDefault="00B26C4D" w:rsidP="003C0CB4">
      <w:pPr>
        <w:pStyle w:val="ListRomanNumeral"/>
        <w:ind w:left="1701" w:hanging="283"/>
      </w:pPr>
      <w:r w:rsidRPr="003C0CB4">
        <w:t xml:space="preserve">the outcome; and </w:t>
      </w:r>
    </w:p>
    <w:p w14:paraId="040DC465" w14:textId="77777777" w:rsidR="00B26C4D" w:rsidRPr="00C434B5" w:rsidRDefault="00B26C4D" w:rsidP="003C0CB4">
      <w:pPr>
        <w:pStyle w:val="ListRomanNumeral"/>
        <w:ind w:left="1701" w:hanging="283"/>
      </w:pPr>
      <w:r w:rsidRPr="003C0CB4">
        <w:t>the d</w:t>
      </w:r>
      <w:r w:rsidRPr="00C434B5">
        <w:t>efendant</w:t>
      </w:r>
      <w:r>
        <w:t>’s or offender’s</w:t>
      </w:r>
      <w:r w:rsidRPr="00C434B5">
        <w:t xml:space="preserve"> demographic</w:t>
      </w:r>
      <w:r>
        <w:t xml:space="preserve"> information</w:t>
      </w:r>
      <w:r w:rsidRPr="00C434B5">
        <w:t>.</w:t>
      </w:r>
    </w:p>
    <w:p w14:paraId="1F3416FB" w14:textId="77777777" w:rsidR="00B26C4D" w:rsidRPr="00C434B5" w:rsidRDefault="00B26C4D" w:rsidP="00D8103B">
      <w:pPr>
        <w:pStyle w:val="BodyTextnonum"/>
        <w:numPr>
          <w:ilvl w:val="3"/>
          <w:numId w:val="36"/>
        </w:numPr>
        <w:tabs>
          <w:tab w:val="left" w:pos="709"/>
        </w:tabs>
      </w:pPr>
      <w:r>
        <w:t>For</w:t>
      </w:r>
      <w:r w:rsidRPr="00C434B5">
        <w:t xml:space="preserve"> offences </w:t>
      </w:r>
      <w:r>
        <w:t xml:space="preserve">resulting in conviction where section 9(1)(h) was flagged on </w:t>
      </w:r>
      <w:r w:rsidRPr="00C434B5" w:rsidDel="00E7227A">
        <w:t>the charging</w:t>
      </w:r>
      <w:r w:rsidRPr="00C434B5">
        <w:t xml:space="preserve"> </w:t>
      </w:r>
      <w:r>
        <w:t>document, the proportion</w:t>
      </w:r>
      <w:r w:rsidRPr="00C434B5">
        <w:t xml:space="preserve"> where the court applied the aggravating factor at sentencing.</w:t>
      </w:r>
    </w:p>
    <w:p w14:paraId="2C626F2E" w14:textId="77777777" w:rsidR="00B26C4D" w:rsidRPr="00C434B5" w:rsidRDefault="00B26C4D" w:rsidP="00D8103B">
      <w:pPr>
        <w:pStyle w:val="BodyTextnonum"/>
        <w:numPr>
          <w:ilvl w:val="3"/>
          <w:numId w:val="36"/>
        </w:numPr>
        <w:tabs>
          <w:tab w:val="left" w:pos="709"/>
        </w:tabs>
      </w:pPr>
      <w:r w:rsidRPr="00C434B5">
        <w:t xml:space="preserve">The number of </w:t>
      </w:r>
      <w:r>
        <w:t>offences resulting in conviction</w:t>
      </w:r>
      <w:r w:rsidRPr="00C434B5">
        <w:t xml:space="preserve"> (if any) </w:t>
      </w:r>
      <w:r>
        <w:t>where section 9(1)(h) was not flagged</w:t>
      </w:r>
      <w:r w:rsidRPr="00C434B5">
        <w:t xml:space="preserve"> on the charging </w:t>
      </w:r>
      <w:r>
        <w:t>document</w:t>
      </w:r>
      <w:r w:rsidRPr="00C434B5">
        <w:t xml:space="preserve"> but the court took the aggravating factor into account at sentencing. </w:t>
      </w:r>
    </w:p>
    <w:p w14:paraId="2363B5CD" w14:textId="40864B29" w:rsidR="00C111D3" w:rsidRPr="000B3200" w:rsidRDefault="00B26C4D" w:rsidP="00281692">
      <w:pPr>
        <w:pStyle w:val="BodyText"/>
        <w:numPr>
          <w:ilvl w:val="1"/>
          <w:numId w:val="31"/>
        </w:numPr>
        <w:ind w:hanging="709"/>
      </w:pPr>
      <w:r>
        <w:t>If</w:t>
      </w:r>
      <w:r w:rsidRPr="00C434B5">
        <w:t xml:space="preserve"> feasible, </w:t>
      </w:r>
      <w:r>
        <w:t xml:space="preserve">it would be helpful </w:t>
      </w:r>
      <w:r w:rsidRPr="00C434B5">
        <w:t xml:space="preserve">for </w:t>
      </w:r>
      <w:r>
        <w:t>the Police and courts data</w:t>
      </w:r>
      <w:r w:rsidRPr="00C434B5">
        <w:t xml:space="preserve">sets to be matched for </w:t>
      </w:r>
      <w:r w:rsidR="000B5EEF">
        <w:t xml:space="preserve">the </w:t>
      </w:r>
      <w:r w:rsidRPr="00C434B5">
        <w:t xml:space="preserve">purpose of publication. This would show, for example, </w:t>
      </w:r>
      <w:r>
        <w:t>what proportion of offences recorded as perceived hate crimes by Police were also flagged as section 9(1)(h) offences on charging documents.</w:t>
      </w:r>
      <w:r w:rsidRPr="00C434B5">
        <w:t xml:space="preserve"> </w:t>
      </w:r>
      <w:r>
        <w:t xml:space="preserve">As with our recommendation </w:t>
      </w:r>
      <w:r w:rsidR="00E76598">
        <w:t>to share</w:t>
      </w:r>
      <w:r w:rsidR="00CB13A1">
        <w:t xml:space="preserve"> court</w:t>
      </w:r>
      <w:r>
        <w:t xml:space="preserve"> information</w:t>
      </w:r>
      <w:r w:rsidR="008B6ABC">
        <w:t xml:space="preserve"> </w:t>
      </w:r>
      <w:r w:rsidR="00CB13A1">
        <w:t>with</w:t>
      </w:r>
      <w:r>
        <w:t xml:space="preserve"> Police and </w:t>
      </w:r>
      <w:r w:rsidR="00EE489C" w:rsidRPr="00EE489C">
        <w:t>Ara Poutama Aotearoa | Department of Corrections</w:t>
      </w:r>
      <w:r w:rsidR="00E76598">
        <w:t xml:space="preserve"> (R2) discussed in Chapter</w:t>
      </w:r>
      <w:r w:rsidR="000443B6">
        <w:rPr>
          <w:rFonts w:ascii="Calibri" w:hAnsi="Calibri" w:cs="Calibri"/>
        </w:rPr>
        <w:t> </w:t>
      </w:r>
      <w:r w:rsidR="00E76598">
        <w:t>6</w:t>
      </w:r>
      <w:r>
        <w:t xml:space="preserve">, we understand this </w:t>
      </w:r>
      <w:r w:rsidR="008B6ABC">
        <w:t xml:space="preserve">could </w:t>
      </w:r>
      <w:r w:rsidR="00C90406">
        <w:t xml:space="preserve">likely </w:t>
      </w:r>
      <w:r>
        <w:t xml:space="preserve">occur </w:t>
      </w:r>
      <w:r w:rsidR="005E2BD6">
        <w:t xml:space="preserve">consistently with </w:t>
      </w:r>
      <w:r>
        <w:t xml:space="preserve">the Privacy Act 2020 but </w:t>
      </w:r>
      <w:r w:rsidR="000443B6">
        <w:t>further</w:t>
      </w:r>
      <w:r w:rsidR="00C90406">
        <w:t xml:space="preserve"> </w:t>
      </w:r>
      <w:r>
        <w:t xml:space="preserve">consideration </w:t>
      </w:r>
      <w:r w:rsidR="00C90406">
        <w:t xml:space="preserve">would be required </w:t>
      </w:r>
      <w:r>
        <w:t xml:space="preserve">of the best </w:t>
      </w:r>
      <w:r w:rsidR="00C23F56">
        <w:t xml:space="preserve">way </w:t>
      </w:r>
      <w:r w:rsidR="00D62306">
        <w:t>to ensure that consistency</w:t>
      </w:r>
      <w:r>
        <w:t xml:space="preserve">. </w:t>
      </w:r>
    </w:p>
    <w:p w14:paraId="2482D103" w14:textId="77777777" w:rsidR="005B779A" w:rsidRPr="00A42BC3" w:rsidRDefault="005B779A" w:rsidP="000B3200">
      <w:pPr>
        <w:rPr>
          <w:highlight w:val="yellow"/>
        </w:rPr>
      </w:pPr>
    </w:p>
    <w:p w14:paraId="0AEC872C" w14:textId="77777777" w:rsidR="00A42BC3" w:rsidRPr="00330E85" w:rsidRDefault="00A42BC3" w:rsidP="00A42BC3">
      <w:pPr>
        <w:pStyle w:val="BodyText"/>
        <w:numPr>
          <w:ilvl w:val="0"/>
          <w:numId w:val="0"/>
        </w:numPr>
        <w:ind w:left="709" w:hanging="709"/>
      </w:pPr>
      <w:r w:rsidRPr="00A42BC3">
        <w:rPr>
          <w:noProof/>
          <w:highlight w:val="yellow"/>
        </w:rPr>
        <mc:AlternateContent>
          <mc:Choice Requires="wps">
            <w:drawing>
              <wp:anchor distT="0" distB="0" distL="114300" distR="114300" simplePos="0" relativeHeight="251658267" behindDoc="0" locked="0" layoutInCell="1" allowOverlap="1" wp14:anchorId="0B2B13B7" wp14:editId="21FD03A0">
                <wp:simplePos x="0" y="0"/>
                <wp:positionH relativeFrom="margin">
                  <wp:posOffset>0</wp:posOffset>
                </wp:positionH>
                <wp:positionV relativeFrom="paragraph">
                  <wp:posOffset>112073</wp:posOffset>
                </wp:positionV>
                <wp:extent cx="2721610" cy="0"/>
                <wp:effectExtent l="0" t="19050" r="21590" b="19050"/>
                <wp:wrapNone/>
                <wp:docPr id="194368277" name="Straight Connector 194368277"/>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E5BA0" id="Straight Connector 194368277" o:spid="_x0000_s1026" style="position:absolute;z-index:251658267;visibility:visible;mso-wrap-style:square;mso-wrap-distance-left:9pt;mso-wrap-distance-top:0;mso-wrap-distance-right:9pt;mso-wrap-distance-bottom:0;mso-position-horizontal:absolute;mso-position-horizontal-relative:margin;mso-position-vertical:absolute;mso-position-vertical-relative:text" from="0,8.8pt" to="21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" strokecolor="#5ca0b9" strokeweight="2.5pt">
                <w10:wrap anchorx="margin"/>
              </v:line>
            </w:pict>
          </mc:Fallback>
        </mc:AlternateContent>
      </w:r>
    </w:p>
    <w:p w14:paraId="397B791D" w14:textId="77777777" w:rsidR="00696EEF" w:rsidRPr="00330E85" w:rsidRDefault="00696EEF" w:rsidP="00696EEF">
      <w:pPr>
        <w:pStyle w:val="BodyText"/>
        <w:numPr>
          <w:ilvl w:val="0"/>
          <w:numId w:val="0"/>
        </w:numPr>
        <w:ind w:left="709" w:hanging="709"/>
      </w:pPr>
    </w:p>
    <w:p w14:paraId="295DDBC7" w14:textId="77777777" w:rsidR="00852254" w:rsidRDefault="00852254">
      <w:pPr>
        <w:spacing w:before="0" w:after="0" w:line="240" w:lineRule="auto"/>
        <w:sectPr w:rsidR="00852254" w:rsidSect="005627A2">
          <w:headerReference w:type="default" r:id="rId52"/>
          <w:footerReference w:type="default" r:id="rId53"/>
          <w:footnotePr>
            <w:numRestart w:val="eachSect"/>
          </w:footnotePr>
          <w:pgSz w:w="11906" w:h="16838"/>
          <w:pgMar w:top="1134" w:right="1134" w:bottom="1134" w:left="1701" w:header="499" w:footer="499" w:gutter="0"/>
          <w:cols w:space="720"/>
          <w:noEndnote/>
          <w:docGrid w:linePitch="272"/>
        </w:sectPr>
      </w:pPr>
    </w:p>
    <w:p w14:paraId="4524B46B" w14:textId="77777777" w:rsidR="000F077F" w:rsidRPr="00CF19F9" w:rsidRDefault="000F077F" w:rsidP="000F077F">
      <w:pPr>
        <w:pStyle w:val="TOC1"/>
        <w:rPr>
          <w:sz w:val="21"/>
          <w:szCs w:val="21"/>
        </w:rPr>
      </w:pPr>
      <w:r>
        <w:t>APPENDIX</w:t>
      </w:r>
      <w:r w:rsidRPr="00CF19F9">
        <w:rPr>
          <w:sz w:val="21"/>
          <w:szCs w:val="21"/>
        </w:rPr>
        <w:t xml:space="preserve"> </w:t>
      </w:r>
      <w:r>
        <w:rPr>
          <w:sz w:val="21"/>
          <w:szCs w:val="21"/>
        </w:rPr>
        <w:t>1</w:t>
      </w:r>
    </w:p>
    <w:p w14:paraId="2C2A4CDB" w14:textId="09DB0978" w:rsidR="000F077F" w:rsidRDefault="00151B74" w:rsidP="000F077F">
      <w:pPr>
        <w:spacing w:after="0" w:line="200" w:lineRule="exact"/>
        <w:rPr>
          <w:szCs w:val="20"/>
        </w:rPr>
      </w:pPr>
      <w:r>
        <w:rPr>
          <w:rFonts w:asciiTheme="minorHAnsi" w:hAnsiTheme="minorHAnsi"/>
          <w:noProof/>
          <w:lang w:eastAsia="en-NZ"/>
        </w:rPr>
        <mc:AlternateContent>
          <mc:Choice Requires="wpg">
            <w:drawing>
              <wp:anchor distT="0" distB="0" distL="114300" distR="114300" simplePos="0" relativeHeight="251658290" behindDoc="1" locked="0" layoutInCell="1" allowOverlap="1" wp14:anchorId="4E8D0581" wp14:editId="582E285A">
                <wp:simplePos x="0" y="0"/>
                <wp:positionH relativeFrom="page">
                  <wp:posOffset>1061085</wp:posOffset>
                </wp:positionH>
                <wp:positionV relativeFrom="paragraph">
                  <wp:posOffset>100652</wp:posOffset>
                </wp:positionV>
                <wp:extent cx="1332230" cy="1270"/>
                <wp:effectExtent l="0" t="19050" r="20320" b="17780"/>
                <wp:wrapNone/>
                <wp:docPr id="993960528" name="Group 993960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6094010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BABFE" id="Group 993960528" o:spid="_x0000_s1026" style="position:absolute;margin-left:83.55pt;margin-top:7.95pt;width:104.9pt;height:.1pt;z-index:-25165819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Wv/QIAAOIGAAAOAAAAZHJzL2Uyb0RvYy54bWykVW1P2zAQ/j5p/8Hyx02Ql7ZAI1rEYKBJ&#10;bEOi+wGu47xojp3ZblP263dnJyV0oEnsi3XOnZ97/Nz5cn6xayTZCmNrrRY0OY4pEYrrvFblgv5Y&#10;3RydUW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8B27DDC" w14:textId="58C977F8" w:rsidR="000F077F" w:rsidRDefault="000F077F" w:rsidP="00A11956">
      <w:pPr>
        <w:pStyle w:val="Heading1"/>
        <w:numPr>
          <w:ilvl w:val="0"/>
          <w:numId w:val="0"/>
        </w:numPr>
        <w:rPr>
          <w:szCs w:val="20"/>
        </w:rPr>
      </w:pPr>
      <w:bookmarkStart w:id="168" w:name="_Toc231467870"/>
      <w:r>
        <w:rPr>
          <w:rFonts w:eastAsia="Metropolis Black"/>
        </w:rPr>
        <w:t>Terms of referenc</w:t>
      </w:r>
      <w:r w:rsidR="00A11956">
        <w:rPr>
          <w:rFonts w:eastAsia="Metropolis Black"/>
        </w:rPr>
        <w:t>e</w:t>
      </w:r>
      <w:bookmarkEnd w:id="168"/>
    </w:p>
    <w:p w14:paraId="1BBAFB28" w14:textId="440C4E5E" w:rsidR="00151B74" w:rsidRDefault="00151B74" w:rsidP="00A11956">
      <w:r>
        <w:rPr>
          <w:rFonts w:asciiTheme="minorHAnsi" w:hAnsiTheme="minorHAnsi"/>
          <w:noProof/>
          <w:lang w:eastAsia="en-NZ"/>
        </w:rPr>
        <mc:AlternateContent>
          <mc:Choice Requires="wpg">
            <w:drawing>
              <wp:anchor distT="0" distB="0" distL="114300" distR="114300" simplePos="0" relativeHeight="251658289" behindDoc="1" locked="0" layoutInCell="1" allowOverlap="1" wp14:anchorId="1ECD685B" wp14:editId="12A59312">
                <wp:simplePos x="0" y="0"/>
                <wp:positionH relativeFrom="margin">
                  <wp:posOffset>-27305</wp:posOffset>
                </wp:positionH>
                <wp:positionV relativeFrom="paragraph">
                  <wp:posOffset>42223</wp:posOffset>
                </wp:positionV>
                <wp:extent cx="1332230" cy="1270"/>
                <wp:effectExtent l="0" t="19050" r="2032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C049A" id="Group 3" o:spid="_x0000_s1026" style="position:absolute;margin-left:-2.15pt;margin-top:3.3pt;width:104.9pt;height:.1pt;z-index:-251658191;mso-position-horizontal-relative:margin"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Nh9QIAANk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" path="m,l2098,e" filled="f" strokecolor="#5ca0b9" strokeweight="3pt">
                  <v:path arrowok="t" o:connecttype="custom" o:connectlocs="0,0;2098,0" o:connectangles="0,0"/>
                </v:shape>
                <w10:wrap anchorx="margin"/>
              </v:group>
            </w:pict>
          </mc:Fallback>
        </mc:AlternateContent>
      </w:r>
    </w:p>
    <w:p w14:paraId="5BC60E1D" w14:textId="5BF20C6F" w:rsidR="00A11956" w:rsidRDefault="00A11956" w:rsidP="00A11956"/>
    <w:p w14:paraId="12931F6A" w14:textId="77777777" w:rsidR="000F077F" w:rsidRPr="000F6DDF" w:rsidRDefault="000F077F" w:rsidP="000F077F">
      <w:pPr>
        <w:pStyle w:val="Heading2"/>
      </w:pPr>
      <w:bookmarkStart w:id="169" w:name="_Toc231467871"/>
      <w:r w:rsidRPr="000F6DDF">
        <w:t>Project overview</w:t>
      </w:r>
      <w:bookmarkEnd w:id="169"/>
      <w:r w:rsidRPr="000F6DDF">
        <w:t xml:space="preserve"> </w:t>
      </w:r>
    </w:p>
    <w:p w14:paraId="3128EBB8" w14:textId="77777777" w:rsidR="000F077F" w:rsidRPr="000F6DDF" w:rsidRDefault="000F077F" w:rsidP="000F077F">
      <w:r w:rsidRPr="000F6DDF">
        <w:t>Te Aka Matua o te Ture | Law Commission will review the law in Aotearoa New Zealand relating to hate crime, with a focus on whether the law should be changed to create new hate-motivated offences. For the purpose of this review, “hate crime” means conduct that is already a criminal offence under New Zealand law and, additionally, is carried out because of hatred or hostility toward a group of people who share a common characteristic (such as race, colour, nationality, religion, gender or sex, gender identity, sexual orientation, age or disability).</w:t>
      </w:r>
    </w:p>
    <w:p w14:paraId="09E7ACE4" w14:textId="77777777" w:rsidR="000F077F" w:rsidRPr="000F6DDF" w:rsidRDefault="000F077F" w:rsidP="000F077F">
      <w:r w:rsidRPr="000F6DDF">
        <w:t>Currently, the law in Aotearoa New Zealand responds to hate crimes at sentencing. If a person commits a crime because of hostility toward a group of people who share an “enduring common characteristic”, the court must consider this as an aggravating factor at sentencing (see section 9(1)(h) of the Sentencing Act 2002).</w:t>
      </w:r>
    </w:p>
    <w:p w14:paraId="17E05F67" w14:textId="77777777" w:rsidR="000F077F" w:rsidRPr="000F6DDF" w:rsidRDefault="000F077F" w:rsidP="000F077F">
      <w:r w:rsidRPr="000F6DDF">
        <w:t>The Report of the Royal Commission of Inquiry into the terrorist attack on Christchurch masjidain on 15 March 2019 recommended the creation of new hate-motivated offences. In particular, recommendation 39 proposed that new hate-motivated offences be created in:</w:t>
      </w:r>
    </w:p>
    <w:p w14:paraId="15B8AB37" w14:textId="77777777" w:rsidR="000F077F" w:rsidRPr="00A11956" w:rsidRDefault="000F077F" w:rsidP="003C0CB4">
      <w:pPr>
        <w:pStyle w:val="ListBullet"/>
        <w:ind w:left="567" w:hanging="566"/>
      </w:pPr>
      <w:r w:rsidRPr="00A11956">
        <w:t>the Summary Offences Act 1981 (corresponding with the existing offences of offensive behaviour or language, assault, wilful damage and intimidation); and</w:t>
      </w:r>
    </w:p>
    <w:p w14:paraId="688D2AAE" w14:textId="77777777" w:rsidR="000F077F" w:rsidRPr="00A11956" w:rsidRDefault="000F077F" w:rsidP="003C0CB4">
      <w:pPr>
        <w:pStyle w:val="ListBullet"/>
        <w:ind w:left="567" w:hanging="566"/>
      </w:pPr>
      <w:r w:rsidRPr="00A11956">
        <w:t xml:space="preserve">the Crimes Act 1961 (corresponding with the existing offences of assaults, arson and intentional damage). </w:t>
      </w:r>
    </w:p>
    <w:p w14:paraId="0AAB3CEA" w14:textId="77777777" w:rsidR="000F077F" w:rsidRPr="000F6DDF" w:rsidRDefault="000F077F" w:rsidP="000F077F">
      <w:pPr>
        <w:pStyle w:val="Heading2"/>
      </w:pPr>
      <w:bookmarkStart w:id="170" w:name="_Toc231467872"/>
      <w:r w:rsidRPr="000F6DDF">
        <w:t>Scope of the review</w:t>
      </w:r>
      <w:bookmarkEnd w:id="170"/>
      <w:r w:rsidRPr="000F6DDF">
        <w:t xml:space="preserve"> </w:t>
      </w:r>
    </w:p>
    <w:p w14:paraId="664C9F78" w14:textId="77777777" w:rsidR="000F077F" w:rsidRPr="000F6DDF" w:rsidRDefault="000F077F" w:rsidP="000F077F">
      <w:r w:rsidRPr="000F6DDF">
        <w:t>The Law Commission’s review will include, but not be limited to, consideration of:</w:t>
      </w:r>
    </w:p>
    <w:p w14:paraId="248E9CDB" w14:textId="17E53B19" w:rsidR="000F077F" w:rsidRPr="000F6DDF" w:rsidRDefault="000F077F" w:rsidP="003C0CB4">
      <w:pPr>
        <w:pStyle w:val="ListBullet"/>
        <w:ind w:left="567" w:hanging="566"/>
      </w:pPr>
      <w:r w:rsidRPr="000F6DDF">
        <w:t>Whether the current law in Aotearoa New Zealand adequately responds to hate crime (in particular section 9(1)(h) of the Sentencing Act 2002, which requires hostile motivation to be taken into account when sentencing an offender).</w:t>
      </w:r>
    </w:p>
    <w:p w14:paraId="0E24445F" w14:textId="77777777" w:rsidR="000F077F" w:rsidRPr="00635881" w:rsidRDefault="000F077F" w:rsidP="003C0CB4">
      <w:pPr>
        <w:pStyle w:val="ListBullet"/>
        <w:ind w:left="567" w:hanging="566"/>
      </w:pPr>
      <w:r w:rsidRPr="00635881">
        <w:t>Whether any concerns about the operation of the current law should be addressed through legislative (or operational) measures, for example, the creation of hate-motivated offences.</w:t>
      </w:r>
    </w:p>
    <w:p w14:paraId="205F9694" w14:textId="77777777" w:rsidR="000F077F" w:rsidRPr="00635881" w:rsidRDefault="000F077F" w:rsidP="003C0CB4">
      <w:pPr>
        <w:pStyle w:val="ListBullet"/>
        <w:ind w:left="567" w:hanging="566"/>
      </w:pPr>
      <w:r w:rsidRPr="00635881">
        <w:t>If hate-motivated offences should be created:</w:t>
      </w:r>
    </w:p>
    <w:p w14:paraId="0E2069BC" w14:textId="77777777" w:rsidR="000F077F" w:rsidRPr="000F6DDF" w:rsidRDefault="000F077F" w:rsidP="00D8103B">
      <w:pPr>
        <w:pStyle w:val="ListBullet2"/>
        <w:numPr>
          <w:ilvl w:val="1"/>
          <w:numId w:val="47"/>
        </w:numPr>
        <w:ind w:left="1134" w:hanging="501"/>
      </w:pPr>
      <w:r w:rsidRPr="000F6DDF">
        <w:t xml:space="preserve">which existing offences they should correspond to; </w:t>
      </w:r>
    </w:p>
    <w:p w14:paraId="0C850D18" w14:textId="77777777" w:rsidR="000F077F" w:rsidRPr="000F6DDF" w:rsidRDefault="000F077F" w:rsidP="00D8103B">
      <w:pPr>
        <w:pStyle w:val="ListBullet2"/>
        <w:numPr>
          <w:ilvl w:val="1"/>
          <w:numId w:val="47"/>
        </w:numPr>
        <w:ind w:left="1134" w:hanging="501"/>
      </w:pPr>
      <w:r w:rsidRPr="000F6DDF">
        <w:t xml:space="preserve">which common characteristics they should cover; </w:t>
      </w:r>
    </w:p>
    <w:p w14:paraId="6754033F" w14:textId="77777777" w:rsidR="000F077F" w:rsidRPr="000F6DDF" w:rsidRDefault="000F077F" w:rsidP="00D8103B">
      <w:pPr>
        <w:pStyle w:val="ListBullet2"/>
        <w:numPr>
          <w:ilvl w:val="1"/>
          <w:numId w:val="47"/>
        </w:numPr>
        <w:ind w:left="1134" w:hanging="501"/>
      </w:pPr>
      <w:r w:rsidRPr="000F6DDF">
        <w:t>how the hatred or hostility element of the offences should be established;</w:t>
      </w:r>
    </w:p>
    <w:p w14:paraId="1D0D6433" w14:textId="77777777" w:rsidR="000F077F" w:rsidRDefault="000F077F" w:rsidP="00D8103B">
      <w:pPr>
        <w:pStyle w:val="ListBullet2"/>
        <w:numPr>
          <w:ilvl w:val="1"/>
          <w:numId w:val="47"/>
        </w:numPr>
      </w:pPr>
      <w:r w:rsidRPr="000F6DDF">
        <w:t>what maximum penalties are appropriate; and</w:t>
      </w:r>
    </w:p>
    <w:p w14:paraId="25C9C9FA" w14:textId="77777777" w:rsidR="00B43F7A" w:rsidRPr="000F6DDF" w:rsidRDefault="00B43F7A" w:rsidP="00D8103B">
      <w:pPr>
        <w:pStyle w:val="ListBullet2"/>
        <w:numPr>
          <w:ilvl w:val="1"/>
          <w:numId w:val="47"/>
        </w:numPr>
      </w:pPr>
      <w:r w:rsidRPr="000F6DDF">
        <w:t>whether any amendments to the Sentencing Act are desirable to take account of the new offences and to ensure hate crime offenders are sentenced appropriately.</w:t>
      </w:r>
    </w:p>
    <w:p w14:paraId="4956404E" w14:textId="77777777" w:rsidR="000F077F" w:rsidRPr="000F6DDF" w:rsidRDefault="000F077F" w:rsidP="000F077F">
      <w:r w:rsidRPr="000F6DDF">
        <w:t xml:space="preserve">In making recommendations for reform the Law Commission will take into account te ao Māori and give consideration to the multicultural character of New Zealand society. </w:t>
      </w:r>
    </w:p>
    <w:p w14:paraId="0CEDCAED" w14:textId="77777777" w:rsidR="000F077F" w:rsidRPr="000F6DDF" w:rsidRDefault="000F077F" w:rsidP="000F077F">
      <w:r w:rsidRPr="000F6DDF">
        <w:t>The review will not consider criminalising conduct that does not currently amount to an offence under New Zealand law. For the avoidance of doubt, the review will not consider recommendations 40 and 41 of the Report of the Royal Commission of Inquiry into the terrorist attack on Christchurch masjidain on 15 March 2019, which concern:</w:t>
      </w:r>
    </w:p>
    <w:p w14:paraId="198EB0BB" w14:textId="77777777" w:rsidR="000F077F" w:rsidRPr="00B43F7A" w:rsidRDefault="000F077F" w:rsidP="003C0CB4">
      <w:pPr>
        <w:pStyle w:val="ListBullet"/>
        <w:ind w:left="567" w:hanging="566"/>
      </w:pPr>
      <w:r w:rsidRPr="00B43F7A">
        <w:t>the law relating to hate speech, including sections 61 and 131 of the Human Rights Act 1993; and</w:t>
      </w:r>
    </w:p>
    <w:p w14:paraId="121EA61E" w14:textId="77777777" w:rsidR="000F077F" w:rsidRPr="00B43F7A" w:rsidRDefault="000F077F" w:rsidP="003C0CB4">
      <w:pPr>
        <w:pStyle w:val="ListBullet"/>
        <w:ind w:left="567" w:hanging="566"/>
      </w:pPr>
      <w:r w:rsidRPr="00B43F7A">
        <w:t xml:space="preserve">the definition of when a publication is “objectionable” in section 3 of the Films, Videos, and Publications Classification Act 1993. </w:t>
      </w:r>
    </w:p>
    <w:p w14:paraId="3CD77882" w14:textId="77777777" w:rsidR="000F077F" w:rsidRPr="000F6DDF" w:rsidRDefault="000F077F" w:rsidP="000F077F">
      <w:pPr>
        <w:pStyle w:val="Heading2"/>
      </w:pPr>
      <w:bookmarkStart w:id="171" w:name="_Toc231467873"/>
      <w:r w:rsidRPr="000F6DDF">
        <w:t>Timing and process</w:t>
      </w:r>
      <w:bookmarkEnd w:id="171"/>
    </w:p>
    <w:p w14:paraId="3136E221" w14:textId="77777777" w:rsidR="000F077F" w:rsidRPr="000F6DDF" w:rsidRDefault="000F077F" w:rsidP="000F077F">
      <w:r w:rsidRPr="000F6DDF">
        <w:t xml:space="preserve">The Law Commission intends to publicly consult in early 2025. </w:t>
      </w:r>
    </w:p>
    <w:p w14:paraId="218DC9BB" w14:textId="77777777" w:rsidR="000F077F" w:rsidRPr="000F6DDF" w:rsidRDefault="000F077F" w:rsidP="000F077F">
      <w:r w:rsidRPr="000F6DDF">
        <w:t>The Law Commission intends to report to the Minister responsible for the Law Commission with its recommendations by mid-2026.</w:t>
      </w:r>
    </w:p>
    <w:p w14:paraId="5780D82F" w14:textId="77777777" w:rsidR="000F077F" w:rsidRPr="000F6DDF" w:rsidRDefault="000F077F" w:rsidP="000F077F">
      <w:pPr>
        <w:pStyle w:val="Heading2"/>
      </w:pPr>
      <w:bookmarkStart w:id="172" w:name="_Toc231467874"/>
      <w:r w:rsidRPr="000F6DDF">
        <w:t>About the Law Commission</w:t>
      </w:r>
      <w:bookmarkEnd w:id="172"/>
      <w:r w:rsidRPr="000F6DDF">
        <w:t xml:space="preserve"> </w:t>
      </w:r>
    </w:p>
    <w:p w14:paraId="04F26755" w14:textId="77777777" w:rsidR="000F077F" w:rsidRPr="000F6DDF" w:rsidRDefault="000F077F" w:rsidP="000F077F">
      <w:r w:rsidRPr="000F6DDF">
        <w:t xml:space="preserve">The Law Commission is an independent Crown agency that provides law reform advice to the Government. The Government does not direct how we carry out our work or the recommendations we make. </w:t>
      </w:r>
    </w:p>
    <w:p w14:paraId="6272DCB4" w14:textId="77777777" w:rsidR="000F077F" w:rsidRPr="000F6DDF" w:rsidRDefault="000F077F" w:rsidP="000F077F">
      <w:r w:rsidRPr="000F6DDF">
        <w:t xml:space="preserve">We undertake research and engagement, and then make recommendations to Government to improve the law. These recommendations are published in a report to the Minister of Justice. The Minister must present our report to Parliament. </w:t>
      </w:r>
    </w:p>
    <w:p w14:paraId="2302B682" w14:textId="77777777" w:rsidR="00077DCC" w:rsidRDefault="000F077F" w:rsidP="00A11956">
      <w:r w:rsidRPr="000F6DDF">
        <w:t xml:space="preserve">The Government decides whether and how it will change the law. You can find out more about what we do on the Law Commission </w:t>
      </w:r>
      <w:r w:rsidRPr="00A11956">
        <w:t>website</w:t>
      </w:r>
      <w:r w:rsidRPr="000F6DDF">
        <w:t>.</w:t>
      </w:r>
    </w:p>
    <w:p w14:paraId="5DB79306" w14:textId="77777777" w:rsidR="005249B9" w:rsidRDefault="005249B9" w:rsidP="00A11956"/>
    <w:p w14:paraId="438358FF" w14:textId="047305CF" w:rsidR="005249B9" w:rsidRDefault="005249B9" w:rsidP="00A11956">
      <w:r w:rsidRPr="00A42BC3">
        <w:rPr>
          <w:noProof/>
          <w:highlight w:val="yellow"/>
        </w:rPr>
        <mc:AlternateContent>
          <mc:Choice Requires="wps">
            <w:drawing>
              <wp:anchor distT="0" distB="0" distL="114300" distR="114300" simplePos="0" relativeHeight="251658288" behindDoc="0" locked="0" layoutInCell="1" allowOverlap="1" wp14:anchorId="33A55C2C" wp14:editId="0A1DAEE5">
                <wp:simplePos x="0" y="0"/>
                <wp:positionH relativeFrom="margin">
                  <wp:posOffset>0</wp:posOffset>
                </wp:positionH>
                <wp:positionV relativeFrom="paragraph">
                  <wp:posOffset>166048</wp:posOffset>
                </wp:positionV>
                <wp:extent cx="2721610" cy="0"/>
                <wp:effectExtent l="0" t="19050" r="21590" b="19050"/>
                <wp:wrapNone/>
                <wp:docPr id="202810381" name="Straight Connector 20281038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0EAB5" id="Straight Connector 202810381" o:spid="_x0000_s1026" style="position:absolute;z-index:251658288;visibility:visible;mso-wrap-style:square;mso-wrap-distance-left:9pt;mso-wrap-distance-top:0;mso-wrap-distance-right:9pt;mso-wrap-distance-bottom:0;mso-position-horizontal:absolute;mso-position-horizontal-relative:margin;mso-position-vertical:absolute;mso-position-vertical-relative:text" from="0,13.05pt" to="214.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" strokecolor="#5ca0b9" strokeweight="2.5pt">
                <w10:wrap anchorx="margin"/>
              </v:line>
            </w:pict>
          </mc:Fallback>
        </mc:AlternateContent>
      </w:r>
    </w:p>
    <w:p w14:paraId="1FAF3FA2" w14:textId="6BE9D3E6" w:rsidR="00077DCC" w:rsidRDefault="00077DCC" w:rsidP="00A11956">
      <w:pPr>
        <w:sectPr w:rsidR="00077DCC" w:rsidSect="005627A2">
          <w:headerReference w:type="default" r:id="rId54"/>
          <w:pgSz w:w="11906" w:h="16838"/>
          <w:pgMar w:top="1134" w:right="1134" w:bottom="1134" w:left="1701" w:header="499" w:footer="499" w:gutter="0"/>
          <w:cols w:space="720"/>
          <w:noEndnote/>
          <w:docGrid w:linePitch="272"/>
        </w:sectPr>
      </w:pPr>
    </w:p>
    <w:p w14:paraId="29AEC25F" w14:textId="77777777" w:rsidR="005627A2" w:rsidRPr="00CF19F9" w:rsidRDefault="005627A2" w:rsidP="005627A2">
      <w:pPr>
        <w:pStyle w:val="TOC1"/>
        <w:rPr>
          <w:sz w:val="21"/>
          <w:szCs w:val="21"/>
        </w:rPr>
      </w:pPr>
      <w:r>
        <w:t>APPENDIX</w:t>
      </w:r>
      <w:r w:rsidRPr="00CF19F9">
        <w:rPr>
          <w:sz w:val="21"/>
          <w:szCs w:val="21"/>
        </w:rPr>
        <w:t xml:space="preserve"> </w:t>
      </w:r>
      <w:r>
        <w:rPr>
          <w:sz w:val="21"/>
          <w:szCs w:val="21"/>
        </w:rPr>
        <w:t>2</w:t>
      </w:r>
    </w:p>
    <w:p w14:paraId="30636C9C" w14:textId="77777777" w:rsidR="005627A2" w:rsidRDefault="005627A2" w:rsidP="005627A2">
      <w:pPr>
        <w:spacing w:after="0" w:line="200" w:lineRule="exact"/>
        <w:rPr>
          <w:szCs w:val="20"/>
        </w:rPr>
      </w:pPr>
      <w:r>
        <w:rPr>
          <w:rFonts w:asciiTheme="minorHAnsi" w:hAnsiTheme="minorHAnsi"/>
          <w:noProof/>
          <w:lang w:eastAsia="en-NZ"/>
        </w:rPr>
        <mc:AlternateContent>
          <mc:Choice Requires="wpg">
            <w:drawing>
              <wp:anchor distT="0" distB="0" distL="114300" distR="114300" simplePos="0" relativeHeight="251658292" behindDoc="1" locked="0" layoutInCell="1" allowOverlap="1" wp14:anchorId="3EC8C4FF" wp14:editId="59888F81">
                <wp:simplePos x="0" y="0"/>
                <wp:positionH relativeFrom="page">
                  <wp:posOffset>1073472</wp:posOffset>
                </wp:positionH>
                <wp:positionV relativeFrom="paragraph">
                  <wp:posOffset>59690</wp:posOffset>
                </wp:positionV>
                <wp:extent cx="1332230" cy="1270"/>
                <wp:effectExtent l="0" t="19050" r="20320" b="17780"/>
                <wp:wrapNone/>
                <wp:docPr id="519523908" name="Group 51952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8697242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B7395" id="Group 519523908" o:spid="_x0000_s1026" style="position:absolute;margin-left:84.55pt;margin-top:4.7pt;width:104.9pt;height:.1pt;z-index:-25165818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714A7C0E" w14:textId="77777777" w:rsidR="005627A2" w:rsidRPr="00CF19F9" w:rsidRDefault="005627A2" w:rsidP="00852254">
      <w:pPr>
        <w:pStyle w:val="Heading1"/>
        <w:numPr>
          <w:ilvl w:val="0"/>
          <w:numId w:val="0"/>
        </w:numPr>
        <w:rPr>
          <w:rFonts w:eastAsia="Metropolis Black"/>
        </w:rPr>
      </w:pPr>
      <w:bookmarkStart w:id="173" w:name="_Toc231467875"/>
      <w:r>
        <w:rPr>
          <w:rFonts w:eastAsia="Metropolis Black"/>
        </w:rPr>
        <w:t>Public consultation</w:t>
      </w:r>
      <w:bookmarkEnd w:id="173"/>
    </w:p>
    <w:p w14:paraId="518607B1" w14:textId="77777777" w:rsidR="005627A2" w:rsidRDefault="005627A2" w:rsidP="005627A2">
      <w:pPr>
        <w:spacing w:after="0" w:line="200" w:lineRule="exact"/>
        <w:rPr>
          <w:szCs w:val="20"/>
        </w:rPr>
        <w:sectPr w:rsidR="005627A2" w:rsidSect="005627A2">
          <w:headerReference w:type="even" r:id="rId55"/>
          <w:headerReference w:type="default" r:id="rId56"/>
          <w:pgSz w:w="11906" w:h="16838"/>
          <w:pgMar w:top="1134" w:right="1134" w:bottom="1134" w:left="1701" w:header="499" w:footer="499" w:gutter="0"/>
          <w:cols w:space="720"/>
          <w:noEndnote/>
          <w:docGrid w:linePitch="272"/>
        </w:sectPr>
      </w:pPr>
    </w:p>
    <w:p w14:paraId="1DE1ECA4" w14:textId="77777777" w:rsidR="005627A2" w:rsidRDefault="005627A2" w:rsidP="005627A2">
      <w:pPr>
        <w:spacing w:after="0" w:line="200" w:lineRule="exact"/>
        <w:rPr>
          <w:szCs w:val="20"/>
        </w:rPr>
      </w:pPr>
      <w:r>
        <w:rPr>
          <w:rFonts w:asciiTheme="minorHAnsi" w:hAnsiTheme="minorHAnsi"/>
          <w:noProof/>
          <w:lang w:eastAsia="en-NZ"/>
        </w:rPr>
        <mc:AlternateContent>
          <mc:Choice Requires="wpg">
            <w:drawing>
              <wp:anchor distT="0" distB="0" distL="114300" distR="114300" simplePos="0" relativeHeight="251658293" behindDoc="1" locked="0" layoutInCell="1" allowOverlap="1" wp14:anchorId="51450F49" wp14:editId="3B9D42E4">
                <wp:simplePos x="0" y="0"/>
                <wp:positionH relativeFrom="page">
                  <wp:posOffset>1061085</wp:posOffset>
                </wp:positionH>
                <wp:positionV relativeFrom="paragraph">
                  <wp:posOffset>30802</wp:posOffset>
                </wp:positionV>
                <wp:extent cx="1332230" cy="1270"/>
                <wp:effectExtent l="0" t="19050" r="20320" b="17780"/>
                <wp:wrapNone/>
                <wp:docPr id="1823836220" name="Group 1823836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0907529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109DA" id="Group 1823836220" o:spid="_x0000_s1026" style="position:absolute;margin-left:83.55pt;margin-top:2.45pt;width:104.9pt;height:.1pt;z-index:-25165818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3C34A86B" w14:textId="77777777" w:rsidR="00280347" w:rsidRDefault="00280347" w:rsidP="00280347">
      <w:bookmarkStart w:id="174" w:name="_Toc206755203"/>
      <w:bookmarkStart w:id="175" w:name="_Toc207093280"/>
    </w:p>
    <w:p w14:paraId="7F401329" w14:textId="67DA4923" w:rsidR="005627A2" w:rsidRDefault="005627A2" w:rsidP="005627A2">
      <w:pPr>
        <w:pStyle w:val="Heading2"/>
      </w:pPr>
      <w:bookmarkStart w:id="176" w:name="_Toc231467876"/>
      <w:r>
        <w:t>Submitters</w:t>
      </w:r>
      <w:bookmarkEnd w:id="176"/>
    </w:p>
    <w:p w14:paraId="5EB9F004" w14:textId="77777777" w:rsidR="005627A2" w:rsidRDefault="005627A2" w:rsidP="005627A2">
      <w:r w:rsidRPr="008A65A4">
        <w:t xml:space="preserve">We received 96 submissions on our Consultation Paper — 26 on behalf of organisations and 70 from individuals. </w:t>
      </w:r>
      <w:r>
        <w:t>The submitters are listed below, except those individual submitters who requested anonymity. The submissions are available on our website along with a summary of them.</w:t>
      </w:r>
    </w:p>
    <w:p w14:paraId="582C05F4" w14:textId="005841DF" w:rsidR="00151B74" w:rsidRDefault="00151B74" w:rsidP="00151B74">
      <w:pPr>
        <w:pStyle w:val="Heading3"/>
        <w:sectPr w:rsidR="00151B74" w:rsidSect="005627A2">
          <w:type w:val="continuous"/>
          <w:pgSz w:w="11906" w:h="16838"/>
          <w:pgMar w:top="1134" w:right="1134" w:bottom="1134" w:left="1701" w:header="499" w:footer="499" w:gutter="0"/>
          <w:cols w:space="720"/>
          <w:noEndnote/>
          <w:docGrid w:linePitch="272"/>
        </w:sectPr>
      </w:pPr>
      <w:r w:rsidRPr="00530D57">
        <w:t>Organisations</w:t>
      </w:r>
    </w:p>
    <w:p w14:paraId="46747657" w14:textId="77777777" w:rsidR="005627A2" w:rsidRPr="00530D57" w:rsidRDefault="005627A2" w:rsidP="005627A2">
      <w:bookmarkStart w:id="177" w:name="_Hlk205141282"/>
      <w:bookmarkEnd w:id="174"/>
      <w:bookmarkEnd w:id="175"/>
      <w:r w:rsidRPr="00530D57">
        <w:t>Annette Sykes &amp; Co</w:t>
      </w:r>
      <w:bookmarkEnd w:id="177"/>
    </w:p>
    <w:p w14:paraId="7CECB959" w14:textId="77777777" w:rsidR="005627A2" w:rsidRPr="00530D57" w:rsidRDefault="005627A2" w:rsidP="005627A2">
      <w:r>
        <w:t>Destiny Church New Zealand</w:t>
      </w:r>
    </w:p>
    <w:p w14:paraId="208F920E" w14:textId="77777777" w:rsidR="005627A2" w:rsidRPr="00530D57" w:rsidRDefault="005627A2" w:rsidP="005627A2">
      <w:r w:rsidRPr="00530D57">
        <w:t>Disabled Persons Assembly and VisAble (joint submission)</w:t>
      </w:r>
    </w:p>
    <w:p w14:paraId="3EE2ED57" w14:textId="77777777" w:rsidR="005627A2" w:rsidRPr="00530D57" w:rsidRDefault="005627A2" w:rsidP="005627A2">
      <w:r w:rsidRPr="00530D57">
        <w:t>Donald Beasley Institute and People First New Zealand (joint submission)</w:t>
      </w:r>
    </w:p>
    <w:p w14:paraId="22B7FCAC" w14:textId="77777777" w:rsidR="005627A2" w:rsidRPr="00530D57" w:rsidRDefault="005627A2" w:rsidP="005627A2">
      <w:r w:rsidRPr="00530D57">
        <w:t>Family First</w:t>
      </w:r>
    </w:p>
    <w:p w14:paraId="076512B4" w14:textId="77777777" w:rsidR="005627A2" w:rsidRPr="00530D57" w:rsidRDefault="005627A2" w:rsidP="005627A2">
      <w:r w:rsidRPr="00530D57">
        <w:t>Grey Power New Zealand</w:t>
      </w:r>
    </w:p>
    <w:p w14:paraId="4B8B2A0E" w14:textId="77777777" w:rsidR="005627A2" w:rsidRPr="00530D57" w:rsidRDefault="005627A2" w:rsidP="005627A2">
      <w:r w:rsidRPr="00530D57">
        <w:t>Inclusive Aotearoa Collective Tāhono</w:t>
      </w:r>
    </w:p>
    <w:p w14:paraId="34D92A70" w14:textId="77777777" w:rsidR="005627A2" w:rsidRPr="00530D57" w:rsidRDefault="005627A2" w:rsidP="005627A2">
      <w:r w:rsidRPr="00530D57">
        <w:t>Justice for Palestine, Alternative Jewish Voices and Dayenu (joint submission)</w:t>
      </w:r>
    </w:p>
    <w:p w14:paraId="0A3DCBE1" w14:textId="77777777" w:rsidR="005627A2" w:rsidRPr="00530D57" w:rsidRDefault="005627A2" w:rsidP="005627A2">
      <w:r w:rsidRPr="00530D57">
        <w:t>Free Speech Union</w:t>
      </w:r>
    </w:p>
    <w:p w14:paraId="7FC32B42" w14:textId="77777777" w:rsidR="005627A2" w:rsidRPr="00530D57" w:rsidRDefault="005627A2" w:rsidP="005627A2">
      <w:r w:rsidRPr="00530D57">
        <w:t>Lesbian Action for Visibility in Aotearoa</w:t>
      </w:r>
    </w:p>
    <w:p w14:paraId="7D5F8FD7" w14:textId="77777777" w:rsidR="005627A2" w:rsidRPr="00530D57" w:rsidRDefault="005627A2" w:rsidP="005627A2">
      <w:r w:rsidRPr="00530D57">
        <w:t>Luke Cunningham Clere</w:t>
      </w:r>
    </w:p>
    <w:p w14:paraId="561E1787" w14:textId="77777777" w:rsidR="005627A2" w:rsidRPr="00530D57" w:rsidRDefault="005627A2" w:rsidP="005627A2">
      <w:r w:rsidRPr="00530D57">
        <w:t>Maxim Institute</w:t>
      </w:r>
    </w:p>
    <w:p w14:paraId="5B796996" w14:textId="77777777" w:rsidR="005627A2" w:rsidRPr="00530D57" w:rsidRDefault="005627A2" w:rsidP="005627A2">
      <w:r w:rsidRPr="00530D57">
        <w:t>Members of Te Hunga Rōia Māori o Aotearoa</w:t>
      </w:r>
    </w:p>
    <w:p w14:paraId="5BD48DA3" w14:textId="77777777" w:rsidR="005627A2" w:rsidRPr="00530D57" w:rsidRDefault="005627A2" w:rsidP="005627A2">
      <w:pPr>
        <w:rPr>
          <w:rFonts w:eastAsia="Metropolis Light"/>
        </w:rPr>
      </w:pPr>
      <w:r w:rsidRPr="00530D57">
        <w:rPr>
          <w:rFonts w:eastAsia="Metropolis Light"/>
        </w:rPr>
        <w:t>New Zealand Federation of Business and Professional Women</w:t>
      </w:r>
    </w:p>
    <w:p w14:paraId="044A8082" w14:textId="77777777" w:rsidR="005627A2" w:rsidRPr="00530D57" w:rsidRDefault="005627A2" w:rsidP="005627A2">
      <w:r w:rsidRPr="00530D57">
        <w:t>New Zealand Jewish Council</w:t>
      </w:r>
    </w:p>
    <w:p w14:paraId="3A6941B0" w14:textId="77777777" w:rsidR="00A138D4" w:rsidRDefault="00A138D4" w:rsidP="005627A2"/>
    <w:p w14:paraId="188CD1BD" w14:textId="77777777" w:rsidR="005627A2" w:rsidRPr="00530D57" w:rsidRDefault="005627A2" w:rsidP="00EC0275">
      <w:pPr>
        <w:spacing w:before="270"/>
        <w:rPr>
          <w:szCs w:val="20"/>
        </w:rPr>
      </w:pPr>
      <w:r>
        <w:t>Parents of Vision Impaired</w:t>
      </w:r>
      <w:r w:rsidRPr="00530D57">
        <w:t xml:space="preserve"> </w:t>
      </w:r>
    </w:p>
    <w:p w14:paraId="67008D17" w14:textId="7AF80961" w:rsidR="005627A2" w:rsidRPr="00A138D4" w:rsidRDefault="005627A2" w:rsidP="00A138D4">
      <w:pPr>
        <w:rPr>
          <w:szCs w:val="20"/>
        </w:rPr>
      </w:pPr>
      <w:r w:rsidRPr="00530D57">
        <w:t>Pride in Law Otago</w:t>
      </w:r>
    </w:p>
    <w:p w14:paraId="1B318858" w14:textId="6ADA0604" w:rsidR="005627A2" w:rsidRPr="00530D57" w:rsidRDefault="005627A2" w:rsidP="005627A2">
      <w:r w:rsidRPr="00530D57">
        <w:t>Ratonga Wawao ā-Ture T</w:t>
      </w:r>
      <w:r w:rsidR="002D1977">
        <w:t>ū</w:t>
      </w:r>
      <w:r w:rsidRPr="00530D57">
        <w:t>matanui | Public Defence Service</w:t>
      </w:r>
    </w:p>
    <w:p w14:paraId="56485B67" w14:textId="77777777" w:rsidR="005627A2" w:rsidRPr="00530D57" w:rsidRDefault="005627A2" w:rsidP="005627A2">
      <w:r>
        <w:t>Sikh Council of New Zealand</w:t>
      </w:r>
    </w:p>
    <w:p w14:paraId="30E76A8A" w14:textId="77777777" w:rsidR="005627A2" w:rsidRDefault="005627A2" w:rsidP="005627A2">
      <w:r w:rsidRPr="00530D57">
        <w:t>Te Kāhui o Ināia Tonu Nei</w:t>
      </w:r>
      <w:r>
        <w:t xml:space="preserve"> Charitable Trust</w:t>
      </w:r>
    </w:p>
    <w:p w14:paraId="38EF0E18" w14:textId="77777777" w:rsidR="005627A2" w:rsidRPr="00530D57" w:rsidRDefault="005627A2" w:rsidP="005627A2">
      <w:r w:rsidRPr="00530D57">
        <w:t>Te Kāhui Ture o Aotearoa | New Zealand Law Society</w:t>
      </w:r>
    </w:p>
    <w:p w14:paraId="45FC8004" w14:textId="77777777" w:rsidR="005627A2" w:rsidRPr="00530D57" w:rsidRDefault="005627A2" w:rsidP="005627A2">
      <w:r w:rsidRPr="00530D57">
        <w:t>Te Tari Ture o te Karauna | Crown Law</w:t>
      </w:r>
    </w:p>
    <w:p w14:paraId="02C7F65E" w14:textId="77777777" w:rsidR="005627A2" w:rsidRPr="00530D57" w:rsidRDefault="005627A2" w:rsidP="005627A2">
      <w:r>
        <w:t>The Law Association of New Zealand Criminal Law Committee</w:t>
      </w:r>
    </w:p>
    <w:p w14:paraId="4C43309D" w14:textId="77777777" w:rsidR="005627A2" w:rsidRPr="00530D57" w:rsidRDefault="005627A2" w:rsidP="005627A2">
      <w:r w:rsidRPr="00530D57">
        <w:t xml:space="preserve">The Law Association </w:t>
      </w:r>
      <w:r>
        <w:t xml:space="preserve">of New Zealand </w:t>
      </w:r>
      <w:r w:rsidRPr="00530D57">
        <w:t>Public and Administrative Law Committee</w:t>
      </w:r>
    </w:p>
    <w:p w14:paraId="48ACE748" w14:textId="77777777" w:rsidR="005627A2" w:rsidRPr="00530D57" w:rsidRDefault="005627A2" w:rsidP="005627A2">
      <w:r w:rsidRPr="00530D57">
        <w:t>Whaikaha | Ministry of Disabled People</w:t>
      </w:r>
    </w:p>
    <w:p w14:paraId="2C318362" w14:textId="06A49985" w:rsidR="005627A2" w:rsidRPr="00B64660" w:rsidRDefault="005627A2" w:rsidP="005627A2">
      <w:pPr>
        <w:rPr>
          <w:szCs w:val="20"/>
        </w:rPr>
      </w:pPr>
      <w:r w:rsidRPr="00530D57">
        <w:t>Women</w:t>
      </w:r>
      <w:r w:rsidR="00E76283">
        <w:t>’</w:t>
      </w:r>
      <w:r w:rsidRPr="00530D57">
        <w:t>s Rights Party</w:t>
      </w:r>
    </w:p>
    <w:p w14:paraId="028A125C" w14:textId="77777777" w:rsidR="005627A2" w:rsidRDefault="005627A2" w:rsidP="005627A2">
      <w:pPr>
        <w:spacing w:before="0" w:after="0" w:line="240" w:lineRule="auto"/>
        <w:rPr>
          <w:rFonts w:ascii="Metropolis" w:hAnsi="Metropolis"/>
          <w:b/>
          <w:color w:val="5CA0B9"/>
          <w:sz w:val="22"/>
        </w:rPr>
      </w:pPr>
      <w:r>
        <w:br w:type="page"/>
      </w:r>
    </w:p>
    <w:p w14:paraId="05EEF90A" w14:textId="070C4E8F" w:rsidR="002F2251" w:rsidRDefault="002F2251" w:rsidP="00893CA0">
      <w:pPr>
        <w:pStyle w:val="Heading3"/>
        <w:spacing w:before="240"/>
      </w:pPr>
      <w:r>
        <w:t>Individuals</w:t>
      </w:r>
    </w:p>
    <w:p w14:paraId="0AB7C555" w14:textId="77777777" w:rsidR="00151B74" w:rsidRDefault="00151B74" w:rsidP="002F2251">
      <w:pPr>
        <w:sectPr w:rsidR="00151B74" w:rsidSect="002F2251">
          <w:headerReference w:type="even" r:id="rId57"/>
          <w:type w:val="continuous"/>
          <w:pgSz w:w="11906" w:h="16838"/>
          <w:pgMar w:top="1134" w:right="1134" w:bottom="1134" w:left="1701" w:header="499" w:footer="499" w:gutter="0"/>
          <w:cols w:num="2" w:space="720"/>
          <w:noEndnote/>
          <w:docGrid w:linePitch="272"/>
        </w:sectPr>
      </w:pPr>
    </w:p>
    <w:p w14:paraId="3BD4AF28" w14:textId="77777777" w:rsidR="002F2251" w:rsidRPr="00530D57" w:rsidRDefault="002F2251" w:rsidP="002F2251">
      <w:r w:rsidRPr="00530D57">
        <w:t>Madeline Ash</w:t>
      </w:r>
    </w:p>
    <w:p w14:paraId="695056AE" w14:textId="77777777" w:rsidR="002F2251" w:rsidRPr="00530D57" w:rsidRDefault="002F2251" w:rsidP="002F2251">
      <w:r w:rsidRPr="00530D57">
        <w:t>George Balani</w:t>
      </w:r>
    </w:p>
    <w:p w14:paraId="4A1A34DE" w14:textId="77777777" w:rsidR="002F2251" w:rsidRPr="00530D57" w:rsidRDefault="002F2251" w:rsidP="002F2251">
      <w:r w:rsidRPr="00530D57">
        <w:t>Kevin Bird</w:t>
      </w:r>
    </w:p>
    <w:p w14:paraId="6A6AF273" w14:textId="77777777" w:rsidR="002F2251" w:rsidRPr="00530D57" w:rsidRDefault="002F2251" w:rsidP="002F2251">
      <w:r>
        <w:t>Dr David Bromell</w:t>
      </w:r>
    </w:p>
    <w:p w14:paraId="23E422C3" w14:textId="77777777" w:rsidR="002F2251" w:rsidRPr="00530D57" w:rsidRDefault="002F2251" w:rsidP="002F2251">
      <w:r w:rsidRPr="00530D57">
        <w:t>Grace Carroll</w:t>
      </w:r>
    </w:p>
    <w:p w14:paraId="0216456C" w14:textId="77777777" w:rsidR="002F2251" w:rsidRPr="00530D57" w:rsidRDefault="002F2251" w:rsidP="002F2251">
      <w:r w:rsidRPr="00530D57">
        <w:t>Trevor Dance</w:t>
      </w:r>
    </w:p>
    <w:p w14:paraId="2B71E4A7" w14:textId="77777777" w:rsidR="002F2251" w:rsidRPr="00530D57" w:rsidRDefault="002F2251" w:rsidP="002F2251">
      <w:r w:rsidRPr="00530D57">
        <w:t>Gary Durey</w:t>
      </w:r>
    </w:p>
    <w:p w14:paraId="4B5D98C9" w14:textId="77777777" w:rsidR="002F2251" w:rsidRPr="00530D57" w:rsidRDefault="002F2251" w:rsidP="002F2251">
      <w:r w:rsidRPr="00530D57">
        <w:t>Graeme Edgeler</w:t>
      </w:r>
    </w:p>
    <w:p w14:paraId="60BB37C0" w14:textId="77777777" w:rsidR="002F2251" w:rsidRPr="00530D57" w:rsidRDefault="002F2251" w:rsidP="002F2251">
      <w:r w:rsidRPr="00530D57">
        <w:t>Clive Elliot KC</w:t>
      </w:r>
    </w:p>
    <w:p w14:paraId="0956ADB3" w14:textId="77777777" w:rsidR="002F2251" w:rsidRPr="00F83853" w:rsidRDefault="002F2251" w:rsidP="002F2251">
      <w:pPr>
        <w:rPr>
          <w:lang w:val="de-DE"/>
        </w:rPr>
      </w:pPr>
      <w:r w:rsidRPr="00F83853">
        <w:rPr>
          <w:lang w:val="de-DE"/>
        </w:rPr>
        <w:t>David F</w:t>
      </w:r>
    </w:p>
    <w:p w14:paraId="5D52638C" w14:textId="77777777" w:rsidR="002F2251" w:rsidRPr="00F83853" w:rsidRDefault="002F2251" w:rsidP="002F2251">
      <w:pPr>
        <w:rPr>
          <w:lang w:val="de-DE"/>
        </w:rPr>
      </w:pPr>
      <w:r w:rsidRPr="00F83853">
        <w:rPr>
          <w:lang w:val="de-DE"/>
        </w:rPr>
        <w:t>Michael Fitzgerald</w:t>
      </w:r>
    </w:p>
    <w:p w14:paraId="3CC1E28D" w14:textId="77777777" w:rsidR="002F2251" w:rsidRPr="00F83853" w:rsidRDefault="002F2251" w:rsidP="002F2251">
      <w:pPr>
        <w:rPr>
          <w:lang w:val="de-DE"/>
        </w:rPr>
      </w:pPr>
      <w:r w:rsidRPr="00F83853">
        <w:rPr>
          <w:lang w:val="de-DE"/>
        </w:rPr>
        <w:t>Ken Gorbey</w:t>
      </w:r>
    </w:p>
    <w:p w14:paraId="751D1C40" w14:textId="77777777" w:rsidR="002F2251" w:rsidRPr="00530D57" w:rsidRDefault="002F2251" w:rsidP="002F2251">
      <w:r w:rsidRPr="00530D57">
        <w:t>M Guenole</w:t>
      </w:r>
    </w:p>
    <w:p w14:paraId="78D1CC11" w14:textId="77777777" w:rsidR="002F2251" w:rsidRPr="00530D57" w:rsidRDefault="002F2251" w:rsidP="002F2251">
      <w:r w:rsidRPr="00530D57">
        <w:t>Dr David Harvey</w:t>
      </w:r>
    </w:p>
    <w:p w14:paraId="238E9C18" w14:textId="77777777" w:rsidR="002F2251" w:rsidRPr="00530D57" w:rsidRDefault="002F2251" w:rsidP="002F2251">
      <w:r w:rsidRPr="00530D57">
        <w:t>Dr Sanjana Hattotuwa</w:t>
      </w:r>
    </w:p>
    <w:p w14:paraId="3106F832" w14:textId="77777777" w:rsidR="002F2251" w:rsidRPr="00530D57" w:rsidRDefault="002F2251" w:rsidP="002F2251">
      <w:r w:rsidRPr="00530D57">
        <w:t>Russell Hoban</w:t>
      </w:r>
    </w:p>
    <w:p w14:paraId="736C67D5" w14:textId="77777777" w:rsidR="002F2251" w:rsidRPr="00530D57" w:rsidRDefault="002F2251" w:rsidP="002F2251">
      <w:r w:rsidRPr="00530D57">
        <w:t>Brian Jones</w:t>
      </w:r>
    </w:p>
    <w:p w14:paraId="20D85622" w14:textId="77777777" w:rsidR="002F2251" w:rsidRPr="00530D57" w:rsidRDefault="002F2251" w:rsidP="002F2251">
      <w:r w:rsidRPr="00530D57">
        <w:t>Ruth Jones</w:t>
      </w:r>
    </w:p>
    <w:p w14:paraId="266D24A7" w14:textId="77777777" w:rsidR="002F2251" w:rsidRPr="00530D57" w:rsidRDefault="002F2251" w:rsidP="002F2251">
      <w:r w:rsidRPr="00530D57">
        <w:t>Karun Lakshman</w:t>
      </w:r>
    </w:p>
    <w:p w14:paraId="4423ED64" w14:textId="77777777" w:rsidR="002F2251" w:rsidRPr="00530D57" w:rsidRDefault="002F2251" w:rsidP="002F2251">
      <w:r w:rsidRPr="00530D57">
        <w:t>Rex Landy</w:t>
      </w:r>
    </w:p>
    <w:p w14:paraId="3156DD30" w14:textId="77777777" w:rsidR="002F2251" w:rsidRPr="00530D57" w:rsidRDefault="002F2251" w:rsidP="002F2251">
      <w:r w:rsidRPr="00530D57">
        <w:t>Maire Leadbeater</w:t>
      </w:r>
    </w:p>
    <w:p w14:paraId="27BACEE1" w14:textId="77777777" w:rsidR="002F2251" w:rsidRPr="00530D57" w:rsidRDefault="002F2251" w:rsidP="000075A2">
      <w:pPr>
        <w:spacing w:before="150"/>
      </w:pPr>
      <w:r w:rsidRPr="00530D57">
        <w:t>David Le Breton</w:t>
      </w:r>
    </w:p>
    <w:p w14:paraId="449F4EDA" w14:textId="77777777" w:rsidR="002F2251" w:rsidRPr="002942E0" w:rsidRDefault="002F2251" w:rsidP="002F2251">
      <w:pPr>
        <w:rPr>
          <w:szCs w:val="20"/>
        </w:rPr>
      </w:pPr>
      <w:r w:rsidRPr="00530D57">
        <w:t xml:space="preserve">Richard Lillywhite </w:t>
      </w:r>
    </w:p>
    <w:p w14:paraId="2EA0D51E" w14:textId="77777777" w:rsidR="002F2251" w:rsidRPr="00530D57" w:rsidRDefault="002F2251" w:rsidP="002F2251">
      <w:r w:rsidRPr="00530D57">
        <w:t>Amos Mann</w:t>
      </w:r>
    </w:p>
    <w:p w14:paraId="6B1CA428" w14:textId="77777777" w:rsidR="002F2251" w:rsidRPr="00530D57" w:rsidRDefault="002F2251" w:rsidP="002F2251">
      <w:r w:rsidRPr="00530D57">
        <w:t>Andrew Marchant</w:t>
      </w:r>
    </w:p>
    <w:p w14:paraId="44D27E94" w14:textId="77777777" w:rsidR="002F2251" w:rsidRPr="00530D57" w:rsidRDefault="002F2251" w:rsidP="002F2251">
      <w:r w:rsidRPr="00530D57">
        <w:t>Dr Kyle R Matthews</w:t>
      </w:r>
    </w:p>
    <w:p w14:paraId="5A4ECAE8" w14:textId="77777777" w:rsidR="002F2251" w:rsidRPr="00530D57" w:rsidRDefault="002F2251" w:rsidP="002F2251">
      <w:r w:rsidRPr="00530D57">
        <w:t>Dr John McDonald-Wharry</w:t>
      </w:r>
    </w:p>
    <w:p w14:paraId="1BCB09A4" w14:textId="77777777" w:rsidR="002F2251" w:rsidRPr="00530D57" w:rsidRDefault="002F2251" w:rsidP="002F2251">
      <w:r w:rsidRPr="00530D57">
        <w:t>Murray Merriman</w:t>
      </w:r>
    </w:p>
    <w:p w14:paraId="573D8682" w14:textId="77777777" w:rsidR="002F2251" w:rsidRPr="00530D57" w:rsidRDefault="002F2251" w:rsidP="002F2251">
      <w:r w:rsidRPr="00530D57">
        <w:t>Graeme Minchin</w:t>
      </w:r>
    </w:p>
    <w:p w14:paraId="6E5E1053" w14:textId="3B037950" w:rsidR="002F2251" w:rsidRPr="00530D57" w:rsidRDefault="002F2251" w:rsidP="002F2251">
      <w:r w:rsidRPr="00530D57">
        <w:t>Tim O</w:t>
      </w:r>
      <w:r w:rsidR="00F22B80">
        <w:t>’</w:t>
      </w:r>
      <w:r w:rsidRPr="00530D57">
        <w:t>Sullivan</w:t>
      </w:r>
    </w:p>
    <w:p w14:paraId="29A53DF5" w14:textId="77777777" w:rsidR="002F2251" w:rsidRPr="00F66552" w:rsidRDefault="002F2251" w:rsidP="002F2251">
      <w:pPr>
        <w:rPr>
          <w:lang w:val="nl-NL"/>
        </w:rPr>
      </w:pPr>
      <w:r w:rsidRPr="00F66552">
        <w:rPr>
          <w:lang w:val="nl-NL"/>
        </w:rPr>
        <w:t>Roelie van Rijs</w:t>
      </w:r>
    </w:p>
    <w:p w14:paraId="4346B8F2" w14:textId="77777777" w:rsidR="002F2251" w:rsidRPr="00F66552" w:rsidRDefault="002F2251" w:rsidP="002F2251">
      <w:pPr>
        <w:rPr>
          <w:lang w:val="nl-NL"/>
        </w:rPr>
      </w:pPr>
      <w:r w:rsidRPr="00F66552">
        <w:rPr>
          <w:lang w:val="nl-NL"/>
        </w:rPr>
        <w:t>Greg Rzesniowiecki</w:t>
      </w:r>
    </w:p>
    <w:p w14:paraId="0B31E6B2" w14:textId="77777777" w:rsidR="002F2251" w:rsidRPr="00F66552" w:rsidRDefault="002F2251" w:rsidP="002F2251">
      <w:pPr>
        <w:rPr>
          <w:lang w:val="nl-NL"/>
        </w:rPr>
      </w:pPr>
      <w:r w:rsidRPr="00F66552">
        <w:rPr>
          <w:lang w:val="nl-NL"/>
        </w:rPr>
        <w:t>Murray Stirling</w:t>
      </w:r>
    </w:p>
    <w:p w14:paraId="146BF8C8" w14:textId="77777777" w:rsidR="002F2251" w:rsidRPr="00530D57" w:rsidRDefault="002F2251" w:rsidP="002F2251">
      <w:r w:rsidRPr="00530D57">
        <w:t>Dr Mark Walters</w:t>
      </w:r>
    </w:p>
    <w:p w14:paraId="0D33DA64" w14:textId="77777777" w:rsidR="002F2251" w:rsidRPr="002942E0" w:rsidRDefault="002F2251" w:rsidP="002F2251">
      <w:pPr>
        <w:rPr>
          <w:szCs w:val="20"/>
        </w:rPr>
      </w:pPr>
      <w:r w:rsidRPr="00530D57">
        <w:t>Fergus Wheeler</w:t>
      </w:r>
    </w:p>
    <w:p w14:paraId="194DD79E" w14:textId="77777777" w:rsidR="002F2251" w:rsidRPr="00530D57" w:rsidRDefault="002F2251" w:rsidP="002F2251">
      <w:r w:rsidRPr="00530D57">
        <w:t>Don Whitfield</w:t>
      </w:r>
    </w:p>
    <w:p w14:paraId="5A557F18" w14:textId="77777777" w:rsidR="002F2251" w:rsidRPr="00530D57" w:rsidRDefault="002F2251" w:rsidP="002F2251">
      <w:r w:rsidRPr="00530D57">
        <w:t>Tamsen Williams</w:t>
      </w:r>
    </w:p>
    <w:p w14:paraId="1CF9AC7D" w14:textId="77777777" w:rsidR="002F2251" w:rsidRPr="00530D57" w:rsidRDefault="002F2251" w:rsidP="002F2251">
      <w:r w:rsidRPr="00530D57">
        <w:t>Peter Williamson</w:t>
      </w:r>
    </w:p>
    <w:p w14:paraId="315AF90C" w14:textId="77777777" w:rsidR="002F2251" w:rsidRPr="00530D57" w:rsidRDefault="002F2251" w:rsidP="002F2251">
      <w:r w:rsidRPr="00530D57">
        <w:t>Dr Chris Wilson</w:t>
      </w:r>
    </w:p>
    <w:p w14:paraId="0A111FB3" w14:textId="77777777" w:rsidR="002F2251" w:rsidRPr="00530D57" w:rsidRDefault="002F2251" w:rsidP="002F2251">
      <w:r w:rsidRPr="00530D57">
        <w:t>Rod Young</w:t>
      </w:r>
    </w:p>
    <w:p w14:paraId="471A143D" w14:textId="77777777" w:rsidR="00151B74" w:rsidRDefault="00151B74" w:rsidP="002F2251">
      <w:pPr>
        <w:sectPr w:rsidR="00151B74" w:rsidSect="00151B74">
          <w:type w:val="continuous"/>
          <w:pgSz w:w="11906" w:h="16838"/>
          <w:pgMar w:top="1134" w:right="1134" w:bottom="1134" w:left="1701" w:header="499" w:footer="499" w:gutter="0"/>
          <w:cols w:num="3" w:space="720"/>
          <w:noEndnote/>
          <w:docGrid w:linePitch="272"/>
        </w:sectPr>
      </w:pPr>
    </w:p>
    <w:p w14:paraId="4DF9BD70" w14:textId="77777777" w:rsidR="002F2251" w:rsidRPr="00530D57" w:rsidRDefault="002F2251" w:rsidP="002F2251"/>
    <w:p w14:paraId="71E2DF37" w14:textId="77777777" w:rsidR="002F2251" w:rsidRDefault="002F2251" w:rsidP="002F2251">
      <w:pPr>
        <w:pStyle w:val="Heading2"/>
        <w:sectPr w:rsidR="002F2251" w:rsidSect="002F2251">
          <w:type w:val="continuous"/>
          <w:pgSz w:w="11906" w:h="16838"/>
          <w:pgMar w:top="1134" w:right="1134" w:bottom="1134" w:left="1701" w:header="499" w:footer="499" w:gutter="0"/>
          <w:cols w:num="2" w:space="720"/>
          <w:noEndnote/>
          <w:docGrid w:linePitch="272"/>
        </w:sectPr>
      </w:pPr>
    </w:p>
    <w:p w14:paraId="279A246A" w14:textId="52A8F84E" w:rsidR="002F2251" w:rsidRDefault="002F2251" w:rsidP="002F2251">
      <w:pPr>
        <w:spacing w:before="360"/>
      </w:pPr>
      <w:r w:rsidRPr="00530D57">
        <w:t xml:space="preserve">We have withheld the names of </w:t>
      </w:r>
      <w:r>
        <w:t>30</w:t>
      </w:r>
      <w:r w:rsidRPr="00530D57">
        <w:t xml:space="preserve"> </w:t>
      </w:r>
      <w:r>
        <w:t xml:space="preserve">additional </w:t>
      </w:r>
      <w:r w:rsidRPr="00530D57">
        <w:t>individual</w:t>
      </w:r>
      <w:r>
        <w:t xml:space="preserve"> submitters</w:t>
      </w:r>
      <w:r w:rsidRPr="00530D57">
        <w:t xml:space="preserve"> </w:t>
      </w:r>
      <w:r w:rsidR="00A844F4">
        <w:t xml:space="preserve">who requested anonymity </w:t>
      </w:r>
      <w:r w:rsidRPr="00530D57">
        <w:t>and refer to them by submission number</w:t>
      </w:r>
      <w:r>
        <w:t xml:space="preserve"> in this Report</w:t>
      </w:r>
      <w:r w:rsidRPr="00530D57">
        <w:t>.</w:t>
      </w:r>
    </w:p>
    <w:p w14:paraId="5F73AB7B" w14:textId="77777777" w:rsidR="002F2251" w:rsidRDefault="002F2251" w:rsidP="002F2251">
      <w:pPr>
        <w:pStyle w:val="Heading2"/>
      </w:pPr>
      <w:bookmarkStart w:id="178" w:name="_Toc231467877"/>
      <w:r>
        <w:t>Other organisations we engaged with</w:t>
      </w:r>
      <w:bookmarkEnd w:id="178"/>
    </w:p>
    <w:p w14:paraId="738677A1" w14:textId="6FA51B6F" w:rsidR="002F2251" w:rsidRPr="00C77E07" w:rsidRDefault="002F2251" w:rsidP="002F2251">
      <w:pPr>
        <w:pStyle w:val="BodyText"/>
        <w:numPr>
          <w:ilvl w:val="0"/>
          <w:numId w:val="0"/>
        </w:numPr>
      </w:pPr>
      <w:r>
        <w:t>During the public consultation period</w:t>
      </w:r>
      <w:r w:rsidR="002C5393">
        <w:t>,</w:t>
      </w:r>
      <w:r>
        <w:t xml:space="preserve"> we </w:t>
      </w:r>
      <w:r w:rsidRPr="008A65A4">
        <w:t xml:space="preserve">met with various </w:t>
      </w:r>
      <w:r>
        <w:t xml:space="preserve">individuals and </w:t>
      </w:r>
      <w:r w:rsidRPr="008A65A4">
        <w:t>organisations</w:t>
      </w:r>
      <w:r>
        <w:t>. Some made submissions and are listed above. The other organisations we met with were:</w:t>
      </w:r>
    </w:p>
    <w:p w14:paraId="08A8558D" w14:textId="77777777" w:rsidR="002F2251" w:rsidRPr="00C44AD1" w:rsidRDefault="002F2251" w:rsidP="00151B74">
      <w:pPr>
        <w:pStyle w:val="ListBullet"/>
        <w:ind w:left="567" w:hanging="566"/>
      </w:pPr>
      <w:r w:rsidRPr="00C44AD1">
        <w:t>Federation of Islamic Associations of New Zealand</w:t>
      </w:r>
      <w:r w:rsidRPr="00151B74">
        <w:rPr>
          <w:rFonts w:ascii="Calibri" w:hAnsi="Calibri" w:cs="Calibri"/>
        </w:rPr>
        <w:t> </w:t>
      </w:r>
    </w:p>
    <w:p w14:paraId="3CE6B1A7" w14:textId="53A88279" w:rsidR="002F2251" w:rsidRPr="00C44AD1" w:rsidRDefault="002F2251" w:rsidP="00151B74">
      <w:pPr>
        <w:pStyle w:val="ListBullet"/>
        <w:ind w:left="567" w:hanging="566"/>
      </w:pPr>
      <w:r w:rsidRPr="00C44AD1">
        <w:t>Islamic Women’s Council</w:t>
      </w:r>
      <w:r w:rsidRPr="00151B74">
        <w:rPr>
          <w:rFonts w:ascii="Calibri" w:hAnsi="Calibri" w:cs="Calibri"/>
        </w:rPr>
        <w:t> </w:t>
      </w:r>
      <w:r w:rsidRPr="00C44AD1">
        <w:t>of New Zealand</w:t>
      </w:r>
      <w:r w:rsidRPr="00151B74">
        <w:rPr>
          <w:rFonts w:ascii="Calibri" w:hAnsi="Calibri" w:cs="Calibri"/>
        </w:rPr>
        <w:t> </w:t>
      </w:r>
    </w:p>
    <w:p w14:paraId="793A2CAE" w14:textId="77777777" w:rsidR="002F2251" w:rsidRPr="00C44AD1" w:rsidRDefault="002F2251" w:rsidP="00151B74">
      <w:pPr>
        <w:pStyle w:val="ListBullet"/>
        <w:ind w:left="567" w:hanging="566"/>
      </w:pPr>
      <w:r w:rsidRPr="00C44AD1">
        <w:t>Qtopia</w:t>
      </w:r>
      <w:r w:rsidRPr="00151B74">
        <w:rPr>
          <w:rFonts w:ascii="Calibri" w:hAnsi="Calibri" w:cs="Calibri"/>
        </w:rPr>
        <w:t> </w:t>
      </w:r>
    </w:p>
    <w:p w14:paraId="47D10752" w14:textId="77777777" w:rsidR="002F2251" w:rsidRPr="00C44AD1" w:rsidRDefault="002F2251" w:rsidP="00151B74">
      <w:pPr>
        <w:pStyle w:val="ListBullet"/>
        <w:ind w:left="567" w:hanging="566"/>
      </w:pPr>
      <w:r w:rsidRPr="00C44AD1">
        <w:t>InsideOUT</w:t>
      </w:r>
    </w:p>
    <w:p w14:paraId="3912B539" w14:textId="77777777" w:rsidR="002F2251" w:rsidRPr="00C44AD1" w:rsidRDefault="002F2251" w:rsidP="00151B74">
      <w:pPr>
        <w:pStyle w:val="ListBullet"/>
        <w:ind w:left="567" w:hanging="566"/>
      </w:pPr>
      <w:r w:rsidRPr="00C44AD1">
        <w:t>Speak up for Women</w:t>
      </w:r>
      <w:r w:rsidRPr="00151B74">
        <w:rPr>
          <w:rFonts w:ascii="Calibri" w:hAnsi="Calibri" w:cs="Calibri"/>
        </w:rPr>
        <w:t> </w:t>
      </w:r>
    </w:p>
    <w:p w14:paraId="00C292D0" w14:textId="77777777" w:rsidR="005627A2" w:rsidRPr="00151B74" w:rsidRDefault="002F2251" w:rsidP="00151B74">
      <w:pPr>
        <w:pStyle w:val="ListBullet"/>
        <w:ind w:left="567" w:hanging="566"/>
      </w:pPr>
      <w:r w:rsidRPr="00C44AD1">
        <w:t>Te</w:t>
      </w:r>
      <w:r w:rsidRPr="00151B74">
        <w:rPr>
          <w:rFonts w:ascii="Calibri" w:hAnsi="Calibri" w:cs="Calibri"/>
        </w:rPr>
        <w:t> </w:t>
      </w:r>
      <w:r w:rsidRPr="00C44AD1">
        <w:t>Ngākau</w:t>
      </w:r>
      <w:r w:rsidRPr="00151B74">
        <w:rPr>
          <w:rFonts w:ascii="Calibri" w:hAnsi="Calibri" w:cs="Calibri"/>
        </w:rPr>
        <w:t> </w:t>
      </w:r>
      <w:r w:rsidRPr="00C44AD1">
        <w:t>Kahukura</w:t>
      </w:r>
      <w:r w:rsidRPr="00C44AD1">
        <w:rPr>
          <w:rFonts w:ascii="Calibri" w:hAnsi="Calibri" w:cs="Calibri"/>
        </w:rPr>
        <w:t> </w:t>
      </w:r>
    </w:p>
    <w:p w14:paraId="4CCD66B4" w14:textId="77777777" w:rsidR="00151B74" w:rsidRDefault="00151B74" w:rsidP="00151B74">
      <w:pPr>
        <w:pStyle w:val="ListBullet"/>
        <w:numPr>
          <w:ilvl w:val="0"/>
          <w:numId w:val="0"/>
        </w:numPr>
        <w:ind w:left="1134" w:hanging="425"/>
      </w:pPr>
    </w:p>
    <w:p w14:paraId="2078FB1B" w14:textId="169535EA" w:rsidR="00151B74" w:rsidRDefault="00151B74" w:rsidP="00151B74">
      <w:pPr>
        <w:pStyle w:val="ListBullet"/>
        <w:numPr>
          <w:ilvl w:val="0"/>
          <w:numId w:val="0"/>
        </w:numPr>
      </w:pPr>
      <w:r w:rsidRPr="00A42BC3">
        <w:rPr>
          <w:noProof/>
          <w:highlight w:val="yellow"/>
        </w:rPr>
        <mc:AlternateContent>
          <mc:Choice Requires="wps">
            <w:drawing>
              <wp:anchor distT="0" distB="0" distL="114300" distR="114300" simplePos="0" relativeHeight="251660372" behindDoc="0" locked="0" layoutInCell="1" allowOverlap="1" wp14:anchorId="0514D2B1" wp14:editId="7CDA4CB3">
                <wp:simplePos x="0" y="0"/>
                <wp:positionH relativeFrom="margin">
                  <wp:posOffset>0</wp:posOffset>
                </wp:positionH>
                <wp:positionV relativeFrom="paragraph">
                  <wp:posOffset>232723</wp:posOffset>
                </wp:positionV>
                <wp:extent cx="2721610" cy="0"/>
                <wp:effectExtent l="0" t="19050" r="21590" b="19050"/>
                <wp:wrapNone/>
                <wp:docPr id="1278076252" name="Straight Connector 127807625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C21C8D" id="Straight Connector 1278076252" o:spid="_x0000_s1026" style="position:absolute;z-index:251660372;visibility:visible;mso-wrap-style:square;mso-wrap-distance-left:9pt;mso-wrap-distance-top:0;mso-wrap-distance-right:9pt;mso-wrap-distance-bottom:0;mso-position-horizontal:absolute;mso-position-horizontal-relative:margin;mso-position-vertical:absolute;mso-position-vertical-relative:text" from="0,18.3pt" to="214.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" strokecolor="#5ca0b9" strokeweight="2.5pt">
                <w10:wrap anchorx="margin"/>
              </v:line>
            </w:pict>
          </mc:Fallback>
        </mc:AlternateContent>
      </w:r>
    </w:p>
    <w:p w14:paraId="00E5605C" w14:textId="0DFF4F63" w:rsidR="00151B74" w:rsidRDefault="00151B74" w:rsidP="00151B74">
      <w:pPr>
        <w:pStyle w:val="ListBullet"/>
        <w:numPr>
          <w:ilvl w:val="0"/>
          <w:numId w:val="0"/>
        </w:numPr>
        <w:sectPr w:rsidR="00151B74" w:rsidSect="002F2251">
          <w:type w:val="continuous"/>
          <w:pgSz w:w="11906" w:h="16838"/>
          <w:pgMar w:top="1134" w:right="1134" w:bottom="1134" w:left="1701" w:header="499" w:footer="499" w:gutter="0"/>
          <w:cols w:space="720"/>
          <w:noEndnote/>
          <w:docGrid w:linePitch="272"/>
        </w:sectPr>
      </w:pPr>
    </w:p>
    <w:bookmarkEnd w:id="82"/>
    <w:bookmarkEnd w:id="83"/>
    <w:bookmarkEnd w:id="84"/>
    <w:bookmarkEnd w:id="85"/>
    <w:p w14:paraId="4ED907CA" w14:textId="77777777" w:rsidR="00BF6A19" w:rsidRPr="00CF19F9" w:rsidRDefault="00BF6A19" w:rsidP="00BF6A19">
      <w:pPr>
        <w:pStyle w:val="TOC1"/>
        <w:rPr>
          <w:sz w:val="21"/>
          <w:szCs w:val="21"/>
        </w:rPr>
      </w:pPr>
      <w:r>
        <w:t>APPENDIX</w:t>
      </w:r>
      <w:r w:rsidRPr="00CF19F9">
        <w:rPr>
          <w:sz w:val="21"/>
          <w:szCs w:val="21"/>
        </w:rPr>
        <w:t xml:space="preserve"> </w:t>
      </w:r>
      <w:r>
        <w:rPr>
          <w:sz w:val="21"/>
          <w:szCs w:val="21"/>
        </w:rPr>
        <w:t>3</w:t>
      </w:r>
    </w:p>
    <w:p w14:paraId="770CB05D" w14:textId="77777777" w:rsidR="00BF6A19" w:rsidRDefault="00BF6A19" w:rsidP="00BF6A19">
      <w:pPr>
        <w:spacing w:after="0" w:line="200" w:lineRule="exact"/>
        <w:rPr>
          <w:szCs w:val="20"/>
        </w:rPr>
      </w:pPr>
      <w:r>
        <w:rPr>
          <w:rFonts w:asciiTheme="minorHAnsi" w:hAnsiTheme="minorHAnsi"/>
          <w:noProof/>
          <w:lang w:eastAsia="en-NZ"/>
        </w:rPr>
        <mc:AlternateContent>
          <mc:Choice Requires="wpg">
            <w:drawing>
              <wp:anchor distT="0" distB="0" distL="114300" distR="114300" simplePos="0" relativeHeight="251658294" behindDoc="1" locked="0" layoutInCell="1" allowOverlap="1" wp14:anchorId="6632A420" wp14:editId="72A63157">
                <wp:simplePos x="0" y="0"/>
                <wp:positionH relativeFrom="page">
                  <wp:posOffset>1073472</wp:posOffset>
                </wp:positionH>
                <wp:positionV relativeFrom="paragraph">
                  <wp:posOffset>59690</wp:posOffset>
                </wp:positionV>
                <wp:extent cx="1332230" cy="1270"/>
                <wp:effectExtent l="0" t="19050" r="20320" b="17780"/>
                <wp:wrapNone/>
                <wp:docPr id="1005308972" name="Group 1005308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5181527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7F5F7" id="Group 1005308972" o:spid="_x0000_s1026" style="position:absolute;margin-left:84.55pt;margin-top:4.7pt;width:104.9pt;height:.1pt;z-index:-25165818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ZS/gIAAOIGAAAOAAAAZHJzL2Uyb0RvYy54bWykVW1P2zAQ/j5p/8Hyx02Ql7YUIlrEYKBJ&#10;bEOi+wGu47xojp3ZblP263dnJyV0oEnsi3XOnZ97/Nz5cn6xayTZCmNrrRY0OY4pEYrrvFblgv5Y&#10;3RydUm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bookmarkStart w:id="179" w:name="_Toc231467878"/>
    <w:p w14:paraId="5E46CBA5" w14:textId="2B7AFB35" w:rsidR="00280347" w:rsidRPr="00280347" w:rsidRDefault="00DC4836" w:rsidP="00280347">
      <w:pPr>
        <w:pStyle w:val="Heading1"/>
        <w:numPr>
          <w:ilvl w:val="0"/>
          <w:numId w:val="0"/>
        </w:numPr>
        <w:rPr>
          <w:rFonts w:eastAsia="Metropolis Black"/>
        </w:rPr>
      </w:pPr>
      <w:r>
        <w:rPr>
          <w:rFonts w:asciiTheme="minorHAnsi" w:hAnsiTheme="minorHAnsi"/>
          <w:noProof/>
          <w:lang w:eastAsia="en-NZ"/>
        </w:rPr>
        <mc:AlternateContent>
          <mc:Choice Requires="wpg">
            <w:drawing>
              <wp:anchor distT="0" distB="0" distL="114300" distR="114300" simplePos="0" relativeHeight="251658291" behindDoc="1" locked="0" layoutInCell="1" allowOverlap="1" wp14:anchorId="5302B5AF" wp14:editId="14870D0F">
                <wp:simplePos x="0" y="0"/>
                <wp:positionH relativeFrom="page">
                  <wp:posOffset>1052517</wp:posOffset>
                </wp:positionH>
                <wp:positionV relativeFrom="paragraph">
                  <wp:posOffset>1180465</wp:posOffset>
                </wp:positionV>
                <wp:extent cx="1332230" cy="1270"/>
                <wp:effectExtent l="0" t="19050" r="20320" b="17780"/>
                <wp:wrapNone/>
                <wp:docPr id="1497589805" name="Group 1497589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3561305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A2917" id="Group 1497589805" o:spid="_x0000_s1026" style="position:absolute;margin-left:82.9pt;margin-top:92.95pt;width:104.9pt;height:.1pt;z-index:-25165818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r w:rsidR="00BF6A19">
        <w:rPr>
          <w:rFonts w:eastAsia="Metropolis Black"/>
        </w:rPr>
        <w:t>Technical Advisory Group</w:t>
      </w:r>
      <w:bookmarkEnd w:id="179"/>
    </w:p>
    <w:p w14:paraId="389BDF0D" w14:textId="338EC129" w:rsidR="00280347" w:rsidRDefault="00280347" w:rsidP="00BF6A19">
      <w:pPr>
        <w:spacing w:before="480"/>
      </w:pPr>
    </w:p>
    <w:p w14:paraId="5DD1BA00" w14:textId="33192CD9" w:rsidR="00280347" w:rsidRDefault="00280347" w:rsidP="00280347">
      <w:pPr>
        <w:spacing w:before="480"/>
      </w:pPr>
      <w:r>
        <w:t xml:space="preserve">We appointed a Technical Advisory Group for this review, comprising academic and legal experts. The function of the Group was to test our proposals for reform. The Group met once in November 2025. </w:t>
      </w:r>
    </w:p>
    <w:p w14:paraId="454D327E" w14:textId="77777777" w:rsidR="00BF6A19" w:rsidRDefault="00BF6A19" w:rsidP="00BF6A19">
      <w:pPr>
        <w:spacing w:before="240"/>
      </w:pPr>
      <w:r>
        <w:t>The members of the Group were:</w:t>
      </w:r>
    </w:p>
    <w:p w14:paraId="3D96D61A" w14:textId="77777777" w:rsidR="00BF6A19" w:rsidRPr="00E20344" w:rsidRDefault="00BF6A19" w:rsidP="00143D85">
      <w:pPr>
        <w:pStyle w:val="ChapterSummaryBulleting"/>
        <w:ind w:left="567" w:hanging="566"/>
      </w:pPr>
      <w:r w:rsidRPr="00E20344">
        <w:rPr>
          <w:color w:val="000000"/>
        </w:rPr>
        <w:t xml:space="preserve">Charlotte Brook </w:t>
      </w:r>
    </w:p>
    <w:p w14:paraId="5EA0847A" w14:textId="77777777" w:rsidR="00BF6A19" w:rsidRPr="003536C0" w:rsidRDefault="00BF6A19" w:rsidP="00143D85">
      <w:pPr>
        <w:pStyle w:val="ChapterSummaryBulleting"/>
        <w:ind w:left="567" w:hanging="566"/>
      </w:pPr>
      <w:r w:rsidRPr="00E20344">
        <w:rPr>
          <w:color w:val="000000"/>
        </w:rPr>
        <w:t>Dr Warren Brookbanks</w:t>
      </w:r>
    </w:p>
    <w:p w14:paraId="4F071EC7" w14:textId="04E62DF5" w:rsidR="00BF6A19" w:rsidRPr="00E20344" w:rsidRDefault="00BF6A19" w:rsidP="00143D85">
      <w:pPr>
        <w:pStyle w:val="ChapterSummaryBulleting"/>
        <w:ind w:left="567" w:hanging="566"/>
      </w:pPr>
      <w:r w:rsidRPr="00E20344">
        <w:rPr>
          <w:color w:val="000000"/>
        </w:rPr>
        <w:t>Professor John Ip</w:t>
      </w:r>
    </w:p>
    <w:p w14:paraId="5F3485B1" w14:textId="77777777" w:rsidR="00BF6A19" w:rsidRDefault="00BF6A19" w:rsidP="00143D85">
      <w:pPr>
        <w:pStyle w:val="ChapterSummaryBulleting"/>
        <w:ind w:left="567" w:hanging="566"/>
      </w:pPr>
      <w:r w:rsidRPr="00965775">
        <w:t>Mark Lillico (Te Tari Ture o te Karauna | Crown Law)</w:t>
      </w:r>
    </w:p>
    <w:p w14:paraId="7CF9C97D" w14:textId="002DA132" w:rsidR="00BF6A19" w:rsidRPr="00D564D1" w:rsidRDefault="00BF6A19" w:rsidP="00143D85">
      <w:pPr>
        <w:pStyle w:val="ChapterSummaryBulleting"/>
        <w:ind w:left="567" w:hanging="566"/>
      </w:pPr>
      <w:r w:rsidRPr="00E20344">
        <w:t>Bill Peoples</w:t>
      </w:r>
      <w:r>
        <w:t xml:space="preserve"> (</w:t>
      </w:r>
      <w:r w:rsidRPr="003349E4">
        <w:rPr>
          <w:color w:val="000000"/>
        </w:rPr>
        <w:t>Ng</w:t>
      </w:r>
      <w:r w:rsidR="00537A36">
        <w:rPr>
          <w:color w:val="000000"/>
        </w:rPr>
        <w:t>ā</w:t>
      </w:r>
      <w:r w:rsidRPr="003349E4">
        <w:rPr>
          <w:color w:val="000000"/>
        </w:rPr>
        <w:t xml:space="preserve"> Pirihimana </w:t>
      </w:r>
      <w:r w:rsidR="009F669C">
        <w:rPr>
          <w:color w:val="000000"/>
        </w:rPr>
        <w:t>o</w:t>
      </w:r>
      <w:r w:rsidRPr="003349E4">
        <w:rPr>
          <w:color w:val="000000"/>
        </w:rPr>
        <w:t xml:space="preserve"> Aotearoa</w:t>
      </w:r>
      <w:r>
        <w:rPr>
          <w:color w:val="000000"/>
        </w:rPr>
        <w:t xml:space="preserve"> | New Zealand Police)</w:t>
      </w:r>
    </w:p>
    <w:p w14:paraId="15B3B9B9" w14:textId="77777777" w:rsidR="00BF6A19" w:rsidRDefault="00BF6A19" w:rsidP="00143D85">
      <w:pPr>
        <w:pStyle w:val="ChapterSummaryBulleting"/>
        <w:ind w:left="567" w:hanging="566"/>
      </w:pPr>
      <w:r w:rsidRPr="00D564D1">
        <w:t>Tania Singh (Ratonga Wawao ā-Ture Tūmatanui | Public Defence Service)</w:t>
      </w:r>
    </w:p>
    <w:p w14:paraId="2AE8A4AE" w14:textId="77777777" w:rsidR="00BF6A19" w:rsidRPr="003349E4" w:rsidRDefault="00BF6A19" w:rsidP="00143D85">
      <w:pPr>
        <w:pStyle w:val="ChapterSummaryBulleting"/>
        <w:ind w:left="567" w:hanging="566"/>
      </w:pPr>
      <w:r w:rsidRPr="00E20344">
        <w:rPr>
          <w:color w:val="000000"/>
        </w:rPr>
        <w:t>Annette Sykes</w:t>
      </w:r>
    </w:p>
    <w:p w14:paraId="3A028313" w14:textId="6FA03D2F" w:rsidR="00BF6A19" w:rsidRPr="000C7914" w:rsidRDefault="0076233E" w:rsidP="00143D85">
      <w:pPr>
        <w:pStyle w:val="ChapterSummaryBulleting"/>
        <w:ind w:left="567" w:hanging="566"/>
      </w:pPr>
      <w:r>
        <w:rPr>
          <w:color w:val="000000"/>
        </w:rPr>
        <w:t xml:space="preserve">Dr </w:t>
      </w:r>
      <w:r w:rsidR="00BF6A19" w:rsidRPr="00E20344">
        <w:rPr>
          <w:color w:val="000000"/>
        </w:rPr>
        <w:t>Susann Wiedlitzka</w:t>
      </w:r>
    </w:p>
    <w:p w14:paraId="0304101E" w14:textId="31F2D982" w:rsidR="00CA2481" w:rsidRDefault="00BF6A19" w:rsidP="00F06321">
      <w:pPr>
        <w:pStyle w:val="ChapterSummaryBulleting"/>
        <w:numPr>
          <w:ilvl w:val="0"/>
          <w:numId w:val="0"/>
        </w:numPr>
        <w:spacing w:before="240"/>
      </w:pPr>
      <w:r>
        <w:t>The feedback provided by the Group assisted us in finalising our recommendations. All views expressed in this Report are our own and do not necessarily reflect the views of Technical Advisory Group members</w:t>
      </w:r>
      <w:r w:rsidR="009E50A6">
        <w:t>.</w:t>
      </w:r>
    </w:p>
    <w:p w14:paraId="4D4DDCF6" w14:textId="77777777" w:rsidR="00CA2481" w:rsidRDefault="00CA2481" w:rsidP="00F06321">
      <w:pPr>
        <w:pStyle w:val="ChapterSummaryBulleting"/>
        <w:numPr>
          <w:ilvl w:val="0"/>
          <w:numId w:val="0"/>
        </w:numPr>
        <w:spacing w:before="240"/>
      </w:pPr>
    </w:p>
    <w:p w14:paraId="3190D381" w14:textId="396EF3F7" w:rsidR="0052701F" w:rsidRDefault="00CA2481" w:rsidP="00F06321">
      <w:pPr>
        <w:pStyle w:val="ChapterSummaryBulleting"/>
        <w:numPr>
          <w:ilvl w:val="0"/>
          <w:numId w:val="0"/>
        </w:numPr>
        <w:spacing w:before="240"/>
        <w:sectPr w:rsidR="0052701F" w:rsidSect="00624222">
          <w:headerReference w:type="even" r:id="rId58"/>
          <w:headerReference w:type="default" r:id="rId59"/>
          <w:footnotePr>
            <w:numRestart w:val="eachSect"/>
          </w:footnotePr>
          <w:pgSz w:w="11907" w:h="16840" w:code="9"/>
          <w:pgMar w:top="1134" w:right="1134" w:bottom="1134" w:left="1701" w:header="499" w:footer="46" w:gutter="0"/>
          <w:cols w:space="720"/>
        </w:sectPr>
      </w:pPr>
      <w:r w:rsidRPr="00A42BC3">
        <w:rPr>
          <w:noProof/>
          <w:highlight w:val="yellow"/>
        </w:rPr>
        <mc:AlternateContent>
          <mc:Choice Requires="wps">
            <w:drawing>
              <wp:anchor distT="0" distB="0" distL="114300" distR="114300" simplePos="0" relativeHeight="251658295" behindDoc="0" locked="0" layoutInCell="1" allowOverlap="1" wp14:anchorId="2EBC5B5A" wp14:editId="430E59A4">
                <wp:simplePos x="0" y="0"/>
                <wp:positionH relativeFrom="margin">
                  <wp:posOffset>0</wp:posOffset>
                </wp:positionH>
                <wp:positionV relativeFrom="paragraph">
                  <wp:posOffset>112073</wp:posOffset>
                </wp:positionV>
                <wp:extent cx="2721610" cy="0"/>
                <wp:effectExtent l="0" t="19050" r="21590" b="19050"/>
                <wp:wrapNone/>
                <wp:docPr id="536444322" name="Straight Connector 53644432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E00D1" id="Straight Connector 536444322" o:spid="_x0000_s1026" style="position:absolute;z-index:251658295;visibility:visible;mso-wrap-style:square;mso-wrap-distance-left:9pt;mso-wrap-distance-top:0;mso-wrap-distance-right:9pt;mso-wrap-distance-bottom:0;mso-position-horizontal:absolute;mso-position-horizontal-relative:margin;mso-position-vertical:absolute;mso-position-vertical-relative:text" from="0,8.8pt" to="21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" strokecolor="#5ca0b9" strokeweight="2.5pt">
                <w10:wrap anchorx="margin"/>
              </v:line>
            </w:pict>
          </mc:Fallback>
        </mc:AlternateContent>
      </w:r>
    </w:p>
    <w:p w14:paraId="0D6B3DE8" w14:textId="1838B3A9" w:rsidR="00BF6A19" w:rsidRPr="00F62CD6" w:rsidRDefault="00BF6A19" w:rsidP="00F06321">
      <w:pPr>
        <w:pStyle w:val="ChapterSummaryBulleting"/>
        <w:numPr>
          <w:ilvl w:val="0"/>
          <w:numId w:val="0"/>
        </w:numPr>
        <w:spacing w:before="240"/>
      </w:pPr>
    </w:p>
    <w:p w14:paraId="3358A877" w14:textId="77777777" w:rsidR="003E44CE" w:rsidRPr="00330E85" w:rsidRDefault="003E44CE" w:rsidP="003E44CE"/>
    <w:p w14:paraId="6B43A48F" w14:textId="77777777" w:rsidR="003E44CE" w:rsidRPr="00330E85" w:rsidRDefault="003E44CE" w:rsidP="003E44CE"/>
    <w:p w14:paraId="1D0CFF28" w14:textId="77777777" w:rsidR="003E44CE" w:rsidRPr="00330E85" w:rsidRDefault="003E44CE" w:rsidP="003E44CE"/>
    <w:p w14:paraId="16A56917" w14:textId="4C3EC63C" w:rsidR="003E44CE" w:rsidRPr="00330E85" w:rsidRDefault="003E44CE" w:rsidP="003E44CE"/>
    <w:p w14:paraId="1F47DB25" w14:textId="22AECAC6" w:rsidR="00B56C2B" w:rsidRPr="00330E85" w:rsidRDefault="00B56C2B" w:rsidP="003E44CE"/>
    <w:p w14:paraId="26A5C77A" w14:textId="40E259FA" w:rsidR="00B56C2B" w:rsidRPr="00330E85" w:rsidRDefault="00B56C2B" w:rsidP="003E44CE"/>
    <w:p w14:paraId="46A2B0AC" w14:textId="6A60A30E" w:rsidR="00B56C2B" w:rsidRPr="00330E85" w:rsidRDefault="00B56C2B" w:rsidP="003E44CE"/>
    <w:p w14:paraId="185C317F" w14:textId="23E38DB6" w:rsidR="00B56C2B" w:rsidRPr="00330E85" w:rsidRDefault="00B56C2B" w:rsidP="003E44CE"/>
    <w:p w14:paraId="6BC037E9" w14:textId="482DD9B5" w:rsidR="00B56C2B" w:rsidRPr="00330E85" w:rsidRDefault="00B56C2B" w:rsidP="003E44CE"/>
    <w:p w14:paraId="2205DC88" w14:textId="55EA16D6" w:rsidR="00B56C2B" w:rsidRPr="00330E85" w:rsidRDefault="00B56C2B" w:rsidP="003E44CE"/>
    <w:p w14:paraId="107AE9E2" w14:textId="566B4A48" w:rsidR="00B56C2B" w:rsidRDefault="00B56C2B" w:rsidP="003E44CE"/>
    <w:p w14:paraId="3093F494" w14:textId="77777777" w:rsidR="00F65B0B" w:rsidRDefault="00F65B0B" w:rsidP="003E44CE"/>
    <w:p w14:paraId="148F727C" w14:textId="77777777" w:rsidR="00F65B0B" w:rsidRDefault="00F65B0B" w:rsidP="003E44CE"/>
    <w:p w14:paraId="353A81DE" w14:textId="77777777" w:rsidR="00F65B0B" w:rsidRDefault="00F65B0B" w:rsidP="003E44CE"/>
    <w:p w14:paraId="0E417EEE" w14:textId="77777777" w:rsidR="00F65B0B" w:rsidRDefault="00F65B0B" w:rsidP="003E44CE"/>
    <w:p w14:paraId="3907E895" w14:textId="77777777" w:rsidR="00F65B0B" w:rsidRDefault="00F65B0B" w:rsidP="003E44CE"/>
    <w:p w14:paraId="6324EAC9" w14:textId="77777777" w:rsidR="00F65B0B" w:rsidRDefault="00F65B0B" w:rsidP="003E44CE"/>
    <w:p w14:paraId="2E995CBD" w14:textId="77777777" w:rsidR="00F65B0B" w:rsidRPr="00330E85" w:rsidRDefault="00F65B0B" w:rsidP="003E44CE"/>
    <w:p w14:paraId="6D0D9B6C" w14:textId="3E107452" w:rsidR="00B56C2B" w:rsidRPr="00330E85" w:rsidRDefault="00B56C2B" w:rsidP="003E44CE"/>
    <w:p w14:paraId="2858E86A" w14:textId="75D90551" w:rsidR="00B56C2B" w:rsidRPr="00330E85" w:rsidRDefault="00B56C2B" w:rsidP="003E44CE"/>
    <w:p w14:paraId="159BA025" w14:textId="36E08BC8" w:rsidR="003E44CE" w:rsidRPr="00330E85" w:rsidRDefault="003E44CE" w:rsidP="003E44CE">
      <w:r w:rsidRPr="00330E85">
        <w:rPr>
          <w:noProof/>
        </w:rPr>
        <mc:AlternateContent>
          <mc:Choice Requires="wps">
            <w:drawing>
              <wp:anchor distT="4294967295" distB="4294967295" distL="114300" distR="114300" simplePos="0" relativeHeight="251658272" behindDoc="0" locked="0" layoutInCell="1" allowOverlap="1" wp14:anchorId="730622FB" wp14:editId="159E3E4D">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D378B5" id="Straight Connector 764518343" o:spid="_x0000_s1026" style="position:absolute;z-index:2516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Pr="00330E85" w:rsidRDefault="003E44CE" w:rsidP="00AC3931">
      <w:pPr>
        <w:pStyle w:val="ListParagraph"/>
        <w:numPr>
          <w:ilvl w:val="0"/>
          <w:numId w:val="21"/>
        </w:numPr>
      </w:pPr>
    </w:p>
    <w:p w14:paraId="6423FA38" w14:textId="0FE4422F" w:rsidR="003E44CE" w:rsidRPr="00330E85" w:rsidRDefault="003E44CE" w:rsidP="00AC3931">
      <w:pPr>
        <w:pStyle w:val="ListParagraph"/>
        <w:numPr>
          <w:ilvl w:val="0"/>
          <w:numId w:val="21"/>
        </w:numPr>
      </w:pPr>
      <w:r w:rsidRPr="00330E85">
        <w:rPr>
          <w:rFonts w:ascii="ZWAdobeF" w:hAnsi="ZWAdobeF" w:cs="ZWAdobeF"/>
          <w:sz w:val="2"/>
          <w:szCs w:val="2"/>
        </w:rPr>
        <w:t>1238B1238B1238B</w:t>
      </w:r>
      <w:r w:rsidRPr="00330E85">
        <w:rPr>
          <w:noProof/>
        </w:rPr>
        <w:drawing>
          <wp:inline distT="0" distB="0" distL="0" distR="0" wp14:anchorId="30817323" wp14:editId="465CBA91">
            <wp:extent cx="2489689" cy="998768"/>
            <wp:effectExtent l="0" t="0" r="6350" b="0"/>
            <wp:docPr id="764517973" name="Picture 7645179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330E85" w:rsidRDefault="003E44CE" w:rsidP="00AC3931">
      <w:pPr>
        <w:pStyle w:val="ListParagraph"/>
        <w:numPr>
          <w:ilvl w:val="0"/>
          <w:numId w:val="21"/>
        </w:numPr>
        <w:spacing w:before="360"/>
        <w:ind w:right="3243"/>
        <w:rPr>
          <w:rFonts w:eastAsia="Times"/>
          <w:b/>
          <w:bCs/>
          <w:sz w:val="2"/>
          <w:szCs w:val="6"/>
        </w:rPr>
      </w:pPr>
    </w:p>
    <w:p w14:paraId="52CD1ED6" w14:textId="57D3CE48" w:rsidR="003E44CE" w:rsidRPr="00330E85" w:rsidRDefault="003E44CE" w:rsidP="00AC3931">
      <w:pPr>
        <w:pStyle w:val="ListParagraph"/>
        <w:numPr>
          <w:ilvl w:val="0"/>
          <w:numId w:val="21"/>
        </w:numPr>
        <w:ind w:right="3243"/>
        <w:rPr>
          <w:rFonts w:eastAsia="Times"/>
          <w:sz w:val="18"/>
        </w:rPr>
      </w:pPr>
    </w:p>
    <w:p w14:paraId="025EA953" w14:textId="77777777" w:rsidR="00F65B0B" w:rsidRPr="00330E85" w:rsidRDefault="00F65B0B" w:rsidP="00F65B0B">
      <w:pPr>
        <w:pStyle w:val="ListParagraph"/>
        <w:numPr>
          <w:ilvl w:val="0"/>
          <w:numId w:val="21"/>
        </w:numPr>
        <w:ind w:right="3243"/>
        <w:rPr>
          <w:rFonts w:eastAsia="Times"/>
          <w:sz w:val="18"/>
        </w:rPr>
      </w:pPr>
    </w:p>
    <w:p w14:paraId="04927A65" w14:textId="77777777" w:rsidR="00F65B0B" w:rsidRPr="00330E85" w:rsidRDefault="00F65B0B" w:rsidP="00F65B0B">
      <w:pPr>
        <w:tabs>
          <w:tab w:val="left" w:pos="5387"/>
        </w:tabs>
        <w:ind w:right="567"/>
        <w:rPr>
          <w:sz w:val="18"/>
          <w:szCs w:val="18"/>
        </w:rPr>
      </w:pPr>
      <w:r>
        <w:rPr>
          <w:sz w:val="18"/>
          <w:szCs w:val="18"/>
        </w:rPr>
        <w:t xml:space="preserve">Address: </w:t>
      </w:r>
      <w:r w:rsidRPr="00330E85">
        <w:rPr>
          <w:sz w:val="18"/>
          <w:szCs w:val="18"/>
        </w:rPr>
        <w:t>Level 9, Solnet House, 70 The Terrace, Wellington 6011</w:t>
      </w:r>
    </w:p>
    <w:p w14:paraId="026E32BD" w14:textId="77777777" w:rsidR="00F65B0B" w:rsidRPr="00330E85" w:rsidRDefault="00F65B0B" w:rsidP="00F65B0B">
      <w:pPr>
        <w:tabs>
          <w:tab w:val="left" w:pos="5387"/>
        </w:tabs>
        <w:ind w:right="567"/>
        <w:rPr>
          <w:sz w:val="18"/>
          <w:szCs w:val="18"/>
        </w:rPr>
      </w:pPr>
      <w:r>
        <w:rPr>
          <w:sz w:val="18"/>
          <w:szCs w:val="18"/>
        </w:rPr>
        <w:t xml:space="preserve">Postal: </w:t>
      </w:r>
      <w:r w:rsidRPr="00330E85">
        <w:rPr>
          <w:sz w:val="18"/>
          <w:szCs w:val="18"/>
        </w:rPr>
        <w:t>PO Box 2590, Wellington 6140</w:t>
      </w:r>
    </w:p>
    <w:p w14:paraId="589D300D" w14:textId="77777777" w:rsidR="00F65B0B" w:rsidRPr="00330E85" w:rsidRDefault="00F65B0B" w:rsidP="00F65B0B">
      <w:pPr>
        <w:tabs>
          <w:tab w:val="left" w:pos="5387"/>
        </w:tabs>
        <w:ind w:right="567"/>
        <w:rPr>
          <w:sz w:val="18"/>
          <w:szCs w:val="18"/>
        </w:rPr>
      </w:pPr>
      <w:r w:rsidRPr="00330E85">
        <w:rPr>
          <w:sz w:val="18"/>
          <w:szCs w:val="18"/>
        </w:rPr>
        <w:t>Telephone: 0800 832 526</w:t>
      </w:r>
    </w:p>
    <w:p w14:paraId="21494489" w14:textId="77777777" w:rsidR="00F65B0B" w:rsidRDefault="00F65B0B" w:rsidP="00F65B0B">
      <w:pPr>
        <w:tabs>
          <w:tab w:val="left" w:pos="5387"/>
        </w:tabs>
        <w:ind w:right="567"/>
        <w:rPr>
          <w:sz w:val="18"/>
          <w:szCs w:val="18"/>
        </w:rPr>
      </w:pPr>
      <w:r w:rsidRPr="00330E85">
        <w:rPr>
          <w:sz w:val="18"/>
          <w:szCs w:val="18"/>
        </w:rPr>
        <w:t xml:space="preserve">Email: </w:t>
      </w:r>
      <w:r w:rsidRPr="00295531">
        <w:rPr>
          <w:sz w:val="18"/>
          <w:szCs w:val="18"/>
        </w:rPr>
        <w:t>com@lawcom.govt.nz</w:t>
      </w:r>
    </w:p>
    <w:p w14:paraId="54BD0368" w14:textId="5F5F51A5" w:rsidR="003E44CE" w:rsidRDefault="002E3749" w:rsidP="003E44CE">
      <w:pPr>
        <w:tabs>
          <w:tab w:val="left" w:pos="5387"/>
        </w:tabs>
        <w:ind w:right="567"/>
        <w:rPr>
          <w:sz w:val="18"/>
          <w:szCs w:val="18"/>
        </w:rPr>
      </w:pPr>
      <w:r w:rsidRPr="00330E85">
        <w:rPr>
          <w:noProof/>
        </w:rPr>
        <mc:AlternateContent>
          <mc:Choice Requires="wps">
            <w:drawing>
              <wp:anchor distT="4294967295" distB="4294967295" distL="114300" distR="114300" simplePos="0" relativeHeight="251658277" behindDoc="0" locked="0" layoutInCell="1" allowOverlap="1" wp14:anchorId="5A446BD0" wp14:editId="5008AD15">
                <wp:simplePos x="0" y="0"/>
                <wp:positionH relativeFrom="column">
                  <wp:posOffset>0</wp:posOffset>
                </wp:positionH>
                <wp:positionV relativeFrom="paragraph">
                  <wp:posOffset>196528</wp:posOffset>
                </wp:positionV>
                <wp:extent cx="2721610" cy="0"/>
                <wp:effectExtent l="0" t="1905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FD02FB" id="Straight Connector 2" o:spid="_x0000_s1026" style="position:absolute;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45pt" to="214.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" strokecolor="#5ca0b9" strokeweight="2.5pt">
                <o:lock v:ext="edit" shapetype="f"/>
              </v:line>
            </w:pict>
          </mc:Fallback>
        </mc:AlternateContent>
      </w:r>
    </w:p>
    <w:sectPr w:rsidR="003E44CE" w:rsidSect="00624222">
      <w:headerReference w:type="even" r:id="rId61"/>
      <w:headerReference w:type="default" r:id="rId62"/>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9BCBB" w14:textId="77777777" w:rsidR="0096626D" w:rsidRDefault="0096626D">
      <w:r>
        <w:separator/>
      </w:r>
    </w:p>
    <w:p w14:paraId="462A2015" w14:textId="77777777" w:rsidR="0096626D" w:rsidRDefault="0096626D"/>
    <w:p w14:paraId="591DB0C6" w14:textId="77777777" w:rsidR="0096626D" w:rsidRDefault="0096626D"/>
  </w:endnote>
  <w:endnote w:type="continuationSeparator" w:id="0">
    <w:p w14:paraId="00E3E6D7" w14:textId="77777777" w:rsidR="0096626D" w:rsidRDefault="0096626D">
      <w:r>
        <w:continuationSeparator/>
      </w:r>
    </w:p>
    <w:p w14:paraId="421B77C8" w14:textId="77777777" w:rsidR="0096626D" w:rsidRDefault="0096626D"/>
    <w:p w14:paraId="32CF1DE8" w14:textId="77777777" w:rsidR="0096626D" w:rsidRDefault="0096626D"/>
  </w:endnote>
  <w:endnote w:type="continuationNotice" w:id="1">
    <w:p w14:paraId="7C124ADB" w14:textId="77777777" w:rsidR="0096626D" w:rsidRDefault="00966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tropolis">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SimHei">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etropolis Semi Bold">
    <w:panose1 w:val="00000700000000000000"/>
    <w:charset w:val="00"/>
    <w:family w:val="modern"/>
    <w:notTrueType/>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etropolis Extra Bold">
    <w:panose1 w:val="00000900000000000000"/>
    <w:charset w:val="00"/>
    <w:family w:val="modern"/>
    <w:notTrueType/>
    <w:pitch w:val="variable"/>
    <w:sig w:usb0="00000007" w:usb1="00000000" w:usb2="00000000" w:usb3="00000000" w:csb0="00000093" w:csb1="00000000"/>
  </w:font>
  <w:font w:name="ZWAdobeF">
    <w:panose1 w:val="00000000000000000000"/>
    <w:charset w:val="00"/>
    <w:family w:val="auto"/>
    <w:pitch w:val="variable"/>
    <w:sig w:usb0="20002A87" w:usb1="00000000" w:usb2="00000000"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F57D" w14:textId="77777777" w:rsidR="00770BA2" w:rsidRDefault="00770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AF1A" w14:textId="0AEE4C15" w:rsidR="008C2005" w:rsidRPr="009E516D" w:rsidRDefault="008C2005" w:rsidP="009E516D">
    <w:pPr>
      <w:pStyle w:val="Header"/>
      <w:jc w:val="center"/>
      <w:rPr>
        <w:rFonts w:ascii="Metropolis" w:hAnsi="Metropolis"/>
        <w:b/>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C367C" w14:textId="77777777" w:rsidR="005627A2" w:rsidRPr="00DD5A48" w:rsidRDefault="005627A2" w:rsidP="00FE5AEC">
    <w:pPr>
      <w:pStyle w:val="Footer"/>
      <w:framePr w:wrap="around" w:vAnchor="text" w:hAnchor="margin" w:xAlign="right" w:y="1"/>
      <w:tabs>
        <w:tab w:val="clear" w:pos="4536"/>
        <w:tab w:val="clear" w:pos="9072"/>
      </w:tabs>
      <w:rPr>
        <w:rStyle w:val="PageNumber"/>
      </w:rPr>
    </w:pPr>
  </w:p>
  <w:p w14:paraId="23831A13" w14:textId="77777777" w:rsidR="005627A2" w:rsidRPr="00DD5A48" w:rsidRDefault="005627A2" w:rsidP="00FE5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08697" w14:textId="77777777" w:rsidR="0096626D" w:rsidRDefault="0096626D">
      <w:r>
        <w:separator/>
      </w:r>
    </w:p>
  </w:footnote>
  <w:footnote w:type="continuationSeparator" w:id="0">
    <w:p w14:paraId="400147A1" w14:textId="77777777" w:rsidR="0096626D" w:rsidRDefault="0096626D">
      <w:r>
        <w:separator/>
      </w:r>
    </w:p>
  </w:footnote>
  <w:footnote w:type="continuationNotice" w:id="1">
    <w:p w14:paraId="206BF50D" w14:textId="77777777" w:rsidR="0096626D" w:rsidRDefault="0096626D"/>
  </w:footnote>
  <w:footnote w:id="2">
    <w:p w14:paraId="20CFE49B" w14:textId="77777777" w:rsidR="00415A8F" w:rsidRPr="00400349" w:rsidRDefault="00415A8F" w:rsidP="00415A8F">
      <w:pPr>
        <w:pStyle w:val="FootnoteText"/>
        <w:rPr>
          <w:b/>
          <w:color w:val="auto"/>
        </w:rPr>
      </w:pPr>
      <w:r w:rsidRPr="00400349">
        <w:rPr>
          <w:rStyle w:val="FootnoteReference"/>
          <w:color w:val="auto"/>
        </w:rPr>
        <w:footnoteRef/>
      </w:r>
      <w:r w:rsidRPr="00400349">
        <w:rPr>
          <w:color w:val="auto"/>
        </w:rPr>
        <w:t xml:space="preserve"> </w:t>
      </w:r>
      <w:r w:rsidRPr="00400349">
        <w:rPr>
          <w:color w:val="auto"/>
        </w:rPr>
        <w:tab/>
        <w:t>Royal Commission of Inquiry into the Terrorist Attack on Christchurch Mosques on 15 March 2019 Order 2019, sch, cls</w:t>
      </w:r>
      <w:r w:rsidRPr="00400349">
        <w:rPr>
          <w:rFonts w:ascii="Calibri" w:hAnsi="Calibri" w:cs="Calibri"/>
          <w:color w:val="auto"/>
        </w:rPr>
        <w:t> </w:t>
      </w:r>
      <w:r w:rsidRPr="00400349">
        <w:rPr>
          <w:color w:val="auto"/>
        </w:rPr>
        <w:t>1(2) and 5.</w:t>
      </w:r>
    </w:p>
  </w:footnote>
  <w:footnote w:id="3">
    <w:p w14:paraId="6281C082" w14:textId="00319D6E"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color w:val="auto"/>
        </w:rPr>
        <w:t xml:space="preserve"> </w:t>
      </w:r>
      <w:r w:rsidR="003D7BB4" w:rsidRPr="00400349">
        <w:rPr>
          <w:color w:val="auto"/>
        </w:rPr>
        <w:t>pt</w:t>
      </w:r>
      <w:r w:rsidRPr="00400349">
        <w:rPr>
          <w:color w:val="auto"/>
        </w:rPr>
        <w:t xml:space="preserve"> 9.</w:t>
      </w:r>
      <w:r w:rsidR="00193C54" w:rsidRPr="00400349">
        <w:rPr>
          <w:color w:val="auto"/>
        </w:rPr>
        <w:t xml:space="preserve"> </w:t>
      </w:r>
    </w:p>
  </w:footnote>
  <w:footnote w:id="4">
    <w:p w14:paraId="26C32FE4" w14:textId="72DFFFE4"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0E56FF" w:rsidRPr="00400349">
        <w:rPr>
          <w:color w:val="auto"/>
        </w:rPr>
        <w:t>At</w:t>
      </w:r>
      <w:r w:rsidRPr="00400349">
        <w:rPr>
          <w:color w:val="auto"/>
        </w:rPr>
        <w:t xml:space="preserve"> 703.</w:t>
      </w:r>
    </w:p>
  </w:footnote>
  <w:footnote w:id="5">
    <w:p w14:paraId="2911108D" w14:textId="16653027"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0E56FF" w:rsidRPr="00400349">
        <w:rPr>
          <w:color w:val="auto"/>
        </w:rPr>
        <w:t>At</w:t>
      </w:r>
      <w:r w:rsidRPr="00400349">
        <w:rPr>
          <w:color w:val="auto"/>
        </w:rPr>
        <w:t xml:space="preserve"> 762 (recommendation 39).</w:t>
      </w:r>
    </w:p>
  </w:footnote>
  <w:footnote w:id="6">
    <w:p w14:paraId="0EB4B915" w14:textId="62A5A23C"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Pr="00400349">
        <w:rPr>
          <w:color w:val="auto"/>
        </w:rPr>
        <w:t>at 704</w:t>
      </w:r>
      <w:r w:rsidR="00840407" w:rsidRPr="00400349">
        <w:rPr>
          <w:color w:val="auto"/>
        </w:rPr>
        <w:t>;</w:t>
      </w:r>
      <w:r w:rsidRPr="00400349">
        <w:rPr>
          <w:color w:val="auto"/>
        </w:rPr>
        <w:t xml:space="preserve"> and </w:t>
      </w:r>
      <w:r w:rsidR="004320DC" w:rsidRPr="00400349">
        <w:rPr>
          <w:color w:val="auto"/>
        </w:rPr>
        <w:t>William Young and Jacqui Caine</w:t>
      </w:r>
      <w:r w:rsidR="004320DC" w:rsidRPr="00400349">
        <w:rPr>
          <w:i/>
          <w:iCs/>
          <w:color w:val="auto"/>
        </w:rPr>
        <w:t xml:space="preserve"> Hate speech and hate crime related legislation </w:t>
      </w:r>
      <w:r w:rsidR="004320DC" w:rsidRPr="00400349">
        <w:rPr>
          <w:color w:val="auto"/>
        </w:rPr>
        <w:t>(Royal Commission of Inquiry into the terrorist attack on Christchurch masjidain on 15 March 2019</w:t>
      </w:r>
      <w:r w:rsidR="00A11A26" w:rsidRPr="00400349">
        <w:rPr>
          <w:color w:val="auto"/>
        </w:rPr>
        <w:t xml:space="preserve">, </w:t>
      </w:r>
      <w:r w:rsidR="004320DC" w:rsidRPr="00400349">
        <w:rPr>
          <w:color w:val="auto"/>
        </w:rPr>
        <w:t>26 November 2020)</w:t>
      </w:r>
      <w:r w:rsidR="00B363D6" w:rsidRPr="00400349">
        <w:rPr>
          <w:color w:val="auto"/>
        </w:rPr>
        <w:t xml:space="preserve"> </w:t>
      </w:r>
      <w:r w:rsidRPr="00400349">
        <w:rPr>
          <w:color w:val="auto"/>
        </w:rPr>
        <w:t>at 16–17 (referring to ss 28–32 of the Crime and Disorder Act 1998 (UK)).</w:t>
      </w:r>
      <w:r w:rsidR="002E5C0B" w:rsidRPr="00400349">
        <w:rPr>
          <w:color w:val="auto"/>
        </w:rPr>
        <w:t xml:space="preserve"> </w:t>
      </w:r>
    </w:p>
  </w:footnote>
  <w:footnote w:id="7">
    <w:p w14:paraId="462D1586" w14:textId="0200ADC1" w:rsidR="00415A8F" w:rsidRPr="00400349" w:rsidRDefault="00415A8F" w:rsidP="0026029C">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6A41BE" w:rsidRPr="00400349">
        <w:rPr>
          <w:color w:val="auto"/>
        </w:rPr>
        <w:t xml:space="preserve">at </w:t>
      </w:r>
      <w:r w:rsidR="00563AFA" w:rsidRPr="00400349">
        <w:rPr>
          <w:color w:val="auto"/>
        </w:rPr>
        <w:t>703–</w:t>
      </w:r>
      <w:r w:rsidR="006A41BE" w:rsidRPr="00400349">
        <w:rPr>
          <w:color w:val="auto"/>
        </w:rPr>
        <w:t>704</w:t>
      </w:r>
      <w:r w:rsidR="0026029C" w:rsidRPr="00400349">
        <w:rPr>
          <w:color w:val="auto"/>
        </w:rPr>
        <w:t xml:space="preserve">; </w:t>
      </w:r>
      <w:r w:rsidR="00996004" w:rsidRPr="00400349">
        <w:rPr>
          <w:color w:val="auto"/>
        </w:rPr>
        <w:t>and</w:t>
      </w:r>
      <w:r w:rsidR="0026029C" w:rsidRPr="00400349">
        <w:rPr>
          <w:color w:val="auto"/>
        </w:rPr>
        <w:t xml:space="preserve"> </w:t>
      </w:r>
      <w:r w:rsidR="00996004" w:rsidRPr="00400349">
        <w:rPr>
          <w:color w:val="auto"/>
        </w:rPr>
        <w:t>William Young and Jacqui Caine</w:t>
      </w:r>
      <w:r w:rsidR="00996004" w:rsidRPr="00400349">
        <w:rPr>
          <w:i/>
          <w:iCs/>
          <w:color w:val="auto"/>
        </w:rPr>
        <w:t xml:space="preserve"> Hate speech and hate crime related legislation </w:t>
      </w:r>
      <w:r w:rsidR="00996004" w:rsidRPr="00400349">
        <w:rPr>
          <w:color w:val="auto"/>
        </w:rPr>
        <w:t>(Royal Commission of Inquiry into the terrorist attack on Christchurch masjidain on 15 March 2019, 26 November 2020) at 16–17.</w:t>
      </w:r>
    </w:p>
  </w:footnote>
  <w:footnote w:id="8">
    <w:p w14:paraId="4A9F86AD" w14:textId="77777777"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Letter from Hon Kiri Allan (Minister of Justice) to Amokura Kawharu (President of the Law Commission) regarding Te Aka Matua o </w:t>
      </w:r>
      <w:r w:rsidRPr="00400349" w:rsidDel="00143DF0">
        <w:rPr>
          <w:color w:val="auto"/>
        </w:rPr>
        <w:t>T</w:t>
      </w:r>
      <w:r w:rsidRPr="00400349">
        <w:rPr>
          <w:color w:val="auto"/>
        </w:rPr>
        <w:t xml:space="preserve">e Ture | The Law Commission’s 2022/2023 Work Programme (18 November 2022). </w:t>
      </w:r>
    </w:p>
  </w:footnote>
  <w:footnote w:id="9">
    <w:p w14:paraId="64FE823F" w14:textId="77777777"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Letter from Hon Paul Goldsmith (Minister of Justice) to Amokura Kawharu (President of the Law Commission) regarding The Law Commission’s 2023/2024 Work Programme (5 March 2024).</w:t>
      </w:r>
    </w:p>
  </w:footnote>
  <w:footnote w:id="10">
    <w:p w14:paraId="12D79E34" w14:textId="2176078A"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E60D8B" w:rsidRPr="00400349">
        <w:rPr>
          <w:color w:val="auto"/>
        </w:rPr>
        <w:t xml:space="preserve">United Nations </w:t>
      </w:r>
      <w:r w:rsidRPr="00400349">
        <w:rPr>
          <w:color w:val="auto"/>
        </w:rPr>
        <w:t xml:space="preserve">Committee on the Elimination of Racial Discrimination </w:t>
      </w:r>
      <w:r w:rsidRPr="00400349">
        <w:rPr>
          <w:i/>
          <w:color w:val="auto"/>
        </w:rPr>
        <w:t>Concluding observations on the twenty-third and twenty-fourth periodic reports of New Zealand</w:t>
      </w:r>
      <w:r w:rsidRPr="00400349">
        <w:rPr>
          <w:color w:val="auto"/>
        </w:rPr>
        <w:t xml:space="preserve"> CERD/C/NZL/CO/23-24 (</w:t>
      </w:r>
      <w:r w:rsidR="00871605" w:rsidRPr="00400349">
        <w:rPr>
          <w:color w:val="auto"/>
        </w:rPr>
        <w:t>19</w:t>
      </w:r>
      <w:r w:rsidRPr="00400349">
        <w:rPr>
          <w:color w:val="auto"/>
        </w:rPr>
        <w:t xml:space="preserve"> December 2025) at [22].</w:t>
      </w:r>
    </w:p>
  </w:footnote>
  <w:footnote w:id="11">
    <w:p w14:paraId="30665247" w14:textId="6CE7A3BB" w:rsidR="00CF58F3" w:rsidRPr="00400349" w:rsidRDefault="00CF58F3">
      <w:pPr>
        <w:pStyle w:val="FootnoteText"/>
      </w:pPr>
      <w:r w:rsidRPr="00400349">
        <w:rPr>
          <w:rStyle w:val="FootnoteReference"/>
        </w:rPr>
        <w:footnoteRef/>
      </w:r>
      <w:r w:rsidRPr="00400349">
        <w:t xml:space="preserve"> </w:t>
      </w:r>
      <w:r w:rsidRPr="00400349">
        <w:tab/>
        <w:t xml:space="preserve">See for example </w:t>
      </w:r>
      <w:r w:rsidR="005203E1" w:rsidRPr="00400349">
        <w:t>Home Office</w:t>
      </w:r>
      <w:r w:rsidR="005203E1" w:rsidRPr="00400349">
        <w:rPr>
          <w:i/>
        </w:rPr>
        <w:t xml:space="preserve"> </w:t>
      </w:r>
      <w:r w:rsidR="00733D22" w:rsidRPr="00400349">
        <w:t>“</w:t>
      </w:r>
      <w:r w:rsidR="00BF7227" w:rsidRPr="00400349">
        <w:t>Hate crime, England and Wales</w:t>
      </w:r>
      <w:r w:rsidR="00D409C7" w:rsidRPr="00400349">
        <w:t>, year ending March 2025</w:t>
      </w:r>
      <w:r w:rsidR="00733D22" w:rsidRPr="00400349">
        <w:t>”</w:t>
      </w:r>
      <w:r w:rsidR="00D409C7" w:rsidRPr="00400349">
        <w:rPr>
          <w:i/>
        </w:rPr>
        <w:t xml:space="preserve"> </w:t>
      </w:r>
      <w:r w:rsidR="00D409C7" w:rsidRPr="00400349">
        <w:t>(9 October 2025)</w:t>
      </w:r>
      <w:r w:rsidR="004738D9" w:rsidRPr="00400349">
        <w:t xml:space="preserve"> </w:t>
      </w:r>
      <w:r w:rsidR="00253FE7" w:rsidRPr="00400349">
        <w:t>&lt;www.gov.uk&gt;</w:t>
      </w:r>
      <w:r w:rsidR="00AF5F03" w:rsidRPr="00400349">
        <w:t>,</w:t>
      </w:r>
      <w:r w:rsidR="00D409C7" w:rsidRPr="00400349">
        <w:t xml:space="preserve"> which</w:t>
      </w:r>
      <w:r w:rsidR="00E840A9" w:rsidRPr="00400349">
        <w:t xml:space="preserve"> reports an increase in rac</w:t>
      </w:r>
      <w:r w:rsidR="009B49F1" w:rsidRPr="00400349">
        <w:t>ial</w:t>
      </w:r>
      <w:r w:rsidR="00E840A9" w:rsidRPr="00400349">
        <w:t xml:space="preserve"> and religious hate crimes, including a 19 per cent increase in religious hate crimes target</w:t>
      </w:r>
      <w:r w:rsidR="009B49F1" w:rsidRPr="00400349">
        <w:t>ing</w:t>
      </w:r>
      <w:r w:rsidR="00E840A9" w:rsidRPr="00400349">
        <w:t xml:space="preserve"> Muslims. </w:t>
      </w:r>
      <w:r w:rsidR="00724E16" w:rsidRPr="00400349">
        <w:t xml:space="preserve">Previous years observed a </w:t>
      </w:r>
      <w:r w:rsidR="00C31FCC" w:rsidRPr="00400349">
        <w:t>25 per cent increase in religious hate crimes, dri</w:t>
      </w:r>
      <w:r w:rsidR="00511669" w:rsidRPr="00400349">
        <w:t xml:space="preserve">ven by a rise in hate crimes against Jewish people: </w:t>
      </w:r>
      <w:r w:rsidR="00395961" w:rsidRPr="00400349">
        <w:t xml:space="preserve">Home Office </w:t>
      </w:r>
      <w:r w:rsidR="00721168" w:rsidRPr="00400349">
        <w:t>“</w:t>
      </w:r>
      <w:r w:rsidR="00395961" w:rsidRPr="00400349">
        <w:t>Hate crime, England and Wales, year ending March 2024</w:t>
      </w:r>
      <w:r w:rsidR="00DB656E" w:rsidRPr="00400349">
        <w:t>”</w:t>
      </w:r>
      <w:r w:rsidR="00395961" w:rsidRPr="00400349">
        <w:rPr>
          <w:i/>
        </w:rPr>
        <w:t xml:space="preserve"> </w:t>
      </w:r>
      <w:r w:rsidR="00395961" w:rsidRPr="00400349">
        <w:t>(10 October 2024)</w:t>
      </w:r>
      <w:r w:rsidR="003D16DB" w:rsidRPr="00400349">
        <w:t xml:space="preserve"> &lt;www</w:t>
      </w:r>
      <w:r w:rsidR="004F7962" w:rsidRPr="00400349">
        <w:t>.</w:t>
      </w:r>
      <w:r w:rsidR="0084393C" w:rsidRPr="00400349">
        <w:t>gov.uk&gt;</w:t>
      </w:r>
      <w:r w:rsidR="00395961" w:rsidRPr="00400349">
        <w:t xml:space="preserve">. </w:t>
      </w:r>
      <w:r w:rsidR="001909AB" w:rsidRPr="00400349">
        <w:t xml:space="preserve">In Australia, community organisations and researchers have also reported increases in some forms of </w:t>
      </w:r>
      <w:r w:rsidR="0029596C" w:rsidRPr="00400349">
        <w:t>hostility</w:t>
      </w:r>
      <w:r w:rsidR="001909AB" w:rsidRPr="00400349">
        <w:t xml:space="preserve">-motivated </w:t>
      </w:r>
      <w:r w:rsidR="00C02D72" w:rsidRPr="00400349">
        <w:t>incidents</w:t>
      </w:r>
      <w:r w:rsidR="001909AB" w:rsidRPr="00400349">
        <w:t xml:space="preserve">, particularly antisemitic and Islamophobic incidents: </w:t>
      </w:r>
      <w:r w:rsidR="00E33026" w:rsidRPr="00400349">
        <w:t xml:space="preserve">Human Rights Watch </w:t>
      </w:r>
      <w:r w:rsidR="00E82AA2" w:rsidRPr="00400349">
        <w:t>“</w:t>
      </w:r>
      <w:r w:rsidR="00E33026" w:rsidRPr="00400349">
        <w:t>Statement on Recent Hate Crimes in Australia</w:t>
      </w:r>
      <w:r w:rsidR="00E82AA2" w:rsidRPr="00400349">
        <w:t>”</w:t>
      </w:r>
      <w:r w:rsidR="00E33026" w:rsidRPr="00400349">
        <w:rPr>
          <w:i/>
        </w:rPr>
        <w:t xml:space="preserve"> </w:t>
      </w:r>
      <w:r w:rsidR="00E33026" w:rsidRPr="00400349">
        <w:t>(21 January 2025)</w:t>
      </w:r>
      <w:r w:rsidR="00E82AA2" w:rsidRPr="00400349">
        <w:t xml:space="preserve"> &lt;www.</w:t>
      </w:r>
      <w:r w:rsidR="00A25F37" w:rsidRPr="00400349">
        <w:t>hrw.org&gt;</w:t>
      </w:r>
      <w:r w:rsidR="00E33026" w:rsidRPr="00400349">
        <w:t xml:space="preserve">. </w:t>
      </w:r>
    </w:p>
  </w:footnote>
  <w:footnote w:id="12">
    <w:p w14:paraId="074711CD" w14:textId="684D2295" w:rsidR="00F22A61" w:rsidRPr="00400349" w:rsidRDefault="00F22A61">
      <w:pPr>
        <w:pStyle w:val="FootnoteText"/>
      </w:pPr>
      <w:r w:rsidRPr="00400349">
        <w:rPr>
          <w:rStyle w:val="FootnoteReference"/>
        </w:rPr>
        <w:footnoteRef/>
      </w:r>
      <w:r w:rsidRPr="00400349">
        <w:t xml:space="preserve"> </w:t>
      </w:r>
      <w:r w:rsidRPr="00400349">
        <w:tab/>
      </w:r>
      <w:r w:rsidR="00E220AC" w:rsidRPr="00400349">
        <w:t>Other examples include</w:t>
      </w:r>
      <w:r w:rsidR="00B557B6" w:rsidRPr="00400349">
        <w:t xml:space="preserve"> the </w:t>
      </w:r>
      <w:r w:rsidR="00312939" w:rsidRPr="00400349">
        <w:t xml:space="preserve">2022 </w:t>
      </w:r>
      <w:r w:rsidR="00C2690B" w:rsidRPr="00400349">
        <w:t xml:space="preserve">Buffalo, New York mass shooting incident targeting </w:t>
      </w:r>
      <w:r w:rsidR="0025319E" w:rsidRPr="00400349">
        <w:t>Black</w:t>
      </w:r>
      <w:r w:rsidR="001F737C" w:rsidRPr="00400349">
        <w:t xml:space="preserve"> </w:t>
      </w:r>
      <w:r w:rsidR="00C2690B" w:rsidRPr="00400349">
        <w:t xml:space="preserve">Americans and the </w:t>
      </w:r>
      <w:r w:rsidR="0007404E" w:rsidRPr="00400349">
        <w:t xml:space="preserve">2018 Tree of Life Synagogue shooting in Pittsburgh, </w:t>
      </w:r>
      <w:r w:rsidR="00805E48" w:rsidRPr="00400349">
        <w:t>Pennsylvani</w:t>
      </w:r>
      <w:r w:rsidR="0023389F" w:rsidRPr="00400349">
        <w:t>a</w:t>
      </w:r>
      <w:r w:rsidR="00BE3E53" w:rsidRPr="00400349">
        <w:t xml:space="preserve">. Additionally, an increase in </w:t>
      </w:r>
      <w:r w:rsidR="006909D0" w:rsidRPr="00400349">
        <w:t xml:space="preserve">antisemitic and Islamophobic incidents </w:t>
      </w:r>
      <w:r w:rsidR="00BE3E53" w:rsidRPr="00400349">
        <w:t>was reported</w:t>
      </w:r>
      <w:r w:rsidR="006909D0" w:rsidRPr="00400349">
        <w:t xml:space="preserve"> in several jurisdictions </w:t>
      </w:r>
      <w:r w:rsidR="00EE6121" w:rsidRPr="00400349">
        <w:t>following major international conflicts and political events</w:t>
      </w:r>
      <w:r w:rsidR="00026425" w:rsidRPr="00400349">
        <w:t>.</w:t>
      </w:r>
      <w:r w:rsidR="00EE6121" w:rsidRPr="00400349">
        <w:t xml:space="preserve"> </w:t>
      </w:r>
      <w:r w:rsidR="00026425" w:rsidRPr="00400349">
        <w:t>F</w:t>
      </w:r>
      <w:r w:rsidR="00EE6121" w:rsidRPr="00400349">
        <w:t xml:space="preserve">or example, the UK Home Office attributed </w:t>
      </w:r>
      <w:r w:rsidR="00965529" w:rsidRPr="00400349">
        <w:t>a 25 per cent increase in religious hate crimes in 202</w:t>
      </w:r>
      <w:r w:rsidR="00AD2ECF" w:rsidRPr="00400349">
        <w:t>4 to the beginning of the Israel-Hamas conflict</w:t>
      </w:r>
      <w:r w:rsidR="001B57B8" w:rsidRPr="00400349">
        <w:t xml:space="preserve">: </w:t>
      </w:r>
      <w:r w:rsidR="00BE4BB9" w:rsidRPr="00400349">
        <w:t xml:space="preserve">Home Office </w:t>
      </w:r>
      <w:r w:rsidR="007B1E3E" w:rsidRPr="00400349">
        <w:t>“</w:t>
      </w:r>
      <w:r w:rsidR="00BE4BB9" w:rsidRPr="00400349">
        <w:t>Hate crime, England and Wales, year ending March 2024</w:t>
      </w:r>
      <w:r w:rsidR="007B1E3E" w:rsidRPr="00400349">
        <w:t>”</w:t>
      </w:r>
      <w:r w:rsidR="00BE4BB9" w:rsidRPr="00400349">
        <w:rPr>
          <w:i/>
        </w:rPr>
        <w:t xml:space="preserve"> </w:t>
      </w:r>
      <w:r w:rsidR="00BE4BB9" w:rsidRPr="00400349">
        <w:t>(10 October 2024)</w:t>
      </w:r>
      <w:r w:rsidR="007B1E3E" w:rsidRPr="00400349">
        <w:t xml:space="preserve"> &lt;</w:t>
      </w:r>
      <w:r w:rsidR="004921C7" w:rsidRPr="00400349">
        <w:t>www.gov.uk</w:t>
      </w:r>
      <w:r w:rsidR="007B1E3E" w:rsidRPr="00400349">
        <w:t>&gt;</w:t>
      </w:r>
      <w:r w:rsidR="00561EE2" w:rsidRPr="00400349">
        <w:t>.</w:t>
      </w:r>
      <w:r w:rsidR="00312939" w:rsidRPr="00400349">
        <w:t xml:space="preserve"> </w:t>
      </w:r>
      <w:r w:rsidR="00561EE2" w:rsidRPr="00400349">
        <w:t xml:space="preserve">It also observed </w:t>
      </w:r>
      <w:r w:rsidR="007A3DC8" w:rsidRPr="00400349">
        <w:t>a 19 per cent increase in religious hate crimes target</w:t>
      </w:r>
      <w:r w:rsidR="00ED4B3C" w:rsidRPr="00400349">
        <w:t>ing</w:t>
      </w:r>
      <w:r w:rsidR="007A3DC8" w:rsidRPr="00400349">
        <w:t xml:space="preserve"> Muslims </w:t>
      </w:r>
      <w:r w:rsidR="00EB057D" w:rsidRPr="00400349">
        <w:t>“</w:t>
      </w:r>
      <w:r w:rsidR="00312939" w:rsidRPr="00400349">
        <w:t>spiking</w:t>
      </w:r>
      <w:r w:rsidR="00EB057D" w:rsidRPr="00400349">
        <w:t>”</w:t>
      </w:r>
      <w:r w:rsidR="00312939" w:rsidRPr="00400349">
        <w:t xml:space="preserve"> </w:t>
      </w:r>
      <w:r w:rsidR="00AF53AA" w:rsidRPr="00400349">
        <w:t>around the time of the Southport murders and subsequen</w:t>
      </w:r>
      <w:r w:rsidR="00D11CA4" w:rsidRPr="00400349">
        <w:t>t disorder</w:t>
      </w:r>
      <w:r w:rsidR="007B1E3E" w:rsidRPr="00400349">
        <w:t>.</w:t>
      </w:r>
      <w:r w:rsidR="00D11CA4" w:rsidRPr="00400349">
        <w:t xml:space="preserve"> </w:t>
      </w:r>
    </w:p>
  </w:footnote>
  <w:footnote w:id="13">
    <w:p w14:paraId="494203D0" w14:textId="0412E483" w:rsidR="00CA63CF" w:rsidRDefault="00CA63CF">
      <w:pPr>
        <w:pStyle w:val="FootnoteText"/>
      </w:pPr>
      <w:r>
        <w:rPr>
          <w:rStyle w:val="FootnoteReference"/>
        </w:rPr>
        <w:footnoteRef/>
      </w:r>
      <w:r>
        <w:t xml:space="preserve"> </w:t>
      </w:r>
      <w:r>
        <w:tab/>
      </w:r>
      <w:r w:rsidRPr="00400349">
        <w:t xml:space="preserve">See for example European Union Agency for Fundamental Rights </w:t>
      </w:r>
      <w:r w:rsidRPr="00400349">
        <w:rPr>
          <w:i/>
        </w:rPr>
        <w:t xml:space="preserve">Encouraging hate crime reporting: The role of law enforcement and other agencies </w:t>
      </w:r>
      <w:r w:rsidRPr="00400349">
        <w:t>(2021) at 15.</w:t>
      </w:r>
    </w:p>
  </w:footnote>
  <w:footnote w:id="14">
    <w:p w14:paraId="74DCF945" w14:textId="77777777"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Law Commission Act 1985, s 5(2)(a).</w:t>
      </w:r>
    </w:p>
  </w:footnote>
  <w:footnote w:id="15">
    <w:p w14:paraId="5C53B7BD" w14:textId="646D1BD3"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F70757" w:rsidRPr="00400349">
        <w:rPr>
          <w:color w:val="auto"/>
        </w:rPr>
        <w:t>Section</w:t>
      </w:r>
      <w:r w:rsidRPr="00400349">
        <w:rPr>
          <w:color w:val="auto"/>
        </w:rPr>
        <w:t xml:space="preserve"> 5(2)(b).</w:t>
      </w:r>
      <w:r w:rsidR="00506592" w:rsidRPr="00400349">
        <w:rPr>
          <w:color w:val="auto"/>
        </w:rPr>
        <w:t xml:space="preserve"> See also</w:t>
      </w:r>
      <w:r w:rsidR="008A67EA" w:rsidRPr="00400349">
        <w:rPr>
          <w:color w:val="auto"/>
        </w:rPr>
        <w:t xml:space="preserve"> Regulatory Standards Act 2025, s</w:t>
      </w:r>
      <w:r w:rsidR="006A3E89" w:rsidRPr="00400349">
        <w:rPr>
          <w:color w:val="auto"/>
        </w:rPr>
        <w:t xml:space="preserve"> 9(a)(i).</w:t>
      </w:r>
    </w:p>
  </w:footnote>
  <w:footnote w:id="16">
    <w:p w14:paraId="12BCA840" w14:textId="5DF83014"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Human Rights Act 1993, s 131. See also s 61, which imposes civil liability.</w:t>
      </w:r>
    </w:p>
  </w:footnote>
  <w:footnote w:id="17">
    <w:p w14:paraId="6A8F69E0" w14:textId="64F5469B"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William Young and Jacqui Caine </w:t>
      </w:r>
      <w:r w:rsidRPr="00400349">
        <w:rPr>
          <w:i/>
          <w:color w:val="auto"/>
        </w:rPr>
        <w:t>Ko tō tātou kāinga tēnei: Report of the Royal Commission of Inquiry into the terrorist attack on Christchurch masjidain on 15 March 2019</w:t>
      </w:r>
      <w:r w:rsidRPr="00400349">
        <w:rPr>
          <w:color w:val="auto"/>
        </w:rPr>
        <w:t xml:space="preserve"> (26 November 2020) at 763 (recommendation 40).</w:t>
      </w:r>
    </w:p>
  </w:footnote>
  <w:footnote w:id="18">
    <w:p w14:paraId="1ADDB348" w14:textId="65E30B67"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B0334B" w:rsidRPr="00400349">
        <w:rPr>
          <w:color w:val="auto"/>
        </w:rPr>
        <w:t xml:space="preserve">United Nations </w:t>
      </w:r>
      <w:r w:rsidRPr="00400349">
        <w:rPr>
          <w:color w:val="auto"/>
        </w:rPr>
        <w:t xml:space="preserve">Committee on the Elimination of Racial Discrimination </w:t>
      </w:r>
      <w:r w:rsidRPr="00400349">
        <w:rPr>
          <w:i/>
          <w:color w:val="auto"/>
        </w:rPr>
        <w:t xml:space="preserve">Concluding observations on the </w:t>
      </w:r>
      <w:r w:rsidR="009C20BD" w:rsidRPr="00400349">
        <w:rPr>
          <w:i/>
          <w:color w:val="auto"/>
        </w:rPr>
        <w:t>combined</w:t>
      </w:r>
      <w:r w:rsidRPr="00400349">
        <w:rPr>
          <w:i/>
          <w:color w:val="auto"/>
        </w:rPr>
        <w:t xml:space="preserve"> twenty-third and twenty-fourth periodic reports of New Zealand</w:t>
      </w:r>
      <w:r w:rsidRPr="00400349">
        <w:rPr>
          <w:color w:val="auto"/>
        </w:rPr>
        <w:t xml:space="preserve"> CERD/C/NZL/CO/23-24 (</w:t>
      </w:r>
      <w:r w:rsidR="009C20BD" w:rsidRPr="00400349">
        <w:rPr>
          <w:color w:val="auto"/>
        </w:rPr>
        <w:t>19</w:t>
      </w:r>
      <w:r w:rsidRPr="00400349">
        <w:rPr>
          <w:color w:val="auto"/>
        </w:rPr>
        <w:t xml:space="preserve"> December 2025) at [22(f)</w:t>
      </w:r>
      <w:r w:rsidR="00535229" w:rsidRPr="00400349">
        <w:rPr>
          <w:color w:val="auto"/>
        </w:rPr>
        <w:t>]</w:t>
      </w:r>
      <w:r w:rsidRPr="00400349">
        <w:rPr>
          <w:color w:val="auto"/>
        </w:rPr>
        <w:t>.</w:t>
      </w:r>
    </w:p>
  </w:footnote>
  <w:footnote w:id="19">
    <w:p w14:paraId="4633A321" w14:textId="280A4496"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For example, the Christchurch terror attack was also treated as a hate crime at sentencing: </w:t>
      </w:r>
      <w:r w:rsidRPr="00400349">
        <w:rPr>
          <w:i/>
          <w:color w:val="auto"/>
        </w:rPr>
        <w:t>R v Tarrant</w:t>
      </w:r>
      <w:r w:rsidRPr="00400349">
        <w:rPr>
          <w:color w:val="auto"/>
        </w:rPr>
        <w:t xml:space="preserve"> [2020] NZHC 2192, [2020] 3 NZLR 15 at [15</w:t>
      </w:r>
      <w:r w:rsidR="0096256E" w:rsidRPr="00400349">
        <w:rPr>
          <w:color w:val="auto"/>
        </w:rPr>
        <w:t>6</w:t>
      </w:r>
      <w:r w:rsidRPr="00400349">
        <w:rPr>
          <w:color w:val="auto"/>
        </w:rPr>
        <w:t xml:space="preserve">]–[157]. </w:t>
      </w:r>
    </w:p>
  </w:footnote>
  <w:footnote w:id="20">
    <w:p w14:paraId="4605F7E3" w14:textId="56D5A1B0"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8629F4" w:rsidRPr="00400349">
        <w:rPr>
          <w:color w:val="auto"/>
        </w:rPr>
        <w:t>, pt 8</w:t>
      </w:r>
      <w:r w:rsidRPr="00400349">
        <w:rPr>
          <w:color w:val="auto"/>
        </w:rPr>
        <w:t>.</w:t>
      </w:r>
    </w:p>
  </w:footnote>
  <w:footnote w:id="21">
    <w:p w14:paraId="6E03A391" w14:textId="11D5E386" w:rsidR="00415A8F" w:rsidRPr="00400349" w:rsidDel="00060B47" w:rsidRDefault="00415A8F" w:rsidP="00415A8F">
      <w:pPr>
        <w:pStyle w:val="FootnoteText"/>
        <w:rPr>
          <w:color w:val="auto"/>
        </w:rPr>
      </w:pPr>
      <w:r w:rsidRPr="00400349" w:rsidDel="00060B47">
        <w:rPr>
          <w:rStyle w:val="FootnoteReference"/>
          <w:color w:val="auto"/>
        </w:rPr>
        <w:footnoteRef/>
      </w:r>
      <w:r w:rsidRPr="00400349" w:rsidDel="00060B47">
        <w:rPr>
          <w:color w:val="auto"/>
        </w:rPr>
        <w:t xml:space="preserve"> </w:t>
      </w:r>
      <w:r w:rsidRPr="00400349" w:rsidDel="00060B47">
        <w:rPr>
          <w:color w:val="auto"/>
        </w:rPr>
        <w:tab/>
      </w:r>
      <w:r w:rsidR="004921C7" w:rsidRPr="00400349">
        <w:rPr>
          <w:color w:val="auto"/>
        </w:rPr>
        <w:t>At</w:t>
      </w:r>
      <w:r w:rsidR="00EB2CD9" w:rsidRPr="00400349">
        <w:rPr>
          <w:color w:val="auto"/>
        </w:rPr>
        <w:t xml:space="preserve"> </w:t>
      </w:r>
      <w:r w:rsidRPr="00400349">
        <w:rPr>
          <w:color w:val="auto"/>
        </w:rPr>
        <w:t>377.</w:t>
      </w:r>
    </w:p>
  </w:footnote>
  <w:footnote w:id="22">
    <w:p w14:paraId="1CA6E54B" w14:textId="73BE2459"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 xml:space="preserve">Hara ngākau kino | Hate crime: Consultation </w:t>
      </w:r>
      <w:r w:rsidR="003817F6" w:rsidRPr="00400349">
        <w:rPr>
          <w:i/>
          <w:color w:val="auto"/>
        </w:rPr>
        <w:t>Paper</w:t>
      </w:r>
      <w:r w:rsidR="003817F6" w:rsidRPr="00400349">
        <w:rPr>
          <w:color w:val="auto"/>
        </w:rPr>
        <w:t xml:space="preserve"> (NZLC IP55, 2025) (Consultation Paper)</w:t>
      </w:r>
      <w:r w:rsidR="008A7AB3" w:rsidRPr="00400349">
        <w:rPr>
          <w:color w:val="auto"/>
        </w:rPr>
        <w:t xml:space="preserve">. </w:t>
      </w:r>
    </w:p>
  </w:footnote>
  <w:footnote w:id="23">
    <w:p w14:paraId="49B72C36" w14:textId="608572DA"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8A7AB3" w:rsidRPr="00400349">
        <w:rPr>
          <w:color w:val="auto"/>
        </w:rPr>
        <w:t>P</w:t>
      </w:r>
      <w:r w:rsidRPr="00400349">
        <w:rPr>
          <w:color w:val="auto"/>
        </w:rPr>
        <w:t>aper, ch 7.</w:t>
      </w:r>
    </w:p>
  </w:footnote>
  <w:footnote w:id="24">
    <w:p w14:paraId="1327F5C7" w14:textId="2B1D7060" w:rsidR="00415A8F" w:rsidRPr="00400349" w:rsidRDefault="00415A8F" w:rsidP="00415A8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8A7AB3" w:rsidRPr="00400349">
        <w:rPr>
          <w:color w:val="auto"/>
        </w:rPr>
        <w:t>P</w:t>
      </w:r>
      <w:r w:rsidRPr="00400349">
        <w:rPr>
          <w:color w:val="auto"/>
        </w:rPr>
        <w:t>aper, ch 8.</w:t>
      </w:r>
    </w:p>
  </w:footnote>
  <w:footnote w:id="25">
    <w:p w14:paraId="662D8DE4" w14:textId="19575DD1"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Jennifer Schweppe “What is a hate crime?” (2021) 7(1) Cogent Soc Sci at 1 and 5–6. </w:t>
      </w:r>
    </w:p>
  </w:footnote>
  <w:footnote w:id="26">
    <w:p w14:paraId="04970059" w14:textId="5996CCBE"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w:t>
      </w:r>
      <w:r w:rsidRPr="00400349">
        <w:rPr>
          <w:i/>
          <w:color w:val="auto"/>
        </w:rPr>
        <w:t xml:space="preserve">Hessell v R </w:t>
      </w:r>
      <w:r w:rsidRPr="00400349">
        <w:rPr>
          <w:color w:val="auto"/>
        </w:rPr>
        <w:t xml:space="preserve">[2010] NZSC 135, [2011] 1 NZLR 607 at [37]–[44]; and </w:t>
      </w:r>
      <w:r w:rsidRPr="00400349">
        <w:rPr>
          <w:i/>
          <w:color w:val="auto"/>
        </w:rPr>
        <w:t xml:space="preserve">Arps v Police </w:t>
      </w:r>
      <w:r w:rsidRPr="00400349">
        <w:rPr>
          <w:color w:val="auto"/>
        </w:rPr>
        <w:t xml:space="preserve">[2019] NZCA 592, [2020] 2 NZLR 94 at [50] (in relation to the </w:t>
      </w:r>
      <w:r w:rsidR="00255A4A" w:rsidRPr="00400349">
        <w:rPr>
          <w:color w:val="auto"/>
        </w:rPr>
        <w:t>hostility</w:t>
      </w:r>
      <w:r w:rsidRPr="00400349">
        <w:rPr>
          <w:color w:val="auto"/>
        </w:rPr>
        <w:t xml:space="preserve"> aggravating factor specifically). </w:t>
      </w:r>
    </w:p>
  </w:footnote>
  <w:footnote w:id="27">
    <w:p w14:paraId="67F60B51"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Crimes Act 1961, s 189(2).</w:t>
      </w:r>
    </w:p>
  </w:footnote>
  <w:footnote w:id="28">
    <w:p w14:paraId="651D0567"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Te Aka Matua o te Ture | Law Commission</w:t>
      </w:r>
      <w:r w:rsidRPr="00400349">
        <w:rPr>
          <w:rFonts w:ascii="Calibri" w:hAnsi="Calibri" w:cs="Calibri"/>
          <w:color w:val="auto"/>
        </w:rPr>
        <w:t> </w:t>
      </w:r>
      <w:r w:rsidRPr="00400349">
        <w:rPr>
          <w:i/>
          <w:color w:val="auto"/>
        </w:rPr>
        <w:t>Maximum penalties for criminal offences</w:t>
      </w:r>
      <w:r w:rsidRPr="00400349">
        <w:rPr>
          <w:rFonts w:ascii="Calibri" w:hAnsi="Calibri" w:cs="Calibri"/>
          <w:color w:val="auto"/>
        </w:rPr>
        <w:t> </w:t>
      </w:r>
      <w:r w:rsidRPr="00400349">
        <w:rPr>
          <w:color w:val="auto"/>
        </w:rPr>
        <w:t>(NZLC SP21, 2013)</w:t>
      </w:r>
      <w:r w:rsidRPr="00400349">
        <w:rPr>
          <w:rFonts w:ascii="Calibri" w:hAnsi="Calibri" w:cs="Calibri"/>
          <w:color w:val="auto"/>
        </w:rPr>
        <w:t> </w:t>
      </w:r>
      <w:r w:rsidRPr="00400349">
        <w:rPr>
          <w:color w:val="auto"/>
        </w:rPr>
        <w:t>at [4.17].</w:t>
      </w:r>
    </w:p>
  </w:footnote>
  <w:footnote w:id="29">
    <w:p w14:paraId="25653E99" w14:textId="18ABCAEE"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Crimes Act, s 172; and Sentencing Act 2002, s 102(1).</w:t>
      </w:r>
    </w:p>
  </w:footnote>
  <w:footnote w:id="30">
    <w:p w14:paraId="381F48ED" w14:textId="275746D5"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103.</w:t>
      </w:r>
    </w:p>
  </w:footnote>
  <w:footnote w:id="31">
    <w:p w14:paraId="233D81AB" w14:textId="4D62E3D3"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Parole Act 2002, ss 20–21. Offenders sentenced to life imprisonment who are released on parole remain subject to parole conditions for their whole life (s 29(4)(b)) and may be recalled to prison</w:t>
      </w:r>
      <w:r w:rsidR="00E864B1" w:rsidRPr="00400349">
        <w:rPr>
          <w:color w:val="auto"/>
        </w:rPr>
        <w:t xml:space="preserve"> </w:t>
      </w:r>
      <w:r w:rsidRPr="00400349">
        <w:rPr>
          <w:color w:val="auto"/>
        </w:rPr>
        <w:t>(</w:t>
      </w:r>
      <w:r w:rsidR="005F5605">
        <w:rPr>
          <w:color w:val="auto"/>
        </w:rPr>
        <w:t xml:space="preserve">on </w:t>
      </w:r>
      <w:r w:rsidR="00E864B1" w:rsidRPr="00400349">
        <w:rPr>
          <w:color w:val="auto"/>
        </w:rPr>
        <w:t>the grounds set out in s</w:t>
      </w:r>
      <w:r w:rsidR="00312CF9">
        <w:rPr>
          <w:rFonts w:ascii="Calibri" w:hAnsi="Calibri" w:cs="Calibri"/>
          <w:color w:val="auto"/>
        </w:rPr>
        <w:t> </w:t>
      </w:r>
      <w:r w:rsidR="00E864B1" w:rsidRPr="00400349">
        <w:rPr>
          <w:color w:val="auto"/>
        </w:rPr>
        <w:t>61).</w:t>
      </w:r>
      <w:r w:rsidRPr="00400349">
        <w:rPr>
          <w:color w:val="auto"/>
        </w:rPr>
        <w:t xml:space="preserve"> </w:t>
      </w:r>
    </w:p>
  </w:footnote>
  <w:footnote w:id="32">
    <w:p w14:paraId="09A4413C" w14:textId="26B64C35"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103(2).</w:t>
      </w:r>
    </w:p>
  </w:footnote>
  <w:footnote w:id="33">
    <w:p w14:paraId="7D67528A" w14:textId="6B2C838B"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4921C7" w:rsidRPr="00400349">
        <w:rPr>
          <w:color w:val="auto"/>
        </w:rPr>
        <w:t>Section</w:t>
      </w:r>
      <w:r w:rsidRPr="00400349">
        <w:rPr>
          <w:color w:val="auto"/>
        </w:rPr>
        <w:t xml:space="preserve"> 104.</w:t>
      </w:r>
    </w:p>
  </w:footnote>
  <w:footnote w:id="34">
    <w:p w14:paraId="7FD67DBA" w14:textId="30CFC65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Flewellen</w:t>
      </w:r>
      <w:r w:rsidRPr="00400349">
        <w:rPr>
          <w:color w:val="auto"/>
        </w:rPr>
        <w:t xml:space="preserve"> HC Christchurch CRI-2008-042-2328, 29 April 2010 at [3]–[4]. The defendant was sentenced to an MPI of 16 years and three months after applying a guilty plea discount (at [8] and [10]). See also </w:t>
      </w:r>
      <w:r w:rsidRPr="00400349">
        <w:rPr>
          <w:i/>
          <w:color w:val="auto"/>
        </w:rPr>
        <w:t xml:space="preserve">R v McKenzie </w:t>
      </w:r>
      <w:r w:rsidRPr="00400349">
        <w:rPr>
          <w:color w:val="auto"/>
        </w:rPr>
        <w:t xml:space="preserve">HC Greymouth CRI 2008-018-981, 5 December 2008, where Flewellen’s co-defendant was sentenced to an MPI of 21 years’ imprisonment. </w:t>
      </w:r>
      <w:r w:rsidR="009B5597">
        <w:rPr>
          <w:color w:val="auto"/>
        </w:rPr>
        <w:t>H</w:t>
      </w:r>
      <w:r w:rsidR="00C71EFA" w:rsidRPr="00400349">
        <w:rPr>
          <w:color w:val="auto"/>
        </w:rPr>
        <w:t xml:space="preserve">ostile </w:t>
      </w:r>
      <w:r w:rsidRPr="00400349">
        <w:rPr>
          <w:color w:val="auto"/>
        </w:rPr>
        <w:t>motivation was treated as a significant factor (at [15]–[17] and [21]).</w:t>
      </w:r>
    </w:p>
  </w:footnote>
  <w:footnote w:id="35">
    <w:p w14:paraId="62A243AD" w14:textId="5A0BA276"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103(2A).</w:t>
      </w:r>
    </w:p>
  </w:footnote>
  <w:footnote w:id="36">
    <w:p w14:paraId="060B2E79"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Tarrant</w:t>
      </w:r>
      <w:r w:rsidRPr="00400349">
        <w:rPr>
          <w:color w:val="auto"/>
        </w:rPr>
        <w:t xml:space="preserve"> [2020] NZHC 2192, [2020] 3 NZLR 15 at [133].</w:t>
      </w:r>
    </w:p>
  </w:footnote>
  <w:footnote w:id="37">
    <w:p w14:paraId="76029DA3" w14:textId="32B7D7B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4921C7" w:rsidRPr="00400349">
        <w:rPr>
          <w:color w:val="auto"/>
        </w:rPr>
        <w:t>At</w:t>
      </w:r>
      <w:r w:rsidRPr="00400349">
        <w:rPr>
          <w:color w:val="auto"/>
        </w:rPr>
        <w:t xml:space="preserve"> [145], [156] and [179].</w:t>
      </w:r>
    </w:p>
  </w:footnote>
  <w:footnote w:id="38">
    <w:p w14:paraId="5D667392" w14:textId="020E5960"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Some commentators have suggested that hate crime is not a new phenomenon in Aotearoa New Zealand and that the killing of Ngāti Oneone </w:t>
      </w:r>
      <w:r w:rsidR="00BA13B8">
        <w:rPr>
          <w:color w:val="auto"/>
        </w:rPr>
        <w:t>r</w:t>
      </w:r>
      <w:r w:rsidRPr="00400349">
        <w:rPr>
          <w:color w:val="auto"/>
        </w:rPr>
        <w:t xml:space="preserve">angatira Te Maro by an </w:t>
      </w:r>
      <w:r w:rsidRPr="0055105E">
        <w:rPr>
          <w:i/>
          <w:color w:val="auto"/>
        </w:rPr>
        <w:t>Endeavour</w:t>
      </w:r>
      <w:r w:rsidRPr="00400349">
        <w:rPr>
          <w:color w:val="auto"/>
        </w:rPr>
        <w:t xml:space="preserve"> crew member on 9 October 1769 was the first recorded race-based violent crime in Aotearoa New Zealand: Tina Ngata, Arama Rata and Dilwin Santos “Race-Based Hate Crime in Aotearoa” (2021) 10(2) MAI J 207 at 209. </w:t>
      </w:r>
    </w:p>
  </w:footnote>
  <w:footnote w:id="39">
    <w:p w14:paraId="3E6C7D88"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Kāhui Tika Tangata | Human Rights Commission </w:t>
      </w:r>
      <w:r w:rsidRPr="00400349">
        <w:rPr>
          <w:i/>
          <w:color w:val="auto"/>
        </w:rPr>
        <w:t xml:space="preserve">It Happened Here: Reports of race and religious hate crime in New Zealand 2004-2012 </w:t>
      </w:r>
      <w:r w:rsidRPr="00400349">
        <w:rPr>
          <w:color w:val="auto"/>
        </w:rPr>
        <w:t xml:space="preserve">(June 2019) at 1. </w:t>
      </w:r>
    </w:p>
  </w:footnote>
  <w:footnote w:id="40">
    <w:p w14:paraId="6318ADE9" w14:textId="77B5CC64"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868F5">
        <w:rPr>
          <w:color w:val="auto"/>
        </w:rPr>
        <w:t>At</w:t>
      </w:r>
      <w:r w:rsidRPr="00400349">
        <w:rPr>
          <w:color w:val="auto"/>
        </w:rPr>
        <w:t xml:space="preserve"> 1.</w:t>
      </w:r>
    </w:p>
  </w:footnote>
  <w:footnote w:id="41">
    <w:p w14:paraId="44D4A5E0" w14:textId="7A53EAC5"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 more detailed summary of the available Police data can be found in our Consultation Paper: Te Aka Matua o te Ture | Law Commission </w:t>
      </w:r>
      <w:r w:rsidRPr="00400349">
        <w:rPr>
          <w:i/>
          <w:color w:val="auto"/>
        </w:rPr>
        <w:t xml:space="preserve">Hara ngākau kino | Hate crime: Consultation </w:t>
      </w:r>
      <w:r w:rsidR="00D24387" w:rsidRPr="00400349">
        <w:rPr>
          <w:i/>
          <w:color w:val="auto"/>
        </w:rPr>
        <w:t>Paper</w:t>
      </w:r>
      <w:r w:rsidR="00D24387" w:rsidRPr="00400349">
        <w:rPr>
          <w:color w:val="auto"/>
        </w:rPr>
        <w:t xml:space="preserve"> (NZLC IP55, 2025) (Consultation Paper) </w:t>
      </w:r>
      <w:r w:rsidR="0084048F" w:rsidRPr="00400349">
        <w:rPr>
          <w:color w:val="auto"/>
        </w:rPr>
        <w:t xml:space="preserve">at [2.13]–[2.20]. </w:t>
      </w:r>
    </w:p>
  </w:footnote>
  <w:footnote w:id="42">
    <w:p w14:paraId="2CEC613C" w14:textId="39F4389D"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w:t>
      </w:r>
      <w:r w:rsidR="00E23D41" w:rsidRPr="00400349">
        <w:rPr>
          <w:color w:val="auto"/>
        </w:rPr>
        <w:t>1</w:t>
      </w:r>
      <w:r w:rsidR="00EB2CD9" w:rsidRPr="00400349">
        <w:rPr>
          <w:color w:val="auto"/>
        </w:rPr>
        <w:t>4</w:t>
      </w:r>
      <w:r w:rsidR="00DB6490" w:rsidRPr="00400349">
        <w:rPr>
          <w:color w:val="auto"/>
        </w:rPr>
        <w:t>.</w:t>
      </w:r>
    </w:p>
  </w:footnote>
  <w:footnote w:id="43">
    <w:p w14:paraId="77CB6F8A" w14:textId="37B35BDF" w:rsidR="002D3CF0" w:rsidRPr="00400349" w:rsidRDefault="002D3CF0">
      <w:pPr>
        <w:pStyle w:val="FootnoteText"/>
      </w:pPr>
      <w:r w:rsidRPr="00400349">
        <w:rPr>
          <w:rStyle w:val="FootnoteReference"/>
        </w:rPr>
        <w:footnoteRef/>
      </w:r>
      <w:r w:rsidRPr="00400349">
        <w:t xml:space="preserve"> </w:t>
      </w:r>
      <w:r w:rsidRPr="00400349">
        <w:tab/>
      </w:r>
      <w:r w:rsidR="000A6A51" w:rsidRPr="00400349">
        <w:t xml:space="preserve">The most recent </w:t>
      </w:r>
      <w:r w:rsidR="00114038" w:rsidRPr="00400349">
        <w:t xml:space="preserve">survey cycle results can be found at </w:t>
      </w:r>
      <w:r w:rsidRPr="00400349">
        <w:rPr>
          <w:color w:val="auto"/>
        </w:rPr>
        <w:t xml:space="preserve">Te Tāhū o te Ture | Ministry of Justice </w:t>
      </w:r>
      <w:r w:rsidR="00D03B81" w:rsidRPr="00400349">
        <w:rPr>
          <w:color w:val="auto"/>
        </w:rPr>
        <w:t>“</w:t>
      </w:r>
      <w:r w:rsidRPr="00400349">
        <w:rPr>
          <w:color w:val="auto"/>
        </w:rPr>
        <w:t xml:space="preserve">NZCVS </w:t>
      </w:r>
      <w:r w:rsidR="00B352A2" w:rsidRPr="00400349">
        <w:rPr>
          <w:color w:val="auto"/>
        </w:rPr>
        <w:t xml:space="preserve">Cycle </w:t>
      </w:r>
      <w:r w:rsidR="00C24A92" w:rsidRPr="00400349">
        <w:rPr>
          <w:color w:val="auto"/>
        </w:rPr>
        <w:t>8 resources and results”</w:t>
      </w:r>
      <w:r w:rsidR="00501B7B" w:rsidRPr="00400349">
        <w:rPr>
          <w:color w:val="auto"/>
        </w:rPr>
        <w:t xml:space="preserve"> &lt;www.justice.govt.nz&gt;</w:t>
      </w:r>
      <w:r w:rsidR="00114038" w:rsidRPr="00400349">
        <w:rPr>
          <w:color w:val="auto"/>
        </w:rPr>
        <w:t xml:space="preserve">. </w:t>
      </w:r>
    </w:p>
  </w:footnote>
  <w:footnote w:id="44">
    <w:p w14:paraId="57F445BB" w14:textId="4D1C8B62"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Sanjana Hattotuwa; </w:t>
      </w:r>
      <w:r w:rsidR="00F45166" w:rsidRPr="00400349">
        <w:rPr>
          <w:color w:val="auto"/>
        </w:rPr>
        <w:t xml:space="preserve">and </w:t>
      </w:r>
      <w:r w:rsidRPr="00400349">
        <w:rPr>
          <w:color w:val="auto"/>
        </w:rPr>
        <w:t xml:space="preserve">Dr Chris Wilson. </w:t>
      </w:r>
    </w:p>
  </w:footnote>
  <w:footnote w:id="45">
    <w:p w14:paraId="5123FE42" w14:textId="0528B1BA"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George Balani; Kevin Bird; Destiny Church New Zealand; Free Speech Union; Submission 72; </w:t>
      </w:r>
      <w:r w:rsidR="00F45166" w:rsidRPr="00400349">
        <w:rPr>
          <w:color w:val="auto"/>
        </w:rPr>
        <w:t xml:space="preserve">and </w:t>
      </w:r>
      <w:r w:rsidRPr="00400349">
        <w:rPr>
          <w:color w:val="auto"/>
        </w:rPr>
        <w:t xml:space="preserve">Submission 90. </w:t>
      </w:r>
    </w:p>
  </w:footnote>
  <w:footnote w:id="46">
    <w:p w14:paraId="6CDE1652"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Kāhui Ture o Aotearoa | New Zealand Law Society. </w:t>
      </w:r>
    </w:p>
  </w:footnote>
  <w:footnote w:id="47">
    <w:p w14:paraId="1F0B3AA8" w14:textId="429238E5" w:rsidR="001D5916" w:rsidRPr="00400349" w:rsidRDefault="001D5916" w:rsidP="001D5916">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t>These offence types are based on the Australian and New Zealand Standard Offence Classification (ANZSOC) divisions, which are used by Police to present offence data. They differ from the offence types referred to in our Consultation Paper because a revised ANZSOC standard was adopted in 2025: Ngā Pirihimana o Aotearoa | New Zealand Police “</w:t>
      </w:r>
      <w:r w:rsidR="00FB52B2" w:rsidRPr="00400349">
        <w:t>Changes to ANZSOC standard</w:t>
      </w:r>
      <w:r w:rsidRPr="00400349">
        <w:rPr>
          <w:color w:val="auto"/>
          <w:lang w:val="en-US"/>
        </w:rPr>
        <w:t>” (</w:t>
      </w:r>
      <w:r w:rsidRPr="00400349">
        <w:rPr>
          <w:color w:val="auto"/>
        </w:rPr>
        <w:t>30 July 2025) &lt;www.police.govt.nz&gt;.</w:t>
      </w:r>
    </w:p>
  </w:footnote>
  <w:footnote w:id="48">
    <w:p w14:paraId="0CD6040B" w14:textId="5681015F"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For example, in 202</w:t>
      </w:r>
      <w:r w:rsidR="003C760A" w:rsidRPr="00400349">
        <w:rPr>
          <w:color w:val="auto"/>
        </w:rPr>
        <w:t>5</w:t>
      </w:r>
      <w:r w:rsidRPr="00400349">
        <w:rPr>
          <w:color w:val="auto"/>
        </w:rPr>
        <w:t xml:space="preserve">, </w:t>
      </w:r>
      <w:r w:rsidR="007C7094" w:rsidRPr="00400349">
        <w:rPr>
          <w:color w:val="auto"/>
        </w:rPr>
        <w:t>59</w:t>
      </w:r>
      <w:r w:rsidRPr="00400349">
        <w:rPr>
          <w:color w:val="auto"/>
        </w:rPr>
        <w:t xml:space="preserve"> per cent of sexual assaults, </w:t>
      </w:r>
      <w:r w:rsidR="007C7094" w:rsidRPr="00400349">
        <w:rPr>
          <w:color w:val="auto"/>
        </w:rPr>
        <w:t>46</w:t>
      </w:r>
      <w:r w:rsidRPr="00400349">
        <w:rPr>
          <w:color w:val="auto"/>
        </w:rPr>
        <w:t xml:space="preserve"> per cent of threats and property damage and </w:t>
      </w:r>
      <w:r w:rsidR="007C7094" w:rsidRPr="00400349">
        <w:rPr>
          <w:color w:val="auto"/>
        </w:rPr>
        <w:t xml:space="preserve">49 </w:t>
      </w:r>
      <w:r w:rsidRPr="00400349">
        <w:rPr>
          <w:color w:val="auto"/>
        </w:rPr>
        <w:t xml:space="preserve">per cent of </w:t>
      </w:r>
      <w:r w:rsidR="007C7094" w:rsidRPr="00400349">
        <w:rPr>
          <w:color w:val="auto"/>
        </w:rPr>
        <w:t>harassment and threatening behaviour</w:t>
      </w:r>
      <w:r w:rsidRPr="00400349">
        <w:rPr>
          <w:color w:val="auto"/>
        </w:rPr>
        <w:t xml:space="preserve"> offences were perceived to be motivated by the offender’s attitude towards a</w:t>
      </w:r>
      <w:r w:rsidR="00FE6DB1" w:rsidRPr="00400349">
        <w:rPr>
          <w:color w:val="auto"/>
        </w:rPr>
        <w:t xml:space="preserve"> protected</w:t>
      </w:r>
      <w:r w:rsidRPr="00400349">
        <w:rPr>
          <w:color w:val="auto"/>
        </w:rPr>
        <w:t xml:space="preserve"> characteristic</w:t>
      </w:r>
      <w:r w:rsidR="00CE7097" w:rsidRPr="00400349">
        <w:rPr>
          <w:color w:val="auto"/>
        </w:rPr>
        <w:t xml:space="preserve">: </w:t>
      </w:r>
      <w:r w:rsidR="006E39B4" w:rsidRPr="00400349">
        <w:rPr>
          <w:color w:val="auto"/>
        </w:rPr>
        <w:t xml:space="preserve">Te Tāhū o te Ture | </w:t>
      </w:r>
      <w:r w:rsidR="00CE7097" w:rsidRPr="00400349">
        <w:rPr>
          <w:color w:val="auto"/>
        </w:rPr>
        <w:t xml:space="preserve">Ministry of Justice </w:t>
      </w:r>
      <w:r w:rsidR="003E07B5" w:rsidRPr="00400349">
        <w:rPr>
          <w:color w:val="auto"/>
        </w:rPr>
        <w:t>“</w:t>
      </w:r>
      <w:r w:rsidR="009F21F8" w:rsidRPr="00400349">
        <w:rPr>
          <w:color w:val="auto"/>
        </w:rPr>
        <w:t>NZCVS Data Hub</w:t>
      </w:r>
      <w:r w:rsidR="003E07B5" w:rsidRPr="00400349">
        <w:rPr>
          <w:color w:val="auto"/>
        </w:rPr>
        <w:t>”</w:t>
      </w:r>
      <w:r w:rsidR="0041614A" w:rsidRPr="00400349">
        <w:rPr>
          <w:color w:val="auto"/>
        </w:rPr>
        <w:t xml:space="preserve"> (</w:t>
      </w:r>
      <w:r w:rsidR="008F1746" w:rsidRPr="00400349">
        <w:rPr>
          <w:color w:val="auto"/>
        </w:rPr>
        <w:t>March 2026</w:t>
      </w:r>
      <w:r w:rsidR="0041614A" w:rsidRPr="00400349">
        <w:rPr>
          <w:i/>
          <w:iCs/>
          <w:color w:val="auto"/>
        </w:rPr>
        <w:t>)</w:t>
      </w:r>
      <w:r w:rsidR="00B510DA" w:rsidRPr="00400349">
        <w:rPr>
          <w:color w:val="auto"/>
        </w:rPr>
        <w:t xml:space="preserve"> </w:t>
      </w:r>
      <w:r w:rsidR="002A5309" w:rsidRPr="00400349">
        <w:rPr>
          <w:color w:val="auto"/>
        </w:rPr>
        <w:t>&lt;</w:t>
      </w:r>
      <w:r w:rsidR="00B510DA" w:rsidRPr="00400349">
        <w:rPr>
          <w:color w:val="auto"/>
        </w:rPr>
        <w:t>www.justice.govt.nz</w:t>
      </w:r>
      <w:r w:rsidR="002A5309" w:rsidRPr="00400349">
        <w:rPr>
          <w:color w:val="auto"/>
        </w:rPr>
        <w:t>&gt;</w:t>
      </w:r>
      <w:r w:rsidR="00154D72" w:rsidRPr="00400349">
        <w:rPr>
          <w:i/>
          <w:iCs/>
          <w:color w:val="auto"/>
        </w:rPr>
        <w:t xml:space="preserve"> </w:t>
      </w:r>
      <w:r w:rsidR="00154D72" w:rsidRPr="00400349">
        <w:rPr>
          <w:color w:val="auto"/>
        </w:rPr>
        <w:t>(under “tb07victimexperience”).</w:t>
      </w:r>
    </w:p>
  </w:footnote>
  <w:footnote w:id="49">
    <w:p w14:paraId="0965D8A4" w14:textId="7D67C99C"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Justice for Palestine, Alternative Jewish Voices and Dayenu (joint submission); New Zealand Jewish Council; </w:t>
      </w:r>
      <w:r w:rsidR="008F6406" w:rsidRPr="00400349">
        <w:rPr>
          <w:color w:val="auto"/>
        </w:rPr>
        <w:t xml:space="preserve">and </w:t>
      </w:r>
      <w:r w:rsidRPr="00400349">
        <w:rPr>
          <w:color w:val="auto"/>
        </w:rPr>
        <w:t xml:space="preserve">Submission 78. </w:t>
      </w:r>
    </w:p>
  </w:footnote>
  <w:footnote w:id="50">
    <w:p w14:paraId="2334B95D"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Inclusive Aotearoa Collective Tāhono; and Murray Stirling.</w:t>
      </w:r>
    </w:p>
  </w:footnote>
  <w:footnote w:id="51">
    <w:p w14:paraId="38B7D796"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Submission 43. </w:t>
      </w:r>
    </w:p>
  </w:footnote>
  <w:footnote w:id="52">
    <w:p w14:paraId="7FD6752C"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Sikh Council of New Zealand. </w:t>
      </w:r>
    </w:p>
  </w:footnote>
  <w:footnote w:id="53">
    <w:p w14:paraId="615A1776" w14:textId="60BE77CB"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Destiny Church New Zealand; </w:t>
      </w:r>
      <w:r w:rsidR="008F6406" w:rsidRPr="00400349">
        <w:rPr>
          <w:color w:val="auto"/>
        </w:rPr>
        <w:t xml:space="preserve">and </w:t>
      </w:r>
      <w:r w:rsidRPr="00400349">
        <w:rPr>
          <w:color w:val="auto"/>
        </w:rPr>
        <w:t xml:space="preserve">Submission 57. </w:t>
      </w:r>
    </w:p>
  </w:footnote>
  <w:footnote w:id="54">
    <w:p w14:paraId="5842FB15" w14:textId="096F5FFC"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Sanjana Hattotuwa; Submission 26; </w:t>
      </w:r>
      <w:r w:rsidR="008F6406" w:rsidRPr="00400349">
        <w:rPr>
          <w:color w:val="auto"/>
        </w:rPr>
        <w:t xml:space="preserve">and </w:t>
      </w:r>
      <w:r w:rsidRPr="00400349">
        <w:rPr>
          <w:color w:val="auto"/>
        </w:rPr>
        <w:t xml:space="preserve">Submission 77. </w:t>
      </w:r>
    </w:p>
  </w:footnote>
  <w:footnote w:id="55">
    <w:p w14:paraId="1CA74014" w14:textId="4107C49E"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Inclusive Aotearoa Collective Tāhono; Justice for Palestine, Alternative Jewish Voices and Dayenu (joint submission); Murray Stirling; </w:t>
      </w:r>
      <w:r w:rsidR="008F6406" w:rsidRPr="00400349">
        <w:rPr>
          <w:color w:val="auto"/>
        </w:rPr>
        <w:t xml:space="preserve">and </w:t>
      </w:r>
      <w:r w:rsidRPr="00400349">
        <w:rPr>
          <w:color w:val="auto"/>
        </w:rPr>
        <w:t xml:space="preserve">Te Kāhui o Ināia Tonu Nei Charitable Trust. </w:t>
      </w:r>
    </w:p>
  </w:footnote>
  <w:footnote w:id="56">
    <w:p w14:paraId="575204DF"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Kāhui o Ināia Tonu Nei Charitable Trust. </w:t>
      </w:r>
    </w:p>
  </w:footnote>
  <w:footnote w:id="57">
    <w:p w14:paraId="0091D567"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Annette Sykes &amp; Co. </w:t>
      </w:r>
    </w:p>
  </w:footnote>
  <w:footnote w:id="58">
    <w:p w14:paraId="75B48397"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Sanjana Hattotuwa. </w:t>
      </w:r>
    </w:p>
  </w:footnote>
  <w:footnote w:id="59">
    <w:p w14:paraId="29293A62" w14:textId="4557A92E" w:rsidR="001D5916" w:rsidRPr="00400349" w:rsidRDefault="001D5916" w:rsidP="001D5916">
      <w:pPr>
        <w:pStyle w:val="FootnoteText"/>
        <w:rPr>
          <w:i/>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w:t>
      </w:r>
      <w:r w:rsidR="00C61A8A" w:rsidRPr="00400349">
        <w:rPr>
          <w:color w:val="auto"/>
        </w:rPr>
        <w:t>14</w:t>
      </w:r>
      <w:r w:rsidR="007D0E1E" w:rsidRPr="00400349">
        <w:rPr>
          <w:color w:val="auto"/>
        </w:rPr>
        <w:t>–715.</w:t>
      </w:r>
    </w:p>
  </w:footnote>
  <w:footnote w:id="60">
    <w:p w14:paraId="2DB190A7" w14:textId="51D653FF"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835CDD" w:rsidRPr="00400349">
        <w:rPr>
          <w:color w:val="auto"/>
        </w:rPr>
        <w:t xml:space="preserve">At </w:t>
      </w:r>
      <w:r w:rsidR="00EB2CD9" w:rsidRPr="00400349">
        <w:rPr>
          <w:color w:val="auto"/>
        </w:rPr>
        <w:t>7</w:t>
      </w:r>
      <w:r w:rsidR="00A758C8" w:rsidRPr="00400349">
        <w:rPr>
          <w:color w:val="auto"/>
        </w:rPr>
        <w:t>15</w:t>
      </w:r>
      <w:r w:rsidR="00D80488" w:rsidRPr="00400349">
        <w:rPr>
          <w:color w:val="auto"/>
        </w:rPr>
        <w:t xml:space="preserve">. </w:t>
      </w:r>
      <w:r w:rsidRPr="00400349">
        <w:rPr>
          <w:color w:val="auto"/>
          <w:lang w:val="mi-NZ"/>
        </w:rPr>
        <w:t>Note</w:t>
      </w:r>
      <w:r w:rsidR="002904D7" w:rsidRPr="00400349">
        <w:rPr>
          <w:color w:val="auto"/>
          <w:lang w:val="mi-NZ"/>
        </w:rPr>
        <w:t xml:space="preserve"> that at</w:t>
      </w:r>
      <w:r w:rsidRPr="00400349">
        <w:rPr>
          <w:color w:val="auto"/>
          <w:lang w:val="mi-NZ"/>
        </w:rPr>
        <w:t xml:space="preserve"> [78]</w:t>
      </w:r>
      <w:r w:rsidR="00EC3985" w:rsidRPr="00400349">
        <w:rPr>
          <w:color w:val="auto"/>
          <w:lang w:val="mi-NZ"/>
        </w:rPr>
        <w:t xml:space="preserve"> the report</w:t>
      </w:r>
      <w:r w:rsidRPr="00400349">
        <w:rPr>
          <w:color w:val="auto"/>
          <w:lang w:val="mi-NZ"/>
        </w:rPr>
        <w:t xml:space="preserve"> says the </w:t>
      </w:r>
      <w:r w:rsidRPr="005D0635">
        <w:rPr>
          <w:iCs/>
          <w:color w:val="auto"/>
          <w:lang w:val="mi-NZ"/>
        </w:rPr>
        <w:t>reporting</w:t>
      </w:r>
      <w:r w:rsidRPr="00400349">
        <w:rPr>
          <w:color w:val="auto"/>
          <w:lang w:val="mi-NZ"/>
        </w:rPr>
        <w:t xml:space="preserve"> of hate motivations remains incomplete and somewhat inconsistent, but it appears from the context that the Royal Commission </w:t>
      </w:r>
      <w:r w:rsidR="00DB13F0">
        <w:rPr>
          <w:color w:val="auto"/>
          <w:lang w:val="mi-NZ"/>
        </w:rPr>
        <w:t>wa</w:t>
      </w:r>
      <w:r w:rsidR="00F867D1">
        <w:rPr>
          <w:color w:val="auto"/>
          <w:lang w:val="mi-NZ"/>
        </w:rPr>
        <w:t>s referring to</w:t>
      </w:r>
      <w:r w:rsidRPr="00400349">
        <w:rPr>
          <w:color w:val="auto"/>
          <w:lang w:val="mi-NZ"/>
        </w:rPr>
        <w:t xml:space="preserve"> </w:t>
      </w:r>
      <w:r w:rsidRPr="005D0635">
        <w:rPr>
          <w:iCs/>
          <w:color w:val="auto"/>
          <w:lang w:val="mi-NZ"/>
        </w:rPr>
        <w:t>recording</w:t>
      </w:r>
      <w:r w:rsidRPr="00400349">
        <w:rPr>
          <w:color w:val="auto"/>
          <w:lang w:val="mi-NZ"/>
        </w:rPr>
        <w:t>.</w:t>
      </w:r>
    </w:p>
  </w:footnote>
  <w:footnote w:id="61">
    <w:p w14:paraId="10072259" w14:textId="06215909"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3D565A" w:rsidRPr="00400349">
        <w:rPr>
          <w:color w:val="auto"/>
        </w:rPr>
        <w:t>At</w:t>
      </w:r>
      <w:r w:rsidR="00EB2CD9" w:rsidRPr="00400349">
        <w:rPr>
          <w:color w:val="auto"/>
        </w:rPr>
        <w:t xml:space="preserve"> 7</w:t>
      </w:r>
      <w:r w:rsidR="008201DE" w:rsidRPr="00400349">
        <w:rPr>
          <w:color w:val="auto"/>
        </w:rPr>
        <w:t>1</w:t>
      </w:r>
      <w:r w:rsidR="003A1332" w:rsidRPr="00400349">
        <w:rPr>
          <w:color w:val="auto"/>
        </w:rPr>
        <w:t>5</w:t>
      </w:r>
      <w:r w:rsidR="008F6533" w:rsidRPr="00400349">
        <w:rPr>
          <w:color w:val="auto"/>
        </w:rPr>
        <w:t>.</w:t>
      </w:r>
    </w:p>
  </w:footnote>
  <w:footnote w:id="62">
    <w:p w14:paraId="7CBD7556" w14:textId="41703CC6"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EB2A1F" w:rsidRPr="00400349">
        <w:rPr>
          <w:color w:val="auto"/>
        </w:rPr>
        <w:t>A</w:t>
      </w:r>
      <w:r w:rsidR="00EB2CD9" w:rsidRPr="00400349">
        <w:rPr>
          <w:color w:val="auto"/>
        </w:rPr>
        <w:t>t 7</w:t>
      </w:r>
      <w:r w:rsidR="00F95295" w:rsidRPr="00400349">
        <w:rPr>
          <w:color w:val="auto"/>
        </w:rPr>
        <w:t>15.</w:t>
      </w:r>
      <w:r w:rsidR="00EB2CD9" w:rsidRPr="00400349">
        <w:rPr>
          <w:color w:val="auto"/>
        </w:rPr>
        <w:t xml:space="preserve"> </w:t>
      </w:r>
    </w:p>
  </w:footnote>
  <w:footnote w:id="63">
    <w:p w14:paraId="0B4B6F9D" w14:textId="13E03373"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EB2A1F" w:rsidRPr="00400349">
        <w:rPr>
          <w:color w:val="auto"/>
        </w:rPr>
        <w:t>At</w:t>
      </w:r>
      <w:r w:rsidR="00EB2CD9" w:rsidRPr="00400349">
        <w:rPr>
          <w:color w:val="auto"/>
        </w:rPr>
        <w:t xml:space="preserve"> 7</w:t>
      </w:r>
      <w:r w:rsidR="003A1332" w:rsidRPr="00400349">
        <w:rPr>
          <w:color w:val="auto"/>
        </w:rPr>
        <w:t>16</w:t>
      </w:r>
      <w:r w:rsidR="00C472FD" w:rsidRPr="00400349">
        <w:rPr>
          <w:color w:val="auto"/>
        </w:rPr>
        <w:t xml:space="preserve"> </w:t>
      </w:r>
      <w:r w:rsidR="00C472FD" w:rsidRPr="00400349">
        <w:rPr>
          <w:color w:val="auto"/>
          <w:lang w:val="mi-NZ"/>
        </w:rPr>
        <w:t xml:space="preserve">and </w:t>
      </w:r>
      <w:r w:rsidRPr="00400349">
        <w:rPr>
          <w:color w:val="auto"/>
          <w:lang w:val="mi-NZ"/>
        </w:rPr>
        <w:t>764 (recommendation 42).</w:t>
      </w:r>
    </w:p>
  </w:footnote>
  <w:footnote w:id="64">
    <w:p w14:paraId="680587D0" w14:textId="147A3BA1"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A7512D" w:rsidRPr="00400349">
        <w:rPr>
          <w:color w:val="auto"/>
        </w:rPr>
        <w:t>Ngā Pirihimana o Aotearoa | New Zealand Police “</w:t>
      </w:r>
      <w:r w:rsidR="00A7512D" w:rsidRPr="00400349">
        <w:rPr>
          <w:rStyle w:val="Hyperlink"/>
          <w:color w:val="auto"/>
          <w:u w:val="none"/>
        </w:rPr>
        <w:t xml:space="preserve">Te Raranga (The </w:t>
      </w:r>
      <w:r w:rsidR="00A7512D" w:rsidRPr="00400349">
        <w:t>Weave</w:t>
      </w:r>
      <w:r w:rsidR="00A7512D" w:rsidRPr="00400349">
        <w:rPr>
          <w:rStyle w:val="Hyperlink"/>
          <w:color w:val="auto"/>
          <w:u w:val="none"/>
        </w:rPr>
        <w:t>)</w:t>
      </w:r>
      <w:r w:rsidR="00B606B2" w:rsidRPr="00400349">
        <w:rPr>
          <w:color w:val="auto"/>
        </w:rPr>
        <w:t>”</w:t>
      </w:r>
      <w:r w:rsidR="00A7512D" w:rsidRPr="00400349">
        <w:rPr>
          <w:color w:val="auto"/>
        </w:rPr>
        <w:t xml:space="preserve"> &lt;www.police.govt.nz&gt;.</w:t>
      </w:r>
    </w:p>
  </w:footnote>
  <w:footnote w:id="65">
    <w:p w14:paraId="37383617" w14:textId="36A709CB" w:rsidR="001D5916" w:rsidRPr="00400349" w:rsidRDefault="001D5916" w:rsidP="001D5916">
      <w:pPr>
        <w:pStyle w:val="FootnoteText"/>
        <w:rPr>
          <w:color w:val="auto"/>
          <w:lang w:val="mi-NZ"/>
        </w:rPr>
      </w:pPr>
      <w:r w:rsidRPr="00400349">
        <w:rPr>
          <w:rStyle w:val="FootnoteReference"/>
          <w:color w:val="auto"/>
        </w:rPr>
        <w:footnoteRef/>
      </w:r>
      <w:r w:rsidRPr="00400349">
        <w:rPr>
          <w:rStyle w:val="FootnoteReference"/>
          <w:color w:val="auto"/>
        </w:rPr>
        <w:t xml:space="preserve"> </w:t>
      </w:r>
      <w:r w:rsidRPr="00400349">
        <w:rPr>
          <w:color w:val="auto"/>
        </w:rPr>
        <w:tab/>
      </w:r>
      <w:r w:rsidR="00A7512D" w:rsidRPr="00400349">
        <w:rPr>
          <w:color w:val="auto"/>
        </w:rPr>
        <w:t>Ngā Pirihimana o Aotearoa | New Zealand Police “</w:t>
      </w:r>
      <w:r w:rsidR="00A7512D" w:rsidRPr="00794962">
        <w:rPr>
          <w:rStyle w:val="Hyperlink"/>
          <w:color w:val="auto"/>
          <w:u w:val="none"/>
        </w:rPr>
        <w:t>S</w:t>
      </w:r>
      <w:r w:rsidR="00A7512D" w:rsidRPr="00400349">
        <w:t>tanding Together Against Hate</w:t>
      </w:r>
      <w:r w:rsidR="00B606B2" w:rsidRPr="00400349">
        <w:rPr>
          <w:color w:val="auto"/>
        </w:rPr>
        <w:t>”</w:t>
      </w:r>
      <w:r w:rsidR="00A7512D" w:rsidRPr="00400349">
        <w:rPr>
          <w:color w:val="auto"/>
        </w:rPr>
        <w:t xml:space="preserve"> &lt;www.police.govt.nz&gt;.</w:t>
      </w:r>
    </w:p>
  </w:footnote>
  <w:footnote w:id="66">
    <w:p w14:paraId="027FF00B" w14:textId="15939B03"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Ngā Pirihimana o Aotearoa | New Zealand Police “</w:t>
      </w:r>
      <w:r w:rsidRPr="00400349">
        <w:t>Hate-Motivated Crime: How to recognise and record hate-motivation, and respond appropriately</w:t>
      </w:r>
      <w:r w:rsidR="00B606B2" w:rsidRPr="00400349">
        <w:rPr>
          <w:color w:val="auto"/>
        </w:rPr>
        <w:t>”</w:t>
      </w:r>
      <w:r w:rsidRPr="00400349">
        <w:rPr>
          <w:color w:val="auto"/>
        </w:rPr>
        <w:t xml:space="preserve"> &lt;www.police.govt.nz&gt;.</w:t>
      </w:r>
    </w:p>
  </w:footnote>
  <w:footnote w:id="67">
    <w:p w14:paraId="012887C1" w14:textId="1FACEA1C"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These include, for example, </w:t>
      </w:r>
      <w:r w:rsidR="00990A7A">
        <w:rPr>
          <w:color w:val="auto"/>
        </w:rPr>
        <w:t>i</w:t>
      </w:r>
      <w:r w:rsidRPr="00400349">
        <w:rPr>
          <w:color w:val="auto"/>
        </w:rPr>
        <w:t xml:space="preserve">wi </w:t>
      </w:r>
      <w:r w:rsidR="00990A7A">
        <w:rPr>
          <w:color w:val="auto"/>
        </w:rPr>
        <w:t>l</w:t>
      </w:r>
      <w:r w:rsidRPr="00400349">
        <w:rPr>
          <w:color w:val="auto"/>
        </w:rPr>
        <w:t xml:space="preserve">iaison </w:t>
      </w:r>
      <w:r w:rsidR="00990A7A">
        <w:rPr>
          <w:color w:val="auto"/>
        </w:rPr>
        <w:t>o</w:t>
      </w:r>
      <w:r w:rsidRPr="00400349">
        <w:rPr>
          <w:color w:val="auto"/>
        </w:rPr>
        <w:t xml:space="preserve">fficers, </w:t>
      </w:r>
      <w:r w:rsidR="00990A7A">
        <w:rPr>
          <w:color w:val="auto"/>
        </w:rPr>
        <w:t>et</w:t>
      </w:r>
      <w:r w:rsidRPr="00400349">
        <w:rPr>
          <w:color w:val="auto"/>
        </w:rPr>
        <w:t xml:space="preserve">hnic </w:t>
      </w:r>
      <w:r w:rsidR="00990A7A">
        <w:rPr>
          <w:color w:val="auto"/>
        </w:rPr>
        <w:t>l</w:t>
      </w:r>
      <w:r w:rsidRPr="00400349">
        <w:rPr>
          <w:color w:val="auto"/>
        </w:rPr>
        <w:t xml:space="preserve">iaison </w:t>
      </w:r>
      <w:r w:rsidR="00990A7A">
        <w:rPr>
          <w:color w:val="auto"/>
        </w:rPr>
        <w:t>o</w:t>
      </w:r>
      <w:r w:rsidRPr="00400349">
        <w:rPr>
          <w:color w:val="auto"/>
        </w:rPr>
        <w:t xml:space="preserve">fficers and </w:t>
      </w:r>
      <w:r w:rsidR="00990A7A">
        <w:rPr>
          <w:color w:val="auto"/>
        </w:rPr>
        <w:t>d</w:t>
      </w:r>
      <w:r w:rsidRPr="00400349">
        <w:rPr>
          <w:color w:val="auto"/>
        </w:rPr>
        <w:t xml:space="preserve">iversity </w:t>
      </w:r>
      <w:r w:rsidR="00990A7A">
        <w:rPr>
          <w:color w:val="auto"/>
        </w:rPr>
        <w:t>l</w:t>
      </w:r>
      <w:r w:rsidRPr="00400349">
        <w:rPr>
          <w:color w:val="auto"/>
        </w:rPr>
        <w:t xml:space="preserve">iaison </w:t>
      </w:r>
      <w:r w:rsidR="00990A7A">
        <w:rPr>
          <w:color w:val="auto"/>
        </w:rPr>
        <w:t>o</w:t>
      </w:r>
      <w:r w:rsidRPr="00400349">
        <w:rPr>
          <w:color w:val="auto"/>
        </w:rPr>
        <w:t>fficers (who serve rainbow communities).</w:t>
      </w:r>
    </w:p>
  </w:footnote>
  <w:footnote w:id="68">
    <w:p w14:paraId="0AEC9B9C" w14:textId="77777777" w:rsidR="001D5916" w:rsidRPr="00400349" w:rsidRDefault="001D5916" w:rsidP="001D5916">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Te Tari Ture o te Karauna | Crown Law </w:t>
      </w:r>
      <w:r w:rsidRPr="00400349">
        <w:rPr>
          <w:i/>
          <w:color w:val="auto"/>
          <w:lang w:val="mi-NZ"/>
        </w:rPr>
        <w:t>The Solicitor-General’s Prosecution Guidelines: Principal Guideline</w:t>
      </w:r>
      <w:r w:rsidRPr="00400349">
        <w:rPr>
          <w:color w:val="auto"/>
          <w:lang w:val="mi-NZ"/>
        </w:rPr>
        <w:t xml:space="preserve"> (2024) at [22].</w:t>
      </w:r>
    </w:p>
  </w:footnote>
  <w:footnote w:id="69">
    <w:p w14:paraId="321A6564" w14:textId="77777777" w:rsidR="001D5916" w:rsidRPr="00400349" w:rsidRDefault="001D5916" w:rsidP="001D5916">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Te Tari Ture o te Karauna | Crown Law </w:t>
      </w:r>
      <w:r w:rsidRPr="00400349">
        <w:rPr>
          <w:i/>
          <w:color w:val="auto"/>
          <w:lang w:val="mi-NZ"/>
        </w:rPr>
        <w:t>The Solicitor-General’s Prosecution Guidelines: Decisions to prosecute</w:t>
      </w:r>
      <w:r w:rsidRPr="00400349">
        <w:rPr>
          <w:color w:val="auto"/>
          <w:lang w:val="mi-NZ"/>
        </w:rPr>
        <w:t xml:space="preserve"> (2024) at [29] and [33].</w:t>
      </w:r>
    </w:p>
  </w:footnote>
  <w:footnote w:id="70">
    <w:p w14:paraId="39B07D1C"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Crown Prosecution Regulations 2013, reg 4. </w:t>
      </w:r>
    </w:p>
  </w:footnote>
  <w:footnote w:id="71">
    <w:p w14:paraId="69E775F7" w14:textId="161C5B62" w:rsidR="008F1AB4" w:rsidRPr="00400349" w:rsidRDefault="008F1AB4">
      <w:pPr>
        <w:pStyle w:val="FootnoteText"/>
      </w:pPr>
      <w:r w:rsidRPr="00400349">
        <w:rPr>
          <w:rStyle w:val="FootnoteReference"/>
        </w:rPr>
        <w:footnoteRef/>
      </w:r>
      <w:r w:rsidRPr="00400349">
        <w:t xml:space="preserve"> </w:t>
      </w:r>
      <w:r w:rsidRPr="00400349">
        <w:tab/>
        <w:t xml:space="preserve">As of 1 December 2025, informal warnings are no longer recorded as a formal outcome. </w:t>
      </w:r>
    </w:p>
  </w:footnote>
  <w:footnote w:id="72">
    <w:p w14:paraId="42BC67AC" w14:textId="275347E5"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Rules 2012, r 5A.5(1)(c). Th</w:t>
      </w:r>
      <w:r w:rsidR="001269B2" w:rsidRPr="00400349">
        <w:rPr>
          <w:color w:val="auto"/>
        </w:rPr>
        <w:t>e</w:t>
      </w:r>
      <w:r w:rsidRPr="00400349">
        <w:rPr>
          <w:color w:val="auto"/>
        </w:rPr>
        <w:t xml:space="preserve"> rule </w:t>
      </w:r>
      <w:r w:rsidR="001269B2" w:rsidRPr="00400349">
        <w:rPr>
          <w:color w:val="auto"/>
        </w:rPr>
        <w:t xml:space="preserve">only </w:t>
      </w:r>
      <w:r w:rsidRPr="00400349">
        <w:rPr>
          <w:color w:val="auto"/>
        </w:rPr>
        <w:t xml:space="preserve">applies </w:t>
      </w:r>
      <w:r w:rsidR="008C1921" w:rsidRPr="00400349">
        <w:rPr>
          <w:color w:val="auto"/>
        </w:rPr>
        <w:t xml:space="preserve">to </w:t>
      </w:r>
      <w:r w:rsidRPr="00400349">
        <w:rPr>
          <w:color w:val="auto"/>
        </w:rPr>
        <w:t xml:space="preserve">District Court proceedings if the Crown assumes responsibility for the proceeding prior to sentencing or the judge directs that </w:t>
      </w:r>
      <w:r w:rsidR="008C1921" w:rsidRPr="00400349">
        <w:rPr>
          <w:color w:val="auto"/>
        </w:rPr>
        <w:t xml:space="preserve">a </w:t>
      </w:r>
      <w:r w:rsidRPr="00400349">
        <w:rPr>
          <w:color w:val="auto"/>
        </w:rPr>
        <w:t>sentencing memorand</w:t>
      </w:r>
      <w:r w:rsidR="00367DC1" w:rsidRPr="00400349">
        <w:rPr>
          <w:color w:val="auto"/>
        </w:rPr>
        <w:t>um</w:t>
      </w:r>
      <w:r w:rsidRPr="00400349">
        <w:rPr>
          <w:color w:val="auto"/>
        </w:rPr>
        <w:t xml:space="preserve"> be filed</w:t>
      </w:r>
      <w:r w:rsidR="00C737B6" w:rsidRPr="00400349">
        <w:rPr>
          <w:color w:val="auto"/>
        </w:rPr>
        <w:t xml:space="preserve">: </w:t>
      </w:r>
      <w:r w:rsidRPr="00400349">
        <w:rPr>
          <w:color w:val="auto"/>
        </w:rPr>
        <w:t>r</w:t>
      </w:r>
      <w:r w:rsidR="00D71FC7">
        <w:rPr>
          <w:rFonts w:ascii="Calibri" w:hAnsi="Calibri" w:cs="Calibri"/>
          <w:color w:val="auto"/>
        </w:rPr>
        <w:t> </w:t>
      </w:r>
      <w:r w:rsidRPr="00400349">
        <w:rPr>
          <w:color w:val="auto"/>
        </w:rPr>
        <w:t>5A.3.</w:t>
      </w:r>
    </w:p>
  </w:footnote>
  <w:footnote w:id="73">
    <w:p w14:paraId="50E21CC8" w14:textId="09772491"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9(1).</w:t>
      </w:r>
      <w:r w:rsidRPr="00400349" w:rsidDel="00414FA7">
        <w:rPr>
          <w:color w:val="auto"/>
        </w:rPr>
        <w:t xml:space="preserve"> </w:t>
      </w:r>
      <w:r w:rsidRPr="00400349">
        <w:rPr>
          <w:color w:val="auto"/>
        </w:rPr>
        <w:t xml:space="preserve">In practice, however, the court may be unaware an aggravating factor is applicable if no relevant evidence has been presented. </w:t>
      </w:r>
    </w:p>
  </w:footnote>
  <w:footnote w:id="74">
    <w:p w14:paraId="0D7702B2" w14:textId="0B01582C"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Sentencing Act, s 24(1)(a). </w:t>
      </w:r>
    </w:p>
  </w:footnote>
  <w:footnote w:id="75">
    <w:p w14:paraId="450A9061" w14:textId="09037DBB" w:rsidR="001F5726" w:rsidRPr="00400349" w:rsidRDefault="001F5726">
      <w:pPr>
        <w:pStyle w:val="FootnoteText"/>
      </w:pPr>
      <w:r w:rsidRPr="00400349">
        <w:rPr>
          <w:rStyle w:val="FootnoteReference"/>
        </w:rPr>
        <w:footnoteRef/>
      </w:r>
      <w:r w:rsidRPr="00400349">
        <w:t xml:space="preserve"> </w:t>
      </w:r>
      <w:r w:rsidRPr="00400349">
        <w:tab/>
      </w:r>
      <w:r w:rsidRPr="00400349">
        <w:rPr>
          <w:color w:val="auto"/>
        </w:rPr>
        <w:t xml:space="preserve">Criminal Procedure Rules, </w:t>
      </w:r>
      <w:r w:rsidR="00C4047D" w:rsidRPr="00400349">
        <w:rPr>
          <w:color w:val="auto"/>
        </w:rPr>
        <w:t>r</w:t>
      </w:r>
      <w:r w:rsidRPr="00400349">
        <w:rPr>
          <w:color w:val="auto"/>
        </w:rPr>
        <w:t xml:space="preserve"> 5A.1.</w:t>
      </w:r>
    </w:p>
  </w:footnote>
  <w:footnote w:id="76">
    <w:p w14:paraId="29AF1891" w14:textId="18715318"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24(2). If the defendant disputes a fact relied on by the prosecutor, the court first indicates to the parties what weight it is likely to attach to the disputed fact if it is proved and its significance for the sentence</w:t>
      </w:r>
      <w:r w:rsidR="0084161E" w:rsidRPr="00400349">
        <w:rPr>
          <w:color w:val="auto"/>
        </w:rPr>
        <w:t>:</w:t>
      </w:r>
      <w:r w:rsidRPr="00400349">
        <w:rPr>
          <w:color w:val="auto"/>
        </w:rPr>
        <w:t xml:space="preserve"> s 24(2)(a). If the prosecutor still wishes to rely on the fact, the parties may adduce further evidence unless the court is satisfied sufficient evidence was adduced at trial</w:t>
      </w:r>
      <w:r w:rsidR="0084161E" w:rsidRPr="00400349">
        <w:rPr>
          <w:color w:val="auto"/>
        </w:rPr>
        <w:t xml:space="preserve">: </w:t>
      </w:r>
      <w:r w:rsidRPr="00400349">
        <w:rPr>
          <w:color w:val="auto"/>
        </w:rPr>
        <w:t>s 24(2)(b).</w:t>
      </w:r>
    </w:p>
  </w:footnote>
  <w:footnote w:id="77">
    <w:p w14:paraId="3D4E4B77" w14:textId="58609BFA"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Sentencing Act, s 24(2)(c). </w:t>
      </w:r>
    </w:p>
  </w:footnote>
  <w:footnote w:id="78">
    <w:p w14:paraId="696E4A0B" w14:textId="46436BD1"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Arps v Police </w:t>
      </w:r>
      <w:r w:rsidRPr="00400349">
        <w:rPr>
          <w:color w:val="auto"/>
        </w:rPr>
        <w:t>[2019] NZCA 592, [2020] 2 NZLR 94 at [55] (emphasis added).</w:t>
      </w:r>
      <w:r w:rsidR="009F5D53" w:rsidRPr="00400349">
        <w:rPr>
          <w:color w:val="auto"/>
        </w:rPr>
        <w:t xml:space="preserve"> See also </w:t>
      </w:r>
      <w:r w:rsidR="001269B2" w:rsidRPr="00400349">
        <w:rPr>
          <w:color w:val="auto"/>
        </w:rPr>
        <w:t xml:space="preserve">[57]. </w:t>
      </w:r>
    </w:p>
  </w:footnote>
  <w:footnote w:id="79">
    <w:p w14:paraId="7A17127E" w14:textId="7B06E45E" w:rsidR="00C75B44" w:rsidRDefault="00C75B44">
      <w:pPr>
        <w:pStyle w:val="FootnoteText"/>
      </w:pPr>
      <w:r>
        <w:rPr>
          <w:rStyle w:val="FootnoteReference"/>
        </w:rPr>
        <w:footnoteRef/>
      </w:r>
      <w:r>
        <w:t xml:space="preserve"> </w:t>
      </w:r>
      <w:r>
        <w:tab/>
      </w:r>
      <w:r w:rsidR="00EC73A3" w:rsidRPr="00400349">
        <w:rPr>
          <w:i/>
          <w:color w:val="auto"/>
        </w:rPr>
        <w:t xml:space="preserve">Solicitor-General v Milne </w:t>
      </w:r>
      <w:r w:rsidR="00EC73A3" w:rsidRPr="00400349">
        <w:rPr>
          <w:color w:val="auto"/>
        </w:rPr>
        <w:t>[2020] NZCA 134</w:t>
      </w:r>
      <w:r w:rsidR="00EC73A3">
        <w:rPr>
          <w:color w:val="auto"/>
        </w:rPr>
        <w:t xml:space="preserve"> </w:t>
      </w:r>
      <w:r w:rsidR="00EC73A3">
        <w:t>at [41].</w:t>
      </w:r>
    </w:p>
  </w:footnote>
  <w:footnote w:id="80">
    <w:p w14:paraId="288A7E5B" w14:textId="39FBC405" w:rsidR="006501A8" w:rsidRPr="00400349" w:rsidRDefault="006501A8">
      <w:pPr>
        <w:pStyle w:val="FootnoteText"/>
      </w:pPr>
      <w:r w:rsidRPr="00400349">
        <w:rPr>
          <w:rStyle w:val="FootnoteReference"/>
        </w:rPr>
        <w:footnoteRef/>
      </w:r>
      <w:r w:rsidRPr="00400349">
        <w:t xml:space="preserve"> </w:t>
      </w:r>
      <w:r w:rsidRPr="00400349">
        <w:tab/>
      </w:r>
      <w:r w:rsidR="00812CA7" w:rsidRPr="00400349">
        <w:t>We discuss</w:t>
      </w:r>
      <w:r w:rsidR="00502BEB">
        <w:t xml:space="preserve"> the meaning of</w:t>
      </w:r>
      <w:r w:rsidR="00AE2FE8" w:rsidRPr="00400349">
        <w:t xml:space="preserve"> </w:t>
      </w:r>
      <w:r w:rsidR="00542EE3">
        <w:t>‘</w:t>
      </w:r>
      <w:r w:rsidR="00FF1CF3" w:rsidRPr="00400349">
        <w:t>enduring common characteristic</w:t>
      </w:r>
      <w:r w:rsidR="00542EE3">
        <w:t>’</w:t>
      </w:r>
      <w:r w:rsidR="00FF1CF3" w:rsidRPr="00400349">
        <w:t xml:space="preserve"> further in Chapter </w:t>
      </w:r>
      <w:r w:rsidR="00F817C3" w:rsidRPr="00400349">
        <w:t>8</w:t>
      </w:r>
      <w:r w:rsidR="00FF1CF3" w:rsidRPr="00400349">
        <w:t xml:space="preserve">. </w:t>
      </w:r>
    </w:p>
  </w:footnote>
  <w:footnote w:id="81">
    <w:p w14:paraId="471B776A" w14:textId="6065F9EE"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Police v Kelland </w:t>
      </w:r>
      <w:r w:rsidRPr="00400349">
        <w:rPr>
          <w:color w:val="auto"/>
        </w:rPr>
        <w:t xml:space="preserve">[2024] NZDC 17908; </w:t>
      </w:r>
      <w:r w:rsidRPr="00400349">
        <w:rPr>
          <w:i/>
          <w:color w:val="auto"/>
        </w:rPr>
        <w:t xml:space="preserve">R v Davidoff </w:t>
      </w:r>
      <w:r w:rsidRPr="00400349">
        <w:rPr>
          <w:color w:val="auto"/>
        </w:rPr>
        <w:t>[2024] NZDC 19266</w:t>
      </w:r>
      <w:r w:rsidR="006079A6" w:rsidRPr="00400349">
        <w:rPr>
          <w:color w:val="auto"/>
        </w:rPr>
        <w:t xml:space="preserve"> (affirmed in </w:t>
      </w:r>
      <w:r w:rsidR="00764FF2" w:rsidRPr="00400349">
        <w:rPr>
          <w:i/>
          <w:color w:val="auto"/>
        </w:rPr>
        <w:t>Davidoff v R</w:t>
      </w:r>
      <w:r w:rsidR="00764FF2" w:rsidRPr="00400349">
        <w:rPr>
          <w:color w:val="auto"/>
        </w:rPr>
        <w:t xml:space="preserve"> [2026] NZCA 126)</w:t>
      </w:r>
      <w:r w:rsidRPr="00400349">
        <w:rPr>
          <w:color w:val="auto"/>
        </w:rPr>
        <w:t xml:space="preserve">; </w:t>
      </w:r>
      <w:r w:rsidRPr="00400349">
        <w:rPr>
          <w:i/>
          <w:color w:val="auto"/>
        </w:rPr>
        <w:t xml:space="preserve">Solicitor-General v Milne </w:t>
      </w:r>
      <w:r w:rsidRPr="00400349">
        <w:rPr>
          <w:color w:val="auto"/>
        </w:rPr>
        <w:t xml:space="preserve">[2020] NZCA 134; </w:t>
      </w:r>
      <w:r w:rsidRPr="00400349">
        <w:rPr>
          <w:i/>
          <w:color w:val="auto"/>
        </w:rPr>
        <w:t xml:space="preserve">R v Angelich </w:t>
      </w:r>
      <w:r w:rsidRPr="00400349">
        <w:rPr>
          <w:color w:val="auto"/>
        </w:rPr>
        <w:t xml:space="preserve">[2018] NZHC 2429; </w:t>
      </w:r>
      <w:r w:rsidRPr="00400349">
        <w:rPr>
          <w:i/>
          <w:color w:val="auto"/>
        </w:rPr>
        <w:t xml:space="preserve">Landon v R </w:t>
      </w:r>
      <w:r w:rsidRPr="00400349">
        <w:rPr>
          <w:color w:val="auto"/>
        </w:rPr>
        <w:t xml:space="preserve">[2018] NZCA 264; </w:t>
      </w:r>
      <w:r w:rsidRPr="00400349">
        <w:rPr>
          <w:i/>
          <w:color w:val="auto"/>
        </w:rPr>
        <w:t xml:space="preserve">R v Uili </w:t>
      </w:r>
      <w:r w:rsidRPr="00400349">
        <w:rPr>
          <w:color w:val="auto"/>
        </w:rPr>
        <w:t xml:space="preserve">CA148/06, 26 October 2006; and </w:t>
      </w:r>
      <w:r w:rsidRPr="00400349">
        <w:rPr>
          <w:i/>
          <w:color w:val="auto"/>
        </w:rPr>
        <w:t xml:space="preserve">Whitwell v Police </w:t>
      </w:r>
      <w:r w:rsidRPr="00400349">
        <w:rPr>
          <w:color w:val="auto"/>
        </w:rPr>
        <w:t>HC Nelson CRI-2005-442-5, 15 September 2005.</w:t>
      </w:r>
    </w:p>
  </w:footnote>
  <w:footnote w:id="82">
    <w:p w14:paraId="03C0FB2C" w14:textId="1757E0FC"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R v Arps </w:t>
      </w:r>
      <w:r w:rsidRPr="00400349">
        <w:rPr>
          <w:color w:val="auto"/>
        </w:rPr>
        <w:t xml:space="preserve">[2019] NZDC 11547; </w:t>
      </w:r>
      <w:r w:rsidRPr="00400349">
        <w:rPr>
          <w:i/>
          <w:color w:val="auto"/>
        </w:rPr>
        <w:t xml:space="preserve">Galloway v R </w:t>
      </w:r>
      <w:r w:rsidRPr="00400349">
        <w:rPr>
          <w:color w:val="auto"/>
        </w:rPr>
        <w:t xml:space="preserve">[2011] NZCA 309; </w:t>
      </w:r>
      <w:r w:rsidRPr="00400349">
        <w:rPr>
          <w:i/>
          <w:color w:val="auto"/>
        </w:rPr>
        <w:t xml:space="preserve">R v Sanders </w:t>
      </w:r>
      <w:r w:rsidRPr="00400349">
        <w:rPr>
          <w:color w:val="auto"/>
        </w:rPr>
        <w:t>HC Wellington CRI-2009-078-824, 10</w:t>
      </w:r>
      <w:r w:rsidR="00B22AFD">
        <w:rPr>
          <w:rFonts w:ascii="Calibri" w:hAnsi="Calibri" w:cs="Calibri"/>
          <w:color w:val="auto"/>
        </w:rPr>
        <w:t> </w:t>
      </w:r>
      <w:r w:rsidRPr="00400349">
        <w:rPr>
          <w:color w:val="auto"/>
        </w:rPr>
        <w:t>December 2010;</w:t>
      </w:r>
      <w:r w:rsidRPr="00400349">
        <w:rPr>
          <w:i/>
          <w:color w:val="auto"/>
        </w:rPr>
        <w:t xml:space="preserve"> Whitwell v Police </w:t>
      </w:r>
      <w:r w:rsidRPr="00400349">
        <w:rPr>
          <w:color w:val="auto"/>
        </w:rPr>
        <w:t xml:space="preserve">HC Nelson CRI-2005-442-5, 15 September 2005; and </w:t>
      </w:r>
      <w:r w:rsidRPr="00400349">
        <w:rPr>
          <w:i/>
          <w:color w:val="auto"/>
        </w:rPr>
        <w:t xml:space="preserve">R v Johansen </w:t>
      </w:r>
      <w:r w:rsidRPr="00400349">
        <w:rPr>
          <w:color w:val="auto"/>
        </w:rPr>
        <w:t>HC Auckland CRI-2004-83-1849, 2 June 2005.</w:t>
      </w:r>
    </w:p>
  </w:footnote>
  <w:footnote w:id="83">
    <w:p w14:paraId="1D707C69" w14:textId="77777777" w:rsidR="001D5916" w:rsidRPr="00400349" w:rsidRDefault="001D5916" w:rsidP="001D5916">
      <w:pPr>
        <w:pStyle w:val="FootnoteText"/>
        <w:rPr>
          <w:i/>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Tarrant</w:t>
      </w:r>
      <w:r w:rsidRPr="00400349">
        <w:rPr>
          <w:color w:val="auto"/>
        </w:rPr>
        <w:t xml:space="preserve"> [2020] NZHC 2192, [2020] 3 NZLR 15.</w:t>
      </w:r>
    </w:p>
  </w:footnote>
  <w:footnote w:id="84">
    <w:p w14:paraId="7F618F2C" w14:textId="77777777" w:rsidR="001D5916" w:rsidRPr="00400349" w:rsidRDefault="001D5916" w:rsidP="001D5916">
      <w:pPr>
        <w:pStyle w:val="FootnoteText"/>
        <w:rPr>
          <w:i/>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R v Kaitapere </w:t>
      </w:r>
      <w:r w:rsidRPr="00400349">
        <w:rPr>
          <w:color w:val="auto"/>
        </w:rPr>
        <w:t>[2017] NZDC 23907</w:t>
      </w:r>
      <w:r w:rsidRPr="00400349">
        <w:rPr>
          <w:i/>
          <w:color w:val="auto"/>
        </w:rPr>
        <w:t>.</w:t>
      </w:r>
    </w:p>
  </w:footnote>
  <w:footnote w:id="85">
    <w:p w14:paraId="5CBE92AE" w14:textId="77777777" w:rsidR="001D5916" w:rsidRPr="00400349" w:rsidRDefault="001D5916" w:rsidP="001D5916">
      <w:pPr>
        <w:pStyle w:val="FootnoteText"/>
        <w:rPr>
          <w:i/>
          <w:iCs/>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Bryan v Police </w:t>
      </w:r>
      <w:r w:rsidRPr="00400349">
        <w:rPr>
          <w:color w:val="auto"/>
        </w:rPr>
        <w:t>HC Auckland CRI 2009-404-45, 3 April 2009</w:t>
      </w:r>
      <w:r w:rsidRPr="00400349">
        <w:rPr>
          <w:i/>
          <w:color w:val="auto"/>
        </w:rPr>
        <w:t>.</w:t>
      </w:r>
    </w:p>
  </w:footnote>
  <w:footnote w:id="86">
    <w:p w14:paraId="160DF541"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Tarrant</w:t>
      </w:r>
      <w:r w:rsidRPr="00400349">
        <w:rPr>
          <w:color w:val="auto"/>
        </w:rPr>
        <w:t xml:space="preserve"> [2020] NZHC 2192, [2020] 3 NZLR 15; and </w:t>
      </w:r>
      <w:r w:rsidRPr="00400349">
        <w:rPr>
          <w:i/>
          <w:color w:val="auto"/>
        </w:rPr>
        <w:t xml:space="preserve">R v Arps </w:t>
      </w:r>
      <w:r w:rsidRPr="00400349">
        <w:rPr>
          <w:color w:val="auto"/>
        </w:rPr>
        <w:t>[2019] NZDC 11547.</w:t>
      </w:r>
    </w:p>
  </w:footnote>
  <w:footnote w:id="87">
    <w:p w14:paraId="30868280" w14:textId="77777777" w:rsidR="001D5916" w:rsidRPr="00400349" w:rsidRDefault="001D5916" w:rsidP="001D5916">
      <w:pPr>
        <w:pStyle w:val="FootnoteText"/>
        <w:rPr>
          <w:i/>
          <w:iCs/>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R v McKenzie </w:t>
      </w:r>
      <w:r w:rsidRPr="00400349">
        <w:rPr>
          <w:color w:val="auto"/>
        </w:rPr>
        <w:t xml:space="preserve">HC Greymouth CRI-2008-018-981, 5 December 2008 (upheld in </w:t>
      </w:r>
      <w:r w:rsidRPr="00400349">
        <w:rPr>
          <w:i/>
          <w:color w:val="auto"/>
        </w:rPr>
        <w:t xml:space="preserve">R v McKenzie </w:t>
      </w:r>
      <w:r w:rsidRPr="00400349">
        <w:rPr>
          <w:color w:val="auto"/>
        </w:rPr>
        <w:t>[2009] NZCA 169).</w:t>
      </w:r>
    </w:p>
  </w:footnote>
  <w:footnote w:id="88">
    <w:p w14:paraId="334931B5" w14:textId="04E8C6ED"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An exception is </w:t>
      </w:r>
      <w:r w:rsidRPr="00400349">
        <w:rPr>
          <w:i/>
          <w:color w:val="auto"/>
        </w:rPr>
        <w:t>R v Davidoff</w:t>
      </w:r>
      <w:r w:rsidRPr="00400349">
        <w:rPr>
          <w:color w:val="auto"/>
        </w:rPr>
        <w:t xml:space="preserve"> [2024] NZDC 19266 (at [18]), where the sentencing judge adopted a starting point of 10</w:t>
      </w:r>
      <w:r w:rsidR="00582F2A">
        <w:rPr>
          <w:rFonts w:ascii="Calibri" w:hAnsi="Calibri" w:cs="Calibri"/>
          <w:color w:val="auto"/>
        </w:rPr>
        <w:t> </w:t>
      </w:r>
      <w:r w:rsidRPr="00400349">
        <w:rPr>
          <w:color w:val="auto"/>
        </w:rPr>
        <w:t>months’ imprisonment for the violence itself and applied an uplift of two months (20 per cent) for the</w:t>
      </w:r>
      <w:r w:rsidR="008804E5">
        <w:rPr>
          <w:color w:val="auto"/>
        </w:rPr>
        <w:t xml:space="preserve"> offender’s</w:t>
      </w:r>
      <w:r w:rsidRPr="00400349">
        <w:rPr>
          <w:color w:val="auto"/>
        </w:rPr>
        <w:t xml:space="preserve"> </w:t>
      </w:r>
      <w:r w:rsidR="00B7117A" w:rsidRPr="00400349">
        <w:rPr>
          <w:color w:val="auto"/>
        </w:rPr>
        <w:t xml:space="preserve">hostile </w:t>
      </w:r>
      <w:r w:rsidRPr="00400349">
        <w:rPr>
          <w:color w:val="auto"/>
        </w:rPr>
        <w:t xml:space="preserve">motivation. </w:t>
      </w:r>
      <w:r w:rsidR="00764FF2" w:rsidRPr="00400349">
        <w:rPr>
          <w:color w:val="auto"/>
        </w:rPr>
        <w:t xml:space="preserve">An appeal against sentence was dismissed: </w:t>
      </w:r>
      <w:r w:rsidR="00764FF2" w:rsidRPr="00400349">
        <w:rPr>
          <w:i/>
          <w:color w:val="auto"/>
        </w:rPr>
        <w:t>Davidoff v R</w:t>
      </w:r>
      <w:r w:rsidR="00764FF2" w:rsidRPr="00400349">
        <w:rPr>
          <w:color w:val="auto"/>
        </w:rPr>
        <w:t xml:space="preserve"> [2026] NZCA 126.</w:t>
      </w:r>
      <w:r w:rsidR="00742265" w:rsidRPr="00400349">
        <w:rPr>
          <w:color w:val="auto"/>
        </w:rPr>
        <w:t xml:space="preserve"> The Court of Appeal did not comment on the practice of specifying a discrete uplift.</w:t>
      </w:r>
    </w:p>
  </w:footnote>
  <w:footnote w:id="89">
    <w:p w14:paraId="1A04B1FE" w14:textId="6A820DAF"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Compare </w:t>
      </w:r>
      <w:r w:rsidRPr="00400349">
        <w:rPr>
          <w:i/>
          <w:color w:val="auto"/>
        </w:rPr>
        <w:t>R v Tarrant</w:t>
      </w:r>
      <w:r w:rsidRPr="00400349">
        <w:rPr>
          <w:color w:val="auto"/>
        </w:rPr>
        <w:t xml:space="preserve"> [2020] NZHC 2192, [2020] 3 NZLR 15 at [121], [125] and [156]–[157]</w:t>
      </w:r>
      <w:r w:rsidR="00B9363E" w:rsidRPr="00400349">
        <w:rPr>
          <w:color w:val="auto"/>
        </w:rPr>
        <w:t>;</w:t>
      </w:r>
      <w:r w:rsidRPr="00400349">
        <w:rPr>
          <w:color w:val="auto"/>
        </w:rPr>
        <w:t xml:space="preserve"> and </w:t>
      </w:r>
      <w:r w:rsidRPr="00400349">
        <w:rPr>
          <w:i/>
          <w:color w:val="auto"/>
        </w:rPr>
        <w:t xml:space="preserve">R v McKenzie </w:t>
      </w:r>
      <w:r w:rsidRPr="00400349">
        <w:rPr>
          <w:color w:val="auto"/>
        </w:rPr>
        <w:t>HC Greymouth</w:t>
      </w:r>
      <w:r w:rsidRPr="00400349">
        <w:rPr>
          <w:i/>
          <w:color w:val="auto"/>
        </w:rPr>
        <w:t xml:space="preserve"> </w:t>
      </w:r>
      <w:r w:rsidRPr="00400349">
        <w:rPr>
          <w:color w:val="auto"/>
        </w:rPr>
        <w:t xml:space="preserve">CRI-2008-018-981, 5 December 2008 at [11], [15] and [20]–[21] (clear targeting on ideological grounds) to </w:t>
      </w:r>
      <w:r w:rsidRPr="00400349">
        <w:rPr>
          <w:i/>
          <w:color w:val="auto"/>
        </w:rPr>
        <w:t>Galloway v R</w:t>
      </w:r>
      <w:r w:rsidRPr="00400349">
        <w:rPr>
          <w:color w:val="auto"/>
        </w:rPr>
        <w:t xml:space="preserve"> [2011] NZCA 309 at [38] and [44] (expressions of hostility).</w:t>
      </w:r>
    </w:p>
  </w:footnote>
  <w:footnote w:id="90">
    <w:p w14:paraId="412D0A75" w14:textId="12174448"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Some of these decisions did not expressly refer to the </w:t>
      </w:r>
      <w:r w:rsidR="00255A4A" w:rsidRPr="00400349">
        <w:rPr>
          <w:color w:val="auto"/>
        </w:rPr>
        <w:t>hostility</w:t>
      </w:r>
      <w:r w:rsidRPr="00400349">
        <w:rPr>
          <w:color w:val="auto"/>
        </w:rPr>
        <w:t xml:space="preserve"> aggravating factor in s 9(1)(h) of the Sentencing Act but it appears from the court’s reasons that hostility based on a</w:t>
      </w:r>
      <w:r w:rsidR="00CE2334" w:rsidRPr="00400349">
        <w:rPr>
          <w:color w:val="auto"/>
        </w:rPr>
        <w:t>n</w:t>
      </w:r>
      <w:r w:rsidRPr="00400349">
        <w:rPr>
          <w:color w:val="auto"/>
        </w:rPr>
        <w:t xml:space="preserve"> enduring</w:t>
      </w:r>
      <w:r w:rsidR="00CE2334" w:rsidRPr="00400349">
        <w:rPr>
          <w:color w:val="auto"/>
        </w:rPr>
        <w:t xml:space="preserve"> common</w:t>
      </w:r>
      <w:r w:rsidRPr="00400349">
        <w:rPr>
          <w:color w:val="auto"/>
        </w:rPr>
        <w:t xml:space="preserve"> characteristic was taken into account. As we discuss in </w:t>
      </w:r>
      <w:r w:rsidR="00014DC8" w:rsidRPr="00400349">
        <w:rPr>
          <w:color w:val="auto"/>
        </w:rPr>
        <w:t>C</w:t>
      </w:r>
      <w:r w:rsidRPr="00400349">
        <w:rPr>
          <w:color w:val="auto"/>
        </w:rPr>
        <w:t>hapter 4, in some cases</w:t>
      </w:r>
      <w:r w:rsidR="006E46FA">
        <w:rPr>
          <w:color w:val="auto"/>
        </w:rPr>
        <w:t>,</w:t>
      </w:r>
      <w:r w:rsidRPr="00400349">
        <w:rPr>
          <w:color w:val="auto"/>
        </w:rPr>
        <w:t xml:space="preserve"> it is not entirely clear whether the aggravating factor was applied or not.</w:t>
      </w:r>
    </w:p>
  </w:footnote>
  <w:footnote w:id="91">
    <w:p w14:paraId="0CAF3342" w14:textId="14670ABB" w:rsidR="00CE2334" w:rsidRPr="00400349" w:rsidRDefault="00CE2334">
      <w:pPr>
        <w:pStyle w:val="FootnoteText"/>
      </w:pPr>
      <w:r w:rsidRPr="00400349">
        <w:rPr>
          <w:rStyle w:val="FootnoteReference"/>
        </w:rPr>
        <w:footnoteRef/>
      </w:r>
      <w:r w:rsidRPr="00400349">
        <w:t xml:space="preserve"> </w:t>
      </w:r>
      <w:r w:rsidRPr="00400349">
        <w:tab/>
        <w:t xml:space="preserve">We discuss concerns about the recognition of gang membership as an enduring common characteristic in Chapter </w:t>
      </w:r>
      <w:r w:rsidR="00AC6B82" w:rsidRPr="00400349">
        <w:t>8</w:t>
      </w:r>
      <w:r w:rsidRPr="00400349">
        <w:t xml:space="preserve">. </w:t>
      </w:r>
    </w:p>
  </w:footnote>
  <w:footnote w:id="92">
    <w:p w14:paraId="77F6F248" w14:textId="1B30D3A8"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Section 9(1)(g) of the Sentencing Act refers to the victim’s vulnerability due to their age, health or any other factor known to the offender. It can apply to children, elderly people and people suffering from a medical or mental health condition or disability: see </w:t>
      </w:r>
      <w:r w:rsidRPr="00400349">
        <w:rPr>
          <w:i/>
          <w:color w:val="auto"/>
        </w:rPr>
        <w:t>Sheppard v R</w:t>
      </w:r>
      <w:r w:rsidRPr="00400349">
        <w:rPr>
          <w:color w:val="auto"/>
        </w:rPr>
        <w:t xml:space="preserve"> [2013] NZCA 639 at [15]. </w:t>
      </w:r>
    </w:p>
  </w:footnote>
  <w:footnote w:id="93">
    <w:p w14:paraId="57B9B4CF" w14:textId="115E285B" w:rsidR="001D5916" w:rsidRPr="00400349" w:rsidRDefault="001D5916" w:rsidP="001D5916">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Pr="00400349">
        <w:rPr>
          <w:color w:val="auto"/>
        </w:rPr>
        <w:t>Sentencing Act, s 24A</w:t>
      </w:r>
      <w:r w:rsidR="00145F3E">
        <w:rPr>
          <w:color w:val="auto"/>
        </w:rPr>
        <w:t>;</w:t>
      </w:r>
      <w:r w:rsidRPr="00400349">
        <w:rPr>
          <w:color w:val="auto"/>
        </w:rPr>
        <w:t xml:space="preserve"> and Victims’ Rights Act</w:t>
      </w:r>
      <w:r w:rsidR="00E25BE4" w:rsidRPr="00400349">
        <w:rPr>
          <w:color w:val="auto"/>
        </w:rPr>
        <w:t xml:space="preserve"> 2002</w:t>
      </w:r>
      <w:r w:rsidRPr="00400349">
        <w:rPr>
          <w:color w:val="auto"/>
        </w:rPr>
        <w:t>, s 9.</w:t>
      </w:r>
    </w:p>
  </w:footnote>
  <w:footnote w:id="94">
    <w:p w14:paraId="0A5A3E65" w14:textId="01E2F45F"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E8146D" w:rsidRPr="00400349">
        <w:rPr>
          <w:color w:val="auto"/>
        </w:rPr>
        <w:t xml:space="preserve">Te Tāhū o te Ture | </w:t>
      </w:r>
      <w:r w:rsidRPr="00400349">
        <w:rPr>
          <w:color w:val="auto"/>
        </w:rPr>
        <w:t xml:space="preserve">Ministry of Justice </w:t>
      </w:r>
      <w:r w:rsidRPr="00400349">
        <w:rPr>
          <w:i/>
          <w:color w:val="auto"/>
        </w:rPr>
        <w:t xml:space="preserve">Restorative justice: Practice framework </w:t>
      </w:r>
      <w:r w:rsidRPr="00400349">
        <w:rPr>
          <w:color w:val="auto"/>
        </w:rPr>
        <w:t>(August 2019) at 10–11.</w:t>
      </w:r>
    </w:p>
  </w:footnote>
  <w:footnote w:id="95">
    <w:p w14:paraId="43187053"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Sanjana Hattotuwa; Dr Mark Walters; Dr David Harvey; and Members of Te Hunga Rōia Māori o Aotearoa. </w:t>
      </w:r>
    </w:p>
  </w:footnote>
  <w:footnote w:id="96">
    <w:p w14:paraId="1B99EC82"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Bryan v Police </w:t>
      </w:r>
      <w:r w:rsidRPr="00400349">
        <w:rPr>
          <w:color w:val="auto"/>
        </w:rPr>
        <w:t>HC Auckland CRI-2009-404-45, 3 April 2009 at [51].</w:t>
      </w:r>
    </w:p>
  </w:footnote>
  <w:footnote w:id="97">
    <w:p w14:paraId="7B12EE38" w14:textId="77777777"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Corrections Act 2004, s 5(1)(c).</w:t>
      </w:r>
    </w:p>
  </w:footnote>
  <w:footnote w:id="98">
    <w:p w14:paraId="2049E6FD" w14:textId="28915E68" w:rsidR="001D5916" w:rsidRPr="00400349" w:rsidRDefault="001D5916" w:rsidP="001D591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Ngā Pirihimana o Aotearoa | New Zealand Police “</w:t>
      </w:r>
      <w:r w:rsidRPr="00400349">
        <w:t>He Aranga Ake</w:t>
      </w:r>
      <w:r w:rsidRPr="00400349">
        <w:rPr>
          <w:color w:val="auto"/>
        </w:rPr>
        <w:t>” &lt;www.police.govt.nz&gt;.</w:t>
      </w:r>
    </w:p>
  </w:footnote>
  <w:footnote w:id="99">
    <w:p w14:paraId="2D601B42"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Hara ngākau kino | Hate crime: Consultation Paper</w:t>
      </w:r>
      <w:r w:rsidRPr="00400349">
        <w:rPr>
          <w:color w:val="auto"/>
        </w:rPr>
        <w:t xml:space="preserve"> (NZLC IP55, 2025) (Consultation Paper) at [3.4]. </w:t>
      </w:r>
    </w:p>
  </w:footnote>
  <w:footnote w:id="100">
    <w:p w14:paraId="5B028B77"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For a summary of the literature and a more detailed explanation of these reasons, see James Chalmers and Fiona Leverick </w:t>
      </w:r>
      <w:r w:rsidRPr="00400349">
        <w:rPr>
          <w:i/>
          <w:color w:val="auto"/>
        </w:rPr>
        <w:t xml:space="preserve">A Comparative Analysis of Hate Crime Legislation: A Report to the Hate Crime Legislation Review </w:t>
      </w:r>
      <w:r w:rsidRPr="00400349">
        <w:rPr>
          <w:color w:val="auto"/>
        </w:rPr>
        <w:t xml:space="preserve">(University of Glasgow, July 2017) at 23–39. </w:t>
      </w:r>
    </w:p>
  </w:footnote>
  <w:footnote w:id="101">
    <w:p w14:paraId="0BAD41EE"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Sentencing and Parole Reform Bill 2002 (148-2) (select committee report) at 12. </w:t>
      </w:r>
    </w:p>
  </w:footnote>
  <w:footnote w:id="102">
    <w:p w14:paraId="10C6F7F1"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Legislation Design and Advisory Committee </w:t>
      </w:r>
      <w:r w:rsidRPr="00400349">
        <w:rPr>
          <w:i/>
          <w:color w:val="auto"/>
        </w:rPr>
        <w:t xml:space="preserve">Legislation Guidelines </w:t>
      </w:r>
      <w:r w:rsidRPr="00400349">
        <w:rPr>
          <w:color w:val="auto"/>
        </w:rPr>
        <w:t xml:space="preserve">(2021) at 121 and 123. </w:t>
      </w:r>
    </w:p>
  </w:footnote>
  <w:footnote w:id="103">
    <w:p w14:paraId="3C22A008"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R v Boskovic </w:t>
      </w:r>
      <w:r w:rsidRPr="00400349">
        <w:rPr>
          <w:color w:val="auto"/>
        </w:rPr>
        <w:t xml:space="preserve">CA33/06, 12 December 2006 at [36]. </w:t>
      </w:r>
    </w:p>
  </w:footnote>
  <w:footnote w:id="104">
    <w:p w14:paraId="62E174FA" w14:textId="77777777" w:rsidR="004D369A" w:rsidRPr="00400349" w:rsidRDefault="004D369A" w:rsidP="004D369A">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Organization for Security and Co-operation in Europe </w:t>
      </w:r>
      <w:r w:rsidRPr="00400349">
        <w:rPr>
          <w:i/>
          <w:color w:val="auto"/>
        </w:rPr>
        <w:t>Hate Crime Laws: A Practical Guide</w:t>
      </w:r>
      <w:r w:rsidRPr="00400349">
        <w:rPr>
          <w:color w:val="auto"/>
        </w:rPr>
        <w:t xml:space="preserve"> (2nd ed, Office for Democratic Institutions and Human Rights, 2022) at 20.</w:t>
      </w:r>
    </w:p>
  </w:footnote>
  <w:footnote w:id="105">
    <w:p w14:paraId="2DFF1A2E"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Clare Godfryd “A Denial of Personhood: Why Hate Crime Legislation is Necessary to Assure Proportionality in Punishment” (2023) 114(2) JCLC Online 63 at 64–65.</w:t>
      </w:r>
    </w:p>
  </w:footnote>
  <w:footnote w:id="106">
    <w:p w14:paraId="2E9C15E0" w14:textId="106717BE"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Office for Democratic Institutions and Human Rights </w:t>
      </w:r>
      <w:r w:rsidRPr="00400349">
        <w:rPr>
          <w:i/>
          <w:color w:val="auto"/>
        </w:rPr>
        <w:t xml:space="preserve">Understanding the Needs of Hate Crime Victims </w:t>
      </w:r>
      <w:r w:rsidRPr="00400349">
        <w:rPr>
          <w:color w:val="auto"/>
        </w:rPr>
        <w:t>(Organization for Security and Co-operation in Europe, 2020) at 11; and Mark Austin Walters “Conceptualizing ‘Hostility’ for Hate Crime Law: Minding ‘the Minutiae’ when Interpreting Section 28(1)(a) of the Crime and Disorder Act 1998” (2014) 34(1) Oxf J Leg Stud</w:t>
      </w:r>
      <w:r w:rsidRPr="00400349">
        <w:rPr>
          <w:i/>
          <w:color w:val="auto"/>
        </w:rPr>
        <w:t xml:space="preserve"> </w:t>
      </w:r>
      <w:r w:rsidRPr="00400349">
        <w:rPr>
          <w:color w:val="auto"/>
        </w:rPr>
        <w:t>47 at 52.</w:t>
      </w:r>
    </w:p>
  </w:footnote>
  <w:footnote w:id="107">
    <w:p w14:paraId="350010EF"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Madeline Ash; Grace Carroll; Disabled Persons Assembly and VisAble (joint submission); Donald Beasley Institute and People First New Zealand (joint submission); Michael Fitzgerald; Parents of Vision Impaired; Pride in Law Otago; Submission 43; and The Law Association of New Zealand Public and Administrative Law Committee. </w:t>
      </w:r>
    </w:p>
  </w:footnote>
  <w:footnote w:id="108">
    <w:p w14:paraId="5DD52D72" w14:textId="0F121718" w:rsidR="0035348E" w:rsidRPr="00400349" w:rsidRDefault="0035348E" w:rsidP="003D252F">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Grace Carroll; Dr David Harvey; Inclusive Aotearoa Collective Tāhono; Luke Cunningham Clere; Pride in Law Otago; Murray Stirling; Submission 43; The Law Association of New Zealand Public and Administrative Law Committee; Dr Mark Walters; and Women’s Rights Party.</w:t>
      </w:r>
    </w:p>
  </w:footnote>
  <w:footnote w:id="109">
    <w:p w14:paraId="563D68D9" w14:textId="6A51309A"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David Harvey; Inclusive Aotearoa Collective Tāhono; Luke Cunningham Clere; Submission 43; Submission 63; Dr Mark Walters; and Dr Chris Wilson. </w:t>
      </w:r>
    </w:p>
  </w:footnote>
  <w:footnote w:id="110">
    <w:p w14:paraId="0CEC1F08"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Grace Carroll; Donald Beasley Institute and People First New Zealand (joint submission); Michael Fitzgerald; Dr David Harvey; Parents of Vision Impaired; and Submission 43.</w:t>
      </w:r>
    </w:p>
  </w:footnote>
  <w:footnote w:id="111">
    <w:p w14:paraId="596F3359"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Disabled Persons Assembly and VisAble (joint submission); Dr David Harvey; and Submission 43.</w:t>
      </w:r>
    </w:p>
  </w:footnote>
  <w:footnote w:id="112">
    <w:p w14:paraId="1A11B513"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Mark Walters. </w:t>
      </w:r>
    </w:p>
  </w:footnote>
  <w:footnote w:id="113">
    <w:p w14:paraId="345C6847"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Grace Carroll; Inclusive Aotearoa Collective Tāhono; Submission 43; and Women’s Rights Party. </w:t>
      </w:r>
    </w:p>
  </w:footnote>
  <w:footnote w:id="114">
    <w:p w14:paraId="5819457B"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Inclusive Aotearoa Collective Tāhono; Dr Mark Walters; and Women’s Rights Party.</w:t>
      </w:r>
    </w:p>
  </w:footnote>
  <w:footnote w:id="115">
    <w:p w14:paraId="5C8B69C8"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Inclusive Aotearoa Collective Tāhono.</w:t>
      </w:r>
    </w:p>
  </w:footnote>
  <w:footnote w:id="116">
    <w:p w14:paraId="6B65FF49"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Submission 43; and Dr Mark Walters.</w:t>
      </w:r>
    </w:p>
  </w:footnote>
  <w:footnote w:id="117">
    <w:p w14:paraId="2782FE3E" w14:textId="50812253" w:rsidR="004624EC" w:rsidRPr="00400349" w:rsidRDefault="004624EC">
      <w:pPr>
        <w:pStyle w:val="FootnoteText"/>
      </w:pPr>
      <w:r w:rsidRPr="00400349">
        <w:rPr>
          <w:rStyle w:val="FootnoteReference"/>
        </w:rPr>
        <w:footnoteRef/>
      </w:r>
      <w:r w:rsidRPr="00400349">
        <w:t xml:space="preserve"> </w:t>
      </w:r>
      <w:r w:rsidRPr="00400349">
        <w:tab/>
      </w:r>
      <w:r w:rsidR="00DA7CE1" w:rsidRPr="00400349">
        <w:t xml:space="preserve">Te Kāhui o Ināia Tonu Nei Charitable Trust. </w:t>
      </w:r>
    </w:p>
  </w:footnote>
  <w:footnote w:id="118">
    <w:p w14:paraId="42FF875C"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Grace Carroll; Dr David Harvey; Inclusive Aotearoa Collective Tāhono; Luke Cunningham Clere; Dr Mark Walters; and Dr Chris Wilson.</w:t>
      </w:r>
    </w:p>
  </w:footnote>
  <w:footnote w:id="119">
    <w:p w14:paraId="5FF8A75E"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Submission 43; and Women’s Rights Party.</w:t>
      </w:r>
    </w:p>
  </w:footnote>
  <w:footnote w:id="120">
    <w:p w14:paraId="61399DE8"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David Harvey. </w:t>
      </w:r>
    </w:p>
  </w:footnote>
  <w:footnote w:id="121">
    <w:p w14:paraId="7A6BC889"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Submission 72. </w:t>
      </w:r>
    </w:p>
  </w:footnote>
  <w:footnote w:id="122">
    <w:p w14:paraId="13F92842" w14:textId="7E5DF69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James Chalmers and Fiona Leverick </w:t>
      </w:r>
      <w:r w:rsidRPr="00400349">
        <w:rPr>
          <w:i/>
          <w:color w:val="auto"/>
        </w:rPr>
        <w:t>A Comparative Analysis of Hate Crime Legislation: A Report to the Hate Crime Legislation Review</w:t>
      </w:r>
      <w:r w:rsidRPr="00400349">
        <w:rPr>
          <w:color w:val="auto"/>
        </w:rPr>
        <w:t xml:space="preserve"> (University of Glasgow, July 2017) at 25–27.</w:t>
      </w:r>
    </w:p>
  </w:footnote>
  <w:footnote w:id="123">
    <w:p w14:paraId="588A2273" w14:textId="4B9385CC"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E03684" w:rsidRPr="00400349">
        <w:rPr>
          <w:color w:val="auto"/>
        </w:rPr>
        <w:t>Organi</w:t>
      </w:r>
      <w:r w:rsidR="00093615" w:rsidRPr="00400349">
        <w:rPr>
          <w:color w:val="auto"/>
        </w:rPr>
        <w:t>z</w:t>
      </w:r>
      <w:r w:rsidR="00E03684" w:rsidRPr="00400349">
        <w:rPr>
          <w:color w:val="auto"/>
        </w:rPr>
        <w:t>ation for Security and Co</w:t>
      </w:r>
      <w:r w:rsidR="00465F4A" w:rsidRPr="00400349">
        <w:rPr>
          <w:color w:val="auto"/>
        </w:rPr>
        <w:t>-</w:t>
      </w:r>
      <w:r w:rsidR="00E03684" w:rsidRPr="00400349">
        <w:rPr>
          <w:color w:val="auto"/>
        </w:rPr>
        <w:t xml:space="preserve">operation in Europe </w:t>
      </w:r>
      <w:r w:rsidR="00E03684" w:rsidRPr="00400349">
        <w:rPr>
          <w:i/>
          <w:color w:val="auto"/>
        </w:rPr>
        <w:t>Hate Crime Laws: A Practical Guide</w:t>
      </w:r>
      <w:r w:rsidR="00E03684" w:rsidRPr="00400349">
        <w:rPr>
          <w:color w:val="auto"/>
        </w:rPr>
        <w:t xml:space="preserve"> (2nd ed, Office for Democratic Institutions and Human Rights, 2022)</w:t>
      </w:r>
      <w:r w:rsidRPr="00400349">
        <w:rPr>
          <w:color w:val="auto"/>
        </w:rPr>
        <w:t xml:space="preserve"> at 20.</w:t>
      </w:r>
    </w:p>
  </w:footnote>
  <w:footnote w:id="124">
    <w:p w14:paraId="465871A4" w14:textId="6600B2AB"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Mark A Walters and others “Group identity, empathy and shared suffering: Understanding the ‘community’ impacts of anti-LGBT and Islamophobic hate crimes” (2020) 26 Intl Rev Vict 143; and Amanda Haynes and Jennifer Schweppe “LGB and T? The Specificity of Anti-Transgender Hate Crime” in Amanda Haynes, Jennifer Schweppe and Seamus Taylor (eds) </w:t>
      </w:r>
      <w:r w:rsidRPr="00400349">
        <w:rPr>
          <w:i/>
          <w:color w:val="auto"/>
        </w:rPr>
        <w:t>Critical Perspectives on Hate Crime: Contributions from the Island of Ireland</w:t>
      </w:r>
      <w:r w:rsidRPr="00400349">
        <w:rPr>
          <w:color w:val="auto"/>
        </w:rPr>
        <w:t xml:space="preserve"> (Palgrave MacMillan, London, 2017) 111 at 130.</w:t>
      </w:r>
    </w:p>
  </w:footnote>
  <w:footnote w:id="125">
    <w:p w14:paraId="4A0C6E94" w14:textId="028A1AD6"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Barbara Perry and Shahid Alvi “‘We are all vulnerable’: the </w:t>
      </w:r>
      <w:r w:rsidRPr="00400349">
        <w:rPr>
          <w:i/>
          <w:color w:val="auto"/>
        </w:rPr>
        <w:t>in terrorem</w:t>
      </w:r>
      <w:r w:rsidRPr="00400349">
        <w:rPr>
          <w:color w:val="auto"/>
        </w:rPr>
        <w:t xml:space="preserve"> effects of hate crimes” (2011) 18 Intl Rev Vict 57 at 59.</w:t>
      </w:r>
    </w:p>
  </w:footnote>
  <w:footnote w:id="126">
    <w:p w14:paraId="59FB00FA" w14:textId="053B1D7D"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777287" w:rsidRPr="00400349">
        <w:rPr>
          <w:color w:val="auto"/>
        </w:rPr>
        <w:t>Organi</w:t>
      </w:r>
      <w:r w:rsidR="00093615" w:rsidRPr="00400349">
        <w:rPr>
          <w:color w:val="auto"/>
        </w:rPr>
        <w:t>z</w:t>
      </w:r>
      <w:r w:rsidR="00777287" w:rsidRPr="00400349">
        <w:rPr>
          <w:color w:val="auto"/>
        </w:rPr>
        <w:t>ation for Security and Co</w:t>
      </w:r>
      <w:r w:rsidR="00465F4A" w:rsidRPr="00400349">
        <w:rPr>
          <w:color w:val="auto"/>
        </w:rPr>
        <w:t>-</w:t>
      </w:r>
      <w:r w:rsidR="00777287" w:rsidRPr="00400349">
        <w:rPr>
          <w:color w:val="auto"/>
        </w:rPr>
        <w:t xml:space="preserve">operation in Europe </w:t>
      </w:r>
      <w:r w:rsidR="00777287" w:rsidRPr="00400349">
        <w:rPr>
          <w:i/>
          <w:color w:val="auto"/>
        </w:rPr>
        <w:t>Hate Crime Laws: A Practical Guide</w:t>
      </w:r>
      <w:r w:rsidR="00777287" w:rsidRPr="00400349">
        <w:rPr>
          <w:color w:val="auto"/>
        </w:rPr>
        <w:t xml:space="preserve"> (2nd ed, Office for Democratic Institutions and Human Rights, 2022) </w:t>
      </w:r>
      <w:r w:rsidRPr="00400349">
        <w:rPr>
          <w:color w:val="auto"/>
        </w:rPr>
        <w:t>at 21.</w:t>
      </w:r>
    </w:p>
  </w:footnote>
  <w:footnote w:id="127">
    <w:p w14:paraId="0D614F2A"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James Chalmers and Fiona Leverick </w:t>
      </w:r>
      <w:r w:rsidRPr="00400349">
        <w:rPr>
          <w:i/>
          <w:color w:val="auto"/>
        </w:rPr>
        <w:t>A Comparative Analysis of Hate Crime Legislation: A Report to the Hate Crime Legislation Review</w:t>
      </w:r>
      <w:r w:rsidRPr="00400349">
        <w:rPr>
          <w:color w:val="auto"/>
        </w:rPr>
        <w:t xml:space="preserve"> (University of Glasgow, July 2017) at 32–33; and Barbara Perry “Exploring the community impacts of hate crime” in Nathan Hall and others (eds) </w:t>
      </w:r>
      <w:r w:rsidRPr="00400349">
        <w:rPr>
          <w:i/>
          <w:color w:val="auto"/>
        </w:rPr>
        <w:t>The Routledge International Handbook on Hate Crime</w:t>
      </w:r>
      <w:r w:rsidRPr="00400349">
        <w:rPr>
          <w:color w:val="auto"/>
        </w:rPr>
        <w:t xml:space="preserve"> (Routledge, New York, 2015) 47 at 53.</w:t>
      </w:r>
    </w:p>
  </w:footnote>
  <w:footnote w:id="128">
    <w:p w14:paraId="6926B7A7" w14:textId="7FB8E9C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Mark Austin Walters “Conceptualizing </w:t>
      </w:r>
      <w:r w:rsidR="001C05F6">
        <w:rPr>
          <w:color w:val="auto"/>
        </w:rPr>
        <w:t>‘</w:t>
      </w:r>
      <w:r w:rsidRPr="00400349">
        <w:rPr>
          <w:color w:val="auto"/>
        </w:rPr>
        <w:t>Hostility</w:t>
      </w:r>
      <w:r w:rsidR="001C05F6">
        <w:rPr>
          <w:color w:val="auto"/>
        </w:rPr>
        <w:t>’</w:t>
      </w:r>
      <w:r w:rsidRPr="00400349">
        <w:rPr>
          <w:color w:val="auto"/>
        </w:rPr>
        <w:t xml:space="preserve"> for Hate Crime Law: Minding </w:t>
      </w:r>
      <w:r w:rsidR="0013412F">
        <w:rPr>
          <w:color w:val="auto"/>
        </w:rPr>
        <w:t>‘</w:t>
      </w:r>
      <w:r w:rsidRPr="00400349">
        <w:rPr>
          <w:color w:val="auto"/>
        </w:rPr>
        <w:t>the Minutiae</w:t>
      </w:r>
      <w:r w:rsidR="0013412F">
        <w:rPr>
          <w:color w:val="auto"/>
        </w:rPr>
        <w:t>’</w:t>
      </w:r>
      <w:r w:rsidRPr="00400349">
        <w:rPr>
          <w:color w:val="auto"/>
        </w:rPr>
        <w:t xml:space="preserve"> when Interpreting Section 28(1)(a) of the Crime and Disorder Act 1998” (2014) 34(1) Oxf J Leg Stud 47; and John Ip “Debating New Zealand</w:t>
      </w:r>
      <w:r w:rsidR="0013412F">
        <w:rPr>
          <w:color w:val="auto"/>
        </w:rPr>
        <w:t>’</w:t>
      </w:r>
      <w:r w:rsidRPr="00400349">
        <w:rPr>
          <w:color w:val="auto"/>
        </w:rPr>
        <w:t xml:space="preserve">s Hate Crime Legislation: Theory and Practice” (2005) 21 NZULR 575 at 592 and 594. </w:t>
      </w:r>
    </w:p>
  </w:footnote>
  <w:footnote w:id="129">
    <w:p w14:paraId="0D6060C1"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Maxim Institute; and Pride in Law Otago.</w:t>
      </w:r>
    </w:p>
  </w:footnote>
  <w:footnote w:id="130">
    <w:p w14:paraId="456C92D8"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Law Association of New Zealand Public and Administrative Law Committee.</w:t>
      </w:r>
    </w:p>
  </w:footnote>
  <w:footnote w:id="131">
    <w:p w14:paraId="714A544A"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David Harvey. </w:t>
      </w:r>
    </w:p>
  </w:footnote>
  <w:footnote w:id="132">
    <w:p w14:paraId="19692D00" w14:textId="138FBBD8" w:rsidR="0035348E" w:rsidRPr="00400349" w:rsidRDefault="0035348E" w:rsidP="00C95775">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See for example Gail Mason “Penalty Enhancement Laws: A Model for Regulating Hate Crime in Australia?” (2021) 48 UWAL Rev 470 at 477.</w:t>
      </w:r>
    </w:p>
  </w:footnote>
  <w:footnote w:id="133">
    <w:p w14:paraId="031C2F8D"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For example, the New Zealand Bill of Rights Act 1990 protects the rights of minorities, freedom of religion, freedom of association and freedom from discrimination (ss 13, 15, 17, 19 and 20).</w:t>
      </w:r>
    </w:p>
  </w:footnote>
  <w:footnote w:id="134">
    <w:p w14:paraId="6B58F689" w14:textId="3128F4F1"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and Parole Reform Bill 2002 (148</w:t>
      </w:r>
      <w:r w:rsidR="00964348" w:rsidRPr="00400349">
        <w:rPr>
          <w:color w:val="auto"/>
        </w:rPr>
        <w:t>-</w:t>
      </w:r>
      <w:r w:rsidRPr="00400349">
        <w:rPr>
          <w:color w:val="auto"/>
        </w:rPr>
        <w:t xml:space="preserve">2) (select committee report) at 12. See also </w:t>
      </w:r>
      <w:r w:rsidRPr="00400349">
        <w:rPr>
          <w:i/>
          <w:color w:val="auto"/>
          <w:lang w:val="mi-NZ"/>
        </w:rPr>
        <w:t>Arps v Police</w:t>
      </w:r>
      <w:r w:rsidRPr="00400349">
        <w:rPr>
          <w:color w:val="auto"/>
          <w:lang w:val="mi-NZ"/>
        </w:rPr>
        <w:t xml:space="preserve"> [2019] NZCA 592</w:t>
      </w:r>
      <w:r w:rsidR="00663087" w:rsidRPr="00400349">
        <w:rPr>
          <w:color w:val="auto"/>
          <w:lang w:val="mi-NZ"/>
        </w:rPr>
        <w:t>, [2020] 2 NZLR</w:t>
      </w:r>
      <w:r w:rsidR="00DC2A4B" w:rsidRPr="00400349">
        <w:rPr>
          <w:color w:val="auto"/>
          <w:lang w:val="mi-NZ"/>
        </w:rPr>
        <w:t xml:space="preserve"> 94</w:t>
      </w:r>
      <w:r w:rsidRPr="00400349">
        <w:rPr>
          <w:color w:val="auto"/>
          <w:lang w:val="mi-NZ"/>
        </w:rPr>
        <w:t xml:space="preserve"> at [48].</w:t>
      </w:r>
    </w:p>
  </w:footnote>
  <w:footnote w:id="135">
    <w:p w14:paraId="4EF6CD17" w14:textId="64E2230B"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Legislation Design and Advisory Committee </w:t>
      </w:r>
      <w:r w:rsidRPr="00400349">
        <w:rPr>
          <w:i/>
          <w:color w:val="auto"/>
        </w:rPr>
        <w:t xml:space="preserve">Legislation </w:t>
      </w:r>
      <w:r w:rsidR="00875586" w:rsidRPr="00400349">
        <w:rPr>
          <w:i/>
          <w:color w:val="auto"/>
        </w:rPr>
        <w:t>G</w:t>
      </w:r>
      <w:r w:rsidRPr="00400349">
        <w:rPr>
          <w:i/>
          <w:color w:val="auto"/>
        </w:rPr>
        <w:t>uidelines</w:t>
      </w:r>
      <w:r w:rsidRPr="00400349">
        <w:rPr>
          <w:color w:val="auto"/>
        </w:rPr>
        <w:t xml:space="preserve"> (2021) at 121 (referring to punishment, denunciation and deterrence as purposes of creating criminal offences).</w:t>
      </w:r>
    </w:p>
  </w:footnote>
  <w:footnote w:id="136">
    <w:p w14:paraId="6D26D022" w14:textId="3F380B54"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2002, s 7(1)(a), (c), (e) and (f).</w:t>
      </w:r>
    </w:p>
  </w:footnote>
  <w:footnote w:id="137">
    <w:p w14:paraId="050B8DF5" w14:textId="5C753AC3"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Clare Godfryd “A Denial of Personhood: Why Hate Crime Legislation </w:t>
      </w:r>
      <w:r w:rsidR="007431D6">
        <w:rPr>
          <w:color w:val="auto"/>
        </w:rPr>
        <w:t>i</w:t>
      </w:r>
      <w:r w:rsidRPr="00400349">
        <w:rPr>
          <w:color w:val="auto"/>
        </w:rPr>
        <w:t xml:space="preserve">s Necessary to Assure Proportionality in Punishment” (2023) 114(2) JCLC Online 63 at 68–70; Kamban Naidoo “The </w:t>
      </w:r>
      <w:r w:rsidRPr="00400349">
        <w:rPr>
          <w:i/>
          <w:color w:val="auto"/>
        </w:rPr>
        <w:t>raison d</w:t>
      </w:r>
      <w:r w:rsidR="007431D6">
        <w:rPr>
          <w:i/>
          <w:color w:val="auto"/>
        </w:rPr>
        <w:t>’</w:t>
      </w:r>
      <w:r w:rsidRPr="00400349">
        <w:rPr>
          <w:i/>
          <w:color w:val="auto"/>
        </w:rPr>
        <w:t>être</w:t>
      </w:r>
      <w:r w:rsidRPr="00400349">
        <w:rPr>
          <w:color w:val="auto"/>
        </w:rPr>
        <w:t xml:space="preserve"> of hate-crime laws” (2016) 29(2) SACJ 158 at 164; and Gail Mason “The Penal Politics of Hatred” (2009) 42(3) ANZJ Crim 275 at 280. Proportionality is accepted as an important principle of sentencing in Aotearoa New Zealand: </w:t>
      </w:r>
      <w:r w:rsidRPr="00400349">
        <w:rPr>
          <w:i/>
          <w:color w:val="auto"/>
        </w:rPr>
        <w:t>Moses v R</w:t>
      </w:r>
      <w:r w:rsidRPr="00400349">
        <w:rPr>
          <w:color w:val="auto"/>
        </w:rPr>
        <w:t xml:space="preserve"> [2020] NZCA 296, [2020] 3 NZLR 583 at [8].</w:t>
      </w:r>
    </w:p>
  </w:footnote>
  <w:footnote w:id="138">
    <w:p w14:paraId="2751AF2C" w14:textId="1111514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Jennifer Schweppe “What is a hate crime?” (2021) 7(1) Cogent Soc</w:t>
      </w:r>
      <w:r w:rsidR="00F30DE1" w:rsidRPr="00400349">
        <w:rPr>
          <w:color w:val="auto"/>
        </w:rPr>
        <w:t>ial</w:t>
      </w:r>
      <w:r w:rsidRPr="00400349">
        <w:rPr>
          <w:color w:val="auto"/>
        </w:rPr>
        <w:t xml:space="preserve"> Sci</w:t>
      </w:r>
      <w:r w:rsidR="00F30DE1" w:rsidRPr="00400349">
        <w:rPr>
          <w:color w:val="auto"/>
        </w:rPr>
        <w:t>ences</w:t>
      </w:r>
      <w:r w:rsidRPr="00400349">
        <w:rPr>
          <w:color w:val="auto"/>
        </w:rPr>
        <w:t xml:space="preserve"> 1 at 4; Gail Mason “The symbolic purpose of hate crime law: Ideal victims and emotion” (2014) 18 Theoretical Criminology 75 at 78; and Clare Godfryd “A Denial of Personhood: Why Hate Crime Legislation </w:t>
      </w:r>
      <w:r w:rsidR="00BC55DD">
        <w:rPr>
          <w:color w:val="auto"/>
        </w:rPr>
        <w:t>i</w:t>
      </w:r>
      <w:r w:rsidRPr="00400349">
        <w:rPr>
          <w:color w:val="auto"/>
        </w:rPr>
        <w:t>s Necessary to Assure Proportionality in Punishment” (2023) 114 Journal of Criminal Law and Criminology Online 63 at 67.</w:t>
      </w:r>
    </w:p>
  </w:footnote>
  <w:footnote w:id="139">
    <w:p w14:paraId="03B9E32F"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Annette Sykes &amp; Co; Dr David Harvey; Luke Cunningham Clere; Te Kāhui Ture o Aotearoa | New Zealand Law Society; The Law Association of New Zealand Criminal Law Committee; The Law Association of New Zealand Public and Administrative Law Committee; and Dr Chris Wilson.</w:t>
      </w:r>
    </w:p>
  </w:footnote>
  <w:footnote w:id="140">
    <w:p w14:paraId="0D4D3E65"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Luke Cunningham Clere. </w:t>
      </w:r>
    </w:p>
  </w:footnote>
  <w:footnote w:id="141">
    <w:p w14:paraId="675F64A2" w14:textId="4A8E6571"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Clare Godfryd “A Denial of Personhood: Why Hate Crime Legislation </w:t>
      </w:r>
      <w:r w:rsidR="002276EE">
        <w:rPr>
          <w:color w:val="auto"/>
        </w:rPr>
        <w:t>i</w:t>
      </w:r>
      <w:r w:rsidRPr="00400349">
        <w:rPr>
          <w:color w:val="auto"/>
        </w:rPr>
        <w:t xml:space="preserve">s Necessary to Assure Proportionality in Punishment” (2023) 114(2) JCLC Online 63 at 67; Ann C McGinley “Misogyny and Murder” (2022) 45(1) Harv JLG 177 at 241; Sara Sun Beale “Federalizing Hate Crimes: Symbolic Politics, Expressive Law, or Tool for Criminal Enforcement?” (2000) 80(5) BUL Rev 1227 at 1254–1255 and 1259; and Desmond Marrinan </w:t>
      </w:r>
      <w:r w:rsidRPr="00400349">
        <w:rPr>
          <w:i/>
          <w:color w:val="auto"/>
        </w:rPr>
        <w:t>Hate crime legislation in Northern Ireland: Independent Review</w:t>
      </w:r>
      <w:r w:rsidRPr="00400349">
        <w:rPr>
          <w:color w:val="auto"/>
        </w:rPr>
        <w:t xml:space="preserve"> (Department of Justice, December 2020) at [3.66].</w:t>
      </w:r>
    </w:p>
  </w:footnote>
  <w:footnote w:id="142">
    <w:p w14:paraId="51A480AE" w14:textId="291EB4EE"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Mark Austin Walters “Conceptualizing ‘Hostility’ for Hate Crime Law: Minding </w:t>
      </w:r>
      <w:r w:rsidR="003D2FD6">
        <w:rPr>
          <w:color w:val="auto"/>
        </w:rPr>
        <w:t>‘</w:t>
      </w:r>
      <w:r w:rsidRPr="00400349">
        <w:rPr>
          <w:color w:val="auto"/>
        </w:rPr>
        <w:t>the Minutiae</w:t>
      </w:r>
      <w:r w:rsidR="003D2FD6">
        <w:rPr>
          <w:color w:val="auto"/>
        </w:rPr>
        <w:t>’</w:t>
      </w:r>
      <w:r w:rsidRPr="00400349">
        <w:rPr>
          <w:color w:val="auto"/>
        </w:rPr>
        <w:t xml:space="preserve"> when Interpreting Section 28(1)(a) of the Crime and Disorder Act 1998” (2014) 34(1) Oxf J Leg Stud 47 at 55; and Kamban Naidoo “The </w:t>
      </w:r>
      <w:r w:rsidRPr="00400349">
        <w:rPr>
          <w:i/>
          <w:color w:val="auto"/>
        </w:rPr>
        <w:t>raison d</w:t>
      </w:r>
      <w:r w:rsidR="002F7D74">
        <w:rPr>
          <w:i/>
          <w:color w:val="auto"/>
        </w:rPr>
        <w:t>’</w:t>
      </w:r>
      <w:r w:rsidRPr="00400349">
        <w:rPr>
          <w:i/>
          <w:color w:val="auto"/>
        </w:rPr>
        <w:t>être</w:t>
      </w:r>
      <w:r w:rsidRPr="00400349">
        <w:rPr>
          <w:color w:val="auto"/>
        </w:rPr>
        <w:t xml:space="preserve"> of hate-crime laws” (2016) 29(2) SACJ 158 at 170.</w:t>
      </w:r>
    </w:p>
  </w:footnote>
  <w:footnote w:id="143">
    <w:p w14:paraId="2EE96748" w14:textId="5CAD1147"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r>
      <w:r w:rsidRPr="00400349">
        <w:rPr>
          <w:color w:val="auto"/>
        </w:rPr>
        <w:t xml:space="preserve">Legislation Design and Advisory Committee </w:t>
      </w:r>
      <w:r w:rsidRPr="00400349">
        <w:rPr>
          <w:i/>
          <w:color w:val="auto"/>
        </w:rPr>
        <w:t>Legislation guidelines</w:t>
      </w:r>
      <w:r w:rsidRPr="00400349">
        <w:rPr>
          <w:color w:val="auto"/>
        </w:rPr>
        <w:t xml:space="preserve"> (2021) at 121; and Sentencing Act, s 7(1)(f).</w:t>
      </w:r>
    </w:p>
  </w:footnote>
  <w:footnote w:id="144">
    <w:p w14:paraId="4B2C075A" w14:textId="77777777" w:rsidR="0035348E" w:rsidRPr="00400349" w:rsidRDefault="0035348E" w:rsidP="0035348E">
      <w:pPr>
        <w:pStyle w:val="FootnoteText"/>
        <w:rPr>
          <w:color w:val="auto"/>
          <w:lang w:val="en-GB"/>
        </w:rPr>
      </w:pPr>
      <w:r w:rsidRPr="00400349">
        <w:rPr>
          <w:rStyle w:val="FootnoteReference"/>
          <w:color w:val="auto"/>
        </w:rPr>
        <w:footnoteRef/>
      </w:r>
      <w:r w:rsidRPr="00400349">
        <w:rPr>
          <w:color w:val="auto"/>
        </w:rPr>
        <w:t xml:space="preserve"> </w:t>
      </w:r>
      <w:r w:rsidRPr="00400349">
        <w:rPr>
          <w:color w:val="auto"/>
          <w:lang w:val="en-GB"/>
        </w:rPr>
        <w:tab/>
      </w:r>
      <w:r w:rsidRPr="00400349">
        <w:rPr>
          <w:color w:val="auto"/>
        </w:rPr>
        <w:t>Dr David Harvey; Lesbian Action for Visibility in Aotearoa; Pride in Law Otago; Sikh Council of New Zealand; Submission 50; The Law Association of New Zealand Criminal Law Committee; The Law Association of New Zealand Public and Administrative Law Committee; and Dr Chris Wilson.</w:t>
      </w:r>
    </w:p>
  </w:footnote>
  <w:footnote w:id="145">
    <w:p w14:paraId="7322EB7F"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Lesbian Action for Visibility in Aotearoa; Maxim Institute; Pride Law in Otago; Sikh Council of New Zealand; Submission 50; and The Law Association of New Zealand Criminal Law Committee.</w:t>
      </w:r>
    </w:p>
  </w:footnote>
  <w:footnote w:id="146">
    <w:p w14:paraId="1DB1653E"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David Harvey; and Dr Chris Wilson. </w:t>
      </w:r>
    </w:p>
  </w:footnote>
  <w:footnote w:id="147">
    <w:p w14:paraId="3985C9F9"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Annette Sykes &amp; Co.</w:t>
      </w:r>
    </w:p>
  </w:footnote>
  <w:footnote w:id="148">
    <w:p w14:paraId="5CA2361D" w14:textId="72EDEA51"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lang w:val="mi-NZ"/>
        </w:rPr>
        <w:tab/>
      </w:r>
      <w:r w:rsidRPr="00400349">
        <w:rPr>
          <w:color w:val="auto"/>
        </w:rPr>
        <w:t xml:space="preserve">James Chalmers and Fiona Leverick </w:t>
      </w:r>
      <w:r w:rsidRPr="00400349">
        <w:rPr>
          <w:i/>
          <w:color w:val="auto"/>
        </w:rPr>
        <w:t xml:space="preserve">A Comparative Analysis of Hate Crime Legislation: A Report to the Hate Crime Legislation Review </w:t>
      </w:r>
      <w:r w:rsidRPr="00400349">
        <w:rPr>
          <w:color w:val="auto"/>
        </w:rPr>
        <w:t xml:space="preserve">(University of Glasgow, July 2017) </w:t>
      </w:r>
      <w:r w:rsidRPr="00400349">
        <w:rPr>
          <w:color w:val="auto"/>
          <w:lang w:val="mi-NZ"/>
        </w:rPr>
        <w:t xml:space="preserve">at 37; and Mark Austin Walters “Conceptualizing ‘Hostility’ for Hate Crime Law: Minding </w:t>
      </w:r>
      <w:r w:rsidR="008729FD">
        <w:rPr>
          <w:color w:val="auto"/>
          <w:lang w:val="mi-NZ"/>
        </w:rPr>
        <w:t>‘</w:t>
      </w:r>
      <w:r w:rsidRPr="00400349">
        <w:rPr>
          <w:color w:val="auto"/>
          <w:lang w:val="mi-NZ"/>
        </w:rPr>
        <w:t>the Minutiae</w:t>
      </w:r>
      <w:r w:rsidR="008729FD">
        <w:rPr>
          <w:color w:val="auto"/>
          <w:lang w:val="mi-NZ"/>
        </w:rPr>
        <w:t>’</w:t>
      </w:r>
      <w:r w:rsidRPr="00400349">
        <w:rPr>
          <w:color w:val="auto"/>
          <w:lang w:val="mi-NZ"/>
        </w:rPr>
        <w:t xml:space="preserve"> when Interpreting Section 28(1)(a) of the Crime and Disorder Act 1998” (2014) 34(1) </w:t>
      </w:r>
      <w:r w:rsidRPr="00400349">
        <w:rPr>
          <w:color w:val="auto"/>
        </w:rPr>
        <w:t xml:space="preserve">Oxf J Leg Stud </w:t>
      </w:r>
      <w:r w:rsidRPr="00400349">
        <w:rPr>
          <w:color w:val="auto"/>
          <w:lang w:val="mi-NZ"/>
        </w:rPr>
        <w:t xml:space="preserve">47 at 53. </w:t>
      </w:r>
      <w:r w:rsidRPr="00400349">
        <w:rPr>
          <w:color w:val="auto"/>
        </w:rPr>
        <w:t>There is some recent data from Aotearoa New Zealand showing a correlation between longer sentences and lower reimprisonment rates</w:t>
      </w:r>
      <w:r w:rsidR="00543895" w:rsidRPr="00400349">
        <w:rPr>
          <w:color w:val="auto"/>
        </w:rPr>
        <w:t>:</w:t>
      </w:r>
      <w:r w:rsidRPr="00400349">
        <w:rPr>
          <w:color w:val="auto"/>
        </w:rPr>
        <w:t xml:space="preserve"> Ara Poutama </w:t>
      </w:r>
      <w:r w:rsidR="00B920DC" w:rsidRPr="00400349">
        <w:rPr>
          <w:color w:val="auto"/>
        </w:rPr>
        <w:t xml:space="preserve">Aotearoa </w:t>
      </w:r>
      <w:r w:rsidRPr="00400349">
        <w:rPr>
          <w:color w:val="auto"/>
        </w:rPr>
        <w:t xml:space="preserve">| Department of Corrections </w:t>
      </w:r>
      <w:r w:rsidRPr="00400349">
        <w:rPr>
          <w:i/>
          <w:color w:val="auto"/>
        </w:rPr>
        <w:t>Annual Report 2023/24</w:t>
      </w:r>
      <w:r w:rsidRPr="00400349">
        <w:rPr>
          <w:color w:val="auto"/>
        </w:rPr>
        <w:t xml:space="preserve"> </w:t>
      </w:r>
      <w:r w:rsidRPr="00400349">
        <w:rPr>
          <w:color w:val="auto"/>
          <w:lang w:val="mi-NZ"/>
        </w:rPr>
        <w:t>(2024) at 199 and 201.</w:t>
      </w:r>
      <w:r w:rsidRPr="00400349">
        <w:rPr>
          <w:color w:val="auto"/>
        </w:rPr>
        <w:t xml:space="preserve"> However, it is unclear what weight we can place on this. It may be explained by other factors such as the type of offending (a high proportion of longer sentences are for sexual offending, which tends to have lower recidivism rates than other offending) or people “ageing out” of offending: Lillian Hanly “Mark Mitchell wants short prison sentences scrapped in hope of reducing reoffending” (5 May 2025) Radio New Zealand &lt;www.rnz.co.nz&gt;.</w:t>
      </w:r>
    </w:p>
  </w:footnote>
  <w:footnote w:id="149">
    <w:p w14:paraId="5602DC83" w14:textId="7A330AF8"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color w:val="auto"/>
          <w:lang w:val="mi-NZ"/>
        </w:rPr>
        <w:t xml:space="preserve">Mark Austin Walters “Conceptualizing ‘Hostility’ for Hate Crime Law: Minding </w:t>
      </w:r>
      <w:r w:rsidR="005E373C">
        <w:rPr>
          <w:color w:val="auto"/>
          <w:lang w:val="mi-NZ"/>
        </w:rPr>
        <w:t>‘</w:t>
      </w:r>
      <w:r w:rsidRPr="00400349">
        <w:rPr>
          <w:color w:val="auto"/>
          <w:lang w:val="mi-NZ"/>
        </w:rPr>
        <w:t>the Minutiae</w:t>
      </w:r>
      <w:r w:rsidR="005E373C">
        <w:rPr>
          <w:color w:val="auto"/>
          <w:lang w:val="mi-NZ"/>
        </w:rPr>
        <w:t>’</w:t>
      </w:r>
      <w:r w:rsidRPr="00400349">
        <w:rPr>
          <w:color w:val="auto"/>
          <w:lang w:val="mi-NZ"/>
        </w:rPr>
        <w:t xml:space="preserve"> when Interpreting Section 28(1)(a) of the Crime and Disorder Act 1998” (2014) 34(1) </w:t>
      </w:r>
      <w:r w:rsidRPr="00400349">
        <w:rPr>
          <w:color w:val="auto"/>
        </w:rPr>
        <w:t xml:space="preserve">Oxf J Leg Stud </w:t>
      </w:r>
      <w:r w:rsidRPr="00400349">
        <w:rPr>
          <w:color w:val="auto"/>
          <w:lang w:val="mi-NZ"/>
        </w:rPr>
        <w:t xml:space="preserve">47 at 54–55; </w:t>
      </w:r>
      <w:r w:rsidRPr="00400349">
        <w:rPr>
          <w:color w:val="auto"/>
        </w:rPr>
        <w:t>Gail Mason “The Penal Politics of Hatred” (2009) 42(3) ANZJ Crim 275 at 281 and 284; Ann C McGinley “Misogyny and Murder” (2022) 45(1) Harv JLG 177 at 241; and Alastair P Campbell</w:t>
      </w:r>
      <w:r w:rsidRPr="00400349">
        <w:rPr>
          <w:i/>
          <w:color w:val="auto"/>
        </w:rPr>
        <w:t xml:space="preserve"> Independent Review of Hate Crime Legislation in Scotland: Final Report</w:t>
      </w:r>
      <w:r w:rsidRPr="00400349">
        <w:rPr>
          <w:color w:val="auto"/>
        </w:rPr>
        <w:t xml:space="preserve"> (Justice Directorate, 31 May 2018) at [2.17].</w:t>
      </w:r>
    </w:p>
  </w:footnote>
  <w:footnote w:id="150">
    <w:p w14:paraId="46D26F99" w14:textId="2CA8138D"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543895" w:rsidRPr="00400349">
        <w:rPr>
          <w:i/>
          <w:color w:val="auto"/>
        </w:rPr>
        <w:t xml:space="preserve">Arps v Department of Corrections </w:t>
      </w:r>
      <w:r w:rsidR="00543895" w:rsidRPr="00400349">
        <w:rPr>
          <w:color w:val="auto"/>
        </w:rPr>
        <w:t xml:space="preserve">[2020] NZCA 547 at [7]. </w:t>
      </w:r>
    </w:p>
  </w:footnote>
  <w:footnote w:id="151">
    <w:p w14:paraId="12100A8A" w14:textId="5E7AACC9"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Clare Godfryd “A Denial of Personhood: Why Hate Crime Legislation </w:t>
      </w:r>
      <w:r w:rsidR="00B7038E">
        <w:rPr>
          <w:color w:val="auto"/>
        </w:rPr>
        <w:t>i</w:t>
      </w:r>
      <w:r w:rsidRPr="00400349">
        <w:rPr>
          <w:color w:val="auto"/>
        </w:rPr>
        <w:t xml:space="preserve">s Necessary to Assure Proportionality in Punishment” (2023) 114(2) JCLC Online 63 at 67; Desmond Marrinan </w:t>
      </w:r>
      <w:r w:rsidRPr="00400349">
        <w:rPr>
          <w:i/>
          <w:color w:val="auto"/>
        </w:rPr>
        <w:t>Hate crime legislation in Northern Ireland: Independent Review</w:t>
      </w:r>
      <w:r w:rsidRPr="00400349">
        <w:rPr>
          <w:color w:val="auto"/>
        </w:rPr>
        <w:t xml:space="preserve"> (Department of Justice, December 2020) at [1.13]; </w:t>
      </w:r>
      <w:r w:rsidRPr="00400349">
        <w:rPr>
          <w:color w:val="auto"/>
          <w:lang w:val="mi-NZ"/>
        </w:rPr>
        <w:t xml:space="preserve">Mark Austin Walters “Conceptualizing ‘Hostility’ for Hate Crime Law: Minding </w:t>
      </w:r>
      <w:r w:rsidR="00446D58">
        <w:rPr>
          <w:color w:val="auto"/>
          <w:lang w:val="mi-NZ"/>
        </w:rPr>
        <w:t>‘</w:t>
      </w:r>
      <w:r w:rsidRPr="00400349">
        <w:rPr>
          <w:color w:val="auto"/>
          <w:lang w:val="mi-NZ"/>
        </w:rPr>
        <w:t>the Minutiae</w:t>
      </w:r>
      <w:r w:rsidR="00446D58">
        <w:rPr>
          <w:color w:val="auto"/>
          <w:lang w:val="mi-NZ"/>
        </w:rPr>
        <w:t>’</w:t>
      </w:r>
      <w:r w:rsidRPr="00400349">
        <w:rPr>
          <w:color w:val="auto"/>
          <w:lang w:val="mi-NZ"/>
        </w:rPr>
        <w:t xml:space="preserve"> when Interpreting Section 28(1)(a) of the Crime and Disorder Act 1998” (2014) 34(1) </w:t>
      </w:r>
      <w:r w:rsidRPr="00400349">
        <w:rPr>
          <w:color w:val="auto"/>
        </w:rPr>
        <w:t xml:space="preserve">Oxf J Leg Stud </w:t>
      </w:r>
      <w:r w:rsidRPr="00400349">
        <w:rPr>
          <w:color w:val="auto"/>
          <w:lang w:val="mi-NZ"/>
        </w:rPr>
        <w:t xml:space="preserve">47 at 55; and Sara Sun Beale “Federalizing Hate Crimes: Symbolic Politics, Expressive Law, or Tool for Criminal Enforcement?” (2000) 80(5) BUL Rev 1227 at 1255. </w:t>
      </w:r>
    </w:p>
  </w:footnote>
  <w:footnote w:id="152">
    <w:p w14:paraId="0C710E54" w14:textId="3CD85F4D"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Antti Kauppinen “Hate and Punishment” (2015) 30(10) JIV 1719 at 1720</w:t>
      </w:r>
      <w:r w:rsidR="000305F9" w:rsidRPr="00400349">
        <w:rPr>
          <w:color w:val="auto"/>
          <w:lang w:val="mi-NZ"/>
        </w:rPr>
        <w:t>,</w:t>
      </w:r>
      <w:r w:rsidRPr="00400349">
        <w:rPr>
          <w:color w:val="auto"/>
          <w:lang w:val="mi-NZ"/>
        </w:rPr>
        <w:t xml:space="preserve"> cited in </w:t>
      </w:r>
      <w:r w:rsidRPr="00400349">
        <w:rPr>
          <w:color w:val="auto"/>
        </w:rPr>
        <w:t xml:space="preserve">James Chalmers and Fiona Leverick </w:t>
      </w:r>
      <w:r w:rsidRPr="00400349">
        <w:rPr>
          <w:i/>
          <w:color w:val="auto"/>
        </w:rPr>
        <w:t xml:space="preserve">A Comparative Analysis of Hate Crime Legislation: A Report to the Hate Crime Legislation Review </w:t>
      </w:r>
      <w:r w:rsidRPr="00400349">
        <w:rPr>
          <w:color w:val="auto"/>
        </w:rPr>
        <w:t>(University of Glasgow, July 2017) at</w:t>
      </w:r>
      <w:r w:rsidRPr="00400349">
        <w:rPr>
          <w:color w:val="auto"/>
          <w:lang w:val="mi-NZ"/>
        </w:rPr>
        <w:t xml:space="preserve"> 38.</w:t>
      </w:r>
    </w:p>
  </w:footnote>
  <w:footnote w:id="153">
    <w:p w14:paraId="7BE0EAF3" w14:textId="4EB28CB3"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35718" w:rsidRPr="00400349">
        <w:rPr>
          <w:color w:val="auto"/>
        </w:rPr>
        <w:t xml:space="preserve">Legislation Design and Advisory Committee </w:t>
      </w:r>
      <w:r w:rsidR="00C35718" w:rsidRPr="00400349">
        <w:rPr>
          <w:i/>
          <w:color w:val="auto"/>
        </w:rPr>
        <w:t>Legislation Guidelines</w:t>
      </w:r>
      <w:r w:rsidR="00C35718" w:rsidRPr="00400349">
        <w:rPr>
          <w:color w:val="auto"/>
        </w:rPr>
        <w:t xml:space="preserve"> (2021)</w:t>
      </w:r>
      <w:r w:rsidR="00C35718">
        <w:rPr>
          <w:color w:val="auto"/>
        </w:rPr>
        <w:t xml:space="preserve">. </w:t>
      </w:r>
      <w:r w:rsidRPr="00400349">
        <w:rPr>
          <w:color w:val="auto"/>
        </w:rPr>
        <w:t xml:space="preserve">The Legislation Design and Advisory Committee is responsible for providing guidelines that promote good legislative standards, reviewing Bills after they are introduced </w:t>
      </w:r>
      <w:r w:rsidR="00EB1EB6" w:rsidRPr="00400349">
        <w:rPr>
          <w:color w:val="auto"/>
        </w:rPr>
        <w:t>to</w:t>
      </w:r>
      <w:r w:rsidRPr="00400349">
        <w:rPr>
          <w:color w:val="auto"/>
        </w:rPr>
        <w:t xml:space="preserve"> Parliament and providing advice to departments on legislative design. </w:t>
      </w:r>
    </w:p>
  </w:footnote>
  <w:footnote w:id="154">
    <w:p w14:paraId="7EA26ECD" w14:textId="45B66864"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3F172A">
        <w:rPr>
          <w:color w:val="auto"/>
        </w:rPr>
        <w:t>At</w:t>
      </w:r>
      <w:r w:rsidRPr="00400349">
        <w:rPr>
          <w:color w:val="auto"/>
        </w:rPr>
        <w:t xml:space="preserve"> 121.</w:t>
      </w:r>
    </w:p>
  </w:footnote>
  <w:footnote w:id="155">
    <w:p w14:paraId="3881987F" w14:textId="07CE51B6"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3F172A">
        <w:rPr>
          <w:color w:val="auto"/>
        </w:rPr>
        <w:t>At</w:t>
      </w:r>
      <w:r w:rsidRPr="00400349">
        <w:rPr>
          <w:color w:val="auto"/>
        </w:rPr>
        <w:t xml:space="preserve"> 123. </w:t>
      </w:r>
    </w:p>
  </w:footnote>
  <w:footnote w:id="156">
    <w:p w14:paraId="566452D3" w14:textId="40D247FB"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701EB" w:rsidRPr="00400349">
        <w:rPr>
          <w:color w:val="auto"/>
        </w:rPr>
        <w:t>At</w:t>
      </w:r>
      <w:r w:rsidRPr="00400349">
        <w:rPr>
          <w:color w:val="auto"/>
        </w:rPr>
        <w:t xml:space="preserve"> 122.</w:t>
      </w:r>
    </w:p>
  </w:footnote>
  <w:footnote w:id="157">
    <w:p w14:paraId="61CA3C0C" w14:textId="39532C5D"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701EB" w:rsidRPr="00400349">
        <w:rPr>
          <w:color w:val="auto"/>
        </w:rPr>
        <w:t>At</w:t>
      </w:r>
      <w:r w:rsidRPr="00400349">
        <w:rPr>
          <w:color w:val="auto"/>
        </w:rPr>
        <w:t xml:space="preserve"> 123. </w:t>
      </w:r>
    </w:p>
  </w:footnote>
  <w:footnote w:id="158">
    <w:p w14:paraId="266E86F5" w14:textId="28A885E8"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0D2830" w:rsidRPr="00400349">
        <w:rPr>
          <w:color w:val="auto"/>
        </w:rPr>
        <w:t>P</w:t>
      </w:r>
      <w:r w:rsidRPr="00400349">
        <w:rPr>
          <w:color w:val="auto"/>
        </w:rPr>
        <w:t>aper at [3.14]–[3.15], [6.4]–[6.5] and [7.2].</w:t>
      </w:r>
    </w:p>
  </w:footnote>
  <w:footnote w:id="159">
    <w:p w14:paraId="793C1C5F" w14:textId="500938D1"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701EB" w:rsidRPr="00400349">
        <w:rPr>
          <w:color w:val="auto"/>
        </w:rPr>
        <w:t>At</w:t>
      </w:r>
      <w:r w:rsidRPr="00400349">
        <w:rPr>
          <w:color w:val="auto"/>
        </w:rPr>
        <w:t xml:space="preserve"> [3.16].</w:t>
      </w:r>
    </w:p>
  </w:footnote>
  <w:footnote w:id="160">
    <w:p w14:paraId="121971A2" w14:textId="411C8EC6"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Legislation Design and Advisory Committee </w:t>
      </w:r>
      <w:r w:rsidRPr="00400349">
        <w:rPr>
          <w:i/>
          <w:color w:val="auto"/>
        </w:rPr>
        <w:t>Legislation Guidelines</w:t>
      </w:r>
      <w:r w:rsidRPr="00400349">
        <w:rPr>
          <w:color w:val="auto"/>
        </w:rPr>
        <w:t xml:space="preserve"> (2021) at 121–127; AP Simester, WJ Brookbanks and Neil Boister </w:t>
      </w:r>
      <w:r w:rsidRPr="00400349">
        <w:rPr>
          <w:i/>
          <w:color w:val="auto"/>
        </w:rPr>
        <w:t>Principles of Criminal Law</w:t>
      </w:r>
      <w:r w:rsidRPr="00400349">
        <w:rPr>
          <w:color w:val="auto"/>
        </w:rPr>
        <w:t xml:space="preserve"> (5th ed, Thomson Reuters, Wellington, 2019) at [2.1] and [21.5]–[21.7]; Julia Tolmie and others </w:t>
      </w:r>
      <w:r w:rsidRPr="00400349">
        <w:rPr>
          <w:i/>
          <w:color w:val="auto"/>
        </w:rPr>
        <w:t>Criminal Law in Aotearoa New Zealand</w:t>
      </w:r>
      <w:r w:rsidRPr="00400349">
        <w:rPr>
          <w:color w:val="auto"/>
        </w:rPr>
        <w:t xml:space="preserve"> (LexisNexis, Wellington, 2022) at </w:t>
      </w:r>
      <w:r w:rsidR="00B6483E" w:rsidRPr="00400349">
        <w:rPr>
          <w:color w:val="auto"/>
        </w:rPr>
        <w:t>72–73</w:t>
      </w:r>
      <w:r w:rsidRPr="00400349">
        <w:rPr>
          <w:color w:val="auto"/>
        </w:rPr>
        <w:t>; and Asaf Harduf “How Crimes Should Be Created: A Practical Theory of Criminalisation” (2013) 49(1) Criminal Law Bulletin 31.</w:t>
      </w:r>
    </w:p>
  </w:footnote>
  <w:footnote w:id="161">
    <w:p w14:paraId="752916E9"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AP Simester, WJ Brookbanks and Neil Boister </w:t>
      </w:r>
      <w:r w:rsidRPr="00400349">
        <w:rPr>
          <w:i/>
          <w:color w:val="auto"/>
        </w:rPr>
        <w:t>Principles of Criminal Law</w:t>
      </w:r>
      <w:r w:rsidRPr="00400349">
        <w:rPr>
          <w:color w:val="auto"/>
        </w:rPr>
        <w:t xml:space="preserve"> (5th ed, Thomson Reuters, Wellington, 2019) at [21.7.2].</w:t>
      </w:r>
    </w:p>
  </w:footnote>
  <w:footnote w:id="162">
    <w:p w14:paraId="4460D84A" w14:textId="29C95AC8" w:rsidR="0035348E" w:rsidRPr="00400349" w:rsidRDefault="0035348E" w:rsidP="0035348E">
      <w:pPr>
        <w:pStyle w:val="FootnoteText"/>
      </w:pPr>
      <w:r w:rsidRPr="00400349">
        <w:rPr>
          <w:rStyle w:val="FootnoteReference"/>
        </w:rPr>
        <w:footnoteRef/>
      </w:r>
      <w:r w:rsidRPr="00400349">
        <w:t xml:space="preserve"> </w:t>
      </w:r>
      <w:r w:rsidRPr="00400349">
        <w:tab/>
      </w:r>
      <w:r w:rsidRPr="00400349">
        <w:rPr>
          <w:color w:val="auto"/>
        </w:rPr>
        <w:t xml:space="preserve">Legislation Design and Advisory Committee </w:t>
      </w:r>
      <w:r w:rsidRPr="00400349">
        <w:rPr>
          <w:i/>
          <w:color w:val="auto"/>
        </w:rPr>
        <w:t>Legislation Guidelines</w:t>
      </w:r>
      <w:r w:rsidRPr="00400349">
        <w:rPr>
          <w:color w:val="auto"/>
        </w:rPr>
        <w:t xml:space="preserve"> (2021) at 121 and [24.1]; AP Simester, WJ Brookbanks and Neil Boister Principles of Criminal Law (5th ed, Thomson Reuters, Wellington, 2019) at [1.3]; David Ormerod QC and Karl Laird </w:t>
      </w:r>
      <w:r w:rsidRPr="00400349">
        <w:rPr>
          <w:i/>
          <w:color w:val="auto"/>
        </w:rPr>
        <w:t>Smith, Hogan, and Ormerod</w:t>
      </w:r>
      <w:r w:rsidR="00CB3A2D">
        <w:rPr>
          <w:i/>
          <w:color w:val="auto"/>
        </w:rPr>
        <w:t>’</w:t>
      </w:r>
      <w:r w:rsidRPr="00400349">
        <w:rPr>
          <w:i/>
          <w:color w:val="auto"/>
        </w:rPr>
        <w:t>s Criminal Law</w:t>
      </w:r>
      <w:r w:rsidRPr="00400349">
        <w:rPr>
          <w:color w:val="auto"/>
        </w:rPr>
        <w:t xml:space="preserve"> (15th ed, Oxford University Press, 2018) at [1.3.1]; Grant Lamond “What is a Crime?” (2007) 27(4) Oxf J Leg Stud 609 at 627–628; </w:t>
      </w:r>
      <w:r w:rsidR="003510DD" w:rsidRPr="00400349">
        <w:rPr>
          <w:color w:val="auto"/>
        </w:rPr>
        <w:t xml:space="preserve">and </w:t>
      </w:r>
      <w:r w:rsidRPr="00400349">
        <w:rPr>
          <w:color w:val="auto"/>
        </w:rPr>
        <w:t>Asaf Harduf “How Crimes Should Be Created: A Practical Theory of Criminalisation” (2013) 49(1) Criminal Law Bulletin 31 at 60–62.</w:t>
      </w:r>
    </w:p>
  </w:footnote>
  <w:footnote w:id="163">
    <w:p w14:paraId="369D48F1" w14:textId="03773E4A" w:rsidR="00BC1925" w:rsidRPr="00400349" w:rsidRDefault="00BC1925">
      <w:pPr>
        <w:pStyle w:val="FootnoteText"/>
      </w:pPr>
      <w:r w:rsidRPr="00400349">
        <w:rPr>
          <w:rStyle w:val="FootnoteReference"/>
        </w:rPr>
        <w:footnoteRef/>
      </w:r>
      <w:r w:rsidRPr="00400349">
        <w:t xml:space="preserve"> </w:t>
      </w:r>
      <w:r w:rsidRPr="00400349">
        <w:tab/>
        <w:t>Regulatory Standards Act 2025, s</w:t>
      </w:r>
      <w:r w:rsidR="0077146D" w:rsidRPr="00400349">
        <w:t xml:space="preserve"> 9(l) and (m).</w:t>
      </w:r>
    </w:p>
  </w:footnote>
  <w:footnote w:id="164">
    <w:p w14:paraId="52565B3C" w14:textId="002DAE91"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3A14B7" w:rsidRPr="00400349">
        <w:rPr>
          <w:color w:val="auto"/>
        </w:rPr>
        <w:t>P</w:t>
      </w:r>
      <w:r w:rsidRPr="00400349">
        <w:rPr>
          <w:color w:val="auto"/>
        </w:rPr>
        <w:t>aper at [3.17]–[3.40].</w:t>
      </w:r>
    </w:p>
  </w:footnote>
  <w:footnote w:id="165">
    <w:p w14:paraId="288FB499" w14:textId="6A6C5F19" w:rsidR="003C6C62" w:rsidRPr="00400349" w:rsidRDefault="003C6C62" w:rsidP="003C6C6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Legislation Design and Advisory Committee </w:t>
      </w:r>
      <w:r w:rsidRPr="00400349">
        <w:rPr>
          <w:i/>
          <w:color w:val="auto"/>
        </w:rPr>
        <w:t>Legislation Guidelines</w:t>
      </w:r>
      <w:r w:rsidRPr="00400349">
        <w:rPr>
          <w:color w:val="auto"/>
        </w:rPr>
        <w:t xml:space="preserve"> (2021) at 19 and 28–3</w:t>
      </w:r>
      <w:r w:rsidR="009C2680" w:rsidRPr="00400349">
        <w:rPr>
          <w:color w:val="auto"/>
        </w:rPr>
        <w:t>2</w:t>
      </w:r>
      <w:r w:rsidRPr="00400349">
        <w:rPr>
          <w:color w:val="auto"/>
        </w:rPr>
        <w:t>.</w:t>
      </w:r>
    </w:p>
  </w:footnote>
  <w:footnote w:id="166">
    <w:p w14:paraId="6830238D" w14:textId="77777777" w:rsidR="007568C9" w:rsidRPr="00400349" w:rsidRDefault="007568C9" w:rsidP="007568C9">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Act 1985, s 5(2)(a). </w:t>
      </w:r>
    </w:p>
  </w:footnote>
  <w:footnote w:id="167">
    <w:p w14:paraId="0B793E00" w14:textId="2DE4ABDF" w:rsidR="004A49B0" w:rsidRPr="00400349" w:rsidRDefault="004A49B0" w:rsidP="004A49B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Legislation Design and Advisory Committee </w:t>
      </w:r>
      <w:r w:rsidRPr="00400349">
        <w:rPr>
          <w:i/>
          <w:color w:val="auto"/>
        </w:rPr>
        <w:t>Legislation Guidelines</w:t>
      </w:r>
      <w:r w:rsidRPr="00400349">
        <w:rPr>
          <w:color w:val="auto"/>
        </w:rPr>
        <w:t xml:space="preserve"> (2021) at 19 and 28–3</w:t>
      </w:r>
      <w:r w:rsidR="009C2680" w:rsidRPr="00400349">
        <w:rPr>
          <w:color w:val="auto"/>
        </w:rPr>
        <w:t>2</w:t>
      </w:r>
      <w:r w:rsidRPr="00400349">
        <w:rPr>
          <w:color w:val="auto"/>
        </w:rPr>
        <w:t>.</w:t>
      </w:r>
    </w:p>
  </w:footnote>
  <w:footnote w:id="168">
    <w:p w14:paraId="4B19B91D" w14:textId="09E41EC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Te Aka Matua o te Ture | Law Commission </w:t>
      </w:r>
      <w:r w:rsidRPr="00400349">
        <w:rPr>
          <w:i/>
          <w:color w:val="auto"/>
        </w:rPr>
        <w:t xml:space="preserve">He arotake i te āheinga ki ngā rawa a te tangata ka mate ana | Review of succession law: </w:t>
      </w:r>
      <w:r w:rsidR="007F1DB4">
        <w:rPr>
          <w:i/>
          <w:color w:val="auto"/>
        </w:rPr>
        <w:t>r</w:t>
      </w:r>
      <w:r w:rsidRPr="00400349">
        <w:rPr>
          <w:i/>
          <w:color w:val="auto"/>
        </w:rPr>
        <w:t xml:space="preserve">ights to a person’s property on death </w:t>
      </w:r>
      <w:r w:rsidRPr="00400349">
        <w:rPr>
          <w:color w:val="auto"/>
        </w:rPr>
        <w:t xml:space="preserve">(NZLC R145, 2021) at [2.61]–[2.62]. </w:t>
      </w:r>
    </w:p>
  </w:footnote>
  <w:footnote w:id="169">
    <w:p w14:paraId="34DF7683"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Treaty of Waitangi Act 1975, s 6. </w:t>
      </w:r>
    </w:p>
  </w:footnote>
  <w:footnote w:id="170">
    <w:p w14:paraId="7BD2456B"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Rōpū Whakamana i te Tiriti o Waitangi | Waitangi Tribunal </w:t>
      </w:r>
      <w:r w:rsidRPr="00400349">
        <w:rPr>
          <w:i/>
          <w:color w:val="auto"/>
        </w:rPr>
        <w:t xml:space="preserve">Muriwhenua Land Report </w:t>
      </w:r>
      <w:r w:rsidRPr="00400349">
        <w:rPr>
          <w:color w:val="auto"/>
        </w:rPr>
        <w:t xml:space="preserve">(Wai 45, 1997) at 386. </w:t>
      </w:r>
    </w:p>
  </w:footnote>
  <w:footnote w:id="171">
    <w:p w14:paraId="77633590" w14:textId="4434A08A" w:rsidR="0007506A" w:rsidRPr="00400349" w:rsidRDefault="0007506A">
      <w:pPr>
        <w:pStyle w:val="FootnoteText"/>
      </w:pPr>
      <w:r w:rsidRPr="00400349">
        <w:rPr>
          <w:rStyle w:val="FootnoteReference"/>
        </w:rPr>
        <w:footnoteRef/>
      </w:r>
      <w:r w:rsidRPr="00400349">
        <w:t xml:space="preserve"> </w:t>
      </w:r>
      <w:r w:rsidRPr="00400349">
        <w:tab/>
      </w:r>
      <w:r w:rsidR="00A8158E" w:rsidRPr="00400349">
        <w:t xml:space="preserve">IH Kawharu (ed) </w:t>
      </w:r>
      <w:r w:rsidR="006942EC" w:rsidRPr="00400349">
        <w:rPr>
          <w:i/>
        </w:rPr>
        <w:t>Waitangi: Maori and Pakeha Perspectives of the Treaty of Waitangi</w:t>
      </w:r>
      <w:r w:rsidR="008258B5" w:rsidRPr="00400349">
        <w:rPr>
          <w:i/>
        </w:rPr>
        <w:t xml:space="preserve"> </w:t>
      </w:r>
      <w:r w:rsidR="008258B5" w:rsidRPr="00400349">
        <w:t xml:space="preserve">(Oxford University Press, Auckland, 1989) at 319. </w:t>
      </w:r>
    </w:p>
  </w:footnote>
  <w:footnote w:id="172">
    <w:p w14:paraId="2D4D686D" w14:textId="31FFB4B6" w:rsidR="0011169D" w:rsidRPr="00400349" w:rsidRDefault="0011169D">
      <w:pPr>
        <w:pStyle w:val="FootnoteText"/>
      </w:pPr>
      <w:r w:rsidRPr="00400349">
        <w:rPr>
          <w:rStyle w:val="FootnoteReference"/>
        </w:rPr>
        <w:footnoteRef/>
      </w:r>
      <w:r w:rsidRPr="00400349">
        <w:t xml:space="preserve"> </w:t>
      </w:r>
      <w:r w:rsidRPr="00400349">
        <w:tab/>
        <w:t xml:space="preserve">Te Rōpū Whakamana i te Tiriti o Waitangi | Waitangi Tribunal </w:t>
      </w:r>
      <w:r w:rsidR="000C7313" w:rsidRPr="00400349">
        <w:rPr>
          <w:i/>
        </w:rPr>
        <w:t xml:space="preserve">Whaia te Mana Motuhake | In Pursuit of Mana Motuhake: Report on the Māori Community Development Act Claim </w:t>
      </w:r>
      <w:r w:rsidR="000C7313" w:rsidRPr="00400349">
        <w:t xml:space="preserve">(Wai 2417, 2015) at 25; and </w:t>
      </w:r>
      <w:r w:rsidR="00121BD3" w:rsidRPr="00400349">
        <w:t xml:space="preserve">Te Rōpū Whakamana i te Tiriti o Waitangi | </w:t>
      </w:r>
      <w:r w:rsidR="000C7313" w:rsidRPr="00400349">
        <w:t xml:space="preserve">Waitangi Tribunal </w:t>
      </w:r>
      <w:r w:rsidR="000C7313" w:rsidRPr="00400349">
        <w:rPr>
          <w:i/>
        </w:rPr>
        <w:t xml:space="preserve">Manukau Report </w:t>
      </w:r>
      <w:r w:rsidR="000C7313" w:rsidRPr="00400349">
        <w:t xml:space="preserve">(Wai 8, 1985) at 66. </w:t>
      </w:r>
    </w:p>
  </w:footnote>
  <w:footnote w:id="173">
    <w:p w14:paraId="0ABE35EC" w14:textId="7D862FB8" w:rsidR="00DF05E0" w:rsidRPr="00400349" w:rsidRDefault="00DF05E0">
      <w:pPr>
        <w:pStyle w:val="FootnoteText"/>
      </w:pPr>
      <w:r w:rsidRPr="00400349">
        <w:rPr>
          <w:rStyle w:val="FootnoteReference"/>
        </w:rPr>
        <w:footnoteRef/>
      </w:r>
      <w:r w:rsidRPr="00400349">
        <w:t xml:space="preserve"> </w:t>
      </w:r>
      <w:r w:rsidRPr="00400349">
        <w:tab/>
        <w:t xml:space="preserve">Te Rōpū Whakamana i te Tiriti o Waitangi | Waitangi Tribunal </w:t>
      </w:r>
      <w:r w:rsidR="00030EB4" w:rsidRPr="00400349">
        <w:rPr>
          <w:i/>
        </w:rPr>
        <w:t xml:space="preserve">Hauora: Report on Stage One of the Health Services and Outcomes Kaupapa Inquiry </w:t>
      </w:r>
      <w:r w:rsidR="00030EB4" w:rsidRPr="00400349">
        <w:t xml:space="preserve">(Wai 2757, 2023) at </w:t>
      </w:r>
      <w:r w:rsidR="003737E2" w:rsidRPr="00400349">
        <w:t xml:space="preserve">28. </w:t>
      </w:r>
    </w:p>
  </w:footnote>
  <w:footnote w:id="174">
    <w:p w14:paraId="0324FED0" w14:textId="5221F965" w:rsidR="00580966" w:rsidRPr="00400349" w:rsidRDefault="00580966">
      <w:pPr>
        <w:pStyle w:val="FootnoteText"/>
      </w:pPr>
      <w:r w:rsidRPr="00400349">
        <w:rPr>
          <w:rStyle w:val="FootnoteReference"/>
        </w:rPr>
        <w:footnoteRef/>
      </w:r>
      <w:r w:rsidRPr="00400349">
        <w:t xml:space="preserve"> </w:t>
      </w:r>
      <w:r w:rsidRPr="00400349">
        <w:tab/>
        <w:t xml:space="preserve">See Julia Tolmie and others </w:t>
      </w:r>
      <w:r w:rsidRPr="00400349">
        <w:rPr>
          <w:i/>
        </w:rPr>
        <w:t xml:space="preserve">Criminal Law in Aotearoa New Zealand </w:t>
      </w:r>
      <w:r w:rsidRPr="00400349">
        <w:t xml:space="preserve">(LexisNexis, Wellington, 2022) at 9–17; and </w:t>
      </w:r>
      <w:r w:rsidR="005750BE" w:rsidRPr="00400349">
        <w:t xml:space="preserve">Moana Jackson </w:t>
      </w:r>
      <w:r w:rsidR="00C6737A" w:rsidRPr="00400349">
        <w:rPr>
          <w:i/>
        </w:rPr>
        <w:t>The Maori and the Criminal Justice System</w:t>
      </w:r>
      <w:r w:rsidR="00C6737A">
        <w:rPr>
          <w:i/>
          <w:iCs/>
        </w:rPr>
        <w:t xml:space="preserve"> —</w:t>
      </w:r>
      <w:r w:rsidR="00C6737A" w:rsidRPr="00400349">
        <w:rPr>
          <w:i/>
          <w:iCs/>
        </w:rPr>
        <w:t xml:space="preserve"> A New Perspective</w:t>
      </w:r>
      <w:r w:rsidR="00C6737A">
        <w:rPr>
          <w:i/>
          <w:iCs/>
        </w:rPr>
        <w:t>:</w:t>
      </w:r>
      <w:r w:rsidR="00C6737A" w:rsidRPr="00400349">
        <w:rPr>
          <w:i/>
          <w:color w:val="auto"/>
        </w:rPr>
        <w:t xml:space="preserve"> </w:t>
      </w:r>
      <w:r w:rsidR="00C6737A" w:rsidRPr="00400349">
        <w:rPr>
          <w:i/>
          <w:iCs/>
        </w:rPr>
        <w:t>He Whaipaanga Hou</w:t>
      </w:r>
      <w:r w:rsidR="00C6737A">
        <w:rPr>
          <w:i/>
          <w:iCs/>
        </w:rPr>
        <w:t>,</w:t>
      </w:r>
      <w:r w:rsidR="00C6737A">
        <w:rPr>
          <w:i/>
        </w:rPr>
        <w:t xml:space="preserve"> </w:t>
      </w:r>
      <w:r w:rsidR="00C6737A" w:rsidRPr="00400349">
        <w:rPr>
          <w:i/>
          <w:iCs/>
        </w:rPr>
        <w:t>Part 2</w:t>
      </w:r>
      <w:r w:rsidR="005750BE" w:rsidRPr="00400349">
        <w:t xml:space="preserve"> (Department of Justice, </w:t>
      </w:r>
      <w:r w:rsidR="00D36A88" w:rsidRPr="00400349">
        <w:t>Study Series 18</w:t>
      </w:r>
      <w:r w:rsidR="005750BE" w:rsidRPr="00400349">
        <w:t xml:space="preserve">, </w:t>
      </w:r>
      <w:r w:rsidR="00D36A88" w:rsidRPr="00400349">
        <w:t>1988)</w:t>
      </w:r>
      <w:r w:rsidRPr="00400349">
        <w:t xml:space="preserve"> at 37–44. </w:t>
      </w:r>
    </w:p>
  </w:footnote>
  <w:footnote w:id="175">
    <w:p w14:paraId="210BEE6D" w14:textId="21193162" w:rsidR="004D0235" w:rsidRPr="00400349" w:rsidRDefault="004D0235">
      <w:pPr>
        <w:pStyle w:val="FootnoteText"/>
      </w:pPr>
      <w:r w:rsidRPr="00400349">
        <w:rPr>
          <w:rStyle w:val="FootnoteReference"/>
        </w:rPr>
        <w:footnoteRef/>
      </w:r>
      <w:r w:rsidRPr="00400349">
        <w:t xml:space="preserve"> </w:t>
      </w:r>
      <w:r w:rsidRPr="00400349">
        <w:tab/>
      </w:r>
      <w:r w:rsidR="00DA1867" w:rsidRPr="00400349">
        <w:t xml:space="preserve">Te Rōpū Whakamana i te Tiriti o Waitangi | Waitangi Tribunal </w:t>
      </w:r>
      <w:r w:rsidR="00E832A2" w:rsidRPr="00400349">
        <w:rPr>
          <w:i/>
        </w:rPr>
        <w:t xml:space="preserve">Hauora: Report on Stage One of the Health Services and Outcomes Kaupapa Inquiry </w:t>
      </w:r>
      <w:r w:rsidR="00E832A2" w:rsidRPr="00400349">
        <w:t>(Wai 2757, 2023) at 33–</w:t>
      </w:r>
      <w:r w:rsidR="000B205D" w:rsidRPr="00400349">
        <w:t xml:space="preserve">34; and Te Rōpū Whakamana i te Tiriti o Waitangi | Waitangi Tribunal </w:t>
      </w:r>
      <w:r w:rsidR="0017426A" w:rsidRPr="00400349">
        <w:rPr>
          <w:i/>
        </w:rPr>
        <w:t xml:space="preserve">Tū Mai te Rangi! Report on the Crown and Disproportionate Reoffending Rates </w:t>
      </w:r>
      <w:r w:rsidR="0017426A" w:rsidRPr="00400349">
        <w:t xml:space="preserve">(Wai 2540, 2017) at 27. </w:t>
      </w:r>
    </w:p>
  </w:footnote>
  <w:footnote w:id="176">
    <w:p w14:paraId="4CBE252A" w14:textId="30B49BCA"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t xml:space="preserve">Moana Jackson </w:t>
      </w:r>
      <w:r w:rsidR="0015649D" w:rsidRPr="00400349">
        <w:rPr>
          <w:i/>
        </w:rPr>
        <w:t>The Maori and the Criminal Justice System</w:t>
      </w:r>
      <w:r w:rsidR="0015649D">
        <w:rPr>
          <w:i/>
          <w:iCs/>
        </w:rPr>
        <w:t xml:space="preserve"> —</w:t>
      </w:r>
      <w:r w:rsidR="0015649D" w:rsidRPr="00400349">
        <w:rPr>
          <w:i/>
          <w:iCs/>
        </w:rPr>
        <w:t xml:space="preserve"> A New Perspective</w:t>
      </w:r>
      <w:r w:rsidR="0015649D">
        <w:rPr>
          <w:i/>
          <w:iCs/>
        </w:rPr>
        <w:t>:</w:t>
      </w:r>
      <w:r w:rsidR="0015649D" w:rsidRPr="00400349">
        <w:rPr>
          <w:i/>
          <w:color w:val="auto"/>
        </w:rPr>
        <w:t xml:space="preserve"> </w:t>
      </w:r>
      <w:r w:rsidR="0015649D" w:rsidRPr="00400349">
        <w:rPr>
          <w:i/>
          <w:iCs/>
        </w:rPr>
        <w:t>He Whaipaanga Hou</w:t>
      </w:r>
      <w:r w:rsidR="0015649D">
        <w:rPr>
          <w:i/>
          <w:iCs/>
        </w:rPr>
        <w:t>,</w:t>
      </w:r>
      <w:r w:rsidR="0015649D">
        <w:rPr>
          <w:i/>
        </w:rPr>
        <w:t xml:space="preserve"> </w:t>
      </w:r>
      <w:r w:rsidR="0015649D" w:rsidRPr="00400349">
        <w:rPr>
          <w:i/>
          <w:iCs/>
        </w:rPr>
        <w:t>Part 2</w:t>
      </w:r>
      <w:r w:rsidR="0015649D">
        <w:t xml:space="preserve"> </w:t>
      </w:r>
      <w:r w:rsidR="007F6DD1" w:rsidRPr="00400349">
        <w:t xml:space="preserve">(Department of Justice, </w:t>
      </w:r>
      <w:r w:rsidR="00F611D7" w:rsidRPr="00400349">
        <w:t>Study Series 18</w:t>
      </w:r>
      <w:r w:rsidR="007F6DD1" w:rsidRPr="00400349">
        <w:t>, 1988).</w:t>
      </w:r>
    </w:p>
  </w:footnote>
  <w:footnote w:id="177">
    <w:p w14:paraId="35A48983" w14:textId="77777777"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Julia Tolmie and others </w:t>
      </w:r>
      <w:r w:rsidRPr="00400349">
        <w:rPr>
          <w:i/>
          <w:color w:val="auto"/>
          <w:lang w:eastAsia="en-AU"/>
        </w:rPr>
        <w:t>Criminal Law in Aotearoa New Zealand</w:t>
      </w:r>
      <w:r w:rsidRPr="00400349">
        <w:rPr>
          <w:color w:val="auto"/>
          <w:lang w:eastAsia="en-AU"/>
        </w:rPr>
        <w:t xml:space="preserve"> (LexisNexis, Wellington, 2022) at 44.</w:t>
      </w:r>
    </w:p>
  </w:footnote>
  <w:footnote w:id="178">
    <w:p w14:paraId="043C247C" w14:textId="41EAAB36"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r>
      <w:r w:rsidRPr="00400349">
        <w:t xml:space="preserve">Moana Jackson </w:t>
      </w:r>
      <w:r w:rsidRPr="00400349">
        <w:rPr>
          <w:i/>
        </w:rPr>
        <w:t>The Maori and the Criminal Justice System</w:t>
      </w:r>
      <w:r w:rsidR="00ED2673">
        <w:rPr>
          <w:i/>
          <w:iCs/>
        </w:rPr>
        <w:t xml:space="preserve"> —</w:t>
      </w:r>
      <w:r w:rsidR="00860551" w:rsidRPr="00400349">
        <w:rPr>
          <w:i/>
          <w:iCs/>
        </w:rPr>
        <w:t xml:space="preserve"> A New Perspective</w:t>
      </w:r>
      <w:r w:rsidR="008E436B">
        <w:rPr>
          <w:i/>
          <w:iCs/>
        </w:rPr>
        <w:t>:</w:t>
      </w:r>
      <w:r w:rsidR="00BE3D20" w:rsidRPr="00400349">
        <w:rPr>
          <w:i/>
          <w:color w:val="auto"/>
        </w:rPr>
        <w:t xml:space="preserve"> </w:t>
      </w:r>
      <w:r w:rsidR="00860551" w:rsidRPr="00400349">
        <w:rPr>
          <w:i/>
          <w:iCs/>
        </w:rPr>
        <w:t>He Whaipaanga Hou</w:t>
      </w:r>
      <w:r w:rsidR="00ED2673">
        <w:rPr>
          <w:i/>
          <w:iCs/>
        </w:rPr>
        <w:t>,</w:t>
      </w:r>
      <w:r w:rsidR="0049549E">
        <w:rPr>
          <w:i/>
        </w:rPr>
        <w:t xml:space="preserve"> </w:t>
      </w:r>
      <w:r w:rsidR="00860551" w:rsidRPr="00400349">
        <w:rPr>
          <w:i/>
          <w:iCs/>
        </w:rPr>
        <w:t>Part 2</w:t>
      </w:r>
      <w:r w:rsidR="00860551" w:rsidRPr="00400349">
        <w:t xml:space="preserve"> (Department of Justice, </w:t>
      </w:r>
      <w:r w:rsidR="00BE3D20" w:rsidRPr="00400349">
        <w:t>Study Series 18</w:t>
      </w:r>
      <w:r w:rsidR="00860551" w:rsidRPr="00400349">
        <w:t>, 1988) at 154.</w:t>
      </w:r>
      <w:r w:rsidRPr="00400349">
        <w:rPr>
          <w:color w:val="auto"/>
        </w:rPr>
        <w:t xml:space="preserve"> See also</w:t>
      </w:r>
      <w:r w:rsidRPr="00400349">
        <w:rPr>
          <w:color w:val="auto"/>
          <w:lang w:val="mi-NZ"/>
        </w:rPr>
        <w:t xml:space="preserve"> Julia Tolmie and others </w:t>
      </w:r>
      <w:r w:rsidRPr="00400349">
        <w:rPr>
          <w:i/>
          <w:color w:val="auto"/>
          <w:lang w:eastAsia="en-AU"/>
        </w:rPr>
        <w:t>Criminal Law in Aotearoa New Zealand</w:t>
      </w:r>
      <w:r w:rsidRPr="00400349">
        <w:rPr>
          <w:color w:val="auto"/>
          <w:lang w:eastAsia="en-AU"/>
        </w:rPr>
        <w:t xml:space="preserve"> (LexisNexis, Wellington, 2022) </w:t>
      </w:r>
      <w:r w:rsidRPr="00400349">
        <w:rPr>
          <w:color w:val="auto"/>
          <w:lang w:val="mi-NZ"/>
        </w:rPr>
        <w:t>at 3–5.</w:t>
      </w:r>
    </w:p>
  </w:footnote>
  <w:footnote w:id="179">
    <w:p w14:paraId="12505DE0"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w:t>
      </w:r>
      <w:r w:rsidRPr="00400349">
        <w:rPr>
          <w:color w:val="auto"/>
          <w:lang w:val="mi-NZ"/>
        </w:rPr>
        <w:t xml:space="preserve">Julia Tolmie and others </w:t>
      </w:r>
      <w:r w:rsidRPr="00400349">
        <w:rPr>
          <w:i/>
          <w:color w:val="auto"/>
          <w:lang w:eastAsia="en-AU"/>
        </w:rPr>
        <w:t>Criminal Law in Aotearoa New Zealand</w:t>
      </w:r>
      <w:r w:rsidRPr="00400349">
        <w:rPr>
          <w:color w:val="auto"/>
          <w:lang w:eastAsia="en-AU"/>
        </w:rPr>
        <w:t xml:space="preserve"> (LexisNexis, Wellington, 2022) at 4–5, 28–30 and 45–46 for an explanation of how and why Māori are overrepresented in the criminal justice system. We heard similar views during consultation. </w:t>
      </w:r>
    </w:p>
  </w:footnote>
  <w:footnote w:id="180">
    <w:p w14:paraId="63C743DB" w14:textId="1CB93260" w:rsidR="002333E7" w:rsidRPr="00400349" w:rsidRDefault="002333E7" w:rsidP="002333E7">
      <w:pPr>
        <w:pStyle w:val="FootnoteText"/>
      </w:pPr>
      <w:r w:rsidRPr="00400349">
        <w:rPr>
          <w:rStyle w:val="FootnoteReference"/>
        </w:rPr>
        <w:footnoteRef/>
      </w:r>
      <w:r w:rsidRPr="00400349">
        <w:t xml:space="preserve"> </w:t>
      </w:r>
      <w:r w:rsidRPr="00400349">
        <w:tab/>
      </w:r>
      <w:r w:rsidRPr="00400349">
        <w:rPr>
          <w:color w:val="auto"/>
        </w:rPr>
        <w:t xml:space="preserve">See for example Julia Tolmie and others </w:t>
      </w:r>
      <w:r w:rsidRPr="00400349">
        <w:rPr>
          <w:i/>
          <w:color w:val="auto"/>
        </w:rPr>
        <w:t>Criminal Law in Aotearoa New Zealand</w:t>
      </w:r>
      <w:r w:rsidRPr="00400349">
        <w:rPr>
          <w:color w:val="auto"/>
        </w:rPr>
        <w:t xml:space="preserve"> (LexisNexis, Wellington, 2022) at 79; </w:t>
      </w:r>
      <w:r w:rsidRPr="00400349">
        <w:t xml:space="preserve">Moana Jackson </w:t>
      </w:r>
      <w:r w:rsidR="00B96141" w:rsidRPr="00400349">
        <w:rPr>
          <w:i/>
        </w:rPr>
        <w:t>The Maori and the Criminal Justice System</w:t>
      </w:r>
      <w:r w:rsidR="00B96141">
        <w:rPr>
          <w:i/>
          <w:iCs/>
        </w:rPr>
        <w:t xml:space="preserve"> —</w:t>
      </w:r>
      <w:r w:rsidR="00B96141" w:rsidRPr="00400349">
        <w:rPr>
          <w:i/>
          <w:iCs/>
        </w:rPr>
        <w:t xml:space="preserve"> A New Perspective</w:t>
      </w:r>
      <w:r w:rsidR="00B96141">
        <w:rPr>
          <w:i/>
          <w:iCs/>
        </w:rPr>
        <w:t>:</w:t>
      </w:r>
      <w:r w:rsidR="00B96141" w:rsidRPr="00400349">
        <w:rPr>
          <w:i/>
          <w:color w:val="auto"/>
        </w:rPr>
        <w:t xml:space="preserve"> </w:t>
      </w:r>
      <w:r w:rsidR="00B96141" w:rsidRPr="00400349">
        <w:rPr>
          <w:i/>
          <w:iCs/>
        </w:rPr>
        <w:t>He Whaipaanga Hou</w:t>
      </w:r>
      <w:r w:rsidR="00B96141">
        <w:rPr>
          <w:i/>
          <w:iCs/>
        </w:rPr>
        <w:t>,</w:t>
      </w:r>
      <w:r w:rsidR="00B96141">
        <w:rPr>
          <w:i/>
        </w:rPr>
        <w:t xml:space="preserve"> </w:t>
      </w:r>
      <w:r w:rsidR="00B96141" w:rsidRPr="00400349">
        <w:rPr>
          <w:i/>
          <w:iCs/>
        </w:rPr>
        <w:t>Part 2</w:t>
      </w:r>
      <w:r w:rsidR="00B96141">
        <w:t xml:space="preserve"> </w:t>
      </w:r>
      <w:r w:rsidR="00D81CB1" w:rsidRPr="00400349">
        <w:t xml:space="preserve">(Department of Justice, </w:t>
      </w:r>
      <w:r w:rsidR="00375EF1" w:rsidRPr="00400349">
        <w:t>Study Series 18</w:t>
      </w:r>
      <w:r w:rsidR="00D81CB1" w:rsidRPr="00400349">
        <w:t>, 1988</w:t>
      </w:r>
      <w:r w:rsidR="00375EF1" w:rsidRPr="00400349">
        <w:t>);</w:t>
      </w:r>
      <w:r w:rsidR="00D81CB1" w:rsidRPr="00400349">
        <w:rPr>
          <w:color w:val="auto"/>
        </w:rPr>
        <w:t xml:space="preserve"> </w:t>
      </w:r>
      <w:r w:rsidRPr="00400349">
        <w:rPr>
          <w:i/>
          <w:color w:val="auto"/>
        </w:rPr>
        <w:t xml:space="preserve">Turuki! Turuki! Move </w:t>
      </w:r>
      <w:r w:rsidR="00CD016F" w:rsidRPr="00400349">
        <w:rPr>
          <w:i/>
          <w:iCs/>
          <w:color w:val="auto"/>
        </w:rPr>
        <w:t>T</w:t>
      </w:r>
      <w:r w:rsidRPr="00400349">
        <w:rPr>
          <w:i/>
          <w:color w:val="auto"/>
        </w:rPr>
        <w:t>ogether! Transforming our criminal justice system: The second report of Te Uepū Hāpai i Te Ora | Safe and Effective Justice Advisory Group</w:t>
      </w:r>
      <w:r w:rsidRPr="00400349">
        <w:rPr>
          <w:color w:val="auto"/>
        </w:rPr>
        <w:t xml:space="preserve"> (Ministry of Justice, 2019); and Ināia Tonu Nei </w:t>
      </w:r>
      <w:r w:rsidRPr="00400349">
        <w:rPr>
          <w:i/>
          <w:color w:val="auto"/>
        </w:rPr>
        <w:t>Hui Māori Report</w:t>
      </w:r>
      <w:r w:rsidRPr="00400349">
        <w:rPr>
          <w:color w:val="auto"/>
        </w:rPr>
        <w:t xml:space="preserve"> (</w:t>
      </w:r>
      <w:r w:rsidR="00381A5B" w:rsidRPr="00400349">
        <w:rPr>
          <w:color w:val="auto"/>
        </w:rPr>
        <w:t xml:space="preserve">July </w:t>
      </w:r>
      <w:r w:rsidRPr="00400349">
        <w:rPr>
          <w:color w:val="auto"/>
        </w:rPr>
        <w:t>2019).</w:t>
      </w:r>
    </w:p>
  </w:footnote>
  <w:footnote w:id="181">
    <w:p w14:paraId="302E1006" w14:textId="1C40E501"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3A14B7" w:rsidRPr="00400349">
        <w:rPr>
          <w:color w:val="auto"/>
        </w:rPr>
        <w:t>P</w:t>
      </w:r>
      <w:r w:rsidRPr="00400349">
        <w:rPr>
          <w:color w:val="auto"/>
        </w:rPr>
        <w:t xml:space="preserve">aper at [2.20(b)]. </w:t>
      </w:r>
    </w:p>
  </w:footnote>
  <w:footnote w:id="182">
    <w:p w14:paraId="7229921D" w14:textId="04391255"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431FC6" w:rsidRPr="00400349">
        <w:rPr>
          <w:color w:val="auto"/>
        </w:rPr>
        <w:t>At</w:t>
      </w:r>
      <w:r w:rsidRPr="00400349">
        <w:rPr>
          <w:color w:val="auto"/>
        </w:rPr>
        <w:t xml:space="preserve"> [8.37].</w:t>
      </w:r>
    </w:p>
  </w:footnote>
  <w:footnote w:id="183">
    <w:p w14:paraId="3FD75DDE" w14:textId="69222A13"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r>
      <w:r w:rsidR="007E5A05" w:rsidRPr="00400349">
        <w:rPr>
          <w:lang w:val="mi-NZ"/>
        </w:rPr>
        <w:t xml:space="preserve">Julia Tolmie and others </w:t>
      </w:r>
      <w:r w:rsidR="007E5A05" w:rsidRPr="00400349">
        <w:rPr>
          <w:i/>
          <w:lang w:eastAsia="en-AU"/>
        </w:rPr>
        <w:t>Criminal Law in Aotearoa New Zealand</w:t>
      </w:r>
      <w:r w:rsidR="007E5A05" w:rsidRPr="00400349">
        <w:rPr>
          <w:lang w:eastAsia="en-AU"/>
        </w:rPr>
        <w:t xml:space="preserve"> (LexisNexis, Wellington, 2022) </w:t>
      </w:r>
      <w:r w:rsidR="007E5A05" w:rsidRPr="00400349">
        <w:rPr>
          <w:lang w:val="mi-NZ"/>
        </w:rPr>
        <w:t>a</w:t>
      </w:r>
      <w:r w:rsidR="007E5A05" w:rsidRPr="00400349">
        <w:rPr>
          <w:lang w:eastAsia="en-AU"/>
        </w:rPr>
        <w:t xml:space="preserve">t 76. </w:t>
      </w:r>
      <w:r w:rsidRPr="00400349">
        <w:rPr>
          <w:color w:val="auto"/>
          <w:lang w:eastAsia="en-AU"/>
        </w:rPr>
        <w:t xml:space="preserve"> </w:t>
      </w:r>
    </w:p>
  </w:footnote>
  <w:footnote w:id="184">
    <w:p w14:paraId="312BDF5D" w14:textId="2FA7D36B" w:rsidR="00047344" w:rsidRPr="00400349" w:rsidRDefault="00047344">
      <w:pPr>
        <w:pStyle w:val="FootnoteText"/>
      </w:pPr>
      <w:r w:rsidRPr="00400349">
        <w:rPr>
          <w:rStyle w:val="FootnoteReference"/>
        </w:rPr>
        <w:footnoteRef/>
      </w:r>
      <w:r w:rsidRPr="00400349">
        <w:t xml:space="preserve"> </w:t>
      </w:r>
      <w:r w:rsidRPr="00400349">
        <w:tab/>
      </w:r>
      <w:r w:rsidR="00031A04" w:rsidRPr="00400349">
        <w:t xml:space="preserve">Destiny Church New Zealand. </w:t>
      </w:r>
    </w:p>
  </w:footnote>
  <w:footnote w:id="185">
    <w:p w14:paraId="3918D732" w14:textId="77777777" w:rsidR="00031A04" w:rsidRPr="00400349" w:rsidRDefault="00031A04">
      <w:pPr>
        <w:pStyle w:val="FootnoteText"/>
      </w:pPr>
      <w:r w:rsidRPr="00400349">
        <w:rPr>
          <w:rStyle w:val="FootnoteReference"/>
        </w:rPr>
        <w:footnoteRef/>
      </w:r>
      <w:r w:rsidRPr="00400349">
        <w:t xml:space="preserve"> </w:t>
      </w:r>
      <w:r w:rsidRPr="00400349">
        <w:tab/>
      </w:r>
      <w:r w:rsidR="00483AFA" w:rsidRPr="00400349">
        <w:t>Family First; Submission 65; and Submission 66.</w:t>
      </w:r>
    </w:p>
  </w:footnote>
  <w:footnote w:id="186">
    <w:p w14:paraId="12C03769" w14:textId="0EE9F6CB" w:rsidR="003645EB" w:rsidRPr="00400349" w:rsidRDefault="003645EB" w:rsidP="00647EFC">
      <w:pPr>
        <w:pStyle w:val="FootnoteText"/>
      </w:pPr>
      <w:r w:rsidRPr="00400349">
        <w:rPr>
          <w:rStyle w:val="FootnoteReference"/>
        </w:rPr>
        <w:footnoteRef/>
      </w:r>
      <w:r w:rsidR="00647EFC" w:rsidRPr="00400349">
        <w:tab/>
        <w:t xml:space="preserve">Dr John McDonald-Wharry. </w:t>
      </w:r>
    </w:p>
  </w:footnote>
  <w:footnote w:id="187">
    <w:p w14:paraId="5F0C5037" w14:textId="077839B1" w:rsidR="00BC4352" w:rsidRPr="00400349" w:rsidRDefault="00BC4352">
      <w:pPr>
        <w:pStyle w:val="FootnoteText"/>
      </w:pPr>
      <w:r w:rsidRPr="00400349">
        <w:rPr>
          <w:rStyle w:val="FootnoteReference"/>
        </w:rPr>
        <w:footnoteRef/>
      </w:r>
      <w:r w:rsidRPr="00400349">
        <w:t xml:space="preserve"> </w:t>
      </w:r>
      <w:r w:rsidRPr="00400349">
        <w:tab/>
        <w:t xml:space="preserve">Free Speech Union. </w:t>
      </w:r>
    </w:p>
  </w:footnote>
  <w:footnote w:id="188">
    <w:p w14:paraId="4438E6E3"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and Members of Te Hunga Rōia Māori o Aotearoa.</w:t>
      </w:r>
    </w:p>
  </w:footnote>
  <w:footnote w:id="189">
    <w:p w14:paraId="55FE791E"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Submission 90.</w:t>
      </w:r>
    </w:p>
  </w:footnote>
  <w:footnote w:id="190">
    <w:p w14:paraId="1E7947E5"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Inclusive Aotearoa Collective Tāhono; Members of Te Hunga Rōia Māori o Aotearoa; and Te Kāhui o Ināia Tonu Nei Charitable Trust.</w:t>
      </w:r>
    </w:p>
  </w:footnote>
  <w:footnote w:id="191">
    <w:p w14:paraId="2DC7E76C"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Annette Sykes &amp; Co; Inclusive Aotearoa Collective Tāhono; Members of Te Hunga Rōia Māori o Aotearoa; and Te Kāhui Ture o Aotearoa | New Zealand Law Society.</w:t>
      </w:r>
    </w:p>
  </w:footnote>
  <w:footnote w:id="192">
    <w:p w14:paraId="6905DBCB"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Annette Sykes &amp; Co; Members of Te Hunga Rōia Māori o Aotearoa; Submission 51; Submission 72; and Submission 90.</w:t>
      </w:r>
    </w:p>
  </w:footnote>
  <w:footnote w:id="193">
    <w:p w14:paraId="20CDF87A" w14:textId="77777777"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Annette Sykes &amp; Co;</w:t>
      </w:r>
      <w:r w:rsidRPr="00400349">
        <w:rPr>
          <w:color w:val="auto"/>
        </w:rPr>
        <w:t xml:space="preserve"> Members of Te Hunga Rōia Māori o Aotearoa;</w:t>
      </w:r>
      <w:r w:rsidRPr="00400349">
        <w:rPr>
          <w:color w:val="auto"/>
          <w:lang w:val="mi-NZ"/>
        </w:rPr>
        <w:t xml:space="preserve"> Submission 51; </w:t>
      </w:r>
      <w:r w:rsidRPr="00400349">
        <w:rPr>
          <w:color w:val="auto"/>
        </w:rPr>
        <w:t>Submission 72; and Submission 90.</w:t>
      </w:r>
    </w:p>
  </w:footnote>
  <w:footnote w:id="194">
    <w:p w14:paraId="43AF1B57" w14:textId="22BB9BB4" w:rsidR="004D35C8" w:rsidRPr="00400349" w:rsidRDefault="004D35C8">
      <w:pPr>
        <w:pStyle w:val="FootnoteText"/>
      </w:pPr>
      <w:r w:rsidRPr="00400349">
        <w:rPr>
          <w:rStyle w:val="FootnoteReference"/>
        </w:rPr>
        <w:footnoteRef/>
      </w:r>
      <w:r w:rsidRPr="00400349">
        <w:t xml:space="preserve"> </w:t>
      </w:r>
      <w:r w:rsidRPr="00400349">
        <w:tab/>
        <w:t xml:space="preserve">Deriving from the word “tika”, meaning right or correct. </w:t>
      </w:r>
      <w:r w:rsidR="008713A3" w:rsidRPr="00400349">
        <w:t xml:space="preserve">See </w:t>
      </w:r>
      <w:r w:rsidR="00FA16C2" w:rsidRPr="00400349">
        <w:t xml:space="preserve">Hirini Moko Mead </w:t>
      </w:r>
      <w:r w:rsidR="00FA16C2" w:rsidRPr="00400349">
        <w:rPr>
          <w:i/>
        </w:rPr>
        <w:t xml:space="preserve">Tikanga Māori: Living by </w:t>
      </w:r>
      <w:r w:rsidR="00085821" w:rsidRPr="00400349">
        <w:rPr>
          <w:i/>
        </w:rPr>
        <w:t xml:space="preserve">Māori Values </w:t>
      </w:r>
      <w:r w:rsidR="00085821" w:rsidRPr="00400349">
        <w:t xml:space="preserve">(Revised </w:t>
      </w:r>
      <w:r w:rsidR="00AF29A5" w:rsidRPr="00400349">
        <w:t>ed, Huia Publishers, Wellington</w:t>
      </w:r>
      <w:r w:rsidR="009B75E6" w:rsidRPr="00400349">
        <w:t>,</w:t>
      </w:r>
      <w:r w:rsidR="00AF29A5" w:rsidRPr="00400349">
        <w:t xml:space="preserve"> 2016) at 29. </w:t>
      </w:r>
    </w:p>
  </w:footnote>
  <w:footnote w:id="195">
    <w:p w14:paraId="296C2FF6" w14:textId="1F5F120D" w:rsidR="006E1FFD" w:rsidRPr="00400349" w:rsidRDefault="006E1FFD">
      <w:pPr>
        <w:pStyle w:val="FootnoteText"/>
      </w:pPr>
      <w:r w:rsidRPr="00400349">
        <w:rPr>
          <w:rStyle w:val="FootnoteReference"/>
        </w:rPr>
        <w:footnoteRef/>
      </w:r>
      <w:r w:rsidRPr="00400349">
        <w:t xml:space="preserve"> </w:t>
      </w:r>
      <w:r w:rsidRPr="00400349">
        <w:tab/>
      </w:r>
      <w:r w:rsidR="00F60842" w:rsidRPr="00400349">
        <w:t>Bishop Manuhuia Bennett “Te Pū Wānanga” (presented with Te Mātāh</w:t>
      </w:r>
      <w:r w:rsidR="00660EA9" w:rsidRPr="00400349">
        <w:t xml:space="preserve">auariki Research Institute, </w:t>
      </w:r>
      <w:r w:rsidR="00AC2C25" w:rsidRPr="00400349">
        <w:t>University of Waikato</w:t>
      </w:r>
      <w:r w:rsidR="007129C3" w:rsidRPr="00400349">
        <w:t>,</w:t>
      </w:r>
      <w:r w:rsidR="00660EA9" w:rsidRPr="00400349">
        <w:t xml:space="preserve"> 23 March 2000) as cited in Richard Benton, Alex Frame and Paul Meredith (eds) </w:t>
      </w:r>
      <w:r w:rsidR="00660EA9" w:rsidRPr="00400349">
        <w:rPr>
          <w:i/>
        </w:rPr>
        <w:t>Te Mātāpunenga</w:t>
      </w:r>
      <w:r w:rsidR="00250252" w:rsidRPr="00400349">
        <w:rPr>
          <w:i/>
        </w:rPr>
        <w:t xml:space="preserve">: A Compendium of References to the Concepts and Institutions of Māori Customary Law </w:t>
      </w:r>
      <w:r w:rsidR="00250252" w:rsidRPr="00400349">
        <w:t>(Victoria University Press, Wellington, 2013) at 431.</w:t>
      </w:r>
      <w:r w:rsidR="00660EA9" w:rsidRPr="00400349">
        <w:t xml:space="preserve"> </w:t>
      </w:r>
    </w:p>
  </w:footnote>
  <w:footnote w:id="196">
    <w:p w14:paraId="67D30A5A" w14:textId="005E6DDD" w:rsidR="00FB25CD" w:rsidRPr="00400349" w:rsidRDefault="00FB25CD">
      <w:pPr>
        <w:pStyle w:val="FootnoteText"/>
      </w:pPr>
      <w:r w:rsidRPr="00400349">
        <w:rPr>
          <w:rStyle w:val="FootnoteReference"/>
        </w:rPr>
        <w:footnoteRef/>
      </w:r>
      <w:r w:rsidRPr="00400349">
        <w:t xml:space="preserve"> </w:t>
      </w:r>
      <w:r w:rsidRPr="00400349">
        <w:tab/>
      </w:r>
      <w:r w:rsidR="001A3588" w:rsidRPr="00400349">
        <w:t xml:space="preserve">See for example Te Aka Matua o te Ture | Law Commission </w:t>
      </w:r>
      <w:r w:rsidR="001A3588" w:rsidRPr="00400349">
        <w:rPr>
          <w:i/>
        </w:rPr>
        <w:t xml:space="preserve">He arotake i te āheinga ki ngā rawa a te tangata ka mate ana | Review of </w:t>
      </w:r>
      <w:r w:rsidR="00A20D90">
        <w:rPr>
          <w:i/>
        </w:rPr>
        <w:t>s</w:t>
      </w:r>
      <w:r w:rsidR="001A3588" w:rsidRPr="00400349">
        <w:rPr>
          <w:i/>
        </w:rPr>
        <w:t xml:space="preserve">uccession </w:t>
      </w:r>
      <w:r w:rsidR="00A20D90">
        <w:rPr>
          <w:i/>
        </w:rPr>
        <w:t>l</w:t>
      </w:r>
      <w:r w:rsidR="001A3588" w:rsidRPr="00400349">
        <w:rPr>
          <w:i/>
        </w:rPr>
        <w:t>aw: rights to a person’s property on death</w:t>
      </w:r>
      <w:r w:rsidR="001A3588" w:rsidRPr="00400349">
        <w:t xml:space="preserve"> (NZLC R145, 2021) at [2.127]</w:t>
      </w:r>
      <w:r w:rsidR="004E4B69">
        <w:t>,</w:t>
      </w:r>
      <w:r w:rsidR="001A3588" w:rsidRPr="00400349">
        <w:t xml:space="preserve"> in which the Law Commission recommended weaving together tikanga Māori with other values to make new law for all New Zealanders.</w:t>
      </w:r>
    </w:p>
  </w:footnote>
  <w:footnote w:id="197">
    <w:p w14:paraId="18C23238" w14:textId="7EB81DDB"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Consultation </w:t>
      </w:r>
      <w:r w:rsidR="003A14B7" w:rsidRPr="00400349">
        <w:rPr>
          <w:color w:val="auto"/>
          <w:lang w:val="mi-NZ"/>
        </w:rPr>
        <w:t>P</w:t>
      </w:r>
      <w:r w:rsidRPr="00400349">
        <w:rPr>
          <w:color w:val="auto"/>
          <w:lang w:val="mi-NZ"/>
        </w:rPr>
        <w:t xml:space="preserve">aper at [3.23]. For an explanation of the tikanga relevant to offending, see </w:t>
      </w:r>
      <w:r w:rsidRPr="00400349">
        <w:rPr>
          <w:color w:val="auto"/>
        </w:rPr>
        <w:t xml:space="preserve">Te Aka Matua o te Ture | Law Commission </w:t>
      </w:r>
      <w:r w:rsidRPr="00400349">
        <w:rPr>
          <w:i/>
          <w:color w:val="auto"/>
        </w:rPr>
        <w:t>Hapori whānui me te tangata mōrea nui: he arotake o te mauhere ārai hē me ngā ōta nō muri whakawhiu | Public safety and serious offenders: a review of preventive detention and post-sentence orders</w:t>
      </w:r>
      <w:r w:rsidRPr="00400349">
        <w:rPr>
          <w:color w:val="auto"/>
        </w:rPr>
        <w:t xml:space="preserve"> (NZLC IP51, 2023) </w:t>
      </w:r>
      <w:r w:rsidRPr="00400349">
        <w:rPr>
          <w:color w:val="auto"/>
          <w:lang w:val="mi-NZ"/>
        </w:rPr>
        <w:t>at [2.7]–[2.23].</w:t>
      </w:r>
    </w:p>
  </w:footnote>
  <w:footnote w:id="198">
    <w:p w14:paraId="6D0D5646" w14:textId="6CC9DA34"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r>
      <w:r w:rsidRPr="00400349">
        <w:rPr>
          <w:color w:val="auto"/>
        </w:rPr>
        <w:t>Also denoted by the word hē</w:t>
      </w:r>
      <w:r w:rsidR="00691070" w:rsidRPr="00400349">
        <w:rPr>
          <w:color w:val="auto"/>
        </w:rPr>
        <w:t xml:space="preserve">, </w:t>
      </w:r>
      <w:r w:rsidR="00D74608" w:rsidRPr="00400349">
        <w:rPr>
          <w:color w:val="auto"/>
        </w:rPr>
        <w:t>a general term for mistakes, faults and being in the wrong</w:t>
      </w:r>
      <w:r w:rsidR="002C5178" w:rsidRPr="00400349">
        <w:rPr>
          <w:color w:val="auto"/>
        </w:rPr>
        <w:t xml:space="preserve">: </w:t>
      </w:r>
      <w:r w:rsidR="002C5178" w:rsidRPr="00400349">
        <w:t xml:space="preserve">Richard Benton, Alex Frame and Paul Meredith (eds) </w:t>
      </w:r>
      <w:r w:rsidR="002C5178" w:rsidRPr="00400349">
        <w:rPr>
          <w:i/>
        </w:rPr>
        <w:t xml:space="preserve">Te Mātāpunenga: A Compendium of References to the Concepts and Institutions of Māori Customary Law </w:t>
      </w:r>
      <w:r w:rsidR="002C5178" w:rsidRPr="00400349">
        <w:t>(Victoria University Press, Wellington, 2013) at 85.</w:t>
      </w:r>
    </w:p>
  </w:footnote>
  <w:footnote w:id="199">
    <w:p w14:paraId="33B3A3A8" w14:textId="7474519F" w:rsidR="0035348E" w:rsidRPr="00400349" w:rsidRDefault="0035348E" w:rsidP="0035348E">
      <w:pPr>
        <w:pStyle w:val="FootnoteText"/>
        <w:rPr>
          <w:color w:val="auto"/>
        </w:rPr>
      </w:pPr>
      <w:r w:rsidRPr="00400349">
        <w:rPr>
          <w:rStyle w:val="FootnoteReference"/>
          <w:rFonts w:eastAsiaTheme="minorEastAsia"/>
          <w:color w:val="auto"/>
        </w:rPr>
        <w:footnoteRef/>
      </w:r>
      <w:r w:rsidRPr="00400349">
        <w:rPr>
          <w:color w:val="auto"/>
        </w:rPr>
        <w:t xml:space="preserve"> </w:t>
      </w:r>
      <w:r w:rsidRPr="00400349">
        <w:rPr>
          <w:color w:val="auto"/>
        </w:rPr>
        <w:tab/>
        <w:t xml:space="preserve">Richard Benton, Alex Frame and Paul Meredith (eds) </w:t>
      </w:r>
      <w:r w:rsidRPr="00400349">
        <w:rPr>
          <w:i/>
          <w:color w:val="auto"/>
        </w:rPr>
        <w:t xml:space="preserve">Te Mātāpunenga: A Compendium of References to the Concepts and Institutions of Māori Customary Law </w:t>
      </w:r>
      <w:r w:rsidRPr="00400349">
        <w:rPr>
          <w:color w:val="auto"/>
        </w:rPr>
        <w:t>(Victoria University Press, Wellington, 2013) at 7</w:t>
      </w:r>
      <w:r w:rsidR="00636A39" w:rsidRPr="00400349">
        <w:rPr>
          <w:color w:val="auto"/>
        </w:rPr>
        <w:t>4</w:t>
      </w:r>
      <w:r w:rsidRPr="00400349">
        <w:rPr>
          <w:color w:val="auto"/>
        </w:rPr>
        <w:t>. See also Moana Jackson “Statement of Evidence of Moana Jackson in the matter of the Treaty of Waitangi Act 1975 and in the matter of the Department of Corrections and Reoffending Prisoners claim” (Wai 2540, #A28, 4 May 2016) at [54].</w:t>
      </w:r>
    </w:p>
  </w:footnote>
  <w:footnote w:id="200">
    <w:p w14:paraId="0D9A30FC" w14:textId="1E9F1DDC" w:rsidR="0035348E" w:rsidRPr="00400349" w:rsidRDefault="0035348E" w:rsidP="0035348E">
      <w:pPr>
        <w:pStyle w:val="FootnoteText"/>
        <w:rPr>
          <w:color w:val="auto"/>
        </w:rPr>
      </w:pPr>
      <w:r w:rsidRPr="00400349">
        <w:rPr>
          <w:rStyle w:val="FootnoteReference"/>
          <w:rFonts w:eastAsiaTheme="minorEastAsia"/>
          <w:color w:val="auto"/>
        </w:rPr>
        <w:footnoteRef/>
      </w:r>
      <w:r w:rsidRPr="00400349">
        <w:rPr>
          <w:color w:val="auto"/>
        </w:rPr>
        <w:t xml:space="preserve"> </w:t>
      </w:r>
      <w:r w:rsidRPr="00400349">
        <w:rPr>
          <w:color w:val="auto"/>
        </w:rPr>
        <w:tab/>
        <w:t xml:space="preserve">Moana Jackson “Criminality and the Exclusion of Māori” (1990) 20 VUWLR Monograph </w:t>
      </w:r>
      <w:r w:rsidR="00360543" w:rsidRPr="00400349">
        <w:rPr>
          <w:color w:val="auto"/>
        </w:rPr>
        <w:t>3</w:t>
      </w:r>
      <w:r w:rsidRPr="00400349">
        <w:rPr>
          <w:color w:val="auto"/>
        </w:rPr>
        <w:t xml:space="preserve"> 23 at 27.</w:t>
      </w:r>
    </w:p>
  </w:footnote>
  <w:footnote w:id="201">
    <w:p w14:paraId="6F55FBED" w14:textId="35303C66"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Khylee Quince “M</w:t>
      </w:r>
      <w:r w:rsidR="0081624D" w:rsidRPr="00400349">
        <w:rPr>
          <w:color w:val="auto"/>
        </w:rPr>
        <w:t>a</w:t>
      </w:r>
      <w:r w:rsidRPr="00400349">
        <w:rPr>
          <w:color w:val="auto"/>
        </w:rPr>
        <w:t xml:space="preserve">ori and the </w:t>
      </w:r>
      <w:r w:rsidR="0081624D" w:rsidRPr="00400349">
        <w:rPr>
          <w:color w:val="auto"/>
        </w:rPr>
        <w:t>c</w:t>
      </w:r>
      <w:r w:rsidRPr="00400349">
        <w:rPr>
          <w:color w:val="auto"/>
        </w:rPr>
        <w:t xml:space="preserve">riminal </w:t>
      </w:r>
      <w:r w:rsidR="0081624D" w:rsidRPr="00400349">
        <w:rPr>
          <w:color w:val="auto"/>
        </w:rPr>
        <w:t>j</w:t>
      </w:r>
      <w:r w:rsidRPr="00400349">
        <w:rPr>
          <w:color w:val="auto"/>
        </w:rPr>
        <w:t xml:space="preserve">ustice </w:t>
      </w:r>
      <w:r w:rsidR="0081624D" w:rsidRPr="00400349">
        <w:rPr>
          <w:color w:val="auto"/>
        </w:rPr>
        <w:t>s</w:t>
      </w:r>
      <w:r w:rsidRPr="00400349">
        <w:rPr>
          <w:color w:val="auto"/>
        </w:rPr>
        <w:t xml:space="preserve">ystem in New Zealand” in Julia Tolmie and Warren Brookbanks (eds) </w:t>
      </w:r>
      <w:r w:rsidRPr="00400349">
        <w:rPr>
          <w:i/>
          <w:color w:val="auto"/>
        </w:rPr>
        <w:t xml:space="preserve">Criminal Justice in New Zealand </w:t>
      </w:r>
      <w:r w:rsidRPr="00400349">
        <w:rPr>
          <w:color w:val="auto"/>
        </w:rPr>
        <w:t>(LexisNexis, Wellington, 2007) 333 at 339.</w:t>
      </w:r>
    </w:p>
  </w:footnote>
  <w:footnote w:id="202">
    <w:p w14:paraId="50AE9EC5" w14:textId="77777777"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Richard Benton, Alex Frame and Paul Meredith (eds) </w:t>
      </w:r>
      <w:r w:rsidRPr="00400349">
        <w:rPr>
          <w:i/>
          <w:color w:val="auto"/>
          <w:lang w:val="mi-NZ"/>
        </w:rPr>
        <w:t xml:space="preserve">Te Mātāpunenga: </w:t>
      </w:r>
      <w:r w:rsidRPr="00400349">
        <w:rPr>
          <w:i/>
          <w:color w:val="auto"/>
        </w:rPr>
        <w:t xml:space="preserve">A Compendium of References to the Concepts and Institutions of Māori Customary Law </w:t>
      </w:r>
      <w:r w:rsidRPr="00400349">
        <w:rPr>
          <w:color w:val="auto"/>
          <w:lang w:val="mi-NZ"/>
        </w:rPr>
        <w:t>(Victoria University Press, Wellington, 2013) at 115.</w:t>
      </w:r>
    </w:p>
  </w:footnote>
  <w:footnote w:id="203">
    <w:p w14:paraId="560DC627"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lang w:val="mi-NZ"/>
        </w:rPr>
        <w:tab/>
        <w:t xml:space="preserve">He Pātaka Kupu (definition of “kōhuru”) &lt;www.hepatakakupu.nz&gt;; and </w:t>
      </w:r>
      <w:r w:rsidRPr="00400349">
        <w:rPr>
          <w:color w:val="auto"/>
        </w:rPr>
        <w:t xml:space="preserve">Richard Benton, Alex Frame and Paul Meredith (eds) </w:t>
      </w:r>
      <w:r w:rsidRPr="00400349">
        <w:rPr>
          <w:i/>
          <w:color w:val="auto"/>
        </w:rPr>
        <w:t>T</w:t>
      </w:r>
      <w:r w:rsidRPr="00400349">
        <w:rPr>
          <w:i/>
          <w:color w:val="auto"/>
          <w:lang w:val="mi-NZ"/>
        </w:rPr>
        <w:t>e</w:t>
      </w:r>
      <w:r w:rsidRPr="00400349">
        <w:rPr>
          <w:i/>
          <w:color w:val="auto"/>
        </w:rPr>
        <w:t xml:space="preserve"> Mātāpunenga: A Compendium of References to the Concepts and Institutions of Māori Customary Law </w:t>
      </w:r>
      <w:r w:rsidRPr="00400349">
        <w:rPr>
          <w:color w:val="auto"/>
        </w:rPr>
        <w:t>(Victoria University Press, Wellington, 2013)</w:t>
      </w:r>
      <w:r w:rsidRPr="00400349">
        <w:rPr>
          <w:color w:val="auto"/>
          <w:lang w:val="mi-NZ"/>
        </w:rPr>
        <w:t xml:space="preserve"> </w:t>
      </w:r>
      <w:r w:rsidRPr="00400349">
        <w:rPr>
          <w:color w:val="auto"/>
        </w:rPr>
        <w:t>at 141.</w:t>
      </w:r>
    </w:p>
  </w:footnote>
  <w:footnote w:id="204">
    <w:p w14:paraId="6977B728" w14:textId="6F8A6A1F"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Both kanga and kōhuru could result in a severe response. See for example Te Rangi Hiroa </w:t>
      </w:r>
      <w:r w:rsidRPr="00400349">
        <w:rPr>
          <w:i/>
          <w:color w:val="auto"/>
        </w:rPr>
        <w:t xml:space="preserve">The Coming of the Maori </w:t>
      </w:r>
      <w:r w:rsidRPr="00400349">
        <w:rPr>
          <w:color w:val="auto"/>
        </w:rPr>
        <w:t xml:space="preserve">(Whitcombe and Tombs, Wellington, 1949) at 394 and Edward Tregear </w:t>
      </w:r>
      <w:r w:rsidRPr="00400349">
        <w:rPr>
          <w:i/>
          <w:color w:val="auto"/>
        </w:rPr>
        <w:t xml:space="preserve">The Maori Race </w:t>
      </w:r>
      <w:r w:rsidRPr="00400349">
        <w:rPr>
          <w:color w:val="auto"/>
        </w:rPr>
        <w:t>(AD Willis Ltd, Wanganui, 1926) at 367–368</w:t>
      </w:r>
      <w:r w:rsidR="00160372" w:rsidRPr="00400349">
        <w:rPr>
          <w:color w:val="auto"/>
        </w:rPr>
        <w:t>,</w:t>
      </w:r>
      <w:r w:rsidRPr="00400349">
        <w:rPr>
          <w:color w:val="auto"/>
        </w:rPr>
        <w:t xml:space="preserve"> </w:t>
      </w:r>
      <w:r w:rsidR="0066141C" w:rsidRPr="00400349">
        <w:rPr>
          <w:color w:val="auto"/>
        </w:rPr>
        <w:t xml:space="preserve">both </w:t>
      </w:r>
      <w:r w:rsidRPr="00400349">
        <w:rPr>
          <w:color w:val="auto"/>
        </w:rPr>
        <w:t xml:space="preserve">cited in Richard Benton, Alex Frame and Paul Meredith (eds) </w:t>
      </w:r>
      <w:r w:rsidRPr="00400349">
        <w:rPr>
          <w:i/>
          <w:color w:val="auto"/>
        </w:rPr>
        <w:t xml:space="preserve">Te Mātāpunenga: A Compendium of References to the Concepts and Institutions of Māori Customary Law </w:t>
      </w:r>
      <w:r w:rsidRPr="00400349">
        <w:rPr>
          <w:color w:val="auto"/>
        </w:rPr>
        <w:t>(Victoria University Press, Wellington, 2013) at 12</w:t>
      </w:r>
      <w:r w:rsidR="00597A57" w:rsidRPr="00400349">
        <w:rPr>
          <w:color w:val="auto"/>
        </w:rPr>
        <w:t>3</w:t>
      </w:r>
      <w:r w:rsidRPr="00400349">
        <w:rPr>
          <w:color w:val="auto"/>
        </w:rPr>
        <w:t xml:space="preserve"> and 14</w:t>
      </w:r>
      <w:r w:rsidR="00112E07" w:rsidRPr="00400349">
        <w:rPr>
          <w:color w:val="auto"/>
        </w:rPr>
        <w:t>2–14</w:t>
      </w:r>
      <w:r w:rsidRPr="00400349">
        <w:rPr>
          <w:color w:val="auto"/>
        </w:rPr>
        <w:t>3.</w:t>
      </w:r>
    </w:p>
  </w:footnote>
  <w:footnote w:id="205">
    <w:p w14:paraId="7C5E78A8"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Annette Sykes &amp; Co; Dr David Harvey; Dr Kyle R Matthews; Members of Te Hunga Rōia Māori o Aotearoa; Pride in Law Otago; Submission 63; Te Kāhui o Ināia Tonu Nei Charitable Trust; and The Law Association of New Zealand Public and Administrative Law Committee. </w:t>
      </w:r>
    </w:p>
  </w:footnote>
  <w:footnote w:id="206">
    <w:p w14:paraId="4F47BA4B"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David Bromell; Family First; and Submission 11. </w:t>
      </w:r>
    </w:p>
  </w:footnote>
  <w:footnote w:id="207">
    <w:p w14:paraId="0DC2B36E"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lang w:val="mi-NZ"/>
        </w:rPr>
        <w:tab/>
        <w:t>Te Aka Māori Dictionary (definition of “tūkino”) &lt;maoridictionary.co.nz&gt;; and He Pātaka Kupu (definition of “tūkino”) &lt;hepatakakupu.nz&gt;.</w:t>
      </w:r>
    </w:p>
  </w:footnote>
  <w:footnote w:id="208">
    <w:p w14:paraId="016A30D2" w14:textId="1A0A0300"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lang w:val="mi-NZ"/>
        </w:rPr>
        <w:tab/>
        <w:t xml:space="preserve">Richard Benton, Alex Frame and Paul Meredith </w:t>
      </w:r>
      <w:r w:rsidRPr="00400349">
        <w:rPr>
          <w:color w:val="auto"/>
        </w:rPr>
        <w:t>(eds)</w:t>
      </w:r>
      <w:r w:rsidRPr="00400349">
        <w:rPr>
          <w:color w:val="auto"/>
          <w:lang w:val="mi-NZ"/>
        </w:rPr>
        <w:t xml:space="preserve"> </w:t>
      </w:r>
      <w:r w:rsidRPr="00400349">
        <w:rPr>
          <w:i/>
          <w:color w:val="auto"/>
          <w:lang w:val="mi-NZ"/>
        </w:rPr>
        <w:t>Te Mātāpunenga: a Compendium of References to the Concepts and Institutions of Māori Customary Law</w:t>
      </w:r>
      <w:r w:rsidRPr="00400349">
        <w:rPr>
          <w:color w:val="auto"/>
          <w:lang w:val="mi-NZ"/>
        </w:rPr>
        <w:t xml:space="preserve"> (Victoria University Press, 2013) at 487; and </w:t>
      </w:r>
      <w:r w:rsidRPr="00400349">
        <w:rPr>
          <w:i/>
          <w:color w:val="auto"/>
        </w:rPr>
        <w:t>Maori Messenger: Te Karere Maori</w:t>
      </w:r>
      <w:r w:rsidRPr="00400349">
        <w:rPr>
          <w:color w:val="auto"/>
        </w:rPr>
        <w:t xml:space="preserve"> (Auckland, Vol II, Issue 4, 30 April 1856) at 10 (available at &lt;paperspast.natlib.govt.nz&gt;). </w:t>
      </w:r>
    </w:p>
  </w:footnote>
  <w:footnote w:id="209">
    <w:p w14:paraId="61DFA20F" w14:textId="03EA07A4"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Royal Commission of Inquiry into </w:t>
      </w:r>
      <w:r w:rsidR="00692682" w:rsidRPr="00400349">
        <w:rPr>
          <w:color w:val="auto"/>
          <w:lang w:val="mi-NZ"/>
        </w:rPr>
        <w:t xml:space="preserve">Historical </w:t>
      </w:r>
      <w:r w:rsidRPr="00400349">
        <w:rPr>
          <w:color w:val="auto"/>
          <w:lang w:val="mi-NZ"/>
        </w:rPr>
        <w:t xml:space="preserve">Abuse in Care </w:t>
      </w:r>
      <w:r w:rsidR="00692682" w:rsidRPr="00400349">
        <w:rPr>
          <w:color w:val="auto"/>
          <w:lang w:val="mi-NZ"/>
        </w:rPr>
        <w:t>and in the Care of Faith-based Institutions</w:t>
      </w:r>
      <w:r w:rsidRPr="00400349">
        <w:rPr>
          <w:color w:val="auto"/>
          <w:lang w:val="mi-NZ"/>
        </w:rPr>
        <w:t xml:space="preserve"> </w:t>
      </w:r>
      <w:r w:rsidRPr="00400349">
        <w:rPr>
          <w:i/>
          <w:color w:val="auto"/>
        </w:rPr>
        <w:t xml:space="preserve">Whanaketia </w:t>
      </w:r>
      <w:r w:rsidR="00726978">
        <w:rPr>
          <w:i/>
          <w:color w:val="auto"/>
        </w:rPr>
        <w:t>—</w:t>
      </w:r>
      <w:r w:rsidRPr="00400349">
        <w:rPr>
          <w:i/>
          <w:color w:val="auto"/>
        </w:rPr>
        <w:t xml:space="preserve"> Through pain and trauma, from darkness to light</w:t>
      </w:r>
      <w:r w:rsidR="00765A19" w:rsidRPr="00400349">
        <w:rPr>
          <w:i/>
          <w:color w:val="auto"/>
        </w:rPr>
        <w:t xml:space="preserve">: Part </w:t>
      </w:r>
      <w:r w:rsidR="002D3FD7" w:rsidRPr="00400349">
        <w:rPr>
          <w:i/>
          <w:color w:val="auto"/>
        </w:rPr>
        <w:t>1</w:t>
      </w:r>
      <w:r w:rsidRPr="00400349">
        <w:rPr>
          <w:i/>
          <w:color w:val="auto"/>
        </w:rPr>
        <w:t xml:space="preserve"> </w:t>
      </w:r>
      <w:r w:rsidRPr="00400349">
        <w:rPr>
          <w:color w:val="auto"/>
        </w:rPr>
        <w:t xml:space="preserve">(2024) at </w:t>
      </w:r>
      <w:r w:rsidR="002D3158" w:rsidRPr="00400349">
        <w:rPr>
          <w:color w:val="auto"/>
        </w:rPr>
        <w:t>[268]–[269]</w:t>
      </w:r>
      <w:r w:rsidRPr="00400349">
        <w:rPr>
          <w:color w:val="auto"/>
        </w:rPr>
        <w:t xml:space="preserve">; Child, Youth and Family </w:t>
      </w:r>
      <w:r w:rsidRPr="00400349">
        <w:rPr>
          <w:i/>
          <w:color w:val="auto"/>
        </w:rPr>
        <w:t>Recognition of Child Abuse and Neglect: Tirohanga Tukino Tamariki</w:t>
      </w:r>
      <w:r w:rsidRPr="00400349">
        <w:rPr>
          <w:color w:val="auto"/>
        </w:rPr>
        <w:t xml:space="preserve"> (1997); Te Puni Kōkiri </w:t>
      </w:r>
      <w:r w:rsidRPr="00400349">
        <w:rPr>
          <w:i/>
          <w:color w:val="auto"/>
        </w:rPr>
        <w:t>Arotake Tūkino Whānau: Literature Review of Family Violence</w:t>
      </w:r>
      <w:r w:rsidRPr="00400349">
        <w:rPr>
          <w:color w:val="auto"/>
        </w:rPr>
        <w:t xml:space="preserve"> (2010); Denise Wilson </w:t>
      </w:r>
      <w:r w:rsidRPr="00400349">
        <w:rPr>
          <w:i/>
          <w:color w:val="auto"/>
        </w:rPr>
        <w:t xml:space="preserve">Violence within whānau and mahi tūkino </w:t>
      </w:r>
      <w:r w:rsidR="00257256">
        <w:rPr>
          <w:i/>
          <w:color w:val="auto"/>
        </w:rPr>
        <w:t>—</w:t>
      </w:r>
      <w:r w:rsidRPr="00400349">
        <w:rPr>
          <w:i/>
          <w:color w:val="auto"/>
        </w:rPr>
        <w:t xml:space="preserve"> A litany of sound revisited </w:t>
      </w:r>
      <w:r w:rsidR="00D3031B" w:rsidRPr="00400349">
        <w:rPr>
          <w:color w:val="auto"/>
        </w:rPr>
        <w:t>(</w:t>
      </w:r>
      <w:r w:rsidRPr="00400349">
        <w:rPr>
          <w:color w:val="auto"/>
        </w:rPr>
        <w:t xml:space="preserve">Te Pūkotahitanga </w:t>
      </w:r>
      <w:r w:rsidR="00257256">
        <w:rPr>
          <w:color w:val="auto"/>
        </w:rPr>
        <w:t>—</w:t>
      </w:r>
      <w:r w:rsidRPr="00400349">
        <w:rPr>
          <w:color w:val="auto"/>
        </w:rPr>
        <w:t xml:space="preserve"> Tangata Whenua Advisory Group for the Minister of the Prevention of Family Violence and Sexual Violence</w:t>
      </w:r>
      <w:r w:rsidR="00D3031B" w:rsidRPr="00400349">
        <w:rPr>
          <w:color w:val="auto"/>
        </w:rPr>
        <w:t>,</w:t>
      </w:r>
      <w:r w:rsidRPr="00400349">
        <w:rPr>
          <w:color w:val="auto"/>
        </w:rPr>
        <w:t xml:space="preserve"> 2023)</w:t>
      </w:r>
      <w:r w:rsidR="00C23263" w:rsidRPr="00400349">
        <w:rPr>
          <w:color w:val="auto"/>
        </w:rPr>
        <w:t xml:space="preserve"> at 2</w:t>
      </w:r>
      <w:r w:rsidRPr="00400349">
        <w:rPr>
          <w:color w:val="auto"/>
        </w:rPr>
        <w:t>; and Paora Moyle and others “Connecting Mahi Tūkino and Housing Poverty in Hauraki: Wāhine Give Voice to Compassionate Solutions” &lt;hauraki.refuge.co.nz&gt;.</w:t>
      </w:r>
    </w:p>
  </w:footnote>
  <w:footnote w:id="210">
    <w:p w14:paraId="78981163" w14:textId="47249FEE" w:rsidR="002C6B7C" w:rsidRPr="00400349" w:rsidRDefault="002C6B7C" w:rsidP="002C6B7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Organization for Security and Co-operation in Europe </w:t>
      </w:r>
      <w:r w:rsidRPr="00400349">
        <w:rPr>
          <w:i/>
          <w:color w:val="auto"/>
        </w:rPr>
        <w:t>Hate Crime Laws: A Practical Guide</w:t>
      </w:r>
      <w:r w:rsidRPr="00400349">
        <w:rPr>
          <w:color w:val="auto"/>
        </w:rPr>
        <w:t xml:space="preserve"> (2nd ed, Office for Democratic Institutions and Human Rights, 2022) at 42; Law Commission (England and Wales) </w:t>
      </w:r>
      <w:r w:rsidRPr="00400349">
        <w:rPr>
          <w:i/>
          <w:color w:val="auto"/>
        </w:rPr>
        <w:t>Hate Crime: Should the Current Offences be Extended?</w:t>
      </w:r>
      <w:r w:rsidRPr="00400349">
        <w:rPr>
          <w:color w:val="auto"/>
        </w:rPr>
        <w:t xml:space="preserve"> (R348,</w:t>
      </w:r>
      <w:r w:rsidRPr="00400349" w:rsidDel="006506DC">
        <w:rPr>
          <w:color w:val="auto"/>
        </w:rPr>
        <w:t xml:space="preserve"> </w:t>
      </w:r>
      <w:r w:rsidRPr="00400349">
        <w:rPr>
          <w:color w:val="auto"/>
        </w:rPr>
        <w:t xml:space="preserve">2014) at [4.65]–[4.88]; and Law Commission (England and Wales) </w:t>
      </w:r>
      <w:r w:rsidRPr="00400349">
        <w:rPr>
          <w:i/>
          <w:color w:val="auto"/>
        </w:rPr>
        <w:t xml:space="preserve">Hate crime laws: A consultation paper </w:t>
      </w:r>
      <w:r w:rsidRPr="00400349">
        <w:rPr>
          <w:color w:val="auto"/>
        </w:rPr>
        <w:t>(CP250, 2020) at [16.23].</w:t>
      </w:r>
    </w:p>
  </w:footnote>
  <w:footnote w:id="211">
    <w:p w14:paraId="7CE0014A" w14:textId="2527199A" w:rsidR="002C6B7C" w:rsidRPr="00400349" w:rsidRDefault="002C6B7C" w:rsidP="002C6B7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Section 8(</w:t>
      </w:r>
      <w:r w:rsidR="001160E1">
        <w:rPr>
          <w:color w:val="auto"/>
        </w:rPr>
        <w:t>1)</w:t>
      </w:r>
      <w:r w:rsidRPr="00400349">
        <w:rPr>
          <w:color w:val="auto"/>
        </w:rPr>
        <w:t xml:space="preserve">(i) of the Sentencing Act requires the court to “take into account the offender’s personal, family, whanau, community, and cultural background in imposing a sentence or other means of dealing with the offender with a partly or wholly rehabilitative purpose”. </w:t>
      </w:r>
    </w:p>
  </w:footnote>
  <w:footnote w:id="212">
    <w:p w14:paraId="389E7DAD" w14:textId="392EBDB5" w:rsidR="002C6B7C" w:rsidRPr="00400349" w:rsidRDefault="002C6B7C" w:rsidP="002C6B7C">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E14FD" w:rsidRPr="00400349">
        <w:rPr>
          <w:color w:val="auto"/>
        </w:rPr>
        <w:t>Section</w:t>
      </w:r>
      <w:r w:rsidRPr="00400349">
        <w:rPr>
          <w:color w:val="auto"/>
        </w:rPr>
        <w:t xml:space="preserve"> 8(</w:t>
      </w:r>
      <w:r w:rsidR="001160E1">
        <w:rPr>
          <w:color w:val="auto"/>
        </w:rPr>
        <w:t>1)</w:t>
      </w:r>
      <w:r w:rsidRPr="00400349">
        <w:rPr>
          <w:color w:val="auto"/>
        </w:rPr>
        <w:t xml:space="preserve">(f). </w:t>
      </w:r>
    </w:p>
  </w:footnote>
  <w:footnote w:id="213">
    <w:p w14:paraId="33483130" w14:textId="77777777" w:rsidR="002C6B7C" w:rsidRPr="00400349" w:rsidRDefault="002C6B7C" w:rsidP="002C6B7C">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lang w:val="mi-NZ"/>
        </w:rPr>
        <w:t>Zhang v R</w:t>
      </w:r>
      <w:r w:rsidRPr="00400349">
        <w:rPr>
          <w:color w:val="auto"/>
          <w:lang w:val="mi-NZ"/>
        </w:rPr>
        <w:t xml:space="preserve"> [2019] NZCA 507, [2019] 3 NZLR 648 at [155] and [159]; and </w:t>
      </w:r>
      <w:r w:rsidRPr="00400349">
        <w:rPr>
          <w:i/>
          <w:color w:val="auto"/>
        </w:rPr>
        <w:t xml:space="preserve">R v Ormsby-Turner </w:t>
      </w:r>
      <w:r w:rsidRPr="00400349">
        <w:rPr>
          <w:color w:val="auto"/>
        </w:rPr>
        <w:t>[2023] NZCA 601 at [92]–[94].</w:t>
      </w:r>
    </w:p>
  </w:footnote>
  <w:footnote w:id="214">
    <w:p w14:paraId="3821F636" w14:textId="48D91B67" w:rsidR="005572EC" w:rsidRPr="005572EC" w:rsidRDefault="005572EC" w:rsidP="00C06A64">
      <w:pPr>
        <w:pStyle w:val="FootnoteText"/>
        <w:rPr>
          <w:lang w:val="en-US"/>
        </w:rPr>
      </w:pPr>
      <w:r>
        <w:rPr>
          <w:rStyle w:val="FootnoteReference"/>
        </w:rPr>
        <w:footnoteRef/>
      </w:r>
      <w:r w:rsidR="00C06A64">
        <w:rPr>
          <w:lang w:val="en-US"/>
        </w:rPr>
        <w:tab/>
      </w:r>
      <w:r w:rsidR="00C06A64" w:rsidRPr="00400349">
        <w:rPr>
          <w:color w:val="auto"/>
        </w:rPr>
        <w:t>William Young and Jacqui Caine</w:t>
      </w:r>
      <w:r w:rsidR="00C06A64" w:rsidRPr="00400349">
        <w:rPr>
          <w:i/>
          <w:iCs/>
          <w:color w:val="auto"/>
        </w:rPr>
        <w:t xml:space="preserve"> Ko tō tātou kāinga tēnei: Report of the Royal Commission of Inquiry into the terrorist attack on Christchurch masjidain on 15 March 2019 </w:t>
      </w:r>
      <w:r w:rsidR="00C06A64" w:rsidRPr="00400349">
        <w:rPr>
          <w:color w:val="auto"/>
        </w:rPr>
        <w:t>(26 November 2020)</w:t>
      </w:r>
      <w:r w:rsidR="00C06A64" w:rsidRPr="00400349">
        <w:rPr>
          <w:i/>
          <w:iCs/>
          <w:color w:val="auto"/>
        </w:rPr>
        <w:t xml:space="preserve"> </w:t>
      </w:r>
      <w:r w:rsidR="00C06A64" w:rsidRPr="00400349">
        <w:rPr>
          <w:color w:val="auto"/>
        </w:rPr>
        <w:t>at 704</w:t>
      </w:r>
      <w:r w:rsidR="00C06A64">
        <w:rPr>
          <w:color w:val="auto"/>
        </w:rPr>
        <w:t>.</w:t>
      </w:r>
    </w:p>
  </w:footnote>
  <w:footnote w:id="215">
    <w:p w14:paraId="7393C205" w14:textId="70465FE6" w:rsidR="002C6B7C" w:rsidRPr="00400349" w:rsidRDefault="002C6B7C" w:rsidP="002C6B7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w:t>
      </w:r>
      <w:r w:rsidRPr="00400349">
        <w:rPr>
          <w:i/>
          <w:color w:val="auto"/>
        </w:rPr>
        <w:t>R v Richardson</w:t>
      </w:r>
      <w:r w:rsidRPr="00400349">
        <w:rPr>
          <w:color w:val="auto"/>
        </w:rPr>
        <w:t xml:space="preserve"> [2006] EWCA Crim 3186, [2007] 2 All ER 601 at [4], cited with approval in </w:t>
      </w:r>
      <w:r w:rsidRPr="00400349">
        <w:rPr>
          <w:i/>
          <w:color w:val="auto"/>
        </w:rPr>
        <w:t>Stumpmaster v Work</w:t>
      </w:r>
      <w:r w:rsidR="00CE14FD" w:rsidRPr="00400349">
        <w:rPr>
          <w:i/>
          <w:color w:val="auto"/>
        </w:rPr>
        <w:t>S</w:t>
      </w:r>
      <w:r w:rsidRPr="00400349">
        <w:rPr>
          <w:i/>
          <w:color w:val="auto"/>
        </w:rPr>
        <w:t>afe New Zealand</w:t>
      </w:r>
      <w:r w:rsidRPr="00400349">
        <w:rPr>
          <w:color w:val="auto"/>
        </w:rPr>
        <w:t xml:space="preserve"> [2018] NZHC 2020, [2018] 3 NZLR 881 at [48].</w:t>
      </w:r>
    </w:p>
  </w:footnote>
  <w:footnote w:id="216">
    <w:p w14:paraId="5A646C07" w14:textId="40E6B3C9" w:rsidR="008533CC" w:rsidRPr="00400349" w:rsidRDefault="008533CC" w:rsidP="008533C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Māori account for approximately 40 per cent of alleged hate crime offenders. This is similar to the rate for all reported offences, where Māori account for approximately 44 per cent of alleged offenders</w:t>
      </w:r>
      <w:r w:rsidR="00933BB8" w:rsidRPr="00400349">
        <w:rPr>
          <w:color w:val="auto"/>
        </w:rPr>
        <w:t xml:space="preserve">: </w:t>
      </w:r>
      <w:r w:rsidRPr="00400349">
        <w:rPr>
          <w:color w:val="auto"/>
        </w:rPr>
        <w:t>Ngā Pirihimana o Aotearoa | New Zealand Police “</w:t>
      </w:r>
      <w:r w:rsidRPr="00400349">
        <w:t>Proceedings (offender demographics)</w:t>
      </w:r>
      <w:r w:rsidRPr="00400349">
        <w:rPr>
          <w:color w:val="auto"/>
        </w:rPr>
        <w:t>” (</w:t>
      </w:r>
      <w:r w:rsidR="006F13E5" w:rsidRPr="00400349">
        <w:rPr>
          <w:color w:val="auto"/>
        </w:rPr>
        <w:t xml:space="preserve">March </w:t>
      </w:r>
      <w:r w:rsidRPr="00400349">
        <w:rPr>
          <w:color w:val="auto"/>
        </w:rPr>
        <w:t>2026) &lt;www.police.govt.nz&gt;.</w:t>
      </w:r>
    </w:p>
  </w:footnote>
  <w:footnote w:id="217">
    <w:p w14:paraId="5B58F503" w14:textId="23776E18"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24A; and Victims’ Rights Act 2002, s 9.</w:t>
      </w:r>
    </w:p>
  </w:footnote>
  <w:footnote w:id="218">
    <w:p w14:paraId="1EC030B6" w14:textId="784423B3"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B91CA1" w:rsidRPr="00400349">
        <w:rPr>
          <w:color w:val="auto"/>
        </w:rPr>
        <w:t>P</w:t>
      </w:r>
      <w:r w:rsidRPr="00400349">
        <w:rPr>
          <w:color w:val="auto"/>
        </w:rPr>
        <w:t>aper at [3.41]–[3.50].</w:t>
      </w:r>
    </w:p>
  </w:footnote>
  <w:footnote w:id="219">
    <w:p w14:paraId="4E197774" w14:textId="10274D16"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Bill of Rights Act, ss 13–15 (the rights to freedom of thought, conscience, and religion, freedom of expression and manifestation of religion and belief).</w:t>
      </w:r>
    </w:p>
  </w:footnote>
  <w:footnote w:id="220">
    <w:p w14:paraId="420885F7" w14:textId="3BCF891B"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New Zealand Bill of Rights Act does not include an express right to equality but does include the right to freedom from discrimination (s 19).</w:t>
      </w:r>
    </w:p>
  </w:footnote>
  <w:footnote w:id="221">
    <w:p w14:paraId="5C0832FD"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Destiny Church New Zealand; Free Speech Union; Dr David Harvey; Karun Lakshman; Maire Leadbeater; and Submission 11.</w:t>
      </w:r>
    </w:p>
  </w:footnote>
  <w:footnote w:id="222">
    <w:p w14:paraId="41990115"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Te Kāhui Ture o Aotearoa | New Zealand Law Society; Free Speech Union; and Submission 63.</w:t>
      </w:r>
    </w:p>
  </w:footnote>
  <w:footnote w:id="223">
    <w:p w14:paraId="25CB4F0F" w14:textId="6416F31D"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Consultation </w:t>
      </w:r>
      <w:r w:rsidR="00B91CA1" w:rsidRPr="00400349">
        <w:rPr>
          <w:color w:val="auto"/>
        </w:rPr>
        <w:t>P</w:t>
      </w:r>
      <w:r w:rsidRPr="00400349">
        <w:rPr>
          <w:color w:val="auto"/>
        </w:rPr>
        <w:t xml:space="preserve">aper at [3.45]. See Office of the United Nations High Commissioner for Human Rights and Equal Rights Trust </w:t>
      </w:r>
      <w:r w:rsidRPr="00400349">
        <w:rPr>
          <w:i/>
          <w:color w:val="auto"/>
        </w:rPr>
        <w:t>Protecting Minority Rights: A Practical Guide to Developing Comprehensive Anti-Discrimination Legislation</w:t>
      </w:r>
      <w:r w:rsidRPr="00400349">
        <w:rPr>
          <w:color w:val="auto"/>
        </w:rPr>
        <w:t xml:space="preserve"> (2023) at 170.</w:t>
      </w:r>
    </w:p>
  </w:footnote>
  <w:footnote w:id="224">
    <w:p w14:paraId="03A4B06B" w14:textId="0758FC63" w:rsidR="0035348E" w:rsidRPr="00400349" w:rsidRDefault="0035348E" w:rsidP="0035348E">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t xml:space="preserve">New Zealand Bill of Rights Act, s 5. </w:t>
      </w:r>
      <w:r w:rsidR="003619D0" w:rsidRPr="00400349">
        <w:rPr>
          <w:color w:val="auto"/>
          <w:lang w:val="mi-NZ"/>
        </w:rPr>
        <w:t>S</w:t>
      </w:r>
      <w:r w:rsidRPr="00400349">
        <w:rPr>
          <w:color w:val="auto"/>
          <w:lang w:val="mi-NZ"/>
        </w:rPr>
        <w:t xml:space="preserve">ee </w:t>
      </w:r>
      <w:r w:rsidR="003619D0" w:rsidRPr="00400349">
        <w:rPr>
          <w:color w:val="auto"/>
          <w:lang w:val="mi-NZ"/>
        </w:rPr>
        <w:t>also</w:t>
      </w:r>
      <w:r w:rsidRPr="00400349">
        <w:rPr>
          <w:color w:val="auto"/>
          <w:lang w:val="mi-NZ"/>
        </w:rPr>
        <w:t xml:space="preserve"> </w:t>
      </w:r>
      <w:r w:rsidR="00881B0F" w:rsidRPr="00400349">
        <w:rPr>
          <w:color w:val="auto"/>
        </w:rPr>
        <w:t xml:space="preserve">International Covenant on Civil and Political Rights </w:t>
      </w:r>
      <w:r w:rsidR="000B6821" w:rsidRPr="00400349">
        <w:rPr>
          <w:color w:val="auto"/>
        </w:rPr>
        <w:t xml:space="preserve">999 UNTS 171 </w:t>
      </w:r>
      <w:r w:rsidR="00750C23" w:rsidRPr="00400349">
        <w:rPr>
          <w:color w:val="auto"/>
        </w:rPr>
        <w:t xml:space="preserve">(opened for signature 16 December 1966, entered into force 23 March 1976), art </w:t>
      </w:r>
      <w:r w:rsidR="0025066F" w:rsidRPr="00400349">
        <w:rPr>
          <w:color w:val="auto"/>
        </w:rPr>
        <w:t xml:space="preserve">19(3). </w:t>
      </w:r>
    </w:p>
  </w:footnote>
  <w:footnote w:id="225">
    <w:p w14:paraId="7BEFB5A5"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Arps v Police </w:t>
      </w:r>
      <w:r w:rsidRPr="00400349">
        <w:rPr>
          <w:color w:val="auto"/>
        </w:rPr>
        <w:t>[2019] NZCA 592, [2020] 2 NZLR 94.</w:t>
      </w:r>
    </w:p>
  </w:footnote>
  <w:footnote w:id="226">
    <w:p w14:paraId="36187D9E" w14:textId="77777777"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Pr="00400349">
        <w:rPr>
          <w:i/>
          <w:color w:val="auto"/>
          <w:lang w:val="en-US"/>
        </w:rPr>
        <w:t>R v Arps</w:t>
      </w:r>
      <w:r w:rsidRPr="00400349">
        <w:rPr>
          <w:color w:val="auto"/>
          <w:lang w:val="en-US"/>
        </w:rPr>
        <w:t xml:space="preserve"> [2019] NZDC 11547, [2019] DCR 847 at [12] and [14].</w:t>
      </w:r>
    </w:p>
  </w:footnote>
  <w:footnote w:id="227">
    <w:p w14:paraId="6497E7D8" w14:textId="77777777"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Pr="00400349">
        <w:rPr>
          <w:i/>
          <w:color w:val="auto"/>
          <w:lang w:val="en-US"/>
        </w:rPr>
        <w:t>Arps v Police</w:t>
      </w:r>
      <w:r w:rsidRPr="00400349">
        <w:rPr>
          <w:color w:val="auto"/>
          <w:lang w:val="en-US"/>
        </w:rPr>
        <w:t xml:space="preserve"> [2019] NZHC 2113.</w:t>
      </w:r>
    </w:p>
  </w:footnote>
  <w:footnote w:id="228">
    <w:p w14:paraId="32A63451" w14:textId="77777777"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Pr="00400349">
        <w:rPr>
          <w:i/>
          <w:color w:val="auto"/>
        </w:rPr>
        <w:t xml:space="preserve">Arps v Police </w:t>
      </w:r>
      <w:r w:rsidRPr="00400349">
        <w:rPr>
          <w:color w:val="auto"/>
        </w:rPr>
        <w:t>[2019] NZCA 592, [2020] 2 NZLR 94 at [40].</w:t>
      </w:r>
    </w:p>
  </w:footnote>
  <w:footnote w:id="229">
    <w:p w14:paraId="2D31E204" w14:textId="2B5B41EA"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00522152" w:rsidRPr="00400349">
        <w:rPr>
          <w:iCs/>
          <w:color w:val="auto"/>
        </w:rPr>
        <w:t>At</w:t>
      </w:r>
      <w:r w:rsidRPr="00400349">
        <w:rPr>
          <w:color w:val="auto"/>
        </w:rPr>
        <w:t xml:space="preserve"> [41].</w:t>
      </w:r>
    </w:p>
  </w:footnote>
  <w:footnote w:id="230">
    <w:p w14:paraId="6DB87E14" w14:textId="61EBB6EB"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rPr>
        <w:tab/>
      </w:r>
      <w:r w:rsidR="00522152" w:rsidRPr="00400349">
        <w:rPr>
          <w:color w:val="auto"/>
        </w:rPr>
        <w:t>A</w:t>
      </w:r>
      <w:r w:rsidRPr="00400349">
        <w:rPr>
          <w:color w:val="auto"/>
        </w:rPr>
        <w:t>t [42].</w:t>
      </w:r>
    </w:p>
  </w:footnote>
  <w:footnote w:id="231">
    <w:p w14:paraId="59C9C22B" w14:textId="3D786998"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00522152" w:rsidRPr="00400349">
        <w:rPr>
          <w:color w:val="auto"/>
        </w:rPr>
        <w:t>A</w:t>
      </w:r>
      <w:r w:rsidRPr="00400349">
        <w:rPr>
          <w:color w:val="auto"/>
        </w:rPr>
        <w:t xml:space="preserve">t [44]. </w:t>
      </w:r>
    </w:p>
  </w:footnote>
  <w:footnote w:id="232">
    <w:p w14:paraId="2C2AE408" w14:textId="6190172B"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00522152" w:rsidRPr="00400349">
        <w:rPr>
          <w:color w:val="auto"/>
        </w:rPr>
        <w:t>A</w:t>
      </w:r>
      <w:r w:rsidRPr="00400349">
        <w:rPr>
          <w:color w:val="auto"/>
        </w:rPr>
        <w:t>t [48] (citations omitted).</w:t>
      </w:r>
    </w:p>
  </w:footnote>
  <w:footnote w:id="233">
    <w:p w14:paraId="047ADCC7" w14:textId="20C94D81" w:rsidR="0035348E" w:rsidRPr="00400349" w:rsidRDefault="0035348E" w:rsidP="0035348E">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00522152" w:rsidRPr="00400349">
        <w:rPr>
          <w:color w:val="auto"/>
        </w:rPr>
        <w:t xml:space="preserve">At </w:t>
      </w:r>
      <w:r w:rsidRPr="00400349">
        <w:rPr>
          <w:color w:val="auto"/>
        </w:rPr>
        <w:t>[49]–[51].</w:t>
      </w:r>
    </w:p>
  </w:footnote>
  <w:footnote w:id="234">
    <w:p w14:paraId="3A15FD4D" w14:textId="55D1DB9B" w:rsidR="00781995" w:rsidRPr="00400349" w:rsidRDefault="00781995">
      <w:pPr>
        <w:pStyle w:val="FootnoteText"/>
      </w:pPr>
      <w:r w:rsidRPr="00400349">
        <w:rPr>
          <w:rStyle w:val="FootnoteReference"/>
        </w:rPr>
        <w:footnoteRef/>
      </w:r>
      <w:r w:rsidRPr="00400349">
        <w:t xml:space="preserve"> </w:t>
      </w:r>
      <w:r w:rsidRPr="00400349">
        <w:tab/>
        <w:t xml:space="preserve">There may be a contrary argument that the right to freedom of expression is not engaged because the provision does not impose punishment for expression on its own — it only applies where there is a criminal act and where the expression provides evidence of hostile motivation. </w:t>
      </w:r>
    </w:p>
  </w:footnote>
  <w:footnote w:id="235">
    <w:p w14:paraId="787477E9" w14:textId="7777777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Te Aka Matua o te Ture | Law Commission </w:t>
      </w:r>
      <w:r w:rsidRPr="00400349">
        <w:rPr>
          <w:i/>
          <w:color w:val="auto"/>
        </w:rPr>
        <w:t xml:space="preserve">Ia Tangata: Protections in the Human Rights Act 1993 for people who are transgender, people who are non-binary and people with innate variations of sex characteristics </w:t>
      </w:r>
      <w:r w:rsidRPr="00400349">
        <w:rPr>
          <w:color w:val="auto"/>
        </w:rPr>
        <w:t>(NZLC R150, 2025) at [6.14].</w:t>
      </w:r>
    </w:p>
  </w:footnote>
  <w:footnote w:id="236">
    <w:p w14:paraId="272919A3" w14:textId="2FB75657"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Drever v R</w:t>
      </w:r>
      <w:r w:rsidRPr="00400349">
        <w:rPr>
          <w:color w:val="auto"/>
        </w:rPr>
        <w:t xml:space="preserve"> [2016] NZSC 92 at [20] (malice); </w:t>
      </w:r>
      <w:r w:rsidRPr="00400349">
        <w:rPr>
          <w:i/>
          <w:color w:val="auto"/>
        </w:rPr>
        <w:t xml:space="preserve">Hazeldine v Police </w:t>
      </w:r>
      <w:r w:rsidRPr="00400349">
        <w:rPr>
          <w:color w:val="auto"/>
        </w:rPr>
        <w:t xml:space="preserve">[2016] NZHC 1132 at [22] (desire to cause emotional harm); </w:t>
      </w:r>
      <w:r w:rsidRPr="00400349">
        <w:rPr>
          <w:i/>
          <w:color w:val="auto"/>
        </w:rPr>
        <w:t>Robertson v R</w:t>
      </w:r>
      <w:r w:rsidRPr="00400349">
        <w:rPr>
          <w:color w:val="auto"/>
        </w:rPr>
        <w:t xml:space="preserve"> [2020] NZCA 218 at [6] (greed)</w:t>
      </w:r>
      <w:r w:rsidR="00E31B5C" w:rsidRPr="00400349">
        <w:rPr>
          <w:color w:val="auto"/>
        </w:rPr>
        <w:t>;</w:t>
      </w:r>
      <w:r w:rsidRPr="00400349">
        <w:rPr>
          <w:color w:val="auto"/>
        </w:rPr>
        <w:t xml:space="preserve"> and </w:t>
      </w:r>
      <w:r w:rsidRPr="00400349">
        <w:rPr>
          <w:i/>
          <w:color w:val="auto"/>
        </w:rPr>
        <w:t xml:space="preserve">R v Parker </w:t>
      </w:r>
      <w:r w:rsidRPr="00400349">
        <w:rPr>
          <w:color w:val="auto"/>
        </w:rPr>
        <w:t xml:space="preserve">[2021] NZHC 439 </w:t>
      </w:r>
      <w:r w:rsidR="005A662D" w:rsidRPr="00400349">
        <w:rPr>
          <w:color w:val="auto"/>
        </w:rPr>
        <w:t>at</w:t>
      </w:r>
      <w:r w:rsidR="00F363D7" w:rsidRPr="00400349">
        <w:rPr>
          <w:color w:val="auto"/>
        </w:rPr>
        <w:t xml:space="preserve"> [19]</w:t>
      </w:r>
      <w:r w:rsidRPr="00400349">
        <w:rPr>
          <w:color w:val="auto"/>
        </w:rPr>
        <w:t xml:space="preserve"> (desire to inflict violence and to dominate and humiliate the victim).</w:t>
      </w:r>
    </w:p>
  </w:footnote>
  <w:footnote w:id="237">
    <w:p w14:paraId="6EC93C95" w14:textId="503B521D"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International Covenant on Civil and Political Rights </w:t>
      </w:r>
      <w:r w:rsidR="00420553" w:rsidRPr="00400349">
        <w:rPr>
          <w:color w:val="auto"/>
        </w:rPr>
        <w:t xml:space="preserve">999 UNTS 171 </w:t>
      </w:r>
      <w:r w:rsidRPr="00400349">
        <w:rPr>
          <w:color w:val="auto"/>
        </w:rPr>
        <w:t>(</w:t>
      </w:r>
      <w:r w:rsidR="0085282D" w:rsidRPr="00400349">
        <w:rPr>
          <w:color w:val="auto"/>
        </w:rPr>
        <w:t xml:space="preserve">opened for signature 16 December </w:t>
      </w:r>
      <w:r w:rsidRPr="00400349">
        <w:rPr>
          <w:color w:val="auto"/>
        </w:rPr>
        <w:t>1966</w:t>
      </w:r>
      <w:r w:rsidR="003955A8" w:rsidRPr="00400349">
        <w:rPr>
          <w:color w:val="auto"/>
        </w:rPr>
        <w:t>, entered into force 23 March 1976</w:t>
      </w:r>
      <w:r w:rsidRPr="00400349">
        <w:rPr>
          <w:color w:val="auto"/>
        </w:rPr>
        <w:t>), art 26.</w:t>
      </w:r>
    </w:p>
  </w:footnote>
  <w:footnote w:id="238">
    <w:p w14:paraId="39260D13" w14:textId="660B8D93"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color w:val="auto"/>
          <w:lang w:eastAsia="en-AU"/>
        </w:rPr>
        <w:t>This was a deliberate choice, due to concerns about the meaning of “equality” and caution about giving the courts permission to inquire into substantive policy</w:t>
      </w:r>
      <w:r w:rsidR="00DB2AF4" w:rsidRPr="00400349">
        <w:rPr>
          <w:color w:val="auto"/>
          <w:lang w:eastAsia="en-AU"/>
        </w:rPr>
        <w:t>:</w:t>
      </w:r>
      <w:r w:rsidRPr="00400349">
        <w:rPr>
          <w:color w:val="auto"/>
          <w:lang w:eastAsia="en-AU"/>
        </w:rPr>
        <w:t xml:space="preserve"> </w:t>
      </w:r>
      <w:r w:rsidR="005D1366" w:rsidRPr="00400349">
        <w:rPr>
          <w:lang w:eastAsia="en-AU"/>
        </w:rPr>
        <w:t xml:space="preserve">Geoffrey Palmer </w:t>
      </w:r>
      <w:r w:rsidR="005D1366" w:rsidRPr="00400349">
        <w:rPr>
          <w:i/>
        </w:rPr>
        <w:t>A Bill of Rights for New Zealand: A White Paper</w:t>
      </w:r>
      <w:r w:rsidR="005D1366" w:rsidRPr="00400349">
        <w:t xml:space="preserve"> </w:t>
      </w:r>
      <w:r w:rsidR="002B35DB" w:rsidRPr="00400349">
        <w:t>(</w:t>
      </w:r>
      <w:r w:rsidR="00314F24" w:rsidRPr="00400349">
        <w:t>Department of Justice</w:t>
      </w:r>
      <w:r w:rsidR="002B35DB" w:rsidRPr="00400349">
        <w:t>, April 1985)</w:t>
      </w:r>
      <w:r w:rsidR="005D1366" w:rsidRPr="00400349">
        <w:t xml:space="preserve"> at [10.81]–[10.82].</w:t>
      </w:r>
    </w:p>
  </w:footnote>
  <w:footnote w:id="239">
    <w:p w14:paraId="03D06FF1" w14:textId="0E3B3D44"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Bill of Rights Act, s 19.</w:t>
      </w:r>
    </w:p>
  </w:footnote>
  <w:footnote w:id="240">
    <w:p w14:paraId="6E632273" w14:textId="4B23F99D"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Free Speech Union (referring specifically to hate crime offences); Dr John McDonald-Wharry; and Women’s Rights Party.</w:t>
      </w:r>
      <w:r w:rsidR="00E12161" w:rsidRPr="00400349">
        <w:rPr>
          <w:color w:val="auto"/>
        </w:rPr>
        <w:t xml:space="preserve"> </w:t>
      </w:r>
      <w:r w:rsidR="00DC1493" w:rsidRPr="00400349">
        <w:rPr>
          <w:color w:val="auto"/>
        </w:rPr>
        <w:t xml:space="preserve">A similar argument was considered and rejected by the Court of Appeal in </w:t>
      </w:r>
      <w:r w:rsidR="00DC1493" w:rsidRPr="00400349">
        <w:rPr>
          <w:i/>
          <w:color w:val="auto"/>
        </w:rPr>
        <w:t xml:space="preserve">Hoban v Attorney-General </w:t>
      </w:r>
      <w:r w:rsidR="00DC1493" w:rsidRPr="00400349">
        <w:rPr>
          <w:color w:val="auto"/>
        </w:rPr>
        <w:t>[2025] NZCA 644. There</w:t>
      </w:r>
      <w:r w:rsidR="001C39F1">
        <w:rPr>
          <w:color w:val="auto"/>
        </w:rPr>
        <w:t>,</w:t>
      </w:r>
      <w:r w:rsidR="00DC1493" w:rsidRPr="00400349">
        <w:rPr>
          <w:color w:val="auto"/>
        </w:rPr>
        <w:t xml:space="preserve"> the Court held that limits on the scope of hate speech provisions were not discriminatory as they were intended to protect disadvantaged groups and therefore fell within s 19(2) of the New Zealand Bill of Rights Act, which provides that “measures taken in good faith for the purpose of assisting or advancing persons or groups of persons disadvantaged because of discrimination</w:t>
      </w:r>
      <w:r w:rsidR="005E7442">
        <w:rPr>
          <w:color w:val="auto"/>
        </w:rPr>
        <w:t xml:space="preserve"> </w:t>
      </w:r>
      <w:r w:rsidR="00DC1493" w:rsidRPr="00400349">
        <w:rPr>
          <w:color w:val="auto"/>
        </w:rPr>
        <w:t>… does not constitute discrimination”</w:t>
      </w:r>
      <w:r w:rsidR="00866F92" w:rsidRPr="00400349">
        <w:rPr>
          <w:color w:val="auto"/>
        </w:rPr>
        <w:t>: at [74]</w:t>
      </w:r>
      <w:r w:rsidR="0075184D" w:rsidRPr="00400349">
        <w:rPr>
          <w:color w:val="auto"/>
        </w:rPr>
        <w:t>–[75]</w:t>
      </w:r>
      <w:r w:rsidR="00DC1493" w:rsidRPr="00400349">
        <w:rPr>
          <w:color w:val="auto"/>
        </w:rPr>
        <w:t>.</w:t>
      </w:r>
    </w:p>
  </w:footnote>
  <w:footnote w:id="241">
    <w:p w14:paraId="6C2D94EE" w14:textId="17EFE035"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63480B" w:rsidRPr="00400349">
        <w:t>United Nations Human Rights Committee</w:t>
      </w:r>
      <w:r w:rsidR="0063480B" w:rsidRPr="00400349">
        <w:rPr>
          <w:i/>
        </w:rPr>
        <w:t xml:space="preserve"> General Comment No 18: Non-discrimination</w:t>
      </w:r>
      <w:r w:rsidR="0063480B" w:rsidRPr="00400349">
        <w:t xml:space="preserve"> </w:t>
      </w:r>
      <w:r w:rsidR="00FC40CE" w:rsidRPr="00400349">
        <w:t xml:space="preserve">CCPR/C/21/Rev.1/Add.1 </w:t>
      </w:r>
      <w:r w:rsidR="0063480B" w:rsidRPr="00400349">
        <w:t>(10 November 1989) at [8].</w:t>
      </w:r>
    </w:p>
  </w:footnote>
  <w:footnote w:id="242">
    <w:p w14:paraId="2BB751BE" w14:textId="126E143F"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42711F" w:rsidRPr="00400349">
        <w:t xml:space="preserve">United Nations Human Rights Committee </w:t>
      </w:r>
      <w:r w:rsidR="0042711F" w:rsidRPr="00400349">
        <w:rPr>
          <w:i/>
        </w:rPr>
        <w:t>General Comment No 18: Non-discrimination</w:t>
      </w:r>
      <w:r w:rsidR="0042711F" w:rsidRPr="00400349">
        <w:t xml:space="preserve"> </w:t>
      </w:r>
      <w:r w:rsidR="00565BE3" w:rsidRPr="00400349">
        <w:t xml:space="preserve">CCPR/C/21/Rev.1/Add.1 </w:t>
      </w:r>
      <w:r w:rsidR="0042711F" w:rsidRPr="00400349">
        <w:t>(10 November 1989) at [13].</w:t>
      </w:r>
    </w:p>
  </w:footnote>
  <w:footnote w:id="243">
    <w:p w14:paraId="32C7B36D" w14:textId="52085F16" w:rsidR="0035348E" w:rsidRPr="00400349" w:rsidRDefault="0035348E" w:rsidP="0035348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00777287" w:rsidRPr="00400349">
        <w:rPr>
          <w:color w:val="auto"/>
        </w:rPr>
        <w:t>Organi</w:t>
      </w:r>
      <w:r w:rsidR="00093615" w:rsidRPr="00400349">
        <w:rPr>
          <w:color w:val="auto"/>
        </w:rPr>
        <w:t>z</w:t>
      </w:r>
      <w:r w:rsidR="00777287" w:rsidRPr="00400349">
        <w:rPr>
          <w:color w:val="auto"/>
        </w:rPr>
        <w:t>ation for Security and Co</w:t>
      </w:r>
      <w:r w:rsidR="00465F4A" w:rsidRPr="00400349">
        <w:rPr>
          <w:color w:val="auto"/>
        </w:rPr>
        <w:t>-</w:t>
      </w:r>
      <w:r w:rsidR="00777287" w:rsidRPr="00400349">
        <w:rPr>
          <w:color w:val="auto"/>
        </w:rPr>
        <w:t xml:space="preserve">operation in Europe </w:t>
      </w:r>
      <w:r w:rsidR="00777287" w:rsidRPr="00400349">
        <w:rPr>
          <w:i/>
          <w:color w:val="auto"/>
        </w:rPr>
        <w:t>Hate Crime Laws: A Practical Guide</w:t>
      </w:r>
      <w:r w:rsidR="00777287" w:rsidRPr="00400349">
        <w:rPr>
          <w:color w:val="auto"/>
        </w:rPr>
        <w:t xml:space="preserve"> (2nd ed, Office for Democratic Institutions and Human Rights, 2022) </w:t>
      </w:r>
      <w:r w:rsidRPr="00400349">
        <w:rPr>
          <w:color w:val="auto"/>
        </w:rPr>
        <w:t>at 19.</w:t>
      </w:r>
    </w:p>
  </w:footnote>
  <w:footnote w:id="244">
    <w:p w14:paraId="3423044F" w14:textId="3DB6D1C0" w:rsidR="000F3E7A" w:rsidRPr="00400349" w:rsidRDefault="000F3E7A">
      <w:pPr>
        <w:pStyle w:val="FootnoteText"/>
      </w:pPr>
      <w:r w:rsidRPr="00400349">
        <w:rPr>
          <w:rStyle w:val="FootnoteReference"/>
        </w:rPr>
        <w:footnoteRef/>
      </w:r>
      <w:r w:rsidRPr="00400349">
        <w:t xml:space="preserve"> </w:t>
      </w:r>
      <w:r w:rsidRPr="00400349">
        <w:tab/>
        <w:t>We do make some recommendations about operational matters where they are closely related to how changes to the law are implemented: see Chapter 9.</w:t>
      </w:r>
    </w:p>
  </w:footnote>
  <w:footnote w:id="245">
    <w:p w14:paraId="3AE3C275" w14:textId="7EF5EE72"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 xml:space="preserve">Hara ngākau kino | Hate crime: Consultation </w:t>
      </w:r>
      <w:r w:rsidR="000725BF" w:rsidRPr="00400349">
        <w:rPr>
          <w:i/>
          <w:iCs/>
          <w:color w:val="auto"/>
        </w:rPr>
        <w:t>P</w:t>
      </w:r>
      <w:r w:rsidRPr="00400349">
        <w:rPr>
          <w:i/>
          <w:iCs/>
          <w:color w:val="auto"/>
        </w:rPr>
        <w:t>aper</w:t>
      </w:r>
      <w:r w:rsidRPr="00400349">
        <w:rPr>
          <w:color w:val="auto"/>
        </w:rPr>
        <w:t xml:space="preserve"> (NZLC IP55, 2025)</w:t>
      </w:r>
      <w:r w:rsidR="00363587" w:rsidRPr="00400349">
        <w:rPr>
          <w:color w:val="auto"/>
        </w:rPr>
        <w:t xml:space="preserve"> (Consultation Paper</w:t>
      </w:r>
      <w:r w:rsidRPr="00400349">
        <w:rPr>
          <w:color w:val="auto"/>
        </w:rPr>
        <w:t>), chs 5 and 7.</w:t>
      </w:r>
    </w:p>
  </w:footnote>
  <w:footnote w:id="246">
    <w:p w14:paraId="4EA7CBB5" w14:textId="35752355"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Madeline Ash; Disabled Persons Assembly and VisAble (joint submission); Donald Beasley Institute and People First New Zealand (joint submission); Graeme Edgeler; Dr David Harvey; Inclusive Aotearoa Collective Tāhono; Justice for Palestine, Alternative Jewish Voices and Dayenu (joint submission); Submission 43; </w:t>
      </w:r>
      <w:r w:rsidR="00232CF9" w:rsidRPr="00400349">
        <w:rPr>
          <w:color w:val="auto"/>
        </w:rPr>
        <w:t>M</w:t>
      </w:r>
      <w:r w:rsidR="00003279" w:rsidRPr="00400349">
        <w:rPr>
          <w:color w:val="auto"/>
        </w:rPr>
        <w:t xml:space="preserve">embers of Te Hunga Rōia Māori o Aotearoa; </w:t>
      </w:r>
      <w:r w:rsidRPr="00400349">
        <w:rPr>
          <w:color w:val="auto"/>
        </w:rPr>
        <w:t xml:space="preserve">Te Kāhui Ture o Aotearoa | New Zealand Law Society; The Law Association of New Zealand Criminal Law Committee; and Dr Chris Wilson. </w:t>
      </w:r>
    </w:p>
  </w:footnote>
  <w:footnote w:id="247">
    <w:p w14:paraId="163ECA5B" w14:textId="2F0C6F7B"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Inclusive Aotearoa Collective Tāhono; Luke Cunningham Clere; Te Kāhui Ture o Aotearoa | New Zealand Law Society; Pride in Law Otago; Ratonga Wawao ā-</w:t>
      </w:r>
      <w:r w:rsidR="001004FC" w:rsidRPr="00400349">
        <w:rPr>
          <w:color w:val="auto"/>
        </w:rPr>
        <w:t xml:space="preserve">Ture </w:t>
      </w:r>
      <w:r w:rsidRPr="00400349">
        <w:rPr>
          <w:color w:val="auto"/>
        </w:rPr>
        <w:t>Tūmatanui | Public Defence Service; The Law Association of New Zealand Criminal Law Committee; and Dr Chris Wilson.</w:t>
      </w:r>
    </w:p>
  </w:footnote>
  <w:footnote w:id="248">
    <w:p w14:paraId="01E5B23F" w14:textId="7777777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Donald Beasley Institute and People First New Zealand (joint submission); and Murray Stirling.</w:t>
      </w:r>
    </w:p>
  </w:footnote>
  <w:footnote w:id="249">
    <w:p w14:paraId="63F3BC4E" w14:textId="7777777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Dr Sanjana Hattotuwa; Inclusive Aotearoa Collective Tāhono; Murray Stirling; and Dr Chris Wilson.</w:t>
      </w:r>
    </w:p>
  </w:footnote>
  <w:footnote w:id="250">
    <w:p w14:paraId="188BD6A1" w14:textId="7777777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Russell Hoban; Justice for Palestine, Alternative Jewish Voices and Dayenu (joint submission); Pride in Law Otago; Te Kāhui o Ināia Tonu Nei Charitable Trust; and The Law Association of New Zealand Criminal Law Committee.</w:t>
      </w:r>
    </w:p>
  </w:footnote>
  <w:footnote w:id="251">
    <w:p w14:paraId="47B5A43F" w14:textId="7777777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Pride in Law Otago; and Te Kāhui o Ināia Tonu Nei Charitable Trust.</w:t>
      </w:r>
    </w:p>
  </w:footnote>
  <w:footnote w:id="252">
    <w:p w14:paraId="0F60AFA4" w14:textId="77777777" w:rsidR="0047043A" w:rsidRPr="00400349" w:rsidRDefault="0047043A" w:rsidP="0047043A">
      <w:pPr>
        <w:pStyle w:val="FootnoteText"/>
      </w:pPr>
      <w:r w:rsidRPr="00400349">
        <w:rPr>
          <w:rStyle w:val="FootnoteReference"/>
        </w:rPr>
        <w:footnoteRef/>
      </w:r>
      <w:r w:rsidRPr="00400349">
        <w:t xml:space="preserve"> </w:t>
      </w:r>
      <w:r w:rsidRPr="00400349">
        <w:tab/>
      </w:r>
      <w:r w:rsidRPr="00400349">
        <w:rPr>
          <w:color w:val="auto"/>
        </w:rPr>
        <w:t xml:space="preserve">Donald Beasley Institute and People First New Zealand (joint submission); and </w:t>
      </w:r>
      <w:r w:rsidRPr="00400349">
        <w:t>Submission 26.</w:t>
      </w:r>
    </w:p>
  </w:footnote>
  <w:footnote w:id="253">
    <w:p w14:paraId="2B82F397" w14:textId="77777777"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[5.5].</w:t>
      </w:r>
    </w:p>
  </w:footnote>
  <w:footnote w:id="254">
    <w:p w14:paraId="59C7A119" w14:textId="77777777"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Te Kāhui o Ināia Tonu Nei Charitable Trust; and Women’s Rights Party.</w:t>
      </w:r>
    </w:p>
  </w:footnote>
  <w:footnote w:id="255">
    <w:p w14:paraId="5A7C3397" w14:textId="77777777"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Ratonga Wawao ā-Ture Tūmatanui | Public Defence Service; Murray Stirling; and The Law Association of New Zealand Criminal Law Committee.</w:t>
      </w:r>
    </w:p>
  </w:footnote>
  <w:footnote w:id="256">
    <w:p w14:paraId="69D41D31" w14:textId="77777777"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and Women’s Rights Party.</w:t>
      </w:r>
    </w:p>
  </w:footnote>
  <w:footnote w:id="257">
    <w:p w14:paraId="0970CBE1" w14:textId="316E864C"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and Parole Reform Bill 200</w:t>
      </w:r>
      <w:r w:rsidR="00E37D2D">
        <w:rPr>
          <w:color w:val="auto"/>
        </w:rPr>
        <w:t>2</w:t>
      </w:r>
      <w:r w:rsidRPr="00400349">
        <w:rPr>
          <w:color w:val="auto"/>
        </w:rPr>
        <w:t xml:space="preserve"> (148</w:t>
      </w:r>
      <w:r w:rsidR="00860AC1" w:rsidRPr="00400349">
        <w:rPr>
          <w:color w:val="auto"/>
        </w:rPr>
        <w:t>-</w:t>
      </w:r>
      <w:r w:rsidRPr="00400349">
        <w:rPr>
          <w:color w:val="auto"/>
        </w:rPr>
        <w:t>2) (select committee report) at 12.</w:t>
      </w:r>
    </w:p>
  </w:footnote>
  <w:footnote w:id="258">
    <w:p w14:paraId="474A1981" w14:textId="3B9E23DA" w:rsidR="00827ED3" w:rsidRPr="00400349" w:rsidDel="00DD7E1B"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70</w:t>
      </w:r>
      <w:r w:rsidR="00060D06" w:rsidRPr="00400349">
        <w:rPr>
          <w:color w:val="auto"/>
        </w:rPr>
        <w:t>3</w:t>
      </w:r>
      <w:r w:rsidR="00EB2CD9" w:rsidRPr="00400349">
        <w:rPr>
          <w:color w:val="auto"/>
        </w:rPr>
        <w:t xml:space="preserve">; </w:t>
      </w:r>
      <w:r w:rsidR="00203858" w:rsidRPr="00400349">
        <w:rPr>
          <w:color w:val="auto"/>
        </w:rPr>
        <w:t>William Young and Jacqui Caine</w:t>
      </w:r>
      <w:r w:rsidR="00203858" w:rsidRPr="00400349">
        <w:rPr>
          <w:i/>
          <w:iCs/>
          <w:color w:val="auto"/>
        </w:rPr>
        <w:t xml:space="preserve"> Hate speech and hate crime related legislation </w:t>
      </w:r>
      <w:r w:rsidR="00203858" w:rsidRPr="00400349">
        <w:rPr>
          <w:color w:val="auto"/>
        </w:rPr>
        <w:t>(Royal Commission of Inquiry into the terrorist attack on Christchurch masjidain on 15 March 2019</w:t>
      </w:r>
      <w:r w:rsidR="00822B1F" w:rsidRPr="00400349">
        <w:rPr>
          <w:color w:val="auto"/>
        </w:rPr>
        <w:t>,</w:t>
      </w:r>
      <w:r w:rsidR="00203858" w:rsidRPr="00400349">
        <w:rPr>
          <w:color w:val="auto"/>
        </w:rPr>
        <w:t xml:space="preserve"> 26 November 2020)</w:t>
      </w:r>
      <w:r w:rsidR="00563AFA" w:rsidRPr="00400349">
        <w:rPr>
          <w:color w:val="auto"/>
        </w:rPr>
        <w:t xml:space="preserve"> </w:t>
      </w:r>
      <w:r w:rsidRPr="00400349">
        <w:rPr>
          <w:color w:val="auto"/>
        </w:rPr>
        <w:t xml:space="preserve">at </w:t>
      </w:r>
      <w:r w:rsidR="00A67103" w:rsidRPr="00400349">
        <w:rPr>
          <w:color w:val="auto"/>
        </w:rPr>
        <w:t>13.</w:t>
      </w:r>
    </w:p>
  </w:footnote>
  <w:footnote w:id="259">
    <w:p w14:paraId="00C14E7F" w14:textId="77777777"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Any person is entitled to access certain court records relating to a proceeding, including convictions: see the District Court (Access to Court Documents) Rules 2017, r 8; Senior Courts (Access to Court Documents) Rules 2017, r 8; and Criminal Procedure Rules 2012, r 7.2. However, this information is provided in response to a specific request and is not proactively released to the public.</w:t>
      </w:r>
    </w:p>
  </w:footnote>
  <w:footnote w:id="260">
    <w:p w14:paraId="12ED0F71" w14:textId="73032419" w:rsidR="00827ED3" w:rsidRPr="00400349" w:rsidRDefault="00827ED3" w:rsidP="00827ED3">
      <w:pPr>
        <w:pStyle w:val="FootnoteText"/>
      </w:pPr>
      <w:r w:rsidRPr="00400349">
        <w:rPr>
          <w:rStyle w:val="FootnoteReference"/>
        </w:rPr>
        <w:footnoteRef/>
      </w:r>
      <w:r w:rsidRPr="00400349">
        <w:t xml:space="preserve"> </w:t>
      </w:r>
      <w:r w:rsidRPr="00400349">
        <w:tab/>
        <w:t>We did have access to a small number of relevant District Court decisions. Some were published online. Others were referenced in media reporting and we obtained copies of the sentencing notes from the relevant court.</w:t>
      </w:r>
    </w:p>
  </w:footnote>
  <w:footnote w:id="261">
    <w:p w14:paraId="2B762976" w14:textId="77777777" w:rsidR="00827ED3" w:rsidRPr="00400349" w:rsidRDefault="00827ED3" w:rsidP="00827ED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 xml:space="preserve">R v Curry </w:t>
      </w:r>
      <w:r w:rsidRPr="00400349">
        <w:rPr>
          <w:color w:val="auto"/>
        </w:rPr>
        <w:t xml:space="preserve">CA272, 273 and 326/00, 28 September 2000 at [12]–[15]; </w:t>
      </w:r>
      <w:r w:rsidRPr="00400349">
        <w:rPr>
          <w:i/>
          <w:color w:val="auto"/>
        </w:rPr>
        <w:t>Bryan v Police</w:t>
      </w:r>
      <w:r w:rsidRPr="00400349">
        <w:rPr>
          <w:color w:val="auto"/>
        </w:rPr>
        <w:t xml:space="preserve"> HC Auckland CRI-2009-404-45, 3 April 2009 at [16]–[17] and [45]–[53]; </w:t>
      </w:r>
      <w:r w:rsidRPr="00400349">
        <w:rPr>
          <w:i/>
          <w:color w:val="auto"/>
        </w:rPr>
        <w:t>Arps v Police</w:t>
      </w:r>
      <w:r w:rsidRPr="00400349">
        <w:rPr>
          <w:color w:val="auto"/>
        </w:rPr>
        <w:t xml:space="preserve"> [2019] NZCA 592, [2020] 2 NZLR 94 at [16], [28]–[32] and [64]–[65]; </w:t>
      </w:r>
      <w:r w:rsidRPr="00400349">
        <w:rPr>
          <w:i/>
          <w:color w:val="auto"/>
        </w:rPr>
        <w:t>R v Tarrant</w:t>
      </w:r>
      <w:r w:rsidRPr="00400349">
        <w:rPr>
          <w:color w:val="auto"/>
        </w:rPr>
        <w:t xml:space="preserve"> [2020] NZHC 2192, [2020] 3 NZLR 15 at [156] and [177]–[179]; </w:t>
      </w:r>
      <w:r w:rsidRPr="00400349">
        <w:rPr>
          <w:i/>
          <w:color w:val="auto"/>
        </w:rPr>
        <w:t>Solicitor-General v Milne</w:t>
      </w:r>
      <w:r w:rsidRPr="00400349">
        <w:rPr>
          <w:color w:val="auto"/>
        </w:rPr>
        <w:t xml:space="preserve"> [2020] NZCA 134 at [41]; and </w:t>
      </w:r>
      <w:r w:rsidRPr="00400349">
        <w:rPr>
          <w:i/>
          <w:color w:val="auto"/>
        </w:rPr>
        <w:t>Police v Kelland</w:t>
      </w:r>
      <w:r w:rsidRPr="00400349">
        <w:rPr>
          <w:color w:val="auto"/>
        </w:rPr>
        <w:t xml:space="preserve"> [2024] NZDC 17908 at [6]–[8] and [13].</w:t>
      </w:r>
    </w:p>
  </w:footnote>
  <w:footnote w:id="262">
    <w:p w14:paraId="6F2156D0" w14:textId="77777777" w:rsidR="00827ED3" w:rsidRPr="00400349" w:rsidRDefault="00827ED3" w:rsidP="00827ED3">
      <w:pPr>
        <w:pStyle w:val="FootnoteText"/>
      </w:pPr>
      <w:r w:rsidRPr="00400349">
        <w:rPr>
          <w:rStyle w:val="FootnoteReference"/>
        </w:rPr>
        <w:footnoteRef/>
      </w:r>
      <w:r w:rsidRPr="00400349">
        <w:t xml:space="preserve"> </w:t>
      </w:r>
      <w:r w:rsidRPr="00400349">
        <w:tab/>
        <w:t>We were provided with a copy of the prosecution’s sentencing submissions, which proposed a starting point that took account of the hostility aggravating factor. The judge accepted that starting point, suggesting they agreed the factor applied, but did not mention hostility at all.</w:t>
      </w:r>
    </w:p>
  </w:footnote>
  <w:footnote w:id="263">
    <w:p w14:paraId="6D0C61EF" w14:textId="19215A69" w:rsidR="00827ED3" w:rsidRPr="00400349" w:rsidRDefault="00827ED3" w:rsidP="00827ED3">
      <w:pPr>
        <w:pStyle w:val="FootnoteText"/>
      </w:pPr>
      <w:r w:rsidRPr="00400349">
        <w:rPr>
          <w:rStyle w:val="FootnoteReference"/>
        </w:rPr>
        <w:footnoteRef/>
      </w:r>
      <w:r w:rsidRPr="00400349">
        <w:t xml:space="preserve"> </w:t>
      </w:r>
      <w:r w:rsidRPr="00400349">
        <w:tab/>
      </w:r>
      <w:r w:rsidRPr="00400349">
        <w:rPr>
          <w:i/>
          <w:iCs/>
          <w:color w:val="auto"/>
        </w:rPr>
        <w:t>Police v Purves</w:t>
      </w:r>
      <w:r w:rsidRPr="00400349">
        <w:rPr>
          <w:color w:val="auto"/>
        </w:rPr>
        <w:t xml:space="preserve"> [2025] NZDC 7514 at [8]; </w:t>
      </w:r>
      <w:r w:rsidRPr="00400349">
        <w:rPr>
          <w:i/>
          <w:iCs/>
          <w:color w:val="auto"/>
        </w:rPr>
        <w:t>Landon v R</w:t>
      </w:r>
      <w:r w:rsidRPr="00400349">
        <w:rPr>
          <w:color w:val="auto"/>
        </w:rPr>
        <w:t xml:space="preserve"> [2018] NZCA 264 at [59]; and the sentencing decisions relating to the attempted murder of Harnek Singh (</w:t>
      </w:r>
      <w:r w:rsidRPr="00400349">
        <w:rPr>
          <w:rFonts w:cstheme="minorHAnsi"/>
          <w:i/>
          <w:iCs/>
          <w:color w:val="auto"/>
        </w:rPr>
        <w:t>R v Singh</w:t>
      </w:r>
      <w:r w:rsidRPr="00400349">
        <w:rPr>
          <w:rFonts w:ascii="Calibri" w:hAnsi="Calibri" w:cs="Calibri"/>
          <w:i/>
          <w:iCs/>
          <w:color w:val="auto"/>
        </w:rPr>
        <w:t> </w:t>
      </w:r>
      <w:r w:rsidRPr="00400349">
        <w:rPr>
          <w:rFonts w:cstheme="minorHAnsi"/>
          <w:color w:val="auto"/>
        </w:rPr>
        <w:t xml:space="preserve">[2022] NZHC 1188 at [19]; </w:t>
      </w:r>
      <w:r w:rsidRPr="00400349">
        <w:rPr>
          <w:i/>
          <w:iCs/>
          <w:color w:val="auto"/>
        </w:rPr>
        <w:t>R v Brar</w:t>
      </w:r>
      <w:r w:rsidRPr="00400349">
        <w:rPr>
          <w:color w:val="auto"/>
        </w:rPr>
        <w:t xml:space="preserve"> [2023] NZHC 3405 at [39] and [45]; </w:t>
      </w:r>
      <w:r w:rsidRPr="00400349">
        <w:rPr>
          <w:rFonts w:cstheme="minorHAnsi"/>
          <w:i/>
          <w:iCs/>
          <w:color w:val="auto"/>
        </w:rPr>
        <w:t>R v Sidhu</w:t>
      </w:r>
      <w:r w:rsidRPr="00400349">
        <w:rPr>
          <w:rFonts w:ascii="Calibri" w:hAnsi="Calibri" w:cs="Calibri"/>
          <w:i/>
          <w:iCs/>
          <w:color w:val="auto"/>
        </w:rPr>
        <w:t> </w:t>
      </w:r>
      <w:r w:rsidRPr="00400349">
        <w:rPr>
          <w:rFonts w:cstheme="minorHAnsi"/>
          <w:color w:val="auto"/>
        </w:rPr>
        <w:t xml:space="preserve">[2023] NZHC 3406 at [45]; </w:t>
      </w:r>
      <w:r w:rsidRPr="00400349">
        <w:rPr>
          <w:rFonts w:cstheme="minorHAnsi"/>
          <w:i/>
          <w:iCs/>
          <w:color w:val="auto"/>
        </w:rPr>
        <w:t>R v Singh</w:t>
      </w:r>
      <w:r w:rsidRPr="00400349">
        <w:rPr>
          <w:rFonts w:ascii="Calibri" w:hAnsi="Calibri" w:cs="Calibri"/>
          <w:i/>
          <w:iCs/>
          <w:color w:val="auto"/>
        </w:rPr>
        <w:t> </w:t>
      </w:r>
      <w:r w:rsidRPr="00400349">
        <w:rPr>
          <w:rFonts w:cstheme="minorHAnsi"/>
          <w:color w:val="auto"/>
        </w:rPr>
        <w:t xml:space="preserve">[2024] NZHC 491 at [45]; and </w:t>
      </w:r>
      <w:r w:rsidRPr="00400349">
        <w:rPr>
          <w:i/>
          <w:iCs/>
          <w:color w:val="auto"/>
        </w:rPr>
        <w:t>R v Sandhu</w:t>
      </w:r>
      <w:r w:rsidRPr="00400349">
        <w:rPr>
          <w:color w:val="auto"/>
        </w:rPr>
        <w:t xml:space="preserve"> [2025] NZHC 565 at [6]). In </w:t>
      </w:r>
      <w:r w:rsidRPr="00400349">
        <w:rPr>
          <w:i/>
          <w:iCs/>
          <w:color w:val="auto"/>
        </w:rPr>
        <w:t>Landon</w:t>
      </w:r>
      <w:r w:rsidRPr="00400349">
        <w:rPr>
          <w:color w:val="auto"/>
        </w:rPr>
        <w:t>,</w:t>
      </w:r>
      <w:r w:rsidRPr="00400349">
        <w:rPr>
          <w:color w:val="auto"/>
          <w:sz w:val="20"/>
          <w:szCs w:val="24"/>
          <w:lang w:eastAsia="en-AU"/>
        </w:rPr>
        <w:t xml:space="preserve"> </w:t>
      </w:r>
      <w:r w:rsidRPr="00400349">
        <w:rPr>
          <w:color w:val="auto"/>
        </w:rPr>
        <w:t>the Court of Appeal noted that the District Court sentencing judge had not referred to the hostility aggravating factor “although it may well have been in his mind”. The Court of Appeal did, however, take it into account on appeal.</w:t>
      </w:r>
    </w:p>
  </w:footnote>
  <w:footnote w:id="264">
    <w:p w14:paraId="644DB8DA" w14:textId="77777777" w:rsidR="0057216B" w:rsidRPr="00400349" w:rsidRDefault="0057216B" w:rsidP="0057216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[5.33]–[5.34].</w:t>
      </w:r>
    </w:p>
  </w:footnote>
  <w:footnote w:id="265">
    <w:p w14:paraId="14B95DA3" w14:textId="4D02398C" w:rsidR="0057216B" w:rsidRPr="00400349" w:rsidRDefault="0057216B" w:rsidP="0057216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Inclusive Aotearoa Collective Tāhono; Luke Cunningham Clere; Te Kāhui Ture o Aotearoa | New Zealand Law Society; Pride in Law Otago; Ratonga Wawao ā-</w:t>
      </w:r>
      <w:r w:rsidR="001004FC" w:rsidRPr="00400349">
        <w:rPr>
          <w:color w:val="auto"/>
        </w:rPr>
        <w:t xml:space="preserve">Ture </w:t>
      </w:r>
      <w:r w:rsidRPr="00400349">
        <w:rPr>
          <w:color w:val="auto"/>
        </w:rPr>
        <w:t>Tūmatanui | Public Defence Service; The Law Association of New Zealand Criminal Law Committee; and Dr Chris Wilson.</w:t>
      </w:r>
    </w:p>
  </w:footnote>
  <w:footnote w:id="266">
    <w:p w14:paraId="383CE1AD" w14:textId="70BEAB45" w:rsidR="00557045" w:rsidRPr="00400349" w:rsidRDefault="00557045">
      <w:pPr>
        <w:pStyle w:val="FootnoteText"/>
      </w:pPr>
      <w:r w:rsidRPr="00400349">
        <w:rPr>
          <w:rStyle w:val="FootnoteReference"/>
        </w:rPr>
        <w:footnoteRef/>
      </w:r>
      <w:r w:rsidRPr="00400349">
        <w:t xml:space="preserve"> </w:t>
      </w:r>
      <w:r w:rsidRPr="00400349">
        <w:tab/>
      </w:r>
      <w:r w:rsidRPr="00400349">
        <w:rPr>
          <w:color w:val="auto"/>
        </w:rPr>
        <w:t>Grace Carroll;</w:t>
      </w:r>
      <w:r w:rsidR="0083331B" w:rsidRPr="00400349">
        <w:rPr>
          <w:color w:val="auto"/>
        </w:rPr>
        <w:t xml:space="preserve"> and Submission 11.</w:t>
      </w:r>
    </w:p>
  </w:footnote>
  <w:footnote w:id="267">
    <w:p w14:paraId="2649F2E9" w14:textId="77777777" w:rsidR="0057216B" w:rsidRPr="00400349" w:rsidRDefault="0057216B" w:rsidP="0057216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Inclusive Aotearoa Collective Tāhono; and Te Kāhui Ture o Aotearoa | New Zealand Law Society.</w:t>
      </w:r>
    </w:p>
  </w:footnote>
  <w:footnote w:id="268">
    <w:p w14:paraId="3F05C942" w14:textId="56A236A0" w:rsidR="009F39F2" w:rsidRPr="00400349" w:rsidRDefault="009F39F2">
      <w:pPr>
        <w:pStyle w:val="FootnoteText"/>
      </w:pPr>
      <w:r w:rsidRPr="00400349">
        <w:rPr>
          <w:rStyle w:val="FootnoteReference"/>
        </w:rPr>
        <w:footnoteRef/>
      </w:r>
      <w:r w:rsidRPr="00400349">
        <w:t xml:space="preserve"> </w:t>
      </w:r>
      <w:r w:rsidRPr="00400349">
        <w:tab/>
      </w:r>
      <w:r w:rsidR="001F0CDD" w:rsidRPr="00400349">
        <w:rPr>
          <w:color w:val="auto"/>
        </w:rPr>
        <w:t xml:space="preserve">Grace Carroll; </w:t>
      </w:r>
      <w:r w:rsidR="008F348B" w:rsidRPr="00400349">
        <w:rPr>
          <w:color w:val="auto"/>
        </w:rPr>
        <w:t xml:space="preserve">and </w:t>
      </w:r>
      <w:r w:rsidRPr="00400349">
        <w:rPr>
          <w:color w:val="auto"/>
        </w:rPr>
        <w:t>Te Kāhui Ture o Aotearoa | New Zealand Law Society.</w:t>
      </w:r>
    </w:p>
  </w:footnote>
  <w:footnote w:id="269">
    <w:p w14:paraId="7DF88D10" w14:textId="77777777" w:rsidR="0057216B" w:rsidRPr="00400349" w:rsidRDefault="0057216B" w:rsidP="0057216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Chris Wilson.</w:t>
      </w:r>
    </w:p>
  </w:footnote>
  <w:footnote w:id="270">
    <w:p w14:paraId="1407177D" w14:textId="77777777" w:rsidR="005A791E" w:rsidRPr="00400349" w:rsidRDefault="005A791E" w:rsidP="005A791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John McDonald-Wharry.</w:t>
      </w:r>
    </w:p>
  </w:footnote>
  <w:footnote w:id="271">
    <w:p w14:paraId="52BE9CFF" w14:textId="77777777" w:rsidR="0057216B" w:rsidRPr="00400349" w:rsidRDefault="0057216B" w:rsidP="0057216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Justice for Palestine, Alternative Jewish Voices and Dayenu (joint submission); New Zealand Federation of Business and Professional Women; New Zealand Jewish Council; and Submission 26. </w:t>
      </w:r>
    </w:p>
  </w:footnote>
  <w:footnote w:id="272">
    <w:p w14:paraId="27D76F5D" w14:textId="77777777" w:rsidR="0057216B" w:rsidRPr="00400349" w:rsidRDefault="0057216B" w:rsidP="0057216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Inclusive Aotearoa Collective Tāhono.</w:t>
      </w:r>
    </w:p>
  </w:footnote>
  <w:footnote w:id="273">
    <w:p w14:paraId="7960ACDD" w14:textId="77777777" w:rsidR="00EB7C85" w:rsidRPr="00400349" w:rsidRDefault="00EB7C85" w:rsidP="00EB7C85">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Federation of Business and Professional Women; New Zealand Jewish Council; and Submission 26.</w:t>
      </w:r>
    </w:p>
  </w:footnote>
  <w:footnote w:id="274">
    <w:p w14:paraId="157E463D" w14:textId="5663C099" w:rsidR="00F53AE5" w:rsidRPr="00400349" w:rsidRDefault="00F53AE5">
      <w:pPr>
        <w:pStyle w:val="FootnoteText"/>
      </w:pPr>
      <w:r w:rsidRPr="00400349">
        <w:rPr>
          <w:rStyle w:val="FootnoteReference"/>
        </w:rPr>
        <w:footnoteRef/>
      </w:r>
      <w:r w:rsidRPr="00400349">
        <w:t xml:space="preserve"> </w:t>
      </w:r>
      <w:r w:rsidRPr="00400349">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w:t>
      </w:r>
      <w:r w:rsidR="00501B95" w:rsidRPr="00400349">
        <w:rPr>
          <w:color w:val="auto"/>
        </w:rPr>
        <w:t>1</w:t>
      </w:r>
      <w:r w:rsidR="00EB2CD9" w:rsidRPr="00400349">
        <w:rPr>
          <w:color w:val="auto"/>
        </w:rPr>
        <w:t>4</w:t>
      </w:r>
      <w:r w:rsidR="00501B95" w:rsidRPr="00400349">
        <w:rPr>
          <w:color w:val="auto"/>
        </w:rPr>
        <w:t>–715</w:t>
      </w:r>
      <w:r w:rsidR="00DA0ED7" w:rsidRPr="00400349">
        <w:rPr>
          <w:color w:val="auto"/>
        </w:rPr>
        <w:t>.</w:t>
      </w:r>
    </w:p>
  </w:footnote>
  <w:footnote w:id="275">
    <w:p w14:paraId="7FF0C968" w14:textId="233D7E34" w:rsidR="00503B11" w:rsidRPr="00400349" w:rsidRDefault="00503B11">
      <w:pPr>
        <w:pStyle w:val="FootnoteText"/>
      </w:pPr>
      <w:r w:rsidRPr="00400349">
        <w:rPr>
          <w:rStyle w:val="FootnoteReference"/>
        </w:rPr>
        <w:footnoteRef/>
      </w:r>
      <w:r w:rsidRPr="00400349">
        <w:t xml:space="preserve"> </w:t>
      </w:r>
      <w:r w:rsidRPr="00400349">
        <w:tab/>
      </w:r>
      <w:r w:rsidR="00292F80">
        <w:rPr>
          <w:color w:val="auto"/>
        </w:rPr>
        <w:t>At</w:t>
      </w:r>
      <w:r w:rsidR="00EB2CD9" w:rsidRPr="00400349">
        <w:t xml:space="preserve"> </w:t>
      </w:r>
      <w:r w:rsidR="001249FA" w:rsidRPr="00400349">
        <w:t>716</w:t>
      </w:r>
      <w:r w:rsidR="00EB283B" w:rsidRPr="00400349">
        <w:t>.</w:t>
      </w:r>
    </w:p>
  </w:footnote>
  <w:footnote w:id="276">
    <w:p w14:paraId="410A0197" w14:textId="717363B4" w:rsidR="00503B11" w:rsidRPr="00400349" w:rsidRDefault="00503B11">
      <w:pPr>
        <w:pStyle w:val="FootnoteText"/>
      </w:pPr>
      <w:r w:rsidRPr="00400349">
        <w:rPr>
          <w:rStyle w:val="FootnoteReference"/>
        </w:rPr>
        <w:footnoteRef/>
      </w:r>
      <w:r w:rsidRPr="00400349">
        <w:t xml:space="preserve"> </w:t>
      </w:r>
      <w:r w:rsidRPr="00400349">
        <w:tab/>
      </w:r>
      <w:r w:rsidR="006E56BA" w:rsidRPr="00400349">
        <w:t>A</w:t>
      </w:r>
      <w:r w:rsidRPr="00400349">
        <w:t>t 764 (recommendation 42).</w:t>
      </w:r>
    </w:p>
  </w:footnote>
  <w:footnote w:id="277">
    <w:p w14:paraId="77488096" w14:textId="77777777" w:rsidR="002C24B1" w:rsidRPr="00400349" w:rsidRDefault="002C24B1" w:rsidP="002C24B1">
      <w:pPr>
        <w:pStyle w:val="FootnoteText"/>
      </w:pPr>
      <w:r w:rsidRPr="00400349">
        <w:rPr>
          <w:rStyle w:val="FootnoteReference"/>
        </w:rPr>
        <w:footnoteRef/>
      </w:r>
      <w:r w:rsidRPr="00400349">
        <w:t xml:space="preserve"> </w:t>
      </w:r>
      <w:r w:rsidRPr="00400349">
        <w:tab/>
        <w:t>Consultation Paper at [5.24]–[5.28].</w:t>
      </w:r>
    </w:p>
  </w:footnote>
  <w:footnote w:id="278">
    <w:p w14:paraId="3C16521D" w14:textId="0A5E765C" w:rsidR="002147DD" w:rsidRPr="00400349" w:rsidRDefault="002147DD" w:rsidP="002147D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Madeline Ash; Inclusive Aotearoa Collective Tāhono; Justice for Palestine, Alternative Jewish Voices and Dayenu (joint submission); Submission 43; </w:t>
      </w:r>
      <w:r w:rsidR="00B04800" w:rsidRPr="00400349">
        <w:rPr>
          <w:color w:val="auto"/>
        </w:rPr>
        <w:t>M</w:t>
      </w:r>
      <w:r w:rsidRPr="00400349">
        <w:rPr>
          <w:color w:val="auto"/>
        </w:rPr>
        <w:t>embers of Te Hunga Rōia Māori o Aotearoa; and The Law Association of New Zealand Criminal Law Committee.</w:t>
      </w:r>
    </w:p>
  </w:footnote>
  <w:footnote w:id="279">
    <w:p w14:paraId="3F58E97E" w14:textId="77777777" w:rsidR="002147DD" w:rsidRPr="00400349" w:rsidRDefault="002147DD" w:rsidP="002147D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and Submission 43.</w:t>
      </w:r>
    </w:p>
  </w:footnote>
  <w:footnote w:id="280">
    <w:p w14:paraId="62C9E900" w14:textId="44819436" w:rsidR="001321CF" w:rsidRPr="00400349" w:rsidRDefault="001321CF">
      <w:pPr>
        <w:pStyle w:val="FootnoteText"/>
      </w:pPr>
      <w:r w:rsidRPr="00400349">
        <w:rPr>
          <w:rStyle w:val="FootnoteReference"/>
        </w:rPr>
        <w:footnoteRef/>
      </w:r>
      <w:r w:rsidRPr="00400349">
        <w:t xml:space="preserve"> </w:t>
      </w:r>
      <w:r w:rsidR="00156F60" w:rsidRPr="00400349">
        <w:tab/>
      </w:r>
      <w:r w:rsidR="00203858" w:rsidRPr="00400349">
        <w:rPr>
          <w:color w:val="auto"/>
        </w:rPr>
        <w:t>William Young and Jacqui Caine</w:t>
      </w:r>
      <w:r w:rsidR="00203858" w:rsidRPr="00400349">
        <w:rPr>
          <w:i/>
          <w:iCs/>
          <w:color w:val="auto"/>
        </w:rPr>
        <w:t xml:space="preserve"> Hate speech and hate crime related legislation </w:t>
      </w:r>
      <w:r w:rsidR="00203858" w:rsidRPr="00400349">
        <w:rPr>
          <w:color w:val="auto"/>
        </w:rPr>
        <w:t>(Royal Commission of Inquiry into the terrorist attack on Christchurch masjidain on 15 March 2019</w:t>
      </w:r>
      <w:r w:rsidR="009C269F" w:rsidRPr="00400349">
        <w:rPr>
          <w:color w:val="auto"/>
        </w:rPr>
        <w:t>,</w:t>
      </w:r>
      <w:r w:rsidR="00203858" w:rsidRPr="00400349">
        <w:rPr>
          <w:color w:val="auto"/>
        </w:rPr>
        <w:t xml:space="preserve"> 26 November 2020)</w:t>
      </w:r>
      <w:r w:rsidR="00563AFA" w:rsidRPr="00400349">
        <w:rPr>
          <w:color w:val="auto"/>
        </w:rPr>
        <w:t xml:space="preserve"> </w:t>
      </w:r>
      <w:r w:rsidR="005F4093" w:rsidRPr="00400349">
        <w:rPr>
          <w:color w:val="auto"/>
        </w:rPr>
        <w:t>at 17.</w:t>
      </w:r>
    </w:p>
  </w:footnote>
  <w:footnote w:id="281">
    <w:p w14:paraId="595FB098" w14:textId="67FBE468" w:rsidR="002147DD" w:rsidRPr="00400349" w:rsidRDefault="002147DD" w:rsidP="002147D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For example, in 202</w:t>
      </w:r>
      <w:r w:rsidR="005D0FF1" w:rsidRPr="00400349">
        <w:rPr>
          <w:color w:val="auto"/>
        </w:rPr>
        <w:t>5</w:t>
      </w:r>
      <w:r w:rsidRPr="00400349">
        <w:rPr>
          <w:color w:val="auto"/>
        </w:rPr>
        <w:t xml:space="preserve">, </w:t>
      </w:r>
      <w:r w:rsidR="0025029C" w:rsidRPr="00400349">
        <w:rPr>
          <w:color w:val="auto"/>
        </w:rPr>
        <w:t>4</w:t>
      </w:r>
      <w:r w:rsidR="00ED0DA6" w:rsidRPr="00400349">
        <w:rPr>
          <w:color w:val="auto"/>
        </w:rPr>
        <w:t xml:space="preserve">2 </w:t>
      </w:r>
      <w:r w:rsidRPr="00400349">
        <w:rPr>
          <w:color w:val="auto"/>
        </w:rPr>
        <w:t xml:space="preserve">per cent of offences flagged as perceived hate crimes were closed based on police discretion. For comparable non-hate offences (that is, offences in the same categories as those often flagged as hate crimes such as </w:t>
      </w:r>
      <w:r w:rsidR="00B076DE" w:rsidRPr="00400349">
        <w:rPr>
          <w:color w:val="auto"/>
        </w:rPr>
        <w:t>assaults</w:t>
      </w:r>
      <w:r w:rsidRPr="00400349">
        <w:rPr>
          <w:color w:val="auto"/>
        </w:rPr>
        <w:t>,</w:t>
      </w:r>
      <w:r w:rsidR="00C83BCA" w:rsidRPr="00400349">
        <w:rPr>
          <w:color w:val="auto"/>
        </w:rPr>
        <w:t xml:space="preserve"> threatening behaviour,</w:t>
      </w:r>
      <w:r w:rsidRPr="00400349">
        <w:rPr>
          <w:color w:val="auto"/>
        </w:rPr>
        <w:t xml:space="preserve"> property damage and public order offences)</w:t>
      </w:r>
      <w:r w:rsidR="007A1A70">
        <w:rPr>
          <w:color w:val="auto"/>
        </w:rPr>
        <w:t>,</w:t>
      </w:r>
      <w:r w:rsidRPr="00400349">
        <w:rPr>
          <w:color w:val="auto"/>
        </w:rPr>
        <w:t xml:space="preserve"> this figure was 2</w:t>
      </w:r>
      <w:r w:rsidR="007961DA" w:rsidRPr="00400349">
        <w:rPr>
          <w:color w:val="auto"/>
        </w:rPr>
        <w:t>6</w:t>
      </w:r>
      <w:r w:rsidRPr="00400349">
        <w:rPr>
          <w:color w:val="auto"/>
        </w:rPr>
        <w:t xml:space="preserve"> per cent.</w:t>
      </w:r>
    </w:p>
  </w:footnote>
  <w:footnote w:id="282">
    <w:p w14:paraId="6CA7F2E4" w14:textId="6671512A" w:rsidR="00415A32" w:rsidRPr="00400349" w:rsidRDefault="00415A32">
      <w:pPr>
        <w:pStyle w:val="FootnoteText"/>
      </w:pPr>
      <w:r w:rsidRPr="00400349">
        <w:rPr>
          <w:rStyle w:val="FootnoteReference"/>
        </w:rPr>
        <w:footnoteRef/>
      </w:r>
      <w:r w:rsidRPr="00400349">
        <w:t xml:space="preserve"> </w:t>
      </w:r>
      <w:r w:rsidRPr="00400349">
        <w:tab/>
        <w:t>Wider changes to address bias in policing and improve relationships with minority groups are discussed later in this chapter (under “Reporting hate crime to Police”).</w:t>
      </w:r>
    </w:p>
  </w:footnote>
  <w:footnote w:id="283">
    <w:p w14:paraId="330BD873" w14:textId="77777777" w:rsidR="007D5180" w:rsidRPr="00400349" w:rsidRDefault="007D5180" w:rsidP="007D518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Graeme Edgeler; Te Kāhui Ture o Aotearoa | New Zealand Law Society; and The Law Association of New Zealand Public and Administrative Law Committee.</w:t>
      </w:r>
    </w:p>
  </w:footnote>
  <w:footnote w:id="284">
    <w:p w14:paraId="6DA7908C" w14:textId="77777777" w:rsidR="00C03D77" w:rsidRPr="00400349" w:rsidRDefault="00C03D77" w:rsidP="00C03D77">
      <w:pPr>
        <w:pStyle w:val="FootnoteText"/>
      </w:pPr>
      <w:r w:rsidRPr="00400349">
        <w:rPr>
          <w:rStyle w:val="FootnoteReference"/>
        </w:rPr>
        <w:footnoteRef/>
      </w:r>
      <w:r w:rsidRPr="00400349">
        <w:t xml:space="preserve"> </w:t>
      </w:r>
      <w:r w:rsidRPr="00400349">
        <w:tab/>
        <w:t>Consultation Paper at [5.24]–[5.28].</w:t>
      </w:r>
    </w:p>
  </w:footnote>
  <w:footnote w:id="285">
    <w:p w14:paraId="50612C31" w14:textId="2CC60EE4" w:rsidR="00C03D77" w:rsidRPr="00400349" w:rsidRDefault="00C03D77" w:rsidP="00C03D77">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905C72" w:rsidRPr="00400349">
        <w:rPr>
          <w:color w:val="auto"/>
        </w:rPr>
        <w:t>A</w:t>
      </w:r>
      <w:r w:rsidRPr="00400349">
        <w:rPr>
          <w:color w:val="auto"/>
        </w:rPr>
        <w:t>t [5.27]–[5.28].</w:t>
      </w:r>
    </w:p>
  </w:footnote>
  <w:footnote w:id="286">
    <w:p w14:paraId="1CABEDF2" w14:textId="210F0294" w:rsidR="00116096" w:rsidRPr="00400349" w:rsidRDefault="00116096" w:rsidP="0011609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Dr David Harvey; Te Kāhui Ture o Aotearoa | New Zealand Law Society; </w:t>
      </w:r>
      <w:r w:rsidR="00B04800" w:rsidRPr="00400349">
        <w:rPr>
          <w:color w:val="auto"/>
        </w:rPr>
        <w:t>M</w:t>
      </w:r>
      <w:r w:rsidRPr="00400349">
        <w:rPr>
          <w:color w:val="auto"/>
        </w:rPr>
        <w:t>embers of Te Hunga Rōia Māori o Aotearoa; and The Law Association of New Zealand Criminal Law Committee.</w:t>
      </w:r>
    </w:p>
  </w:footnote>
  <w:footnote w:id="287">
    <w:p w14:paraId="0AD42D64" w14:textId="57E2A6A1" w:rsidR="00116096" w:rsidRPr="00400349" w:rsidRDefault="00116096" w:rsidP="0011609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Justice for Palestine, Alternative Jewish Voices and Dayenu (joint submission); Te Kāhui Ture o Aotearoa | New Zealand Law Society; </w:t>
      </w:r>
      <w:r w:rsidR="00B04800" w:rsidRPr="00400349">
        <w:rPr>
          <w:color w:val="auto"/>
        </w:rPr>
        <w:t>M</w:t>
      </w:r>
      <w:r w:rsidRPr="00400349">
        <w:rPr>
          <w:color w:val="auto"/>
        </w:rPr>
        <w:t>embers of Te Hunga Rōia Māori o Aotearoa; and The Law Association of New Zealand Criminal Law Committee.</w:t>
      </w:r>
    </w:p>
  </w:footnote>
  <w:footnote w:id="288">
    <w:p w14:paraId="08DE0BF4" w14:textId="77777777" w:rsidR="00116096" w:rsidRPr="00400349" w:rsidRDefault="00116096" w:rsidP="0011609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John McDonald-Wharry.</w:t>
      </w:r>
    </w:p>
  </w:footnote>
  <w:footnote w:id="289">
    <w:p w14:paraId="053FF3C6" w14:textId="4F05D757" w:rsidR="00F70D13" w:rsidRPr="00400349" w:rsidRDefault="00F70D13" w:rsidP="00F70D13">
      <w:pPr>
        <w:pStyle w:val="FootnoteText"/>
      </w:pPr>
      <w:r w:rsidRPr="00400349">
        <w:rPr>
          <w:rStyle w:val="FootnoteReference"/>
        </w:rPr>
        <w:footnoteRef/>
      </w:r>
      <w:r w:rsidRPr="00400349">
        <w:t xml:space="preserve"> </w:t>
      </w:r>
      <w:r w:rsidRPr="00400349">
        <w:tab/>
        <w:t xml:space="preserve">One possible example is the District Court decision in </w:t>
      </w:r>
      <w:r w:rsidRPr="00400349">
        <w:rPr>
          <w:i/>
          <w:color w:val="auto"/>
        </w:rPr>
        <w:t>R v Landon</w:t>
      </w:r>
      <w:r w:rsidRPr="00400349">
        <w:rPr>
          <w:color w:val="auto"/>
        </w:rPr>
        <w:t xml:space="preserve"> [2017] NZDC 15598, where the hostility aggravating factor was not referred to. On appeal, the Court of Appeal found s 9(1)(h) applied and noted the sentencing judge had not referred to it “although it may well have been in his mind”: </w:t>
      </w:r>
      <w:r w:rsidRPr="00400349">
        <w:rPr>
          <w:i/>
          <w:color w:val="auto"/>
        </w:rPr>
        <w:t>Landon v R</w:t>
      </w:r>
      <w:r w:rsidRPr="00400349">
        <w:rPr>
          <w:color w:val="auto"/>
        </w:rPr>
        <w:t xml:space="preserve"> [2018] NZCA 264 at [59]. It is unclear whether the matter was raised by the prosecutor or considered by the judge at sentencing.</w:t>
      </w:r>
    </w:p>
  </w:footnote>
  <w:footnote w:id="290">
    <w:p w14:paraId="03BD4673" w14:textId="042EBBE3" w:rsidR="000F2F73" w:rsidRPr="00400349" w:rsidRDefault="000F2F73">
      <w:pPr>
        <w:pStyle w:val="FootnoteText"/>
      </w:pPr>
      <w:r w:rsidRPr="00400349">
        <w:rPr>
          <w:rStyle w:val="FootnoteReference"/>
        </w:rPr>
        <w:footnoteRef/>
      </w:r>
      <w:r w:rsidRPr="00400349">
        <w:t xml:space="preserve"> </w:t>
      </w:r>
      <w:r w:rsidRPr="00400349">
        <w:tab/>
      </w:r>
      <w:r w:rsidRPr="00400349">
        <w:rPr>
          <w:color w:val="auto"/>
        </w:rPr>
        <w:t>Bail Act 2000, s 8(2)(a), (c) and (d).</w:t>
      </w:r>
    </w:p>
  </w:footnote>
  <w:footnote w:id="291">
    <w:p w14:paraId="2A8189B4" w14:textId="0F92A200" w:rsidR="00F7481D" w:rsidRPr="00400349" w:rsidRDefault="00F7481D">
      <w:pPr>
        <w:pStyle w:val="FootnoteText"/>
      </w:pPr>
      <w:r w:rsidRPr="00400349">
        <w:rPr>
          <w:rStyle w:val="FootnoteReference"/>
        </w:rPr>
        <w:footnoteRef/>
      </w:r>
      <w:r w:rsidRPr="00400349">
        <w:t xml:space="preserve"> </w:t>
      </w:r>
      <w:r w:rsidRPr="00400349">
        <w:tab/>
      </w:r>
      <w:r w:rsidRPr="00400349">
        <w:rPr>
          <w:color w:val="auto"/>
        </w:rPr>
        <w:t>Sentencing Act 2002, s 9(1)(j).</w:t>
      </w:r>
    </w:p>
  </w:footnote>
  <w:footnote w:id="292">
    <w:p w14:paraId="56930BF4" w14:textId="1BDA99BE" w:rsidR="00B76087" w:rsidRPr="00400349" w:rsidRDefault="00B76087" w:rsidP="00B76087">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lang w:eastAsia="en-AU"/>
        </w:rPr>
        <w:t>Arps v Police</w:t>
      </w:r>
      <w:r w:rsidRPr="00400349">
        <w:rPr>
          <w:color w:val="auto"/>
          <w:lang w:eastAsia="en-AU"/>
        </w:rPr>
        <w:t xml:space="preserve"> [2019] NZHC 2113 at [37] and [50]. Bail decisions are not ordinarily published so it is unsurprising we found no examples</w:t>
      </w:r>
      <w:r w:rsidR="00B77119">
        <w:rPr>
          <w:color w:val="auto"/>
          <w:lang w:eastAsia="en-AU"/>
        </w:rPr>
        <w:t xml:space="preserve"> </w:t>
      </w:r>
      <w:r w:rsidR="00A542DF">
        <w:rPr>
          <w:color w:val="auto"/>
          <w:lang w:eastAsia="en-AU"/>
        </w:rPr>
        <w:t xml:space="preserve">of </w:t>
      </w:r>
      <w:r w:rsidR="00E317B7">
        <w:rPr>
          <w:color w:val="auto"/>
          <w:lang w:eastAsia="en-AU"/>
        </w:rPr>
        <w:t>hostile motivation being taken into account at that stage</w:t>
      </w:r>
      <w:r w:rsidRPr="00400349">
        <w:rPr>
          <w:color w:val="auto"/>
          <w:lang w:eastAsia="en-AU"/>
        </w:rPr>
        <w:t>.</w:t>
      </w:r>
    </w:p>
  </w:footnote>
  <w:footnote w:id="293">
    <w:p w14:paraId="623E7EAF" w14:textId="7A200B44" w:rsidR="00B76087" w:rsidRPr="00400349" w:rsidRDefault="00B76087" w:rsidP="00B76087">
      <w:pPr>
        <w:pStyle w:val="FootnoteText"/>
      </w:pPr>
      <w:r w:rsidRPr="00400349">
        <w:rPr>
          <w:rStyle w:val="FootnoteReference"/>
        </w:rPr>
        <w:footnoteRef/>
      </w:r>
      <w:r w:rsidRPr="00400349">
        <w:t xml:space="preserve"> </w:t>
      </w:r>
      <w:r w:rsidRPr="00400349">
        <w:tab/>
      </w:r>
      <w:r w:rsidR="00F75F13">
        <w:t>A</w:t>
      </w:r>
      <w:r w:rsidR="00F75F13" w:rsidRPr="00400349">
        <w:t xml:space="preserve"> </w:t>
      </w:r>
      <w:r w:rsidRPr="00400349">
        <w:t>member</w:t>
      </w:r>
      <w:r w:rsidR="00F75F13">
        <w:t xml:space="preserve"> of the Technical Advisory Group</w:t>
      </w:r>
      <w:r w:rsidRPr="00400349">
        <w:t xml:space="preserve"> said that, if bail is opposed, the investigating police officer is likely to review the National Intelligence Application entry for the alleged offence and see any Police perceived hate crime flag. This would prompt them to inform the prosecutor that the hostility aggravating factor may apply.</w:t>
      </w:r>
    </w:p>
  </w:footnote>
  <w:footnote w:id="294">
    <w:p w14:paraId="128EE0C2" w14:textId="77777777" w:rsidR="00B76087" w:rsidRPr="00400349" w:rsidRDefault="00B76087" w:rsidP="00B76087">
      <w:pPr>
        <w:pStyle w:val="FootnoteText"/>
      </w:pPr>
      <w:r w:rsidRPr="00400349">
        <w:rPr>
          <w:rStyle w:val="FootnoteReference"/>
        </w:rPr>
        <w:footnoteRef/>
      </w:r>
      <w:r w:rsidRPr="00400349">
        <w:t xml:space="preserve"> </w:t>
      </w:r>
      <w:r w:rsidRPr="00400349">
        <w:tab/>
        <w:t>A prosecutor or the investigating police officer may also be prompted to review the sentencing notes for a previous offence if the investigating officer sees that the offence was flagged by Police as a perceived hate crime. We understand, however, that the Police flag for perceived hate crimes is not visible when a person’s criminal record is viewed in the Police National Intelligence Application. It is only visible if the entry relating to the particular offence is opened, which is only likely to occur if there is some other indication that the offence may be relevant.</w:t>
      </w:r>
    </w:p>
  </w:footnote>
  <w:footnote w:id="295">
    <w:p w14:paraId="77D35E6B" w14:textId="692D390D" w:rsidR="00E94FB6" w:rsidRPr="00400349" w:rsidRDefault="00E94FB6">
      <w:pPr>
        <w:pStyle w:val="FootnoteText"/>
      </w:pPr>
      <w:r w:rsidRPr="00400349">
        <w:rPr>
          <w:rStyle w:val="FootnoteReference"/>
        </w:rPr>
        <w:footnoteRef/>
      </w:r>
      <w:r w:rsidRPr="00400349">
        <w:t xml:space="preserve"> </w:t>
      </w:r>
      <w:r w:rsidRPr="00400349">
        <w:tab/>
        <w:t>Propensity evidence is evidence that tends to show a person’s</w:t>
      </w:r>
      <w:r w:rsidRPr="00400349">
        <w:rPr>
          <w:rFonts w:ascii="Calibri" w:hAnsi="Calibri" w:cs="Calibri"/>
        </w:rPr>
        <w:t xml:space="preserve"> </w:t>
      </w:r>
      <w:r w:rsidRPr="00400349">
        <w:t>propensity</w:t>
      </w:r>
      <w:r w:rsidRPr="00400349">
        <w:rPr>
          <w:rFonts w:ascii="Calibri" w:hAnsi="Calibri" w:cs="Calibri"/>
        </w:rPr>
        <w:t xml:space="preserve"> </w:t>
      </w:r>
      <w:r w:rsidRPr="00400349">
        <w:t xml:space="preserve">to act in a particular way or to have a particular state of mind: </w:t>
      </w:r>
      <w:r w:rsidRPr="00400349">
        <w:rPr>
          <w:color w:val="auto"/>
        </w:rPr>
        <w:t xml:space="preserve">Evidence Act 2006, s 40(1)(a). </w:t>
      </w:r>
      <w:r w:rsidRPr="00400349">
        <w:t xml:space="preserve">For example, it may be evidence that a defendant previously committed similar offences or engaged in similar conduct to that alleged in the current proceeding. </w:t>
      </w:r>
      <w:r w:rsidR="00A84C16" w:rsidRPr="00400349">
        <w:t xml:space="preserve">Propensity evidence is admissible against a defendant at trial if it has probative value in relation to an issue in dispute that outweighs the risk that it may have an unfairly prejudicial effect on the defendant: </w:t>
      </w:r>
      <w:r w:rsidR="00A84C16" w:rsidRPr="00400349">
        <w:rPr>
          <w:color w:val="auto"/>
        </w:rPr>
        <w:t xml:space="preserve">s 43(1). </w:t>
      </w:r>
    </w:p>
  </w:footnote>
  <w:footnote w:id="296">
    <w:p w14:paraId="6A898912" w14:textId="77777777" w:rsidR="00F0559C" w:rsidRPr="00400349" w:rsidRDefault="00F0559C" w:rsidP="00F0559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w:t>
      </w:r>
      <w:r w:rsidRPr="00400349">
        <w:rPr>
          <w:i/>
          <w:color w:val="auto"/>
        </w:rPr>
        <w:t>Arps v Dept of Corrections</w:t>
      </w:r>
      <w:r w:rsidRPr="00400349">
        <w:rPr>
          <w:color w:val="auto"/>
        </w:rPr>
        <w:t xml:space="preserve"> [2020] NZCA 547, [2020] 2 NZLR 94 at [7].</w:t>
      </w:r>
    </w:p>
  </w:footnote>
  <w:footnote w:id="297">
    <w:p w14:paraId="4B0A9852" w14:textId="3907EEDD" w:rsidR="00B73533" w:rsidRPr="00400349" w:rsidRDefault="00B73533">
      <w:pPr>
        <w:pStyle w:val="FootnoteText"/>
      </w:pPr>
      <w:r w:rsidRPr="00400349">
        <w:rPr>
          <w:rStyle w:val="FootnoteReference"/>
        </w:rPr>
        <w:footnoteRef/>
      </w:r>
      <w:r w:rsidRPr="00400349">
        <w:t xml:space="preserve"> </w:t>
      </w:r>
      <w:r w:rsidRPr="00400349">
        <w:tab/>
        <w:t>Consultation Paper at [</w:t>
      </w:r>
      <w:r w:rsidR="00FA4F85" w:rsidRPr="00400349">
        <w:t>5.12].</w:t>
      </w:r>
    </w:p>
  </w:footnote>
  <w:footnote w:id="298">
    <w:p w14:paraId="452C768A" w14:textId="63D865C5" w:rsidR="00F91525" w:rsidRPr="00400349" w:rsidRDefault="00F91525">
      <w:pPr>
        <w:pStyle w:val="FootnoteText"/>
      </w:pPr>
      <w:r w:rsidRPr="00400349">
        <w:rPr>
          <w:rStyle w:val="FootnoteReference"/>
        </w:rPr>
        <w:footnoteRef/>
      </w:r>
      <w:r w:rsidRPr="00400349">
        <w:t xml:space="preserve"> </w:t>
      </w:r>
      <w:r w:rsidRPr="00400349">
        <w:tab/>
      </w:r>
      <w:r w:rsidR="002B369F" w:rsidRPr="00400349">
        <w:t>A</w:t>
      </w:r>
      <w:r w:rsidRPr="00400349">
        <w:t>t [5.11].</w:t>
      </w:r>
    </w:p>
  </w:footnote>
  <w:footnote w:id="299">
    <w:p w14:paraId="684F7474" w14:textId="38A9A1C5" w:rsidR="00C43FB0" w:rsidRPr="00400349" w:rsidRDefault="00C43FB0">
      <w:pPr>
        <w:pStyle w:val="FootnoteText"/>
        <w:rPr>
          <w:lang w:val="en-US"/>
        </w:rPr>
      </w:pPr>
      <w:r w:rsidRPr="00400349">
        <w:rPr>
          <w:rStyle w:val="FootnoteReference"/>
        </w:rPr>
        <w:footnoteRef/>
      </w:r>
      <w:r w:rsidRPr="00400349">
        <w:t xml:space="preserve"> </w:t>
      </w:r>
      <w:r w:rsidRPr="00400349">
        <w:rPr>
          <w:lang w:val="en-US"/>
        </w:rPr>
        <w:tab/>
        <w:t>At [5.14</w:t>
      </w:r>
      <w:r w:rsidR="001A172B">
        <w:rPr>
          <w:lang w:val="en-US"/>
        </w:rPr>
        <w:t>]</w:t>
      </w:r>
      <w:r w:rsidRPr="00400349">
        <w:rPr>
          <w:lang w:val="en-US"/>
        </w:rPr>
        <w:t>.</w:t>
      </w:r>
    </w:p>
  </w:footnote>
  <w:footnote w:id="300">
    <w:p w14:paraId="69A9FCF0" w14:textId="77777777" w:rsidR="00D40BD0" w:rsidRPr="00400349" w:rsidRDefault="00D40BD0" w:rsidP="00D40BD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Russell Hoban; and Te Kāhui o Ināia Tonu Nei Charitable Trust. Additionally, Submission 63 said there “may be room” for such a review. </w:t>
      </w:r>
    </w:p>
  </w:footnote>
  <w:footnote w:id="301">
    <w:p w14:paraId="577F5EA6" w14:textId="33E3AECF" w:rsidR="001D1A66" w:rsidRPr="00400349" w:rsidRDefault="001D1A66">
      <w:pPr>
        <w:pStyle w:val="FootnoteText"/>
      </w:pPr>
      <w:r w:rsidRPr="00400349">
        <w:rPr>
          <w:rStyle w:val="FootnoteReference"/>
        </w:rPr>
        <w:footnoteRef/>
      </w:r>
      <w:r w:rsidRPr="00400349">
        <w:t xml:space="preserve"> </w:t>
      </w:r>
      <w:r w:rsidRPr="00400349">
        <w:tab/>
      </w:r>
      <w:r w:rsidRPr="00400349">
        <w:rPr>
          <w:i/>
          <w:iCs/>
          <w:color w:val="auto"/>
        </w:rPr>
        <w:t xml:space="preserve">Solicitor-General v Milne </w:t>
      </w:r>
      <w:r w:rsidRPr="00400349">
        <w:rPr>
          <w:color w:val="auto"/>
        </w:rPr>
        <w:t>[2020] NZCA 134</w:t>
      </w:r>
      <w:r w:rsidR="004D7856" w:rsidRPr="00400349">
        <w:rPr>
          <w:color w:val="auto"/>
        </w:rPr>
        <w:t>;</w:t>
      </w:r>
      <w:r w:rsidRPr="00400349">
        <w:rPr>
          <w:color w:val="auto"/>
        </w:rPr>
        <w:t xml:space="preserve"> and </w:t>
      </w:r>
      <w:r w:rsidRPr="00400349">
        <w:rPr>
          <w:i/>
          <w:iCs/>
          <w:color w:val="auto"/>
        </w:rPr>
        <w:t>Galloway v R</w:t>
      </w:r>
      <w:r w:rsidRPr="00400349">
        <w:rPr>
          <w:color w:val="auto"/>
        </w:rPr>
        <w:t xml:space="preserve"> [2011] NZCA 309.</w:t>
      </w:r>
    </w:p>
  </w:footnote>
  <w:footnote w:id="302">
    <w:p w14:paraId="2C7CB201" w14:textId="7011B278" w:rsidR="00910D44" w:rsidRPr="00400349" w:rsidRDefault="00910D44">
      <w:pPr>
        <w:pStyle w:val="FootnoteText"/>
      </w:pPr>
      <w:r w:rsidRPr="00400349">
        <w:rPr>
          <w:rStyle w:val="FootnoteReference"/>
        </w:rPr>
        <w:footnoteRef/>
      </w:r>
      <w:r w:rsidRPr="00400349">
        <w:t xml:space="preserve"> </w:t>
      </w:r>
      <w:r w:rsidRPr="00400349">
        <w:tab/>
      </w:r>
      <w:r w:rsidR="000D6FBF" w:rsidRPr="00400349">
        <w:rPr>
          <w:color w:val="auto"/>
        </w:rPr>
        <w:t>For example, the Royal Commission observed that the maximum penalty for offensive behaviour or language</w:t>
      </w:r>
      <w:r w:rsidR="00596759" w:rsidRPr="00400349">
        <w:rPr>
          <w:color w:val="auto"/>
        </w:rPr>
        <w:t xml:space="preserve"> (Summary Offences Act 1981, s 4(1))</w:t>
      </w:r>
      <w:r w:rsidR="000D6FBF" w:rsidRPr="00400349">
        <w:rPr>
          <w:color w:val="auto"/>
        </w:rPr>
        <w:t xml:space="preserve"> is </w:t>
      </w:r>
      <w:r w:rsidR="001B0FA7" w:rsidRPr="00400349">
        <w:rPr>
          <w:color w:val="auto"/>
        </w:rPr>
        <w:t xml:space="preserve">a fine of $1,000: </w:t>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70</w:t>
      </w:r>
      <w:r w:rsidR="00D1033A" w:rsidRPr="00400349">
        <w:rPr>
          <w:color w:val="auto"/>
        </w:rPr>
        <w:t>3</w:t>
      </w:r>
      <w:r w:rsidR="00EB2CD9" w:rsidRPr="00400349">
        <w:rPr>
          <w:color w:val="auto"/>
        </w:rPr>
        <w:t xml:space="preserve">; and </w:t>
      </w:r>
      <w:r w:rsidR="00203858" w:rsidRPr="00400349">
        <w:rPr>
          <w:color w:val="auto"/>
        </w:rPr>
        <w:t>William Young and Jacqui Caine</w:t>
      </w:r>
      <w:r w:rsidR="00203858" w:rsidRPr="00400349">
        <w:rPr>
          <w:i/>
          <w:iCs/>
          <w:color w:val="auto"/>
        </w:rPr>
        <w:t xml:space="preserve"> Hate speech and hate crime related legislation </w:t>
      </w:r>
      <w:r w:rsidR="00203858" w:rsidRPr="00400349">
        <w:rPr>
          <w:color w:val="auto"/>
        </w:rPr>
        <w:t>(Royal Commission of Inquiry into the terrorist attack on Christchurch masjidain on 15 March 2019</w:t>
      </w:r>
      <w:r w:rsidR="009C269F" w:rsidRPr="00400349">
        <w:rPr>
          <w:color w:val="auto"/>
        </w:rPr>
        <w:t>,</w:t>
      </w:r>
      <w:r w:rsidR="00203858" w:rsidRPr="00400349">
        <w:rPr>
          <w:color w:val="auto"/>
        </w:rPr>
        <w:t xml:space="preserve"> 26 November 2020)</w:t>
      </w:r>
      <w:r w:rsidR="00563AFA" w:rsidRPr="00400349">
        <w:rPr>
          <w:color w:val="auto"/>
        </w:rPr>
        <w:t xml:space="preserve"> </w:t>
      </w:r>
      <w:r w:rsidRPr="00400349">
        <w:rPr>
          <w:color w:val="auto"/>
        </w:rPr>
        <w:t xml:space="preserve">at </w:t>
      </w:r>
      <w:r w:rsidR="00260183" w:rsidRPr="00400349">
        <w:rPr>
          <w:color w:val="auto"/>
        </w:rPr>
        <w:t>1</w:t>
      </w:r>
      <w:r w:rsidR="004609A8" w:rsidRPr="00400349">
        <w:rPr>
          <w:color w:val="auto"/>
        </w:rPr>
        <w:t>3.</w:t>
      </w:r>
    </w:p>
  </w:footnote>
  <w:footnote w:id="303">
    <w:p w14:paraId="653DB8E1" w14:textId="77777777" w:rsidR="00490CFF" w:rsidRPr="00400349" w:rsidRDefault="00490CFF" w:rsidP="00490CFF">
      <w:pPr>
        <w:pStyle w:val="FootnoteText"/>
        <w:rPr>
          <w:color w:val="auto"/>
        </w:rPr>
      </w:pPr>
      <w:r w:rsidRPr="00400349">
        <w:rPr>
          <w:rStyle w:val="FootnoteReference"/>
        </w:rPr>
        <w:footnoteRef/>
      </w:r>
      <w:r w:rsidRPr="00400349">
        <w:t xml:space="preserve"> </w:t>
      </w:r>
      <w:r w:rsidRPr="00400349">
        <w:rPr>
          <w:lang w:val="en-US"/>
        </w:rPr>
        <w:tab/>
      </w:r>
      <w:r w:rsidRPr="00400349">
        <w:rPr>
          <w:color w:val="auto"/>
        </w:rPr>
        <w:t xml:space="preserve">Law Commission (England and Wales) </w:t>
      </w:r>
      <w:r w:rsidRPr="00400349">
        <w:rPr>
          <w:i/>
          <w:color w:val="auto"/>
        </w:rPr>
        <w:t>Hate crime laws: A consultation paper</w:t>
      </w:r>
      <w:r w:rsidRPr="00400349">
        <w:rPr>
          <w:color w:val="auto"/>
        </w:rPr>
        <w:t xml:space="preserve"> (CP250, 2020) at [16.24].</w:t>
      </w:r>
    </w:p>
  </w:footnote>
  <w:footnote w:id="304">
    <w:p w14:paraId="0BEA824F" w14:textId="149A18A7" w:rsidR="00490CFF" w:rsidRPr="00400349" w:rsidRDefault="00490CFF" w:rsidP="00490CFF">
      <w:pPr>
        <w:pStyle w:val="FootnoteText"/>
        <w:rPr>
          <w:lang w:val="en-US"/>
        </w:rPr>
      </w:pPr>
      <w:r w:rsidRPr="00400349">
        <w:rPr>
          <w:rStyle w:val="FootnoteReference"/>
        </w:rPr>
        <w:footnoteRef/>
      </w:r>
      <w:r w:rsidRPr="00400349">
        <w:t xml:space="preserve"> </w:t>
      </w:r>
      <w:r w:rsidRPr="00400349">
        <w:rPr>
          <w:lang w:val="en-US"/>
        </w:rPr>
        <w:tab/>
      </w:r>
      <w:r w:rsidRPr="00400349">
        <w:rPr>
          <w:color w:val="auto"/>
        </w:rPr>
        <w:t xml:space="preserve">Law Commission (England and Wales) </w:t>
      </w:r>
      <w:r w:rsidRPr="00400349">
        <w:rPr>
          <w:i/>
          <w:color w:val="auto"/>
        </w:rPr>
        <w:t>Hate crime laws: A consultation paper</w:t>
      </w:r>
      <w:r w:rsidRPr="00400349">
        <w:rPr>
          <w:color w:val="auto"/>
        </w:rPr>
        <w:t xml:space="preserve"> (CP250, 2020) </w:t>
      </w:r>
      <w:r w:rsidRPr="00400349">
        <w:rPr>
          <w:lang w:val="en-US"/>
        </w:rPr>
        <w:t>at [</w:t>
      </w:r>
      <w:r w:rsidRPr="00400349">
        <w:t>17.39].</w:t>
      </w:r>
      <w:r w:rsidR="00FD6C61" w:rsidRPr="00400349">
        <w:t xml:space="preserve"> See also </w:t>
      </w:r>
      <w:r w:rsidR="00FD6C61" w:rsidRPr="00400349">
        <w:rPr>
          <w:color w:val="auto"/>
        </w:rPr>
        <w:t xml:space="preserve">Law Commission (England and Wales) </w:t>
      </w:r>
      <w:r w:rsidR="00FD6C61" w:rsidRPr="00400349">
        <w:rPr>
          <w:i/>
          <w:color w:val="auto"/>
        </w:rPr>
        <w:t>Hate Crime: Should the Current Offences be Extended?</w:t>
      </w:r>
      <w:r w:rsidR="00FD6C61" w:rsidRPr="00400349">
        <w:rPr>
          <w:color w:val="auto"/>
        </w:rPr>
        <w:t xml:space="preserve"> (R348, 2014) at</w:t>
      </w:r>
      <w:r w:rsidR="00D4634D" w:rsidRPr="00400349">
        <w:rPr>
          <w:color w:val="auto"/>
        </w:rPr>
        <w:t xml:space="preserve"> [4.198].</w:t>
      </w:r>
    </w:p>
  </w:footnote>
  <w:footnote w:id="305">
    <w:p w14:paraId="550ECF85" w14:textId="26BBB59A"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Solicitor-General v Milne </w:t>
      </w:r>
      <w:r w:rsidRPr="00400349">
        <w:rPr>
          <w:color w:val="auto"/>
        </w:rPr>
        <w:t>[2020] NZCA 134</w:t>
      </w:r>
      <w:r w:rsidR="00616A01" w:rsidRPr="00400349">
        <w:rPr>
          <w:color w:val="auto"/>
        </w:rPr>
        <w:t xml:space="preserve"> at </w:t>
      </w:r>
      <w:r w:rsidR="00547033" w:rsidRPr="00400349">
        <w:rPr>
          <w:color w:val="auto"/>
        </w:rPr>
        <w:t xml:space="preserve">[22] and </w:t>
      </w:r>
      <w:r w:rsidR="00616A01" w:rsidRPr="00400349">
        <w:rPr>
          <w:color w:val="auto"/>
        </w:rPr>
        <w:t>[34]–[36]</w:t>
      </w:r>
      <w:r w:rsidRPr="00400349">
        <w:rPr>
          <w:color w:val="auto"/>
        </w:rPr>
        <w:t>.</w:t>
      </w:r>
    </w:p>
  </w:footnote>
  <w:footnote w:id="306">
    <w:p w14:paraId="343BF277" w14:textId="3DFF6D2B"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Galloway v R</w:t>
      </w:r>
      <w:r w:rsidRPr="00400349">
        <w:rPr>
          <w:color w:val="auto"/>
        </w:rPr>
        <w:t xml:space="preserve"> [2011] NZCA 309</w:t>
      </w:r>
      <w:r w:rsidR="007649F5" w:rsidRPr="00400349">
        <w:rPr>
          <w:color w:val="auto"/>
        </w:rPr>
        <w:t xml:space="preserve"> at [44]–[48]</w:t>
      </w:r>
      <w:r w:rsidRPr="00400349">
        <w:rPr>
          <w:color w:val="auto"/>
        </w:rPr>
        <w:t>.</w:t>
      </w:r>
    </w:p>
  </w:footnote>
  <w:footnote w:id="307">
    <w:p w14:paraId="1E3F7165" w14:textId="1A87F81F" w:rsidR="00914F4B" w:rsidRPr="00400349" w:rsidRDefault="00914F4B">
      <w:pPr>
        <w:pStyle w:val="FootnoteText"/>
      </w:pPr>
      <w:r w:rsidRPr="00400349">
        <w:rPr>
          <w:rStyle w:val="FootnoteReference"/>
        </w:rPr>
        <w:footnoteRef/>
      </w:r>
      <w:r w:rsidRPr="00400349">
        <w:t xml:space="preserve"> </w:t>
      </w:r>
      <w:r w:rsidRPr="00400349">
        <w:tab/>
        <w:t xml:space="preserve">Consultation Paper at </w:t>
      </w:r>
      <w:r w:rsidR="006D6A1B" w:rsidRPr="00400349">
        <w:t>[5.18]–[5.19].</w:t>
      </w:r>
    </w:p>
  </w:footnote>
  <w:footnote w:id="308">
    <w:p w14:paraId="019632FC" w14:textId="57755ECE" w:rsidR="00BA27EA" w:rsidRPr="00400349" w:rsidRDefault="00BA27EA">
      <w:pPr>
        <w:pStyle w:val="FootnoteText"/>
      </w:pPr>
      <w:r w:rsidRPr="00400349">
        <w:rPr>
          <w:rStyle w:val="FootnoteReference"/>
        </w:rPr>
        <w:footnoteRef/>
      </w:r>
      <w:r w:rsidRPr="00400349">
        <w:t xml:space="preserve"> </w:t>
      </w:r>
      <w:r w:rsidR="00A57441" w:rsidRPr="00400349">
        <w:tab/>
      </w:r>
      <w:r w:rsidR="002A372C" w:rsidRPr="00400349">
        <w:t>A</w:t>
      </w:r>
      <w:r w:rsidR="00A57441" w:rsidRPr="00400349">
        <w:t>t [5.</w:t>
      </w:r>
      <w:r w:rsidR="00FC2892" w:rsidRPr="00400349">
        <w:t>21] and [5.23].</w:t>
      </w:r>
    </w:p>
  </w:footnote>
  <w:footnote w:id="309">
    <w:p w14:paraId="24A6B8D1" w14:textId="7777777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Donald Beasley Institute and People First New Zealand (joint submission); Inclusive Aotearoa Collective Tāhono; Justice for Palestine, Alternative Jewish Voices and Dayenu (joint submission); Pride in Law Otago; and Submission 26.</w:t>
      </w:r>
    </w:p>
  </w:footnote>
  <w:footnote w:id="310">
    <w:p w14:paraId="2B0CF169" w14:textId="77777777" w:rsidR="003C4BEE" w:rsidRPr="00400349" w:rsidRDefault="003C4BEE">
      <w:pPr>
        <w:pStyle w:val="FootnoteText"/>
      </w:pPr>
      <w:r w:rsidRPr="00400349">
        <w:rPr>
          <w:rStyle w:val="FootnoteReference"/>
        </w:rPr>
        <w:footnoteRef/>
      </w:r>
      <w:r w:rsidRPr="00400349">
        <w:t xml:space="preserve"> </w:t>
      </w:r>
      <w:r w:rsidRPr="00400349">
        <w:tab/>
        <w:t xml:space="preserve">We </w:t>
      </w:r>
      <w:r w:rsidR="005D7ADA" w:rsidRPr="00400349">
        <w:t xml:space="preserve">heard this </w:t>
      </w:r>
      <w:r w:rsidR="00685DC1" w:rsidRPr="00400349">
        <w:t xml:space="preserve">from </w:t>
      </w:r>
      <w:r w:rsidR="00485073" w:rsidRPr="00400349">
        <w:t>organisations we met with during consultation and from the following submitters</w:t>
      </w:r>
      <w:r w:rsidR="000C6661" w:rsidRPr="00400349">
        <w:t xml:space="preserve">: </w:t>
      </w:r>
      <w:r w:rsidR="00987102" w:rsidRPr="00400349">
        <w:t xml:space="preserve">Disabled Persons Assembly and VisAble (joint submission); </w:t>
      </w:r>
      <w:r w:rsidR="00C13E94" w:rsidRPr="00400349">
        <w:t>Donald Beasley Institute and People First New Zealand (joint submission);</w:t>
      </w:r>
      <w:r w:rsidR="000C6661" w:rsidRPr="00400349">
        <w:t xml:space="preserve"> Inclusive Aotearoa Collective Tāhono; </w:t>
      </w:r>
      <w:r w:rsidR="00C13E94" w:rsidRPr="00400349">
        <w:t xml:space="preserve">Submission 26; </w:t>
      </w:r>
      <w:r w:rsidR="00987102" w:rsidRPr="00400349">
        <w:t xml:space="preserve">and </w:t>
      </w:r>
      <w:r w:rsidR="000C6661" w:rsidRPr="00400349">
        <w:t>Whaikaha | Ministry of Disabled People</w:t>
      </w:r>
      <w:r w:rsidR="00987102" w:rsidRPr="00400349">
        <w:t>.</w:t>
      </w:r>
    </w:p>
  </w:footnote>
  <w:footnote w:id="311">
    <w:p w14:paraId="38CD8CE1" w14:textId="77777777" w:rsidR="007B6872" w:rsidRPr="00400349" w:rsidRDefault="007B6872" w:rsidP="007B687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Donald Beasley Institute and People First New Zealand (joint submission); and Submission 43.</w:t>
      </w:r>
    </w:p>
  </w:footnote>
  <w:footnote w:id="312">
    <w:p w14:paraId="40A256CD" w14:textId="77777777" w:rsidR="007B6872" w:rsidRPr="00400349" w:rsidRDefault="007B6872" w:rsidP="007B687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Sanjana Hattotuwa.</w:t>
      </w:r>
    </w:p>
  </w:footnote>
  <w:footnote w:id="313">
    <w:p w14:paraId="339C6A0E" w14:textId="77777777" w:rsidR="00E070FC" w:rsidRPr="00400349" w:rsidRDefault="00E070FC" w:rsidP="00E070F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and The Law Association of New Zealand Public and Administrative Law Committee.</w:t>
      </w:r>
    </w:p>
  </w:footnote>
  <w:footnote w:id="314">
    <w:p w14:paraId="129D60C6" w14:textId="77777777" w:rsidR="00E070FC" w:rsidRPr="00400349" w:rsidRDefault="00E070FC" w:rsidP="00E070F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Kyle R Matthews; Te Kāhui Ture o Aotearoa | New Zealand Law Society; Submission 26; Submission 43; Submission 90; and The Law Association of New Zealand Public and Administrative Law Committee.</w:t>
      </w:r>
    </w:p>
  </w:footnote>
  <w:footnote w:id="315">
    <w:p w14:paraId="79E015E2" w14:textId="3C3720F3" w:rsidR="0065298B" w:rsidRPr="00400349" w:rsidRDefault="0065298B">
      <w:pPr>
        <w:pStyle w:val="FootnoteText"/>
      </w:pPr>
      <w:r w:rsidRPr="00400349">
        <w:rPr>
          <w:rStyle w:val="FootnoteReference"/>
        </w:rPr>
        <w:footnoteRef/>
      </w:r>
      <w:r w:rsidRPr="00400349">
        <w:t xml:space="preserve"> </w:t>
      </w:r>
      <w:r w:rsidRPr="00400349">
        <w:tab/>
      </w:r>
      <w:r w:rsidRPr="00400349">
        <w:rPr>
          <w:color w:val="auto"/>
        </w:rPr>
        <w:t xml:space="preserve">Susann Wiedlitzka, Angela Higginson and Kathryn Benier </w:t>
      </w:r>
      <w:r w:rsidRPr="00400349">
        <w:rPr>
          <w:i/>
          <w:iCs/>
          <w:color w:val="auto"/>
        </w:rPr>
        <w:t xml:space="preserve">The New Zealand Youth Safety Survey: Research Briefing Note </w:t>
      </w:r>
      <w:r w:rsidRPr="00400349">
        <w:rPr>
          <w:color w:val="auto"/>
        </w:rPr>
        <w:t xml:space="preserve">(University of Auckland, March 2025) (unpublished). </w:t>
      </w:r>
      <w:r w:rsidR="006616C3" w:rsidRPr="00400349">
        <w:rPr>
          <w:color w:val="auto"/>
        </w:rPr>
        <w:t xml:space="preserve">The </w:t>
      </w:r>
      <w:r w:rsidR="00F57356" w:rsidRPr="00400349">
        <w:rPr>
          <w:color w:val="auto"/>
        </w:rPr>
        <w:t>survey included</w:t>
      </w:r>
      <w:r w:rsidR="006616C3" w:rsidRPr="00400349">
        <w:t xml:space="preserve"> 820 young people aged 14 to 25. </w:t>
      </w:r>
      <w:r w:rsidRPr="00400349">
        <w:rPr>
          <w:color w:val="auto"/>
        </w:rPr>
        <w:t xml:space="preserve">At the time this Report was finalised, the survey results had not yet been published. The authors provided us with an advance briefing note so that we could refer to the survey data. We are grateful for their assistance.  </w:t>
      </w:r>
      <w:r w:rsidRPr="00400349">
        <w:tab/>
      </w:r>
    </w:p>
  </w:footnote>
  <w:footnote w:id="316">
    <w:p w14:paraId="76FE8540" w14:textId="525CA23D" w:rsidR="00AC7CF6" w:rsidRPr="00400349" w:rsidRDefault="00AC7CF6">
      <w:pPr>
        <w:pStyle w:val="FootnoteText"/>
      </w:pPr>
      <w:r w:rsidRPr="00400349">
        <w:rPr>
          <w:rStyle w:val="FootnoteReference"/>
        </w:rPr>
        <w:footnoteRef/>
      </w:r>
      <w:r w:rsidRPr="00400349">
        <w:t xml:space="preserve"> </w:t>
      </w:r>
      <w:r w:rsidRPr="00400349">
        <w:tab/>
      </w:r>
      <w:r w:rsidRPr="00400349">
        <w:rPr>
          <w:color w:val="auto"/>
        </w:rPr>
        <w:t>‘Hate violence’ was described in the survey as follows: “Someone committed physical violence against you, because of your religion, the language you speak, the colour of your skin, your social background, your gender or sexuality, your disability, or for similar reasons.”</w:t>
      </w:r>
      <w:r w:rsidR="00415486" w:rsidRPr="00400349">
        <w:rPr>
          <w:color w:val="auto"/>
        </w:rPr>
        <w:t xml:space="preserve"> Ten</w:t>
      </w:r>
      <w:r w:rsidR="00415486" w:rsidRPr="00400349">
        <w:t xml:space="preserve"> per cent of respondents said they had experienced hate violence at some point in their lives.</w:t>
      </w:r>
    </w:p>
  </w:footnote>
  <w:footnote w:id="317">
    <w:p w14:paraId="4260AEE4" w14:textId="673160E5" w:rsidR="00CB005E" w:rsidRPr="00400349" w:rsidRDefault="00CB005E" w:rsidP="00CB005E">
      <w:pPr>
        <w:pStyle w:val="FootnoteText"/>
      </w:pPr>
      <w:r w:rsidRPr="00400349">
        <w:rPr>
          <w:rStyle w:val="FootnoteReference"/>
        </w:rPr>
        <w:footnoteRef/>
      </w:r>
      <w:r w:rsidRPr="00400349">
        <w:t xml:space="preserve"> </w:t>
      </w:r>
      <w:r w:rsidRPr="00400349">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w:t>
      </w:r>
      <w:r w:rsidR="009C4E74" w:rsidRPr="00400349">
        <w:rPr>
          <w:color w:val="auto"/>
        </w:rPr>
        <w:t>15</w:t>
      </w:r>
      <w:r w:rsidR="00300E6A" w:rsidRPr="00400349">
        <w:rPr>
          <w:color w:val="auto"/>
        </w:rPr>
        <w:t>.</w:t>
      </w:r>
    </w:p>
  </w:footnote>
  <w:footnote w:id="318">
    <w:p w14:paraId="7FD245C5" w14:textId="7D3C5A94" w:rsidR="003E71A6" w:rsidRPr="00400349" w:rsidRDefault="003E71A6" w:rsidP="003E71A6">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70</w:t>
      </w:r>
      <w:r w:rsidR="007E18A1" w:rsidRPr="00400349">
        <w:rPr>
          <w:color w:val="auto"/>
        </w:rPr>
        <w:t>3</w:t>
      </w:r>
      <w:r w:rsidR="00EB2CD9" w:rsidRPr="00400349">
        <w:rPr>
          <w:color w:val="auto"/>
        </w:rPr>
        <w:t xml:space="preserve">; and </w:t>
      </w:r>
      <w:r w:rsidR="00FA6041" w:rsidRPr="00400349">
        <w:rPr>
          <w:color w:val="auto"/>
        </w:rPr>
        <w:t>William Young and Jacqui Caine</w:t>
      </w:r>
      <w:r w:rsidR="00FA6041" w:rsidRPr="00400349">
        <w:rPr>
          <w:i/>
          <w:iCs/>
          <w:color w:val="auto"/>
        </w:rPr>
        <w:t xml:space="preserve"> Hate speech and hate crime related legislation </w:t>
      </w:r>
      <w:r w:rsidR="00FA6041" w:rsidRPr="00400349">
        <w:rPr>
          <w:color w:val="auto"/>
        </w:rPr>
        <w:t>(Royal Commission of Inquiry into the terrorist attack on Christchurch masjidain on 15 March 2019</w:t>
      </w:r>
      <w:r w:rsidR="009C269F" w:rsidRPr="00400349">
        <w:rPr>
          <w:color w:val="auto"/>
        </w:rPr>
        <w:t>,</w:t>
      </w:r>
      <w:r w:rsidR="00FA6041" w:rsidRPr="00400349">
        <w:rPr>
          <w:color w:val="auto"/>
        </w:rPr>
        <w:t xml:space="preserve"> 26 November 2020)</w:t>
      </w:r>
      <w:r w:rsidR="0081763F" w:rsidRPr="00400349">
        <w:rPr>
          <w:color w:val="auto"/>
        </w:rPr>
        <w:t xml:space="preserve"> </w:t>
      </w:r>
      <w:r w:rsidRPr="00400349">
        <w:rPr>
          <w:color w:val="auto"/>
        </w:rPr>
        <w:t xml:space="preserve">at </w:t>
      </w:r>
      <w:r w:rsidR="00300E6A" w:rsidRPr="00400349">
        <w:rPr>
          <w:color w:val="auto"/>
        </w:rPr>
        <w:t>17.</w:t>
      </w:r>
    </w:p>
  </w:footnote>
  <w:footnote w:id="319">
    <w:p w14:paraId="6173D347" w14:textId="7777777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[5.19].</w:t>
      </w:r>
    </w:p>
  </w:footnote>
  <w:footnote w:id="320">
    <w:p w14:paraId="636B62F1" w14:textId="77777777" w:rsidR="00900740" w:rsidRPr="00400349" w:rsidRDefault="00900740" w:rsidP="00900740">
      <w:pPr>
        <w:pStyle w:val="FootnoteText"/>
        <w:rPr>
          <w:i/>
          <w:iCs/>
          <w:color w:val="auto"/>
        </w:rPr>
      </w:pPr>
      <w:r w:rsidRPr="00400349">
        <w:rPr>
          <w:rStyle w:val="FootnoteReference"/>
          <w:color w:val="auto"/>
        </w:rPr>
        <w:footnoteRef/>
      </w:r>
      <w:r w:rsidRPr="00400349">
        <w:rPr>
          <w:color w:val="auto"/>
        </w:rPr>
        <w:t xml:space="preserve"> </w:t>
      </w:r>
      <w:r w:rsidRPr="00400349">
        <w:rPr>
          <w:color w:val="auto"/>
        </w:rPr>
        <w:tab/>
        <w:t xml:space="preserve">See for example Rune Ellefsen, Kristina Os and Mona Hovland Jakobsen “Reporting Anti-LGBTQI Hate Crime to the Police: First-Hand Experiences and Reasons for not Reporting (2024) 11(1) Nordic Journal of Studies in Policing 1; and Neil Chakraborti, Jon Garland and Stevie-Jade Hardy </w:t>
      </w:r>
      <w:r w:rsidRPr="00400349">
        <w:rPr>
          <w:i/>
          <w:iCs/>
          <w:color w:val="auto"/>
        </w:rPr>
        <w:t>The Leicester Hate Crime Project: Findings and Conclusions</w:t>
      </w:r>
      <w:r w:rsidRPr="00400349">
        <w:rPr>
          <w:color w:val="auto"/>
        </w:rPr>
        <w:t xml:space="preserve"> (University of Leicester, September 2014) at 72–73.</w:t>
      </w:r>
    </w:p>
  </w:footnote>
  <w:footnote w:id="321">
    <w:p w14:paraId="7E8C8BE0" w14:textId="3EB6DF82" w:rsidR="002E73D3" w:rsidRPr="00400349" w:rsidRDefault="002E73D3">
      <w:pPr>
        <w:pStyle w:val="FootnoteText"/>
      </w:pPr>
      <w:r w:rsidRPr="00400349">
        <w:rPr>
          <w:rStyle w:val="FootnoteReference"/>
        </w:rPr>
        <w:footnoteRef/>
      </w:r>
      <w:r w:rsidRPr="00400349">
        <w:t xml:space="preserve"> </w:t>
      </w:r>
      <w:r w:rsidRPr="00400349">
        <w:tab/>
      </w:r>
      <w:r w:rsidRPr="00400349">
        <w:rPr>
          <w:color w:val="auto"/>
        </w:rPr>
        <w:t xml:space="preserve">Te Tāhū o te Ture | Ministry of Justice </w:t>
      </w:r>
      <w:r w:rsidRPr="00400349">
        <w:rPr>
          <w:i/>
          <w:iCs/>
          <w:color w:val="auto"/>
        </w:rPr>
        <w:t>NZCVS Key results: 2024 (Cycle 7)</w:t>
      </w:r>
      <w:r w:rsidRPr="00400349">
        <w:rPr>
          <w:color w:val="auto"/>
        </w:rPr>
        <w:t xml:space="preserve"> (25 February 2025) at 30.</w:t>
      </w:r>
    </w:p>
  </w:footnote>
  <w:footnote w:id="322">
    <w:p w14:paraId="337D2CBA" w14:textId="08A946C3" w:rsidR="007C1CFD" w:rsidRPr="00400349" w:rsidRDefault="007C1CFD" w:rsidP="007C1CFD">
      <w:pPr>
        <w:pStyle w:val="FootnoteText"/>
        <w:rPr>
          <w:color w:val="auto"/>
        </w:rPr>
      </w:pPr>
      <w:r w:rsidRPr="00400349">
        <w:rPr>
          <w:rStyle w:val="FootnoteReference"/>
          <w:color w:val="auto"/>
        </w:rPr>
        <w:footnoteRef/>
      </w:r>
      <w:r w:rsidR="003E71A6" w:rsidRPr="00400349">
        <w:rPr>
          <w:color w:val="auto"/>
        </w:rPr>
        <w:t xml:space="preserve"> </w:t>
      </w:r>
      <w:r w:rsidR="003E71A6" w:rsidRPr="00400349">
        <w:rPr>
          <w:color w:val="auto"/>
        </w:rPr>
        <w:tab/>
        <w:t xml:space="preserve">Te </w:t>
      </w:r>
      <w:r w:rsidR="00CD5CD4" w:rsidRPr="00400349">
        <w:rPr>
          <w:color w:val="auto"/>
        </w:rPr>
        <w:t>Tāh</w:t>
      </w:r>
      <w:r w:rsidR="00546D3F" w:rsidRPr="00400349">
        <w:rPr>
          <w:color w:val="auto"/>
        </w:rPr>
        <w:t>ū</w:t>
      </w:r>
      <w:r w:rsidR="003E71A6" w:rsidRPr="00400349">
        <w:rPr>
          <w:color w:val="auto"/>
        </w:rPr>
        <w:t xml:space="preserve"> o te Ture | Ministry of Justice </w:t>
      </w:r>
      <w:r w:rsidR="003E71A6" w:rsidRPr="00400349">
        <w:rPr>
          <w:i/>
          <w:iCs/>
          <w:color w:val="auto"/>
        </w:rPr>
        <w:t>NZCVS Key results: 2025 (Cycle 8)</w:t>
      </w:r>
      <w:r w:rsidR="003E71A6" w:rsidRPr="00400349">
        <w:rPr>
          <w:color w:val="auto"/>
        </w:rPr>
        <w:t xml:space="preserve"> (March 2026) at 24.</w:t>
      </w:r>
    </w:p>
  </w:footnote>
  <w:footnote w:id="323">
    <w:p w14:paraId="4529837E" w14:textId="2846DD5A" w:rsidR="000C70F6" w:rsidRPr="00400349" w:rsidRDefault="000C70F6">
      <w:pPr>
        <w:pStyle w:val="FootnoteText"/>
      </w:pPr>
      <w:r w:rsidRPr="00400349">
        <w:rPr>
          <w:rStyle w:val="FootnoteReference"/>
        </w:rPr>
        <w:footnoteRef/>
      </w:r>
      <w:r w:rsidRPr="00400349">
        <w:t xml:space="preserve"> </w:t>
      </w:r>
      <w:r w:rsidRPr="00400349">
        <w:tab/>
        <w:t>The ‘Disability and Special Considerations’ flag has been live since November 2024. Police advised us that a public promotion, allowing people to share their disability information with Police, will launch in mid-2026.</w:t>
      </w:r>
    </w:p>
  </w:footnote>
  <w:footnote w:id="324">
    <w:p w14:paraId="51D22FAF" w14:textId="6A96DF0A" w:rsidR="009722D2" w:rsidRPr="00400349" w:rsidRDefault="009722D2" w:rsidP="009722D2">
      <w:pPr>
        <w:pStyle w:val="FootnoteText"/>
      </w:pPr>
      <w:r w:rsidRPr="00400349">
        <w:rPr>
          <w:rStyle w:val="FootnoteReference"/>
        </w:rPr>
        <w:footnoteRef/>
      </w:r>
      <w:r w:rsidRPr="00400349">
        <w:t xml:space="preserve"> </w:t>
      </w:r>
      <w:r w:rsidRPr="00400349">
        <w:tab/>
      </w:r>
      <w:r w:rsidR="00283BDE" w:rsidRPr="00400349">
        <w:t>See further the Police</w:t>
      </w:r>
      <w:r w:rsidRPr="00400349">
        <w:t xml:space="preserve"> Disability Roadmap: </w:t>
      </w:r>
      <w:r w:rsidRPr="00400349">
        <w:rPr>
          <w:color w:val="auto"/>
        </w:rPr>
        <w:t>Ngā Pirihimana o Aotearoa | New Zealand Police “Disability Roadmap 2026” (April 2026) &lt;www.police.govt.nz&gt;.</w:t>
      </w:r>
    </w:p>
  </w:footnote>
  <w:footnote w:id="325">
    <w:p w14:paraId="49F558AA" w14:textId="77777777" w:rsidR="007C1CFD" w:rsidRPr="00400349" w:rsidRDefault="007C1CFD" w:rsidP="007C1CFD">
      <w:pPr>
        <w:pStyle w:val="FootnoteText"/>
        <w:rPr>
          <w:color w:val="auto"/>
        </w:rPr>
      </w:pPr>
      <w:r w:rsidRPr="00400349">
        <w:rPr>
          <w:rStyle w:val="FootnoteReference"/>
          <w:color w:val="auto"/>
        </w:rPr>
        <w:footnoteRef/>
      </w:r>
      <w:r w:rsidR="003E71A6" w:rsidRPr="00400349">
        <w:rPr>
          <w:color w:val="auto"/>
        </w:rPr>
        <w:t xml:space="preserve"> </w:t>
      </w:r>
      <w:r w:rsidR="003E71A6" w:rsidRPr="00400349">
        <w:rPr>
          <w:color w:val="auto"/>
        </w:rPr>
        <w:tab/>
        <w:t xml:space="preserve">Ngā Pirihimana o Aotearoa | New Zealand Police </w:t>
      </w:r>
      <w:r w:rsidR="003E71A6" w:rsidRPr="00400349">
        <w:rPr>
          <w:i/>
        </w:rPr>
        <w:t>Ethnic Strategy — Working Together with Ethnic Communities</w:t>
      </w:r>
      <w:r w:rsidR="003E71A6" w:rsidRPr="00400349">
        <w:rPr>
          <w:i/>
          <w:iCs/>
          <w:color w:val="auto"/>
        </w:rPr>
        <w:t xml:space="preserve"> </w:t>
      </w:r>
      <w:r w:rsidR="003E71A6" w:rsidRPr="00400349">
        <w:rPr>
          <w:color w:val="auto"/>
        </w:rPr>
        <w:t>(2024).</w:t>
      </w:r>
    </w:p>
  </w:footnote>
  <w:footnote w:id="326">
    <w:p w14:paraId="645740CE" w14:textId="77777777" w:rsidR="007C1CFD" w:rsidRPr="00400349" w:rsidRDefault="007C1CFD" w:rsidP="007C1CFD">
      <w:pPr>
        <w:pStyle w:val="FootnoteText"/>
        <w:rPr>
          <w:color w:val="auto"/>
        </w:rPr>
      </w:pPr>
      <w:r w:rsidRPr="00400349">
        <w:rPr>
          <w:rStyle w:val="FootnoteReference"/>
          <w:color w:val="auto"/>
        </w:rPr>
        <w:footnoteRef/>
      </w:r>
      <w:r w:rsidR="003E71A6" w:rsidRPr="00400349">
        <w:rPr>
          <w:color w:val="auto"/>
        </w:rPr>
        <w:t xml:space="preserve"> </w:t>
      </w:r>
      <w:r w:rsidR="003E71A6" w:rsidRPr="00400349">
        <w:rPr>
          <w:color w:val="auto"/>
        </w:rPr>
        <w:tab/>
        <w:t xml:space="preserve">Ngā Pirihimana o Aotearoa | New Zealand Police </w:t>
      </w:r>
      <w:r w:rsidR="003E71A6" w:rsidRPr="00400349">
        <w:rPr>
          <w:i/>
        </w:rPr>
        <w:t>Pasifika Strategy — O Le Taeao Fou: Dawn of a New Day</w:t>
      </w:r>
      <w:r w:rsidR="003E71A6" w:rsidRPr="00400349">
        <w:rPr>
          <w:color w:val="auto"/>
        </w:rPr>
        <w:t xml:space="preserve"> (2024).</w:t>
      </w:r>
    </w:p>
  </w:footnote>
  <w:footnote w:id="327">
    <w:p w14:paraId="025E10E2" w14:textId="77777777" w:rsidR="007C1CFD" w:rsidRPr="00400349" w:rsidRDefault="007C1CFD" w:rsidP="007C1CFD">
      <w:pPr>
        <w:pStyle w:val="FootnoteText"/>
        <w:rPr>
          <w:color w:val="auto"/>
        </w:rPr>
      </w:pPr>
      <w:r w:rsidRPr="00400349">
        <w:rPr>
          <w:rStyle w:val="FootnoteReference"/>
          <w:color w:val="auto"/>
        </w:rPr>
        <w:footnoteRef/>
      </w:r>
      <w:r w:rsidR="003E71A6" w:rsidRPr="00400349">
        <w:rPr>
          <w:color w:val="auto"/>
        </w:rPr>
        <w:t xml:space="preserve"> </w:t>
      </w:r>
      <w:r w:rsidR="003E71A6" w:rsidRPr="00400349">
        <w:rPr>
          <w:color w:val="auto"/>
        </w:rPr>
        <w:tab/>
        <w:t>Ngā Pirihimana o Aotearoa | New Zealand Police “</w:t>
      </w:r>
      <w:r w:rsidR="003E71A6" w:rsidRPr="00400349">
        <w:t>Standing Together Against Hate</w:t>
      </w:r>
      <w:r w:rsidR="003E71A6" w:rsidRPr="00400349">
        <w:rPr>
          <w:color w:val="auto"/>
        </w:rPr>
        <w:t>” &lt;www.police.govt.nz&gt;.</w:t>
      </w:r>
    </w:p>
  </w:footnote>
  <w:footnote w:id="328">
    <w:p w14:paraId="641B9ED6" w14:textId="77777777" w:rsidR="009E659A" w:rsidRPr="00400349" w:rsidRDefault="009E659A" w:rsidP="009E659A">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[5.57].</w:t>
      </w:r>
    </w:p>
  </w:footnote>
  <w:footnote w:id="329">
    <w:p w14:paraId="12A96DC2" w14:textId="77777777" w:rsidR="009E659A" w:rsidRPr="00400349" w:rsidRDefault="009E659A" w:rsidP="009E659A">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Pride in Law Otago; and Te Kāhui o Ināia Tonu Nei Charitable Trust.</w:t>
      </w:r>
    </w:p>
  </w:footnote>
  <w:footnote w:id="330">
    <w:p w14:paraId="08E4622E" w14:textId="77777777" w:rsidR="009E659A" w:rsidRPr="00400349" w:rsidRDefault="009E659A" w:rsidP="009E659A">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Russell Hoban; Justice for Palestine, Alternative Jewish Voices and Dayenu (joint submission); Pride in Law Otago; Te Kāhui o Ināia Tonu Nei Charitable Trust; and The Law Association of New Zealand Criminal Law Committee.</w:t>
      </w:r>
    </w:p>
  </w:footnote>
  <w:footnote w:id="331">
    <w:p w14:paraId="3C9722C1" w14:textId="77777777" w:rsidR="009E659A" w:rsidRPr="00400349" w:rsidRDefault="009E659A" w:rsidP="009E659A">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Annette Sykes &amp; Co; and Submission 90.</w:t>
      </w:r>
    </w:p>
  </w:footnote>
  <w:footnote w:id="332">
    <w:p w14:paraId="63DC28E7" w14:textId="42B22C3C"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EB2CD9" w:rsidRPr="00400349">
        <w:rPr>
          <w:color w:val="auto"/>
        </w:rPr>
        <w:t>at 70</w:t>
      </w:r>
      <w:r w:rsidR="00CA403E" w:rsidRPr="00400349">
        <w:rPr>
          <w:color w:val="auto"/>
        </w:rPr>
        <w:t>3</w:t>
      </w:r>
      <w:r w:rsidR="00EB2CD9" w:rsidRPr="00400349">
        <w:rPr>
          <w:color w:val="auto"/>
        </w:rPr>
        <w:t xml:space="preserve">; and </w:t>
      </w:r>
      <w:r w:rsidR="00FA6041" w:rsidRPr="00400349">
        <w:rPr>
          <w:color w:val="auto"/>
        </w:rPr>
        <w:t>William Young and Jacqui Caine</w:t>
      </w:r>
      <w:r w:rsidR="00FA6041" w:rsidRPr="00400349">
        <w:rPr>
          <w:i/>
          <w:iCs/>
          <w:color w:val="auto"/>
        </w:rPr>
        <w:t xml:space="preserve"> Hate speech and hate crime related legislation </w:t>
      </w:r>
      <w:r w:rsidR="00FA6041" w:rsidRPr="00400349">
        <w:rPr>
          <w:color w:val="auto"/>
        </w:rPr>
        <w:t>(Royal Commission of Inquiry into the terrorist attack on Christchurch masjidain on 15 March 2019</w:t>
      </w:r>
      <w:r w:rsidR="004A0099" w:rsidRPr="00400349">
        <w:rPr>
          <w:color w:val="auto"/>
        </w:rPr>
        <w:t>,</w:t>
      </w:r>
      <w:r w:rsidR="00FA6041" w:rsidRPr="00400349">
        <w:rPr>
          <w:color w:val="auto"/>
        </w:rPr>
        <w:t xml:space="preserve"> 26 November 2020)</w:t>
      </w:r>
      <w:r w:rsidR="0081763F" w:rsidRPr="00400349">
        <w:rPr>
          <w:color w:val="auto"/>
        </w:rPr>
        <w:t xml:space="preserve"> </w:t>
      </w:r>
      <w:r w:rsidR="00F2558C" w:rsidRPr="00400349">
        <w:rPr>
          <w:color w:val="auto"/>
        </w:rPr>
        <w:t>at 13.</w:t>
      </w:r>
    </w:p>
  </w:footnote>
  <w:footnote w:id="333">
    <w:p w14:paraId="101A22AD" w14:textId="35C22881"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FA6041" w:rsidRPr="00400349">
        <w:rPr>
          <w:color w:val="auto"/>
        </w:rPr>
        <w:t>William Young and Jacqui Caine</w:t>
      </w:r>
      <w:r w:rsidR="00FA6041" w:rsidRPr="00400349">
        <w:rPr>
          <w:i/>
          <w:iCs/>
          <w:color w:val="auto"/>
        </w:rPr>
        <w:t xml:space="preserve"> Hate speech and hate crime related legislation </w:t>
      </w:r>
      <w:r w:rsidR="00FA6041" w:rsidRPr="00400349">
        <w:rPr>
          <w:color w:val="auto"/>
        </w:rPr>
        <w:t>(Royal Commission of Inquiry into the terrorist attack on Christchurch masjidain on 15 March 2019</w:t>
      </w:r>
      <w:r w:rsidR="004A0099" w:rsidRPr="00400349">
        <w:rPr>
          <w:color w:val="auto"/>
        </w:rPr>
        <w:t>,</w:t>
      </w:r>
      <w:r w:rsidR="00FA6041" w:rsidRPr="00400349">
        <w:rPr>
          <w:color w:val="auto"/>
        </w:rPr>
        <w:t xml:space="preserve"> 26 November 2020)</w:t>
      </w:r>
      <w:r w:rsidR="0081763F" w:rsidRPr="00400349">
        <w:rPr>
          <w:color w:val="auto"/>
        </w:rPr>
        <w:t xml:space="preserve"> </w:t>
      </w:r>
      <w:r w:rsidRPr="00400349">
        <w:rPr>
          <w:color w:val="auto"/>
        </w:rPr>
        <w:t>at 17.</w:t>
      </w:r>
    </w:p>
  </w:footnote>
  <w:footnote w:id="334">
    <w:p w14:paraId="3F41FE02" w14:textId="3737D827"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Corrections Act 2004 provides that one of the purposes of the corrections system is to improve public safety and contribute to the maintenance of a just society by “assisting in the</w:t>
      </w:r>
      <w:r w:rsidRPr="00400349">
        <w:rPr>
          <w:rFonts w:ascii="Calibri" w:hAnsi="Calibri" w:cs="Calibri"/>
          <w:color w:val="auto"/>
        </w:rPr>
        <w:t> </w:t>
      </w:r>
      <w:r w:rsidRPr="00400349">
        <w:rPr>
          <w:color w:val="auto"/>
        </w:rPr>
        <w:t>rehabilitation</w:t>
      </w:r>
      <w:r w:rsidRPr="00400349">
        <w:rPr>
          <w:rFonts w:ascii="Calibri" w:hAnsi="Calibri" w:cs="Calibri"/>
          <w:color w:val="auto"/>
        </w:rPr>
        <w:t> </w:t>
      </w:r>
      <w:r w:rsidRPr="00400349">
        <w:rPr>
          <w:color w:val="auto"/>
        </w:rPr>
        <w:t>of offenders and</w:t>
      </w:r>
      <w:r w:rsidRPr="00400349">
        <w:rPr>
          <w:rFonts w:ascii="Calibri" w:hAnsi="Calibri" w:cs="Calibri"/>
          <w:color w:val="auto"/>
        </w:rPr>
        <w:t> </w:t>
      </w:r>
      <w:r w:rsidRPr="00400349">
        <w:rPr>
          <w:color w:val="auto"/>
        </w:rPr>
        <w:t>the reintegration of persons under control or supervision</w:t>
      </w:r>
      <w:r w:rsidRPr="00400349">
        <w:rPr>
          <w:rFonts w:ascii="Calibri" w:hAnsi="Calibri" w:cs="Calibri"/>
          <w:color w:val="auto"/>
        </w:rPr>
        <w:t> </w:t>
      </w:r>
      <w:r w:rsidRPr="00400349">
        <w:rPr>
          <w:color w:val="auto"/>
        </w:rPr>
        <w:t>into the community, where appropriate, and so far as is reasonable and practicable in the circumstances and within the resources available, through the provision of programmes and other interventions”</w:t>
      </w:r>
      <w:r w:rsidR="00D17926" w:rsidRPr="00400349">
        <w:rPr>
          <w:color w:val="auto"/>
        </w:rPr>
        <w:t>:</w:t>
      </w:r>
      <w:r w:rsidRPr="00400349" w:rsidDel="00D17926">
        <w:rPr>
          <w:color w:val="auto"/>
        </w:rPr>
        <w:t xml:space="preserve"> </w:t>
      </w:r>
      <w:r w:rsidRPr="00400349">
        <w:rPr>
          <w:color w:val="auto"/>
        </w:rPr>
        <w:t>s 5(1)(c</w:t>
      </w:r>
      <w:r w:rsidRPr="00400349" w:rsidDel="00D17926">
        <w:rPr>
          <w:color w:val="auto"/>
        </w:rPr>
        <w:t>)</w:t>
      </w:r>
      <w:r w:rsidRPr="00400349">
        <w:rPr>
          <w:color w:val="auto"/>
        </w:rPr>
        <w:t>.</w:t>
      </w:r>
    </w:p>
  </w:footnote>
  <w:footnote w:id="335">
    <w:p w14:paraId="61BA6A2B" w14:textId="1689061E"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Provision of hate crime rehabilitation programmes is limited in other jurisdictions and there are few comprehensive evaluations. See for example Mark Walters, Rupert Brown and Susann</w:t>
      </w:r>
      <w:r w:rsidRPr="00400349">
        <w:rPr>
          <w:rFonts w:ascii="Calibri" w:hAnsi="Calibri" w:cs="Calibri"/>
          <w:color w:val="auto"/>
        </w:rPr>
        <w:t> </w:t>
      </w:r>
      <w:r w:rsidRPr="00400349">
        <w:rPr>
          <w:color w:val="auto"/>
        </w:rPr>
        <w:t>Wiedlitzka</w:t>
      </w:r>
      <w:r w:rsidRPr="00400349">
        <w:rPr>
          <w:rFonts w:ascii="Calibri" w:hAnsi="Calibri" w:cs="Calibri"/>
          <w:color w:val="auto"/>
        </w:rPr>
        <w:t> </w:t>
      </w:r>
      <w:r w:rsidRPr="00400349">
        <w:rPr>
          <w:i/>
          <w:color w:val="auto"/>
        </w:rPr>
        <w:t>Preventing hate crime: emerging practices and recommendations for the effective management of criminal justice interventions</w:t>
      </w:r>
      <w:r w:rsidRPr="00400349">
        <w:rPr>
          <w:rFonts w:ascii="Calibri" w:hAnsi="Calibri" w:cs="Calibri"/>
          <w:color w:val="auto"/>
        </w:rPr>
        <w:t> </w:t>
      </w:r>
      <w:r w:rsidRPr="00400349">
        <w:rPr>
          <w:color w:val="auto"/>
        </w:rPr>
        <w:t>(University of Sussex, 2016)</w:t>
      </w:r>
      <w:r w:rsidRPr="00400349">
        <w:rPr>
          <w:rFonts w:ascii="Calibri" w:hAnsi="Calibri" w:cs="Calibri"/>
          <w:color w:val="auto"/>
        </w:rPr>
        <w:t> </w:t>
      </w:r>
      <w:r w:rsidRPr="00400349">
        <w:rPr>
          <w:color w:val="auto"/>
        </w:rPr>
        <w:t>at 26, 34 and 37; and Rania Hamad</w:t>
      </w:r>
      <w:r w:rsidRPr="00400349">
        <w:rPr>
          <w:rFonts w:ascii="Calibri" w:hAnsi="Calibri" w:cs="Calibri"/>
          <w:color w:val="auto"/>
        </w:rPr>
        <w:t> </w:t>
      </w:r>
      <w:r w:rsidRPr="00400349">
        <w:rPr>
          <w:i/>
          <w:color w:val="auto"/>
        </w:rPr>
        <w:t>Hate Crime: Causes, Motivations and Effective Interventions for Criminal Justice Social Work</w:t>
      </w:r>
      <w:r w:rsidRPr="00400349">
        <w:rPr>
          <w:rFonts w:ascii="Calibri" w:hAnsi="Calibri" w:cs="Calibri"/>
          <w:color w:val="auto"/>
        </w:rPr>
        <w:t> </w:t>
      </w:r>
      <w:r w:rsidRPr="00400349">
        <w:rPr>
          <w:color w:val="auto"/>
        </w:rPr>
        <w:t>(City of Edinburgh Council, June 2017) at 67.</w:t>
      </w:r>
      <w:r w:rsidRPr="00400349">
        <w:rPr>
          <w:rFonts w:ascii="Calibri" w:hAnsi="Calibri" w:cs="Calibri"/>
          <w:color w:val="auto"/>
        </w:rPr>
        <w:t> </w:t>
      </w:r>
    </w:p>
  </w:footnote>
  <w:footnote w:id="336">
    <w:p w14:paraId="6A58FE03" w14:textId="77777777" w:rsidR="009E6AAF" w:rsidRPr="00400349" w:rsidRDefault="009E6AAF" w:rsidP="009E6AAF">
      <w:pPr>
        <w:pStyle w:val="FootnoteText"/>
      </w:pPr>
      <w:r w:rsidRPr="00400349">
        <w:rPr>
          <w:rStyle w:val="FootnoteReference"/>
        </w:rPr>
        <w:footnoteRef/>
      </w:r>
      <w:r w:rsidRPr="00400349">
        <w:t xml:space="preserve"> </w:t>
      </w:r>
      <w:r w:rsidRPr="00400349">
        <w:tab/>
      </w:r>
      <w:r w:rsidRPr="00400349">
        <w:rPr>
          <w:color w:val="auto"/>
        </w:rPr>
        <w:t xml:space="preserve">Donald Beasley Institute and People First New Zealand (joint submission); and </w:t>
      </w:r>
      <w:r w:rsidRPr="00400349">
        <w:t>Submission 26.</w:t>
      </w:r>
    </w:p>
  </w:footnote>
  <w:footnote w:id="337">
    <w:p w14:paraId="4787CC7C" w14:textId="2189759A"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Similar points were made by the previous Chief Victims Advisor</w:t>
      </w:r>
      <w:r w:rsidR="00FF1DF2" w:rsidRPr="00400349">
        <w:rPr>
          <w:color w:val="auto"/>
        </w:rPr>
        <w:t>.</w:t>
      </w:r>
      <w:r w:rsidRPr="00400349">
        <w:rPr>
          <w:color w:val="auto"/>
        </w:rPr>
        <w:t xml:space="preserve"> </w:t>
      </w:r>
      <w:r w:rsidR="00FF1DF2" w:rsidRPr="00400349">
        <w:rPr>
          <w:color w:val="auto"/>
        </w:rPr>
        <w:t>S</w:t>
      </w:r>
      <w:r w:rsidRPr="00400349">
        <w:rPr>
          <w:color w:val="auto"/>
        </w:rPr>
        <w:t xml:space="preserve">ee Dr Kim McGregor </w:t>
      </w:r>
      <w:r w:rsidRPr="00400349">
        <w:rPr>
          <w:i/>
          <w:color w:val="auto"/>
        </w:rPr>
        <w:t>Strengthening the Criminal Justice System for Victims</w:t>
      </w:r>
      <w:r w:rsidR="004B6B95" w:rsidRPr="00400349">
        <w:rPr>
          <w:i/>
          <w:color w:val="auto"/>
        </w:rPr>
        <w:t xml:space="preserve"> </w:t>
      </w:r>
      <w:r w:rsidR="004B6B95" w:rsidRPr="00400349">
        <w:rPr>
          <w:b/>
          <w:i/>
          <w:color w:val="auto"/>
        </w:rPr>
        <w:t>—</w:t>
      </w:r>
      <w:r w:rsidRPr="00400349">
        <w:rPr>
          <w:i/>
          <w:color w:val="auto"/>
        </w:rPr>
        <w:t xml:space="preserve"> Te Tangi o te Manawanui</w:t>
      </w:r>
      <w:r w:rsidR="004B6B95" w:rsidRPr="00400349">
        <w:rPr>
          <w:i/>
          <w:color w:val="auto"/>
        </w:rPr>
        <w:t>:</w:t>
      </w:r>
      <w:r w:rsidRPr="00400349">
        <w:rPr>
          <w:i/>
          <w:color w:val="auto"/>
        </w:rPr>
        <w:t xml:space="preserve"> Recommendations for Reform </w:t>
      </w:r>
      <w:r w:rsidRPr="00400349">
        <w:rPr>
          <w:color w:val="auto"/>
        </w:rPr>
        <w:t>(September 2019) at 37–38.</w:t>
      </w:r>
    </w:p>
  </w:footnote>
  <w:footnote w:id="338">
    <w:p w14:paraId="3FBC9B38" w14:textId="185A0128" w:rsidR="007C1CFD" w:rsidRPr="00400349" w:rsidRDefault="007C1CFD" w:rsidP="007C1CF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 communication assistant may be appointed by the court to enable a witness to give evidence</w:t>
      </w:r>
      <w:r w:rsidRPr="00400349" w:rsidDel="00395C13">
        <w:rPr>
          <w:color w:val="auto"/>
        </w:rPr>
        <w:t xml:space="preserve"> </w:t>
      </w:r>
      <w:r w:rsidRPr="00400349">
        <w:rPr>
          <w:color w:val="auto"/>
        </w:rPr>
        <w:t>but there is no broader entitlement to communication assistance to understand the proceeding</w:t>
      </w:r>
      <w:r w:rsidR="00C91880" w:rsidRPr="00400349">
        <w:rPr>
          <w:color w:val="auto"/>
        </w:rPr>
        <w:t>:</w:t>
      </w:r>
      <w:r w:rsidR="00395C13" w:rsidRPr="00400349">
        <w:rPr>
          <w:color w:val="auto"/>
        </w:rPr>
        <w:t xml:space="preserve"> Evidence Act, s 80(3)</w:t>
      </w:r>
      <w:r w:rsidR="00F56C10" w:rsidRPr="00400349">
        <w:rPr>
          <w:color w:val="auto"/>
        </w:rPr>
        <w:t xml:space="preserve">. Courts may be able to assist in other ways, such as </w:t>
      </w:r>
      <w:r w:rsidR="00611E47" w:rsidRPr="00400349">
        <w:rPr>
          <w:color w:val="auto"/>
        </w:rPr>
        <w:t>providing sign language interpreters or information in alternative formats</w:t>
      </w:r>
      <w:r w:rsidR="00C91880" w:rsidRPr="00400349">
        <w:rPr>
          <w:color w:val="auto"/>
        </w:rPr>
        <w:t xml:space="preserve">: </w:t>
      </w:r>
      <w:r w:rsidR="00790146" w:rsidRPr="00400349">
        <w:rPr>
          <w:color w:val="auto"/>
        </w:rPr>
        <w:t xml:space="preserve">Te Tāhū o te Ture | </w:t>
      </w:r>
      <w:r w:rsidR="00AC419E" w:rsidRPr="00400349">
        <w:rPr>
          <w:color w:val="auto"/>
        </w:rPr>
        <w:t>Ministry of Justice “Interpreters, language &amp; disability access</w:t>
      </w:r>
      <w:r w:rsidR="00156C8A" w:rsidRPr="00400349">
        <w:rPr>
          <w:color w:val="auto"/>
        </w:rPr>
        <w:t>” &lt;www.justice.govt.nz&gt;</w:t>
      </w:r>
      <w:r w:rsidR="00395C13" w:rsidRPr="00400349">
        <w:rPr>
          <w:color w:val="auto"/>
        </w:rPr>
        <w:t>.</w:t>
      </w:r>
    </w:p>
  </w:footnote>
  <w:footnote w:id="339">
    <w:p w14:paraId="535CE235" w14:textId="48347335" w:rsidR="00224EAD" w:rsidRPr="00400349" w:rsidRDefault="00224EAD">
      <w:pPr>
        <w:pStyle w:val="FootnoteText"/>
      </w:pPr>
      <w:r w:rsidRPr="00400349">
        <w:rPr>
          <w:rStyle w:val="FootnoteReference"/>
        </w:rPr>
        <w:footnoteRef/>
      </w:r>
      <w:r w:rsidRPr="00400349">
        <w:t xml:space="preserve"> </w:t>
      </w:r>
      <w:r w:rsidR="00280272" w:rsidRPr="00400349">
        <w:tab/>
        <w:t>It is not used alongside the Scottish hybrid model</w:t>
      </w:r>
      <w:r w:rsidR="00E524AE" w:rsidRPr="00400349">
        <w:t>. T</w:t>
      </w:r>
      <w:r w:rsidR="003F6CB4" w:rsidRPr="00400349">
        <w:t xml:space="preserve">here would be less reason </w:t>
      </w:r>
      <w:r w:rsidR="00E524AE" w:rsidRPr="00400349">
        <w:t>to do so since,</w:t>
      </w:r>
      <w:r w:rsidR="003F6CB4" w:rsidRPr="00400349">
        <w:t xml:space="preserve"> </w:t>
      </w:r>
      <w:r w:rsidR="00280272" w:rsidRPr="00400349">
        <w:t xml:space="preserve">as we explain below, </w:t>
      </w:r>
      <w:r w:rsidR="00E524AE" w:rsidRPr="00400349">
        <w:t xml:space="preserve">that model </w:t>
      </w:r>
      <w:r w:rsidR="00280272" w:rsidRPr="00400349">
        <w:t>can apply to any type of offence.</w:t>
      </w:r>
    </w:p>
  </w:footnote>
  <w:footnote w:id="340">
    <w:p w14:paraId="5FD7F9ED" w14:textId="77777777" w:rsidR="0022119B" w:rsidRPr="00400349" w:rsidRDefault="0022119B" w:rsidP="0022119B">
      <w:pPr>
        <w:pStyle w:val="FootnoteText"/>
        <w:rPr>
          <w:lang w:val="en-US"/>
        </w:rPr>
      </w:pPr>
      <w:r w:rsidRPr="00400349">
        <w:rPr>
          <w:rStyle w:val="FootnoteReference"/>
        </w:rPr>
        <w:footnoteRef/>
      </w:r>
      <w:r w:rsidRPr="00400349">
        <w:t xml:space="preserve"> </w:t>
      </w:r>
      <w:r w:rsidRPr="00400349">
        <w:tab/>
      </w:r>
      <w:r w:rsidRPr="00400349">
        <w:rPr>
          <w:color w:val="auto"/>
        </w:rPr>
        <w:t>Sentencing Act 2002, s 24(1)(a).</w:t>
      </w:r>
    </w:p>
  </w:footnote>
  <w:footnote w:id="341">
    <w:p w14:paraId="58748396" w14:textId="01941E02" w:rsidR="00041FA4" w:rsidRPr="00400349" w:rsidRDefault="00041FA4">
      <w:pPr>
        <w:pStyle w:val="FootnoteText"/>
      </w:pPr>
      <w:r w:rsidRPr="00400349">
        <w:rPr>
          <w:rStyle w:val="FootnoteReference"/>
        </w:rPr>
        <w:footnoteRef/>
      </w:r>
      <w:r w:rsidR="00640797" w:rsidRPr="00400349">
        <w:t xml:space="preserve"> </w:t>
      </w:r>
      <w:r w:rsidR="00640797" w:rsidRPr="00400349">
        <w:tab/>
      </w:r>
      <w:r w:rsidR="00DA36B5" w:rsidRPr="00400349">
        <w:t>Criminal Procedure Rules 2012, r 5A.1.</w:t>
      </w:r>
    </w:p>
  </w:footnote>
  <w:footnote w:id="342">
    <w:p w14:paraId="0408BCB0" w14:textId="7CA3B4D2" w:rsidR="0021744A" w:rsidRPr="00400349" w:rsidRDefault="0021744A">
      <w:pPr>
        <w:pStyle w:val="FootnoteText"/>
        <w:rPr>
          <w:lang w:val="en-US"/>
        </w:rPr>
      </w:pPr>
      <w:r w:rsidRPr="00400349">
        <w:rPr>
          <w:rStyle w:val="FootnoteReference"/>
        </w:rPr>
        <w:footnoteRef/>
      </w:r>
      <w:r w:rsidRPr="00400349">
        <w:t xml:space="preserve"> </w:t>
      </w:r>
      <w:r w:rsidRPr="00400349">
        <w:rPr>
          <w:lang w:val="en-US"/>
        </w:rPr>
        <w:tab/>
      </w:r>
      <w:r w:rsidRPr="00400349">
        <w:rPr>
          <w:color w:val="auto"/>
        </w:rPr>
        <w:t>Sentencing Act, s 24(2).</w:t>
      </w:r>
    </w:p>
  </w:footnote>
  <w:footnote w:id="343">
    <w:p w14:paraId="5DDE2D3E" w14:textId="77777777" w:rsidR="00461367" w:rsidRPr="00400349" w:rsidRDefault="00461367" w:rsidP="0046136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Crimes (Sentencing Procedure) Act 1999 (NSW), s</w:t>
      </w:r>
      <w:r w:rsidRPr="00400349">
        <w:rPr>
          <w:rFonts w:ascii="Cambria Math" w:hAnsi="Cambria Math" w:cs="Cambria Math"/>
          <w:color w:val="auto"/>
        </w:rPr>
        <w:t> </w:t>
      </w:r>
      <w:r w:rsidRPr="00400349">
        <w:rPr>
          <w:color w:val="auto"/>
        </w:rPr>
        <w:t>21A(2)(h); and Sentencing Act 1995 (NT), s</w:t>
      </w:r>
      <w:r w:rsidRPr="00400349">
        <w:rPr>
          <w:rFonts w:ascii="Cambria Math" w:hAnsi="Cambria Math" w:cs="Cambria Math"/>
          <w:color w:val="auto"/>
        </w:rPr>
        <w:t> </w:t>
      </w:r>
      <w:r w:rsidRPr="00400349">
        <w:rPr>
          <w:color w:val="auto"/>
        </w:rPr>
        <w:t>6A(1)(e).</w:t>
      </w:r>
    </w:p>
  </w:footnote>
  <w:footnote w:id="344">
    <w:p w14:paraId="2F7A7BB7" w14:textId="6250E9BE" w:rsidR="00461367" w:rsidRPr="00400349" w:rsidRDefault="00461367" w:rsidP="0046136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1991 (Vic), s</w:t>
      </w:r>
      <w:r w:rsidRPr="00400349">
        <w:rPr>
          <w:rFonts w:ascii="Cambria Math" w:hAnsi="Cambria Math" w:cs="Cambria Math"/>
          <w:color w:val="auto"/>
        </w:rPr>
        <w:t xml:space="preserve"> </w:t>
      </w:r>
      <w:r w:rsidRPr="00400349">
        <w:rPr>
          <w:color w:val="auto"/>
        </w:rPr>
        <w:t>5(2)(daaa)</w:t>
      </w:r>
      <w:r w:rsidRPr="00400349">
        <w:rPr>
          <w:rFonts w:ascii="Calibri" w:hAnsi="Calibri" w:cs="Calibri"/>
          <w:color w:val="auto"/>
        </w:rPr>
        <w:t>.</w:t>
      </w:r>
    </w:p>
  </w:footnote>
  <w:footnote w:id="345">
    <w:p w14:paraId="7876A5E5" w14:textId="5175E47F" w:rsidR="00FE724C" w:rsidRPr="00400349" w:rsidRDefault="00FE724C">
      <w:pPr>
        <w:pStyle w:val="FootnoteText"/>
      </w:pPr>
      <w:r w:rsidRPr="00400349">
        <w:rPr>
          <w:rStyle w:val="FootnoteReference"/>
        </w:rPr>
        <w:footnoteRef/>
      </w:r>
      <w:r w:rsidRPr="00400349">
        <w:t xml:space="preserve"> </w:t>
      </w:r>
      <w:r w:rsidRPr="00400349">
        <w:tab/>
      </w:r>
      <w:r w:rsidR="006113F6" w:rsidRPr="00400349">
        <w:rPr>
          <w:color w:val="auto"/>
        </w:rPr>
        <w:t>Sentencing Act 2020 (UK), s 66(1).</w:t>
      </w:r>
    </w:p>
  </w:footnote>
  <w:footnote w:id="346">
    <w:p w14:paraId="5F444FE6" w14:textId="0F939D5E" w:rsidR="00461367" w:rsidRPr="00400349" w:rsidRDefault="00461367" w:rsidP="00461367">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8E5F3F" w:rsidRPr="00400349">
        <w:rPr>
          <w:color w:val="auto"/>
        </w:rPr>
        <w:t>Crimes Act 1914 (Cth), s 16A(2)(mb); Crimes (Sentencing Procedure) Act 1999 (NSW), s</w:t>
      </w:r>
      <w:r w:rsidR="008E5F3F" w:rsidRPr="00400349">
        <w:rPr>
          <w:rFonts w:ascii="Cambria Math" w:hAnsi="Cambria Math" w:cs="Cambria Math"/>
          <w:color w:val="auto"/>
        </w:rPr>
        <w:t> </w:t>
      </w:r>
      <w:r w:rsidR="008E5F3F" w:rsidRPr="00400349">
        <w:rPr>
          <w:color w:val="auto"/>
        </w:rPr>
        <w:t>21A(2)(h); Sentencing Act 1995 (NT), s 6A(1)(e); Sentencing Act 2017 (SA), s 11(1)(ca); Sentencing Act 1997 (Tas), s 11B; Sentencing Act 1991 (Vic), s</w:t>
      </w:r>
      <w:r w:rsidR="008E5F3F" w:rsidRPr="00400349">
        <w:rPr>
          <w:rFonts w:ascii="Cambria Math" w:hAnsi="Cambria Math" w:cs="Cambria Math"/>
          <w:color w:val="auto"/>
        </w:rPr>
        <w:t> </w:t>
      </w:r>
      <w:r w:rsidR="008E5F3F" w:rsidRPr="00400349">
        <w:rPr>
          <w:color w:val="auto"/>
        </w:rPr>
        <w:t>5(2)(daaa)</w:t>
      </w:r>
      <w:r w:rsidR="003122DE" w:rsidRPr="00400349">
        <w:rPr>
          <w:color w:val="auto"/>
        </w:rPr>
        <w:t>; Criminal Code RSC, 1985 c C-46, s 718.2(a)(i);</w:t>
      </w:r>
      <w:r w:rsidR="008E5F3F" w:rsidRPr="00400349">
        <w:rPr>
          <w:color w:val="auto"/>
        </w:rPr>
        <w:t xml:space="preserve"> </w:t>
      </w:r>
      <w:r w:rsidR="003122DE" w:rsidRPr="00400349">
        <w:rPr>
          <w:color w:val="auto"/>
        </w:rPr>
        <w:t xml:space="preserve">Sentencing Act 2020 (UK), s 66; The Criminal Justice (No 2) (Northern Ireland) Order 2004 (UK), art 2; and </w:t>
      </w:r>
      <w:r w:rsidRPr="00400349">
        <w:rPr>
          <w:color w:val="auto"/>
        </w:rPr>
        <w:t>Criminal Justice (Hate Offences) Act 2024 (Ireland), s 8.</w:t>
      </w:r>
      <w:r w:rsidR="003122DE" w:rsidRPr="00400349">
        <w:rPr>
          <w:color w:val="auto"/>
        </w:rPr>
        <w:t xml:space="preserve"> We do not refer to Canadian provincial laws as </w:t>
      </w:r>
      <w:r w:rsidR="00F84F89" w:rsidRPr="00400349">
        <w:rPr>
          <w:color w:val="auto"/>
        </w:rPr>
        <w:t>hate crime law is federal.</w:t>
      </w:r>
    </w:p>
  </w:footnote>
  <w:footnote w:id="347">
    <w:p w14:paraId="32493492" w14:textId="3A39792D"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Crime and Disorder Act 1998 (UK), ss 28–32</w:t>
      </w:r>
      <w:r w:rsidR="009077CE" w:rsidRPr="00400349">
        <w:rPr>
          <w:color w:val="auto"/>
        </w:rPr>
        <w:t xml:space="preserve"> (as amended by the Crime and Policing Act 2026 (UK), s 145)</w:t>
      </w:r>
      <w:r w:rsidRPr="00400349">
        <w:rPr>
          <w:color w:val="auto"/>
        </w:rPr>
        <w:t xml:space="preserve">; </w:t>
      </w:r>
      <w:r w:rsidRPr="00400349" w:rsidDel="007A0ED3">
        <w:rPr>
          <w:color w:val="auto"/>
        </w:rPr>
        <w:t xml:space="preserve">Criminal Code Act </w:t>
      </w:r>
      <w:r w:rsidRPr="00400349">
        <w:rPr>
          <w:color w:val="auto"/>
        </w:rPr>
        <w:t xml:space="preserve">1899 (Qld), ss 52B, 69, 75, 207, 335, 339, 359, 359E and 469; </w:t>
      </w:r>
      <w:r w:rsidR="007A0ED3" w:rsidRPr="00400349">
        <w:rPr>
          <w:color w:val="auto"/>
        </w:rPr>
        <w:t xml:space="preserve">Criminal Code Act Compilation Act 1913 (WA), ss 80I, 313, 317, 317A, 338B and 444; and </w:t>
      </w:r>
      <w:r w:rsidRPr="00400349">
        <w:rPr>
          <w:color w:val="auto"/>
        </w:rPr>
        <w:t>Criminal Justice (Hate Offences) Act 2024 (Ireland)</w:t>
      </w:r>
      <w:r w:rsidR="00172C8C" w:rsidRPr="00400349">
        <w:rPr>
          <w:color w:val="auto"/>
        </w:rPr>
        <w:t>, ss 5–</w:t>
      </w:r>
      <w:r w:rsidR="00CB7960" w:rsidRPr="00400349">
        <w:rPr>
          <w:color w:val="auto"/>
        </w:rPr>
        <w:t>7</w:t>
      </w:r>
      <w:r w:rsidRPr="00400349">
        <w:rPr>
          <w:color w:val="auto"/>
        </w:rPr>
        <w:t xml:space="preserve">. The New South Wales Law Reform Commission touched on the possibility of creating hate crime offences in its report </w:t>
      </w:r>
      <w:r w:rsidRPr="00400349">
        <w:rPr>
          <w:i/>
          <w:color w:val="auto"/>
        </w:rPr>
        <w:t xml:space="preserve">Serious racial and religious vilification </w:t>
      </w:r>
      <w:r w:rsidRPr="00400349">
        <w:rPr>
          <w:color w:val="auto"/>
        </w:rPr>
        <w:t>(R151, 2024). It concluded this was outside the scope of its review but also expressed some concerns about creating hate crime offences</w:t>
      </w:r>
      <w:r w:rsidR="004C498F" w:rsidRPr="00400349">
        <w:rPr>
          <w:color w:val="auto"/>
        </w:rPr>
        <w:t>:</w:t>
      </w:r>
      <w:r w:rsidRPr="00400349">
        <w:rPr>
          <w:color w:val="auto"/>
        </w:rPr>
        <w:t xml:space="preserve"> at [8.56]–[8.57] and [8.67]–[8.77]. </w:t>
      </w:r>
    </w:p>
  </w:footnote>
  <w:footnote w:id="348">
    <w:p w14:paraId="3D72888D" w14:textId="113B038E"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Bill C-9</w:t>
      </w:r>
      <w:r w:rsidR="000E4387" w:rsidRPr="00400349">
        <w:rPr>
          <w:color w:val="auto"/>
        </w:rPr>
        <w:t xml:space="preserve"> (45-1)</w:t>
      </w:r>
      <w:r w:rsidRPr="00400349">
        <w:rPr>
          <w:i/>
          <w:iCs/>
          <w:color w:val="auto"/>
        </w:rPr>
        <w:t xml:space="preserve"> </w:t>
      </w:r>
      <w:r w:rsidRPr="00400349">
        <w:rPr>
          <w:color w:val="auto"/>
        </w:rPr>
        <w:t>An Act to amend the Criminal Code (hate propaganda, hate crime and access to religious or cultural places), cl 5.</w:t>
      </w:r>
      <w:r w:rsidR="00250E50">
        <w:rPr>
          <w:color w:val="auto"/>
        </w:rPr>
        <w:t xml:space="preserve"> </w:t>
      </w:r>
      <w:r w:rsidR="00250E50" w:rsidRPr="00250E50">
        <w:rPr>
          <w:color w:val="auto"/>
        </w:rPr>
        <w:t>As at 15 June 2026 the Bill was awaiting final approval in the House of Commons.</w:t>
      </w:r>
    </w:p>
  </w:footnote>
  <w:footnote w:id="349">
    <w:p w14:paraId="7ECB67C6" w14:textId="16635176" w:rsidR="00601DAB" w:rsidRPr="00400349" w:rsidRDefault="00601DAB">
      <w:pPr>
        <w:pStyle w:val="FootnoteText"/>
      </w:pPr>
      <w:r w:rsidRPr="00400349">
        <w:rPr>
          <w:rStyle w:val="FootnoteReference"/>
        </w:rPr>
        <w:footnoteRef/>
      </w:r>
      <w:r w:rsidRPr="00400349">
        <w:t xml:space="preserve"> </w:t>
      </w:r>
      <w:r w:rsidRPr="00400349">
        <w:tab/>
        <w:t xml:space="preserve">See similarly the discussion in </w:t>
      </w:r>
      <w:r w:rsidRPr="00400349">
        <w:rPr>
          <w:color w:val="auto"/>
        </w:rPr>
        <w:t xml:space="preserve">Law Commission </w:t>
      </w:r>
      <w:r w:rsidRPr="00400349">
        <w:rPr>
          <w:color w:val="auto"/>
          <w:lang w:val="mi-NZ"/>
        </w:rPr>
        <w:t xml:space="preserve">(England and Wales) </w:t>
      </w:r>
      <w:r w:rsidRPr="00400349">
        <w:rPr>
          <w:i/>
          <w:color w:val="auto"/>
        </w:rPr>
        <w:t xml:space="preserve">Hate crime laws: Final report </w:t>
      </w:r>
      <w:r w:rsidRPr="00400349">
        <w:rPr>
          <w:color w:val="auto"/>
        </w:rPr>
        <w:t xml:space="preserve">(R402, 2021) at </w:t>
      </w:r>
      <w:r w:rsidR="00C107B5" w:rsidRPr="00400349">
        <w:rPr>
          <w:color w:val="auto"/>
        </w:rPr>
        <w:t>[8.40] and [8.44]</w:t>
      </w:r>
      <w:r w:rsidR="00B267AC" w:rsidRPr="00400349">
        <w:rPr>
          <w:color w:val="auto"/>
        </w:rPr>
        <w:t xml:space="preserve"> (commenting on a</w:t>
      </w:r>
      <w:r w:rsidR="00453045" w:rsidRPr="00400349">
        <w:rPr>
          <w:color w:val="auto"/>
        </w:rPr>
        <w:t xml:space="preserve"> similar</w:t>
      </w:r>
      <w:r w:rsidR="00B267AC" w:rsidRPr="00400349">
        <w:rPr>
          <w:color w:val="auto"/>
        </w:rPr>
        <w:t xml:space="preserve"> proposal by the Bar Council</w:t>
      </w:r>
      <w:r w:rsidR="00453045" w:rsidRPr="00400349">
        <w:rPr>
          <w:color w:val="auto"/>
        </w:rPr>
        <w:t>, albeit with only two bands).</w:t>
      </w:r>
    </w:p>
  </w:footnote>
  <w:footnote w:id="350">
    <w:p w14:paraId="6E526050" w14:textId="653A9283" w:rsidR="000849AC" w:rsidRPr="00400349" w:rsidRDefault="000849AC">
      <w:pPr>
        <w:pStyle w:val="FootnoteText"/>
      </w:pPr>
      <w:r w:rsidRPr="00400349">
        <w:rPr>
          <w:rStyle w:val="FootnoteReference"/>
        </w:rPr>
        <w:footnoteRef/>
      </w:r>
      <w:r w:rsidRPr="00400349">
        <w:t xml:space="preserve"> </w:t>
      </w:r>
      <w:r w:rsidRPr="00400349">
        <w:tab/>
        <w:t xml:space="preserve">This is the case even under the Canadian Bill, although the existing sentence aggravation provision in Canada includes an open list of protected characteristics (applying to specified characteristics and “any other similar factor”): </w:t>
      </w:r>
      <w:r w:rsidRPr="00400349">
        <w:rPr>
          <w:color w:val="auto"/>
        </w:rPr>
        <w:t>Bill C-9</w:t>
      </w:r>
      <w:r w:rsidR="00FA7CA5" w:rsidRPr="00400349">
        <w:rPr>
          <w:color w:val="auto"/>
        </w:rPr>
        <w:t xml:space="preserve"> (45-1)</w:t>
      </w:r>
      <w:r w:rsidR="00FA7CA5" w:rsidRPr="00400349">
        <w:rPr>
          <w:i/>
          <w:iCs/>
          <w:color w:val="auto"/>
        </w:rPr>
        <w:t xml:space="preserve"> </w:t>
      </w:r>
      <w:r w:rsidR="00FA7CA5" w:rsidRPr="00400349">
        <w:rPr>
          <w:color w:val="auto"/>
        </w:rPr>
        <w:t>An Act to amend the Criminal Code (hate propaganda, hate crime and access to religious or cultural places), cl 5</w:t>
      </w:r>
      <w:r w:rsidR="00D67268" w:rsidRPr="00400349">
        <w:rPr>
          <w:color w:val="auto"/>
        </w:rPr>
        <w:t>;</w:t>
      </w:r>
      <w:r w:rsidRPr="00400349">
        <w:rPr>
          <w:color w:val="auto"/>
        </w:rPr>
        <w:t xml:space="preserve"> and Criminal Code RSC 1985 c C-46, s 718.2(a)(i).</w:t>
      </w:r>
    </w:p>
  </w:footnote>
  <w:footnote w:id="351">
    <w:p w14:paraId="2F34E7C7" w14:textId="41C589A1" w:rsidR="00462778" w:rsidRPr="00400349" w:rsidRDefault="00462778">
      <w:pPr>
        <w:pStyle w:val="FootnoteText"/>
      </w:pPr>
      <w:r w:rsidRPr="00400349">
        <w:rPr>
          <w:rStyle w:val="FootnoteReference"/>
        </w:rPr>
        <w:footnoteRef/>
      </w:r>
      <w:r w:rsidRPr="00400349">
        <w:t xml:space="preserve"> </w:t>
      </w:r>
      <w:r w:rsidR="0074630F" w:rsidRPr="00400349">
        <w:tab/>
      </w:r>
      <w:r w:rsidR="00F646B6" w:rsidRPr="00400349">
        <w:rPr>
          <w:color w:val="auto"/>
        </w:rPr>
        <w:t xml:space="preserve">Law Commission </w:t>
      </w:r>
      <w:r w:rsidR="00F646B6" w:rsidRPr="00400349">
        <w:rPr>
          <w:color w:val="auto"/>
          <w:lang w:val="mi-NZ"/>
        </w:rPr>
        <w:t xml:space="preserve">(England and Wales) </w:t>
      </w:r>
      <w:r w:rsidR="00F646B6" w:rsidRPr="00400349">
        <w:rPr>
          <w:i/>
          <w:color w:val="auto"/>
        </w:rPr>
        <w:t xml:space="preserve">Hate crime laws: A consultation paper </w:t>
      </w:r>
      <w:r w:rsidR="00F646B6" w:rsidRPr="00400349">
        <w:rPr>
          <w:color w:val="auto"/>
        </w:rPr>
        <w:t xml:space="preserve">(CP250, 2020) at </w:t>
      </w:r>
      <w:r w:rsidR="004656DD" w:rsidRPr="00400349">
        <w:rPr>
          <w:color w:val="auto"/>
        </w:rPr>
        <w:t>[17.85].</w:t>
      </w:r>
    </w:p>
  </w:footnote>
  <w:footnote w:id="352">
    <w:p w14:paraId="163CB74D" w14:textId="77777777"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Legislation Design and Advisory Committee </w:t>
      </w:r>
      <w:r w:rsidRPr="00400349">
        <w:rPr>
          <w:i/>
          <w:color w:val="auto"/>
        </w:rPr>
        <w:t>Legislation Guidelines</w:t>
      </w:r>
      <w:r w:rsidRPr="00400349">
        <w:rPr>
          <w:color w:val="auto"/>
        </w:rPr>
        <w:t xml:space="preserve"> (2021) at 123–124; Julia Tolmie and others </w:t>
      </w:r>
      <w:r w:rsidRPr="00400349">
        <w:rPr>
          <w:i/>
          <w:color w:val="auto"/>
        </w:rPr>
        <w:t>Criminal Law in Aotearoa New Zealand</w:t>
      </w:r>
      <w:r w:rsidRPr="00400349">
        <w:rPr>
          <w:color w:val="auto"/>
        </w:rPr>
        <w:t xml:space="preserve"> (LexisNexis, Wellington, 2022) at [1.3.1.1]; and AP Simester, WJ Brookbanks and Neil Boister </w:t>
      </w:r>
      <w:r w:rsidRPr="00400349">
        <w:rPr>
          <w:i/>
          <w:color w:val="auto"/>
        </w:rPr>
        <w:t>Principles of Criminal Law</w:t>
      </w:r>
      <w:r w:rsidRPr="00400349">
        <w:rPr>
          <w:color w:val="auto"/>
        </w:rPr>
        <w:t xml:space="preserve"> (5th ed, Thomson Reuters, Wellington, 2019) at [2.1.3].</w:t>
      </w:r>
    </w:p>
  </w:footnote>
  <w:footnote w:id="353">
    <w:p w14:paraId="3250CF14" w14:textId="068EF5AF"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Law Commission in England and Wales recently considered whether to add specific hate crime offences corresponding to some serious offences punishable by life imprisonment and decided against this</w:t>
      </w:r>
      <w:r w:rsidR="00C67C9C" w:rsidRPr="00400349">
        <w:rPr>
          <w:color w:val="auto"/>
        </w:rPr>
        <w:t>:</w:t>
      </w:r>
      <w:r w:rsidRPr="00400349">
        <w:rPr>
          <w:color w:val="auto"/>
        </w:rPr>
        <w:t xml:space="preserve"> </w:t>
      </w:r>
      <w:r w:rsidRPr="00400349">
        <w:rPr>
          <w:i/>
          <w:color w:val="auto"/>
        </w:rPr>
        <w:t xml:space="preserve">Hate crime laws: Final report </w:t>
      </w:r>
      <w:r w:rsidRPr="00400349">
        <w:rPr>
          <w:color w:val="auto"/>
        </w:rPr>
        <w:t xml:space="preserve">(R402, 2021) at [8.101]–[8.103]. It noted a submission from the Crown Prosecution Service that the essence of hate crime offences is their higher maximum penalty and </w:t>
      </w:r>
      <w:r w:rsidR="0056778B" w:rsidRPr="00400349">
        <w:rPr>
          <w:color w:val="auto"/>
        </w:rPr>
        <w:t>that,</w:t>
      </w:r>
      <w:r w:rsidRPr="00400349">
        <w:rPr>
          <w:color w:val="auto"/>
        </w:rPr>
        <w:t xml:space="preserve"> without this, they would create unnecessary complexity.</w:t>
      </w:r>
    </w:p>
  </w:footnote>
  <w:footnote w:id="354">
    <w:p w14:paraId="6124FE64" w14:textId="650200F7"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In England and Wales, there are specific provisions relating to the minimum period of imprisonment (MPI) for </w:t>
      </w:r>
      <w:r w:rsidR="00AD55A0" w:rsidRPr="00400349">
        <w:rPr>
          <w:color w:val="auto"/>
        </w:rPr>
        <w:t>hostility</w:t>
      </w:r>
      <w:r w:rsidRPr="00400349">
        <w:rPr>
          <w:color w:val="auto"/>
        </w:rPr>
        <w:t>-motivated murder</w:t>
      </w:r>
      <w:r w:rsidR="0056778B" w:rsidRPr="00400349">
        <w:rPr>
          <w:color w:val="auto"/>
        </w:rPr>
        <w:t xml:space="preserve">: </w:t>
      </w:r>
      <w:r w:rsidRPr="00400349">
        <w:rPr>
          <w:color w:val="auto"/>
        </w:rPr>
        <w:t>Sentencing Act 2020 (UK), sch 21, cl 3(2)(g)–(h</w:t>
      </w:r>
      <w:r w:rsidRPr="00400349" w:rsidDel="0097770B">
        <w:rPr>
          <w:color w:val="auto"/>
        </w:rPr>
        <w:t>)</w:t>
      </w:r>
      <w:r w:rsidRPr="00400349">
        <w:rPr>
          <w:color w:val="auto"/>
        </w:rPr>
        <w:t xml:space="preserve">. As discussed in Chapter 2, although there is no direct equivalent in Aotearoa New Zealand, </w:t>
      </w:r>
      <w:r w:rsidR="00D8166E" w:rsidRPr="00400349">
        <w:rPr>
          <w:color w:val="auto"/>
        </w:rPr>
        <w:t>in some cases</w:t>
      </w:r>
      <w:r w:rsidR="00C649AE">
        <w:rPr>
          <w:color w:val="auto"/>
        </w:rPr>
        <w:t>,</w:t>
      </w:r>
      <w:r w:rsidR="00D8166E" w:rsidRPr="00400349">
        <w:rPr>
          <w:color w:val="auto"/>
        </w:rPr>
        <w:t xml:space="preserve"> </w:t>
      </w:r>
      <w:r w:rsidRPr="00400349">
        <w:rPr>
          <w:color w:val="auto"/>
        </w:rPr>
        <w:t xml:space="preserve">the courts have taken </w:t>
      </w:r>
      <w:r w:rsidR="000C070D" w:rsidRPr="00400349">
        <w:rPr>
          <w:color w:val="auto"/>
        </w:rPr>
        <w:t>hostile</w:t>
      </w:r>
      <w:r w:rsidRPr="00400349">
        <w:rPr>
          <w:color w:val="auto"/>
        </w:rPr>
        <w:t xml:space="preserve"> motivation into account when setting the MPI for murder.</w:t>
      </w:r>
    </w:p>
  </w:footnote>
  <w:footnote w:id="355">
    <w:p w14:paraId="33611D92" w14:textId="54C3FD03" w:rsidR="00E12D0F" w:rsidRPr="00400349" w:rsidRDefault="00E12D0F">
      <w:pPr>
        <w:pStyle w:val="FootnoteText"/>
      </w:pPr>
      <w:r w:rsidRPr="00400349">
        <w:rPr>
          <w:rStyle w:val="FootnoteReference"/>
        </w:rPr>
        <w:footnoteRef/>
      </w:r>
      <w:r w:rsidRPr="00400349">
        <w:t xml:space="preserve"> </w:t>
      </w:r>
      <w:r w:rsidRPr="00400349">
        <w:tab/>
      </w:r>
      <w:r w:rsidR="005C1D62" w:rsidRPr="00400349">
        <w:t>In</w:t>
      </w:r>
      <w:r w:rsidRPr="00400349">
        <w:t xml:space="preserve"> England and Wales, </w:t>
      </w:r>
      <w:r w:rsidR="00F8171D" w:rsidRPr="00400349">
        <w:t>until recently</w:t>
      </w:r>
      <w:r w:rsidR="007148FD">
        <w:t>,</w:t>
      </w:r>
      <w:r w:rsidR="00F8171D" w:rsidRPr="00400349">
        <w:t xml:space="preserve"> </w:t>
      </w:r>
      <w:r w:rsidRPr="00400349">
        <w:t xml:space="preserve">the </w:t>
      </w:r>
      <w:r w:rsidR="00EC4192" w:rsidRPr="00400349">
        <w:t xml:space="preserve">sentence aggravation provision </w:t>
      </w:r>
      <w:r w:rsidR="0062598F" w:rsidRPr="00400349">
        <w:t xml:space="preserve">also </w:t>
      </w:r>
      <w:r w:rsidR="008B54BE" w:rsidRPr="00400349">
        <w:t>applie</w:t>
      </w:r>
      <w:r w:rsidR="00F8171D" w:rsidRPr="00400349">
        <w:t>d</w:t>
      </w:r>
      <w:r w:rsidR="006D3136" w:rsidRPr="00400349">
        <w:t xml:space="preserve"> </w:t>
      </w:r>
      <w:r w:rsidR="00932725" w:rsidRPr="00400349">
        <w:t>to</w:t>
      </w:r>
      <w:r w:rsidR="0062598F" w:rsidRPr="00400349">
        <w:t xml:space="preserve"> some</w:t>
      </w:r>
      <w:r w:rsidR="00EC4192" w:rsidRPr="00400349">
        <w:t xml:space="preserve"> </w:t>
      </w:r>
      <w:r w:rsidR="0062598F" w:rsidRPr="00400349">
        <w:t>additional</w:t>
      </w:r>
      <w:r w:rsidR="00EC4192" w:rsidRPr="00400349">
        <w:t xml:space="preserve"> protected characteristics </w:t>
      </w:r>
      <w:r w:rsidR="0062598F" w:rsidRPr="00400349">
        <w:t xml:space="preserve">that </w:t>
      </w:r>
      <w:r w:rsidR="00F8171D" w:rsidRPr="00400349">
        <w:t>were</w:t>
      </w:r>
      <w:r w:rsidR="005B0E68" w:rsidRPr="00400349">
        <w:t xml:space="preserve"> not</w:t>
      </w:r>
      <w:r w:rsidR="004066C3" w:rsidRPr="00400349">
        <w:t xml:space="preserve"> covered</w:t>
      </w:r>
      <w:r w:rsidR="00EC4192" w:rsidRPr="00400349">
        <w:t xml:space="preserve"> by specific hate crime offences</w:t>
      </w:r>
      <w:r w:rsidR="006F4345" w:rsidRPr="00400349">
        <w:t>.</w:t>
      </w:r>
      <w:r w:rsidR="00EC4192" w:rsidRPr="00400349">
        <w:t xml:space="preserve"> </w:t>
      </w:r>
      <w:r w:rsidR="00612B69" w:rsidRPr="00400349">
        <w:t xml:space="preserve">However, recent amendments </w:t>
      </w:r>
      <w:r w:rsidR="00070278" w:rsidRPr="00400349">
        <w:t xml:space="preserve">aligned the </w:t>
      </w:r>
      <w:r w:rsidR="00670C0B" w:rsidRPr="00400349">
        <w:t>lists of protected characteristics</w:t>
      </w:r>
      <w:r w:rsidR="004E2686" w:rsidRPr="00400349">
        <w:t>:</w:t>
      </w:r>
      <w:r w:rsidR="00670C0B" w:rsidRPr="00400349">
        <w:t xml:space="preserve"> </w:t>
      </w:r>
      <w:r w:rsidR="004E2686" w:rsidRPr="00400349">
        <w:t>c</w:t>
      </w:r>
      <w:r w:rsidR="00EC4192" w:rsidRPr="00400349">
        <w:t xml:space="preserve">ompare </w:t>
      </w:r>
      <w:r w:rsidR="005C1D62" w:rsidRPr="00400349">
        <w:t xml:space="preserve">the </w:t>
      </w:r>
      <w:r w:rsidR="00932725" w:rsidRPr="00400349">
        <w:rPr>
          <w:color w:val="auto"/>
        </w:rPr>
        <w:t>Sentencing Act 2020 (UK), s 66(1)</w:t>
      </w:r>
      <w:r w:rsidR="004800E4" w:rsidRPr="00400349">
        <w:rPr>
          <w:color w:val="auto"/>
        </w:rPr>
        <w:t>;</w:t>
      </w:r>
      <w:r w:rsidR="00932725" w:rsidRPr="00400349">
        <w:rPr>
          <w:color w:val="auto"/>
        </w:rPr>
        <w:t xml:space="preserve"> and </w:t>
      </w:r>
      <w:r w:rsidR="005C1D62" w:rsidRPr="00400349">
        <w:rPr>
          <w:color w:val="auto"/>
        </w:rPr>
        <w:t xml:space="preserve">the </w:t>
      </w:r>
      <w:r w:rsidR="00C66F82" w:rsidRPr="00400349">
        <w:rPr>
          <w:color w:val="auto"/>
        </w:rPr>
        <w:t>Crime and Disorder Act 1998 (UK), s 28</w:t>
      </w:r>
      <w:r w:rsidR="00B77B59" w:rsidRPr="00400349">
        <w:rPr>
          <w:color w:val="auto"/>
        </w:rPr>
        <w:t>(1)</w:t>
      </w:r>
      <w:r w:rsidR="002113DC" w:rsidRPr="00400349">
        <w:rPr>
          <w:color w:val="auto"/>
        </w:rPr>
        <w:t xml:space="preserve"> (as amended</w:t>
      </w:r>
      <w:r w:rsidR="007B4318" w:rsidRPr="00400349">
        <w:rPr>
          <w:color w:val="auto"/>
        </w:rPr>
        <w:t xml:space="preserve"> by</w:t>
      </w:r>
      <w:r w:rsidR="00CE1075" w:rsidRPr="00400349">
        <w:rPr>
          <w:color w:val="auto"/>
        </w:rPr>
        <w:t xml:space="preserve"> the</w:t>
      </w:r>
      <w:r w:rsidR="007B4318" w:rsidRPr="00400349">
        <w:rPr>
          <w:color w:val="auto"/>
        </w:rPr>
        <w:t xml:space="preserve"> Crime and Policing </w:t>
      </w:r>
      <w:r w:rsidR="008427D3" w:rsidRPr="00400349">
        <w:rPr>
          <w:color w:val="auto"/>
        </w:rPr>
        <w:t>Act</w:t>
      </w:r>
      <w:r w:rsidR="007B4318" w:rsidRPr="00400349">
        <w:rPr>
          <w:color w:val="auto"/>
        </w:rPr>
        <w:t xml:space="preserve"> </w:t>
      </w:r>
      <w:r w:rsidR="0015622C" w:rsidRPr="00400349">
        <w:rPr>
          <w:color w:val="auto"/>
        </w:rPr>
        <w:t xml:space="preserve">2026 </w:t>
      </w:r>
      <w:r w:rsidR="00473066" w:rsidRPr="00400349">
        <w:rPr>
          <w:color w:val="auto"/>
        </w:rPr>
        <w:t>(UK</w:t>
      </w:r>
      <w:r w:rsidR="007C5564" w:rsidRPr="00400349">
        <w:rPr>
          <w:color w:val="auto"/>
        </w:rPr>
        <w:t xml:space="preserve">), </w:t>
      </w:r>
      <w:r w:rsidR="008427D3" w:rsidRPr="00400349">
        <w:rPr>
          <w:color w:val="auto"/>
        </w:rPr>
        <w:t>s</w:t>
      </w:r>
      <w:r w:rsidR="007C5564" w:rsidRPr="00400349">
        <w:rPr>
          <w:color w:val="auto"/>
        </w:rPr>
        <w:t xml:space="preserve"> 14</w:t>
      </w:r>
      <w:r w:rsidR="008427D3" w:rsidRPr="00400349">
        <w:rPr>
          <w:color w:val="auto"/>
        </w:rPr>
        <w:t>5</w:t>
      </w:r>
      <w:r w:rsidR="007C5564" w:rsidRPr="00400349">
        <w:rPr>
          <w:color w:val="auto"/>
        </w:rPr>
        <w:t>)</w:t>
      </w:r>
      <w:r w:rsidR="00C66F82" w:rsidRPr="00400349">
        <w:rPr>
          <w:color w:val="auto"/>
        </w:rPr>
        <w:t>.</w:t>
      </w:r>
      <w:r w:rsidR="0003691C" w:rsidRPr="00400349">
        <w:rPr>
          <w:color w:val="auto"/>
        </w:rPr>
        <w:t xml:space="preserve"> </w:t>
      </w:r>
      <w:r w:rsidR="00D22772" w:rsidRPr="00400349">
        <w:rPr>
          <w:color w:val="auto"/>
        </w:rPr>
        <w:t>In the Republic of Ireland, both specific hate crime offences and the sentence aggravation provision apply to the same closed list of protected characteristics</w:t>
      </w:r>
      <w:r w:rsidR="00846C34" w:rsidRPr="00400349">
        <w:rPr>
          <w:color w:val="auto"/>
        </w:rPr>
        <w:t>: Criminal Justice (Hate Offences) Act 2024</w:t>
      </w:r>
      <w:r w:rsidR="00473066" w:rsidRPr="00400349">
        <w:rPr>
          <w:color w:val="auto"/>
        </w:rPr>
        <w:t xml:space="preserve"> (Ireland)</w:t>
      </w:r>
      <w:r w:rsidR="00950CF3" w:rsidRPr="00400349">
        <w:rPr>
          <w:color w:val="auto"/>
        </w:rPr>
        <w:t>, ss 3(1) and 5–8.</w:t>
      </w:r>
    </w:p>
  </w:footnote>
  <w:footnote w:id="356">
    <w:p w14:paraId="77BDAA12" w14:textId="5BEBA8AC" w:rsidR="00296C32" w:rsidRPr="00400349" w:rsidRDefault="00296C32">
      <w:pPr>
        <w:pStyle w:val="FootnoteText"/>
      </w:pPr>
      <w:r w:rsidRPr="00400349">
        <w:rPr>
          <w:rStyle w:val="FootnoteReference"/>
        </w:rPr>
        <w:footnoteRef/>
      </w:r>
      <w:r w:rsidRPr="00400349">
        <w:t xml:space="preserve"> </w:t>
      </w:r>
      <w:r w:rsidRPr="00400349">
        <w:tab/>
        <w:t>Crown Prosecution Service “Racist and Religious Hate Crime — Prosecution Guidance” (3 March 2022) &lt;</w:t>
      </w:r>
      <w:r w:rsidR="00EC1B62" w:rsidRPr="00400349">
        <w:t>www.cps.gov.uk</w:t>
      </w:r>
      <w:r w:rsidRPr="00400349">
        <w:t>&gt;.</w:t>
      </w:r>
      <w:r w:rsidR="003728BE" w:rsidRPr="00400349">
        <w:t xml:space="preserve"> The guidance states that</w:t>
      </w:r>
      <w:r w:rsidR="00D13A9A">
        <w:t>,</w:t>
      </w:r>
      <w:r w:rsidR="003728BE" w:rsidRPr="00400349">
        <w:t xml:space="preserve"> in the case of offences that could be charged as specific hate crime offences, it would not usually be appropriate following conviction for the base offence to then to seek to introduce evidence that the hostility aggravating factor applies at sentencing. </w:t>
      </w:r>
      <w:r w:rsidR="001C0209" w:rsidRPr="00400349">
        <w:t>This would amount to introducing evidence of a more serious offence than that for which the defendant has been convicted</w:t>
      </w:r>
      <w:r w:rsidR="00CD1A35" w:rsidRPr="00400349">
        <w:t xml:space="preserve">: </w:t>
      </w:r>
      <w:r w:rsidR="00CD1A35" w:rsidRPr="00400349">
        <w:rPr>
          <w:i/>
          <w:iCs/>
        </w:rPr>
        <w:t>R v Druce</w:t>
      </w:r>
      <w:r w:rsidR="00FC660A" w:rsidRPr="00400349">
        <w:rPr>
          <w:i/>
          <w:iCs/>
        </w:rPr>
        <w:t xml:space="preserve"> </w:t>
      </w:r>
      <w:r w:rsidR="00CD1A35" w:rsidRPr="00400349">
        <w:t>(1993) 14 Cr App R (S) 691;</w:t>
      </w:r>
      <w:r w:rsidR="00CD1A35" w:rsidRPr="00400349">
        <w:rPr>
          <w:rFonts w:ascii="Calibri" w:hAnsi="Calibri" w:cs="Calibri"/>
        </w:rPr>
        <w:t> </w:t>
      </w:r>
      <w:r w:rsidR="00CD1A35" w:rsidRPr="00400349">
        <w:t xml:space="preserve">and </w:t>
      </w:r>
      <w:r w:rsidR="00CD1A35" w:rsidRPr="00400349">
        <w:rPr>
          <w:i/>
          <w:iCs/>
        </w:rPr>
        <w:t>R v Davies</w:t>
      </w:r>
      <w:r w:rsidR="00CD1A35" w:rsidRPr="00400349">
        <w:rPr>
          <w:rFonts w:ascii="Calibri" w:hAnsi="Calibri" w:cs="Calibri"/>
        </w:rPr>
        <w:t> </w:t>
      </w:r>
      <w:r w:rsidR="00CD1A35" w:rsidRPr="00400349">
        <w:t xml:space="preserve">(1998) 1 Cr App R (S) 380. Similar case law applies in New Zealand: see </w:t>
      </w:r>
      <w:r w:rsidR="004704A2" w:rsidRPr="00400349">
        <w:rPr>
          <w:i/>
          <w:color w:val="auto"/>
        </w:rPr>
        <w:t xml:space="preserve">R v Daley </w:t>
      </w:r>
      <w:r w:rsidR="004704A2" w:rsidRPr="00400349">
        <w:rPr>
          <w:color w:val="auto"/>
        </w:rPr>
        <w:t xml:space="preserve">[2025] NZHC 3150 at [40]–[43]; </w:t>
      </w:r>
      <w:r w:rsidR="004704A2" w:rsidRPr="00400349">
        <w:rPr>
          <w:i/>
          <w:color w:val="auto"/>
        </w:rPr>
        <w:t xml:space="preserve">Paraha v New Zealand Police </w:t>
      </w:r>
      <w:r w:rsidR="004704A2" w:rsidRPr="00400349">
        <w:rPr>
          <w:color w:val="auto"/>
        </w:rPr>
        <w:t xml:space="preserve">[2017] NZHC 1887 at [15]–[19]; and </w:t>
      </w:r>
      <w:r w:rsidR="004704A2" w:rsidRPr="00400349">
        <w:rPr>
          <w:i/>
        </w:rPr>
        <w:t>Rodgers v R</w:t>
      </w:r>
      <w:r w:rsidR="004704A2" w:rsidRPr="00400349">
        <w:t xml:space="preserve"> [2018] NZHC 1800 at [28]–[31].</w:t>
      </w:r>
    </w:p>
  </w:footnote>
  <w:footnote w:id="357">
    <w:p w14:paraId="63403125" w14:textId="77777777"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color w:val="auto"/>
          <w:lang w:eastAsia="en-AU"/>
        </w:rPr>
        <w:t>Hate Crime and Public Order (Scotland) Act 2021 (UK), s 2.</w:t>
      </w:r>
    </w:p>
  </w:footnote>
  <w:footnote w:id="358">
    <w:p w14:paraId="30AA4B15" w14:textId="0404D292"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Al</w:t>
      </w:r>
      <w:r w:rsidR="00E14A91" w:rsidRPr="00400349">
        <w:rPr>
          <w:color w:val="auto"/>
        </w:rPr>
        <w:t>a</w:t>
      </w:r>
      <w:r w:rsidRPr="00400349">
        <w:rPr>
          <w:color w:val="auto"/>
        </w:rPr>
        <w:t xml:space="preserve">stair P Campbell </w:t>
      </w:r>
      <w:r w:rsidRPr="00400349">
        <w:rPr>
          <w:i/>
          <w:color w:val="auto"/>
        </w:rPr>
        <w:t>Independent Review of Hate Crime Legislation in Scotland: Final Report</w:t>
      </w:r>
      <w:r w:rsidRPr="00400349">
        <w:rPr>
          <w:color w:val="auto"/>
        </w:rPr>
        <w:t xml:space="preserve"> (Justice Directorate, May 2018) at [10.38].</w:t>
      </w:r>
    </w:p>
  </w:footnote>
  <w:footnote w:id="359">
    <w:p w14:paraId="100F3B06" w14:textId="77777777"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Desmond Marrinan </w:t>
      </w:r>
      <w:r w:rsidRPr="00400349">
        <w:rPr>
          <w:i/>
          <w:color w:val="auto"/>
        </w:rPr>
        <w:t>Hate crime legislation in Northern Ireland: Independent Review</w:t>
      </w:r>
      <w:r w:rsidRPr="00400349">
        <w:rPr>
          <w:color w:val="auto"/>
        </w:rPr>
        <w:t xml:space="preserve"> (Department of Justice, November 2020) at 10 (recommendation 2).</w:t>
      </w:r>
    </w:p>
  </w:footnote>
  <w:footnote w:id="360">
    <w:p w14:paraId="33581937" w14:textId="45F454CF"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Department of Justice </w:t>
      </w:r>
      <w:r w:rsidRPr="00400349">
        <w:rPr>
          <w:i/>
          <w:color w:val="auto"/>
        </w:rPr>
        <w:t xml:space="preserve">Review of hate crime legislation in Northern Ireland — departmental response </w:t>
      </w:r>
      <w:r w:rsidRPr="00400349">
        <w:rPr>
          <w:color w:val="auto"/>
        </w:rPr>
        <w:t>(July 2021) at [9]</w:t>
      </w:r>
      <w:r w:rsidR="00B6317B" w:rsidRPr="00400349">
        <w:rPr>
          <w:color w:val="auto"/>
        </w:rPr>
        <w:t>;</w:t>
      </w:r>
      <w:r w:rsidRPr="00400349">
        <w:rPr>
          <w:color w:val="auto"/>
        </w:rPr>
        <w:t xml:space="preserve"> and </w:t>
      </w:r>
      <w:bookmarkStart w:id="127" w:name="_Hlk224569963"/>
      <w:r w:rsidRPr="00400349">
        <w:rPr>
          <w:color w:val="auto"/>
        </w:rPr>
        <w:t>Criminal Justice (Sentencing etc) Bill 2026 (26/22</w:t>
      </w:r>
      <w:r w:rsidR="00135C63" w:rsidRPr="00400349">
        <w:rPr>
          <w:color w:val="auto"/>
        </w:rPr>
        <w:t>-</w:t>
      </w:r>
      <w:r w:rsidRPr="00400349">
        <w:rPr>
          <w:color w:val="auto"/>
        </w:rPr>
        <w:t>27) (</w:t>
      </w:r>
      <w:r w:rsidR="00137A62" w:rsidRPr="00400349">
        <w:rPr>
          <w:color w:val="auto"/>
        </w:rPr>
        <w:t>UK</w:t>
      </w:r>
      <w:r w:rsidRPr="00400349">
        <w:rPr>
          <w:color w:val="auto"/>
        </w:rPr>
        <w:t xml:space="preserve">), cls 33–35. </w:t>
      </w:r>
      <w:bookmarkEnd w:id="127"/>
    </w:p>
  </w:footnote>
  <w:footnote w:id="361">
    <w:p w14:paraId="55CC2A1F" w14:textId="77777777"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w:t>
      </w:r>
      <w:r w:rsidRPr="00400349">
        <w:rPr>
          <w:color w:val="auto"/>
          <w:lang w:val="mi-NZ"/>
        </w:rPr>
        <w:t xml:space="preserve">(England and Wales) </w:t>
      </w:r>
      <w:r w:rsidRPr="00400349">
        <w:rPr>
          <w:i/>
          <w:color w:val="auto"/>
        </w:rPr>
        <w:t xml:space="preserve">Hate crime laws: A consultation paper </w:t>
      </w:r>
      <w:r w:rsidRPr="00400349">
        <w:rPr>
          <w:color w:val="auto"/>
        </w:rPr>
        <w:t>(CP250, 2020) at [16.158].</w:t>
      </w:r>
    </w:p>
  </w:footnote>
  <w:footnote w:id="362">
    <w:p w14:paraId="1478CA9F" w14:textId="21B56435"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w:t>
      </w:r>
      <w:r w:rsidRPr="00400349">
        <w:rPr>
          <w:color w:val="auto"/>
          <w:lang w:val="mi-NZ"/>
        </w:rPr>
        <w:t xml:space="preserve">(England and Wales) </w:t>
      </w:r>
      <w:r w:rsidRPr="00400349">
        <w:rPr>
          <w:i/>
          <w:color w:val="auto"/>
        </w:rPr>
        <w:t xml:space="preserve">Hate crime laws: A consultation paper </w:t>
      </w:r>
      <w:r w:rsidRPr="00400349">
        <w:rPr>
          <w:color w:val="auto"/>
        </w:rPr>
        <w:t>(CP250, 2020) at [16.32] and [16.34]</w:t>
      </w:r>
      <w:r w:rsidR="00F564DF" w:rsidRPr="00400349">
        <w:rPr>
          <w:color w:val="auto"/>
        </w:rPr>
        <w:t>; and</w:t>
      </w:r>
      <w:r w:rsidRPr="00400349" w:rsidDel="006E5C41">
        <w:rPr>
          <w:color w:val="auto"/>
        </w:rPr>
        <w:t xml:space="preserve"> </w:t>
      </w:r>
      <w:r w:rsidRPr="00400349">
        <w:rPr>
          <w:color w:val="auto"/>
        </w:rPr>
        <w:t xml:space="preserve">Law Commission </w:t>
      </w:r>
      <w:r w:rsidRPr="00400349">
        <w:rPr>
          <w:color w:val="auto"/>
          <w:lang w:val="mi-NZ"/>
        </w:rPr>
        <w:t xml:space="preserve">(England and Wales) </w:t>
      </w:r>
      <w:r w:rsidRPr="00400349">
        <w:rPr>
          <w:i/>
          <w:color w:val="auto"/>
        </w:rPr>
        <w:t xml:space="preserve">Hate crime laws: Final report </w:t>
      </w:r>
      <w:r w:rsidRPr="00400349">
        <w:rPr>
          <w:color w:val="auto"/>
        </w:rPr>
        <w:t>(R402, 2021) at [8.50].</w:t>
      </w:r>
    </w:p>
  </w:footnote>
  <w:footnote w:id="363">
    <w:p w14:paraId="7901E3B1" w14:textId="77777777" w:rsidR="00E56512" w:rsidRPr="00400349" w:rsidRDefault="00E56512" w:rsidP="00E5651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w:t>
      </w:r>
      <w:r w:rsidRPr="00400349">
        <w:rPr>
          <w:color w:val="auto"/>
          <w:lang w:val="mi-NZ"/>
        </w:rPr>
        <w:t xml:space="preserve">(England and Wales) </w:t>
      </w:r>
      <w:r w:rsidRPr="00400349">
        <w:rPr>
          <w:i/>
          <w:color w:val="auto"/>
        </w:rPr>
        <w:t xml:space="preserve">Hate crime laws: Final report </w:t>
      </w:r>
      <w:r w:rsidRPr="00400349">
        <w:rPr>
          <w:color w:val="auto"/>
        </w:rPr>
        <w:t xml:space="preserve">(R402, 2021) at [8.51]; and Law Commission </w:t>
      </w:r>
      <w:r w:rsidRPr="00400349">
        <w:rPr>
          <w:color w:val="auto"/>
          <w:lang w:val="mi-NZ"/>
        </w:rPr>
        <w:t xml:space="preserve">(England and Wales) </w:t>
      </w:r>
      <w:r w:rsidRPr="00400349">
        <w:rPr>
          <w:i/>
          <w:color w:val="auto"/>
        </w:rPr>
        <w:t xml:space="preserve">Hate crime laws: A consultation paper </w:t>
      </w:r>
      <w:r w:rsidRPr="00400349">
        <w:rPr>
          <w:color w:val="auto"/>
        </w:rPr>
        <w:t>(CP250, 2020) at [16.172] and [17.49].</w:t>
      </w:r>
    </w:p>
  </w:footnote>
  <w:footnote w:id="364">
    <w:p w14:paraId="4BAB5D8E" w14:textId="15406E24" w:rsidR="005B02A2" w:rsidRPr="00400349" w:rsidRDefault="005B02A2">
      <w:pPr>
        <w:pStyle w:val="FootnoteText"/>
      </w:pPr>
      <w:r w:rsidRPr="00400349">
        <w:rPr>
          <w:rStyle w:val="FootnoteReference"/>
        </w:rPr>
        <w:footnoteRef/>
      </w:r>
      <w:r w:rsidRPr="00400349">
        <w:t xml:space="preserve"> </w:t>
      </w:r>
      <w:r w:rsidRPr="00400349">
        <w:tab/>
      </w:r>
      <w:r w:rsidRPr="00400349">
        <w:rPr>
          <w:color w:val="auto"/>
        </w:rPr>
        <w:t xml:space="preserve">Te Aka Matua o te Ture | Law Commission </w:t>
      </w:r>
      <w:r w:rsidRPr="00400349">
        <w:rPr>
          <w:i/>
          <w:color w:val="auto"/>
        </w:rPr>
        <w:t>Hara ngākau kino | Hate crime: Consultation Paper</w:t>
      </w:r>
      <w:r w:rsidRPr="00400349">
        <w:rPr>
          <w:color w:val="auto"/>
        </w:rPr>
        <w:t xml:space="preserve"> (NZLC IP55, 2025) (Consultation Paper), ch 8.</w:t>
      </w:r>
    </w:p>
  </w:footnote>
  <w:footnote w:id="365">
    <w:p w14:paraId="14E8F711" w14:textId="3AC0FCC1" w:rsidR="00C463FB" w:rsidRPr="00400349" w:rsidRDefault="00C463FB" w:rsidP="00C463F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Destiny Church New Zealand; Free Speech Union; Justice for Palestine, Alternative Jewish Voices and Dayenu (joint submission); Luke Cunningham Clere; New Zealand Federation of Business and Professional Women; New Zealand Jewish Council; Te Kāhui Ture o Aotearoa | New Zealand Law Society; Ratonga Wawao ā-</w:t>
      </w:r>
      <w:r w:rsidR="00EE3BB2" w:rsidRPr="00400349">
        <w:rPr>
          <w:color w:val="auto"/>
        </w:rPr>
        <w:t xml:space="preserve">Ture </w:t>
      </w:r>
      <w:r w:rsidRPr="00400349">
        <w:rPr>
          <w:color w:val="auto"/>
        </w:rPr>
        <w:t>Tūmatanui | Public Defence Service; Te Kāhui o Ināia Tonu Nei Charitable Trust; and Roelie van Rijs.</w:t>
      </w:r>
    </w:p>
  </w:footnote>
  <w:footnote w:id="366">
    <w:p w14:paraId="485AFC73" w14:textId="77777777" w:rsidR="00C463FB" w:rsidRPr="00400349" w:rsidRDefault="00C463FB" w:rsidP="00C463F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Disabled Persons Assembly and VisAble (joint submission); Donald Beasley Institute and People First New Zealand (joint submission); Russell Hoban; Inclusive Aotearoa Collective Tāhono; Dr Kyle R Matthews; and Submission 43.</w:t>
      </w:r>
    </w:p>
  </w:footnote>
  <w:footnote w:id="367">
    <w:p w14:paraId="6593A73C" w14:textId="46AC2455" w:rsidR="00C463FB" w:rsidRPr="00400349" w:rsidRDefault="00C463FB" w:rsidP="00C463F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Tari Ture o te Karauna | Crown Law; Sikh Council of New Zealand; Submission 26; and </w:t>
      </w:r>
      <w:r w:rsidR="00B3030C" w:rsidRPr="00400349">
        <w:rPr>
          <w:color w:val="auto"/>
        </w:rPr>
        <w:t>M</w:t>
      </w:r>
      <w:r w:rsidRPr="00400349">
        <w:rPr>
          <w:color w:val="auto"/>
        </w:rPr>
        <w:t>embers of Te Hunga Rōia Māori o Aotearoa.</w:t>
      </w:r>
    </w:p>
  </w:footnote>
  <w:footnote w:id="368">
    <w:p w14:paraId="6C83925E" w14:textId="77777777" w:rsidR="00C463FB" w:rsidRPr="00400349" w:rsidRDefault="00C463FB" w:rsidP="00C463F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John McDonald-Wharry.</w:t>
      </w:r>
    </w:p>
  </w:footnote>
  <w:footnote w:id="369">
    <w:p w14:paraId="1BA87596"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Disabled Persons Assembly and VisAble (joint submission); Donald Beasley Institute and People First New Zealand (joint submission); Grey Power New Zealand; Inclusive Aotearoa Collective Tāhono; and Parents of Vision Impaired.</w:t>
      </w:r>
    </w:p>
  </w:footnote>
  <w:footnote w:id="370">
    <w:p w14:paraId="28B3C945"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Lesbian Action for Visibility in Aotearoa; Pride in Law Otago; New Zealand Federation of Business and Professional Women; New Zealand Jewish Council; Te Kāhui o Ināia Tonu Nei Charitable Trust; and Women’s Rights Party.</w:t>
      </w:r>
    </w:p>
  </w:footnote>
  <w:footnote w:id="371">
    <w:p w14:paraId="08A93538"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Disabled Persons Assembly and VisAble (joint submission); Dr Sanjana Hattotuwa; Submission 43; The Law Association of New Zealand Criminal Law Committee; Dr Mark Walters; and Dr Chris Wilson.</w:t>
      </w:r>
    </w:p>
  </w:footnote>
  <w:footnote w:id="372">
    <w:p w14:paraId="5E6B5D9D" w14:textId="3B5EA445"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Madeline Ash; The Law Association of New Zealand Criminal Law Committee; and Dr Mark Walters. See also the submission of </w:t>
      </w:r>
      <w:r w:rsidR="00724806" w:rsidRPr="00400349">
        <w:rPr>
          <w:color w:val="auto"/>
        </w:rPr>
        <w:t>M</w:t>
      </w:r>
      <w:r w:rsidRPr="00400349">
        <w:rPr>
          <w:color w:val="auto"/>
        </w:rPr>
        <w:t>embers of Te Hunga Rōia Māori o Aotearoa, which made a similar point but did not take a clear position on whether the legal model should be changed.</w:t>
      </w:r>
    </w:p>
  </w:footnote>
  <w:footnote w:id="373">
    <w:p w14:paraId="1A783EF7" w14:textId="77777777" w:rsidR="00DF3140" w:rsidRPr="00400349" w:rsidRDefault="00DF3140" w:rsidP="00DF314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Dr Sanjana Hattotuwa; Inclusive Aotearoa Collective Tāhono; Murray Stirling; and Dr Chris Wilson.</w:t>
      </w:r>
    </w:p>
  </w:footnote>
  <w:footnote w:id="374">
    <w:p w14:paraId="57F339AF"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Law Association of New Zealand Criminal Law Committee.</w:t>
      </w:r>
    </w:p>
  </w:footnote>
  <w:footnote w:id="375">
    <w:p w14:paraId="28F8CCC3"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Sanjana Hattotuwa; Russell Hoban; Inclusive Aotearoa Collective Tāhono; Parents of Vision Impaired; and Murray Stirling.</w:t>
      </w:r>
    </w:p>
  </w:footnote>
  <w:footnote w:id="376">
    <w:p w14:paraId="6BD414AD"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Disabled Persons Assembly and VisAble (joint submission); Dr Kyle R Matthews; The Law Association of New Zealand Criminal Law Committee; Dr Mark Walters; and Tamsen Williams.</w:t>
      </w:r>
    </w:p>
  </w:footnote>
  <w:footnote w:id="377">
    <w:p w14:paraId="422A27C2"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Donald Beasley Institute and People First New Zealand (joint submission); Grey Power New Zealand; Ruth Jones; Amos Mann; Submission 26; Submission 43; Submission 77; and Dr Chris Wilson.</w:t>
      </w:r>
    </w:p>
  </w:footnote>
  <w:footnote w:id="378">
    <w:p w14:paraId="66442181"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Bromell; Te Tari Ture o te Karauna | Crown Law; Dr David Harvey; Luke Cunningham Clere; Maxim Institute; New Zealand Federation of Business and Professional Women; New Zealand Jewish Council; Tim O’Sullivan; Pride in Law Otago; Submission 72; and The Law Association of New Zealand Criminal Law Committee.</w:t>
      </w:r>
    </w:p>
  </w:footnote>
  <w:footnote w:id="379">
    <w:p w14:paraId="5EC63E82"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Te Tari Ture o te Karauna | Crown Law; Luke Cunningham Clere; and New Zealand Jewish Council.</w:t>
      </w:r>
    </w:p>
  </w:footnote>
  <w:footnote w:id="380">
    <w:p w14:paraId="7658E999" w14:textId="5AC95A8F"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Kevin Bird; Dr David Bromell; Trevor Dance; Destiny Church New Zealand; Family First; Free Speech Union; Ken Gorbey; Brian Jones; Karun Lakshman; Maire Leadbeater; Lesbian Action for Visibility in Aotearoa; Tim O’Sullivan; Ratonga Wawao ā-</w:t>
      </w:r>
      <w:r w:rsidR="00167DF7" w:rsidRPr="00400349">
        <w:rPr>
          <w:color w:val="auto"/>
        </w:rPr>
        <w:t xml:space="preserve">Ture </w:t>
      </w:r>
      <w:r w:rsidRPr="00400349">
        <w:rPr>
          <w:color w:val="auto"/>
        </w:rPr>
        <w:t>Tūmatanui | Public Defence Service; Submission 58; Submission 63; Submission 72; Submission 76; Submission 79; Submission 88; The Law Association of New Zealand Public and Administrative Law Committee; Peter Williamson; and Women‘s Rights Party.</w:t>
      </w:r>
    </w:p>
  </w:footnote>
  <w:footnote w:id="381">
    <w:p w14:paraId="4C0693C2" w14:textId="6C08BE9D"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Annette Sykes &amp; Co; Te Kāhui Ture o Aotearoa | New Zealand Law Society; a member of Te Hunga Rōia Māori o Aotearoa; and Te Kāhui o In</w:t>
      </w:r>
      <w:r w:rsidR="00167DF7" w:rsidRPr="00400349">
        <w:rPr>
          <w:color w:val="auto"/>
        </w:rPr>
        <w:t>ā</w:t>
      </w:r>
      <w:r w:rsidRPr="00400349">
        <w:rPr>
          <w:color w:val="auto"/>
        </w:rPr>
        <w:t>ia Tonu Nei Charitable Trust.</w:t>
      </w:r>
    </w:p>
  </w:footnote>
  <w:footnote w:id="382">
    <w:p w14:paraId="335F5903" w14:textId="77777777" w:rsidR="009B5897" w:rsidRPr="00400349" w:rsidRDefault="009B5897" w:rsidP="009B5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Federation of Business and Professional Women.</w:t>
      </w:r>
    </w:p>
  </w:footnote>
  <w:footnote w:id="383">
    <w:p w14:paraId="4BF2FD9C"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George Balani; Kevin Bird; Dr David Bromell; Destiny Church New Zealand; Family First; Free Speech Union; Ken Gorbey; Dr David Harvey; Brian Jones; David Le Breton; Lesbian Action for Visibility in Aotearoa; Maxim Institute; New Zealand Federation of Business and Professional Women; Greg Rzesniowiecki; Submission 17; Submission 51; Submission 55; Submission 57; Submission 58; Submission 63; Submission 72; Submission 78; Submission 79; Submission 85; Submission 90; Roelie van Rijs; Peter Williamson; Women’s Rights Party; and Rod Young.</w:t>
      </w:r>
    </w:p>
  </w:footnote>
  <w:footnote w:id="384">
    <w:p w14:paraId="43F82E00"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Free Speech Union; Dr David Harvey; Justice for Palestine, Alternative Jewish Voices and Dayenu (joint submission); Luke Cunningham Clere; Maxim Institute; New Zealand Jewish Council; Te Kāhui Ture o Aotearoa | New Zealand Law Society; Pride in Law Otago; Submission 58; Submission 63; Submission 90; and The Law Association of New Zealand Public and Administrative Law Committee.</w:t>
      </w:r>
    </w:p>
  </w:footnote>
  <w:footnote w:id="385">
    <w:p w14:paraId="23099828"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George Balani; Dr David Bromell; Destiny Church New Zealand; Family First; and Dr David Harvey.</w:t>
      </w:r>
    </w:p>
  </w:footnote>
  <w:footnote w:id="386">
    <w:p w14:paraId="421F0E6C" w14:textId="54CDF0B6"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Ratonga Wawao ā-</w:t>
      </w:r>
      <w:r w:rsidR="001004FC" w:rsidRPr="00400349">
        <w:rPr>
          <w:color w:val="auto"/>
        </w:rPr>
        <w:t xml:space="preserve">Ture </w:t>
      </w:r>
      <w:r w:rsidRPr="00400349">
        <w:rPr>
          <w:color w:val="auto"/>
        </w:rPr>
        <w:t>Tūmatanui | Public Defence Service; and Submission 57.</w:t>
      </w:r>
    </w:p>
  </w:footnote>
  <w:footnote w:id="387">
    <w:p w14:paraId="3C79218C"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and Lesbian Action for Visibility in Aotearoa.</w:t>
      </w:r>
    </w:p>
  </w:footnote>
  <w:footnote w:id="388">
    <w:p w14:paraId="0E08C94F"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Pride in Law Otago; and Te Kāhui o Ināia Tonu Nei Charitable Trust.</w:t>
      </w:r>
    </w:p>
  </w:footnote>
  <w:footnote w:id="389">
    <w:p w14:paraId="021FA030"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Te Kāhui Ture o Aotearoa | New Zealand Law Society.</w:t>
      </w:r>
    </w:p>
  </w:footnote>
  <w:footnote w:id="390">
    <w:p w14:paraId="125105AA" w14:textId="2FF71088"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Free Speech Union; Maxim Institute; Whaikaha | Ministry </w:t>
      </w:r>
      <w:r w:rsidR="00E8463D">
        <w:rPr>
          <w:color w:val="auto"/>
        </w:rPr>
        <w:t>of</w:t>
      </w:r>
      <w:r w:rsidRPr="00400349">
        <w:rPr>
          <w:color w:val="auto"/>
        </w:rPr>
        <w:t xml:space="preserve"> Disabled People; Te Kāhui Ture o Aotearoa | New Zealand Law Society; and Pride in Law Otago.</w:t>
      </w:r>
    </w:p>
  </w:footnote>
  <w:footnote w:id="391">
    <w:p w14:paraId="49531563"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Free Speech Union; Te Kāhui Ture o Aotearoa | New Zealand Law Society; Free Speech Union; and Submission 63.</w:t>
      </w:r>
    </w:p>
  </w:footnote>
  <w:footnote w:id="392">
    <w:p w14:paraId="13686483"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Maxim Institute; and Te Kāhui o Ināia Tonu Nei Charitable Trust.</w:t>
      </w:r>
    </w:p>
  </w:footnote>
  <w:footnote w:id="393">
    <w:p w14:paraId="26E4BE7F"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Maxim Institute.</w:t>
      </w:r>
    </w:p>
  </w:footnote>
  <w:footnote w:id="394">
    <w:p w14:paraId="306CDDDD" w14:textId="77777777" w:rsidR="0071365C" w:rsidRPr="00400349" w:rsidRDefault="0071365C" w:rsidP="0071365C">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Federation of Business and Professional Women.</w:t>
      </w:r>
    </w:p>
  </w:footnote>
  <w:footnote w:id="395">
    <w:p w14:paraId="5509B350" w14:textId="77777777" w:rsidR="00864D29" w:rsidRPr="00400349" w:rsidRDefault="00864D29" w:rsidP="00864D29">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Organization for Security and Co-operation in Europe </w:t>
      </w:r>
      <w:r w:rsidRPr="00400349">
        <w:rPr>
          <w:i/>
          <w:color w:val="auto"/>
        </w:rPr>
        <w:t>Hate Crime Laws: A Practical Guide</w:t>
      </w:r>
      <w:r w:rsidRPr="00400349">
        <w:rPr>
          <w:color w:val="auto"/>
        </w:rPr>
        <w:t xml:space="preserve"> (2nd ed, Office for Democratic Institutions and Human Rights, 2022) at 42.</w:t>
      </w:r>
    </w:p>
  </w:footnote>
  <w:footnote w:id="396">
    <w:p w14:paraId="6889AE97" w14:textId="1EA99342" w:rsidR="00E324C2" w:rsidRPr="00400349" w:rsidRDefault="00E324C2" w:rsidP="00E324C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iCs/>
          <w:color w:val="auto"/>
        </w:rPr>
        <w:t>Hate Crime: Should the Current Offences be Extended?</w:t>
      </w:r>
      <w:r w:rsidRPr="00400349">
        <w:rPr>
          <w:color w:val="auto"/>
        </w:rPr>
        <w:t xml:space="preserve"> (R348, 2014) at [4.65]–[4.88]; Law Commission (England and Wales) </w:t>
      </w:r>
      <w:r w:rsidRPr="00400349">
        <w:rPr>
          <w:i/>
          <w:iCs/>
          <w:color w:val="auto"/>
        </w:rPr>
        <w:t xml:space="preserve">Hate crime laws: A consultation paper </w:t>
      </w:r>
      <w:r w:rsidRPr="00400349">
        <w:rPr>
          <w:color w:val="auto"/>
        </w:rPr>
        <w:t>(CP250, 2020) at [16.23]</w:t>
      </w:r>
      <w:r w:rsidR="009321EC" w:rsidRPr="00400349">
        <w:rPr>
          <w:color w:val="auto"/>
        </w:rPr>
        <w:t xml:space="preserve">; and Organization for Security and Co-operation in Europe </w:t>
      </w:r>
      <w:r w:rsidR="009321EC" w:rsidRPr="00400349">
        <w:rPr>
          <w:i/>
          <w:color w:val="auto"/>
        </w:rPr>
        <w:t>Hate Crime Laws: A Practical Guide</w:t>
      </w:r>
      <w:r w:rsidR="009321EC" w:rsidRPr="00400349">
        <w:rPr>
          <w:color w:val="auto"/>
        </w:rPr>
        <w:t xml:space="preserve"> (2nd ed, Office for Democratic Institutions and Human Rights, 2022) at 42</w:t>
      </w:r>
      <w:r w:rsidR="00B36DDC" w:rsidRPr="00400349">
        <w:rPr>
          <w:color w:val="auto"/>
        </w:rPr>
        <w:t>.</w:t>
      </w:r>
    </w:p>
  </w:footnote>
  <w:footnote w:id="397">
    <w:p w14:paraId="04FBD5DD" w14:textId="77777777" w:rsidR="00E324C2" w:rsidRPr="00400349" w:rsidRDefault="00E324C2" w:rsidP="00E324C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iCs/>
          <w:color w:val="auto"/>
        </w:rPr>
        <w:t>Hate Crime: Should the Current Offences be Extended?</w:t>
      </w:r>
      <w:r w:rsidRPr="00400349">
        <w:rPr>
          <w:color w:val="auto"/>
        </w:rPr>
        <w:t xml:space="preserve"> (R348, 2014) at [4.139]–[4.147]; and Law Commission (England and Wales) </w:t>
      </w:r>
      <w:r w:rsidRPr="00400349">
        <w:rPr>
          <w:i/>
          <w:iCs/>
          <w:color w:val="auto"/>
        </w:rPr>
        <w:t xml:space="preserve">Hate crime laws: A consultation paper </w:t>
      </w:r>
      <w:r w:rsidRPr="00400349">
        <w:rPr>
          <w:color w:val="auto"/>
        </w:rPr>
        <w:t xml:space="preserve">(CP250, 2020) at [16.23]. </w:t>
      </w:r>
    </w:p>
  </w:footnote>
  <w:footnote w:id="398">
    <w:p w14:paraId="598F3A91" w14:textId="77777777" w:rsidR="00A341E2" w:rsidRPr="00400349" w:rsidRDefault="00A341E2" w:rsidP="00A341E2">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iCs/>
          <w:color w:val="auto"/>
        </w:rPr>
        <w:t>Hate Crime: Should the Current Offences be Extended?</w:t>
      </w:r>
      <w:r w:rsidRPr="00400349">
        <w:rPr>
          <w:color w:val="auto"/>
        </w:rPr>
        <w:t xml:space="preserve"> (R348, 2014) at [4.99]–[4.100].</w:t>
      </w:r>
    </w:p>
  </w:footnote>
  <w:footnote w:id="399">
    <w:p w14:paraId="102710E1" w14:textId="77777777" w:rsidR="00384027" w:rsidRPr="00400349" w:rsidRDefault="00384027" w:rsidP="0038402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Mark Walters and others </w:t>
      </w:r>
      <w:r w:rsidRPr="00400349">
        <w:rPr>
          <w:i/>
          <w:iCs/>
          <w:color w:val="auto"/>
        </w:rPr>
        <w:t xml:space="preserve">Hate Crime and the Legal Process: Options for Law Reform </w:t>
      </w:r>
      <w:r w:rsidRPr="00400349">
        <w:rPr>
          <w:color w:val="auto"/>
        </w:rPr>
        <w:t xml:space="preserve">(University of Sussex, October 2017) at 73, referring to a 2002 Home Office study that found racially aggravated offences were frequently contested, with offenders fearing the racist label and enhanced penalty: Elizabeth Burney and Gerry Rose </w:t>
      </w:r>
      <w:r w:rsidRPr="00400349">
        <w:rPr>
          <w:i/>
          <w:iCs/>
          <w:color w:val="auto"/>
        </w:rPr>
        <w:t xml:space="preserve">Racist Offences: How is the Law Working? </w:t>
      </w:r>
      <w:r w:rsidRPr="00400349">
        <w:rPr>
          <w:color w:val="auto"/>
        </w:rPr>
        <w:t>(Home Office Research Study 244, 2002) at 91.</w:t>
      </w:r>
    </w:p>
  </w:footnote>
  <w:footnote w:id="400">
    <w:p w14:paraId="087810DC" w14:textId="31CFFE14" w:rsidR="006E1ADE" w:rsidRPr="00400349" w:rsidRDefault="006E1ADE" w:rsidP="006E1AD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 xml:space="preserve">Hate Crime: Should the Current Offences </w:t>
      </w:r>
      <w:r w:rsidRPr="00400349">
        <w:rPr>
          <w:i/>
          <w:iCs/>
          <w:color w:val="auto"/>
        </w:rPr>
        <w:t>b</w:t>
      </w:r>
      <w:r w:rsidRPr="00400349">
        <w:rPr>
          <w:i/>
          <w:color w:val="auto"/>
        </w:rPr>
        <w:t>e Extended?</w:t>
      </w:r>
      <w:r w:rsidRPr="00400349">
        <w:rPr>
          <w:color w:val="auto"/>
        </w:rPr>
        <w:t xml:space="preserve"> (R348, 2014) at [4.178]</w:t>
      </w:r>
      <w:r w:rsidR="00A721E9">
        <w:rPr>
          <w:color w:val="auto"/>
        </w:rPr>
        <w:t>–</w:t>
      </w:r>
      <w:r w:rsidRPr="00400349">
        <w:rPr>
          <w:color w:val="auto"/>
        </w:rPr>
        <w:t xml:space="preserve">[4.180]; Abenaa Owusu-Bempah, Mark Austin Walters and Susann Wiedlitzka “Racially and Religiously Aggravated Offences: “God’s gift to defence”? (Sussex Research Online, 2019) at 10–11; Organization for Security and Co-operation in Europe </w:t>
      </w:r>
      <w:r w:rsidRPr="00400349">
        <w:rPr>
          <w:i/>
          <w:color w:val="auto"/>
        </w:rPr>
        <w:t>Hate Crime Laws: A Practical Guide</w:t>
      </w:r>
      <w:r w:rsidRPr="00400349">
        <w:rPr>
          <w:color w:val="auto"/>
        </w:rPr>
        <w:t xml:space="preserve"> (2nd ed, Office for Democratic Institutions and Human Rights, 2022) at 42–43; and Law Commission (England and Wales) </w:t>
      </w:r>
      <w:r w:rsidRPr="00400349">
        <w:rPr>
          <w:i/>
          <w:color w:val="auto"/>
        </w:rPr>
        <w:t>Hate crime laws: A consultation paper</w:t>
      </w:r>
      <w:r w:rsidRPr="00400349">
        <w:rPr>
          <w:color w:val="auto"/>
        </w:rPr>
        <w:t xml:space="preserve"> (CP250, 2020) at [16.24].</w:t>
      </w:r>
    </w:p>
  </w:footnote>
  <w:footnote w:id="401">
    <w:p w14:paraId="45BF41F5" w14:textId="7F353F8C" w:rsidR="00384027" w:rsidRPr="00400349" w:rsidRDefault="00384027" w:rsidP="00384027">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8146DD" w:rsidRPr="00400349">
        <w:rPr>
          <w:color w:val="auto"/>
          <w:lang w:val="mi-NZ"/>
        </w:rPr>
        <w:t xml:space="preserve">Te Tari Ture o te Karauna | Crown Law </w:t>
      </w:r>
      <w:r w:rsidR="008146DD" w:rsidRPr="00400349">
        <w:rPr>
          <w:i/>
          <w:color w:val="auto"/>
          <w:lang w:val="mi-NZ"/>
        </w:rPr>
        <w:t>The Solicitor-General’s Prosecution Guidelines: Decisions to prosecute</w:t>
      </w:r>
      <w:r w:rsidR="008146DD" w:rsidRPr="00400349">
        <w:rPr>
          <w:color w:val="auto"/>
          <w:lang w:val="mi-NZ"/>
        </w:rPr>
        <w:t xml:space="preserve"> (2024) at </w:t>
      </w:r>
      <w:r w:rsidRPr="00400349">
        <w:rPr>
          <w:color w:val="auto"/>
        </w:rPr>
        <w:t>[58].</w:t>
      </w:r>
    </w:p>
  </w:footnote>
  <w:footnote w:id="402">
    <w:p w14:paraId="46C43426" w14:textId="77777777" w:rsidR="00201DAE" w:rsidRPr="00400349" w:rsidRDefault="00201DAE" w:rsidP="00201DA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w:t>
      </w:r>
      <w:r w:rsidRPr="00400349">
        <w:rPr>
          <w:color w:val="auto"/>
          <w:lang w:val="mi-NZ"/>
        </w:rPr>
        <w:t xml:space="preserve">(England and Wales) </w:t>
      </w:r>
      <w:r w:rsidRPr="00400349">
        <w:rPr>
          <w:i/>
          <w:color w:val="auto"/>
        </w:rPr>
        <w:t xml:space="preserve">Hate crime laws: Final report </w:t>
      </w:r>
      <w:r w:rsidRPr="00400349">
        <w:rPr>
          <w:color w:val="auto"/>
        </w:rPr>
        <w:t xml:space="preserve">(R402, 2021) at [8.51]; and Law Commission </w:t>
      </w:r>
      <w:r w:rsidRPr="00400349">
        <w:rPr>
          <w:color w:val="auto"/>
          <w:lang w:val="mi-NZ"/>
        </w:rPr>
        <w:t xml:space="preserve">(England and Wales) </w:t>
      </w:r>
      <w:r w:rsidRPr="00400349">
        <w:rPr>
          <w:i/>
          <w:color w:val="auto"/>
        </w:rPr>
        <w:t xml:space="preserve">Hate crime laws: A consultation paper </w:t>
      </w:r>
      <w:r w:rsidRPr="00400349">
        <w:rPr>
          <w:color w:val="auto"/>
        </w:rPr>
        <w:t>(CP250, 2020) at [16.172] and [17.49].</w:t>
      </w:r>
    </w:p>
  </w:footnote>
  <w:footnote w:id="403">
    <w:p w14:paraId="3907FD53" w14:textId="31109A00" w:rsidR="00626CEB" w:rsidRPr="00400349" w:rsidRDefault="00626CEB">
      <w:pPr>
        <w:pStyle w:val="FootnoteText"/>
      </w:pPr>
      <w:r w:rsidRPr="00400349">
        <w:rPr>
          <w:rStyle w:val="FootnoteReference"/>
        </w:rPr>
        <w:footnoteRef/>
      </w:r>
      <w:r w:rsidRPr="00400349">
        <w:t xml:space="preserve"> </w:t>
      </w:r>
      <w:r w:rsidRPr="00400349">
        <w:tab/>
        <w:t xml:space="preserve">In Chapter 6, we recommend that </w:t>
      </w:r>
      <w:r w:rsidR="00FD04B8" w:rsidRPr="00400349">
        <w:t>the application of s 9(1)(h) to an offence be recorded on the permanent court record</w:t>
      </w:r>
      <w:r w:rsidR="00AF1816" w:rsidRPr="00400349">
        <w:t xml:space="preserve"> and </w:t>
      </w:r>
      <w:r w:rsidR="00343AEF" w:rsidRPr="00400349">
        <w:t xml:space="preserve">flagged </w:t>
      </w:r>
      <w:r w:rsidR="00EA3904" w:rsidRPr="00400349">
        <w:t>for the courts in later cases</w:t>
      </w:r>
      <w:r w:rsidR="00FD04B8" w:rsidRPr="00400349">
        <w:t xml:space="preserve">. As we explain in that chapter, </w:t>
      </w:r>
      <w:r w:rsidR="009A68D0" w:rsidRPr="00400349">
        <w:t xml:space="preserve">that is </w:t>
      </w:r>
      <w:r w:rsidR="00835284" w:rsidRPr="00400349">
        <w:t xml:space="preserve">unlikely to have a significant impact on </w:t>
      </w:r>
      <w:r w:rsidR="00501DD8" w:rsidRPr="00400349">
        <w:t>the defendant’s willingness to plead guilty</w:t>
      </w:r>
      <w:r w:rsidR="00C810D0" w:rsidRPr="00400349">
        <w:t xml:space="preserve"> compared to the current law</w:t>
      </w:r>
      <w:r w:rsidR="00501DD8" w:rsidRPr="00400349">
        <w:t>.</w:t>
      </w:r>
      <w:r w:rsidR="00CB4EBB" w:rsidRPr="00400349">
        <w:t xml:space="preserve"> We also explain in Chapter 6 what a conviction history report is and how it differs from </w:t>
      </w:r>
      <w:r w:rsidR="00592A27" w:rsidRPr="00400349">
        <w:t>the criminal records used by the courts.</w:t>
      </w:r>
    </w:p>
  </w:footnote>
  <w:footnote w:id="404">
    <w:p w14:paraId="21AC36A7" w14:textId="6311A179" w:rsidR="00FF313B" w:rsidRPr="00400349" w:rsidRDefault="00FF313B">
      <w:pPr>
        <w:pStyle w:val="FootnoteText"/>
      </w:pPr>
      <w:r w:rsidRPr="00400349">
        <w:rPr>
          <w:rStyle w:val="FootnoteReference"/>
        </w:rPr>
        <w:footnoteRef/>
      </w:r>
      <w:r w:rsidRPr="00400349">
        <w:t xml:space="preserve"> </w:t>
      </w:r>
      <w:r w:rsidRPr="00400349">
        <w:tab/>
      </w:r>
      <w:r w:rsidR="00587BBF" w:rsidRPr="00400349">
        <w:rPr>
          <w:color w:val="auto"/>
          <w:lang w:val="mi-NZ"/>
        </w:rPr>
        <w:t xml:space="preserve">Te Tari Ture o te Karauna | Crown Law </w:t>
      </w:r>
      <w:r w:rsidR="00587BBF" w:rsidRPr="00400349">
        <w:rPr>
          <w:i/>
          <w:color w:val="auto"/>
          <w:lang w:val="mi-NZ"/>
        </w:rPr>
        <w:t>The Solicitor-General’s Prosecution Guidelines: Decisions to prosecute</w:t>
      </w:r>
      <w:r w:rsidR="00587BBF" w:rsidRPr="00400349">
        <w:rPr>
          <w:color w:val="auto"/>
          <w:lang w:val="mi-NZ"/>
        </w:rPr>
        <w:t xml:space="preserve"> (2024) at</w:t>
      </w:r>
      <w:r w:rsidR="00587BBF" w:rsidRPr="00400349">
        <w:rPr>
          <w:color w:val="auto"/>
        </w:rPr>
        <w:t xml:space="preserve"> </w:t>
      </w:r>
      <w:r w:rsidR="00F0532B" w:rsidRPr="00400349">
        <w:rPr>
          <w:color w:val="auto"/>
        </w:rPr>
        <w:t>[70.</w:t>
      </w:r>
      <w:r w:rsidRPr="00400349">
        <w:rPr>
          <w:color w:val="auto"/>
        </w:rPr>
        <w:t>1</w:t>
      </w:r>
      <w:r w:rsidR="00F0532B" w:rsidRPr="00400349">
        <w:rPr>
          <w:color w:val="auto"/>
        </w:rPr>
        <w:t>].</w:t>
      </w:r>
    </w:p>
  </w:footnote>
  <w:footnote w:id="405">
    <w:p w14:paraId="55523303" w14:textId="77777777" w:rsidR="00384027" w:rsidRPr="00400349" w:rsidRDefault="00384027" w:rsidP="0038402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iCs/>
          <w:color w:val="auto"/>
        </w:rPr>
        <w:t>Hate Crime: Should the Current Offences be Extended?</w:t>
      </w:r>
      <w:r w:rsidRPr="00400349">
        <w:rPr>
          <w:color w:val="auto"/>
        </w:rPr>
        <w:t xml:space="preserve"> (R348, 2014) at [4.175] and [5.19]; and Abenaa Owusu-Bempah, Mark Austin Walters and Susann Wiedlitzka “Racially and Religiously Aggravated Offences: “God’s gift to defence”? (Sussex Research Online, 2019) at 21–23.</w:t>
      </w:r>
    </w:p>
  </w:footnote>
  <w:footnote w:id="406">
    <w:p w14:paraId="234A074C" w14:textId="5256A675" w:rsidR="00EC1B14" w:rsidRPr="00400349" w:rsidRDefault="00EC1B14" w:rsidP="00EC1B14">
      <w:pPr>
        <w:pStyle w:val="FootnoteText"/>
      </w:pPr>
      <w:r w:rsidRPr="00400349">
        <w:rPr>
          <w:rStyle w:val="FootnoteReference"/>
        </w:rPr>
        <w:footnoteRef/>
      </w:r>
      <w:r w:rsidRPr="00400349">
        <w:t xml:space="preserve"> </w:t>
      </w:r>
      <w:r w:rsidRPr="00400349">
        <w:tab/>
      </w:r>
      <w:r w:rsidR="00CF589F" w:rsidRPr="00400349">
        <w:rPr>
          <w:color w:val="auto"/>
        </w:rPr>
        <w:t>William Young and Jacqui Caine</w:t>
      </w:r>
      <w:r w:rsidR="00CF589F" w:rsidRPr="00400349">
        <w:rPr>
          <w:i/>
          <w:iCs/>
          <w:color w:val="auto"/>
        </w:rPr>
        <w:t xml:space="preserve"> Ko tō tātou kāinga tēnei: Report of the Royal Commission of Inquiry into the terrorist attack on Christchurch masjidain on 15 March 2019 </w:t>
      </w:r>
      <w:r w:rsidR="00CF589F" w:rsidRPr="00400349">
        <w:rPr>
          <w:color w:val="auto"/>
        </w:rPr>
        <w:t>(26 November 2020)</w:t>
      </w:r>
      <w:r w:rsidR="00CF589F" w:rsidRPr="00400349">
        <w:rPr>
          <w:i/>
          <w:iCs/>
          <w:color w:val="auto"/>
        </w:rPr>
        <w:t xml:space="preserve"> </w:t>
      </w:r>
      <w:r w:rsidR="00AE3388" w:rsidRPr="00400349">
        <w:rPr>
          <w:color w:val="auto"/>
        </w:rPr>
        <w:t xml:space="preserve">at 704; and </w:t>
      </w:r>
      <w:r w:rsidR="00FA6041" w:rsidRPr="00400349">
        <w:rPr>
          <w:color w:val="auto"/>
        </w:rPr>
        <w:t>William Young and Jacqui Caine</w:t>
      </w:r>
      <w:r w:rsidR="00FA6041" w:rsidRPr="00400349">
        <w:rPr>
          <w:i/>
          <w:iCs/>
          <w:color w:val="auto"/>
        </w:rPr>
        <w:t xml:space="preserve"> Hate speech and hate crime related legislation </w:t>
      </w:r>
      <w:r w:rsidR="00FA6041" w:rsidRPr="00400349">
        <w:rPr>
          <w:color w:val="auto"/>
        </w:rPr>
        <w:t>(Royal Commission of Inquiry into the terrorist attack on Christchurch masjidain on 15 March 2019</w:t>
      </w:r>
      <w:r w:rsidR="004A0099" w:rsidRPr="00400349">
        <w:rPr>
          <w:color w:val="auto"/>
        </w:rPr>
        <w:t>,</w:t>
      </w:r>
      <w:r w:rsidR="00FA6041" w:rsidRPr="00400349">
        <w:rPr>
          <w:color w:val="auto"/>
        </w:rPr>
        <w:t xml:space="preserve"> 26 November 2020)</w:t>
      </w:r>
      <w:r w:rsidR="00AE3388" w:rsidRPr="00400349">
        <w:rPr>
          <w:color w:val="auto"/>
        </w:rPr>
        <w:t xml:space="preserve"> </w:t>
      </w:r>
      <w:r w:rsidRPr="00400349">
        <w:t xml:space="preserve">at </w:t>
      </w:r>
      <w:r w:rsidR="001443E7" w:rsidRPr="00400349">
        <w:t>16.</w:t>
      </w:r>
    </w:p>
  </w:footnote>
  <w:footnote w:id="407">
    <w:p w14:paraId="4FA87340" w14:textId="5CE3EC96" w:rsidR="00696849" w:rsidRPr="00400349" w:rsidRDefault="00696849">
      <w:pPr>
        <w:pStyle w:val="FootnoteText"/>
      </w:pPr>
      <w:r w:rsidRPr="00400349">
        <w:rPr>
          <w:rStyle w:val="FootnoteReference"/>
        </w:rPr>
        <w:footnoteRef/>
      </w:r>
      <w:r w:rsidRPr="00400349">
        <w:t xml:space="preserve"> </w:t>
      </w:r>
      <w:r w:rsidRPr="00400349">
        <w:tab/>
      </w:r>
      <w:r w:rsidR="00292990" w:rsidRPr="00400349">
        <w:rPr>
          <w:color w:val="auto"/>
        </w:rPr>
        <w:t xml:space="preserve">Even if the hostility aggravating factor was retained alongside </w:t>
      </w:r>
      <w:r w:rsidR="00496B38" w:rsidRPr="00400349">
        <w:rPr>
          <w:color w:val="auto"/>
        </w:rPr>
        <w:t xml:space="preserve">hate crime </w:t>
      </w:r>
      <w:r w:rsidR="00292990" w:rsidRPr="00400349">
        <w:rPr>
          <w:color w:val="auto"/>
        </w:rPr>
        <w:t xml:space="preserve">offences, it could not be relied on in cases where the defendant could have been charged with a hate crime offence but was not or where the jury acquitted the defendant of a hate crime offence. A sentencing judge cannot sentence an offender as if they committed a different offence with a different mental element (in this context, hostile motivation) of which they were not convicted: </w:t>
      </w:r>
      <w:r w:rsidR="00292990" w:rsidRPr="00400349">
        <w:rPr>
          <w:i/>
          <w:color w:val="auto"/>
        </w:rPr>
        <w:t xml:space="preserve">R v Daley </w:t>
      </w:r>
      <w:r w:rsidR="00292990" w:rsidRPr="00400349">
        <w:rPr>
          <w:color w:val="auto"/>
        </w:rPr>
        <w:t xml:space="preserve">[2025] NZHC 3150 at [40]–[43]; and </w:t>
      </w:r>
      <w:r w:rsidR="00292990" w:rsidRPr="00400349">
        <w:rPr>
          <w:i/>
          <w:color w:val="auto"/>
        </w:rPr>
        <w:t xml:space="preserve">Paraha v New Zealand Police </w:t>
      </w:r>
      <w:r w:rsidR="00292990" w:rsidRPr="00400349">
        <w:rPr>
          <w:color w:val="auto"/>
        </w:rPr>
        <w:t xml:space="preserve">[2017] NZHC 1887 at [15]–[19]. Where an offender has been acquitted of an offence by a jury, the sentencing judge cannot reach a view of the facts that is inconsistent with that verdict: </w:t>
      </w:r>
      <w:r w:rsidR="00292990" w:rsidRPr="00400349">
        <w:rPr>
          <w:i/>
        </w:rPr>
        <w:t>Rodgers v R</w:t>
      </w:r>
      <w:r w:rsidR="00292990" w:rsidRPr="00400349">
        <w:t xml:space="preserve"> [2018] NZHC 1800 at [28]–[31].</w:t>
      </w:r>
    </w:p>
  </w:footnote>
  <w:footnote w:id="408">
    <w:p w14:paraId="6A06BACF" w14:textId="051356A8" w:rsidR="00EC1B14" w:rsidRPr="00400349" w:rsidRDefault="00EC1B14" w:rsidP="00EC1B14">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7(1)(e).</w:t>
      </w:r>
    </w:p>
  </w:footnote>
  <w:footnote w:id="409">
    <w:p w14:paraId="1F398CFD" w14:textId="77777777" w:rsidR="00EC1B14" w:rsidRPr="00400349" w:rsidRDefault="00EC1B14" w:rsidP="00EC1B14">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iCs/>
          <w:color w:val="auto"/>
        </w:rPr>
        <w:t xml:space="preserve">R v Tarrant </w:t>
      </w:r>
      <w:r w:rsidRPr="00400349">
        <w:rPr>
          <w:color w:val="auto"/>
        </w:rPr>
        <w:t xml:space="preserve">[2020] NZHC 2192, [2020] 3 NZLR 15 at [156]; and </w:t>
      </w:r>
      <w:r w:rsidRPr="00400349">
        <w:rPr>
          <w:rFonts w:cstheme="minorHAnsi"/>
          <w:i/>
          <w:iCs/>
          <w:color w:val="auto"/>
          <w:szCs w:val="22"/>
        </w:rPr>
        <w:t xml:space="preserve">Police v Kelland </w:t>
      </w:r>
      <w:r w:rsidRPr="00400349">
        <w:rPr>
          <w:rFonts w:cstheme="minorHAnsi"/>
          <w:color w:val="auto"/>
          <w:szCs w:val="22"/>
        </w:rPr>
        <w:t xml:space="preserve">[2024] NZDC 17908 at [6]–[13]. The public is often made aware of the courts’ denunciation of hostility through media reporting: see for example </w:t>
      </w:r>
      <w:r w:rsidRPr="00400349">
        <w:rPr>
          <w:color w:val="auto"/>
        </w:rPr>
        <w:t xml:space="preserve">Rob Kidd “Violent bus hub attack a ‘hate crime’” </w:t>
      </w:r>
      <w:r w:rsidRPr="00400349">
        <w:rPr>
          <w:i/>
          <w:iCs/>
          <w:color w:val="auto"/>
        </w:rPr>
        <w:t>Otago Daily Times</w:t>
      </w:r>
      <w:r w:rsidRPr="00400349">
        <w:rPr>
          <w:color w:val="auto"/>
        </w:rPr>
        <w:t xml:space="preserve"> (online ed, Dunedin, 31 July 2024); Leighton Keith “Angry man who used racist slur during hate crime had previously bashed old man at swimming pool” </w:t>
      </w:r>
      <w:r w:rsidRPr="00400349">
        <w:rPr>
          <w:i/>
          <w:iCs/>
          <w:color w:val="auto"/>
        </w:rPr>
        <w:t>The New Zealand Herald</w:t>
      </w:r>
      <w:r w:rsidRPr="00400349">
        <w:rPr>
          <w:color w:val="auto"/>
        </w:rPr>
        <w:t xml:space="preserve"> (online ed, Auckland, 19 May 2022); and Chelsea Boyle “Hate crime: More jail time for Fraser Milne who caused horrific crash in racist road rage attack” </w:t>
      </w:r>
      <w:r w:rsidRPr="00400349">
        <w:rPr>
          <w:i/>
          <w:iCs/>
          <w:color w:val="auto"/>
        </w:rPr>
        <w:t>The New Zealand Herald</w:t>
      </w:r>
      <w:r w:rsidRPr="00400349">
        <w:rPr>
          <w:color w:val="auto"/>
        </w:rPr>
        <w:t xml:space="preserve"> (online ed, Auckland, 1 May 2020).</w:t>
      </w:r>
    </w:p>
  </w:footnote>
  <w:footnote w:id="410">
    <w:p w14:paraId="72ADF8E1" w14:textId="6AE6AD6B" w:rsidR="00213897" w:rsidRPr="00400349" w:rsidRDefault="00213897" w:rsidP="00213897">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Crown Prosecution Service </w:t>
      </w:r>
      <w:r w:rsidRPr="00400349">
        <w:rPr>
          <w:i/>
          <w:iCs/>
          <w:color w:val="auto"/>
        </w:rPr>
        <w:t xml:space="preserve">Hate Crime Report 2018–19 </w:t>
      </w:r>
      <w:r w:rsidR="00B07CF8" w:rsidRPr="00400349">
        <w:rPr>
          <w:color w:val="auto"/>
        </w:rPr>
        <w:t>(October 2019)</w:t>
      </w:r>
      <w:r w:rsidRPr="00400349">
        <w:rPr>
          <w:i/>
          <w:iCs/>
          <w:color w:val="auto"/>
        </w:rPr>
        <w:t xml:space="preserve"> </w:t>
      </w:r>
      <w:r w:rsidRPr="00400349">
        <w:rPr>
          <w:color w:val="auto"/>
        </w:rPr>
        <w:t>at 23.</w:t>
      </w:r>
    </w:p>
  </w:footnote>
  <w:footnote w:id="411">
    <w:p w14:paraId="1054F8CF" w14:textId="57C095D4" w:rsidR="00515216" w:rsidRPr="00400349" w:rsidRDefault="00515216">
      <w:pPr>
        <w:pStyle w:val="FootnoteText"/>
        <w:rPr>
          <w:lang w:val="en-US"/>
        </w:rPr>
      </w:pPr>
      <w:r w:rsidRPr="00400349">
        <w:rPr>
          <w:rStyle w:val="FootnoteReference"/>
        </w:rPr>
        <w:footnoteRef/>
      </w:r>
      <w:r w:rsidRPr="00400349">
        <w:t xml:space="preserve"> </w:t>
      </w:r>
      <w:r w:rsidRPr="00400349">
        <w:rPr>
          <w:lang w:val="en-US"/>
        </w:rPr>
        <w:tab/>
      </w:r>
      <w:r w:rsidR="00B31C62" w:rsidRPr="00400349">
        <w:rPr>
          <w:lang w:val="en-US"/>
        </w:rPr>
        <w:t xml:space="preserve">Law Commission (England and Wales) </w:t>
      </w:r>
      <w:r w:rsidR="00B31C62" w:rsidRPr="00400349">
        <w:rPr>
          <w:i/>
          <w:color w:val="auto"/>
        </w:rPr>
        <w:t xml:space="preserve">Hate crime laws: Final report </w:t>
      </w:r>
      <w:r w:rsidR="00B31C62" w:rsidRPr="00400349">
        <w:rPr>
          <w:color w:val="auto"/>
        </w:rPr>
        <w:t>(R402, 2021) at [</w:t>
      </w:r>
      <w:r w:rsidR="00AF15CF" w:rsidRPr="00400349">
        <w:rPr>
          <w:color w:val="auto"/>
        </w:rPr>
        <w:t>8.53].</w:t>
      </w:r>
    </w:p>
  </w:footnote>
  <w:footnote w:id="412">
    <w:p w14:paraId="0C73CE53" w14:textId="77777777" w:rsidR="009E0DBD" w:rsidRPr="00400349" w:rsidRDefault="009E0DBD" w:rsidP="009E0DB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 xml:space="preserve">Hate Crime: Should the Current Offences </w:t>
      </w:r>
      <w:r w:rsidRPr="00400349">
        <w:rPr>
          <w:i/>
          <w:iCs/>
          <w:color w:val="auto"/>
        </w:rPr>
        <w:t>b</w:t>
      </w:r>
      <w:r w:rsidRPr="00400349">
        <w:rPr>
          <w:i/>
          <w:color w:val="auto"/>
        </w:rPr>
        <w:t>e Extended?</w:t>
      </w:r>
      <w:r w:rsidRPr="00400349">
        <w:rPr>
          <w:color w:val="auto"/>
        </w:rPr>
        <w:t xml:space="preserve"> (R348, 2014) at [4.159]–[4.164]; Department of Justice (Ireland) </w:t>
      </w:r>
      <w:r w:rsidRPr="00400349">
        <w:rPr>
          <w:i/>
          <w:color w:val="auto"/>
        </w:rPr>
        <w:t>Learnings from Approaches to Hate Crime in Five Jurisdictions</w:t>
      </w:r>
      <w:r w:rsidRPr="00400349">
        <w:rPr>
          <w:color w:val="auto"/>
        </w:rPr>
        <w:t xml:space="preserve"> (December 2020) at 62–63; and </w:t>
      </w:r>
      <w:r w:rsidRPr="00400349">
        <w:rPr>
          <w:i/>
          <w:color w:val="auto"/>
        </w:rPr>
        <w:t xml:space="preserve">Select </w:t>
      </w:r>
      <w:r w:rsidRPr="00400349">
        <w:rPr>
          <w:i/>
          <w:iCs/>
          <w:color w:val="auto"/>
        </w:rPr>
        <w:t>C</w:t>
      </w:r>
      <w:r w:rsidRPr="00400349">
        <w:rPr>
          <w:i/>
          <w:color w:val="auto"/>
        </w:rPr>
        <w:t xml:space="preserve">ommittee on </w:t>
      </w:r>
      <w:r w:rsidRPr="00400349">
        <w:rPr>
          <w:i/>
          <w:iCs/>
          <w:color w:val="auto"/>
        </w:rPr>
        <w:t>Religious O</w:t>
      </w:r>
      <w:r w:rsidRPr="00400349">
        <w:rPr>
          <w:i/>
          <w:color w:val="auto"/>
        </w:rPr>
        <w:t>ffences in England and Wales: Volume I — Report</w:t>
      </w:r>
      <w:r w:rsidRPr="00400349">
        <w:rPr>
          <w:color w:val="auto"/>
        </w:rPr>
        <w:t xml:space="preserve"> (HL Paper 95–1, 10 April 2003) at [118(i)] and [120].</w:t>
      </w:r>
    </w:p>
  </w:footnote>
  <w:footnote w:id="413">
    <w:p w14:paraId="51BF0E62" w14:textId="34E36629" w:rsidR="009E0DBD" w:rsidRPr="00400349" w:rsidRDefault="009E0DBD" w:rsidP="009E0DB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 xml:space="preserve">Hate Crime: Should the Current Offences </w:t>
      </w:r>
      <w:r w:rsidRPr="00400349">
        <w:rPr>
          <w:i/>
          <w:iCs/>
          <w:color w:val="auto"/>
        </w:rPr>
        <w:t>b</w:t>
      </w:r>
      <w:r w:rsidRPr="00400349">
        <w:rPr>
          <w:i/>
          <w:color w:val="auto"/>
        </w:rPr>
        <w:t>e Extended?</w:t>
      </w:r>
      <w:r w:rsidRPr="00400349">
        <w:rPr>
          <w:color w:val="auto"/>
        </w:rPr>
        <w:t xml:space="preserve"> (R348, 2014) at [4.178]–[4.180]; Abenaa Owusu-Bempah, Mark Austin Walters and Susann Wiedlitzka “Racially and Religiously Aggravated Offences: “God’s gift to defence”? (Sussex Research Online, 2019) at 10–11; Organization for Security and Co-operation in Europe </w:t>
      </w:r>
      <w:r w:rsidRPr="00400349">
        <w:rPr>
          <w:i/>
          <w:color w:val="auto"/>
        </w:rPr>
        <w:t>Hate Crime Laws: A Practical Guide</w:t>
      </w:r>
      <w:r w:rsidRPr="00400349">
        <w:rPr>
          <w:color w:val="auto"/>
        </w:rPr>
        <w:t xml:space="preserve"> (2nd ed, Office for Democratic Institutions and Human Rights, 2022) at 42–43; and Law Commission (England and Wales) </w:t>
      </w:r>
      <w:r w:rsidRPr="00400349">
        <w:rPr>
          <w:i/>
          <w:color w:val="auto"/>
        </w:rPr>
        <w:t>Hate crime laws: A consultation paper</w:t>
      </w:r>
      <w:r w:rsidRPr="00400349">
        <w:rPr>
          <w:color w:val="auto"/>
        </w:rPr>
        <w:t xml:space="preserve"> (CP250, 2020) at [16.24].</w:t>
      </w:r>
    </w:p>
  </w:footnote>
  <w:footnote w:id="414">
    <w:p w14:paraId="2997A357" w14:textId="77777777" w:rsidR="009E0DBD" w:rsidRPr="00400349" w:rsidRDefault="009E0DBD" w:rsidP="009E0DBD">
      <w:pPr>
        <w:pStyle w:val="FootnoteText"/>
      </w:pPr>
      <w:r w:rsidRPr="00400349">
        <w:rPr>
          <w:rStyle w:val="FootnoteReference"/>
        </w:rPr>
        <w:footnoteRef/>
      </w:r>
      <w:r w:rsidRPr="00400349">
        <w:t xml:space="preserve"> </w:t>
      </w:r>
      <w:r w:rsidRPr="00400349">
        <w:tab/>
        <w:t xml:space="preserve">The </w:t>
      </w:r>
      <w:r w:rsidRPr="00400349">
        <w:rPr>
          <w:color w:val="auto"/>
        </w:rPr>
        <w:t xml:space="preserve">New Zealand Federation of Business and Professional Women submitted that </w:t>
      </w:r>
      <w:r w:rsidRPr="00400349">
        <w:t>the evidential requirements to prove hostile motivation at trial would increase the burden on victims and could lead to fewer offences being reported or successfully prosecuted</w:t>
      </w:r>
      <w:r w:rsidRPr="00400349">
        <w:rPr>
          <w:color w:val="auto"/>
        </w:rPr>
        <w:t>. An organisation we met with during consultation raised a similar concern.</w:t>
      </w:r>
    </w:p>
  </w:footnote>
  <w:footnote w:id="415">
    <w:p w14:paraId="07CCE893" w14:textId="7A51DE7A" w:rsidR="00100C1E" w:rsidRPr="00400349" w:rsidRDefault="00100C1E" w:rsidP="00100C1E">
      <w:pPr>
        <w:pStyle w:val="FootnoteText"/>
        <w:rPr>
          <w:color w:val="auto"/>
        </w:rPr>
      </w:pPr>
      <w:r w:rsidRPr="00400349">
        <w:rPr>
          <w:rStyle w:val="FootnoteReference"/>
        </w:rPr>
        <w:footnoteRef/>
      </w:r>
      <w:r w:rsidRPr="00400349">
        <w:t xml:space="preserve"> </w:t>
      </w:r>
      <w:r w:rsidRPr="00400349">
        <w:tab/>
      </w:r>
      <w:r w:rsidRPr="00400349">
        <w:rPr>
          <w:color w:val="auto"/>
        </w:rPr>
        <w:t xml:space="preserve">Law Commission (England and Wales) </w:t>
      </w:r>
      <w:r w:rsidRPr="00400349">
        <w:rPr>
          <w:i/>
          <w:color w:val="auto"/>
        </w:rPr>
        <w:t>Hate crime laws: A consultation paper</w:t>
      </w:r>
      <w:r w:rsidRPr="00400349">
        <w:rPr>
          <w:color w:val="auto"/>
        </w:rPr>
        <w:t xml:space="preserve"> (CP250, 2020) at [9.32]. By way of example, in one English case</w:t>
      </w:r>
      <w:r w:rsidR="005E599C">
        <w:rPr>
          <w:color w:val="auto"/>
        </w:rPr>
        <w:t>,</w:t>
      </w:r>
      <w:r w:rsidRPr="00400349">
        <w:rPr>
          <w:color w:val="auto"/>
        </w:rPr>
        <w:t xml:space="preserve"> the defendant rang the police and racially abused the call handler. He pleaded guilty to the offence of sending by public communication network an offensive message (Communications Act 2003 (UK), s</w:t>
      </w:r>
      <w:r w:rsidRPr="00400349">
        <w:rPr>
          <w:rFonts w:ascii="Calibri" w:hAnsi="Calibri" w:cs="Calibri"/>
          <w:color w:val="auto"/>
        </w:rPr>
        <w:t> </w:t>
      </w:r>
      <w:r w:rsidRPr="00400349">
        <w:rPr>
          <w:color w:val="auto"/>
        </w:rPr>
        <w:t>127(1)), which does not have a corresponding hate crime offence. A sentence uplift was applied at sentencing to take account of the racial hostility. See CPS Yorkshire and Humberside “</w:t>
      </w:r>
      <w:r w:rsidRPr="00400349">
        <w:t>Hate crime sentence uplift examples: Cases finalised between April to June 2021</w:t>
      </w:r>
      <w:r w:rsidRPr="00400349">
        <w:rPr>
          <w:color w:val="auto"/>
        </w:rPr>
        <w:t>” &lt;www.chcpcic.org.uk&gt; at [3].</w:t>
      </w:r>
    </w:p>
  </w:footnote>
  <w:footnote w:id="416">
    <w:p w14:paraId="5B030E31" w14:textId="4119EF23" w:rsidR="00100C1E" w:rsidRPr="00400349" w:rsidRDefault="00100C1E" w:rsidP="00100C1E">
      <w:pPr>
        <w:pStyle w:val="FootnoteText"/>
      </w:pPr>
      <w:r w:rsidRPr="00400349">
        <w:rPr>
          <w:rStyle w:val="FootnoteReference"/>
        </w:rPr>
        <w:footnoteRef/>
      </w:r>
      <w:r w:rsidRPr="00400349">
        <w:t xml:space="preserve"> </w:t>
      </w:r>
      <w:r w:rsidRPr="00400349">
        <w:tab/>
        <w:t xml:space="preserve">In its 2021 report, the Law Commission of England and Wales said approximately half of hate crime prosecutions there are charged as aggravated offences, while the remainder are dealt with through the application of the aggravating factor: </w:t>
      </w:r>
      <w:r w:rsidRPr="00400349">
        <w:rPr>
          <w:i/>
          <w:color w:val="auto"/>
        </w:rPr>
        <w:t xml:space="preserve">Hate crime laws: Final report </w:t>
      </w:r>
      <w:r w:rsidRPr="00400349">
        <w:rPr>
          <w:color w:val="auto"/>
        </w:rPr>
        <w:t>(R402, 2021) at</w:t>
      </w:r>
      <w:r w:rsidRPr="00400349">
        <w:t xml:space="preserve"> [8.17]. This is, however, in part due to the narrow list of protected characteristics </w:t>
      </w:r>
      <w:r w:rsidR="00085CE7">
        <w:t xml:space="preserve">that </w:t>
      </w:r>
      <w:r w:rsidR="00505289">
        <w:t>were</w:t>
      </w:r>
      <w:r w:rsidR="00085CE7" w:rsidRPr="00400349">
        <w:t xml:space="preserve"> </w:t>
      </w:r>
      <w:r w:rsidR="00B12531">
        <w:t>covered by</w:t>
      </w:r>
      <w:r w:rsidRPr="00400349">
        <w:t xml:space="preserve"> the aggravated offence provisions </w:t>
      </w:r>
      <w:r w:rsidR="00B12531">
        <w:t xml:space="preserve">until </w:t>
      </w:r>
      <w:r w:rsidR="00627C99">
        <w:t xml:space="preserve">amendments in 2026 </w:t>
      </w:r>
      <w:r w:rsidR="004C203F">
        <w:t xml:space="preserve">(see </w:t>
      </w:r>
      <w:r w:rsidR="004C203F" w:rsidRPr="00400349">
        <w:rPr>
          <w:color w:val="auto"/>
        </w:rPr>
        <w:t>Crime and Policing Act 2026 (UK), s 145</w:t>
      </w:r>
      <w:r w:rsidR="004C203F">
        <w:rPr>
          <w:color w:val="auto"/>
        </w:rPr>
        <w:t>)</w:t>
      </w:r>
      <w:r w:rsidR="00FF6983">
        <w:t xml:space="preserve">, </w:t>
      </w:r>
      <w:r w:rsidRPr="00400349">
        <w:t>as well as the limited offences to which they apply.</w:t>
      </w:r>
    </w:p>
  </w:footnote>
  <w:footnote w:id="417">
    <w:p w14:paraId="1F444FE2" w14:textId="3500E97B" w:rsidR="00100C1E" w:rsidRPr="00400349" w:rsidRDefault="00100C1E" w:rsidP="00100C1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Dr Kyle R Matthews; Te Kāhui Ture o Aotearoa | New Zealand Law Society; Pride in Law Otago; Submission 11; Te Kāhui o Ināia Tonu Nei Charitable Trust; and The Law Association of New Zealand Criminal Law Committee.</w:t>
      </w:r>
      <w:r w:rsidR="0045622A" w:rsidRPr="00400349">
        <w:rPr>
          <w:color w:val="auto"/>
        </w:rPr>
        <w:t xml:space="preserve"> We discuss the advantages of an open list more fully in Chapter 8.</w:t>
      </w:r>
    </w:p>
  </w:footnote>
  <w:footnote w:id="418">
    <w:p w14:paraId="1AB96207" w14:textId="77777777" w:rsidR="00100C1E" w:rsidRPr="00400349" w:rsidRDefault="00100C1E" w:rsidP="00100C1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similarly the discussion in Te Aka Matua o te Ture | Law Commission </w:t>
      </w:r>
      <w:r w:rsidRPr="00400349">
        <w:rPr>
          <w:i/>
          <w:color w:val="auto"/>
        </w:rPr>
        <w:t xml:space="preserve">Review of Part 8 of the Crimes Act 1961: </w:t>
      </w:r>
      <w:r w:rsidRPr="00400349">
        <w:rPr>
          <w:i/>
          <w:iCs/>
          <w:color w:val="auto"/>
        </w:rPr>
        <w:t>Crimes A</w:t>
      </w:r>
      <w:r w:rsidRPr="00400349">
        <w:rPr>
          <w:i/>
          <w:color w:val="auto"/>
        </w:rPr>
        <w:t xml:space="preserve">gainst the </w:t>
      </w:r>
      <w:r w:rsidRPr="00400349">
        <w:rPr>
          <w:i/>
          <w:iCs/>
          <w:color w:val="auto"/>
        </w:rPr>
        <w:t>P</w:t>
      </w:r>
      <w:r w:rsidRPr="00400349">
        <w:rPr>
          <w:i/>
          <w:color w:val="auto"/>
        </w:rPr>
        <w:t>erson</w:t>
      </w:r>
      <w:r w:rsidRPr="00400349">
        <w:rPr>
          <w:color w:val="auto"/>
        </w:rPr>
        <w:t xml:space="preserve"> (NZLC R111, 2009) at [2.10] and [3.4].</w:t>
      </w:r>
    </w:p>
  </w:footnote>
  <w:footnote w:id="419">
    <w:p w14:paraId="59004D5C" w14:textId="5968ED5D" w:rsidR="00575334" w:rsidRPr="00400349" w:rsidRDefault="00575334" w:rsidP="00575334">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 xml:space="preserve">Review of Part 8 of the Crimes Act 1961: </w:t>
      </w:r>
      <w:r w:rsidRPr="00400349">
        <w:rPr>
          <w:i/>
          <w:iCs/>
          <w:color w:val="auto"/>
        </w:rPr>
        <w:t>Crimes A</w:t>
      </w:r>
      <w:r w:rsidRPr="00400349">
        <w:rPr>
          <w:i/>
          <w:color w:val="auto"/>
        </w:rPr>
        <w:t xml:space="preserve">gainst the </w:t>
      </w:r>
      <w:r w:rsidRPr="00400349">
        <w:rPr>
          <w:i/>
          <w:iCs/>
          <w:color w:val="auto"/>
        </w:rPr>
        <w:t>P</w:t>
      </w:r>
      <w:r w:rsidRPr="00400349">
        <w:rPr>
          <w:i/>
          <w:color w:val="auto"/>
        </w:rPr>
        <w:t>erson</w:t>
      </w:r>
      <w:r w:rsidRPr="00400349">
        <w:rPr>
          <w:color w:val="auto"/>
        </w:rPr>
        <w:t xml:space="preserve"> (NZLC R111, 2009) at [3.4] (referring to victim-specific assault offences in the Crimes Act 1961 such as male assaults female).</w:t>
      </w:r>
    </w:p>
  </w:footnote>
  <w:footnote w:id="420">
    <w:p w14:paraId="54F2609D" w14:textId="77777777" w:rsidR="00100C1E" w:rsidRPr="00400349" w:rsidRDefault="00100C1E" w:rsidP="00100C1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 xml:space="preserve">Maximum </w:t>
      </w:r>
      <w:r w:rsidRPr="00400349">
        <w:rPr>
          <w:i/>
          <w:iCs/>
          <w:color w:val="auto"/>
        </w:rPr>
        <w:t>P</w:t>
      </w:r>
      <w:r w:rsidRPr="00400349">
        <w:rPr>
          <w:i/>
          <w:color w:val="auto"/>
        </w:rPr>
        <w:t xml:space="preserve">enalties for </w:t>
      </w:r>
      <w:r w:rsidRPr="00400349">
        <w:rPr>
          <w:i/>
          <w:iCs/>
          <w:color w:val="auto"/>
        </w:rPr>
        <w:t>Criminal O</w:t>
      </w:r>
      <w:r w:rsidRPr="00400349">
        <w:rPr>
          <w:i/>
          <w:color w:val="auto"/>
        </w:rPr>
        <w:t>ffences</w:t>
      </w:r>
      <w:r w:rsidRPr="00400349">
        <w:rPr>
          <w:color w:val="auto"/>
        </w:rPr>
        <w:t xml:space="preserve"> (NZLC SP21, 2013) at [2.4].</w:t>
      </w:r>
    </w:p>
  </w:footnote>
  <w:footnote w:id="421">
    <w:p w14:paraId="7171381B" w14:textId="4AF72BF5" w:rsidR="00100C1E" w:rsidRPr="00400349" w:rsidRDefault="00100C1E" w:rsidP="00100C1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Drever v R</w:t>
      </w:r>
      <w:r w:rsidRPr="00400349">
        <w:rPr>
          <w:color w:val="auto"/>
        </w:rPr>
        <w:t xml:space="preserve"> [2016] NZSC 92 at [20] (malice); </w:t>
      </w:r>
      <w:r w:rsidRPr="00400349">
        <w:rPr>
          <w:i/>
          <w:color w:val="auto"/>
        </w:rPr>
        <w:t xml:space="preserve">Hazeldine v Police </w:t>
      </w:r>
      <w:r w:rsidRPr="00400349">
        <w:rPr>
          <w:color w:val="auto"/>
        </w:rPr>
        <w:t xml:space="preserve">[2016] NZHC 1132 at [22] (desire to cause emotional harm); </w:t>
      </w:r>
      <w:r w:rsidRPr="00400349">
        <w:rPr>
          <w:i/>
          <w:color w:val="auto"/>
        </w:rPr>
        <w:t>Robertson v R</w:t>
      </w:r>
      <w:r w:rsidRPr="00400349">
        <w:rPr>
          <w:color w:val="auto"/>
        </w:rPr>
        <w:t xml:space="preserve"> [2020] NZCA 218 at [6] (greed); and </w:t>
      </w:r>
      <w:r w:rsidRPr="00400349">
        <w:rPr>
          <w:i/>
          <w:color w:val="auto"/>
        </w:rPr>
        <w:t xml:space="preserve">R v Parker </w:t>
      </w:r>
      <w:r w:rsidRPr="00400349">
        <w:rPr>
          <w:color w:val="auto"/>
        </w:rPr>
        <w:t xml:space="preserve">[2021] NZHC 439 </w:t>
      </w:r>
      <w:r w:rsidR="00DD37C8" w:rsidRPr="00400349">
        <w:rPr>
          <w:color w:val="auto"/>
        </w:rPr>
        <w:t>at [19]</w:t>
      </w:r>
      <w:r w:rsidRPr="00400349">
        <w:rPr>
          <w:color w:val="auto"/>
        </w:rPr>
        <w:t xml:space="preserve"> (desire to inflict violence, and to dominate and humiliate the victim).</w:t>
      </w:r>
    </w:p>
  </w:footnote>
  <w:footnote w:id="422">
    <w:p w14:paraId="1F82522E" w14:textId="77777777" w:rsidR="00100C1E" w:rsidRPr="00400349" w:rsidRDefault="00100C1E" w:rsidP="00100C1E">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Te Aka Matua o te Ture | Law Commission </w:t>
      </w:r>
      <w:r w:rsidRPr="00400349">
        <w:rPr>
          <w:i/>
          <w:iCs/>
          <w:color w:val="auto"/>
        </w:rPr>
        <w:t>Review of Part 8 of the Crimes Act 1961: Crimes Against the Person</w:t>
      </w:r>
      <w:r w:rsidRPr="00400349">
        <w:rPr>
          <w:color w:val="auto"/>
        </w:rPr>
        <w:t xml:space="preserve"> (NZLC R111, 2009) at [2.10] and [3.7].</w:t>
      </w:r>
    </w:p>
  </w:footnote>
  <w:footnote w:id="423">
    <w:p w14:paraId="7CC566BD" w14:textId="7BC5723A" w:rsidR="00F05F63" w:rsidRPr="00400349" w:rsidRDefault="00F05F63" w:rsidP="00F05F6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iCs/>
          <w:color w:val="auto"/>
        </w:rPr>
        <w:t xml:space="preserve">Hate Crime: The Case for Extending the Existing Offences: A Consultation Paper </w:t>
      </w:r>
      <w:r w:rsidRPr="00400349">
        <w:rPr>
          <w:color w:val="auto"/>
        </w:rPr>
        <w:t xml:space="preserve">(CP213, 2013) at [3.65]; </w:t>
      </w:r>
      <w:r w:rsidR="00942E08" w:rsidRPr="00400349">
        <w:rPr>
          <w:color w:val="auto"/>
        </w:rPr>
        <w:t>and</w:t>
      </w:r>
      <w:r w:rsidRPr="00400349">
        <w:rPr>
          <w:color w:val="auto"/>
        </w:rPr>
        <w:t xml:space="preserve"> Law Commission (England and Wales) </w:t>
      </w:r>
      <w:r w:rsidRPr="00400349">
        <w:rPr>
          <w:i/>
          <w:iCs/>
          <w:color w:val="auto"/>
        </w:rPr>
        <w:t xml:space="preserve">Hate crime laws: A consultation paper </w:t>
      </w:r>
      <w:r w:rsidRPr="00400349">
        <w:rPr>
          <w:color w:val="auto"/>
        </w:rPr>
        <w:t>(CP250, 2020) at [8.17]–[8.20].</w:t>
      </w:r>
    </w:p>
  </w:footnote>
  <w:footnote w:id="424">
    <w:p w14:paraId="3C035B51" w14:textId="77777777" w:rsidR="00F05F63" w:rsidRPr="00400349" w:rsidRDefault="00F05F63" w:rsidP="00F05F6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Department of Justice (Ireland) </w:t>
      </w:r>
      <w:r w:rsidRPr="00400349">
        <w:rPr>
          <w:i/>
          <w:iCs/>
          <w:color w:val="auto"/>
        </w:rPr>
        <w:t xml:space="preserve">Learnings from Approaches to Hate Crime in Five Jurisdictions </w:t>
      </w:r>
      <w:r w:rsidRPr="00400349">
        <w:rPr>
          <w:color w:val="auto"/>
        </w:rPr>
        <w:t>(December 2020) at 62.</w:t>
      </w:r>
    </w:p>
  </w:footnote>
  <w:footnote w:id="425">
    <w:p w14:paraId="34AD5E03" w14:textId="77777777" w:rsidR="00322EBB" w:rsidRPr="00400349" w:rsidRDefault="00322EBB" w:rsidP="00322EB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Isabelle Becconsall-Ryan “Combatting Hate in New Zealand: The Problems with Hate Crime Legislation and the Importance of Non-Criminal Alternatives” (2022) 53 VUWLR 129 at 141–142; and Law Commission (England and Wales) </w:t>
      </w:r>
      <w:r w:rsidRPr="00400349">
        <w:rPr>
          <w:i/>
          <w:iCs/>
          <w:color w:val="auto"/>
        </w:rPr>
        <w:t xml:space="preserve">Hate crime laws: A consultation paper </w:t>
      </w:r>
      <w:r w:rsidRPr="00400349">
        <w:rPr>
          <w:color w:val="auto"/>
        </w:rPr>
        <w:t>(CP250, 2020) at [16.23].</w:t>
      </w:r>
    </w:p>
  </w:footnote>
  <w:footnote w:id="426">
    <w:p w14:paraId="67D3199A" w14:textId="77777777" w:rsidR="00F05F63" w:rsidRPr="00400349" w:rsidRDefault="00F05F63" w:rsidP="00F05F6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iCs/>
          <w:color w:val="auto"/>
        </w:rPr>
        <w:t xml:space="preserve">Hate crime laws: A consultation paper </w:t>
      </w:r>
      <w:r w:rsidRPr="00400349">
        <w:rPr>
          <w:color w:val="auto"/>
        </w:rPr>
        <w:t>(CP250, 2020) at [17.65].</w:t>
      </w:r>
    </w:p>
  </w:footnote>
  <w:footnote w:id="427">
    <w:p w14:paraId="772CB405" w14:textId="266A5203" w:rsidR="00AC322E" w:rsidRPr="00400349" w:rsidRDefault="00AC322E" w:rsidP="00AC322E">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184E13" w:rsidRPr="00400349">
        <w:t>Criminal Procedure Rules, r 5A.5(1)(c). This rule applies in High Court proceedings and in District Court proceedings if the Crown assumes responsibility for the proceeding prior to sentencing or the judge directs that sentencing memoranda be filed</w:t>
      </w:r>
      <w:r w:rsidR="008F44C8" w:rsidRPr="00400349">
        <w:t xml:space="preserve">: </w:t>
      </w:r>
      <w:r w:rsidR="00184E13" w:rsidRPr="00400349">
        <w:t>r 5A.3.</w:t>
      </w:r>
    </w:p>
  </w:footnote>
  <w:footnote w:id="428">
    <w:p w14:paraId="524902CD" w14:textId="6540702B" w:rsidR="00F05F63" w:rsidRPr="00400349" w:rsidRDefault="00F05F63" w:rsidP="00F05F6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24(2).</w:t>
      </w:r>
    </w:p>
  </w:footnote>
  <w:footnote w:id="429">
    <w:p w14:paraId="55FD5D05" w14:textId="6BC71EBE" w:rsidR="00F05F63" w:rsidRPr="00400349" w:rsidRDefault="00F05F63" w:rsidP="00F05F63">
      <w:pPr>
        <w:pStyle w:val="FootnoteText"/>
      </w:pPr>
      <w:r w:rsidRPr="00400349">
        <w:rPr>
          <w:rStyle w:val="FootnoteReference"/>
        </w:rPr>
        <w:footnoteRef/>
      </w:r>
      <w:r w:rsidRPr="00400349">
        <w:t xml:space="preserve"> </w:t>
      </w:r>
      <w:r w:rsidRPr="00400349">
        <w:tab/>
        <w:t xml:space="preserve">The existence of some aggravating factors will often be obvious from evidence presented at trial or agreed in the summary of facts because they are closely connected to the elements of the offence — for example, that the offence involved actual or threatened violence: Sentencing Act, s 9(1)(a). </w:t>
      </w:r>
      <w:r w:rsidR="00C8161E" w:rsidRPr="00400349">
        <w:t>O</w:t>
      </w:r>
      <w:r w:rsidRPr="00400349">
        <w:t xml:space="preserve">ther aggravating factors are more likely to require proof of additional facts not necessary to support a conviction — for example, that the victim was particularly vulnerable because of a factor known to the offender or that the offender was involved </w:t>
      </w:r>
      <w:r w:rsidR="00D92FE1">
        <w:t xml:space="preserve">in </w:t>
      </w:r>
      <w:r w:rsidRPr="00400349">
        <w:t>an organised criminal association: s</w:t>
      </w:r>
      <w:r w:rsidR="002D245C">
        <w:rPr>
          <w:rFonts w:ascii="Calibri" w:hAnsi="Calibri" w:cs="Calibri"/>
        </w:rPr>
        <w:t> </w:t>
      </w:r>
      <w:r w:rsidRPr="00400349">
        <w:t>9(1)(g) and (hb)(ii).</w:t>
      </w:r>
    </w:p>
  </w:footnote>
  <w:footnote w:id="430">
    <w:p w14:paraId="73E66DE4" w14:textId="77777777" w:rsidR="00F05F63" w:rsidRPr="00400349" w:rsidRDefault="00F05F63" w:rsidP="00F05F63">
      <w:pPr>
        <w:pStyle w:val="FootnoteText"/>
        <w:rPr>
          <w:lang w:val="en-US"/>
        </w:rPr>
      </w:pPr>
      <w:r w:rsidRPr="00400349">
        <w:rPr>
          <w:rStyle w:val="FootnoteReference"/>
        </w:rPr>
        <w:footnoteRef/>
      </w:r>
      <w:r w:rsidRPr="00400349">
        <w:t xml:space="preserve"> </w:t>
      </w:r>
      <w:r w:rsidRPr="00400349">
        <w:rPr>
          <w:lang w:val="en-US"/>
        </w:rPr>
        <w:tab/>
        <w:t xml:space="preserve">This approach is not unique to Aotearoa New Zealand: see </w:t>
      </w:r>
      <w:r w:rsidRPr="00400349">
        <w:rPr>
          <w:color w:val="auto"/>
        </w:rPr>
        <w:t xml:space="preserve">Law Commission (England and Wales) </w:t>
      </w:r>
      <w:r w:rsidRPr="00400349">
        <w:rPr>
          <w:i/>
          <w:color w:val="auto"/>
        </w:rPr>
        <w:t>Hate Crime: Should the Current Offences be Extended?</w:t>
      </w:r>
      <w:r w:rsidRPr="00400349">
        <w:rPr>
          <w:color w:val="auto"/>
        </w:rPr>
        <w:t xml:space="preserve"> (R348, 2014) at [4.153]–[4.154].</w:t>
      </w:r>
    </w:p>
  </w:footnote>
  <w:footnote w:id="431">
    <w:p w14:paraId="19C015E1" w14:textId="4072D49B" w:rsidR="00D36A0E" w:rsidRPr="00400349" w:rsidRDefault="00D36A0E">
      <w:pPr>
        <w:pStyle w:val="FootnoteText"/>
      </w:pPr>
      <w:r w:rsidRPr="00400349">
        <w:rPr>
          <w:rStyle w:val="FootnoteReference"/>
        </w:rPr>
        <w:footnoteRef/>
      </w:r>
      <w:r w:rsidRPr="00400349">
        <w:t xml:space="preserve"> </w:t>
      </w:r>
      <w:r w:rsidR="00C27222" w:rsidRPr="00400349">
        <w:tab/>
      </w:r>
      <w:r w:rsidR="00C27222" w:rsidRPr="00400349">
        <w:rPr>
          <w:color w:val="auto"/>
        </w:rPr>
        <w:t>Sarah Ingles “Legislating against Hate: Why Ohio’s Hate Crime Statute, and the Sentencing Enhancements That Support It, Cannot Remedy Institutional Problems and Continued Bigotry” (2018) 46 Cap U L Rev 701 at 720 and 729–736.</w:t>
      </w:r>
    </w:p>
  </w:footnote>
  <w:footnote w:id="432">
    <w:p w14:paraId="73F65DF1" w14:textId="77777777" w:rsidR="00B35729" w:rsidRPr="00400349" w:rsidRDefault="00B35729" w:rsidP="00B35729">
      <w:pPr>
        <w:pStyle w:val="FootnoteText"/>
        <w:rPr>
          <w:color w:val="auto"/>
        </w:rPr>
      </w:pPr>
      <w:r w:rsidRPr="00400349">
        <w:rPr>
          <w:rStyle w:val="FootnoteReference"/>
          <w:color w:val="auto"/>
        </w:rPr>
        <w:footnoteRef/>
      </w:r>
      <w:r w:rsidRPr="00400349">
        <w:rPr>
          <w:color w:val="auto"/>
        </w:rPr>
        <w:t xml:space="preserve"> </w:t>
      </w:r>
      <w:r w:rsidRPr="00400349">
        <w:rPr>
          <w:color w:val="auto"/>
        </w:rPr>
        <w:tab/>
        <w:t>Free Speech Union; Te Kāhui Ture o Aotearoa | New Zealand Law Society; Free Speech Union; and Submission 63.</w:t>
      </w:r>
    </w:p>
  </w:footnote>
  <w:footnote w:id="433">
    <w:p w14:paraId="75945B43" w14:textId="5AB78D0D" w:rsidR="00040531" w:rsidRPr="00400349" w:rsidRDefault="00040531" w:rsidP="00040531">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7(1).</w:t>
      </w:r>
    </w:p>
  </w:footnote>
  <w:footnote w:id="434">
    <w:p w14:paraId="7D9E145A" w14:textId="2641F260" w:rsidR="0058687D" w:rsidRPr="00400349" w:rsidRDefault="0058687D" w:rsidP="0058687D">
      <w:pPr>
        <w:pStyle w:val="FootnoteText"/>
      </w:pPr>
      <w:r w:rsidRPr="00400349">
        <w:rPr>
          <w:rStyle w:val="FootnoteReference"/>
        </w:rPr>
        <w:footnoteRef/>
      </w:r>
      <w:r w:rsidRPr="00400349">
        <w:t xml:space="preserve"> </w:t>
      </w:r>
      <w:r w:rsidRPr="00400349">
        <w:tab/>
        <w:t xml:space="preserve">Provisions in the Sentencing Act require the court to make an entry on the permanent court record if an offender has had a sentence reduction under the remorse or youth mitigating factors: </w:t>
      </w:r>
      <w:r w:rsidRPr="00400349">
        <w:rPr>
          <w:color w:val="auto"/>
        </w:rPr>
        <w:t xml:space="preserve">Sentencing Act, ss 9D and 9N (inserted June 2025). </w:t>
      </w:r>
      <w:r w:rsidRPr="00400349">
        <w:t xml:space="preserve">That is because the courts are prohibited from giving an offender a sentencing reduction for these factors again in relation to later offending unless failure to do so would be manifestly unjust: </w:t>
      </w:r>
      <w:r w:rsidRPr="00400349">
        <w:rPr>
          <w:color w:val="auto"/>
        </w:rPr>
        <w:t>ss 9B, 9C, 9L and 9M. Sentence reductions for these factors therefore need to be recorded so the courts know, when sentencing the same offender again in future, not to apply a reduction.</w:t>
      </w:r>
    </w:p>
  </w:footnote>
  <w:footnote w:id="435">
    <w:p w14:paraId="28A880E3" w14:textId="1D6C07B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 xml:space="preserve">Hara ngākau kino | Hate crime: Consultation </w:t>
      </w:r>
      <w:r w:rsidR="00973FAF" w:rsidRPr="00400349">
        <w:rPr>
          <w:i/>
          <w:iCs/>
          <w:color w:val="auto"/>
        </w:rPr>
        <w:t>P</w:t>
      </w:r>
      <w:r w:rsidRPr="00400349">
        <w:rPr>
          <w:i/>
          <w:color w:val="auto"/>
        </w:rPr>
        <w:t>aper</w:t>
      </w:r>
      <w:r w:rsidRPr="00400349">
        <w:rPr>
          <w:color w:val="auto"/>
        </w:rPr>
        <w:t xml:space="preserve"> (NZLC IP55, 2025) </w:t>
      </w:r>
      <w:r w:rsidR="00E50CDE" w:rsidRPr="00400349">
        <w:rPr>
          <w:color w:val="auto"/>
        </w:rPr>
        <w:t>(Consultation Paper)</w:t>
      </w:r>
      <w:r w:rsidRPr="00400349">
        <w:rPr>
          <w:color w:val="auto"/>
        </w:rPr>
        <w:t xml:space="preserve"> at [7.23]–[7.25].</w:t>
      </w:r>
    </w:p>
  </w:footnote>
  <w:footnote w:id="436">
    <w:p w14:paraId="63655037" w14:textId="1383C29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2011, s 184.</w:t>
      </w:r>
    </w:p>
  </w:footnote>
  <w:footnote w:id="437">
    <w:p w14:paraId="40C34052"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Rules 2012, r 7.2(7) and 7.2(20).</w:t>
      </w:r>
    </w:p>
  </w:footnote>
  <w:footnote w:id="438">
    <w:p w14:paraId="1D876AAC" w14:textId="09C1F66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s 14(1). Any person can commence a proceeding</w:t>
      </w:r>
      <w:r w:rsidR="00D40C84" w:rsidRPr="00400349">
        <w:rPr>
          <w:color w:val="auto"/>
        </w:rPr>
        <w:t>:</w:t>
      </w:r>
      <w:r w:rsidRPr="00400349">
        <w:rPr>
          <w:color w:val="auto"/>
        </w:rPr>
        <w:t xml:space="preserve"> s 15.</w:t>
      </w:r>
    </w:p>
  </w:footnote>
  <w:footnote w:id="439">
    <w:p w14:paraId="6F141D00" w14:textId="3B0E563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s 16(2).</w:t>
      </w:r>
    </w:p>
  </w:footnote>
  <w:footnote w:id="440">
    <w:p w14:paraId="71A98501" w14:textId="43E3C15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Criminal Procedure Act, </w:t>
      </w:r>
      <w:r w:rsidR="0079265D" w:rsidRPr="00400349">
        <w:rPr>
          <w:color w:val="auto"/>
        </w:rPr>
        <w:t>s</w:t>
      </w:r>
      <w:r w:rsidRPr="00400349">
        <w:rPr>
          <w:color w:val="auto"/>
        </w:rPr>
        <w:t>s 16(1) and 17(1).</w:t>
      </w:r>
    </w:p>
  </w:footnote>
  <w:footnote w:id="441">
    <w:p w14:paraId="0F6068E2"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For an explanation of these two types of reports, see </w:t>
      </w:r>
      <w:r w:rsidRPr="00400349">
        <w:rPr>
          <w:i/>
          <w:color w:val="auto"/>
        </w:rPr>
        <w:t>Yorston v Attorney-General</w:t>
      </w:r>
      <w:r w:rsidRPr="00400349">
        <w:rPr>
          <w:color w:val="auto"/>
        </w:rPr>
        <w:t xml:space="preserve"> [2025] NZHC 38 at [5] and [8].</w:t>
      </w:r>
    </w:p>
  </w:footnote>
  <w:footnote w:id="442">
    <w:p w14:paraId="00A460C6" w14:textId="2D3D2925"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8538C4" w:rsidRPr="00400349">
        <w:rPr>
          <w:color w:val="auto"/>
        </w:rPr>
        <w:t>See</w:t>
      </w:r>
      <w:r w:rsidRPr="00400349">
        <w:rPr>
          <w:color w:val="auto"/>
        </w:rPr>
        <w:t xml:space="preserve"> Criminal Records (Clean Slate) Act 2004</w:t>
      </w:r>
      <w:r w:rsidR="008538C4" w:rsidRPr="00400349">
        <w:rPr>
          <w:color w:val="auto"/>
        </w:rPr>
        <w:t>, ss 14–16, which allow</w:t>
      </w:r>
      <w:r w:rsidRPr="00400349">
        <w:rPr>
          <w:color w:val="auto"/>
        </w:rPr>
        <w:t xml:space="preserve"> people to withhold information about their criminal convictions (and requires public agencies holding that information such as the Ministry of Justice to do so) if they meet certain criteria. The eligibility criteria include having no convictions in the past seven years and having never been subject to a custodial sentence</w:t>
      </w:r>
      <w:r w:rsidR="003416B9" w:rsidRPr="00400349">
        <w:rPr>
          <w:color w:val="auto"/>
        </w:rPr>
        <w:t>:</w:t>
      </w:r>
      <w:r w:rsidRPr="00400349">
        <w:rPr>
          <w:color w:val="auto"/>
        </w:rPr>
        <w:t xml:space="preserve"> s</w:t>
      </w:r>
      <w:r w:rsidR="003416B9" w:rsidRPr="00400349">
        <w:rPr>
          <w:color w:val="auto"/>
        </w:rPr>
        <w:t>s</w:t>
      </w:r>
      <w:r w:rsidRPr="00400349">
        <w:rPr>
          <w:color w:val="auto"/>
        </w:rPr>
        <w:t xml:space="preserve"> 4 </w:t>
      </w:r>
      <w:r w:rsidR="0080400B">
        <w:rPr>
          <w:color w:val="auto"/>
        </w:rPr>
        <w:t>(</w:t>
      </w:r>
      <w:r w:rsidRPr="00400349">
        <w:rPr>
          <w:color w:val="auto"/>
        </w:rPr>
        <w:t>definition of “rehabilitation period”</w:t>
      </w:r>
      <w:r w:rsidR="0080400B">
        <w:rPr>
          <w:color w:val="auto"/>
        </w:rPr>
        <w:t>)</w:t>
      </w:r>
      <w:r w:rsidRPr="00400349">
        <w:rPr>
          <w:color w:val="auto"/>
        </w:rPr>
        <w:t xml:space="preserve"> and 7.</w:t>
      </w:r>
      <w:r w:rsidR="000847AE" w:rsidRPr="00400349">
        <w:rPr>
          <w:color w:val="auto"/>
        </w:rPr>
        <w:t xml:space="preserve"> </w:t>
      </w:r>
      <w:r w:rsidR="002E5C7D" w:rsidRPr="00400349">
        <w:rPr>
          <w:color w:val="auto"/>
        </w:rPr>
        <w:t xml:space="preserve">There are exceptions to the clean slate scheme. </w:t>
      </w:r>
      <w:r w:rsidR="00456735" w:rsidRPr="00400349">
        <w:rPr>
          <w:color w:val="auto"/>
        </w:rPr>
        <w:t>It</w:t>
      </w:r>
      <w:r w:rsidR="00D033CF" w:rsidRPr="00400349">
        <w:rPr>
          <w:color w:val="auto"/>
        </w:rPr>
        <w:t xml:space="preserve"> does not apply if a person is seeking certain types of employment, including in national security and law enforcement roles and roles involving care and protection of children or young people: s 19. </w:t>
      </w:r>
      <w:r w:rsidR="00456735" w:rsidRPr="00400349">
        <w:rPr>
          <w:color w:val="auto"/>
        </w:rPr>
        <w:t>The scheme also does not apply outside of New Zealand, so a full criminal record may need to be provided when travelling to certain countries.</w:t>
      </w:r>
    </w:p>
  </w:footnote>
  <w:footnote w:id="443">
    <w:p w14:paraId="3D214806" w14:textId="5F0C86F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Hon Amy Adams, Minister of Justice </w:t>
      </w:r>
      <w:r w:rsidRPr="00400349">
        <w:rPr>
          <w:i/>
          <w:color w:val="auto"/>
        </w:rPr>
        <w:t>Reform of Family Violence Law — Paper Three: Prosecuting family violence</w:t>
      </w:r>
      <w:r w:rsidRPr="00400349">
        <w:rPr>
          <w:color w:val="auto"/>
        </w:rPr>
        <w:t xml:space="preserve"> (Cabinet paper, August 2016) at [10]–[11]; </w:t>
      </w:r>
      <w:r w:rsidR="00B27012" w:rsidRPr="00400349">
        <w:rPr>
          <w:color w:val="auto"/>
        </w:rPr>
        <w:t xml:space="preserve">and </w:t>
      </w:r>
      <w:r w:rsidRPr="00400349">
        <w:rPr>
          <w:color w:val="auto"/>
        </w:rPr>
        <w:t>Cabinet Minute</w:t>
      </w:r>
      <w:r w:rsidRPr="00400349">
        <w:rPr>
          <w:i/>
          <w:color w:val="auto"/>
        </w:rPr>
        <w:t xml:space="preserve"> </w:t>
      </w:r>
      <w:r w:rsidRPr="00400349">
        <w:rPr>
          <w:color w:val="auto"/>
        </w:rPr>
        <w:t xml:space="preserve">“Reform of Family Violence Law </w:t>
      </w:r>
      <w:r w:rsidR="00EC3F1F" w:rsidRPr="00400349">
        <w:rPr>
          <w:color w:val="auto"/>
        </w:rPr>
        <w:t>—</w:t>
      </w:r>
      <w:r w:rsidRPr="00400349">
        <w:rPr>
          <w:color w:val="auto"/>
        </w:rPr>
        <w:t xml:space="preserve"> Paper Three: Prosecuting family violence”</w:t>
      </w:r>
      <w:r w:rsidRPr="00400349">
        <w:rPr>
          <w:i/>
          <w:color w:val="auto"/>
        </w:rPr>
        <w:t xml:space="preserve"> </w:t>
      </w:r>
      <w:r w:rsidRPr="00400349">
        <w:rPr>
          <w:color w:val="auto"/>
        </w:rPr>
        <w:t>(22 August 2016) CAB-16-MIN-0422 at [1].</w:t>
      </w:r>
    </w:p>
  </w:footnote>
  <w:footnote w:id="444">
    <w:p w14:paraId="40D4DB95" w14:textId="0C03ECE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Section 16A was</w:t>
      </w:r>
      <w:r w:rsidRPr="00400349">
        <w:rPr>
          <w:rFonts w:ascii="Calibri" w:hAnsi="Calibri" w:cs="Calibri"/>
          <w:color w:val="auto"/>
        </w:rPr>
        <w:t> </w:t>
      </w:r>
      <w:r w:rsidRPr="00400349">
        <w:rPr>
          <w:color w:val="auto"/>
        </w:rPr>
        <w:t xml:space="preserve">inserted </w:t>
      </w:r>
      <w:r w:rsidR="009676C3" w:rsidRPr="00400349">
        <w:rPr>
          <w:color w:val="auto"/>
        </w:rPr>
        <w:t>in</w:t>
      </w:r>
      <w:r w:rsidRPr="00400349">
        <w:rPr>
          <w:rFonts w:ascii="Calibri" w:hAnsi="Calibri" w:cs="Calibri"/>
          <w:color w:val="auto"/>
        </w:rPr>
        <w:t> </w:t>
      </w:r>
      <w:r w:rsidRPr="00400349">
        <w:rPr>
          <w:color w:val="auto"/>
        </w:rPr>
        <w:t>July 2019 by</w:t>
      </w:r>
      <w:r w:rsidRPr="00400349">
        <w:rPr>
          <w:rFonts w:ascii="Calibri" w:hAnsi="Calibri" w:cs="Calibri"/>
          <w:color w:val="auto"/>
        </w:rPr>
        <w:t> </w:t>
      </w:r>
      <w:bookmarkStart w:id="138" w:name="LMS113526"/>
      <w:r w:rsidRPr="00400349">
        <w:rPr>
          <w:color w:val="auto"/>
        </w:rPr>
        <w:t>s</w:t>
      </w:r>
      <w:r w:rsidRPr="00400349">
        <w:rPr>
          <w:rFonts w:ascii="Calibri" w:hAnsi="Calibri" w:cs="Calibri"/>
          <w:color w:val="auto"/>
        </w:rPr>
        <w:t> </w:t>
      </w:r>
      <w:r w:rsidRPr="00400349">
        <w:rPr>
          <w:color w:val="auto"/>
        </w:rPr>
        <w:t>43</w:t>
      </w:r>
      <w:bookmarkEnd w:id="138"/>
      <w:r w:rsidRPr="00400349">
        <w:rPr>
          <w:rFonts w:ascii="Calibri" w:hAnsi="Calibri" w:cs="Calibri"/>
          <w:color w:val="auto"/>
        </w:rPr>
        <w:t> </w:t>
      </w:r>
      <w:r w:rsidRPr="00400349">
        <w:rPr>
          <w:color w:val="auto"/>
        </w:rPr>
        <w:t>of the</w:t>
      </w:r>
      <w:r w:rsidRPr="00400349">
        <w:rPr>
          <w:rFonts w:ascii="Calibri" w:hAnsi="Calibri" w:cs="Calibri"/>
          <w:color w:val="auto"/>
        </w:rPr>
        <w:t> </w:t>
      </w:r>
      <w:r w:rsidRPr="00400349">
        <w:rPr>
          <w:color w:val="auto"/>
        </w:rPr>
        <w:t>Family Violence (Amendments) Act 2018</w:t>
      </w:r>
      <w:r w:rsidRPr="00400349">
        <w:rPr>
          <w:rFonts w:ascii="Calibri" w:hAnsi="Calibri" w:cs="Calibri"/>
          <w:color w:val="auto"/>
        </w:rPr>
        <w:t>.</w:t>
      </w:r>
    </w:p>
  </w:footnote>
  <w:footnote w:id="445">
    <w:p w14:paraId="40F8BA6C" w14:textId="1038CA2C"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s 16A(1). A family violence offence is defined as an offence against any enactment that involves family violence</w:t>
      </w:r>
      <w:r w:rsidR="0091158D" w:rsidRPr="00400349">
        <w:rPr>
          <w:color w:val="auto"/>
        </w:rPr>
        <w:t>:</w:t>
      </w:r>
      <w:r w:rsidRPr="00400349">
        <w:rPr>
          <w:color w:val="auto"/>
        </w:rPr>
        <w:t xml:space="preserve"> s 16A(5).</w:t>
      </w:r>
    </w:p>
  </w:footnote>
  <w:footnote w:id="446">
    <w:p w14:paraId="21148C2A" w14:textId="1198992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951817" w:rsidRPr="00400349">
        <w:rPr>
          <w:color w:val="auto"/>
        </w:rPr>
        <w:t>Section</w:t>
      </w:r>
      <w:r w:rsidRPr="00400349">
        <w:rPr>
          <w:color w:val="auto"/>
        </w:rPr>
        <w:t xml:space="preserve"> 16A(2).</w:t>
      </w:r>
    </w:p>
  </w:footnote>
  <w:footnote w:id="447">
    <w:p w14:paraId="2C51F350" w14:textId="6B93AC6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951817" w:rsidRPr="00400349">
        <w:rPr>
          <w:color w:val="auto"/>
        </w:rPr>
        <w:t xml:space="preserve">Section </w:t>
      </w:r>
      <w:r w:rsidRPr="00400349">
        <w:rPr>
          <w:color w:val="auto"/>
        </w:rPr>
        <w:t>16A(3)(a).</w:t>
      </w:r>
    </w:p>
  </w:footnote>
  <w:footnote w:id="448">
    <w:p w14:paraId="5EF0058C" w14:textId="342EF44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951817" w:rsidRPr="00400349">
        <w:rPr>
          <w:color w:val="auto"/>
        </w:rPr>
        <w:t xml:space="preserve">Section </w:t>
      </w:r>
      <w:r w:rsidRPr="00400349">
        <w:rPr>
          <w:color w:val="auto"/>
        </w:rPr>
        <w:t>16A(3)(b).</w:t>
      </w:r>
    </w:p>
  </w:footnote>
  <w:footnote w:id="449">
    <w:p w14:paraId="3911C29F" w14:textId="77BFBE7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951817" w:rsidRPr="00400349">
        <w:rPr>
          <w:color w:val="auto"/>
        </w:rPr>
        <w:t xml:space="preserve">Section </w:t>
      </w:r>
      <w:r w:rsidRPr="00400349">
        <w:rPr>
          <w:color w:val="auto"/>
        </w:rPr>
        <w:t>16A(4).</w:t>
      </w:r>
    </w:p>
  </w:footnote>
  <w:footnote w:id="450">
    <w:p w14:paraId="796423C7"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Hon Amy Adams, Minister of Justice </w:t>
      </w:r>
      <w:r w:rsidRPr="00400349">
        <w:rPr>
          <w:i/>
          <w:color w:val="auto"/>
        </w:rPr>
        <w:t>Reform of Family Violence Law — Paper Three: Prosecuting family violence</w:t>
      </w:r>
      <w:r w:rsidRPr="00400349">
        <w:rPr>
          <w:color w:val="auto"/>
        </w:rPr>
        <w:t xml:space="preserve"> (Cabinet paper, August 2016) at [45].</w:t>
      </w:r>
    </w:p>
  </w:footnote>
  <w:footnote w:id="451">
    <w:p w14:paraId="11BD7737" w14:textId="619CA46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Hate Crime and Public Order (Scotland) Act 2021</w:t>
      </w:r>
      <w:r w:rsidR="0066107F" w:rsidRPr="00400349">
        <w:rPr>
          <w:color w:val="auto"/>
        </w:rPr>
        <w:t xml:space="preserve"> (UK)</w:t>
      </w:r>
      <w:r w:rsidRPr="00400349">
        <w:rPr>
          <w:color w:val="auto"/>
        </w:rPr>
        <w:t>, s 2(1)(a).</w:t>
      </w:r>
    </w:p>
  </w:footnote>
  <w:footnote w:id="452">
    <w:p w14:paraId="2C933E71" w14:textId="7D36CFB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A264C9" w:rsidRPr="00400349">
        <w:rPr>
          <w:color w:val="auto"/>
        </w:rPr>
        <w:t>Section</w:t>
      </w:r>
      <w:r w:rsidRPr="00400349">
        <w:rPr>
          <w:color w:val="auto"/>
        </w:rPr>
        <w:t xml:space="preserve"> 2(2)(a).</w:t>
      </w:r>
    </w:p>
  </w:footnote>
  <w:footnote w:id="453">
    <w:p w14:paraId="27CF3724" w14:textId="163EAEF8"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Alastair P Campbell </w:t>
      </w:r>
      <w:r w:rsidRPr="00400349">
        <w:rPr>
          <w:i/>
          <w:color w:val="auto"/>
        </w:rPr>
        <w:t xml:space="preserve">Independent Review of Hate Crime Legislation in Scotland: Final Report </w:t>
      </w:r>
      <w:r w:rsidRPr="00400349">
        <w:rPr>
          <w:color w:val="auto"/>
        </w:rPr>
        <w:t>(Justice Directorate, May 2018) at [3.60].</w:t>
      </w:r>
    </w:p>
  </w:footnote>
  <w:footnote w:id="454">
    <w:p w14:paraId="53831B7F"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 xml:space="preserve">Hate crime laws: Final report </w:t>
      </w:r>
      <w:r w:rsidRPr="00400349">
        <w:rPr>
          <w:color w:val="auto"/>
        </w:rPr>
        <w:t>(R402, 2021) at [8.53].</w:t>
      </w:r>
    </w:p>
  </w:footnote>
  <w:footnote w:id="455">
    <w:p w14:paraId="67C2B28C" w14:textId="7DCB1E0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00946888" w:rsidRPr="00400349">
        <w:rPr>
          <w:i/>
          <w:color w:val="auto"/>
        </w:rPr>
        <w:t xml:space="preserve">Hate Crime: Should the Current Offences </w:t>
      </w:r>
      <w:r w:rsidR="00206CCB" w:rsidRPr="00400349">
        <w:rPr>
          <w:i/>
          <w:color w:val="auto"/>
        </w:rPr>
        <w:t>b</w:t>
      </w:r>
      <w:r w:rsidR="00946888" w:rsidRPr="00400349">
        <w:rPr>
          <w:i/>
          <w:color w:val="auto"/>
        </w:rPr>
        <w:t>e Extended?</w:t>
      </w:r>
      <w:r w:rsidR="00946888" w:rsidRPr="00400349">
        <w:rPr>
          <w:color w:val="auto"/>
        </w:rPr>
        <w:t xml:space="preserve"> </w:t>
      </w:r>
      <w:r w:rsidRPr="00400349">
        <w:rPr>
          <w:color w:val="auto"/>
        </w:rPr>
        <w:t>(R348, 2014) at [3.104].</w:t>
      </w:r>
    </w:p>
  </w:footnote>
  <w:footnote w:id="456">
    <w:p w14:paraId="334895C7" w14:textId="348D1D6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Justice for Palestine, Alternative Jewish Voices and Dayenu (joint submission); Dr Kyle R Matthews; Te Kāhui Ture o Aotearoa | New Zealand Law Society; Pride in Law Otago; Te Kāhui o Ināia Tonu Nei</w:t>
      </w:r>
      <w:r w:rsidR="009924F8">
        <w:rPr>
          <w:color w:val="auto"/>
        </w:rPr>
        <w:t xml:space="preserve"> Charitable Trust</w:t>
      </w:r>
      <w:r w:rsidRPr="00400349">
        <w:rPr>
          <w:color w:val="auto"/>
        </w:rPr>
        <w:t>; The Law Association of New Zealand Public and Administrative Law Committee; and Women‘s Rights Party.</w:t>
      </w:r>
    </w:p>
  </w:footnote>
  <w:footnote w:id="457">
    <w:p w14:paraId="02A6C2DF"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Justice for Palestine, Alternative Jewish Voices and Dayenu (joint submission); and Te Kāhui o Ināia Tonu Nei Charitable Trust.</w:t>
      </w:r>
    </w:p>
  </w:footnote>
  <w:footnote w:id="458">
    <w:p w14:paraId="528E94BE"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Law Association of New Zealand Public and Administrative Law Committee.</w:t>
      </w:r>
    </w:p>
  </w:footnote>
  <w:footnote w:id="459">
    <w:p w14:paraId="42ED0B8D" w14:textId="3AFC03C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submitter referred to a flag, but it was unclear whether they were referring to a court flag, the existing Police flag or both.</w:t>
      </w:r>
    </w:p>
  </w:footnote>
  <w:footnote w:id="460">
    <w:p w14:paraId="7A90145B"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2002, s 24(2).</w:t>
      </w:r>
    </w:p>
  </w:footnote>
  <w:footnote w:id="461">
    <w:p w14:paraId="4E62D644" w14:textId="42154C5A" w:rsidR="000B5098" w:rsidRPr="00400349" w:rsidRDefault="000B5098">
      <w:pPr>
        <w:pStyle w:val="FootnoteText"/>
      </w:pPr>
      <w:r w:rsidRPr="00400349">
        <w:rPr>
          <w:rStyle w:val="FootnoteReference"/>
        </w:rPr>
        <w:footnoteRef/>
      </w:r>
      <w:r w:rsidRPr="00400349">
        <w:t xml:space="preserve"> </w:t>
      </w:r>
      <w:r w:rsidR="00312032" w:rsidRPr="00400349">
        <w:tab/>
        <w:t>In Chapter</w:t>
      </w:r>
      <w:r w:rsidR="00AB0C51" w:rsidRPr="00400349">
        <w:t xml:space="preserve"> 7, we also recommend requiring sentencing judges to state if the hostility aggravating factor applies to an offence when giving their reasons. If that recommendation is accepted, </w:t>
      </w:r>
      <w:r w:rsidR="002D41CC" w:rsidRPr="00400349">
        <w:t xml:space="preserve">the application of the aggravating factor would usually be clear to an appellate court from the sentencing notes. However, we understand </w:t>
      </w:r>
      <w:r w:rsidR="00EF461B" w:rsidRPr="00400349">
        <w:t>th</w:t>
      </w:r>
      <w:r w:rsidR="00DC1FE2" w:rsidRPr="00400349">
        <w:t xml:space="preserve">at </w:t>
      </w:r>
      <w:r w:rsidR="00465C08" w:rsidRPr="00400349">
        <w:t xml:space="preserve">sentencing notes are usually only transcribed where the offender is sentenced to imprisonment or home detention. If there is an appeal against </w:t>
      </w:r>
      <w:r w:rsidR="009A1676" w:rsidRPr="00400349">
        <w:t>another type of</w:t>
      </w:r>
      <w:r w:rsidR="009B2F94" w:rsidRPr="00400349">
        <w:t xml:space="preserve"> sentence, the appellate court may not have any record of the sentencing judge’s remarks.</w:t>
      </w:r>
    </w:p>
  </w:footnote>
  <w:footnote w:id="462">
    <w:p w14:paraId="5F4003BB" w14:textId="70AA3F4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s 250(2)–(3).</w:t>
      </w:r>
    </w:p>
  </w:footnote>
  <w:footnote w:id="463">
    <w:p w14:paraId="35DC09A8"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Birch v Police</w:t>
      </w:r>
      <w:r w:rsidRPr="00400349">
        <w:rPr>
          <w:color w:val="auto"/>
        </w:rPr>
        <w:t xml:space="preserve"> [2020] NZHC 878 at [19].</w:t>
      </w:r>
    </w:p>
  </w:footnote>
  <w:footnote w:id="464">
    <w:p w14:paraId="556B3B03" w14:textId="7701097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the Sentencing Act, </w:t>
      </w:r>
      <w:r w:rsidR="00D002E4" w:rsidRPr="00400349">
        <w:rPr>
          <w:color w:val="auto"/>
        </w:rPr>
        <w:t>s 9P,</w:t>
      </w:r>
      <w:r w:rsidRPr="00400349">
        <w:rPr>
          <w:color w:val="auto"/>
        </w:rPr>
        <w:t xml:space="preserve"> </w:t>
      </w:r>
      <w:r w:rsidR="0040541E" w:rsidRPr="00400349">
        <w:rPr>
          <w:color w:val="auto"/>
        </w:rPr>
        <w:t xml:space="preserve">which provides </w:t>
      </w:r>
      <w:r w:rsidRPr="00400349">
        <w:rPr>
          <w:color w:val="auto"/>
        </w:rPr>
        <w:t xml:space="preserve">that failure to comply </w:t>
      </w:r>
      <w:r w:rsidR="0005652F" w:rsidRPr="00400349">
        <w:rPr>
          <w:color w:val="auto"/>
        </w:rPr>
        <w:t>with</w:t>
      </w:r>
      <w:r w:rsidRPr="00400349">
        <w:rPr>
          <w:color w:val="auto"/>
        </w:rPr>
        <w:t xml:space="preserve"> the requirements in ss 9N and 9O to record any reduction in sentence for remorse and to inform the defendant of certain matters is not in itself grounds for appeal against sentence. </w:t>
      </w:r>
    </w:p>
  </w:footnote>
  <w:footnote w:id="465">
    <w:p w14:paraId="0DC3B8C9" w14:textId="3D9DAC3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Rules, r 7.1(6)–(7).</w:t>
      </w:r>
    </w:p>
  </w:footnote>
  <w:footnote w:id="466">
    <w:p w14:paraId="2894B091" w14:textId="45710C3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pt 2, subpt 1.</w:t>
      </w:r>
    </w:p>
  </w:footnote>
  <w:footnote w:id="467">
    <w:p w14:paraId="6B467155" w14:textId="65ECC51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ss 9D and 9N.</w:t>
      </w:r>
    </w:p>
  </w:footnote>
  <w:footnote w:id="468">
    <w:p w14:paraId="0876AEBC" w14:textId="5FA456C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While there is now a family violence aggravating factor</w:t>
      </w:r>
      <w:r w:rsidR="007D24F8" w:rsidRPr="00400349">
        <w:rPr>
          <w:color w:val="auto"/>
        </w:rPr>
        <w:t>,</w:t>
      </w:r>
      <w:r w:rsidRPr="00400349">
        <w:rPr>
          <w:color w:val="auto"/>
        </w:rPr>
        <w:t xml:space="preserve"> it only applies where there was a protection order in place at the time of the offending</w:t>
      </w:r>
      <w:r w:rsidR="007D24F8" w:rsidRPr="00400349">
        <w:rPr>
          <w:color w:val="auto"/>
        </w:rPr>
        <w:t>: Sentencing Act, s 9(1)(ca)</w:t>
      </w:r>
      <w:r w:rsidRPr="00400349">
        <w:rPr>
          <w:color w:val="auto"/>
        </w:rPr>
        <w:t>. Other offending may still be classified as a family violence offence for the purposes of the family violence flag</w:t>
      </w:r>
      <w:r w:rsidR="00F91C98" w:rsidRPr="00400349">
        <w:rPr>
          <w:color w:val="auto"/>
        </w:rPr>
        <w:t>:</w:t>
      </w:r>
      <w:r w:rsidRPr="00400349">
        <w:rPr>
          <w:color w:val="auto"/>
        </w:rPr>
        <w:t xml:space="preserve"> Criminal Procedure Act, s 16A(5)</w:t>
      </w:r>
      <w:r w:rsidR="00F91C98" w:rsidRPr="00400349">
        <w:rPr>
          <w:color w:val="auto"/>
        </w:rPr>
        <w:t>;</w:t>
      </w:r>
      <w:r w:rsidRPr="00400349">
        <w:rPr>
          <w:color w:val="auto"/>
        </w:rPr>
        <w:t xml:space="preserve"> and Family Violence Act 2018, s 9.</w:t>
      </w:r>
    </w:p>
  </w:footnote>
  <w:footnote w:id="469">
    <w:p w14:paraId="4C1A28A7" w14:textId="2F686CA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s 184(1).</w:t>
      </w:r>
    </w:p>
  </w:footnote>
  <w:footnote w:id="470">
    <w:p w14:paraId="22967E03" w14:textId="018AE4F0"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6D7A06" w:rsidRPr="00400349">
        <w:rPr>
          <w:color w:val="auto"/>
        </w:rPr>
        <w:t>Section</w:t>
      </w:r>
      <w:r w:rsidRPr="00400349">
        <w:rPr>
          <w:color w:val="auto"/>
        </w:rPr>
        <w:t xml:space="preserve"> 184(3).</w:t>
      </w:r>
    </w:p>
  </w:footnote>
  <w:footnote w:id="471">
    <w:p w14:paraId="026D0FC9" w14:textId="27A51E3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Rules, r 7.1(2)–(3).</w:t>
      </w:r>
    </w:p>
  </w:footnote>
  <w:footnote w:id="472">
    <w:p w14:paraId="2D034B91" w14:textId="4981AFF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6D7A06" w:rsidRPr="00400349">
        <w:rPr>
          <w:color w:val="auto"/>
        </w:rPr>
        <w:t>Rule</w:t>
      </w:r>
      <w:r w:rsidRPr="00400349">
        <w:rPr>
          <w:color w:val="auto"/>
        </w:rPr>
        <w:t xml:space="preserve"> 7.1(6). If the judicial officer or registrar who made the entry is unavailable, a judge may correct the entry</w:t>
      </w:r>
      <w:r w:rsidR="00035314" w:rsidRPr="00400349">
        <w:rPr>
          <w:color w:val="auto"/>
        </w:rPr>
        <w:t>:</w:t>
      </w:r>
      <w:r w:rsidRPr="00400349">
        <w:rPr>
          <w:color w:val="auto"/>
        </w:rPr>
        <w:t xml:space="preserve"> r 7.1(7).</w:t>
      </w:r>
    </w:p>
  </w:footnote>
  <w:footnote w:id="473">
    <w:p w14:paraId="7276C055" w14:textId="0F499DE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48144B" w:rsidRPr="00400349">
        <w:rPr>
          <w:color w:val="auto"/>
        </w:rPr>
        <w:t xml:space="preserve">Rule </w:t>
      </w:r>
      <w:r w:rsidRPr="00400349">
        <w:rPr>
          <w:color w:val="auto"/>
        </w:rPr>
        <w:t>7.2.</w:t>
      </w:r>
    </w:p>
  </w:footnote>
  <w:footnote w:id="474">
    <w:p w14:paraId="50BD78BC" w14:textId="045CFCE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42EC0" w:rsidRPr="00400349">
        <w:rPr>
          <w:color w:val="auto"/>
        </w:rPr>
        <w:t>Rule 7.2</w:t>
      </w:r>
      <w:r w:rsidRPr="00400349">
        <w:rPr>
          <w:color w:val="auto"/>
        </w:rPr>
        <w:t xml:space="preserve"> do</w:t>
      </w:r>
      <w:r w:rsidR="00C42EC0" w:rsidRPr="00400349">
        <w:rPr>
          <w:color w:val="auto"/>
        </w:rPr>
        <w:t>es</w:t>
      </w:r>
      <w:r w:rsidRPr="00400349">
        <w:rPr>
          <w:color w:val="auto"/>
        </w:rPr>
        <w:t xml:space="preserve"> not refer to the requirements to record the application of the youth and remorse mitigating factors </w:t>
      </w:r>
      <w:r w:rsidR="00C42EC0" w:rsidRPr="00400349">
        <w:rPr>
          <w:color w:val="auto"/>
        </w:rPr>
        <w:t>in ss</w:t>
      </w:r>
      <w:r w:rsidR="003571A3">
        <w:rPr>
          <w:rFonts w:ascii="Calibri" w:hAnsi="Calibri" w:cs="Calibri"/>
          <w:color w:val="auto"/>
        </w:rPr>
        <w:t> </w:t>
      </w:r>
      <w:r w:rsidR="00C42EC0" w:rsidRPr="00400349">
        <w:rPr>
          <w:color w:val="auto"/>
        </w:rPr>
        <w:t>9D and 9N of the</w:t>
      </w:r>
      <w:r w:rsidRPr="00400349">
        <w:rPr>
          <w:color w:val="auto"/>
        </w:rPr>
        <w:t xml:space="preserve"> Sentencing Act.</w:t>
      </w:r>
    </w:p>
  </w:footnote>
  <w:footnote w:id="475">
    <w:p w14:paraId="0FCDA7E1" w14:textId="7BD40B2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Hon Paul Goldsmith and Hon Nicole McKee “</w:t>
      </w:r>
      <w:r w:rsidR="00F125EF" w:rsidRPr="00400349">
        <w:t>Courts’ caseflow management going digital</w:t>
      </w:r>
      <w:r w:rsidRPr="00400349">
        <w:rPr>
          <w:color w:val="auto"/>
        </w:rPr>
        <w:t>” (16 April 2025) &lt;beehive.govt.nz&gt;.</w:t>
      </w:r>
    </w:p>
  </w:footnote>
  <w:footnote w:id="476">
    <w:p w14:paraId="5FAE2593"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Cabinet Minute “Digital Case Management (Te Au Reka): Change Approach” (12 November 2025) SOU-25-MIN-0161 at [4]–[5].</w:t>
      </w:r>
    </w:p>
  </w:footnote>
  <w:footnote w:id="477">
    <w:p w14:paraId="36E45324" w14:textId="2B41ED8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ss 9D and 9N.</w:t>
      </w:r>
    </w:p>
  </w:footnote>
  <w:footnote w:id="478">
    <w:p w14:paraId="705664A4" w14:textId="09FE7C9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Rules, r 7.1(6)–(7).</w:t>
      </w:r>
    </w:p>
  </w:footnote>
  <w:footnote w:id="479">
    <w:p w14:paraId="3D5FDC3E" w14:textId="4430802D" w:rsidR="005900F0" w:rsidRPr="00400349" w:rsidRDefault="005900F0" w:rsidP="005900F0">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t xml:space="preserve">As noted in Chapter 4, funding for this team has expired and the future of the quality assurance role is uncertain. We suggested there that </w:t>
      </w:r>
      <w:r w:rsidR="0095585F" w:rsidRPr="00400349">
        <w:rPr>
          <w:color w:val="auto"/>
          <w:lang w:val="en-US"/>
        </w:rPr>
        <w:t xml:space="preserve">Police may wish to consider whether some form of quality assurance can </w:t>
      </w:r>
      <w:r w:rsidR="00640FBB" w:rsidRPr="00400349">
        <w:rPr>
          <w:color w:val="auto"/>
          <w:lang w:val="en-US"/>
        </w:rPr>
        <w:t xml:space="preserve">be </w:t>
      </w:r>
      <w:r w:rsidR="0095585F" w:rsidRPr="00400349">
        <w:rPr>
          <w:color w:val="auto"/>
          <w:lang w:val="en-US"/>
        </w:rPr>
        <w:t>continue</w:t>
      </w:r>
      <w:r w:rsidR="00640FBB" w:rsidRPr="00400349">
        <w:rPr>
          <w:color w:val="auto"/>
          <w:lang w:val="en-US"/>
        </w:rPr>
        <w:t>d</w:t>
      </w:r>
      <w:r w:rsidRPr="00400349">
        <w:rPr>
          <w:color w:val="auto"/>
          <w:lang w:val="en-US"/>
        </w:rPr>
        <w:t xml:space="preserve">. </w:t>
      </w:r>
    </w:p>
  </w:footnote>
  <w:footnote w:id="480">
    <w:p w14:paraId="21910952" w14:textId="14D23735"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Ngā Kōti o Aotearoa | Courts of New Zealand “Judgments” &lt;www.courtsofnz.govt.nz&gt;.</w:t>
      </w:r>
    </w:p>
  </w:footnote>
  <w:footnote w:id="481">
    <w:p w14:paraId="541F5D9D"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[7.27] and [7.37].</w:t>
      </w:r>
    </w:p>
  </w:footnote>
  <w:footnote w:id="482">
    <w:p w14:paraId="52572D2C"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Justice for Palestine, Alternative Jewish Voices and Dayenu (joint submission); Dr Kyle R Matthews; Pride in Law Otago; and Te Kāhui o Ināia Tonu Nei Charitable Trust.</w:t>
      </w:r>
    </w:p>
  </w:footnote>
  <w:footnote w:id="483">
    <w:p w14:paraId="756CC25B" w14:textId="7D8540E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 suspect’s previous convictions are taken into account when assessing whether the public interest requires prosecution: </w:t>
      </w:r>
      <w:r w:rsidR="001E7ACD" w:rsidRPr="00400349">
        <w:rPr>
          <w:color w:val="auto"/>
          <w:lang w:val="mi-NZ"/>
        </w:rPr>
        <w:t>Te</w:t>
      </w:r>
      <w:r w:rsidR="00571837" w:rsidRPr="00400349">
        <w:rPr>
          <w:color w:val="auto"/>
          <w:lang w:val="mi-NZ"/>
        </w:rPr>
        <w:t xml:space="preserve"> Tari Ture o te Karauna | Crown Law </w:t>
      </w:r>
      <w:r w:rsidR="00571837" w:rsidRPr="00400349">
        <w:rPr>
          <w:i/>
          <w:color w:val="auto"/>
          <w:lang w:val="mi-NZ"/>
        </w:rPr>
        <w:t>The Solicitor-General’s Prosecution Guidelines: Decisions to prosecute</w:t>
      </w:r>
      <w:r w:rsidR="00571837" w:rsidRPr="00400349">
        <w:rPr>
          <w:color w:val="auto"/>
          <w:lang w:val="mi-NZ"/>
        </w:rPr>
        <w:t xml:space="preserve"> (2024) at</w:t>
      </w:r>
      <w:r w:rsidR="00571837" w:rsidRPr="00400349" w:rsidDel="00587BBF">
        <w:rPr>
          <w:color w:val="auto"/>
        </w:rPr>
        <w:t xml:space="preserve"> </w:t>
      </w:r>
      <w:r w:rsidRPr="00400349">
        <w:rPr>
          <w:color w:val="auto"/>
        </w:rPr>
        <w:t>[36.3].</w:t>
      </w:r>
    </w:p>
  </w:footnote>
  <w:footnote w:id="484">
    <w:p w14:paraId="5E1970C0" w14:textId="3D640172" w:rsidR="00984518" w:rsidRDefault="00984518">
      <w:pPr>
        <w:pStyle w:val="FootnoteText"/>
      </w:pPr>
      <w:r>
        <w:rPr>
          <w:rStyle w:val="FootnoteReference"/>
        </w:rPr>
        <w:footnoteRef/>
      </w:r>
      <w:r>
        <w:t xml:space="preserve"> </w:t>
      </w:r>
      <w:r>
        <w:tab/>
      </w:r>
      <w:r w:rsidRPr="00400349">
        <w:rPr>
          <w:color w:val="auto"/>
        </w:rPr>
        <w:t>Arms Bill 2025 (233-1)</w:t>
      </w:r>
      <w:r>
        <w:rPr>
          <w:color w:val="auto"/>
        </w:rPr>
        <w:t>.</w:t>
      </w:r>
    </w:p>
  </w:footnote>
  <w:footnote w:id="485">
    <w:p w14:paraId="686900F0" w14:textId="15F003C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803F8">
        <w:rPr>
          <w:color w:val="auto"/>
        </w:rPr>
        <w:t>Clauses</w:t>
      </w:r>
      <w:r w:rsidRPr="00400349">
        <w:rPr>
          <w:color w:val="auto"/>
        </w:rPr>
        <w:t xml:space="preserve"> 300(2) and 344(2).</w:t>
      </w:r>
      <w:r w:rsidR="000D42FD" w:rsidRPr="00400349">
        <w:rPr>
          <w:color w:val="auto"/>
        </w:rPr>
        <w:t xml:space="preserve"> Clause 344(2) provides that Police must provide to the regulator any information Police holds about an applicant for a firearms licen</w:t>
      </w:r>
      <w:r w:rsidR="00C40E52" w:rsidRPr="00400349">
        <w:rPr>
          <w:color w:val="auto"/>
        </w:rPr>
        <w:t>c</w:t>
      </w:r>
      <w:r w:rsidR="000D42FD" w:rsidRPr="00400349">
        <w:rPr>
          <w:color w:val="auto"/>
        </w:rPr>
        <w:t>e</w:t>
      </w:r>
      <w:r w:rsidR="00062A85" w:rsidRPr="00400349">
        <w:rPr>
          <w:color w:val="auto"/>
        </w:rPr>
        <w:t xml:space="preserve"> that may assist the regulator in the exercise of its functions</w:t>
      </w:r>
      <w:r w:rsidR="00D476EB" w:rsidRPr="00400349">
        <w:rPr>
          <w:color w:val="auto"/>
        </w:rPr>
        <w:t>, duties and powers</w:t>
      </w:r>
      <w:r w:rsidR="00062A85" w:rsidRPr="00400349">
        <w:rPr>
          <w:color w:val="auto"/>
        </w:rPr>
        <w:t>.</w:t>
      </w:r>
    </w:p>
  </w:footnote>
  <w:footnote w:id="486">
    <w:p w14:paraId="1F55D5F9" w14:textId="5675829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Arms Act 1983, s 24A(1)(l)</w:t>
      </w:r>
      <w:r w:rsidR="00B47504" w:rsidRPr="00400349">
        <w:rPr>
          <w:color w:val="auto"/>
        </w:rPr>
        <w:t>;</w:t>
      </w:r>
      <w:r w:rsidRPr="00400349">
        <w:rPr>
          <w:color w:val="auto"/>
        </w:rPr>
        <w:t xml:space="preserve"> and Arms Bill </w:t>
      </w:r>
      <w:r w:rsidR="004919CB" w:rsidRPr="00400349">
        <w:rPr>
          <w:color w:val="auto"/>
        </w:rPr>
        <w:t xml:space="preserve">2025 </w:t>
      </w:r>
      <w:r w:rsidRPr="00400349">
        <w:rPr>
          <w:color w:val="auto"/>
        </w:rPr>
        <w:t>(233</w:t>
      </w:r>
      <w:r w:rsidR="004919CB" w:rsidRPr="00400349">
        <w:rPr>
          <w:color w:val="auto"/>
        </w:rPr>
        <w:t>-</w:t>
      </w:r>
      <w:r w:rsidRPr="00400349">
        <w:rPr>
          <w:color w:val="auto"/>
        </w:rPr>
        <w:t>1), cls 69(1)(n).</w:t>
      </w:r>
    </w:p>
  </w:footnote>
  <w:footnote w:id="487">
    <w:p w14:paraId="3AFE82AE" w14:textId="751F0A74"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243126" w:rsidRPr="00400349">
        <w:rPr>
          <w:color w:val="auto"/>
        </w:rPr>
        <w:t>Ngā Pirihimana o Aot</w:t>
      </w:r>
      <w:r w:rsidR="002E77BF" w:rsidRPr="00400349">
        <w:rPr>
          <w:color w:val="auto"/>
        </w:rPr>
        <w:t xml:space="preserve">earoa | </w:t>
      </w:r>
      <w:r w:rsidRPr="00400349">
        <w:rPr>
          <w:color w:val="auto"/>
        </w:rPr>
        <w:t>New Zealand Police “</w:t>
      </w:r>
      <w:r w:rsidR="00243126" w:rsidRPr="00400349">
        <w:t>Hate motivated crime training scenario — Race 07</w:t>
      </w:r>
      <w:r w:rsidRPr="00400349">
        <w:rPr>
          <w:color w:val="auto"/>
        </w:rPr>
        <w:t>” &lt;www.police.govt.nz&gt; at 3.</w:t>
      </w:r>
    </w:p>
  </w:footnote>
  <w:footnote w:id="488">
    <w:p w14:paraId="50E82327" w14:textId="6163213C"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Arms Act, s 24A(1)(a). Under the current test, Police “may” find that someone is not a fit and proper person to possess a firearm on the grounds set out in s 24A(1). However, under the Arms Bill </w:t>
      </w:r>
      <w:r w:rsidR="009E297F" w:rsidRPr="00400349">
        <w:rPr>
          <w:color w:val="auto"/>
        </w:rPr>
        <w:t>2025</w:t>
      </w:r>
      <w:r w:rsidRPr="00400349">
        <w:rPr>
          <w:color w:val="auto"/>
        </w:rPr>
        <w:t xml:space="preserve"> (233</w:t>
      </w:r>
      <w:r w:rsidR="00590EDF" w:rsidRPr="00400349">
        <w:rPr>
          <w:color w:val="auto"/>
        </w:rPr>
        <w:t>-</w:t>
      </w:r>
      <w:r w:rsidRPr="00400349">
        <w:rPr>
          <w:color w:val="auto"/>
        </w:rPr>
        <w:t>1), the regulator would only be able to issue a firearms licen</w:t>
      </w:r>
      <w:r w:rsidR="00897107" w:rsidRPr="00400349">
        <w:rPr>
          <w:color w:val="auto"/>
        </w:rPr>
        <w:t>c</w:t>
      </w:r>
      <w:r w:rsidRPr="00400349">
        <w:rPr>
          <w:color w:val="auto"/>
        </w:rPr>
        <w:t>e if satisfied the listed grounds do not apply</w:t>
      </w:r>
      <w:r w:rsidR="009E297F" w:rsidRPr="00400349">
        <w:rPr>
          <w:color w:val="auto"/>
        </w:rPr>
        <w:t>:</w:t>
      </w:r>
      <w:r w:rsidRPr="00400349">
        <w:rPr>
          <w:color w:val="auto"/>
        </w:rPr>
        <w:t xml:space="preserve"> cl 69(1).</w:t>
      </w:r>
    </w:p>
  </w:footnote>
  <w:footnote w:id="489">
    <w:p w14:paraId="7499761E" w14:textId="160EF83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635FF5">
        <w:t>For example, offensive behaviour or language and graffiti vandalism:</w:t>
      </w:r>
      <w:r w:rsidR="00635FF5" w:rsidRPr="00400349">
        <w:rPr>
          <w:color w:val="auto"/>
        </w:rPr>
        <w:t xml:space="preserve"> </w:t>
      </w:r>
      <w:r w:rsidRPr="00400349">
        <w:rPr>
          <w:color w:val="auto"/>
        </w:rPr>
        <w:t>Summary Offences Act 1981, ss 4 and 11A.</w:t>
      </w:r>
    </w:p>
  </w:footnote>
  <w:footnote w:id="490">
    <w:p w14:paraId="3E554CC4"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Bail Act 2002, s 30F.</w:t>
      </w:r>
    </w:p>
  </w:footnote>
  <w:footnote w:id="491">
    <w:p w14:paraId="696EDC62" w14:textId="4ADBA78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26(2)(b), (d), (e) and (i).</w:t>
      </w:r>
    </w:p>
  </w:footnote>
  <w:footnote w:id="492">
    <w:p w14:paraId="5D098BFE"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Arps</w:t>
      </w:r>
      <w:r w:rsidRPr="00400349">
        <w:rPr>
          <w:rFonts w:ascii="Calibri" w:hAnsi="Calibri" w:cs="Calibri"/>
          <w:color w:val="auto"/>
        </w:rPr>
        <w:t xml:space="preserve"> </w:t>
      </w:r>
      <w:r w:rsidRPr="00400349">
        <w:rPr>
          <w:color w:val="auto"/>
        </w:rPr>
        <w:t xml:space="preserve">[2019] NZDC 11547 at [20]. </w:t>
      </w:r>
    </w:p>
  </w:footnote>
  <w:footnote w:id="493">
    <w:p w14:paraId="524C7ACB"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Parole Act 2002, s 43(1)(a) and </w:t>
      </w:r>
      <w:r w:rsidRPr="00400349">
        <w:rPr>
          <w:rFonts w:cs="Calibri"/>
          <w:color w:val="auto"/>
        </w:rPr>
        <w:t>(c).</w:t>
      </w:r>
    </w:p>
  </w:footnote>
  <w:footnote w:id="494">
    <w:p w14:paraId="5B0FB0AF" w14:textId="25822AE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A16EA4" w:rsidRPr="00400349">
        <w:rPr>
          <w:color w:val="auto"/>
        </w:rPr>
        <w:t xml:space="preserve">Tumuaki o te Mana Arotake | </w:t>
      </w:r>
      <w:r w:rsidRPr="00400349">
        <w:rPr>
          <w:color w:val="auto"/>
        </w:rPr>
        <w:t xml:space="preserve">Controller and Auditor-General </w:t>
      </w:r>
      <w:r w:rsidRPr="00400349">
        <w:rPr>
          <w:i/>
          <w:color w:val="auto"/>
        </w:rPr>
        <w:t xml:space="preserve">Department of Corrections: Managing offenders on parole — Performance audit report </w:t>
      </w:r>
      <w:r w:rsidRPr="00400349">
        <w:rPr>
          <w:color w:val="auto"/>
        </w:rPr>
        <w:t>(February 2009) at [2.6].</w:t>
      </w:r>
    </w:p>
  </w:footnote>
  <w:footnote w:id="495">
    <w:p w14:paraId="03FA1BD8" w14:textId="20734A1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88(1)(b); Parole Act, s 107F(2); and Public Safety (Public Protection Orders) Act 2014, ss 9 and 13. T</w:t>
      </w:r>
      <w:r w:rsidR="00B23492" w:rsidRPr="00400349">
        <w:rPr>
          <w:color w:val="auto"/>
        </w:rPr>
        <w:t>e Aka Matua o te Ture |</w:t>
      </w:r>
      <w:r w:rsidRPr="00400349">
        <w:rPr>
          <w:color w:val="auto"/>
        </w:rPr>
        <w:t xml:space="preserve"> Law Commission has recommended that the legislation governing preventive detention, extended supervision orders and public protection orders should be repealed and replaced with a single statutory regime for preventing serious reoffending</w:t>
      </w:r>
      <w:r w:rsidR="003C73D8" w:rsidRPr="00400349">
        <w:rPr>
          <w:color w:val="auto"/>
        </w:rPr>
        <w:t>:</w:t>
      </w:r>
      <w:r w:rsidRPr="00400349">
        <w:rPr>
          <w:color w:val="auto"/>
        </w:rPr>
        <w:t xml:space="preserve"> </w:t>
      </w:r>
      <w:r w:rsidRPr="00400349">
        <w:rPr>
          <w:i/>
          <w:color w:val="auto"/>
        </w:rPr>
        <w:t xml:space="preserve">Here ora | Preventive measures in a reformed law </w:t>
      </w:r>
      <w:r w:rsidRPr="00400349">
        <w:rPr>
          <w:color w:val="auto"/>
        </w:rPr>
        <w:t>(NZLC R149, 2025). The new regime would provide a range of similar measures targeted at the reoffending risks a person poses. If these recommendations are accepted, health assessor reports would still be required to accompany applications for preventive measures</w:t>
      </w:r>
      <w:r w:rsidR="00192B22" w:rsidRPr="00400349">
        <w:rPr>
          <w:color w:val="auto"/>
        </w:rPr>
        <w:t xml:space="preserve">: at </w:t>
      </w:r>
      <w:r w:rsidR="00FA7918" w:rsidRPr="00400349">
        <w:rPr>
          <w:color w:val="auto"/>
        </w:rPr>
        <w:t>1</w:t>
      </w:r>
      <w:r w:rsidR="00C44ECC" w:rsidRPr="00400349">
        <w:rPr>
          <w:color w:val="auto"/>
        </w:rPr>
        <w:t>9</w:t>
      </w:r>
      <w:r w:rsidR="00FA7918" w:rsidRPr="00400349">
        <w:rPr>
          <w:color w:val="auto"/>
        </w:rPr>
        <w:t>5</w:t>
      </w:r>
      <w:r w:rsidRPr="00400349">
        <w:rPr>
          <w:color w:val="auto"/>
        </w:rPr>
        <w:t xml:space="preserve"> (recommendation 32).  </w:t>
      </w:r>
    </w:p>
  </w:footnote>
  <w:footnote w:id="496">
    <w:p w14:paraId="2D0AE105" w14:textId="3C54F38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w:t>
      </w:r>
      <w:r w:rsidR="00973FD6" w:rsidRPr="00400349">
        <w:rPr>
          <w:color w:val="auto"/>
        </w:rPr>
        <w:t>t</w:t>
      </w:r>
      <w:r w:rsidRPr="00400349">
        <w:rPr>
          <w:color w:val="auto"/>
        </w:rPr>
        <w:t xml:space="preserve">e Ture | Law Commission </w:t>
      </w:r>
      <w:r w:rsidRPr="00400349">
        <w:rPr>
          <w:i/>
          <w:color w:val="auto"/>
        </w:rPr>
        <w:t xml:space="preserve">Here ora | Preventive measures in a reformed law </w:t>
      </w:r>
      <w:r w:rsidRPr="00400349">
        <w:rPr>
          <w:color w:val="auto"/>
        </w:rPr>
        <w:t>(NZLC R149, 2025) at [11.42].</w:t>
      </w:r>
    </w:p>
  </w:footnote>
  <w:footnote w:id="497">
    <w:p w14:paraId="38463EC6" w14:textId="7ED23C8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District Court (Access to Court Documents) Rules 2017, r 8(2)(a)</w:t>
      </w:r>
      <w:r w:rsidR="00AA5772" w:rsidRPr="00400349">
        <w:rPr>
          <w:color w:val="auto"/>
        </w:rPr>
        <w:t>;</w:t>
      </w:r>
      <w:r w:rsidRPr="00400349">
        <w:rPr>
          <w:color w:val="auto"/>
        </w:rPr>
        <w:t xml:space="preserve"> and Senior Courts (Access to Court Documents)</w:t>
      </w:r>
      <w:r w:rsidRPr="00400349">
        <w:rPr>
          <w:rFonts w:ascii="Calibri" w:hAnsi="Calibri" w:cs="Calibri"/>
          <w:color w:val="auto"/>
        </w:rPr>
        <w:t> </w:t>
      </w:r>
      <w:r w:rsidRPr="00400349">
        <w:rPr>
          <w:color w:val="auto"/>
        </w:rPr>
        <w:t>Rules 2017, r 8(3)(a).</w:t>
      </w:r>
    </w:p>
  </w:footnote>
  <w:footnote w:id="498">
    <w:p w14:paraId="79E30087" w14:textId="048C72F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31(1).</w:t>
      </w:r>
    </w:p>
  </w:footnote>
  <w:footnote w:id="499">
    <w:p w14:paraId="149829A4" w14:textId="666B0B2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District Court (Access to Court Documents) Rules, r 8(2)(d)</w:t>
      </w:r>
      <w:r w:rsidR="008D78C0" w:rsidRPr="00400349">
        <w:rPr>
          <w:color w:val="auto"/>
        </w:rPr>
        <w:t>;</w:t>
      </w:r>
      <w:r w:rsidRPr="00400349">
        <w:rPr>
          <w:color w:val="auto"/>
        </w:rPr>
        <w:t xml:space="preserve"> and Senior Courts (Access to Court Documents)</w:t>
      </w:r>
      <w:r w:rsidRPr="00400349">
        <w:rPr>
          <w:rFonts w:ascii="Calibri" w:hAnsi="Calibri" w:cs="Calibri"/>
          <w:color w:val="auto"/>
        </w:rPr>
        <w:t> </w:t>
      </w:r>
      <w:r w:rsidRPr="00400349">
        <w:rPr>
          <w:color w:val="auto"/>
        </w:rPr>
        <w:t>Rules, r</w:t>
      </w:r>
      <w:r w:rsidR="007D52A6" w:rsidRPr="00400349">
        <w:rPr>
          <w:rFonts w:ascii="Calibri" w:hAnsi="Calibri" w:cs="Calibri"/>
          <w:color w:val="auto"/>
        </w:rPr>
        <w:t> </w:t>
      </w:r>
      <w:r w:rsidRPr="00400349">
        <w:rPr>
          <w:color w:val="auto"/>
        </w:rPr>
        <w:t>8(3)(d).</w:t>
      </w:r>
    </w:p>
  </w:footnote>
  <w:footnote w:id="500">
    <w:p w14:paraId="2C822FF4" w14:textId="05136890"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District Court (Access to Court Documents) Rules, r 8(3)(d)</w:t>
      </w:r>
      <w:r w:rsidR="000553AE" w:rsidRPr="00400349">
        <w:rPr>
          <w:color w:val="auto"/>
        </w:rPr>
        <w:t>;</w:t>
      </w:r>
      <w:r w:rsidRPr="00400349">
        <w:rPr>
          <w:color w:val="auto"/>
        </w:rPr>
        <w:t xml:space="preserve"> and Senior Courts (Access to Court Documents)</w:t>
      </w:r>
      <w:r w:rsidRPr="00400349">
        <w:rPr>
          <w:rFonts w:ascii="Calibri" w:hAnsi="Calibri" w:cs="Calibri"/>
          <w:color w:val="auto"/>
        </w:rPr>
        <w:t> </w:t>
      </w:r>
      <w:r w:rsidRPr="00400349">
        <w:rPr>
          <w:color w:val="auto"/>
        </w:rPr>
        <w:t>Rules, r</w:t>
      </w:r>
      <w:r w:rsidR="007D52A6" w:rsidRPr="00400349">
        <w:rPr>
          <w:rFonts w:ascii="Calibri" w:hAnsi="Calibri" w:cs="Calibri"/>
          <w:color w:val="auto"/>
        </w:rPr>
        <w:t> </w:t>
      </w:r>
      <w:r w:rsidRPr="00400349">
        <w:rPr>
          <w:color w:val="auto"/>
        </w:rPr>
        <w:t>8(4)(d).</w:t>
      </w:r>
    </w:p>
  </w:footnote>
  <w:footnote w:id="501">
    <w:p w14:paraId="19766009" w14:textId="1D3A20E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Procedure Act, s 202(1)(b). The grounds for making suppression orders include if publication of the victim’s name would cause them undue hardship or endanger their safety</w:t>
      </w:r>
      <w:r w:rsidR="00AD1EE2" w:rsidRPr="00400349">
        <w:rPr>
          <w:color w:val="auto"/>
        </w:rPr>
        <w:t>:</w:t>
      </w:r>
      <w:r w:rsidRPr="00400349">
        <w:rPr>
          <w:color w:val="auto"/>
        </w:rPr>
        <w:t xml:space="preserve"> s 202(2)(a) and (c).</w:t>
      </w:r>
    </w:p>
  </w:footnote>
  <w:footnote w:id="502">
    <w:p w14:paraId="6D4EFC2E" w14:textId="0F0CE945"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This would require amendment to r 8(3) of the District Court (Access to Court Documents) Rules and r 8(4) of the Senior Courts (Access to Court Documents)</w:t>
      </w:r>
      <w:r w:rsidRPr="00400349">
        <w:rPr>
          <w:rFonts w:ascii="Calibri" w:hAnsi="Calibri" w:cs="Calibri"/>
          <w:color w:val="auto"/>
        </w:rPr>
        <w:t> </w:t>
      </w:r>
      <w:r w:rsidRPr="00400349">
        <w:rPr>
          <w:color w:val="auto"/>
        </w:rPr>
        <w:t>Rules.</w:t>
      </w:r>
    </w:p>
  </w:footnote>
  <w:footnote w:id="503">
    <w:p w14:paraId="0A2D526C"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Oranga Tamariki Act 1989, s 284.</w:t>
      </w:r>
    </w:p>
  </w:footnote>
  <w:footnote w:id="504">
    <w:p w14:paraId="07BFA752" w14:textId="1240E77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Pouwhare v R</w:t>
      </w:r>
      <w:r w:rsidRPr="00400349">
        <w:rPr>
          <w:rFonts w:ascii="Calibri" w:hAnsi="Calibri" w:cs="Calibri"/>
          <w:color w:val="auto"/>
        </w:rPr>
        <w:t> </w:t>
      </w:r>
      <w:r w:rsidRPr="00400349">
        <w:rPr>
          <w:color w:val="auto"/>
        </w:rPr>
        <w:t>[2010] NZCA 268 at [75]–[77]</w:t>
      </w:r>
      <w:r w:rsidR="00426673" w:rsidRPr="00400349">
        <w:rPr>
          <w:color w:val="auto"/>
        </w:rPr>
        <w:t>;</w:t>
      </w:r>
      <w:r w:rsidRPr="00400349">
        <w:rPr>
          <w:color w:val="auto"/>
        </w:rPr>
        <w:t xml:space="preserve"> and </w:t>
      </w:r>
      <w:r w:rsidRPr="00400349">
        <w:rPr>
          <w:i/>
          <w:color w:val="auto"/>
        </w:rPr>
        <w:t>Police v SY</w:t>
      </w:r>
      <w:r w:rsidRPr="00400349">
        <w:rPr>
          <w:color w:val="auto"/>
        </w:rPr>
        <w:t xml:space="preserve"> [2018] NZYC 463 at [81].</w:t>
      </w:r>
    </w:p>
  </w:footnote>
  <w:footnote w:id="505">
    <w:p w14:paraId="5E829D19" w14:textId="6B666004" w:rsidR="005900F0" w:rsidRPr="00400349" w:rsidRDefault="005900F0" w:rsidP="005900F0">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lang w:val="en-US"/>
        </w:rPr>
        <w:tab/>
      </w:r>
      <w:r w:rsidRPr="00400349">
        <w:rPr>
          <w:color w:val="auto"/>
        </w:rPr>
        <w:t>Oranga Tamariki Act, s 273 and sch 1A.</w:t>
      </w:r>
    </w:p>
  </w:footnote>
  <w:footnote w:id="506">
    <w:p w14:paraId="53D1BDA5" w14:textId="0ACBD7C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Oranga Tamariki Act, ss 283(o) and 284(1A); </w:t>
      </w:r>
      <w:r w:rsidR="009C1587" w:rsidRPr="00400349">
        <w:rPr>
          <w:color w:val="auto"/>
        </w:rPr>
        <w:t>and</w:t>
      </w:r>
      <w:r w:rsidRPr="00400349">
        <w:rPr>
          <w:color w:val="auto"/>
        </w:rPr>
        <w:t xml:space="preserve"> </w:t>
      </w:r>
      <w:r w:rsidRPr="00400349">
        <w:rPr>
          <w:i/>
          <w:color w:val="auto"/>
        </w:rPr>
        <w:t>Pouwhare v R</w:t>
      </w:r>
      <w:r w:rsidRPr="00400349">
        <w:rPr>
          <w:rFonts w:ascii="Calibri" w:hAnsi="Calibri" w:cs="Calibri"/>
          <w:color w:val="auto"/>
        </w:rPr>
        <w:t> </w:t>
      </w:r>
      <w:r w:rsidRPr="00400349">
        <w:rPr>
          <w:color w:val="auto"/>
        </w:rPr>
        <w:t>[2010] NZCA 268 at [73].</w:t>
      </w:r>
    </w:p>
  </w:footnote>
  <w:footnote w:id="507">
    <w:p w14:paraId="30653C8F" w14:textId="329BB7D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Oranga Tamariki Act, s 283(o).</w:t>
      </w:r>
    </w:p>
  </w:footnote>
  <w:footnote w:id="508">
    <w:p w14:paraId="36D0F6B8" w14:textId="1D518B0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Arps v Police</w:t>
      </w:r>
      <w:r w:rsidRPr="00400349">
        <w:rPr>
          <w:color w:val="auto"/>
        </w:rPr>
        <w:t xml:space="preserve"> [2019] NZCA 592, [2020] 2 NZLR 94 at [16(b)</w:t>
      </w:r>
      <w:r w:rsidR="00A963FD" w:rsidRPr="00400349">
        <w:rPr>
          <w:color w:val="auto"/>
        </w:rPr>
        <w:t>]</w:t>
      </w:r>
      <w:r w:rsidRPr="00400349">
        <w:rPr>
          <w:color w:val="auto"/>
        </w:rPr>
        <w:t>.</w:t>
      </w:r>
    </w:p>
  </w:footnote>
  <w:footnote w:id="509">
    <w:p w14:paraId="078CDFE0"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[5.16].</w:t>
      </w:r>
    </w:p>
  </w:footnote>
  <w:footnote w:id="510">
    <w:p w14:paraId="29C23751" w14:textId="7D8DBAD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District Court (Access to Court Documents) Rules, r 8</w:t>
      </w:r>
      <w:r w:rsidR="004A2628" w:rsidRPr="00400349">
        <w:rPr>
          <w:color w:val="auto"/>
        </w:rPr>
        <w:t>;</w:t>
      </w:r>
      <w:r w:rsidRPr="00400349">
        <w:rPr>
          <w:color w:val="auto"/>
        </w:rPr>
        <w:t xml:space="preserve"> and Senior Courts (Access to Court Documents)</w:t>
      </w:r>
      <w:r w:rsidRPr="00400349">
        <w:rPr>
          <w:rFonts w:ascii="Calibri" w:hAnsi="Calibri" w:cs="Calibri"/>
          <w:color w:val="auto"/>
        </w:rPr>
        <w:t> </w:t>
      </w:r>
      <w:r w:rsidRPr="00400349">
        <w:rPr>
          <w:color w:val="auto"/>
        </w:rPr>
        <w:t>Rules, r 8.</w:t>
      </w:r>
    </w:p>
  </w:footnote>
  <w:footnote w:id="511">
    <w:p w14:paraId="59700CD0" w14:textId="4127B73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Policing (Police Vetting) Amendment Bill </w:t>
      </w:r>
      <w:r w:rsidR="00852A73" w:rsidRPr="00400349">
        <w:rPr>
          <w:color w:val="auto"/>
        </w:rPr>
        <w:t>2025</w:t>
      </w:r>
      <w:r w:rsidRPr="00400349">
        <w:rPr>
          <w:color w:val="auto"/>
        </w:rPr>
        <w:t xml:space="preserve"> (89</w:t>
      </w:r>
      <w:r w:rsidR="007E073B" w:rsidRPr="00400349">
        <w:rPr>
          <w:color w:val="auto"/>
        </w:rPr>
        <w:t>-</w:t>
      </w:r>
      <w:r w:rsidRPr="00400349">
        <w:rPr>
          <w:color w:val="auto"/>
        </w:rPr>
        <w:t>2), cl 5 (new ss 54C–54E). This Bill would insert a new part in the Policing Act 2008 dealing with Police vetting</w:t>
      </w:r>
      <w:r w:rsidR="008C651E" w:rsidRPr="00400349">
        <w:rPr>
          <w:color w:val="auto"/>
        </w:rPr>
        <w:t xml:space="preserve"> and</w:t>
      </w:r>
      <w:r w:rsidRPr="00400349">
        <w:rPr>
          <w:color w:val="auto"/>
        </w:rPr>
        <w:t xml:space="preserve"> formalising existing practice: </w:t>
      </w:r>
      <w:r w:rsidR="008C651E" w:rsidRPr="00400349">
        <w:rPr>
          <w:color w:val="auto"/>
        </w:rPr>
        <w:t xml:space="preserve">see </w:t>
      </w:r>
      <w:r w:rsidRPr="00400349">
        <w:rPr>
          <w:color w:val="auto"/>
        </w:rPr>
        <w:t>Policing (Police Vetting) Amendment Bill (89</w:t>
      </w:r>
      <w:r w:rsidR="000D178C" w:rsidRPr="00400349">
        <w:rPr>
          <w:color w:val="auto"/>
        </w:rPr>
        <w:t>-</w:t>
      </w:r>
      <w:r w:rsidRPr="00400349">
        <w:rPr>
          <w:color w:val="auto"/>
        </w:rPr>
        <w:t>2) (select committee report) at 1.</w:t>
      </w:r>
    </w:p>
  </w:footnote>
  <w:footnote w:id="512">
    <w:p w14:paraId="3AA85CE8" w14:textId="2C9ACE7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Policing (Police Vetting) Amendment Bill (89</w:t>
      </w:r>
      <w:r w:rsidR="00852A73" w:rsidRPr="00400349">
        <w:rPr>
          <w:color w:val="auto"/>
        </w:rPr>
        <w:t>-</w:t>
      </w:r>
      <w:r w:rsidRPr="00400349">
        <w:rPr>
          <w:color w:val="auto"/>
        </w:rPr>
        <w:t>2), cl 5 (new s 54J).</w:t>
      </w:r>
    </w:p>
  </w:footnote>
  <w:footnote w:id="513">
    <w:p w14:paraId="63CC16C0" w14:textId="4B57F221" w:rsidR="00956605" w:rsidRPr="00400349" w:rsidRDefault="00956605" w:rsidP="00956605">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2002, s 31(1).</w:t>
      </w:r>
      <w:r w:rsidR="002B29D3" w:rsidRPr="00400349">
        <w:rPr>
          <w:color w:val="auto"/>
        </w:rPr>
        <w:t xml:space="preserve"> </w:t>
      </w:r>
      <w:r w:rsidR="00255E89" w:rsidRPr="00400349">
        <w:rPr>
          <w:color w:val="auto"/>
        </w:rPr>
        <w:t>In</w:t>
      </w:r>
      <w:r w:rsidR="002B29D3" w:rsidRPr="00400349">
        <w:t xml:space="preserve"> exceptional circumstances, the court </w:t>
      </w:r>
      <w:r w:rsidR="009C3368" w:rsidRPr="00400349">
        <w:t xml:space="preserve">must still pass the sentence in public but </w:t>
      </w:r>
      <w:r w:rsidR="002B29D3" w:rsidRPr="00400349">
        <w:t xml:space="preserve">may </w:t>
      </w:r>
      <w:r w:rsidR="002162D0" w:rsidRPr="00400349">
        <w:t>decline to state in public all or any of the facts, reasons or other considerations it has taken into account</w:t>
      </w:r>
      <w:r w:rsidR="005E5A1E" w:rsidRPr="00400349">
        <w:t xml:space="preserve">: </w:t>
      </w:r>
      <w:r w:rsidR="00706D19" w:rsidRPr="00400349">
        <w:t>Criminal Procedure Act 2011</w:t>
      </w:r>
      <w:r w:rsidR="00EE1F6A" w:rsidRPr="00400349">
        <w:t>, s</w:t>
      </w:r>
      <w:r w:rsidR="00D37B7A" w:rsidRPr="00400349">
        <w:t>s</w:t>
      </w:r>
      <w:r w:rsidR="00EE1F6A" w:rsidRPr="00400349">
        <w:t xml:space="preserve"> 197(3)</w:t>
      </w:r>
      <w:r w:rsidR="00D37B7A" w:rsidRPr="00400349">
        <w:t xml:space="preserve"> and 199AA(4</w:t>
      </w:r>
      <w:r w:rsidR="00EE1F6A" w:rsidRPr="00400349">
        <w:t>).</w:t>
      </w:r>
    </w:p>
  </w:footnote>
  <w:footnote w:id="514">
    <w:p w14:paraId="2791AC94" w14:textId="13EEAA8C" w:rsidR="00956605" w:rsidRPr="00400349" w:rsidRDefault="00956605" w:rsidP="00956605">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72613A" w:rsidRPr="00400349">
        <w:rPr>
          <w:color w:val="auto"/>
        </w:rPr>
        <w:t>Sentencing Act</w:t>
      </w:r>
      <w:r w:rsidR="0072613A">
        <w:rPr>
          <w:color w:val="auto"/>
        </w:rPr>
        <w:t xml:space="preserve">, s </w:t>
      </w:r>
      <w:r w:rsidRPr="00400349">
        <w:rPr>
          <w:color w:val="auto"/>
        </w:rPr>
        <w:t>31(2).</w:t>
      </w:r>
    </w:p>
  </w:footnote>
  <w:footnote w:id="515">
    <w:p w14:paraId="5674CF46" w14:textId="6D19EB8D"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Aka Matua o te Ture | Law Commission </w:t>
      </w:r>
      <w:r w:rsidRPr="00400349">
        <w:rPr>
          <w:i/>
          <w:color w:val="auto"/>
        </w:rPr>
        <w:t xml:space="preserve">Hara ngākau kino | Hate crime: Consultation </w:t>
      </w:r>
      <w:r w:rsidR="00973FAF" w:rsidRPr="00400349">
        <w:rPr>
          <w:i/>
          <w:color w:val="auto"/>
        </w:rPr>
        <w:t>P</w:t>
      </w:r>
      <w:r w:rsidRPr="00400349">
        <w:rPr>
          <w:i/>
          <w:color w:val="auto"/>
        </w:rPr>
        <w:t>aper</w:t>
      </w:r>
      <w:r w:rsidRPr="00400349">
        <w:rPr>
          <w:color w:val="auto"/>
        </w:rPr>
        <w:t xml:space="preserve"> (NZLC IP55, 2025) </w:t>
      </w:r>
      <w:r w:rsidR="00E50CDE" w:rsidRPr="00400349">
        <w:rPr>
          <w:color w:val="auto"/>
        </w:rPr>
        <w:t xml:space="preserve">(Consultation Paper) </w:t>
      </w:r>
      <w:r w:rsidRPr="00400349">
        <w:rPr>
          <w:color w:val="auto"/>
        </w:rPr>
        <w:t>at [7.11].</w:t>
      </w:r>
    </w:p>
  </w:footnote>
  <w:footnote w:id="516">
    <w:p w14:paraId="5A40865F" w14:textId="33924FC5"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Russell Hoban; Dr Kyle R Matthews; New Zealand Federation of Business and Professional Women; </w:t>
      </w:r>
      <w:r w:rsidR="00E430AD" w:rsidRPr="00400349">
        <w:rPr>
          <w:color w:val="auto"/>
        </w:rPr>
        <w:t>M</w:t>
      </w:r>
      <w:r w:rsidR="006A20BA" w:rsidRPr="00400349">
        <w:rPr>
          <w:color w:val="auto"/>
        </w:rPr>
        <w:t>embers of Ratonga Wawao ā-</w:t>
      </w:r>
      <w:r w:rsidR="001004FC" w:rsidRPr="00400349">
        <w:rPr>
          <w:color w:val="auto"/>
        </w:rPr>
        <w:t xml:space="preserve">Ture </w:t>
      </w:r>
      <w:r w:rsidR="006A20BA" w:rsidRPr="00400349">
        <w:rPr>
          <w:color w:val="auto"/>
        </w:rPr>
        <w:t xml:space="preserve">Tūmatanui | Public Defence Service; </w:t>
      </w:r>
      <w:r w:rsidRPr="00400349">
        <w:rPr>
          <w:color w:val="auto"/>
        </w:rPr>
        <w:t>Te Kāhui Ture o Aotearoa | New Zealand Law Society; Pride in Law Otago; Te Kāhui o Ināia Tonu Nei Charitable Trust; The Law Association of New Zealand Public and Administrative Law Committee; and Women’s Rights Party.</w:t>
      </w:r>
    </w:p>
  </w:footnote>
  <w:footnote w:id="517">
    <w:p w14:paraId="786FD176"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Federation of Business and Professional Women; Te Kāhui o Ināia Tonu Nei Charitable Trust; and Women’s Rights Party.</w:t>
      </w:r>
    </w:p>
  </w:footnote>
  <w:footnote w:id="518">
    <w:p w14:paraId="74C38BBB"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Kyle R Matthews; and Te Kāhui o Ināia Tonu Nei Charitable Trust.</w:t>
      </w:r>
    </w:p>
  </w:footnote>
  <w:footnote w:id="519">
    <w:p w14:paraId="0CD48C7B" w14:textId="110F07B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Te Kāhui o Ināia Tonu Nei Charitable Trust. In addition, The Law Association of New Zealand Criminal Law Committee did not </w:t>
      </w:r>
      <w:r w:rsidR="00BB6E67" w:rsidRPr="00400349">
        <w:rPr>
          <w:color w:val="auto"/>
        </w:rPr>
        <w:t>state clear support for</w:t>
      </w:r>
      <w:r w:rsidRPr="00400349">
        <w:rPr>
          <w:color w:val="auto"/>
        </w:rPr>
        <w:t xml:space="preserve"> this </w:t>
      </w:r>
      <w:r w:rsidR="00BB6E67" w:rsidRPr="00400349">
        <w:rPr>
          <w:color w:val="auto"/>
        </w:rPr>
        <w:t xml:space="preserve">reform </w:t>
      </w:r>
      <w:r w:rsidRPr="00400349">
        <w:rPr>
          <w:color w:val="auto"/>
        </w:rPr>
        <w:t xml:space="preserve">option but </w:t>
      </w:r>
      <w:r w:rsidR="00BB6E67" w:rsidRPr="00400349">
        <w:rPr>
          <w:color w:val="auto"/>
        </w:rPr>
        <w:t>did suggest</w:t>
      </w:r>
      <w:r w:rsidRPr="00400349">
        <w:rPr>
          <w:color w:val="auto"/>
        </w:rPr>
        <w:t xml:space="preserve"> greater visibility of hostile motivation at sentencing may help increase victim confidence in the criminal justice system and reduce reluctance to report hate crimes.</w:t>
      </w:r>
    </w:p>
  </w:footnote>
  <w:footnote w:id="520">
    <w:p w14:paraId="3E01B8BA" w14:textId="194B0FFE" w:rsidR="00B6016B" w:rsidRPr="00400349" w:rsidRDefault="00B6016B">
      <w:pPr>
        <w:pStyle w:val="FootnoteText"/>
      </w:pPr>
      <w:r w:rsidRPr="00400349">
        <w:rPr>
          <w:rStyle w:val="FootnoteReference"/>
        </w:rPr>
        <w:footnoteRef/>
      </w:r>
      <w:r w:rsidRPr="00400349">
        <w:t xml:space="preserve"> </w:t>
      </w:r>
      <w:r w:rsidR="00AD52C8" w:rsidRPr="00400349">
        <w:tab/>
        <w:t>Submission 90.</w:t>
      </w:r>
    </w:p>
  </w:footnote>
  <w:footnote w:id="521">
    <w:p w14:paraId="511E14C9"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Sentencing Act 2020 (UK), s 66(2)(b). </w:t>
      </w:r>
    </w:p>
  </w:footnote>
  <w:footnote w:id="522">
    <w:p w14:paraId="0A105583" w14:textId="05D7DBF0"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Criminal Justice (No 2) (Northern Ireland) Order 2004</w:t>
      </w:r>
      <w:r w:rsidR="002F538A" w:rsidRPr="00400349">
        <w:rPr>
          <w:color w:val="auto"/>
        </w:rPr>
        <w:t xml:space="preserve"> (UK)</w:t>
      </w:r>
      <w:r w:rsidRPr="00400349">
        <w:rPr>
          <w:color w:val="auto"/>
        </w:rPr>
        <w:t xml:space="preserve">, </w:t>
      </w:r>
      <w:r w:rsidR="003A6C45" w:rsidRPr="00400349">
        <w:rPr>
          <w:color w:val="auto"/>
        </w:rPr>
        <w:t>art</w:t>
      </w:r>
      <w:r w:rsidRPr="00400349">
        <w:rPr>
          <w:color w:val="auto"/>
        </w:rPr>
        <w:t xml:space="preserve"> 2(2)(b). A review of hate crime law in Northern Ireland, which recommended adopting the Scottish hybrid model of hate crime law, also recommended retaining the requirement to state the aggravation in open court: Desmond Marrinan </w:t>
      </w:r>
      <w:r w:rsidRPr="00400349">
        <w:rPr>
          <w:i/>
          <w:color w:val="auto"/>
        </w:rPr>
        <w:t>Hate crime legislation in Northern Ireland: Independent Review</w:t>
      </w:r>
      <w:r w:rsidRPr="00400349">
        <w:rPr>
          <w:color w:val="auto"/>
        </w:rPr>
        <w:t xml:space="preserve"> (Department of Justice, December 2020) at 168 (recommendation 8) and [6.125]. This recommendation has been adopted in the Bill currently before the Northern Ireland Assembly: Criminal Justice (Sentencing etc) Bill 2026 (26/22</w:t>
      </w:r>
      <w:r w:rsidR="00587573" w:rsidRPr="00400349">
        <w:rPr>
          <w:color w:val="auto"/>
        </w:rPr>
        <w:t>-</w:t>
      </w:r>
      <w:r w:rsidRPr="00400349">
        <w:rPr>
          <w:color w:val="auto"/>
        </w:rPr>
        <w:t>27)</w:t>
      </w:r>
      <w:r w:rsidR="000D5373" w:rsidRPr="00400349">
        <w:rPr>
          <w:color w:val="auto"/>
        </w:rPr>
        <w:t xml:space="preserve"> (UK)</w:t>
      </w:r>
      <w:r w:rsidRPr="00400349">
        <w:rPr>
          <w:color w:val="auto"/>
        </w:rPr>
        <w:t>, cl 34(2)(a).</w:t>
      </w:r>
    </w:p>
  </w:footnote>
  <w:footnote w:id="523">
    <w:p w14:paraId="2FAD4B0C" w14:textId="3B16A56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Justice (Hate Offences) Act 2024 (I</w:t>
      </w:r>
      <w:r w:rsidR="00135C63" w:rsidRPr="00400349">
        <w:rPr>
          <w:color w:val="auto"/>
        </w:rPr>
        <w:t>reland</w:t>
      </w:r>
      <w:r w:rsidRPr="00400349">
        <w:rPr>
          <w:color w:val="auto"/>
        </w:rPr>
        <w:t>), s 8(4).</w:t>
      </w:r>
    </w:p>
  </w:footnote>
  <w:footnote w:id="524">
    <w:p w14:paraId="2624D7A3" w14:textId="07E1949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Hate crime laws: A consultation paper</w:t>
      </w:r>
      <w:r w:rsidRPr="00400349">
        <w:rPr>
          <w:color w:val="auto"/>
        </w:rPr>
        <w:t xml:space="preserve"> (CP250, 2020) at [17.76]. This issue was not discussed in the Commission’s final report</w:t>
      </w:r>
      <w:r w:rsidR="0061384A" w:rsidRPr="00400349">
        <w:rPr>
          <w:color w:val="auto"/>
        </w:rPr>
        <w:t>, suggesting that</w:t>
      </w:r>
      <w:r w:rsidRPr="00400349">
        <w:rPr>
          <w:color w:val="auto"/>
        </w:rPr>
        <w:t xml:space="preserve"> submissions received on the point did not alter the Commission’s view</w:t>
      </w:r>
      <w:r w:rsidR="0061384A" w:rsidRPr="00400349">
        <w:rPr>
          <w:color w:val="auto"/>
        </w:rPr>
        <w:t>.</w:t>
      </w:r>
    </w:p>
  </w:footnote>
  <w:footnote w:id="525">
    <w:p w14:paraId="6E715E9B"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Hate crime laws: A consultation paper</w:t>
      </w:r>
      <w:r w:rsidRPr="00400349">
        <w:rPr>
          <w:color w:val="auto"/>
        </w:rPr>
        <w:t xml:space="preserve"> (CP250, 2020) at [17.75].</w:t>
      </w:r>
    </w:p>
  </w:footnote>
  <w:footnote w:id="526">
    <w:p w14:paraId="0E474AB6" w14:textId="7D3667F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Crown Prosecution Service </w:t>
      </w:r>
      <w:r w:rsidRPr="00400349">
        <w:rPr>
          <w:i/>
          <w:color w:val="auto"/>
        </w:rPr>
        <w:t xml:space="preserve">Hate Crime Report 2018–19 </w:t>
      </w:r>
      <w:r w:rsidRPr="00400349">
        <w:rPr>
          <w:color w:val="auto"/>
        </w:rPr>
        <w:t>(</w:t>
      </w:r>
      <w:r w:rsidR="00B07CF8" w:rsidRPr="00400349">
        <w:rPr>
          <w:color w:val="auto"/>
        </w:rPr>
        <w:t xml:space="preserve">October </w:t>
      </w:r>
      <w:r w:rsidRPr="00400349">
        <w:rPr>
          <w:color w:val="auto"/>
        </w:rPr>
        <w:t>2019) at 8; CPS Yorkshire and Humberside “</w:t>
      </w:r>
      <w:r w:rsidR="00FF4457" w:rsidRPr="00400349">
        <w:t>Hate crime sentence uplift examples: Cases finalised between April to June 2021</w:t>
      </w:r>
      <w:r w:rsidRPr="00400349">
        <w:rPr>
          <w:color w:val="auto"/>
        </w:rPr>
        <w:t xml:space="preserve">” &lt;www.chcpcic.org.uk&gt;; </w:t>
      </w:r>
      <w:r w:rsidR="00C31F84" w:rsidRPr="00400349">
        <w:rPr>
          <w:color w:val="auto"/>
        </w:rPr>
        <w:t xml:space="preserve">and </w:t>
      </w:r>
      <w:r w:rsidRPr="00400349">
        <w:rPr>
          <w:color w:val="auto"/>
        </w:rPr>
        <w:t>CPS Yorkshire and Humberside “</w:t>
      </w:r>
      <w:r w:rsidRPr="00400349">
        <w:t>Hate crime sentence uplift examples</w:t>
      </w:r>
      <w:r w:rsidR="00C31F84" w:rsidRPr="00400349">
        <w:t>,</w:t>
      </w:r>
      <w:r w:rsidRPr="00400349">
        <w:t xml:space="preserve"> cases finalised October 2024</w:t>
      </w:r>
      <w:r w:rsidRPr="00400349">
        <w:rPr>
          <w:color w:val="auto"/>
        </w:rPr>
        <w:t>”</w:t>
      </w:r>
      <w:r w:rsidRPr="00400349">
        <w:rPr>
          <w:i/>
          <w:color w:val="auto"/>
        </w:rPr>
        <w:t xml:space="preserve"> </w:t>
      </w:r>
      <w:r w:rsidRPr="00400349">
        <w:rPr>
          <w:color w:val="auto"/>
        </w:rPr>
        <w:t xml:space="preserve">(19 December 2024) &lt;www.cps.gov.uk&gt;. </w:t>
      </w:r>
      <w:r w:rsidR="00233B2A" w:rsidRPr="00400349">
        <w:rPr>
          <w:color w:val="auto"/>
        </w:rPr>
        <w:t>The</w:t>
      </w:r>
      <w:r w:rsidRPr="00400349">
        <w:rPr>
          <w:color w:val="auto"/>
        </w:rPr>
        <w:t xml:space="preserve"> hate crime cases referred to in these documents include both cases </w:t>
      </w:r>
      <w:r w:rsidR="00233B2A" w:rsidRPr="00400349">
        <w:rPr>
          <w:color w:val="auto"/>
        </w:rPr>
        <w:t>involving</w:t>
      </w:r>
      <w:r w:rsidRPr="00400349">
        <w:rPr>
          <w:color w:val="auto"/>
        </w:rPr>
        <w:t xml:space="preserve"> the hostility aggravating factor and offending charged under specific racially </w:t>
      </w:r>
      <w:r w:rsidR="00374A30">
        <w:rPr>
          <w:color w:val="auto"/>
        </w:rPr>
        <w:t>or</w:t>
      </w:r>
      <w:r w:rsidRPr="00400349">
        <w:rPr>
          <w:color w:val="auto"/>
        </w:rPr>
        <w:t xml:space="preserve"> religiously aggravated offences. The CPS uses a generic hate crime flag for all these cases. </w:t>
      </w:r>
      <w:r w:rsidR="00700C97" w:rsidRPr="00400349">
        <w:rPr>
          <w:color w:val="auto"/>
        </w:rPr>
        <w:t>As most sentencing remarks in England and Wales are not published, we have not been able to systematic</w:t>
      </w:r>
      <w:r w:rsidR="001F1F3E">
        <w:rPr>
          <w:color w:val="auto"/>
        </w:rPr>
        <w:t>ally</w:t>
      </w:r>
      <w:r w:rsidR="00700C97" w:rsidRPr="00400349">
        <w:rPr>
          <w:color w:val="auto"/>
        </w:rPr>
        <w:t xml:space="preserve"> review </w:t>
      </w:r>
      <w:r w:rsidR="001F1F3E">
        <w:rPr>
          <w:color w:val="auto"/>
        </w:rPr>
        <w:t xml:space="preserve">the </w:t>
      </w:r>
      <w:r w:rsidR="00700C97" w:rsidRPr="00400349">
        <w:rPr>
          <w:color w:val="auto"/>
        </w:rPr>
        <w:t xml:space="preserve">relevant decisions ourselves. </w:t>
      </w:r>
      <w:r w:rsidR="00021D26" w:rsidRPr="00400349">
        <w:rPr>
          <w:color w:val="auto"/>
        </w:rPr>
        <w:t>We did, however,</w:t>
      </w:r>
      <w:r w:rsidR="00700C97" w:rsidRPr="00400349">
        <w:rPr>
          <w:color w:val="auto"/>
        </w:rPr>
        <w:t xml:space="preserve"> find </w:t>
      </w:r>
      <w:r w:rsidR="00700C97" w:rsidRPr="00400349">
        <w:t xml:space="preserve">some quotes from sentencing remarks in appellate decisions that addressed hostile motivation in strong terms and made it clear this had an impact on the sentence imposed: see for example </w:t>
      </w:r>
      <w:r w:rsidR="00700C97" w:rsidRPr="00400349">
        <w:rPr>
          <w:i/>
          <w:color w:val="auto"/>
        </w:rPr>
        <w:t>R v White</w:t>
      </w:r>
      <w:r w:rsidR="00700C97" w:rsidRPr="00400349">
        <w:rPr>
          <w:color w:val="auto"/>
        </w:rPr>
        <w:t xml:space="preserve"> [2021] EWCA Crim 1511, [2022] 4 WLR 10 at [35].</w:t>
      </w:r>
    </w:p>
  </w:footnote>
  <w:footnote w:id="527">
    <w:p w14:paraId="74D2AC8B" w14:textId="6D29C82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Hate Crime and Public Order (Scotland) Act 2021</w:t>
      </w:r>
      <w:r w:rsidR="00DC234F" w:rsidRPr="00400349">
        <w:rPr>
          <w:color w:val="auto"/>
        </w:rPr>
        <w:t xml:space="preserve"> (UK)</w:t>
      </w:r>
      <w:r w:rsidRPr="00400349">
        <w:rPr>
          <w:color w:val="auto"/>
        </w:rPr>
        <w:t>, s 2(2)(a).</w:t>
      </w:r>
    </w:p>
  </w:footnote>
  <w:footnote w:id="528">
    <w:p w14:paraId="51324B27" w14:textId="28337F98"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Justice (Sentencing etc) Bill 2026 (26/22</w:t>
      </w:r>
      <w:r w:rsidR="0006337D" w:rsidRPr="00400349">
        <w:rPr>
          <w:color w:val="auto"/>
        </w:rPr>
        <w:t>-</w:t>
      </w:r>
      <w:r w:rsidRPr="00400349">
        <w:rPr>
          <w:color w:val="auto"/>
        </w:rPr>
        <w:t>27) (</w:t>
      </w:r>
      <w:r w:rsidR="00137A62" w:rsidRPr="00400349">
        <w:rPr>
          <w:color w:val="auto"/>
        </w:rPr>
        <w:t>UK</w:t>
      </w:r>
      <w:r w:rsidRPr="00400349">
        <w:rPr>
          <w:color w:val="auto"/>
        </w:rPr>
        <w:t>), cl 34(2)(a)(ii).</w:t>
      </w:r>
    </w:p>
  </w:footnote>
  <w:footnote w:id="529">
    <w:p w14:paraId="1179FE59" w14:textId="41DE659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Alastair P Campbell </w:t>
      </w:r>
      <w:r w:rsidRPr="00400349">
        <w:rPr>
          <w:i/>
          <w:color w:val="auto"/>
        </w:rPr>
        <w:t xml:space="preserve">Independent </w:t>
      </w:r>
      <w:r w:rsidR="00040B4D" w:rsidRPr="00400349">
        <w:rPr>
          <w:i/>
          <w:color w:val="auto"/>
        </w:rPr>
        <w:t>R</w:t>
      </w:r>
      <w:r w:rsidRPr="00400349">
        <w:rPr>
          <w:i/>
          <w:color w:val="auto"/>
        </w:rPr>
        <w:t xml:space="preserve">eview of Hate Crime Legislation in Scotland: Final Report </w:t>
      </w:r>
      <w:r w:rsidRPr="00400349">
        <w:rPr>
          <w:color w:val="auto"/>
        </w:rPr>
        <w:t xml:space="preserve">(Justice Directorate, </w:t>
      </w:r>
      <w:r w:rsidR="00E44C21" w:rsidRPr="00400349">
        <w:rPr>
          <w:color w:val="auto"/>
        </w:rPr>
        <w:t xml:space="preserve">May </w:t>
      </w:r>
      <w:r w:rsidRPr="00400349">
        <w:rPr>
          <w:color w:val="auto"/>
        </w:rPr>
        <w:t>2018) at [3.63].</w:t>
      </w:r>
      <w:r w:rsidR="00077EED" w:rsidRPr="00400349">
        <w:rPr>
          <w:color w:val="auto"/>
        </w:rPr>
        <w:t xml:space="preserve"> </w:t>
      </w:r>
      <w:r w:rsidR="00077EED" w:rsidRPr="00400349">
        <w:t xml:space="preserve">As in England and Wales, Scottish sentencing remarks are not routinely published so we </w:t>
      </w:r>
      <w:r w:rsidR="00DD0E06" w:rsidRPr="00400349">
        <w:t>have not been</w:t>
      </w:r>
      <w:r w:rsidR="00077EED" w:rsidRPr="00400349">
        <w:t xml:space="preserve"> </w:t>
      </w:r>
      <w:r w:rsidR="00DD0E06" w:rsidRPr="00400349">
        <w:t>able</w:t>
      </w:r>
      <w:r w:rsidR="00077EED" w:rsidRPr="00400349">
        <w:t xml:space="preserve"> to assess how this requirement affects sentencing in practice</w:t>
      </w:r>
      <w:r w:rsidR="003426D4" w:rsidRPr="00400349">
        <w:t xml:space="preserve">. </w:t>
      </w:r>
      <w:r w:rsidR="003426D4" w:rsidRPr="00400349">
        <w:rPr>
          <w:color w:val="auto"/>
        </w:rPr>
        <w:t xml:space="preserve">We did find one appellate decision noting it was </w:t>
      </w:r>
      <w:r w:rsidR="00A3126E">
        <w:rPr>
          <w:color w:val="auto"/>
        </w:rPr>
        <w:t>un</w:t>
      </w:r>
      <w:r w:rsidR="003426D4" w:rsidRPr="00400349">
        <w:rPr>
          <w:color w:val="auto"/>
        </w:rPr>
        <w:t xml:space="preserve">clear whether the requirement to state the aggravation had been complied with by the sheriff who imposed the sentence: </w:t>
      </w:r>
      <w:r w:rsidR="003426D4" w:rsidRPr="00400349">
        <w:rPr>
          <w:i/>
          <w:color w:val="auto"/>
        </w:rPr>
        <w:t xml:space="preserve">R v Murphy </w:t>
      </w:r>
      <w:r w:rsidR="003426D4" w:rsidRPr="00400349">
        <w:rPr>
          <w:color w:val="auto"/>
        </w:rPr>
        <w:t>[2015] HCJAC 34, 2015 SCL 577 at [17].</w:t>
      </w:r>
    </w:p>
  </w:footnote>
  <w:footnote w:id="530">
    <w:p w14:paraId="1CF4E1FC" w14:textId="37B5B7B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R v Kandola</w:t>
      </w:r>
      <w:r w:rsidRPr="00400349">
        <w:rPr>
          <w:color w:val="auto"/>
        </w:rPr>
        <w:t xml:space="preserve"> 2010 BCSC 841, [2010] BCWLD 7849 at [11]–[15]; </w:t>
      </w:r>
      <w:r w:rsidRPr="00400349">
        <w:rPr>
          <w:i/>
          <w:color w:val="auto"/>
        </w:rPr>
        <w:t>R v Woodward</w:t>
      </w:r>
      <w:r w:rsidRPr="00400349">
        <w:rPr>
          <w:color w:val="auto"/>
        </w:rPr>
        <w:t xml:space="preserve"> 2011 BCCA 251 at [17] and [26]; and </w:t>
      </w:r>
      <w:r w:rsidRPr="00400349">
        <w:rPr>
          <w:i/>
          <w:color w:val="auto"/>
        </w:rPr>
        <w:t xml:space="preserve">R v Shier </w:t>
      </w:r>
      <w:r w:rsidRPr="00400349">
        <w:rPr>
          <w:color w:val="auto"/>
        </w:rPr>
        <w:t>2019 BCPC 399 at [20]–[23].</w:t>
      </w:r>
    </w:p>
  </w:footnote>
  <w:footnote w:id="531">
    <w:p w14:paraId="798E44BA" w14:textId="1F15F25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R v Bisso</w:t>
      </w:r>
      <w:r w:rsidR="00EE4688" w:rsidRPr="00400349">
        <w:rPr>
          <w:i/>
          <w:color w:val="auto"/>
        </w:rPr>
        <w:t>n</w:t>
      </w:r>
      <w:r w:rsidRPr="00400349">
        <w:rPr>
          <w:i/>
          <w:color w:val="auto"/>
        </w:rPr>
        <w:t>nette</w:t>
      </w:r>
      <w:r w:rsidRPr="00400349">
        <w:rPr>
          <w:color w:val="auto"/>
        </w:rPr>
        <w:t xml:space="preserve"> 2019 QCCS 354 at [625]–[627]; </w:t>
      </w:r>
      <w:r w:rsidRPr="00400349">
        <w:rPr>
          <w:i/>
          <w:color w:val="auto"/>
        </w:rPr>
        <w:t>R v Gray</w:t>
      </w:r>
      <w:r w:rsidRPr="00400349">
        <w:rPr>
          <w:color w:val="auto"/>
        </w:rPr>
        <w:t xml:space="preserve"> 2013 ABCA 237, [2013] AWLD 3411 at [18]; and </w:t>
      </w:r>
      <w:r w:rsidRPr="00400349">
        <w:rPr>
          <w:i/>
          <w:color w:val="auto"/>
        </w:rPr>
        <w:t>R v Vrdoljak</w:t>
      </w:r>
      <w:r w:rsidRPr="00400349">
        <w:rPr>
          <w:color w:val="auto"/>
        </w:rPr>
        <w:t xml:space="preserve"> [2002] OJ No 1332 at [9] and [21].</w:t>
      </w:r>
    </w:p>
  </w:footnote>
  <w:footnote w:id="532">
    <w:p w14:paraId="61EF9F03" w14:textId="3D4DD46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Ingram</w:t>
      </w:r>
      <w:r w:rsidRPr="00400349">
        <w:rPr>
          <w:color w:val="auto"/>
        </w:rPr>
        <w:t xml:space="preserve"> [1977] OJ No 531</w:t>
      </w:r>
      <w:r w:rsidR="004849B1" w:rsidRPr="00400349">
        <w:rPr>
          <w:color w:val="auto"/>
        </w:rPr>
        <w:t xml:space="preserve"> at [8]</w:t>
      </w:r>
      <w:r w:rsidRPr="00400349">
        <w:rPr>
          <w:color w:val="auto"/>
        </w:rPr>
        <w:t>.</w:t>
      </w:r>
    </w:p>
  </w:footnote>
  <w:footnote w:id="533">
    <w:p w14:paraId="40B41147" w14:textId="572DD76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1A1572" w:rsidRPr="00400349">
        <w:rPr>
          <w:color w:val="auto"/>
        </w:rPr>
        <w:t xml:space="preserve">See for example </w:t>
      </w:r>
      <w:r w:rsidRPr="00400349">
        <w:rPr>
          <w:i/>
          <w:color w:val="auto"/>
        </w:rPr>
        <w:t>R v Grant</w:t>
      </w:r>
      <w:r w:rsidRPr="00400349">
        <w:rPr>
          <w:color w:val="auto"/>
        </w:rPr>
        <w:t xml:space="preserve"> 2025 ONCJ 231 at [38]–[40]; </w:t>
      </w:r>
      <w:r w:rsidRPr="00400349">
        <w:rPr>
          <w:i/>
          <w:color w:val="auto"/>
        </w:rPr>
        <w:t>R v Kandola</w:t>
      </w:r>
      <w:r w:rsidRPr="00400349">
        <w:rPr>
          <w:color w:val="auto"/>
        </w:rPr>
        <w:t xml:space="preserve"> 2010 BCSC 841, [2010] BCWLD 7849 at [39]; </w:t>
      </w:r>
      <w:r w:rsidRPr="00400349">
        <w:rPr>
          <w:i/>
          <w:color w:val="auto"/>
        </w:rPr>
        <w:t>R v Woodward</w:t>
      </w:r>
      <w:r w:rsidRPr="00400349">
        <w:rPr>
          <w:color w:val="auto"/>
        </w:rPr>
        <w:t xml:space="preserve"> 2011 BCCA 251 at [27]; and </w:t>
      </w:r>
      <w:r w:rsidRPr="00400349">
        <w:rPr>
          <w:i/>
          <w:color w:val="auto"/>
        </w:rPr>
        <w:t>R v Gray</w:t>
      </w:r>
      <w:r w:rsidRPr="00400349">
        <w:rPr>
          <w:color w:val="auto"/>
        </w:rPr>
        <w:t xml:space="preserve"> 2013 ABCA 237, [2013] AWLD 3411 at [17]–[18].</w:t>
      </w:r>
    </w:p>
  </w:footnote>
  <w:footnote w:id="534">
    <w:p w14:paraId="5707ACCE" w14:textId="2446011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ss 9H–9I (guilty pleas) and 9Q–9R (personal mitigating factors).</w:t>
      </w:r>
    </w:p>
  </w:footnote>
  <w:footnote w:id="535">
    <w:p w14:paraId="5C7D36C6" w14:textId="66E5722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7D1288" w:rsidRPr="00400349">
        <w:rPr>
          <w:color w:val="auto"/>
        </w:rPr>
        <w:t>Section</w:t>
      </w:r>
      <w:r w:rsidRPr="00400349">
        <w:rPr>
          <w:color w:val="auto"/>
        </w:rPr>
        <w:t xml:space="preserve"> 9J.</w:t>
      </w:r>
    </w:p>
  </w:footnote>
  <w:footnote w:id="536">
    <w:p w14:paraId="4AAB1EE6" w14:textId="5907981C"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7D1288" w:rsidRPr="00400349">
        <w:rPr>
          <w:color w:val="auto"/>
        </w:rPr>
        <w:t>Section</w:t>
      </w:r>
      <w:r w:rsidRPr="00400349">
        <w:rPr>
          <w:color w:val="auto"/>
        </w:rPr>
        <w:t xml:space="preserve"> 9S.</w:t>
      </w:r>
    </w:p>
  </w:footnote>
  <w:footnote w:id="537">
    <w:p w14:paraId="21CD36A6" w14:textId="42293522" w:rsidR="005900F0" w:rsidRPr="00400349" w:rsidRDefault="005900F0" w:rsidP="005900F0">
      <w:pPr>
        <w:pStyle w:val="FootnoteText"/>
        <w:rPr>
          <w:i/>
          <w:iCs/>
          <w:color w:val="auto"/>
        </w:rPr>
      </w:pPr>
      <w:r w:rsidRPr="00400349">
        <w:rPr>
          <w:rStyle w:val="FootnoteReference"/>
          <w:color w:val="auto"/>
        </w:rPr>
        <w:footnoteRef/>
      </w:r>
      <w:r w:rsidRPr="00400349">
        <w:rPr>
          <w:color w:val="auto"/>
        </w:rPr>
        <w:t xml:space="preserve"> </w:t>
      </w:r>
      <w:r w:rsidRPr="00400349">
        <w:rPr>
          <w:color w:val="auto"/>
        </w:rPr>
        <w:tab/>
      </w:r>
      <w:r w:rsidR="001A11A3">
        <w:rPr>
          <w:color w:val="auto"/>
        </w:rPr>
        <w:t>In</w:t>
      </w:r>
      <w:r w:rsidRPr="00400349">
        <w:rPr>
          <w:color w:val="auto"/>
        </w:rPr>
        <w:t xml:space="preserve"> relation to reductions for personal mitigating factors</w:t>
      </w:r>
      <w:r w:rsidR="001A11A3">
        <w:rPr>
          <w:color w:val="auto"/>
        </w:rPr>
        <w:t>, see</w:t>
      </w:r>
      <w:r w:rsidRPr="00400349">
        <w:rPr>
          <w:color w:val="auto"/>
        </w:rPr>
        <w:t xml:space="preserve"> Mathew Downs (ed) </w:t>
      </w:r>
      <w:r w:rsidRPr="00400349">
        <w:rPr>
          <w:i/>
          <w:color w:val="auto"/>
        </w:rPr>
        <w:t xml:space="preserve">Adams on Criminal Law — Sentencing </w:t>
      </w:r>
      <w:r w:rsidRPr="00400349">
        <w:rPr>
          <w:color w:val="auto"/>
        </w:rPr>
        <w:t>(looseleaf ed, Westlaw) at [SA9S.01].</w:t>
      </w:r>
    </w:p>
  </w:footnote>
  <w:footnote w:id="538">
    <w:p w14:paraId="36971371" w14:textId="0CAED837" w:rsidR="00225336" w:rsidRPr="00400349" w:rsidRDefault="00225336" w:rsidP="00225336">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Hate crime laws: A consultation paper</w:t>
      </w:r>
      <w:r w:rsidRPr="00400349">
        <w:rPr>
          <w:color w:val="auto"/>
        </w:rPr>
        <w:t xml:space="preserve"> (CP250, 2020) at [17.76]. See also Organization for Security and Co-operation in Europe </w:t>
      </w:r>
      <w:r w:rsidRPr="00400349">
        <w:rPr>
          <w:i/>
          <w:color w:val="auto"/>
        </w:rPr>
        <w:t xml:space="preserve">Hate crime victims in the criminal justice system: a practical guide </w:t>
      </w:r>
      <w:r w:rsidRPr="00400349">
        <w:rPr>
          <w:color w:val="auto"/>
        </w:rPr>
        <w:t>(Office for Democratic Institutions and Human Rights, 2020) at 145: “The most compelling validation of a victim’s experience often comes in the form of a sentencing judgment or other type of judicial or out-of-court outcome that specifically describes the crime as bias-motivated.”</w:t>
      </w:r>
    </w:p>
  </w:footnote>
  <w:footnote w:id="539">
    <w:p w14:paraId="51815BD6" w14:textId="77777777" w:rsidR="006F68B8" w:rsidRPr="00400349" w:rsidRDefault="006F68B8" w:rsidP="006F68B8">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generally </w:t>
      </w:r>
      <w:r w:rsidRPr="00400349">
        <w:rPr>
          <w:i/>
          <w:color w:val="auto"/>
        </w:rPr>
        <w:t>Lewis v Wilson &amp; Horton Ltd</w:t>
      </w:r>
      <w:r w:rsidRPr="00400349">
        <w:rPr>
          <w:color w:val="auto"/>
        </w:rPr>
        <w:t xml:space="preserve"> [2000] 3 NZLR 546 (CA) at [76]–[82] (cited with approval in </w:t>
      </w:r>
      <w:r w:rsidRPr="00400349">
        <w:rPr>
          <w:i/>
          <w:color w:val="auto"/>
        </w:rPr>
        <w:t>Belgiorno-Nettis v Auckland Unitary Plan Independent Hearings Panel</w:t>
      </w:r>
      <w:r w:rsidRPr="00400349">
        <w:rPr>
          <w:color w:val="auto"/>
        </w:rPr>
        <w:t xml:space="preserve"> [2019] NZCA 175, [2019] 3 NZLR 345 at [46]–[51]), discussing the reasons for the general requirement for the courts to give reasons for their decisions. </w:t>
      </w:r>
    </w:p>
  </w:footnote>
  <w:footnote w:id="540">
    <w:p w14:paraId="6AAD0991" w14:textId="77777777" w:rsidR="006F68B8" w:rsidRPr="00400349" w:rsidRDefault="006F68B8" w:rsidP="006F68B8">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w:t>
      </w:r>
      <w:r w:rsidRPr="00400349">
        <w:rPr>
          <w:i/>
          <w:color w:val="auto"/>
        </w:rPr>
        <w:t>R v Taueki</w:t>
      </w:r>
      <w:r w:rsidRPr="00400349">
        <w:rPr>
          <w:color w:val="auto"/>
        </w:rPr>
        <w:t xml:space="preserve"> [2005] NZCA 174, [2005] 3 NZLR 372 at [43], noting it is necessary from a consistency perspective for sentencing judges to articulate the factors that have guided their assessment of the sentence starting point.</w:t>
      </w:r>
    </w:p>
  </w:footnote>
  <w:footnote w:id="541">
    <w:p w14:paraId="2902F795" w14:textId="3B60E77E" w:rsidR="005900F0" w:rsidRPr="00400349" w:rsidRDefault="005900F0" w:rsidP="005900F0">
      <w:pPr>
        <w:pStyle w:val="FootnoteText"/>
        <w:rPr>
          <w:color w:val="auto"/>
        </w:rPr>
      </w:pPr>
      <w:r w:rsidRPr="00400349">
        <w:rPr>
          <w:rStyle w:val="FootnoteReference"/>
          <w:color w:val="auto"/>
        </w:rPr>
        <w:footnoteRef/>
      </w:r>
      <w:r w:rsidR="00392F7F" w:rsidRPr="00400349">
        <w:rPr>
          <w:color w:val="auto"/>
        </w:rPr>
        <w:t xml:space="preserve"> </w:t>
      </w:r>
      <w:r w:rsidR="00392F7F" w:rsidRPr="00400349">
        <w:rPr>
          <w:color w:val="auto"/>
        </w:rPr>
        <w:tab/>
        <w:t xml:space="preserve">As required by </w:t>
      </w:r>
      <w:r w:rsidR="008B65C6" w:rsidRPr="00400349">
        <w:rPr>
          <w:color w:val="auto"/>
        </w:rPr>
        <w:t>s</w:t>
      </w:r>
      <w:r w:rsidR="00392F7F" w:rsidRPr="00400349">
        <w:rPr>
          <w:color w:val="auto"/>
        </w:rPr>
        <w:t xml:space="preserve"> 31 of the Sentencing Act.</w:t>
      </w:r>
    </w:p>
  </w:footnote>
  <w:footnote w:id="542">
    <w:p w14:paraId="7CD893E0" w14:textId="661AFD5D" w:rsidR="00A30584" w:rsidRPr="00400349" w:rsidRDefault="00A30584">
      <w:pPr>
        <w:pStyle w:val="FootnoteText"/>
      </w:pPr>
      <w:r w:rsidRPr="00400349">
        <w:rPr>
          <w:rStyle w:val="FootnoteReference"/>
        </w:rPr>
        <w:footnoteRef/>
      </w:r>
      <w:r w:rsidRPr="00400349">
        <w:t xml:space="preserve"> </w:t>
      </w:r>
      <w:r w:rsidRPr="00400349">
        <w:tab/>
        <w:t>In practice, most sentencing decisions in the District Court are delivered orally and the judge’s remarks are then transcribed to provide a written record. If the offender’s sentence does not include imprisonment or home</w:t>
      </w:r>
      <w:r w:rsidR="00673421">
        <w:t xml:space="preserve"> </w:t>
      </w:r>
      <w:r w:rsidRPr="00400349">
        <w:t xml:space="preserve">detention, sentencing remarks may not be transcribed at all. In the High Court, it is more common to issue separate, written sentencing notes that expand on the judge’s oral reasons. </w:t>
      </w:r>
    </w:p>
  </w:footnote>
  <w:footnote w:id="543">
    <w:p w14:paraId="6053D8F7" w14:textId="637E6DE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Sentencing Act, </w:t>
      </w:r>
      <w:r w:rsidRPr="00400349" w:rsidDel="00506E8E">
        <w:rPr>
          <w:color w:val="auto"/>
        </w:rPr>
        <w:t>s</w:t>
      </w:r>
      <w:r w:rsidRPr="00400349">
        <w:rPr>
          <w:color w:val="auto"/>
        </w:rPr>
        <w:t xml:space="preserve"> 9(1)(ca) (</w:t>
      </w:r>
      <w:r w:rsidR="00E935D3" w:rsidRPr="00400349">
        <w:rPr>
          <w:color w:val="auto"/>
        </w:rPr>
        <w:t>in relation to family violence offences</w:t>
      </w:r>
      <w:r w:rsidRPr="00400349">
        <w:rPr>
          <w:color w:val="auto"/>
        </w:rPr>
        <w:t>) and (ha) (</w:t>
      </w:r>
      <w:r w:rsidR="00E935D3" w:rsidRPr="00400349">
        <w:rPr>
          <w:color w:val="auto"/>
        </w:rPr>
        <w:t>in relation to an offence committed as part, or involving, a terrorist act</w:t>
      </w:r>
      <w:r w:rsidRPr="00400349">
        <w:rPr>
          <w:color w:val="auto"/>
        </w:rPr>
        <w:t>).</w:t>
      </w:r>
    </w:p>
  </w:footnote>
  <w:footnote w:id="544">
    <w:p w14:paraId="7CD6A24B" w14:textId="77777777" w:rsidR="004A2C73" w:rsidRPr="00400349" w:rsidRDefault="004A2C73" w:rsidP="004A2C73">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[5.13] and [7.13]–[7.14].</w:t>
      </w:r>
    </w:p>
  </w:footnote>
  <w:footnote w:id="545">
    <w:p w14:paraId="145A6834"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Russell Hoban; Maxim Institute; Te Kāhui Ture o Aotearoa | New Zealand Law Society; Submission 90; and Te Kāhui o Ināia Tonu Nei Charitable Trust.</w:t>
      </w:r>
    </w:p>
  </w:footnote>
  <w:footnote w:id="546">
    <w:p w14:paraId="6B5C56C6"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Dr David Harvey; and The Law Association of New Zealand Criminal Law Committee.</w:t>
      </w:r>
    </w:p>
  </w:footnote>
  <w:footnote w:id="547">
    <w:p w14:paraId="5079D97F" w14:textId="0C151CF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Maxim Institute; and Ratonga Wawao ā-</w:t>
      </w:r>
      <w:r w:rsidR="001004FC" w:rsidRPr="00400349">
        <w:rPr>
          <w:color w:val="auto"/>
        </w:rPr>
        <w:t xml:space="preserve">Ture </w:t>
      </w:r>
      <w:r w:rsidRPr="00400349">
        <w:rPr>
          <w:color w:val="auto"/>
        </w:rPr>
        <w:t>Tūmatanui | Public Defence Service.</w:t>
      </w:r>
    </w:p>
  </w:footnote>
  <w:footnote w:id="548">
    <w:p w14:paraId="6D99C8CE" w14:textId="77777777" w:rsidR="005900F0" w:rsidRPr="00400349" w:rsidRDefault="005900F0" w:rsidP="005900F0">
      <w:pPr>
        <w:pStyle w:val="FootnoteText"/>
        <w:rPr>
          <w:color w:val="auto"/>
          <w:lang w:val="de-DE"/>
        </w:rPr>
      </w:pPr>
      <w:r w:rsidRPr="00400349">
        <w:rPr>
          <w:rStyle w:val="FootnoteReference"/>
          <w:color w:val="auto"/>
        </w:rPr>
        <w:footnoteRef/>
      </w:r>
      <w:r w:rsidRPr="00400349">
        <w:rPr>
          <w:color w:val="auto"/>
          <w:lang w:val="de-DE"/>
        </w:rPr>
        <w:t xml:space="preserve"> </w:t>
      </w:r>
      <w:r w:rsidRPr="00400349">
        <w:rPr>
          <w:color w:val="auto"/>
          <w:lang w:val="de-DE"/>
        </w:rPr>
        <w:tab/>
      </w:r>
      <w:r w:rsidRPr="00400349">
        <w:rPr>
          <w:i/>
          <w:color w:val="auto"/>
          <w:lang w:val="de-DE"/>
        </w:rPr>
        <w:t>R v Taueki</w:t>
      </w:r>
      <w:r w:rsidRPr="00400349">
        <w:rPr>
          <w:color w:val="auto"/>
          <w:lang w:val="de-DE"/>
        </w:rPr>
        <w:t xml:space="preserve"> [2005] NZCA 174, [2005] 3 NZLR 372.</w:t>
      </w:r>
    </w:p>
  </w:footnote>
  <w:footnote w:id="549">
    <w:p w14:paraId="3FB987B7" w14:textId="2E6F7BD4"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ss 7–8.</w:t>
      </w:r>
    </w:p>
  </w:footnote>
  <w:footnote w:id="550">
    <w:p w14:paraId="4B983B24" w14:textId="6CA368B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Taueki</w:t>
      </w:r>
      <w:r w:rsidRPr="00400349">
        <w:rPr>
          <w:color w:val="auto"/>
        </w:rPr>
        <w:t xml:space="preserve"> [2005] NZCA 174, [2005] 3 NZLR 372 </w:t>
      </w:r>
      <w:r w:rsidR="006B417F" w:rsidRPr="00400349">
        <w:rPr>
          <w:color w:val="auto"/>
        </w:rPr>
        <w:t>at [28]–[30] and</w:t>
      </w:r>
      <w:r w:rsidR="001E7382" w:rsidRPr="00400349">
        <w:rPr>
          <w:color w:val="auto"/>
        </w:rPr>
        <w:t xml:space="preserve"> [44]</w:t>
      </w:r>
      <w:r w:rsidR="004E2D57" w:rsidRPr="00400349">
        <w:rPr>
          <w:color w:val="auto"/>
        </w:rPr>
        <w:t>;</w:t>
      </w:r>
      <w:r w:rsidRPr="00400349">
        <w:rPr>
          <w:color w:val="auto"/>
        </w:rPr>
        <w:t xml:space="preserve"> and </w:t>
      </w:r>
      <w:r w:rsidRPr="00400349">
        <w:rPr>
          <w:i/>
          <w:color w:val="auto"/>
        </w:rPr>
        <w:t>Moses v R</w:t>
      </w:r>
      <w:r w:rsidRPr="00400349">
        <w:rPr>
          <w:color w:val="auto"/>
        </w:rPr>
        <w:t xml:space="preserve"> [2020] NZCA 296, [2020] 3 NZLR 583 at [6].</w:t>
      </w:r>
    </w:p>
  </w:footnote>
  <w:footnote w:id="551">
    <w:p w14:paraId="2A21AEBE"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AM</w:t>
      </w:r>
      <w:r w:rsidRPr="00400349">
        <w:rPr>
          <w:color w:val="auto"/>
        </w:rPr>
        <w:t xml:space="preserve"> [2010] NZCA 114, [2010] 2 NZLR 750 at [27]; </w:t>
      </w:r>
      <w:r w:rsidRPr="00400349">
        <w:rPr>
          <w:i/>
          <w:color w:val="auto"/>
        </w:rPr>
        <w:t>R v Taueki</w:t>
      </w:r>
      <w:r w:rsidRPr="00400349">
        <w:rPr>
          <w:color w:val="auto"/>
        </w:rPr>
        <w:t xml:space="preserve"> [2005] NZCA 174, [2005] 3 NZLR 372 at [43]; and </w:t>
      </w:r>
      <w:r w:rsidRPr="00400349">
        <w:rPr>
          <w:i/>
          <w:color w:val="auto"/>
        </w:rPr>
        <w:t>Moses v R</w:t>
      </w:r>
      <w:r w:rsidRPr="00400349">
        <w:rPr>
          <w:color w:val="auto"/>
        </w:rPr>
        <w:t xml:space="preserve"> [2020] NZCA 296, [2020] 3 NZLR 583 at [6].</w:t>
      </w:r>
    </w:p>
  </w:footnote>
  <w:footnote w:id="552">
    <w:p w14:paraId="6939809E" w14:textId="0E88762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Taueki</w:t>
      </w:r>
      <w:r w:rsidRPr="00400349">
        <w:rPr>
          <w:color w:val="auto"/>
        </w:rPr>
        <w:t xml:space="preserve"> [2005] NZCA 174, [2005] 3 NZLR 372 at [31(n)</w:t>
      </w:r>
      <w:r w:rsidR="00115511" w:rsidRPr="00400349">
        <w:rPr>
          <w:color w:val="auto"/>
        </w:rPr>
        <w:t>]</w:t>
      </w:r>
      <w:r w:rsidRPr="00400349">
        <w:rPr>
          <w:color w:val="auto"/>
        </w:rPr>
        <w:t>.</w:t>
      </w:r>
    </w:p>
  </w:footnote>
  <w:footnote w:id="553">
    <w:p w14:paraId="5E08262E"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AM</w:t>
      </w:r>
      <w:r w:rsidRPr="00400349">
        <w:rPr>
          <w:color w:val="auto"/>
        </w:rPr>
        <w:t xml:space="preserve"> [2010] NZCA 114, [2010] 2 NZLR 750 at [51].</w:t>
      </w:r>
    </w:p>
  </w:footnote>
  <w:footnote w:id="554">
    <w:p w14:paraId="79ADAB6B" w14:textId="4639F084"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Taueki</w:t>
      </w:r>
      <w:r w:rsidRPr="00400349">
        <w:rPr>
          <w:color w:val="auto"/>
        </w:rPr>
        <w:t xml:space="preserve"> [2005] NZCA 174, [2005] 3 NZLR 372 at [31</w:t>
      </w:r>
      <w:r w:rsidR="00960756">
        <w:rPr>
          <w:color w:val="auto"/>
        </w:rPr>
        <w:t>(n)</w:t>
      </w:r>
      <w:r w:rsidRPr="00400349">
        <w:rPr>
          <w:color w:val="auto"/>
        </w:rPr>
        <w:t xml:space="preserve">]; </w:t>
      </w:r>
      <w:r w:rsidR="002B0131" w:rsidRPr="00400349">
        <w:rPr>
          <w:color w:val="auto"/>
        </w:rPr>
        <w:t xml:space="preserve">and </w:t>
      </w:r>
      <w:r w:rsidRPr="00400349">
        <w:rPr>
          <w:i/>
          <w:color w:val="auto"/>
        </w:rPr>
        <w:t>R v AM</w:t>
      </w:r>
      <w:r w:rsidRPr="00400349">
        <w:rPr>
          <w:color w:val="auto"/>
        </w:rPr>
        <w:t xml:space="preserve"> [2010] NZCA 114, [2010] 2 NZLR 750 at [51]. See </w:t>
      </w:r>
      <w:r w:rsidRPr="00400349">
        <w:rPr>
          <w:i/>
          <w:color w:val="auto"/>
        </w:rPr>
        <w:t>R v Petera</w:t>
      </w:r>
      <w:r w:rsidRPr="00400349">
        <w:rPr>
          <w:color w:val="auto"/>
        </w:rPr>
        <w:t xml:space="preserve"> [2020] NZDC 16911, [2021] DCR 89 as an example of the court taking hostile motivation into account under the </w:t>
      </w:r>
      <w:r w:rsidRPr="00400349">
        <w:rPr>
          <w:i/>
          <w:color w:val="auto"/>
        </w:rPr>
        <w:t xml:space="preserve">Taueki </w:t>
      </w:r>
      <w:r w:rsidRPr="00400349">
        <w:rPr>
          <w:color w:val="auto"/>
        </w:rPr>
        <w:t>guideline.</w:t>
      </w:r>
    </w:p>
  </w:footnote>
  <w:footnote w:id="555">
    <w:p w14:paraId="1696199D" w14:textId="7721067C"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R v Angelich</w:t>
      </w:r>
      <w:r w:rsidRPr="00400349">
        <w:rPr>
          <w:color w:val="auto"/>
        </w:rPr>
        <w:t xml:space="preserve"> [2018] NZHC 2429 at [29</w:t>
      </w:r>
      <w:r w:rsidR="00582A01" w:rsidRPr="00400349">
        <w:rPr>
          <w:color w:val="auto"/>
        </w:rPr>
        <w:t>(f)</w:t>
      </w:r>
      <w:r w:rsidRPr="00400349">
        <w:rPr>
          <w:color w:val="auto"/>
        </w:rPr>
        <w:t xml:space="preserve">] and [37]–[39]; and </w:t>
      </w:r>
      <w:r w:rsidRPr="00400349">
        <w:rPr>
          <w:i/>
          <w:color w:val="auto"/>
        </w:rPr>
        <w:t>Arps v Police</w:t>
      </w:r>
      <w:r w:rsidRPr="00400349">
        <w:rPr>
          <w:color w:val="auto"/>
        </w:rPr>
        <w:t xml:space="preserve"> [2019] NZCA</w:t>
      </w:r>
      <w:r w:rsidR="001B0D72" w:rsidRPr="00400349">
        <w:rPr>
          <w:color w:val="auto"/>
        </w:rPr>
        <w:t xml:space="preserve"> 592</w:t>
      </w:r>
      <w:r w:rsidRPr="00400349">
        <w:rPr>
          <w:color w:val="auto"/>
        </w:rPr>
        <w:t>, [2020] 2 NZLR 94 at [64]–[65].</w:t>
      </w:r>
    </w:p>
  </w:footnote>
  <w:footnote w:id="556">
    <w:p w14:paraId="17616BB0" w14:textId="65EE97C8"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F1381E" w:rsidRPr="00400349">
        <w:rPr>
          <w:color w:val="auto"/>
        </w:rPr>
        <w:t>An exception is</w:t>
      </w:r>
      <w:r w:rsidRPr="00400349">
        <w:rPr>
          <w:color w:val="auto"/>
        </w:rPr>
        <w:t xml:space="preserve"> </w:t>
      </w:r>
      <w:r w:rsidRPr="00400349">
        <w:rPr>
          <w:i/>
          <w:color w:val="auto"/>
        </w:rPr>
        <w:t>R v Davidoff</w:t>
      </w:r>
      <w:r w:rsidRPr="00400349">
        <w:rPr>
          <w:color w:val="auto"/>
        </w:rPr>
        <w:t xml:space="preserve"> [2024] NZDC 19266 at [18] (</w:t>
      </w:r>
      <w:r w:rsidR="004E37BA" w:rsidRPr="00400349">
        <w:rPr>
          <w:color w:val="auto"/>
        </w:rPr>
        <w:t xml:space="preserve">affirmed in </w:t>
      </w:r>
      <w:r w:rsidR="004E37BA" w:rsidRPr="00400349">
        <w:rPr>
          <w:i/>
          <w:color w:val="auto"/>
        </w:rPr>
        <w:t>Davidoff v R</w:t>
      </w:r>
      <w:r w:rsidR="004E37BA" w:rsidRPr="00400349">
        <w:rPr>
          <w:color w:val="auto"/>
        </w:rPr>
        <w:t xml:space="preserve"> [2026] NZCA 126</w:t>
      </w:r>
      <w:r w:rsidR="00A54186" w:rsidRPr="00400349">
        <w:rPr>
          <w:color w:val="auto"/>
        </w:rPr>
        <w:t xml:space="preserve"> without comment on the practice of specifying a discrete uplift</w:t>
      </w:r>
      <w:r w:rsidR="004E37BA" w:rsidRPr="00400349">
        <w:rPr>
          <w:color w:val="auto"/>
        </w:rPr>
        <w:t>).</w:t>
      </w:r>
      <w:r w:rsidR="00F1381E" w:rsidRPr="00400349">
        <w:rPr>
          <w:color w:val="auto"/>
        </w:rPr>
        <w:t xml:space="preserve"> </w:t>
      </w:r>
    </w:p>
  </w:footnote>
  <w:footnote w:id="557">
    <w:p w14:paraId="0F6CF5A3" w14:textId="46F4486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Arps v Police</w:t>
      </w:r>
      <w:r w:rsidRPr="00400349">
        <w:rPr>
          <w:color w:val="auto"/>
        </w:rPr>
        <w:t xml:space="preserve"> [2019] NZCA</w:t>
      </w:r>
      <w:r w:rsidR="001B0D72" w:rsidRPr="00400349">
        <w:rPr>
          <w:color w:val="auto"/>
        </w:rPr>
        <w:t xml:space="preserve"> 592</w:t>
      </w:r>
      <w:r w:rsidRPr="00400349">
        <w:rPr>
          <w:color w:val="auto"/>
        </w:rPr>
        <w:t xml:space="preserve">, [2020] 2 NZLR 94 at [64]–[65]; and </w:t>
      </w:r>
      <w:r w:rsidRPr="00400349">
        <w:rPr>
          <w:i/>
          <w:color w:val="auto"/>
        </w:rPr>
        <w:t>R v Angelich</w:t>
      </w:r>
      <w:r w:rsidRPr="00400349">
        <w:rPr>
          <w:color w:val="auto"/>
        </w:rPr>
        <w:t xml:space="preserve"> [2018] NZHC 2429 at [29</w:t>
      </w:r>
      <w:r w:rsidR="00582A01" w:rsidRPr="00400349">
        <w:rPr>
          <w:color w:val="auto"/>
        </w:rPr>
        <w:t>(f)</w:t>
      </w:r>
      <w:r w:rsidRPr="00400349">
        <w:rPr>
          <w:color w:val="auto"/>
        </w:rPr>
        <w:t>] and [37]–[39].</w:t>
      </w:r>
    </w:p>
  </w:footnote>
  <w:footnote w:id="558">
    <w:p w14:paraId="6218389E" w14:textId="34D1A33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Arps v Police</w:t>
      </w:r>
      <w:r w:rsidRPr="00400349">
        <w:rPr>
          <w:color w:val="auto"/>
        </w:rPr>
        <w:t xml:space="preserve"> [2019] NZCA</w:t>
      </w:r>
      <w:r w:rsidR="00582A01" w:rsidRPr="00400349">
        <w:rPr>
          <w:color w:val="auto"/>
        </w:rPr>
        <w:t xml:space="preserve"> 592</w:t>
      </w:r>
      <w:r w:rsidRPr="00400349">
        <w:rPr>
          <w:color w:val="auto"/>
        </w:rPr>
        <w:t>, [2020] 2 NZLR 94 at [16</w:t>
      </w:r>
      <w:r w:rsidR="006D041B" w:rsidRPr="00400349">
        <w:rPr>
          <w:color w:val="auto"/>
        </w:rPr>
        <w:t>(f)</w:t>
      </w:r>
      <w:r w:rsidRPr="00400349">
        <w:rPr>
          <w:color w:val="auto"/>
        </w:rPr>
        <w:t>]</w:t>
      </w:r>
      <w:r w:rsidR="001C67AE">
        <w:rPr>
          <w:color w:val="auto"/>
        </w:rPr>
        <w:t>. See also at</w:t>
      </w:r>
      <w:r w:rsidRPr="00400349">
        <w:rPr>
          <w:color w:val="auto"/>
        </w:rPr>
        <w:t xml:space="preserve"> [68].</w:t>
      </w:r>
    </w:p>
  </w:footnote>
  <w:footnote w:id="559">
    <w:p w14:paraId="5640ED66" w14:textId="6BB45BE4"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Hate Crime and Public Order (Scotland) Act 2021</w:t>
      </w:r>
      <w:r w:rsidR="004E59C8" w:rsidRPr="00400349">
        <w:rPr>
          <w:color w:val="auto"/>
        </w:rPr>
        <w:t xml:space="preserve"> (UK)</w:t>
      </w:r>
      <w:r w:rsidRPr="00400349">
        <w:rPr>
          <w:color w:val="auto"/>
        </w:rPr>
        <w:t>, s 2(2)(d).</w:t>
      </w:r>
    </w:p>
  </w:footnote>
  <w:footnote w:id="560">
    <w:p w14:paraId="13E04064" w14:textId="44EA5DC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See for example Criminal Justice and Licensing (Scotland) Act 2010</w:t>
      </w:r>
      <w:r w:rsidR="00F51E47" w:rsidRPr="00400349">
        <w:rPr>
          <w:color w:val="auto"/>
        </w:rPr>
        <w:t xml:space="preserve"> (UK)</w:t>
      </w:r>
      <w:r w:rsidRPr="00400349">
        <w:rPr>
          <w:color w:val="auto"/>
        </w:rPr>
        <w:t>, s 29(5)(d); and Human Trafficking and Exploitation (Scotland) Act 2015</w:t>
      </w:r>
      <w:r w:rsidR="00F51E47" w:rsidRPr="00400349">
        <w:rPr>
          <w:color w:val="auto"/>
        </w:rPr>
        <w:t xml:space="preserve"> (UK)</w:t>
      </w:r>
      <w:r w:rsidRPr="00400349">
        <w:rPr>
          <w:color w:val="auto"/>
        </w:rPr>
        <w:t>, ss 5(5)(d), 6(3)(d) and 7(4)(d).</w:t>
      </w:r>
    </w:p>
  </w:footnote>
  <w:footnote w:id="561">
    <w:p w14:paraId="1D130A1B" w14:textId="222C051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Alastair P Campbell </w:t>
      </w:r>
      <w:r w:rsidRPr="00400349">
        <w:rPr>
          <w:i/>
          <w:color w:val="auto"/>
        </w:rPr>
        <w:t xml:space="preserve">Independent Review of Hate Crime Legislation in Scotland: Final Report </w:t>
      </w:r>
      <w:r w:rsidRPr="00400349">
        <w:rPr>
          <w:color w:val="auto"/>
        </w:rPr>
        <w:t>(Justice Directorate, May 2018) at [3.64].</w:t>
      </w:r>
    </w:p>
  </w:footnote>
  <w:footnote w:id="562">
    <w:p w14:paraId="7E77761C" w14:textId="0DCD01E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BF31A5" w:rsidRPr="00400349">
        <w:rPr>
          <w:color w:val="auto"/>
        </w:rPr>
        <w:t>Alistair P Campbell</w:t>
      </w:r>
      <w:r w:rsidRPr="00400349">
        <w:rPr>
          <w:color w:val="auto"/>
        </w:rPr>
        <w:t xml:space="preserve"> </w:t>
      </w:r>
      <w:r w:rsidRPr="00400349">
        <w:rPr>
          <w:i/>
          <w:color w:val="auto"/>
        </w:rPr>
        <w:t xml:space="preserve">Independent Review of Hate Crime Legislation in Scotland: Consultation Paper </w:t>
      </w:r>
      <w:r w:rsidRPr="00400349">
        <w:rPr>
          <w:color w:val="auto"/>
        </w:rPr>
        <w:t>(August 2017) at 32.</w:t>
      </w:r>
    </w:p>
  </w:footnote>
  <w:footnote w:id="563">
    <w:p w14:paraId="47FB1B3D" w14:textId="4DA0832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R v Murphy </w:t>
      </w:r>
      <w:r w:rsidRPr="00400349">
        <w:rPr>
          <w:color w:val="auto"/>
        </w:rPr>
        <w:t>[2015] HCJAC 34, 2015 SCL 577 at [17]</w:t>
      </w:r>
      <w:r w:rsidR="00E712CC" w:rsidRPr="00400349">
        <w:rPr>
          <w:color w:val="auto"/>
        </w:rPr>
        <w:t>;</w:t>
      </w:r>
      <w:r w:rsidRPr="00400349">
        <w:rPr>
          <w:color w:val="auto"/>
        </w:rPr>
        <w:t xml:space="preserve"> and </w:t>
      </w:r>
      <w:r w:rsidRPr="00400349">
        <w:rPr>
          <w:i/>
          <w:color w:val="auto"/>
        </w:rPr>
        <w:t>Di Pinto v Procurator Fiscal, Glasgow</w:t>
      </w:r>
      <w:r w:rsidRPr="00400349">
        <w:rPr>
          <w:color w:val="auto"/>
        </w:rPr>
        <w:t xml:space="preserve"> [2024] HCJAC 7, 2024 SLT 203 at [26].</w:t>
      </w:r>
    </w:p>
  </w:footnote>
  <w:footnote w:id="564">
    <w:p w14:paraId="0750D1CC" w14:textId="0CCDCE2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D2733E" w:rsidRPr="00400349">
        <w:rPr>
          <w:color w:val="auto"/>
        </w:rPr>
        <w:t xml:space="preserve">Alastair P Campbell </w:t>
      </w:r>
      <w:r w:rsidR="00D2733E" w:rsidRPr="00400349">
        <w:rPr>
          <w:i/>
          <w:iCs/>
          <w:color w:val="auto"/>
        </w:rPr>
        <w:t xml:space="preserve">Independent Review of Hate Crime Legislation in Scotland: Final Report </w:t>
      </w:r>
      <w:r w:rsidR="00D2733E" w:rsidRPr="00400349">
        <w:rPr>
          <w:color w:val="auto"/>
        </w:rPr>
        <w:t>(Justice Directorate, May 2018) a</w:t>
      </w:r>
      <w:r w:rsidRPr="00400349">
        <w:rPr>
          <w:color w:val="auto"/>
        </w:rPr>
        <w:t>t [3.62].</w:t>
      </w:r>
    </w:p>
  </w:footnote>
  <w:footnote w:id="565">
    <w:p w14:paraId="428D4265" w14:textId="5E934F28"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C10F78">
        <w:rPr>
          <w:color w:val="auto"/>
        </w:rPr>
        <w:t>At</w:t>
      </w:r>
      <w:r w:rsidRPr="00400349">
        <w:rPr>
          <w:color w:val="auto"/>
        </w:rPr>
        <w:t xml:space="preserve"> [3.64].</w:t>
      </w:r>
    </w:p>
  </w:footnote>
  <w:footnote w:id="566">
    <w:p w14:paraId="4038FAE0"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Scottish Government </w:t>
      </w:r>
      <w:r w:rsidRPr="00400349">
        <w:rPr>
          <w:i/>
          <w:color w:val="auto"/>
        </w:rPr>
        <w:t>Policy Memorandum: Hate Crime and Public Order (Scotland) Bill</w:t>
      </w:r>
      <w:r w:rsidRPr="00400349">
        <w:rPr>
          <w:color w:val="auto"/>
        </w:rPr>
        <w:t xml:space="preserve"> (23 April 2020) at [100]–[101].</w:t>
      </w:r>
    </w:p>
  </w:footnote>
  <w:footnote w:id="567">
    <w:p w14:paraId="64FD4993" w14:textId="28C7A3B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9157E3" w:rsidRPr="00400349">
        <w:rPr>
          <w:color w:val="auto"/>
        </w:rPr>
        <w:t>At</w:t>
      </w:r>
      <w:r w:rsidRPr="00400349">
        <w:rPr>
          <w:color w:val="auto"/>
        </w:rPr>
        <w:t xml:space="preserve"> [102].</w:t>
      </w:r>
    </w:p>
  </w:footnote>
  <w:footnote w:id="568">
    <w:p w14:paraId="63FC8350" w14:textId="787EDCB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Council (England and Wales) “</w:t>
      </w:r>
      <w:r w:rsidR="00E83DCA" w:rsidRPr="00400349">
        <w:t>Hate Crime</w:t>
      </w:r>
      <w:r w:rsidRPr="00400349">
        <w:rPr>
          <w:color w:val="auto"/>
        </w:rPr>
        <w:t>” &lt;www.sentencingcouncil.org.uk&gt;.</w:t>
      </w:r>
    </w:p>
  </w:footnote>
  <w:footnote w:id="569">
    <w:p w14:paraId="69467804" w14:textId="7043C7D0"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Law Commission (England and Wales) </w:t>
      </w:r>
      <w:r w:rsidRPr="00400349">
        <w:rPr>
          <w:i/>
          <w:color w:val="auto"/>
        </w:rPr>
        <w:t>Hate crime laws: A consultation paper</w:t>
      </w:r>
      <w:r w:rsidRPr="00400349">
        <w:rPr>
          <w:color w:val="auto"/>
        </w:rPr>
        <w:t xml:space="preserve"> (CP250, 2020) at [</w:t>
      </w:r>
      <w:r w:rsidR="00F31D6A" w:rsidRPr="00400349">
        <w:rPr>
          <w:color w:val="auto"/>
        </w:rPr>
        <w:t>1</w:t>
      </w:r>
      <w:r w:rsidRPr="00400349">
        <w:rPr>
          <w:color w:val="auto"/>
        </w:rPr>
        <w:t xml:space="preserve">7.20]; </w:t>
      </w:r>
      <w:r w:rsidR="00DA716B" w:rsidRPr="00400349">
        <w:rPr>
          <w:color w:val="auto"/>
        </w:rPr>
        <w:t xml:space="preserve">and </w:t>
      </w:r>
      <w:r w:rsidRPr="00400349">
        <w:rPr>
          <w:color w:val="auto"/>
        </w:rPr>
        <w:t xml:space="preserve">Crown Prosecution Service </w:t>
      </w:r>
      <w:r w:rsidR="00751BC5" w:rsidRPr="00400349">
        <w:rPr>
          <w:color w:val="auto"/>
        </w:rPr>
        <w:t>“</w:t>
      </w:r>
      <w:r w:rsidRPr="00400349">
        <w:rPr>
          <w:color w:val="auto"/>
        </w:rPr>
        <w:t>Homophobic, Biphobic and Transphobic Hate Crime — Prosecution Guidance</w:t>
      </w:r>
      <w:r w:rsidR="00751BC5" w:rsidRPr="00400349">
        <w:rPr>
          <w:color w:val="auto"/>
        </w:rPr>
        <w:t>”</w:t>
      </w:r>
      <w:r w:rsidRPr="00400349">
        <w:rPr>
          <w:color w:val="auto"/>
        </w:rPr>
        <w:t xml:space="preserve"> (3 March 2022)</w:t>
      </w:r>
      <w:r w:rsidR="00B571EA" w:rsidRPr="00400349">
        <w:rPr>
          <w:color w:val="auto"/>
        </w:rPr>
        <w:t xml:space="preserve"> &lt;www.cps.gov.uk&gt;</w:t>
      </w:r>
      <w:r w:rsidRPr="00400349">
        <w:rPr>
          <w:color w:val="auto"/>
        </w:rPr>
        <w:t>.</w:t>
      </w:r>
    </w:p>
  </w:footnote>
  <w:footnote w:id="570">
    <w:p w14:paraId="4F771721" w14:textId="5CEE356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Cooke</w:t>
      </w:r>
      <w:r w:rsidRPr="00400349">
        <w:rPr>
          <w:color w:val="auto"/>
        </w:rPr>
        <w:t xml:space="preserve"> [2015] EWCA Crim 1414. See also the examples in CPS Yorkshire and Humberside “</w:t>
      </w:r>
      <w:r w:rsidR="00613984" w:rsidRPr="00400349">
        <w:t>Hate crime sentence uplift examples: Cases finalised between April to June 2021</w:t>
      </w:r>
      <w:r w:rsidRPr="00400349">
        <w:rPr>
          <w:color w:val="auto"/>
        </w:rPr>
        <w:t xml:space="preserve">” &lt;www.chcpcic.org.uk&gt;; </w:t>
      </w:r>
      <w:r w:rsidR="002634BA" w:rsidRPr="00400349">
        <w:rPr>
          <w:color w:val="auto"/>
        </w:rPr>
        <w:t>and</w:t>
      </w:r>
      <w:r w:rsidRPr="00400349">
        <w:rPr>
          <w:color w:val="auto"/>
        </w:rPr>
        <w:t xml:space="preserve"> CPS Yorkshire and Humberside “</w:t>
      </w:r>
      <w:r w:rsidR="004736FB" w:rsidRPr="00400349">
        <w:t>Hate crime sentence uplift examples: cases finalised October 2024</w:t>
      </w:r>
      <w:r w:rsidRPr="00400349">
        <w:rPr>
          <w:color w:val="auto"/>
        </w:rPr>
        <w:t>”</w:t>
      </w:r>
      <w:r w:rsidRPr="00400349">
        <w:rPr>
          <w:i/>
          <w:color w:val="auto"/>
        </w:rPr>
        <w:t xml:space="preserve"> </w:t>
      </w:r>
      <w:r w:rsidRPr="00400349">
        <w:rPr>
          <w:color w:val="auto"/>
        </w:rPr>
        <w:t>(19 December 2024) &lt;www.cps.gov.uk&gt;.</w:t>
      </w:r>
    </w:p>
  </w:footnote>
  <w:footnote w:id="571">
    <w:p w14:paraId="26BF397C" w14:textId="5C037C6C"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White</w:t>
      </w:r>
      <w:r w:rsidRPr="00400349">
        <w:rPr>
          <w:color w:val="auto"/>
        </w:rPr>
        <w:t xml:space="preserve"> [2021] EWCA Crim 1511, [2022] 4 WLR 10 at [37] and [39]; </w:t>
      </w:r>
      <w:r w:rsidR="007C4CEA" w:rsidRPr="00400349">
        <w:rPr>
          <w:color w:val="auto"/>
        </w:rPr>
        <w:t xml:space="preserve">and </w:t>
      </w:r>
      <w:r w:rsidRPr="00400349">
        <w:rPr>
          <w:i/>
          <w:color w:val="auto"/>
        </w:rPr>
        <w:t>R v Healey</w:t>
      </w:r>
      <w:r w:rsidRPr="00400349">
        <w:rPr>
          <w:color w:val="auto"/>
        </w:rPr>
        <w:t xml:space="preserve"> [2021] EWCA Crim 181 at [9] and [30].</w:t>
      </w:r>
    </w:p>
  </w:footnote>
  <w:footnote w:id="572">
    <w:p w14:paraId="110D247D" w14:textId="46EADF48"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Sentencing Council (England and Wales) </w:t>
      </w:r>
      <w:r w:rsidR="0069723E" w:rsidRPr="00400349">
        <w:rPr>
          <w:color w:val="auto"/>
        </w:rPr>
        <w:t>“</w:t>
      </w:r>
      <w:r w:rsidRPr="00400349">
        <w:rPr>
          <w:color w:val="auto"/>
        </w:rPr>
        <w:t>General guideline: overarching principles</w:t>
      </w:r>
      <w:r w:rsidR="0069723E" w:rsidRPr="00400349">
        <w:rPr>
          <w:color w:val="auto"/>
        </w:rPr>
        <w:t>”</w:t>
      </w:r>
      <w:r w:rsidRPr="00400349">
        <w:rPr>
          <w:color w:val="auto"/>
        </w:rPr>
        <w:t xml:space="preserve"> (1 October 2019)</w:t>
      </w:r>
      <w:r w:rsidR="0069723E" w:rsidRPr="00400349">
        <w:rPr>
          <w:color w:val="auto"/>
        </w:rPr>
        <w:t xml:space="preserve"> &lt;</w:t>
      </w:r>
      <w:r w:rsidR="00FD73D6" w:rsidRPr="00400349">
        <w:rPr>
          <w:color w:val="auto"/>
        </w:rPr>
        <w:t>www.</w:t>
      </w:r>
      <w:r w:rsidR="0069723E" w:rsidRPr="00400349">
        <w:rPr>
          <w:color w:val="auto"/>
        </w:rPr>
        <w:t>sentencing</w:t>
      </w:r>
      <w:r w:rsidR="00FD73D6" w:rsidRPr="00400349">
        <w:rPr>
          <w:color w:val="auto"/>
        </w:rPr>
        <w:t>council</w:t>
      </w:r>
      <w:r w:rsidRPr="00400349">
        <w:rPr>
          <w:color w:val="auto"/>
        </w:rPr>
        <w:t>.</w:t>
      </w:r>
      <w:r w:rsidR="00FD73D6" w:rsidRPr="00400349">
        <w:rPr>
          <w:color w:val="auto"/>
        </w:rPr>
        <w:t>org.uk&gt;.</w:t>
      </w:r>
    </w:p>
  </w:footnote>
  <w:footnote w:id="573">
    <w:p w14:paraId="403D8C1A" w14:textId="2BAAF4E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Scottish Sentencing Council </w:t>
      </w:r>
      <w:r w:rsidRPr="00400349">
        <w:rPr>
          <w:i/>
          <w:color w:val="auto"/>
        </w:rPr>
        <w:t>The sentencing process: Sentencing guideline</w:t>
      </w:r>
      <w:r w:rsidRPr="00400349">
        <w:rPr>
          <w:color w:val="auto"/>
        </w:rPr>
        <w:t xml:space="preserve"> (22 September 2021)</w:t>
      </w:r>
      <w:r w:rsidR="00684EB4" w:rsidRPr="00400349">
        <w:rPr>
          <w:color w:val="auto"/>
        </w:rPr>
        <w:t xml:space="preserve"> at 8</w:t>
      </w:r>
      <w:r w:rsidRPr="00400349">
        <w:rPr>
          <w:color w:val="auto"/>
        </w:rPr>
        <w:t>.</w:t>
      </w:r>
    </w:p>
  </w:footnote>
  <w:footnote w:id="574">
    <w:p w14:paraId="1434A03C" w14:textId="63E30CBC" w:rsidR="005900F0" w:rsidRPr="00400349" w:rsidRDefault="005900F0" w:rsidP="005900F0">
      <w:pPr>
        <w:pStyle w:val="FootnoteText"/>
        <w:rPr>
          <w:color w:val="auto"/>
          <w:lang w:val="en-US"/>
        </w:rPr>
      </w:pPr>
      <w:r w:rsidRPr="00400349">
        <w:rPr>
          <w:rStyle w:val="FootnoteReference"/>
          <w:color w:val="auto"/>
        </w:rPr>
        <w:footnoteRef/>
      </w:r>
      <w:r w:rsidRPr="00400349">
        <w:rPr>
          <w:color w:val="auto"/>
        </w:rPr>
        <w:t xml:space="preserve"> </w:t>
      </w:r>
      <w:r w:rsidRPr="00400349">
        <w:rPr>
          <w:color w:val="auto"/>
        </w:rPr>
        <w:tab/>
        <w:t>In Australia, the dominant approach is to consider all features of the offending and the offender together to reach an appropriate sentence</w:t>
      </w:r>
      <w:r w:rsidR="00524547" w:rsidRPr="00400349">
        <w:rPr>
          <w:color w:val="auto"/>
        </w:rPr>
        <w:t>:</w:t>
      </w:r>
      <w:r w:rsidRPr="00400349">
        <w:rPr>
          <w:color w:val="auto"/>
        </w:rPr>
        <w:t xml:space="preserve"> </w:t>
      </w:r>
      <w:r w:rsidRPr="00400349">
        <w:rPr>
          <w:i/>
          <w:color w:val="auto"/>
        </w:rPr>
        <w:t>Markarian v The Queen</w:t>
      </w:r>
      <w:r w:rsidRPr="00400349">
        <w:rPr>
          <w:rFonts w:ascii="Calibri" w:hAnsi="Calibri" w:cs="Calibri"/>
          <w:color w:val="auto"/>
        </w:rPr>
        <w:t xml:space="preserve"> </w:t>
      </w:r>
      <w:r w:rsidRPr="00400349">
        <w:rPr>
          <w:color w:val="auto"/>
        </w:rPr>
        <w:t>[2005] HCA 25 at [37]–[39] and [84]</w:t>
      </w:r>
      <w:r w:rsidR="00D64C1E" w:rsidRPr="00400349">
        <w:rPr>
          <w:color w:val="auto"/>
        </w:rPr>
        <w:t>;</w:t>
      </w:r>
      <w:r w:rsidRPr="00400349">
        <w:rPr>
          <w:color w:val="auto"/>
        </w:rPr>
        <w:t xml:space="preserve"> and </w:t>
      </w:r>
      <w:r w:rsidRPr="00400349">
        <w:rPr>
          <w:i/>
          <w:color w:val="auto"/>
        </w:rPr>
        <w:t>Barbaro v The Queen</w:t>
      </w:r>
      <w:r w:rsidRPr="00400349">
        <w:rPr>
          <w:rFonts w:ascii="Calibri" w:hAnsi="Calibri" w:cs="Calibri"/>
          <w:color w:val="auto"/>
        </w:rPr>
        <w:t xml:space="preserve"> </w:t>
      </w:r>
      <w:r w:rsidRPr="00400349">
        <w:rPr>
          <w:color w:val="auto"/>
        </w:rPr>
        <w:t>[2014] HCA 2 at [34]. The Canadian approach similarly emphasises judicial discretion and does not prescribe any particular process</w:t>
      </w:r>
      <w:r w:rsidR="00BC0EBA" w:rsidRPr="00400349">
        <w:rPr>
          <w:color w:val="auto"/>
        </w:rPr>
        <w:t>:</w:t>
      </w:r>
      <w:r w:rsidRPr="00400349">
        <w:rPr>
          <w:color w:val="auto"/>
        </w:rPr>
        <w:t xml:space="preserve"> </w:t>
      </w:r>
      <w:r w:rsidRPr="00400349">
        <w:rPr>
          <w:i/>
          <w:color w:val="auto"/>
        </w:rPr>
        <w:t>R v LM</w:t>
      </w:r>
      <w:r w:rsidRPr="00400349">
        <w:rPr>
          <w:color w:val="auto"/>
        </w:rPr>
        <w:t xml:space="preserve"> 2008 SCC 31, [2008] 2 SCR 163 at [17].</w:t>
      </w:r>
    </w:p>
  </w:footnote>
  <w:footnote w:id="575">
    <w:p w14:paraId="41F3C8A8" w14:textId="3F5CB05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Bisso</w:t>
      </w:r>
      <w:r w:rsidR="00371F85" w:rsidRPr="00400349">
        <w:rPr>
          <w:i/>
          <w:color w:val="auto"/>
        </w:rPr>
        <w:t>n</w:t>
      </w:r>
      <w:r w:rsidRPr="00400349">
        <w:rPr>
          <w:i/>
          <w:color w:val="auto"/>
        </w:rPr>
        <w:t>nette</w:t>
      </w:r>
      <w:r w:rsidRPr="00400349">
        <w:rPr>
          <w:color w:val="auto"/>
        </w:rPr>
        <w:t xml:space="preserve"> 2019 QCCS 354 at [625]; </w:t>
      </w:r>
      <w:r w:rsidRPr="00400349">
        <w:rPr>
          <w:i/>
          <w:color w:val="auto"/>
        </w:rPr>
        <w:t>R v Grant</w:t>
      </w:r>
      <w:r w:rsidRPr="00400349">
        <w:rPr>
          <w:color w:val="auto"/>
        </w:rPr>
        <w:t xml:space="preserve"> 2025 ONCJ 231 at [53]–[54]; </w:t>
      </w:r>
      <w:r w:rsidRPr="00400349">
        <w:rPr>
          <w:i/>
          <w:color w:val="auto"/>
        </w:rPr>
        <w:t>R v Kandola</w:t>
      </w:r>
      <w:r w:rsidRPr="00400349">
        <w:rPr>
          <w:color w:val="auto"/>
        </w:rPr>
        <w:t xml:space="preserve"> 2010 BCSC 841, [2010] BCWLD 7849 at [39]–[41]; and </w:t>
      </w:r>
      <w:r w:rsidRPr="00400349">
        <w:rPr>
          <w:i/>
          <w:color w:val="auto"/>
        </w:rPr>
        <w:t>R v Vrdoljak</w:t>
      </w:r>
      <w:r w:rsidRPr="00400349">
        <w:rPr>
          <w:color w:val="auto"/>
        </w:rPr>
        <w:t xml:space="preserve"> [2002] OJ No 1332 at [9] and [20]–[21].</w:t>
      </w:r>
    </w:p>
  </w:footnote>
  <w:footnote w:id="576">
    <w:p w14:paraId="4065AAF9"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Grant</w:t>
      </w:r>
      <w:r w:rsidRPr="00400349">
        <w:rPr>
          <w:color w:val="auto"/>
        </w:rPr>
        <w:t xml:space="preserve"> 2025 ONCJ 231 at [63]–[65]; </w:t>
      </w:r>
      <w:r w:rsidRPr="00400349">
        <w:rPr>
          <w:i/>
          <w:color w:val="auto"/>
        </w:rPr>
        <w:t>R v Gillard</w:t>
      </w:r>
      <w:r w:rsidRPr="00400349">
        <w:rPr>
          <w:color w:val="auto"/>
        </w:rPr>
        <w:t xml:space="preserve"> 2022 ONCJ 164 at [43] and [49]; and </w:t>
      </w:r>
      <w:r w:rsidRPr="00400349">
        <w:rPr>
          <w:i/>
          <w:color w:val="auto"/>
        </w:rPr>
        <w:t>R v Vrdoljak</w:t>
      </w:r>
      <w:r w:rsidRPr="00400349">
        <w:rPr>
          <w:color w:val="auto"/>
        </w:rPr>
        <w:t xml:space="preserve"> [2002] OJ No 1332 at [9] and [21].</w:t>
      </w:r>
    </w:p>
  </w:footnote>
  <w:footnote w:id="577">
    <w:p w14:paraId="175CF969"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Grant</w:t>
      </w:r>
      <w:r w:rsidRPr="00400349">
        <w:rPr>
          <w:color w:val="auto"/>
        </w:rPr>
        <w:t xml:space="preserve"> 2025 ONCJ 231 at [62]; </w:t>
      </w:r>
      <w:r w:rsidRPr="00400349">
        <w:rPr>
          <w:i/>
          <w:color w:val="auto"/>
        </w:rPr>
        <w:t>R v Gillard</w:t>
      </w:r>
      <w:r w:rsidRPr="00400349">
        <w:rPr>
          <w:color w:val="auto"/>
        </w:rPr>
        <w:t xml:space="preserve"> 2022 ONCJ 164 at [38]; and </w:t>
      </w:r>
      <w:r w:rsidRPr="00400349">
        <w:rPr>
          <w:i/>
          <w:color w:val="auto"/>
        </w:rPr>
        <w:t>R v Shier</w:t>
      </w:r>
      <w:r w:rsidRPr="00400349">
        <w:rPr>
          <w:color w:val="auto"/>
        </w:rPr>
        <w:t xml:space="preserve"> 2019 BCPC 399 at [28].</w:t>
      </w:r>
    </w:p>
  </w:footnote>
  <w:footnote w:id="578">
    <w:p w14:paraId="64D8FAA6"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Grivell v Mackley</w:t>
      </w:r>
      <w:r w:rsidRPr="00400349">
        <w:rPr>
          <w:rFonts w:ascii="Calibri" w:hAnsi="Calibri" w:cs="Calibri"/>
          <w:color w:val="auto"/>
        </w:rPr>
        <w:t xml:space="preserve"> </w:t>
      </w:r>
      <w:r w:rsidRPr="00400349">
        <w:rPr>
          <w:color w:val="auto"/>
        </w:rPr>
        <w:t>[2008] NTCCA 06 at [39] and [52]–[53].</w:t>
      </w:r>
    </w:p>
  </w:footnote>
  <w:footnote w:id="579">
    <w:p w14:paraId="73149369" w14:textId="4167CB8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R v AM</w:t>
      </w:r>
      <w:r w:rsidRPr="00400349">
        <w:rPr>
          <w:color w:val="auto"/>
        </w:rPr>
        <w:t xml:space="preserve"> [2010] NZCA 114, [2010] 2 NZLR 750 at [15] and [27]; and </w:t>
      </w:r>
      <w:r w:rsidRPr="00400349">
        <w:rPr>
          <w:i/>
          <w:color w:val="auto"/>
        </w:rPr>
        <w:t>Markarian v The Queen</w:t>
      </w:r>
      <w:r w:rsidRPr="00400349">
        <w:rPr>
          <w:color w:val="auto"/>
        </w:rPr>
        <w:t xml:space="preserve"> [2005] HCA 25.</w:t>
      </w:r>
    </w:p>
  </w:footnote>
  <w:footnote w:id="580">
    <w:p w14:paraId="77680C91" w14:textId="1AA8048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w:t>
      </w:r>
      <w:r w:rsidR="00161431" w:rsidRPr="00400349">
        <w:rPr>
          <w:color w:val="auto"/>
        </w:rPr>
        <w:t xml:space="preserve"> (joint submission)</w:t>
      </w:r>
      <w:r w:rsidRPr="00400349">
        <w:rPr>
          <w:color w:val="auto"/>
        </w:rPr>
        <w:t xml:space="preserve">; The Law Association </w:t>
      </w:r>
      <w:r w:rsidR="006A2EA8" w:rsidRPr="00400349">
        <w:rPr>
          <w:color w:val="auto"/>
        </w:rPr>
        <w:t xml:space="preserve">Criminal Law Committee; </w:t>
      </w:r>
      <w:r w:rsidRPr="00400349">
        <w:rPr>
          <w:color w:val="auto"/>
        </w:rPr>
        <w:t xml:space="preserve">The Law Association Public and Administrative Law Committee; New Zealand </w:t>
      </w:r>
      <w:r w:rsidR="00FA4E59" w:rsidRPr="00400349">
        <w:rPr>
          <w:color w:val="auto"/>
        </w:rPr>
        <w:t xml:space="preserve">Federation of Business and Professional Women; and </w:t>
      </w:r>
      <w:r w:rsidRPr="00400349">
        <w:rPr>
          <w:color w:val="auto"/>
        </w:rPr>
        <w:t>New Zealand Jewish Council.</w:t>
      </w:r>
    </w:p>
  </w:footnote>
  <w:footnote w:id="581">
    <w:p w14:paraId="6DB70664"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The Law Association of New Zealand Criminal Law Committee; and The Law Association of New Zealand Public and Administrative Law Committee.</w:t>
      </w:r>
    </w:p>
  </w:footnote>
  <w:footnote w:id="582">
    <w:p w14:paraId="217D23F0" w14:textId="77F5E4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For example, the United States </w:t>
      </w:r>
      <w:r w:rsidR="00A75123">
        <w:rPr>
          <w:color w:val="auto"/>
        </w:rPr>
        <w:t>of America</w:t>
      </w:r>
      <w:r w:rsidRPr="00400349">
        <w:rPr>
          <w:color w:val="auto"/>
        </w:rPr>
        <w:t xml:space="preserve"> (federal and some state jurisdictions), England and Wales, Scotland and the Republic of Ireland. </w:t>
      </w:r>
    </w:p>
  </w:footnote>
  <w:footnote w:id="583">
    <w:p w14:paraId="58D88088" w14:textId="714E7C8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6666FE" w:rsidRPr="00400349">
        <w:rPr>
          <w:color w:val="auto"/>
        </w:rPr>
        <w:t xml:space="preserve">Te Aka Matua o te Ture | </w:t>
      </w:r>
      <w:r w:rsidRPr="00400349">
        <w:rPr>
          <w:color w:val="auto"/>
        </w:rPr>
        <w:t xml:space="preserve">Law Commission </w:t>
      </w:r>
      <w:r w:rsidRPr="00400349">
        <w:rPr>
          <w:i/>
          <w:color w:val="auto"/>
        </w:rPr>
        <w:t>Sentencing guidelines and parole reform</w:t>
      </w:r>
      <w:r w:rsidRPr="00400349">
        <w:rPr>
          <w:color w:val="auto"/>
        </w:rPr>
        <w:t xml:space="preserve"> (NZLC R94, 2006) </w:t>
      </w:r>
      <w:r w:rsidR="002B467C" w:rsidRPr="00400349">
        <w:rPr>
          <w:color w:val="auto"/>
        </w:rPr>
        <w:t>at 29</w:t>
      </w:r>
      <w:r w:rsidRPr="00400349">
        <w:rPr>
          <w:color w:val="auto"/>
        </w:rPr>
        <w:t xml:space="preserve"> </w:t>
      </w:r>
      <w:r w:rsidR="007455EA" w:rsidRPr="00400349">
        <w:rPr>
          <w:color w:val="auto"/>
        </w:rPr>
        <w:t>(</w:t>
      </w:r>
      <w:r w:rsidRPr="00400349">
        <w:rPr>
          <w:color w:val="auto"/>
        </w:rPr>
        <w:t>recommendation 1</w:t>
      </w:r>
      <w:r w:rsidR="007455EA" w:rsidRPr="00400349">
        <w:rPr>
          <w:color w:val="auto"/>
        </w:rPr>
        <w:t>)</w:t>
      </w:r>
      <w:r w:rsidRPr="00400349">
        <w:rPr>
          <w:color w:val="auto"/>
        </w:rPr>
        <w:t>.</w:t>
      </w:r>
    </w:p>
  </w:footnote>
  <w:footnote w:id="584">
    <w:p w14:paraId="04C7D327" w14:textId="51D085E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A7113F" w:rsidRPr="00400349">
        <w:rPr>
          <w:color w:val="auto"/>
        </w:rPr>
        <w:t>Te Tā</w:t>
      </w:r>
      <w:r w:rsidR="00CD119F" w:rsidRPr="00400349">
        <w:rPr>
          <w:color w:val="auto"/>
        </w:rPr>
        <w:t xml:space="preserve">hū o te Ture | </w:t>
      </w:r>
      <w:r w:rsidRPr="00400349">
        <w:rPr>
          <w:color w:val="auto"/>
        </w:rPr>
        <w:t xml:space="preserve">Ministry of Justice </w:t>
      </w:r>
      <w:r w:rsidRPr="00400349">
        <w:rPr>
          <w:i/>
          <w:color w:val="auto"/>
        </w:rPr>
        <w:t>Regulatory Impact Statement: Amendments to the Sentencing Act 2002</w:t>
      </w:r>
      <w:r w:rsidRPr="00400349">
        <w:rPr>
          <w:color w:val="auto"/>
        </w:rPr>
        <w:t xml:space="preserve"> (30 May 2024) at 2 and [8]–[11].</w:t>
      </w:r>
    </w:p>
  </w:footnote>
  <w:footnote w:id="585">
    <w:p w14:paraId="00FC284F"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Madeline Ash; Grace Carroll; Dr David Harvey; Inclusive Aotearoa Collective Tāhono; Luke Cunningham Clere; Pride in Law Otago; Murray Stirling; Submission 43; The Law Association of New Zealand Public and Administrative Law Committee; Dr Mark Walters; and Women’s Rights Party.</w:t>
      </w:r>
    </w:p>
  </w:footnote>
  <w:footnote w:id="586">
    <w:p w14:paraId="64A30775"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Grace Carroll; Inclusive Aotearoa Collective Tāhono; Submission 43; and Women’s Rights Party.</w:t>
      </w:r>
    </w:p>
  </w:footnote>
  <w:footnote w:id="587">
    <w:p w14:paraId="5D620C83"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Inclusive Aotearoa Collective Tāhono; Dr Mark Walters; and Women’s Rights Party. </w:t>
      </w:r>
    </w:p>
  </w:footnote>
  <w:footnote w:id="588">
    <w:p w14:paraId="1586F04F"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Submission 43; and Dr Mark Walters. </w:t>
      </w:r>
    </w:p>
  </w:footnote>
  <w:footnote w:id="589">
    <w:p w14:paraId="74BDBDB2" w14:textId="5AF90AC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s 7(1)(a).</w:t>
      </w:r>
    </w:p>
  </w:footnote>
  <w:footnote w:id="590">
    <w:p w14:paraId="2E233BF1" w14:textId="3522749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The only two exceptions we found were </w:t>
      </w:r>
      <w:r w:rsidRPr="00400349">
        <w:rPr>
          <w:i/>
          <w:color w:val="auto"/>
        </w:rPr>
        <w:t>R v Tarrant</w:t>
      </w:r>
      <w:r w:rsidRPr="00400349">
        <w:rPr>
          <w:color w:val="auto"/>
        </w:rPr>
        <w:t xml:space="preserve"> [2020] NZHC 2192, [2020] 3 NZLR 15 at [111] (discussed further below)</w:t>
      </w:r>
      <w:r w:rsidR="0002660C" w:rsidRPr="00400349">
        <w:rPr>
          <w:color w:val="auto"/>
        </w:rPr>
        <w:t>;</w:t>
      </w:r>
      <w:r w:rsidRPr="00400349">
        <w:rPr>
          <w:color w:val="auto"/>
        </w:rPr>
        <w:t xml:space="preserve"> and </w:t>
      </w:r>
      <w:r w:rsidRPr="00400349">
        <w:rPr>
          <w:i/>
          <w:color w:val="auto"/>
        </w:rPr>
        <w:t>Arps v Police</w:t>
      </w:r>
      <w:r w:rsidRPr="00400349">
        <w:rPr>
          <w:color w:val="auto"/>
        </w:rPr>
        <w:t xml:space="preserve"> [2019] NZHC 2113 at [49].</w:t>
      </w:r>
    </w:p>
  </w:footnote>
  <w:footnote w:id="591">
    <w:p w14:paraId="18BF6425"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Victims’ Rights Act 2002, ss 17 and 21(1).</w:t>
      </w:r>
    </w:p>
  </w:footnote>
  <w:footnote w:id="592">
    <w:p w14:paraId="01719FE2" w14:textId="0A35855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161431" w:rsidRPr="00400349">
        <w:rPr>
          <w:color w:val="auto"/>
        </w:rPr>
        <w:t>Section</w:t>
      </w:r>
      <w:r w:rsidRPr="00400349">
        <w:rPr>
          <w:color w:val="auto"/>
        </w:rPr>
        <w:t xml:space="preserve"> 4 (definition of “victim”). The definition also includes the immediate relative of a person who died or is incapable as a result of the offence, or the parent or legal guardian of a victim who is a child or young person.</w:t>
      </w:r>
    </w:p>
  </w:footnote>
  <w:footnote w:id="593">
    <w:p w14:paraId="7F0F5CAB" w14:textId="1CE1268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D251C8" w:rsidRPr="00400349">
        <w:rPr>
          <w:color w:val="auto"/>
        </w:rPr>
        <w:t>Section</w:t>
      </w:r>
      <w:r w:rsidRPr="00400349">
        <w:rPr>
          <w:color w:val="auto"/>
        </w:rPr>
        <w:t xml:space="preserve"> 21(2).</w:t>
      </w:r>
    </w:p>
  </w:footnote>
  <w:footnote w:id="594">
    <w:p w14:paraId="0B62F57A" w14:textId="3212662A"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Victims’ Rights Bill </w:t>
      </w:r>
      <w:r w:rsidR="00C3042C" w:rsidRPr="00400349">
        <w:rPr>
          <w:color w:val="auto"/>
        </w:rPr>
        <w:t xml:space="preserve">2001 </w:t>
      </w:r>
      <w:r w:rsidRPr="00400349">
        <w:rPr>
          <w:color w:val="auto"/>
        </w:rPr>
        <w:t>(331</w:t>
      </w:r>
      <w:r w:rsidR="00B75E51" w:rsidRPr="00400349">
        <w:rPr>
          <w:color w:val="auto"/>
        </w:rPr>
        <w:t>-</w:t>
      </w:r>
      <w:r w:rsidRPr="00400349">
        <w:rPr>
          <w:color w:val="auto"/>
        </w:rPr>
        <w:t>2) (select committee report) at 17</w:t>
      </w:r>
      <w:r w:rsidR="00ED20D1" w:rsidRPr="00400349">
        <w:rPr>
          <w:color w:val="auto"/>
        </w:rPr>
        <w:t>,</w:t>
      </w:r>
      <w:r w:rsidRPr="00400349">
        <w:rPr>
          <w:color w:val="auto"/>
        </w:rPr>
        <w:t xml:space="preserve"> referring to cl 20, which is now s 17AAB.</w:t>
      </w:r>
    </w:p>
  </w:footnote>
  <w:footnote w:id="595">
    <w:p w14:paraId="6E6FF0CE" w14:textId="5BA191BC" w:rsidR="005900F0" w:rsidRPr="00400349" w:rsidRDefault="005900F0" w:rsidP="009C6FC6">
      <w:pPr>
        <w:pStyle w:val="FootnoteText"/>
        <w:tabs>
          <w:tab w:val="left" w:pos="5103"/>
        </w:tabs>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Tarrant</w:t>
      </w:r>
      <w:r w:rsidRPr="00400349">
        <w:rPr>
          <w:color w:val="auto"/>
        </w:rPr>
        <w:t xml:space="preserve"> [2020] NZHC 2192, [2020] 3 NZLR 15 at</w:t>
      </w:r>
      <w:r w:rsidRPr="00400349">
        <w:rPr>
          <w:color w:val="auto"/>
          <w:lang w:eastAsia="en-AU"/>
        </w:rPr>
        <w:t xml:space="preserve"> [27] and fn 1 </w:t>
      </w:r>
      <w:r w:rsidR="00506E8E" w:rsidRPr="00400349">
        <w:rPr>
          <w:color w:val="auto"/>
          <w:lang w:eastAsia="en-AU"/>
        </w:rPr>
        <w:t>(</w:t>
      </w:r>
      <w:r w:rsidRPr="00400349">
        <w:rPr>
          <w:color w:val="auto"/>
          <w:lang w:eastAsia="en-AU"/>
        </w:rPr>
        <w:t>referring to s 20 of the Victims’ Rights Act, which has since been renumbered as s 17AAB).</w:t>
      </w:r>
    </w:p>
  </w:footnote>
  <w:footnote w:id="596">
    <w:p w14:paraId="57760479" w14:textId="4CD7A172"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D50C0F" w:rsidRPr="00400349">
        <w:rPr>
          <w:color w:val="auto"/>
        </w:rPr>
        <w:t>A</w:t>
      </w:r>
      <w:r w:rsidRPr="00400349">
        <w:rPr>
          <w:color w:val="auto"/>
        </w:rPr>
        <w:t>t [111].</w:t>
      </w:r>
    </w:p>
  </w:footnote>
  <w:footnote w:id="597">
    <w:p w14:paraId="659676B0" w14:textId="7E305EF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Manawatu-Wanganui Regional Council v Ruapehu Alpine Lifts Ltd</w:t>
      </w:r>
      <w:r w:rsidRPr="00400349">
        <w:rPr>
          <w:color w:val="auto"/>
        </w:rPr>
        <w:t xml:space="preserve"> (2014) 18 ELRNZ 68 at [28]–[29]; and </w:t>
      </w:r>
      <w:r w:rsidRPr="00400349">
        <w:rPr>
          <w:i/>
          <w:color w:val="auto"/>
        </w:rPr>
        <w:t>Bay of Plenty Regional Council v CRS Tauranga Ltd</w:t>
      </w:r>
      <w:r w:rsidRPr="00400349">
        <w:rPr>
          <w:color w:val="auto"/>
        </w:rPr>
        <w:t xml:space="preserve"> [2021] NZDC 4071 at [77]–[80].</w:t>
      </w:r>
    </w:p>
  </w:footnote>
  <w:footnote w:id="598">
    <w:p w14:paraId="58542AE2" w14:textId="767D44BE"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lang w:eastAsia="en-AU"/>
        </w:rPr>
        <w:t xml:space="preserve">Arps v Department of Corrections </w:t>
      </w:r>
      <w:r w:rsidRPr="00400349">
        <w:rPr>
          <w:color w:val="auto"/>
          <w:lang w:eastAsia="en-AU"/>
        </w:rPr>
        <w:t>[2020] NZCA 547.</w:t>
      </w:r>
    </w:p>
  </w:footnote>
  <w:footnote w:id="599">
    <w:p w14:paraId="2FFDFDFD" w14:textId="3ECDDD3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D50C0F" w:rsidRPr="00400349">
        <w:rPr>
          <w:color w:val="auto"/>
          <w:lang w:eastAsia="en-AU"/>
        </w:rPr>
        <w:t>At</w:t>
      </w:r>
      <w:r w:rsidRPr="00400349">
        <w:rPr>
          <w:color w:val="auto"/>
          <w:lang w:eastAsia="en-AU"/>
        </w:rPr>
        <w:t xml:space="preserve"> [13]–[15].</w:t>
      </w:r>
    </w:p>
  </w:footnote>
  <w:footnote w:id="600">
    <w:p w14:paraId="3E059D3D" w14:textId="73C24798"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Criminal Code RSC 1985 c C-46, s 722.2.</w:t>
      </w:r>
    </w:p>
  </w:footnote>
  <w:footnote w:id="601">
    <w:p w14:paraId="786E0E30" w14:textId="03A5C165"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Sentencing Act 2017</w:t>
      </w:r>
      <w:r w:rsidR="00AA115B" w:rsidRPr="00400349">
        <w:rPr>
          <w:color w:val="auto"/>
        </w:rPr>
        <w:t xml:space="preserve"> (SA)</w:t>
      </w:r>
      <w:r w:rsidRPr="00400349">
        <w:rPr>
          <w:color w:val="auto"/>
        </w:rPr>
        <w:t>, s 15.</w:t>
      </w:r>
    </w:p>
  </w:footnote>
  <w:footnote w:id="602">
    <w:p w14:paraId="31235042" w14:textId="40DD676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1A0561" w:rsidRPr="00400349">
        <w:rPr>
          <w:color w:val="auto"/>
        </w:rPr>
        <w:t>See f</w:t>
      </w:r>
      <w:r w:rsidRPr="00400349">
        <w:rPr>
          <w:color w:val="auto"/>
        </w:rPr>
        <w:t xml:space="preserve">or example DC Code </w:t>
      </w:r>
      <w:r w:rsidRPr="00400349">
        <w:rPr>
          <w:rFonts w:ascii="Calibri" w:hAnsi="Calibri" w:cs="Calibri"/>
          <w:color w:val="auto"/>
        </w:rPr>
        <w:t>§</w:t>
      </w:r>
      <w:r w:rsidRPr="00400349">
        <w:rPr>
          <w:color w:val="auto"/>
        </w:rPr>
        <w:t xml:space="preserve"> 23–1904(f)(1)</w:t>
      </w:r>
      <w:r w:rsidR="001A0561" w:rsidRPr="00400349">
        <w:rPr>
          <w:color w:val="auto"/>
        </w:rPr>
        <w:t>;</w:t>
      </w:r>
      <w:r w:rsidRPr="00400349">
        <w:rPr>
          <w:color w:val="auto"/>
        </w:rPr>
        <w:t xml:space="preserve"> and Minn Stat </w:t>
      </w:r>
      <w:r w:rsidRPr="00400349">
        <w:rPr>
          <w:rFonts w:ascii="Calibri" w:hAnsi="Calibri" w:cs="Calibri"/>
          <w:color w:val="auto"/>
        </w:rPr>
        <w:t>§</w:t>
      </w:r>
      <w:r w:rsidRPr="00400349">
        <w:rPr>
          <w:color w:val="auto"/>
        </w:rPr>
        <w:t xml:space="preserve"> 611A.038(b).</w:t>
      </w:r>
    </w:p>
  </w:footnote>
  <w:footnote w:id="603">
    <w:p w14:paraId="32CAC187" w14:textId="39AB6FB3"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Court of Appeal (Criminal Division) </w:t>
      </w:r>
      <w:r w:rsidRPr="00400349">
        <w:rPr>
          <w:i/>
          <w:color w:val="auto"/>
        </w:rPr>
        <w:t>Criminal Practice Directions 2023</w:t>
      </w:r>
      <w:r w:rsidRPr="00400349">
        <w:rPr>
          <w:color w:val="auto"/>
        </w:rPr>
        <w:t xml:space="preserve"> </w:t>
      </w:r>
      <w:r w:rsidR="00232D60" w:rsidRPr="00400349">
        <w:rPr>
          <w:color w:val="auto"/>
        </w:rPr>
        <w:t xml:space="preserve">(November 2025) </w:t>
      </w:r>
      <w:r w:rsidRPr="00400349">
        <w:rPr>
          <w:color w:val="auto"/>
        </w:rPr>
        <w:t xml:space="preserve">at [9.5.19]–[9.5.23]; </w:t>
      </w:r>
      <w:r w:rsidR="002E0F7B" w:rsidRPr="00400349">
        <w:rPr>
          <w:color w:val="auto"/>
        </w:rPr>
        <w:t xml:space="preserve">and </w:t>
      </w:r>
      <w:r w:rsidRPr="00400349">
        <w:rPr>
          <w:color w:val="auto"/>
        </w:rPr>
        <w:t>Crown Prosecution Service “</w:t>
      </w:r>
      <w:r w:rsidRPr="00400349">
        <w:t>Community Impact Statements</w:t>
      </w:r>
      <w:r w:rsidRPr="00400349">
        <w:rPr>
          <w:color w:val="auto"/>
        </w:rPr>
        <w:t>” (29 October 2019) &lt;www.cps.gov.uk&gt;.</w:t>
      </w:r>
    </w:p>
  </w:footnote>
  <w:footnote w:id="604">
    <w:p w14:paraId="276F31CF" w14:textId="4A2FC836"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B509C0">
        <w:rPr>
          <w:color w:val="auto"/>
        </w:rPr>
        <w:t>See f</w:t>
      </w:r>
      <w:r w:rsidRPr="00400349">
        <w:rPr>
          <w:color w:val="auto"/>
        </w:rPr>
        <w:t xml:space="preserve">or example </w:t>
      </w:r>
      <w:r w:rsidRPr="00400349">
        <w:rPr>
          <w:i/>
          <w:color w:val="auto"/>
        </w:rPr>
        <w:t>R v Kroeplin</w:t>
      </w:r>
      <w:r w:rsidRPr="00400349">
        <w:rPr>
          <w:color w:val="auto"/>
        </w:rPr>
        <w:t xml:space="preserve"> 2021 ONCJ 19 at [133]–[136]; </w:t>
      </w:r>
      <w:r w:rsidRPr="00400349">
        <w:rPr>
          <w:i/>
          <w:color w:val="auto"/>
        </w:rPr>
        <w:t>R v Veltman</w:t>
      </w:r>
      <w:r w:rsidRPr="00400349">
        <w:rPr>
          <w:color w:val="auto"/>
        </w:rPr>
        <w:t xml:space="preserve"> 2024 ONSC 1054 at [</w:t>
      </w:r>
      <w:r w:rsidR="00D31E37" w:rsidRPr="00400349">
        <w:rPr>
          <w:color w:val="auto"/>
        </w:rPr>
        <w:t>102]–</w:t>
      </w:r>
      <w:r w:rsidRPr="00400349">
        <w:rPr>
          <w:color w:val="auto"/>
        </w:rPr>
        <w:t xml:space="preserve">[109]; and </w:t>
      </w:r>
      <w:r w:rsidRPr="00400349">
        <w:rPr>
          <w:i/>
          <w:color w:val="auto"/>
        </w:rPr>
        <w:t>R v Akbari</w:t>
      </w:r>
      <w:r w:rsidRPr="00400349">
        <w:rPr>
          <w:color w:val="auto"/>
        </w:rPr>
        <w:t xml:space="preserve"> 2025 ONCJ 398 at [18]–[31].</w:t>
      </w:r>
    </w:p>
  </w:footnote>
  <w:footnote w:id="605">
    <w:p w14:paraId="6FD69CE6" w14:textId="39EF6F4C"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Crown Prosecution Service </w:t>
      </w:r>
      <w:r w:rsidR="00703F7E" w:rsidRPr="00400349">
        <w:rPr>
          <w:color w:val="auto"/>
        </w:rPr>
        <w:t>“</w:t>
      </w:r>
      <w:r w:rsidRPr="00400349">
        <w:rPr>
          <w:color w:val="auto"/>
        </w:rPr>
        <w:t>Community impact statements and their use in hate crime cases: Guidelines for prosecutors</w:t>
      </w:r>
      <w:r w:rsidR="00703F7E" w:rsidRPr="00400349">
        <w:rPr>
          <w:color w:val="auto"/>
        </w:rPr>
        <w:t>”</w:t>
      </w:r>
      <w:r w:rsidRPr="00400349">
        <w:rPr>
          <w:i/>
          <w:color w:val="auto"/>
        </w:rPr>
        <w:t xml:space="preserve"> </w:t>
      </w:r>
      <w:r w:rsidRPr="00400349">
        <w:rPr>
          <w:color w:val="auto"/>
        </w:rPr>
        <w:t>(</w:t>
      </w:r>
      <w:r w:rsidR="00703F7E" w:rsidRPr="00400349">
        <w:rPr>
          <w:color w:val="auto"/>
        </w:rPr>
        <w:t>31 January</w:t>
      </w:r>
      <w:r w:rsidRPr="00400349">
        <w:rPr>
          <w:color w:val="auto"/>
        </w:rPr>
        <w:t xml:space="preserve"> 20</w:t>
      </w:r>
      <w:r w:rsidR="00703F7E" w:rsidRPr="00400349">
        <w:rPr>
          <w:color w:val="auto"/>
        </w:rPr>
        <w:t>23</w:t>
      </w:r>
      <w:r w:rsidRPr="00400349">
        <w:rPr>
          <w:color w:val="auto"/>
        </w:rPr>
        <w:t>)</w:t>
      </w:r>
      <w:r w:rsidR="00703F7E" w:rsidRPr="00400349">
        <w:rPr>
          <w:color w:val="auto"/>
        </w:rPr>
        <w:t xml:space="preserve"> &lt;www.cps.gov.uk&gt;</w:t>
      </w:r>
      <w:r w:rsidRPr="00400349">
        <w:rPr>
          <w:color w:val="auto"/>
        </w:rPr>
        <w:t>.</w:t>
      </w:r>
    </w:p>
  </w:footnote>
  <w:footnote w:id="606">
    <w:p w14:paraId="174E276E" w14:textId="07FF7E1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Blackshaw</w:t>
      </w:r>
      <w:r w:rsidRPr="00400349">
        <w:rPr>
          <w:color w:val="auto"/>
        </w:rPr>
        <w:t xml:space="preserve"> [2011] EWCA Crim 2312 at [49]–[51]; </w:t>
      </w:r>
      <w:r w:rsidR="00975CB6" w:rsidRPr="00400349">
        <w:rPr>
          <w:color w:val="auto"/>
        </w:rPr>
        <w:t xml:space="preserve">and </w:t>
      </w:r>
      <w:r w:rsidRPr="00400349">
        <w:rPr>
          <w:i/>
          <w:color w:val="auto"/>
        </w:rPr>
        <w:t xml:space="preserve">R v Davison </w:t>
      </w:r>
      <w:r w:rsidRPr="00400349">
        <w:rPr>
          <w:color w:val="auto"/>
        </w:rPr>
        <w:t>[2025] EWCA Crim 143.</w:t>
      </w:r>
    </w:p>
  </w:footnote>
  <w:footnote w:id="607">
    <w:p w14:paraId="2C4B74D0"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Rodgers</w:t>
      </w:r>
      <w:r w:rsidRPr="00400349">
        <w:rPr>
          <w:color w:val="auto"/>
        </w:rPr>
        <w:t xml:space="preserve"> [2024] EWCA Crim 257 at [7] and [19].</w:t>
      </w:r>
    </w:p>
  </w:footnote>
  <w:footnote w:id="608">
    <w:p w14:paraId="65CD1ED6" w14:textId="1078D5E4"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Laplante</w:t>
      </w:r>
      <w:r w:rsidRPr="00400349">
        <w:rPr>
          <w:color w:val="auto"/>
        </w:rPr>
        <w:t xml:space="preserve"> 2021 NWTSC 29, [2021] AWLD 3768 at [39]–[41]; </w:t>
      </w:r>
      <w:r w:rsidR="008A043F" w:rsidRPr="00400349">
        <w:rPr>
          <w:color w:val="auto"/>
        </w:rPr>
        <w:t xml:space="preserve">and </w:t>
      </w:r>
      <w:r w:rsidRPr="00400349">
        <w:rPr>
          <w:i/>
          <w:color w:val="auto"/>
        </w:rPr>
        <w:t>R v Brooker</w:t>
      </w:r>
      <w:r w:rsidRPr="00400349">
        <w:rPr>
          <w:rFonts w:ascii="Calibri" w:hAnsi="Calibri" w:cs="Calibri"/>
          <w:color w:val="auto"/>
        </w:rPr>
        <w:t xml:space="preserve"> </w:t>
      </w:r>
      <w:r w:rsidRPr="00400349">
        <w:rPr>
          <w:color w:val="auto"/>
        </w:rPr>
        <w:t>[2024] SASC 84.</w:t>
      </w:r>
    </w:p>
  </w:footnote>
  <w:footnote w:id="609">
    <w:p w14:paraId="0924D854" w14:textId="6681E6B9"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 xml:space="preserve">State of Wisconsin v Smalley </w:t>
      </w:r>
      <w:r w:rsidRPr="00400349">
        <w:rPr>
          <w:color w:val="auto"/>
        </w:rPr>
        <w:t xml:space="preserve">(Court of Appeals of Wisconsin, 2020AP954-CR, 2020AP955-CR, July 19, 2022) at </w:t>
      </w:r>
      <w:r w:rsidR="00A54314" w:rsidRPr="00400349">
        <w:rPr>
          <w:color w:val="auto"/>
        </w:rPr>
        <w:t>2</w:t>
      </w:r>
      <w:r w:rsidRPr="00400349">
        <w:rPr>
          <w:color w:val="auto"/>
        </w:rPr>
        <w:t>.</w:t>
      </w:r>
    </w:p>
  </w:footnote>
  <w:footnote w:id="610">
    <w:p w14:paraId="658BC729"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rPr>
        <w:t>R v Lean</w:t>
      </w:r>
      <w:r w:rsidRPr="00400349">
        <w:rPr>
          <w:rFonts w:ascii="Calibri" w:hAnsi="Calibri" w:cs="Calibri"/>
          <w:color w:val="auto"/>
        </w:rPr>
        <w:t xml:space="preserve"> </w:t>
      </w:r>
      <w:r w:rsidRPr="00400349">
        <w:rPr>
          <w:color w:val="auto"/>
        </w:rPr>
        <w:t xml:space="preserve">[2017] SASCFC 101 at [10]; </w:t>
      </w:r>
      <w:r w:rsidRPr="00400349">
        <w:rPr>
          <w:i/>
          <w:color w:val="auto"/>
        </w:rPr>
        <w:t>R v Silverfox</w:t>
      </w:r>
      <w:r w:rsidRPr="00400349">
        <w:rPr>
          <w:color w:val="auto"/>
        </w:rPr>
        <w:t xml:space="preserve"> 2022 YKSC 30 at [30]–[35]; and </w:t>
      </w:r>
      <w:r w:rsidRPr="00400349">
        <w:rPr>
          <w:i/>
          <w:color w:val="auto"/>
        </w:rPr>
        <w:t>R v Atkinson</w:t>
      </w:r>
      <w:r w:rsidRPr="00400349">
        <w:rPr>
          <w:color w:val="auto"/>
        </w:rPr>
        <w:t xml:space="preserve"> 2024 YKSC 21, 2024 WCB 1694 at [40] and [45].</w:t>
      </w:r>
    </w:p>
  </w:footnote>
  <w:footnote w:id="611">
    <w:p w14:paraId="3E645606" w14:textId="77777777"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Pr="00400349">
        <w:rPr>
          <w:i/>
          <w:color w:val="auto"/>
          <w:lang w:val="en"/>
        </w:rPr>
        <w:t>R v Theriault</w:t>
      </w:r>
      <w:r w:rsidRPr="00400349">
        <w:rPr>
          <w:color w:val="auto"/>
          <w:lang w:val="en"/>
        </w:rPr>
        <w:t xml:space="preserve"> 2020 ONSC 5784 at [4].</w:t>
      </w:r>
    </w:p>
  </w:footnote>
  <w:footnote w:id="612">
    <w:p w14:paraId="2A44EDC3" w14:textId="753843FB"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Crown Prosecution Service </w:t>
      </w:r>
      <w:r w:rsidR="00FF1769" w:rsidRPr="00400349">
        <w:rPr>
          <w:color w:val="auto"/>
        </w:rPr>
        <w:t>“</w:t>
      </w:r>
      <w:r w:rsidRPr="00400349">
        <w:rPr>
          <w:color w:val="auto"/>
        </w:rPr>
        <w:t>Community impact statements and their use in hate crime cases: Guidelines for prosecutors</w:t>
      </w:r>
      <w:r w:rsidR="00FF1769" w:rsidRPr="00400349">
        <w:rPr>
          <w:color w:val="auto"/>
        </w:rPr>
        <w:t>”</w:t>
      </w:r>
      <w:r w:rsidRPr="00400349">
        <w:rPr>
          <w:i/>
          <w:color w:val="auto"/>
        </w:rPr>
        <w:t xml:space="preserve"> </w:t>
      </w:r>
      <w:r w:rsidRPr="00400349">
        <w:rPr>
          <w:color w:val="auto"/>
        </w:rPr>
        <w:t xml:space="preserve">(August 2018) </w:t>
      </w:r>
      <w:r w:rsidR="00FF1769" w:rsidRPr="00400349">
        <w:rPr>
          <w:color w:val="auto"/>
        </w:rPr>
        <w:t>&lt;www.cps.gov.uk&gt;</w:t>
      </w:r>
      <w:r w:rsidRPr="00400349">
        <w:rPr>
          <w:color w:val="auto"/>
        </w:rPr>
        <w:t>.</w:t>
      </w:r>
    </w:p>
  </w:footnote>
  <w:footnote w:id="613">
    <w:p w14:paraId="5E691DB2" w14:textId="57924331"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R v Tepania</w:t>
      </w:r>
      <w:r w:rsidRPr="00400349">
        <w:rPr>
          <w:rFonts w:ascii="Source Sans Pro" w:hAnsi="Source Sans Pro"/>
          <w:color w:val="auto"/>
          <w:shd w:val="clear" w:color="auto" w:fill="FFFFFF"/>
        </w:rPr>
        <w:t xml:space="preserve"> </w:t>
      </w:r>
      <w:r w:rsidRPr="00400349">
        <w:rPr>
          <w:color w:val="auto"/>
        </w:rPr>
        <w:t>[2021] NZHC 2015 at [14]</w:t>
      </w:r>
      <w:r w:rsidR="00AC08CD" w:rsidRPr="00400349">
        <w:rPr>
          <w:color w:val="auto"/>
        </w:rPr>
        <w:t>;</w:t>
      </w:r>
      <w:r w:rsidRPr="00400349">
        <w:rPr>
          <w:color w:val="auto"/>
        </w:rPr>
        <w:t xml:space="preserve"> and </w:t>
      </w:r>
      <w:r w:rsidRPr="00400349">
        <w:rPr>
          <w:i/>
          <w:color w:val="auto"/>
        </w:rPr>
        <w:t>R v Fitzsimmons</w:t>
      </w:r>
      <w:r w:rsidRPr="00400349">
        <w:rPr>
          <w:color w:val="auto"/>
        </w:rPr>
        <w:t xml:space="preserve"> [2017] NZDC 22449 at [10]–[12].</w:t>
      </w:r>
    </w:p>
  </w:footnote>
  <w:footnote w:id="614">
    <w:p w14:paraId="01A524B6" w14:textId="4A5ECEAF" w:rsidR="005900F0" w:rsidRPr="00400349" w:rsidRDefault="005900F0" w:rsidP="005900F0">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See for example </w:t>
      </w:r>
      <w:r w:rsidRPr="00400349">
        <w:rPr>
          <w:i/>
          <w:color w:val="auto"/>
        </w:rPr>
        <w:t xml:space="preserve">R v Porco </w:t>
      </w:r>
      <w:r w:rsidRPr="00400349">
        <w:rPr>
          <w:color w:val="auto"/>
        </w:rPr>
        <w:t>2017 ONCJ 676 at [16]–[19].</w:t>
      </w:r>
    </w:p>
  </w:footnote>
  <w:footnote w:id="615">
    <w:p w14:paraId="0B029296" w14:textId="77777777" w:rsidR="00A11D71" w:rsidRPr="00400349" w:rsidRDefault="00A11D71" w:rsidP="00A11D71">
      <w:pPr>
        <w:pStyle w:val="FootnoteText"/>
      </w:pPr>
      <w:r w:rsidRPr="00400349">
        <w:rPr>
          <w:rStyle w:val="FootnoteReference"/>
        </w:rPr>
        <w:footnoteRef/>
      </w:r>
      <w:r w:rsidRPr="00400349">
        <w:t xml:space="preserve"> </w:t>
      </w:r>
      <w:r w:rsidRPr="00400349">
        <w:tab/>
        <w:t>Pedestrian crossings of this type are installed with colours and art of the rainbow flag to celebrate the rainbow community.</w:t>
      </w:r>
    </w:p>
  </w:footnote>
  <w:footnote w:id="616">
    <w:p w14:paraId="7CBE289B" w14:textId="2F07CFF2" w:rsidR="00A11D71" w:rsidRPr="00400349" w:rsidRDefault="00A11D71" w:rsidP="00A11D71">
      <w:pPr>
        <w:pStyle w:val="FootnoteText"/>
      </w:pPr>
      <w:r w:rsidRPr="00400349">
        <w:rPr>
          <w:rStyle w:val="FootnoteReference"/>
        </w:rPr>
        <w:footnoteRef/>
      </w:r>
      <w:r w:rsidRPr="00400349">
        <w:t xml:space="preserve"> </w:t>
      </w:r>
      <w:r w:rsidRPr="00400349">
        <w:tab/>
        <w:t>RNZ “Three charged over Gisborne rainbow crossing vandalism” (29 March 2024); and RNZ “Police treat painting over of Auckland’s K’ Road rainbow crossing as hate crime” (28 March 2024).</w:t>
      </w:r>
    </w:p>
  </w:footnote>
  <w:footnote w:id="617">
    <w:p w14:paraId="2628B148" w14:textId="0BBC4F85" w:rsidR="00A11D71" w:rsidRPr="00400349" w:rsidRDefault="00A11D71" w:rsidP="00A11D71">
      <w:pPr>
        <w:pStyle w:val="FootnoteText"/>
      </w:pPr>
      <w:r w:rsidRPr="00400349">
        <w:rPr>
          <w:rStyle w:val="FootnoteReference"/>
        </w:rPr>
        <w:footnoteRef/>
      </w:r>
      <w:r w:rsidRPr="00400349">
        <w:t xml:space="preserve"> </w:t>
      </w:r>
      <w:r w:rsidRPr="00400349">
        <w:tab/>
      </w:r>
      <w:r w:rsidR="004617ED" w:rsidRPr="00400349">
        <w:rPr>
          <w:color w:val="auto"/>
        </w:rPr>
        <w:t xml:space="preserve">Te Aka Matua o te Ture | Law Commission </w:t>
      </w:r>
      <w:r w:rsidR="004617ED" w:rsidRPr="00400349">
        <w:rPr>
          <w:i/>
          <w:color w:val="auto"/>
        </w:rPr>
        <w:t>Hara ngākau kino | Hate crime: Consultation Paper</w:t>
      </w:r>
      <w:r w:rsidR="004617ED" w:rsidRPr="00400349">
        <w:rPr>
          <w:color w:val="auto"/>
        </w:rPr>
        <w:t xml:space="preserve"> (NZLC IP55, 2025) (Consultation Paper) </w:t>
      </w:r>
      <w:r w:rsidRPr="00400349">
        <w:t>at [5.51]</w:t>
      </w:r>
      <w:r w:rsidR="009D2521" w:rsidRPr="00400349">
        <w:t>–</w:t>
      </w:r>
      <w:r w:rsidRPr="00400349">
        <w:t>[5.53].</w:t>
      </w:r>
    </w:p>
  </w:footnote>
  <w:footnote w:id="618">
    <w:p w14:paraId="0225CB16" w14:textId="6CD58150" w:rsidR="00A11D71" w:rsidRPr="00400349" w:rsidRDefault="00A11D71" w:rsidP="00A11D71">
      <w:pPr>
        <w:pStyle w:val="FootnoteText"/>
      </w:pPr>
      <w:r w:rsidRPr="00400349">
        <w:rPr>
          <w:rStyle w:val="FootnoteReference"/>
        </w:rPr>
        <w:footnoteRef/>
      </w:r>
      <w:r w:rsidRPr="00400349">
        <w:t xml:space="preserve"> </w:t>
      </w:r>
      <w:r w:rsidRPr="00400349">
        <w:tab/>
      </w:r>
      <w:r w:rsidR="00E96CAD" w:rsidRPr="00400349">
        <w:rPr>
          <w:color w:val="auto"/>
        </w:rPr>
        <w:t>Graeme Edgeler; Te Kāhui Ture o Aotearoa | New Zealand Law Society; and Ratonga Wawao ā-Ture Tūmatanui | Public Defence Service.</w:t>
      </w:r>
    </w:p>
  </w:footnote>
  <w:footnote w:id="619">
    <w:p w14:paraId="7EECB9BE" w14:textId="2D040D43" w:rsidR="00A11D71" w:rsidRPr="00400349" w:rsidRDefault="00A11D71" w:rsidP="00A11D71">
      <w:pPr>
        <w:pStyle w:val="FootnoteText"/>
      </w:pPr>
      <w:r w:rsidRPr="00400349">
        <w:rPr>
          <w:rStyle w:val="FootnoteReference"/>
        </w:rPr>
        <w:footnoteRef/>
      </w:r>
      <w:r w:rsidRPr="00400349">
        <w:t xml:space="preserve"> </w:t>
      </w:r>
      <w:r w:rsidRPr="00400349">
        <w:tab/>
      </w:r>
      <w:r w:rsidR="00E96CAD" w:rsidRPr="00400349">
        <w:rPr>
          <w:color w:val="auto"/>
        </w:rPr>
        <w:t>Ratonga Wawao ā-Ture Tūmatanui | Public Defence Service.</w:t>
      </w:r>
    </w:p>
  </w:footnote>
  <w:footnote w:id="620">
    <w:p w14:paraId="5A9EBB6A" w14:textId="2F7951C7" w:rsidR="00A11D71" w:rsidRPr="00400349" w:rsidRDefault="00A11D71" w:rsidP="00A11D71">
      <w:pPr>
        <w:pStyle w:val="FootnoteText"/>
      </w:pPr>
      <w:r w:rsidRPr="00400349">
        <w:rPr>
          <w:rStyle w:val="FootnoteReference"/>
        </w:rPr>
        <w:footnoteRef/>
      </w:r>
      <w:r w:rsidRPr="00400349">
        <w:t xml:space="preserve"> </w:t>
      </w:r>
      <w:r w:rsidRPr="00400349">
        <w:tab/>
      </w:r>
      <w:r w:rsidR="0099152F" w:rsidRPr="00400349">
        <w:rPr>
          <w:color w:val="auto"/>
        </w:rPr>
        <w:t>Te Kāhui Ture o Aotearoa | New Zealand Law Society</w:t>
      </w:r>
      <w:r w:rsidRPr="00400349">
        <w:t xml:space="preserve"> (it did not refer to any other specific aggravating factors).</w:t>
      </w:r>
    </w:p>
  </w:footnote>
  <w:footnote w:id="621">
    <w:p w14:paraId="1688B8FD" w14:textId="49B0425A" w:rsidR="00A11D71" w:rsidRPr="00400349" w:rsidRDefault="00A11D71" w:rsidP="00A11D71">
      <w:pPr>
        <w:pStyle w:val="FootnoteText"/>
      </w:pPr>
      <w:r w:rsidRPr="00400349">
        <w:rPr>
          <w:rStyle w:val="FootnoteReference"/>
        </w:rPr>
        <w:footnoteRef/>
      </w:r>
      <w:r w:rsidRPr="00400349">
        <w:t xml:space="preserve"> </w:t>
      </w:r>
      <w:r w:rsidRPr="00400349">
        <w:tab/>
      </w:r>
      <w:r w:rsidR="005530B2" w:rsidRPr="00400349">
        <w:rPr>
          <w:color w:val="auto"/>
        </w:rPr>
        <w:t>Graeme Edgeler.</w:t>
      </w:r>
    </w:p>
  </w:footnote>
  <w:footnote w:id="622">
    <w:p w14:paraId="162D6F78" w14:textId="593EEBB9" w:rsidR="00A11D71" w:rsidRPr="00400349" w:rsidRDefault="00A11D71" w:rsidP="00A11D71">
      <w:pPr>
        <w:pStyle w:val="FootnoteText"/>
      </w:pPr>
      <w:r w:rsidRPr="00400349">
        <w:rPr>
          <w:rStyle w:val="FootnoteReference"/>
        </w:rPr>
        <w:footnoteRef/>
      </w:r>
      <w:r w:rsidRPr="00400349">
        <w:t xml:space="preserve"> </w:t>
      </w:r>
      <w:r w:rsidRPr="00400349">
        <w:tab/>
      </w:r>
      <w:r w:rsidR="005530B2" w:rsidRPr="00400349">
        <w:rPr>
          <w:color w:val="auto"/>
        </w:rPr>
        <w:t>Luke Cunningham Clere.</w:t>
      </w:r>
    </w:p>
  </w:footnote>
  <w:footnote w:id="623">
    <w:p w14:paraId="681A12DA" w14:textId="011D5C4C" w:rsidR="00A11D71" w:rsidRPr="00400349" w:rsidRDefault="00A11D71" w:rsidP="00A11D71">
      <w:pPr>
        <w:pStyle w:val="FootnoteText"/>
      </w:pPr>
      <w:r w:rsidRPr="00400349">
        <w:rPr>
          <w:rStyle w:val="FootnoteReference"/>
        </w:rPr>
        <w:footnoteRef/>
      </w:r>
      <w:r w:rsidRPr="00400349">
        <w:t xml:space="preserve"> </w:t>
      </w:r>
      <w:r w:rsidRPr="00400349">
        <w:tab/>
      </w:r>
      <w:r w:rsidR="00A5417D" w:rsidRPr="00400349">
        <w:rPr>
          <w:color w:val="auto"/>
        </w:rPr>
        <w:t>Grace Carroll.</w:t>
      </w:r>
    </w:p>
  </w:footnote>
  <w:footnote w:id="624">
    <w:p w14:paraId="4B52213E" w14:textId="17405CF7" w:rsidR="00A11D71" w:rsidRPr="00400349" w:rsidRDefault="00A11D71" w:rsidP="00A11D71">
      <w:pPr>
        <w:pStyle w:val="FootnoteText"/>
      </w:pPr>
      <w:r w:rsidRPr="00400349">
        <w:rPr>
          <w:rStyle w:val="FootnoteReference"/>
        </w:rPr>
        <w:footnoteRef/>
      </w:r>
      <w:r w:rsidRPr="00400349">
        <w:t xml:space="preserve"> </w:t>
      </w:r>
      <w:r w:rsidRPr="00400349">
        <w:tab/>
      </w:r>
      <w:r w:rsidR="00A5417D" w:rsidRPr="00400349">
        <w:rPr>
          <w:color w:val="auto"/>
        </w:rPr>
        <w:t>Dr Kyle R Matthews.</w:t>
      </w:r>
    </w:p>
  </w:footnote>
  <w:footnote w:id="625">
    <w:p w14:paraId="28D21E84" w14:textId="5EEF44D0" w:rsidR="00A11D71" w:rsidRPr="00400349" w:rsidRDefault="00A11D71" w:rsidP="00A11D71">
      <w:pPr>
        <w:pStyle w:val="FootnoteText"/>
      </w:pPr>
      <w:r w:rsidRPr="00400349">
        <w:rPr>
          <w:rStyle w:val="FootnoteReference"/>
        </w:rPr>
        <w:footnoteRef/>
      </w:r>
      <w:r w:rsidRPr="00400349">
        <w:t xml:space="preserve"> </w:t>
      </w:r>
      <w:r w:rsidRPr="00400349">
        <w:tab/>
      </w:r>
      <w:r w:rsidR="00D60BF7" w:rsidRPr="00400349">
        <w:rPr>
          <w:i/>
          <w:color w:val="auto"/>
        </w:rPr>
        <w:t xml:space="preserve">Bryan v Police </w:t>
      </w:r>
      <w:r w:rsidR="00D60BF7" w:rsidRPr="00400349">
        <w:rPr>
          <w:color w:val="auto"/>
        </w:rPr>
        <w:t xml:space="preserve">CRI 2009-404-45, 3 April 2009. </w:t>
      </w:r>
      <w:r w:rsidR="00335A80">
        <w:rPr>
          <w:color w:val="auto"/>
        </w:rPr>
        <w:t>The</w:t>
      </w:r>
      <w:r w:rsidR="00D60BF7" w:rsidRPr="00400349">
        <w:rPr>
          <w:color w:val="auto"/>
        </w:rPr>
        <w:t xml:space="preserve"> defendant may have believed the owner would be Sikh or the court may have treated the people that used the temple as victims. The </w:t>
      </w:r>
      <w:r w:rsidR="008F056A">
        <w:rPr>
          <w:color w:val="auto"/>
        </w:rPr>
        <w:t>victim requirement</w:t>
      </w:r>
      <w:r w:rsidR="008F056A" w:rsidRPr="00400349">
        <w:rPr>
          <w:color w:val="auto"/>
        </w:rPr>
        <w:t xml:space="preserve"> </w:t>
      </w:r>
      <w:r w:rsidR="00D60BF7" w:rsidRPr="00400349">
        <w:rPr>
          <w:color w:val="auto"/>
        </w:rPr>
        <w:t>was not discussed. There are likely to be other hate crime cases involving vandalism or other property damage, but they would mostly be heard in the District Court and</w:t>
      </w:r>
      <w:r w:rsidR="003C627D">
        <w:rPr>
          <w:color w:val="auto"/>
        </w:rPr>
        <w:t xml:space="preserve"> so</w:t>
      </w:r>
      <w:r w:rsidR="00D60BF7" w:rsidRPr="00400349">
        <w:rPr>
          <w:color w:val="auto"/>
        </w:rPr>
        <w:t xml:space="preserve"> the sentencing notes are </w:t>
      </w:r>
      <w:r w:rsidR="003C627D">
        <w:rPr>
          <w:color w:val="auto"/>
        </w:rPr>
        <w:t>unlikely to be</w:t>
      </w:r>
      <w:r w:rsidR="003C627D" w:rsidRPr="00400349">
        <w:rPr>
          <w:color w:val="auto"/>
        </w:rPr>
        <w:t xml:space="preserve"> </w:t>
      </w:r>
      <w:r w:rsidR="00D60BF7" w:rsidRPr="00400349">
        <w:rPr>
          <w:color w:val="auto"/>
        </w:rPr>
        <w:t>published.</w:t>
      </w:r>
    </w:p>
  </w:footnote>
  <w:footnote w:id="626">
    <w:p w14:paraId="1FE98360" w14:textId="69F93436" w:rsidR="00A11D71" w:rsidRPr="00400349" w:rsidRDefault="00A11D71" w:rsidP="00A11D71">
      <w:pPr>
        <w:pStyle w:val="FootnoteText"/>
      </w:pPr>
      <w:r w:rsidRPr="00400349">
        <w:rPr>
          <w:rStyle w:val="FootnoteReference"/>
        </w:rPr>
        <w:footnoteRef/>
      </w:r>
      <w:r w:rsidRPr="00400349">
        <w:t xml:space="preserve"> </w:t>
      </w:r>
      <w:r w:rsidRPr="00400349">
        <w:tab/>
      </w:r>
      <w:r w:rsidR="00A94448" w:rsidRPr="00400349">
        <w:rPr>
          <w:color w:val="auto"/>
        </w:rPr>
        <w:t>RNZ “Man pleads guilty to vandalising K Road rainbow crossing, to pay $16,000” (Aotearoa New Zealand, 15 April 2024).</w:t>
      </w:r>
    </w:p>
  </w:footnote>
  <w:footnote w:id="627">
    <w:p w14:paraId="5C61B00C" w14:textId="77777777" w:rsidR="00A11D71" w:rsidRPr="00400349" w:rsidRDefault="00A11D71" w:rsidP="00A11D71">
      <w:pPr>
        <w:pStyle w:val="FootnoteText"/>
      </w:pPr>
      <w:r w:rsidRPr="00400349">
        <w:rPr>
          <w:rStyle w:val="FootnoteReference"/>
        </w:rPr>
        <w:footnoteRef/>
      </w:r>
      <w:r w:rsidRPr="00400349">
        <w:t xml:space="preserve"> </w:t>
      </w:r>
      <w:r w:rsidRPr="00400349">
        <w:tab/>
      </w:r>
      <w:r w:rsidRPr="00400349">
        <w:rPr>
          <w:i/>
        </w:rPr>
        <w:t>New Zealand Police v Packer</w:t>
      </w:r>
      <w:r w:rsidRPr="00400349">
        <w:t xml:space="preserve"> [2026] NZDC 2920.</w:t>
      </w:r>
    </w:p>
  </w:footnote>
  <w:footnote w:id="628">
    <w:p w14:paraId="2AABA2B7" w14:textId="723F616B" w:rsidR="00A11D71" w:rsidRPr="00400349" w:rsidRDefault="00A11D71" w:rsidP="00A11D71">
      <w:pPr>
        <w:pStyle w:val="FootnoteText"/>
      </w:pPr>
      <w:r w:rsidRPr="00400349">
        <w:rPr>
          <w:rStyle w:val="FootnoteReference"/>
        </w:rPr>
        <w:footnoteRef/>
      </w:r>
      <w:r w:rsidRPr="00400349">
        <w:t xml:space="preserve"> </w:t>
      </w:r>
      <w:r w:rsidRPr="00400349">
        <w:tab/>
      </w:r>
      <w:r w:rsidR="00224CC5" w:rsidRPr="00400349">
        <w:t>At</w:t>
      </w:r>
      <w:r w:rsidRPr="00400349">
        <w:t xml:space="preserve"> [23]. </w:t>
      </w:r>
    </w:p>
  </w:footnote>
  <w:footnote w:id="629">
    <w:p w14:paraId="158DFE9B" w14:textId="5CEC7ED1" w:rsidR="00A11D71" w:rsidRPr="00400349" w:rsidRDefault="00A11D71" w:rsidP="00A11D71">
      <w:pPr>
        <w:pStyle w:val="FootnoteText"/>
      </w:pPr>
      <w:r w:rsidRPr="00400349">
        <w:rPr>
          <w:rStyle w:val="FootnoteReference"/>
        </w:rPr>
        <w:footnoteRef/>
      </w:r>
      <w:r w:rsidRPr="00400349">
        <w:t xml:space="preserve"> </w:t>
      </w:r>
      <w:r w:rsidRPr="00400349">
        <w:tab/>
      </w:r>
      <w:r w:rsidR="00293837" w:rsidRPr="00400349">
        <w:rPr>
          <w:color w:val="auto"/>
        </w:rPr>
        <w:t xml:space="preserve">Sentencing Act 2002, s 4 (definition of “victim”). </w:t>
      </w:r>
      <w:r w:rsidR="00293837" w:rsidRPr="00400349">
        <w:rPr>
          <w:color w:val="auto"/>
          <w:lang w:eastAsia="en-AU"/>
        </w:rPr>
        <w:t>The definition also includes the parent or legal guardian of a victim who is a child or young person and the immediate family members of a person who dies or is incapable as a result of an offence.</w:t>
      </w:r>
    </w:p>
  </w:footnote>
  <w:footnote w:id="630">
    <w:p w14:paraId="036D35A9" w14:textId="1F2161C7" w:rsidR="00A11D71" w:rsidRPr="00400349" w:rsidRDefault="00A11D71" w:rsidP="00A11D71">
      <w:pPr>
        <w:pStyle w:val="FootnoteText"/>
      </w:pPr>
      <w:r w:rsidRPr="00400349">
        <w:rPr>
          <w:rStyle w:val="FootnoteReference"/>
        </w:rPr>
        <w:footnoteRef/>
      </w:r>
      <w:r w:rsidRPr="00400349">
        <w:t xml:space="preserve"> </w:t>
      </w:r>
      <w:r w:rsidRPr="00400349">
        <w:tab/>
      </w:r>
      <w:r w:rsidR="00211305" w:rsidRPr="00400349">
        <w:rPr>
          <w:i/>
          <w:color w:val="auto"/>
          <w:lang w:eastAsia="en-AU"/>
        </w:rPr>
        <w:t xml:space="preserve">Arps v Department of Corrections </w:t>
      </w:r>
      <w:r w:rsidR="00211305" w:rsidRPr="00400349">
        <w:rPr>
          <w:color w:val="auto"/>
          <w:lang w:eastAsia="en-AU"/>
        </w:rPr>
        <w:t>[2020] NZCA 547.</w:t>
      </w:r>
    </w:p>
  </w:footnote>
  <w:footnote w:id="631">
    <w:p w14:paraId="0FB05476" w14:textId="4C05AAAF" w:rsidR="00A11D71" w:rsidRPr="00400349" w:rsidRDefault="00A11D71" w:rsidP="00A11D71">
      <w:pPr>
        <w:pStyle w:val="FootnoteText"/>
      </w:pPr>
      <w:r w:rsidRPr="00400349">
        <w:rPr>
          <w:rStyle w:val="FootnoteReference"/>
        </w:rPr>
        <w:footnoteRef/>
      </w:r>
      <w:r w:rsidRPr="00400349">
        <w:t xml:space="preserve"> </w:t>
      </w:r>
      <w:r w:rsidRPr="00400349">
        <w:tab/>
      </w:r>
      <w:r w:rsidR="009E0DEC" w:rsidRPr="00400349">
        <w:rPr>
          <w:color w:val="auto"/>
          <w:lang w:eastAsia="en-AU"/>
        </w:rPr>
        <w:t>At</w:t>
      </w:r>
      <w:r w:rsidR="00211305" w:rsidRPr="00400349">
        <w:rPr>
          <w:color w:val="auto"/>
          <w:lang w:eastAsia="en-AU"/>
        </w:rPr>
        <w:t xml:space="preserve"> [13]–[15].</w:t>
      </w:r>
    </w:p>
  </w:footnote>
  <w:footnote w:id="632">
    <w:p w14:paraId="0E8F6AA5" w14:textId="29D8DAE1" w:rsidR="00503A71" w:rsidRDefault="00503A71">
      <w:pPr>
        <w:pStyle w:val="FootnoteText"/>
      </w:pPr>
      <w:r>
        <w:rPr>
          <w:rStyle w:val="FootnoteReference"/>
        </w:rPr>
        <w:footnoteRef/>
      </w:r>
      <w:r>
        <w:t xml:space="preserve"> </w:t>
      </w:r>
      <w:r>
        <w:tab/>
        <w:t>At [14].</w:t>
      </w:r>
    </w:p>
  </w:footnote>
  <w:footnote w:id="633">
    <w:p w14:paraId="7AA4F1F4" w14:textId="1F4BA065" w:rsidR="00A11D71" w:rsidRPr="00400349" w:rsidRDefault="00A11D71" w:rsidP="00A11D71">
      <w:pPr>
        <w:pStyle w:val="FootnoteText"/>
      </w:pPr>
      <w:r w:rsidRPr="00400349">
        <w:rPr>
          <w:rStyle w:val="FootnoteReference"/>
        </w:rPr>
        <w:footnoteRef/>
      </w:r>
      <w:r w:rsidRPr="00400349">
        <w:t xml:space="preserve"> </w:t>
      </w:r>
      <w:r w:rsidRPr="00400349">
        <w:tab/>
      </w:r>
      <w:r w:rsidR="00DE43A6" w:rsidRPr="00400349">
        <w:rPr>
          <w:color w:val="auto"/>
          <w:lang w:eastAsia="en-AU"/>
        </w:rPr>
        <w:t>A</w:t>
      </w:r>
      <w:r w:rsidR="00211305" w:rsidRPr="00400349">
        <w:rPr>
          <w:color w:val="auto"/>
          <w:lang w:eastAsia="en-AU"/>
        </w:rPr>
        <w:t>t [15].</w:t>
      </w:r>
    </w:p>
  </w:footnote>
  <w:footnote w:id="634">
    <w:p w14:paraId="24E31B99" w14:textId="1FCF6F81" w:rsidR="00A11D71" w:rsidRPr="00400349" w:rsidRDefault="00A11D71" w:rsidP="00A11D71">
      <w:pPr>
        <w:pStyle w:val="FootnoteText"/>
      </w:pPr>
      <w:r w:rsidRPr="00400349">
        <w:rPr>
          <w:rStyle w:val="FootnoteReference"/>
        </w:rPr>
        <w:footnoteRef/>
      </w:r>
      <w:r w:rsidRPr="00400349">
        <w:t xml:space="preserve"> </w:t>
      </w:r>
      <w:r w:rsidRPr="00400349">
        <w:tab/>
        <w:t xml:space="preserve">This is the case in England and Wales, Scotland, </w:t>
      </w:r>
      <w:r w:rsidR="00354AA9" w:rsidRPr="00400349">
        <w:t xml:space="preserve">Northern Ireland, </w:t>
      </w:r>
      <w:r w:rsidRPr="00400349">
        <w:t>the Republic of Ireland and Western Australia. In the Republic of Ireland, the alternative demonstration/motivation tests only apply to specific hate crime offences. There is also an aggravating factor, which uses a motivation test only and is discussed below.</w:t>
      </w:r>
    </w:p>
  </w:footnote>
  <w:footnote w:id="635">
    <w:p w14:paraId="41689A07" w14:textId="364CBD7A" w:rsidR="00AB1CA9" w:rsidRDefault="00AB1CA9" w:rsidP="004F1FD9">
      <w:pPr>
        <w:pStyle w:val="FootnoteText"/>
      </w:pPr>
      <w:r>
        <w:rPr>
          <w:rStyle w:val="FootnoteReference"/>
        </w:rPr>
        <w:footnoteRef/>
      </w:r>
      <w:r>
        <w:t xml:space="preserve"> </w:t>
      </w:r>
      <w:r w:rsidR="004F1FD9">
        <w:tab/>
        <w:t xml:space="preserve">The exception being </w:t>
      </w:r>
      <w:r w:rsidR="004F1FD9" w:rsidRPr="00400349">
        <w:t>Western Australia: Criminal Code Act Compilation Act 1913 (WA), s 80I</w:t>
      </w:r>
      <w:r w:rsidR="004F1FD9" w:rsidRPr="00400349" w:rsidDel="005F6C97">
        <w:t>.</w:t>
      </w:r>
    </w:p>
  </w:footnote>
  <w:footnote w:id="636">
    <w:p w14:paraId="0919EA9F" w14:textId="68330AF5" w:rsidR="00A11D71" w:rsidRPr="00400349" w:rsidRDefault="00A11D71" w:rsidP="00A11D71">
      <w:pPr>
        <w:pStyle w:val="FootnoteText"/>
      </w:pPr>
      <w:r w:rsidRPr="00400349">
        <w:rPr>
          <w:rStyle w:val="FootnoteReference"/>
        </w:rPr>
        <w:footnoteRef/>
      </w:r>
      <w:r w:rsidRPr="00400349">
        <w:t xml:space="preserve"> </w:t>
      </w:r>
      <w:r w:rsidRPr="00400349">
        <w:tab/>
        <w:t>Crime and Disorder Act 1998 (UK), s</w:t>
      </w:r>
      <w:r w:rsidR="007A7397">
        <w:t xml:space="preserve"> </w:t>
      </w:r>
      <w:r w:rsidR="00A1036A" w:rsidRPr="00400349">
        <w:t xml:space="preserve">28(3)(a) and </w:t>
      </w:r>
      <w:r w:rsidR="000F362F">
        <w:t>(</w:t>
      </w:r>
      <w:r w:rsidR="00A1036A" w:rsidRPr="00400349">
        <w:t>6</w:t>
      </w:r>
      <w:r w:rsidR="000F362F">
        <w:t>)</w:t>
      </w:r>
      <w:r w:rsidR="00A1036A" w:rsidRPr="00400349">
        <w:t>(c</w:t>
      </w:r>
      <w:r w:rsidR="00003A77" w:rsidRPr="00400349">
        <w:t>)</w:t>
      </w:r>
      <w:r w:rsidR="00DA3EE4" w:rsidRPr="00400349">
        <w:t xml:space="preserve"> (as amended by the Crime and Policing Act 2026</w:t>
      </w:r>
      <w:r w:rsidR="00BE188D" w:rsidRPr="00400349">
        <w:t xml:space="preserve"> (UK)</w:t>
      </w:r>
      <w:r w:rsidR="00DA3EE4" w:rsidRPr="00400349">
        <w:t>, s 145)</w:t>
      </w:r>
      <w:r w:rsidR="00E11BD4" w:rsidRPr="00400349">
        <w:t>;</w:t>
      </w:r>
      <w:r w:rsidR="00DA3EE4" w:rsidRPr="00400349">
        <w:t xml:space="preserve"> </w:t>
      </w:r>
      <w:r w:rsidRPr="00400349">
        <w:t xml:space="preserve">Sentencing Act 2020 (UK), s 66(4)(a) and (6)(c); </w:t>
      </w:r>
      <w:r w:rsidR="00AF7D19" w:rsidRPr="00400349">
        <w:t xml:space="preserve">Hate Crime and Public Order (Scotland) Act 2021 (UK), s 1(5); </w:t>
      </w:r>
      <w:r w:rsidRPr="00400349">
        <w:t xml:space="preserve">The Criminal Justice (No 2) (Northern Ireland) Order 2004 (UK), </w:t>
      </w:r>
      <w:r w:rsidR="00E11BD4" w:rsidRPr="00400349">
        <w:t>art</w:t>
      </w:r>
      <w:r w:rsidRPr="00400349">
        <w:t xml:space="preserve"> 2(5); Non-Fatal Offences against the Person Act 1997 (I</w:t>
      </w:r>
      <w:r w:rsidR="00DD3E36" w:rsidRPr="00400349">
        <w:t>reland</w:t>
      </w:r>
      <w:r w:rsidRPr="00400349">
        <w:t>), s 1A(3); Criminal Damage Act 1991 (I</w:t>
      </w:r>
      <w:r w:rsidR="00B442DE" w:rsidRPr="00400349">
        <w:t>reland</w:t>
      </w:r>
      <w:r w:rsidRPr="00400349">
        <w:t>), s 2A(7); and Criminal Justice (Public Order) Act 1994 (I</w:t>
      </w:r>
      <w:r w:rsidR="00AF7D19" w:rsidRPr="00400349">
        <w:t>reland</w:t>
      </w:r>
      <w:r w:rsidRPr="00400349">
        <w:t>), s</w:t>
      </w:r>
      <w:r w:rsidR="00AB1CA9">
        <w:rPr>
          <w:rFonts w:ascii="Calibri" w:hAnsi="Calibri" w:cs="Calibri"/>
        </w:rPr>
        <w:t> </w:t>
      </w:r>
      <w:r w:rsidRPr="00400349">
        <w:t xml:space="preserve">3A(3). </w:t>
      </w:r>
      <w:r w:rsidR="004F1FD9" w:rsidRPr="00400349">
        <w:t xml:space="preserve">In England and Wales, “association” </w:t>
      </w:r>
      <w:r w:rsidR="004F1FD9">
        <w:t xml:space="preserve">is </w:t>
      </w:r>
      <w:r w:rsidR="004F1FD9" w:rsidRPr="00400349">
        <w:t xml:space="preserve">only expressly </w:t>
      </w:r>
      <w:r w:rsidR="004F1FD9">
        <w:t>covered in relation</w:t>
      </w:r>
      <w:r w:rsidR="004F1FD9" w:rsidRPr="00400349">
        <w:t xml:space="preserve"> to racial and religious groups</w:t>
      </w:r>
      <w:r w:rsidR="004F1FD9">
        <w:t>.</w:t>
      </w:r>
    </w:p>
  </w:footnote>
  <w:footnote w:id="637">
    <w:p w14:paraId="424A94A0" w14:textId="7333C1AE" w:rsidR="00A11D71" w:rsidRPr="00400349" w:rsidRDefault="00A11D71" w:rsidP="00A11D71">
      <w:pPr>
        <w:pStyle w:val="FootnoteText"/>
      </w:pPr>
      <w:r w:rsidRPr="00400349">
        <w:rPr>
          <w:rStyle w:val="FootnoteReference"/>
        </w:rPr>
        <w:footnoteRef/>
      </w:r>
      <w:r w:rsidRPr="00400349">
        <w:t xml:space="preserve"> </w:t>
      </w:r>
      <w:r w:rsidRPr="00400349">
        <w:tab/>
        <w:t>Crime and Disorder Act 1998 (UK), s 28(</w:t>
      </w:r>
      <w:r w:rsidR="0041376E" w:rsidRPr="00400349">
        <w:t>3)(b)</w:t>
      </w:r>
      <w:r w:rsidR="00BE188D" w:rsidRPr="00400349">
        <w:t xml:space="preserve"> </w:t>
      </w:r>
      <w:r w:rsidR="00B6625C" w:rsidRPr="00400349">
        <w:t>(as amended by the Crime and Policing Act 2026 (UK), s 145)</w:t>
      </w:r>
      <w:r w:rsidRPr="00400349">
        <w:t xml:space="preserve">; Sentencing Act 2020 (UK), s 66(4)(b); </w:t>
      </w:r>
      <w:r w:rsidR="00C5506A" w:rsidRPr="00400349">
        <w:t xml:space="preserve">Hate Crime and Public Order (Scotland) Act 2021 (UK), s 1(1)(b); </w:t>
      </w:r>
      <w:r w:rsidRPr="00400349">
        <w:t xml:space="preserve">The Criminal Justice (No 2) (Northern Ireland) Order 2004 (UK), </w:t>
      </w:r>
      <w:r w:rsidR="00DC1753" w:rsidRPr="00400349">
        <w:t>art</w:t>
      </w:r>
      <w:r w:rsidRPr="00400349">
        <w:t xml:space="preserve"> 2(3</w:t>
      </w:r>
      <w:r w:rsidRPr="00400349" w:rsidDel="00C5506A">
        <w:t xml:space="preserve">)(b); </w:t>
      </w:r>
      <w:r w:rsidRPr="00400349">
        <w:t>Criminal Code Act Compilation Act 1913 (WA), s 80I; Non-Fatal Offences against the Person Act 1997 (I</w:t>
      </w:r>
      <w:r w:rsidR="00AF3591" w:rsidRPr="00400349">
        <w:t>reland</w:t>
      </w:r>
      <w:r w:rsidRPr="00400349">
        <w:t>), s 1A(1)(b); Criminal Damage Act 1991 (I</w:t>
      </w:r>
      <w:r w:rsidR="005D72AC" w:rsidRPr="00400349">
        <w:t>reland</w:t>
      </w:r>
      <w:r w:rsidRPr="00400349">
        <w:t>), s 2A(2)(b); and Criminal Justice (Public Order) Act 1994 (I</w:t>
      </w:r>
      <w:r w:rsidR="005D72AC" w:rsidRPr="00400349">
        <w:t>reland</w:t>
      </w:r>
      <w:r w:rsidRPr="00400349">
        <w:t>), s 3A(1)(b). This approach is retained in the Bill currently before the Northern Ireland Assembly: Criminal Justice (Sentencing etc) Bill 2026 (26/22</w:t>
      </w:r>
      <w:r w:rsidR="00636AAE" w:rsidRPr="00400349">
        <w:t>-</w:t>
      </w:r>
      <w:r w:rsidRPr="00400349">
        <w:t>27), cl 33(2)</w:t>
      </w:r>
      <w:r w:rsidR="00060626" w:rsidRPr="00400349">
        <w:t>(b)</w:t>
      </w:r>
      <w:r w:rsidRPr="00400349">
        <w:t xml:space="preserve"> and (4)</w:t>
      </w:r>
      <w:r w:rsidR="006A4FBD" w:rsidRPr="00400349">
        <w:t xml:space="preserve"> (definition of “membership”)</w:t>
      </w:r>
      <w:r w:rsidRPr="00400349">
        <w:t>.</w:t>
      </w:r>
    </w:p>
  </w:footnote>
  <w:footnote w:id="638">
    <w:p w14:paraId="4234A72D" w14:textId="2C4D4875" w:rsidR="00A11D71" w:rsidRPr="00400349" w:rsidRDefault="00A11D71" w:rsidP="00A11D71">
      <w:pPr>
        <w:pStyle w:val="FootnoteText"/>
      </w:pPr>
      <w:r w:rsidRPr="00400349">
        <w:rPr>
          <w:rStyle w:val="FootnoteReference"/>
        </w:rPr>
        <w:footnoteRef/>
      </w:r>
      <w:r w:rsidRPr="00400349">
        <w:t xml:space="preserve"> </w:t>
      </w:r>
      <w:r w:rsidRPr="00400349">
        <w:tab/>
        <w:t>This is the case in Tasmania and Victoria: see Sentencing Act 1997 (Tas), s 11B(1)(b)(ii);</w:t>
      </w:r>
      <w:r w:rsidR="00C07A9E" w:rsidRPr="00400349">
        <w:t xml:space="preserve"> and</w:t>
      </w:r>
      <w:r w:rsidRPr="00400349">
        <w:t xml:space="preserve"> Sentencing Act 1991 (Vic), s</w:t>
      </w:r>
      <w:r w:rsidR="002B4BDA">
        <w:rPr>
          <w:rFonts w:ascii="Calibri" w:hAnsi="Calibri" w:cs="Calibri"/>
        </w:rPr>
        <w:t> </w:t>
      </w:r>
      <w:r w:rsidRPr="00400349">
        <w:t>5(2)(daaa).</w:t>
      </w:r>
    </w:p>
  </w:footnote>
  <w:footnote w:id="639">
    <w:p w14:paraId="78FE3625" w14:textId="107DECF3" w:rsidR="00A11D71" w:rsidRPr="00400349" w:rsidRDefault="00A11D71" w:rsidP="00A11D71">
      <w:pPr>
        <w:pStyle w:val="FootnoteText"/>
      </w:pPr>
      <w:r w:rsidRPr="00400349">
        <w:rPr>
          <w:rStyle w:val="FootnoteReference"/>
        </w:rPr>
        <w:footnoteRef/>
      </w:r>
      <w:r w:rsidRPr="00400349">
        <w:t xml:space="preserve"> </w:t>
      </w:r>
      <w:r w:rsidRPr="00400349">
        <w:tab/>
        <w:t>This is the case i</w:t>
      </w:r>
      <w:r w:rsidR="0025213A">
        <w:t xml:space="preserve">n the </w:t>
      </w:r>
      <w:r w:rsidRPr="00400349">
        <w:t>Northern Territory, Queensland</w:t>
      </w:r>
      <w:r w:rsidR="00C06393">
        <w:t xml:space="preserve"> and</w:t>
      </w:r>
      <w:r w:rsidRPr="00400349">
        <w:t xml:space="preserve"> Canada</w:t>
      </w:r>
      <w:r w:rsidR="00C06393">
        <w:t xml:space="preserve"> as well as</w:t>
      </w:r>
      <w:r w:rsidRPr="00400349">
        <w:t xml:space="preserve"> </w:t>
      </w:r>
      <w:r w:rsidR="00C06393">
        <w:t>in</w:t>
      </w:r>
      <w:r w:rsidRPr="00400349">
        <w:t xml:space="preserve"> the Republic of Ireland under its aggravating factor: see Sentencing Act 1995 (NT), s 6A(1)(e); Criminal Code Act 1899 (Qld), s 52B; Criminal Code RSC 1985 c C–46</w:t>
      </w:r>
      <w:r w:rsidRPr="00400349" w:rsidDel="00434EB3">
        <w:t>)</w:t>
      </w:r>
      <w:r w:rsidRPr="00400349">
        <w:t>, s 718.2(a)(i); and Criminal Justice (Hate Offences) Act 2024 (I</w:t>
      </w:r>
      <w:r w:rsidR="00123A28" w:rsidRPr="00400349">
        <w:t>reland</w:t>
      </w:r>
      <w:r w:rsidRPr="00400349">
        <w:t>), s 8(1). As discussed above, the Republic of Ireland also has specific hate crime offences</w:t>
      </w:r>
      <w:r w:rsidR="00EC432C">
        <w:t>,</w:t>
      </w:r>
      <w:r w:rsidRPr="00400349">
        <w:t xml:space="preserve"> which use the alternative demonstration/motivation tests. </w:t>
      </w:r>
    </w:p>
  </w:footnote>
  <w:footnote w:id="640">
    <w:p w14:paraId="4B70309D" w14:textId="5BBECE70" w:rsidR="00A11D71" w:rsidRPr="00400349" w:rsidRDefault="00A11D71" w:rsidP="00A11D71">
      <w:pPr>
        <w:pStyle w:val="FootnoteText"/>
      </w:pPr>
      <w:r w:rsidRPr="00400349">
        <w:rPr>
          <w:rStyle w:val="FootnoteReference"/>
        </w:rPr>
        <w:footnoteRef/>
      </w:r>
      <w:r w:rsidRPr="00400349">
        <w:t xml:space="preserve"> </w:t>
      </w:r>
      <w:r w:rsidRPr="00400349">
        <w:tab/>
      </w:r>
      <w:r w:rsidR="00633FA1" w:rsidRPr="00400349">
        <w:rPr>
          <w:color w:val="auto"/>
        </w:rPr>
        <w:t>Crimes (Sentencing Procedure) Act 1999 (NSW), s</w:t>
      </w:r>
      <w:r w:rsidR="00633FA1" w:rsidRPr="00400349">
        <w:rPr>
          <w:rFonts w:ascii="Cambria Math" w:hAnsi="Cambria Math" w:cs="Cambria Math"/>
          <w:color w:val="auto"/>
        </w:rPr>
        <w:t> </w:t>
      </w:r>
      <w:r w:rsidR="00633FA1" w:rsidRPr="00400349">
        <w:rPr>
          <w:color w:val="auto"/>
        </w:rPr>
        <w:t>21A(2)(h); and Sentencing Act 2017 (SA), s 11(1)(ca).</w:t>
      </w:r>
    </w:p>
  </w:footnote>
  <w:footnote w:id="641">
    <w:p w14:paraId="2A05C496" w14:textId="2F9A5CE5" w:rsidR="00A11D71" w:rsidRPr="00400349" w:rsidRDefault="00A11D71" w:rsidP="00A11D71">
      <w:pPr>
        <w:pStyle w:val="FootnoteText"/>
      </w:pPr>
      <w:r w:rsidRPr="00400349">
        <w:rPr>
          <w:rStyle w:val="FootnoteReference"/>
        </w:rPr>
        <w:footnoteRef/>
      </w:r>
      <w:r w:rsidRPr="00400349">
        <w:t xml:space="preserve"> </w:t>
      </w:r>
      <w:r w:rsidRPr="00400349">
        <w:tab/>
      </w:r>
      <w:r w:rsidR="00633FA1" w:rsidRPr="00400349">
        <w:rPr>
          <w:color w:val="auto"/>
        </w:rPr>
        <w:t xml:space="preserve">New South Wales Law Reform Commission </w:t>
      </w:r>
      <w:r w:rsidR="00633FA1" w:rsidRPr="00400349">
        <w:rPr>
          <w:i/>
          <w:color w:val="auto"/>
        </w:rPr>
        <w:t xml:space="preserve">Sentencing </w:t>
      </w:r>
      <w:r w:rsidR="00633FA1" w:rsidRPr="00400349">
        <w:rPr>
          <w:color w:val="auto"/>
        </w:rPr>
        <w:t>(R139, 2013) at [4.190] (recommendation 4.8).</w:t>
      </w:r>
    </w:p>
  </w:footnote>
  <w:footnote w:id="642">
    <w:p w14:paraId="3A538842" w14:textId="5B7A02C8" w:rsidR="00A11D71" w:rsidRPr="00400349" w:rsidRDefault="00A11D71" w:rsidP="00A11D71">
      <w:pPr>
        <w:pStyle w:val="FootnoteText"/>
      </w:pPr>
      <w:r w:rsidRPr="00400349">
        <w:rPr>
          <w:rStyle w:val="FootnoteReference"/>
        </w:rPr>
        <w:footnoteRef/>
      </w:r>
      <w:r w:rsidRPr="00400349">
        <w:t xml:space="preserve"> </w:t>
      </w:r>
      <w:r w:rsidRPr="00400349">
        <w:tab/>
      </w:r>
      <w:r w:rsidR="00636AAE" w:rsidRPr="00400349">
        <w:rPr>
          <w:color w:val="auto"/>
        </w:rPr>
        <w:t>At</w:t>
      </w:r>
      <w:r w:rsidR="005C06F2" w:rsidRPr="00400349">
        <w:rPr>
          <w:color w:val="auto"/>
        </w:rPr>
        <w:t xml:space="preserve"> [4.189].</w:t>
      </w:r>
    </w:p>
  </w:footnote>
  <w:footnote w:id="643">
    <w:p w14:paraId="319F16AE" w14:textId="2ABCF08C" w:rsidR="00A11D71" w:rsidRPr="00400349" w:rsidRDefault="00A11D71" w:rsidP="00A11D71">
      <w:pPr>
        <w:pStyle w:val="FootnoteText"/>
      </w:pPr>
      <w:r w:rsidRPr="00400349">
        <w:rPr>
          <w:rStyle w:val="FootnoteReference"/>
        </w:rPr>
        <w:footnoteRef/>
      </w:r>
      <w:r w:rsidRPr="00400349">
        <w:t xml:space="preserve"> </w:t>
      </w:r>
      <w:r w:rsidRPr="00400349">
        <w:tab/>
      </w:r>
      <w:r w:rsidR="00E91F40" w:rsidRPr="00400349">
        <w:rPr>
          <w:color w:val="auto"/>
        </w:rPr>
        <w:t xml:space="preserve">New South Wales Law Reform Commission </w:t>
      </w:r>
      <w:r w:rsidR="00E91F40" w:rsidRPr="00400349">
        <w:rPr>
          <w:i/>
          <w:color w:val="auto"/>
        </w:rPr>
        <w:t xml:space="preserve">Serious Racial and Religious Vilification </w:t>
      </w:r>
      <w:r w:rsidR="00E91F40" w:rsidRPr="00400349">
        <w:rPr>
          <w:color w:val="auto"/>
        </w:rPr>
        <w:t>(R151, 2024) at [8.50].</w:t>
      </w:r>
    </w:p>
  </w:footnote>
  <w:footnote w:id="644">
    <w:p w14:paraId="3F35EEB9" w14:textId="6B10A5F4" w:rsidR="00A11D71" w:rsidRPr="00400349" w:rsidRDefault="00A11D71" w:rsidP="00A11D71">
      <w:pPr>
        <w:pStyle w:val="FootnoteText"/>
      </w:pPr>
      <w:r w:rsidRPr="00400349">
        <w:rPr>
          <w:rStyle w:val="FootnoteReference"/>
        </w:rPr>
        <w:footnoteRef/>
      </w:r>
      <w:r w:rsidRPr="00400349">
        <w:t xml:space="preserve"> </w:t>
      </w:r>
      <w:r w:rsidRPr="00400349">
        <w:tab/>
      </w:r>
      <w:r w:rsidR="008514FE" w:rsidRPr="00400349">
        <w:rPr>
          <w:color w:val="auto"/>
        </w:rPr>
        <w:t xml:space="preserve">Alistair P Campbell </w:t>
      </w:r>
      <w:r w:rsidR="00273BE0" w:rsidRPr="00400349">
        <w:rPr>
          <w:i/>
          <w:color w:val="auto"/>
        </w:rPr>
        <w:t xml:space="preserve">Independent Review of Hate Crime Legislation in Scotland: </w:t>
      </w:r>
      <w:r w:rsidR="008514FE" w:rsidRPr="00400349">
        <w:rPr>
          <w:i/>
          <w:color w:val="auto"/>
        </w:rPr>
        <w:t>Final report</w:t>
      </w:r>
      <w:r w:rsidR="008514FE" w:rsidRPr="00400349">
        <w:rPr>
          <w:color w:val="auto"/>
        </w:rPr>
        <w:t xml:space="preserve"> (May 2018) at [3.37]–[3.39].</w:t>
      </w:r>
    </w:p>
  </w:footnote>
  <w:footnote w:id="645">
    <w:p w14:paraId="1313FD10" w14:textId="24FA0CC4" w:rsidR="00A11D71" w:rsidRPr="00400349" w:rsidRDefault="00A11D71" w:rsidP="00A11D71">
      <w:pPr>
        <w:pStyle w:val="FootnoteText"/>
      </w:pPr>
      <w:r w:rsidRPr="00400349">
        <w:rPr>
          <w:rStyle w:val="FootnoteReference"/>
        </w:rPr>
        <w:footnoteRef/>
      </w:r>
      <w:r w:rsidRPr="00400349">
        <w:t xml:space="preserve"> </w:t>
      </w:r>
      <w:r w:rsidRPr="00400349">
        <w:tab/>
      </w:r>
      <w:r w:rsidR="00734EB9" w:rsidRPr="00400349">
        <w:rPr>
          <w:color w:val="auto"/>
        </w:rPr>
        <w:t>At</w:t>
      </w:r>
      <w:r w:rsidR="00481B1D" w:rsidRPr="00400349">
        <w:rPr>
          <w:color w:val="auto"/>
        </w:rPr>
        <w:t xml:space="preserve"> [3.39] (recommendation 5).</w:t>
      </w:r>
    </w:p>
  </w:footnote>
  <w:footnote w:id="646">
    <w:p w14:paraId="00DFF7BA" w14:textId="24733E3F" w:rsidR="00A11D71" w:rsidRPr="00400349" w:rsidRDefault="00A11D71" w:rsidP="00A11D71">
      <w:pPr>
        <w:pStyle w:val="FootnoteText"/>
      </w:pPr>
      <w:r w:rsidRPr="00400349">
        <w:rPr>
          <w:rStyle w:val="FootnoteReference"/>
        </w:rPr>
        <w:footnoteRef/>
      </w:r>
      <w:r w:rsidRPr="00400349">
        <w:t xml:space="preserve"> </w:t>
      </w:r>
      <w:r w:rsidRPr="00400349">
        <w:tab/>
      </w:r>
      <w:r w:rsidR="00481B1D" w:rsidRPr="00400349">
        <w:rPr>
          <w:color w:val="auto"/>
        </w:rPr>
        <w:t>Hate Crime and Public Order (Scotland) Act 2021 (UK), s 1(5).</w:t>
      </w:r>
    </w:p>
  </w:footnote>
  <w:footnote w:id="647">
    <w:p w14:paraId="2B2F54CB" w14:textId="3886DC4B" w:rsidR="00A11D71" w:rsidRPr="00400349" w:rsidRDefault="00A11D71" w:rsidP="00A11D71">
      <w:pPr>
        <w:pStyle w:val="FootnoteText"/>
      </w:pPr>
      <w:r w:rsidRPr="00400349">
        <w:rPr>
          <w:rStyle w:val="FootnoteReference"/>
        </w:rPr>
        <w:footnoteRef/>
      </w:r>
      <w:r w:rsidRPr="00400349">
        <w:t xml:space="preserve"> </w:t>
      </w:r>
      <w:r w:rsidRPr="00400349">
        <w:tab/>
        <w:t>Sentencing Act 2020 (UK), s 66(4)(a) and (6)(c); and Crime and Disorder Act 1998</w:t>
      </w:r>
      <w:r w:rsidR="003B1699" w:rsidRPr="00400349">
        <w:t xml:space="preserve"> (UK)</w:t>
      </w:r>
      <w:r w:rsidRPr="00400349">
        <w:t xml:space="preserve">, s 28(3)(a) and </w:t>
      </w:r>
      <w:r w:rsidR="00D22F81">
        <w:t>(</w:t>
      </w:r>
      <w:r w:rsidRPr="00400349">
        <w:t>6</w:t>
      </w:r>
      <w:r w:rsidR="00D22F81">
        <w:t>)</w:t>
      </w:r>
      <w:r w:rsidRPr="00400349">
        <w:t>(c) (as amended by the Crime and Policing Act 2026</w:t>
      </w:r>
      <w:r w:rsidR="003B1699" w:rsidRPr="00400349">
        <w:t xml:space="preserve"> (UK)</w:t>
      </w:r>
      <w:r w:rsidRPr="00400349">
        <w:t>, s 14</w:t>
      </w:r>
      <w:r w:rsidR="00F15087" w:rsidRPr="00400349">
        <w:t>5</w:t>
      </w:r>
      <w:r w:rsidRPr="00400349">
        <w:t xml:space="preserve">). </w:t>
      </w:r>
      <w:r w:rsidR="009B720F" w:rsidRPr="00400349">
        <w:t>The</w:t>
      </w:r>
      <w:r w:rsidRPr="00400349">
        <w:t xml:space="preserve"> separate motivation test is not restricted in this way since, as noted above, it does not contain a victim requirement.</w:t>
      </w:r>
    </w:p>
  </w:footnote>
  <w:footnote w:id="648">
    <w:p w14:paraId="51D4A864" w14:textId="30DF45C1" w:rsidR="00A11D71" w:rsidRPr="00400349" w:rsidRDefault="00A11D71" w:rsidP="00A11D71">
      <w:pPr>
        <w:pStyle w:val="FootnoteText"/>
      </w:pPr>
      <w:r w:rsidRPr="00400349">
        <w:rPr>
          <w:rStyle w:val="FootnoteReference"/>
        </w:rPr>
        <w:footnoteRef/>
      </w:r>
      <w:r w:rsidRPr="00400349">
        <w:t xml:space="preserve"> </w:t>
      </w:r>
      <w:r w:rsidRPr="00400349">
        <w:tab/>
      </w:r>
      <w:r w:rsidR="00A3593B" w:rsidRPr="00400349">
        <w:rPr>
          <w:color w:val="auto"/>
        </w:rPr>
        <w:t xml:space="preserve">Law Commission (England and Wales) </w:t>
      </w:r>
      <w:r w:rsidR="00A3593B" w:rsidRPr="00400349">
        <w:rPr>
          <w:i/>
          <w:iCs/>
          <w:color w:val="auto"/>
        </w:rPr>
        <w:t xml:space="preserve">Hate Crime: Should the Current Offences be Extended? </w:t>
      </w:r>
      <w:r w:rsidR="00A3593B" w:rsidRPr="00400349">
        <w:rPr>
          <w:color w:val="auto"/>
        </w:rPr>
        <w:t>(R348, 2014)</w:t>
      </w:r>
      <w:r w:rsidR="00BB6D97" w:rsidRPr="00400349">
        <w:rPr>
          <w:color w:val="auto"/>
        </w:rPr>
        <w:t xml:space="preserve"> at </w:t>
      </w:r>
      <w:r w:rsidR="00A3593B" w:rsidRPr="00400349">
        <w:rPr>
          <w:color w:val="auto"/>
        </w:rPr>
        <w:t xml:space="preserve">[8.7]–[8.11]. The </w:t>
      </w:r>
      <w:r w:rsidR="00A7797B" w:rsidRPr="00400349">
        <w:rPr>
          <w:color w:val="auto"/>
        </w:rPr>
        <w:t>hostility aggravating</w:t>
      </w:r>
      <w:r w:rsidR="00A3593B" w:rsidRPr="00400349">
        <w:rPr>
          <w:color w:val="auto"/>
        </w:rPr>
        <w:t xml:space="preserve"> factor was at that time </w:t>
      </w:r>
      <w:r w:rsidR="00A7797B" w:rsidRPr="00400349">
        <w:rPr>
          <w:color w:val="auto"/>
        </w:rPr>
        <w:t xml:space="preserve">in </w:t>
      </w:r>
      <w:r w:rsidR="00A3593B" w:rsidRPr="00400349">
        <w:rPr>
          <w:color w:val="auto"/>
        </w:rPr>
        <w:t>ss 145–146 of the Criminal Justice Act 2003 (UK).</w:t>
      </w:r>
    </w:p>
  </w:footnote>
  <w:footnote w:id="649">
    <w:p w14:paraId="664CF5F4" w14:textId="3A19C457" w:rsidR="00A11D71" w:rsidRPr="00400349" w:rsidRDefault="00A11D71" w:rsidP="00A11D71">
      <w:pPr>
        <w:pStyle w:val="FootnoteText"/>
      </w:pPr>
      <w:r w:rsidRPr="00400349">
        <w:rPr>
          <w:rStyle w:val="FootnoteReference"/>
        </w:rPr>
        <w:footnoteRef/>
      </w:r>
      <w:r w:rsidRPr="00400349">
        <w:t xml:space="preserve"> </w:t>
      </w:r>
      <w:r w:rsidRPr="00400349">
        <w:tab/>
      </w:r>
      <w:r w:rsidR="005B3B02" w:rsidRPr="00400349">
        <w:rPr>
          <w:color w:val="auto"/>
        </w:rPr>
        <w:t xml:space="preserve">Law Commission (England and Wales) </w:t>
      </w:r>
      <w:r w:rsidR="005B3B02" w:rsidRPr="00400349">
        <w:rPr>
          <w:i/>
          <w:color w:val="auto"/>
        </w:rPr>
        <w:t xml:space="preserve">Hate crime laws: Final report </w:t>
      </w:r>
      <w:r w:rsidR="005B3B02" w:rsidRPr="00400349">
        <w:rPr>
          <w:color w:val="auto"/>
        </w:rPr>
        <w:t>(R402, 2021) at [4.288] (recommendation 7).</w:t>
      </w:r>
    </w:p>
  </w:footnote>
  <w:footnote w:id="650">
    <w:p w14:paraId="31849045" w14:textId="080AB49E" w:rsidR="00A11D71" w:rsidRPr="00400349" w:rsidRDefault="00A11D71" w:rsidP="00A11D71">
      <w:pPr>
        <w:pStyle w:val="FootnoteText"/>
      </w:pPr>
      <w:r w:rsidRPr="00400349">
        <w:rPr>
          <w:rStyle w:val="FootnoteReference"/>
        </w:rPr>
        <w:footnoteRef/>
      </w:r>
      <w:r w:rsidRPr="00400349">
        <w:t xml:space="preserve"> </w:t>
      </w:r>
      <w:r w:rsidRPr="00400349">
        <w:tab/>
      </w:r>
      <w:r w:rsidR="005B3B02" w:rsidRPr="00400349">
        <w:rPr>
          <w:color w:val="auto"/>
        </w:rPr>
        <w:t xml:space="preserve">Law Commission (England and Wales) </w:t>
      </w:r>
      <w:r w:rsidR="005B3B02" w:rsidRPr="00400349">
        <w:rPr>
          <w:i/>
          <w:color w:val="auto"/>
        </w:rPr>
        <w:t xml:space="preserve">Hate </w:t>
      </w:r>
      <w:r w:rsidR="00D41AED" w:rsidRPr="00400349">
        <w:rPr>
          <w:i/>
          <w:iCs/>
          <w:color w:val="auto"/>
        </w:rPr>
        <w:t xml:space="preserve">Crime: Should the Current Offences be Extended? </w:t>
      </w:r>
      <w:r w:rsidR="00D41AED" w:rsidRPr="00400349">
        <w:rPr>
          <w:color w:val="auto"/>
        </w:rPr>
        <w:t>(R348, 2014)</w:t>
      </w:r>
      <w:r w:rsidR="00846D1A" w:rsidRPr="00400349">
        <w:rPr>
          <w:color w:val="auto"/>
        </w:rPr>
        <w:t xml:space="preserve"> at [6.37]–[6.41]; and </w:t>
      </w:r>
      <w:r w:rsidR="005B3B02" w:rsidRPr="00400349">
        <w:rPr>
          <w:color w:val="auto"/>
        </w:rPr>
        <w:t xml:space="preserve">Law Commission (England and Wales) </w:t>
      </w:r>
      <w:r w:rsidR="005B3B02" w:rsidRPr="00400349">
        <w:rPr>
          <w:i/>
          <w:color w:val="auto"/>
        </w:rPr>
        <w:t xml:space="preserve">Hate crime laws: Final report </w:t>
      </w:r>
      <w:r w:rsidR="005B3B02" w:rsidRPr="00400349">
        <w:rPr>
          <w:color w:val="auto"/>
        </w:rPr>
        <w:t>(R402, 2021) at [4.285].</w:t>
      </w:r>
    </w:p>
  </w:footnote>
  <w:footnote w:id="651">
    <w:p w14:paraId="459F7FDB" w14:textId="2465F8F2" w:rsidR="00A11D71" w:rsidRPr="00400349" w:rsidRDefault="00A11D71" w:rsidP="00A11D71">
      <w:pPr>
        <w:pStyle w:val="FootnoteText"/>
      </w:pPr>
      <w:r w:rsidRPr="00400349">
        <w:rPr>
          <w:rStyle w:val="FootnoteReference"/>
        </w:rPr>
        <w:footnoteRef/>
      </w:r>
      <w:r w:rsidRPr="00400349">
        <w:t xml:space="preserve"> </w:t>
      </w:r>
      <w:r w:rsidRPr="00400349">
        <w:tab/>
      </w:r>
      <w:r w:rsidR="00B802B4" w:rsidRPr="00400349">
        <w:rPr>
          <w:color w:val="auto"/>
        </w:rPr>
        <w:t>See for example Criminal Code Act 1899 (Qld), s 52B; and Criminal Justice (Hate Offences) Act 2024 (Ireland), s 8(1).</w:t>
      </w:r>
    </w:p>
  </w:footnote>
  <w:footnote w:id="652">
    <w:p w14:paraId="4B872905" w14:textId="5BCA32E3" w:rsidR="001D525A" w:rsidRPr="00400349" w:rsidRDefault="001D525A" w:rsidP="001D525A">
      <w:pPr>
        <w:pStyle w:val="FootnoteText"/>
      </w:pPr>
      <w:r w:rsidRPr="00400349">
        <w:rPr>
          <w:rStyle w:val="FootnoteReference"/>
        </w:rPr>
        <w:footnoteRef/>
      </w:r>
      <w:r w:rsidRPr="00400349">
        <w:t xml:space="preserve"> </w:t>
      </w:r>
      <w:r w:rsidRPr="00400349">
        <w:tab/>
      </w:r>
      <w:r w:rsidR="00F003E8" w:rsidRPr="00400349">
        <w:rPr>
          <w:color w:val="auto"/>
        </w:rPr>
        <w:t>Sentencing and Parole Reform Bill 200</w:t>
      </w:r>
      <w:r w:rsidR="00C33900">
        <w:rPr>
          <w:color w:val="auto"/>
        </w:rPr>
        <w:t>2</w:t>
      </w:r>
      <w:r w:rsidR="00F003E8" w:rsidRPr="00400349">
        <w:rPr>
          <w:color w:val="auto"/>
        </w:rPr>
        <w:t xml:space="preserve"> (148-2) (select committee report) at 11.</w:t>
      </w:r>
    </w:p>
  </w:footnote>
  <w:footnote w:id="653">
    <w:p w14:paraId="1B3D791D" w14:textId="1910EB76" w:rsidR="001D525A" w:rsidRPr="00400349" w:rsidRDefault="001D525A" w:rsidP="001D525A">
      <w:pPr>
        <w:pStyle w:val="FootnoteText"/>
      </w:pPr>
      <w:r w:rsidRPr="00400349">
        <w:rPr>
          <w:rStyle w:val="FootnoteReference"/>
        </w:rPr>
        <w:footnoteRef/>
      </w:r>
      <w:r w:rsidRPr="00400349">
        <w:t xml:space="preserve"> </w:t>
      </w:r>
      <w:r w:rsidRPr="00400349">
        <w:tab/>
      </w:r>
      <w:r w:rsidR="002E5702" w:rsidRPr="00400349">
        <w:rPr>
          <w:i/>
          <w:color w:val="auto"/>
        </w:rPr>
        <w:t xml:space="preserve">R v Pahau </w:t>
      </w:r>
      <w:r w:rsidR="002E5702" w:rsidRPr="00400349">
        <w:rPr>
          <w:color w:val="auto"/>
        </w:rPr>
        <w:t xml:space="preserve">HC New Plymouth CRI-2008-043-4555, 16 August 2010; and </w:t>
      </w:r>
      <w:r w:rsidR="002E5702" w:rsidRPr="00400349">
        <w:rPr>
          <w:i/>
          <w:color w:val="auto"/>
        </w:rPr>
        <w:t>Lawrence v Police</w:t>
      </w:r>
      <w:r w:rsidR="002E5702" w:rsidRPr="00400349">
        <w:rPr>
          <w:color w:val="auto"/>
        </w:rPr>
        <w:t xml:space="preserve"> [2015] NZHC 1122.</w:t>
      </w:r>
    </w:p>
  </w:footnote>
  <w:footnote w:id="654">
    <w:p w14:paraId="189B6652" w14:textId="34020EC4" w:rsidR="00C93843" w:rsidRPr="00400349" w:rsidRDefault="001D525A" w:rsidP="000534C9">
      <w:pPr>
        <w:pStyle w:val="FootnoteText"/>
        <w:rPr>
          <w:color w:val="auto"/>
        </w:rPr>
      </w:pPr>
      <w:r w:rsidRPr="00400349">
        <w:rPr>
          <w:rStyle w:val="FootnoteReference"/>
        </w:rPr>
        <w:footnoteRef/>
      </w:r>
      <w:r w:rsidRPr="00400349">
        <w:t xml:space="preserve"> </w:t>
      </w:r>
      <w:r w:rsidRPr="00400349">
        <w:tab/>
      </w:r>
      <w:r w:rsidRPr="00400349" w:rsidDel="00B00D39">
        <w:t xml:space="preserve">See Law Commission </w:t>
      </w:r>
      <w:r w:rsidRPr="00400349" w:rsidDel="00B00D39">
        <w:rPr>
          <w:lang w:val="mi-NZ"/>
        </w:rPr>
        <w:t xml:space="preserve">(England and Wales) </w:t>
      </w:r>
      <w:r w:rsidRPr="00400349" w:rsidDel="00B00D39">
        <w:rPr>
          <w:i/>
        </w:rPr>
        <w:t xml:space="preserve">Hate crime laws: A consultation paper </w:t>
      </w:r>
      <w:r w:rsidRPr="00400349" w:rsidDel="00B00D39">
        <w:t>(CP250, 2020) at [</w:t>
      </w:r>
      <w:r w:rsidR="000A3CF7" w:rsidRPr="00400349" w:rsidDel="00B00D39">
        <w:t>10.</w:t>
      </w:r>
      <w:r w:rsidR="00ED0633" w:rsidRPr="00400349">
        <w:t xml:space="preserve">89] and </w:t>
      </w:r>
      <w:r w:rsidRPr="00400349">
        <w:t>[</w:t>
      </w:r>
      <w:r w:rsidR="000A3CF7" w:rsidRPr="00400349">
        <w:t>10.122</w:t>
      </w:r>
      <w:r w:rsidRPr="00400349">
        <w:t>]</w:t>
      </w:r>
      <w:r w:rsidR="00ED0633" w:rsidRPr="00400349">
        <w:t>;</w:t>
      </w:r>
      <w:r w:rsidRPr="00400349" w:rsidDel="00B00D39">
        <w:t xml:space="preserve"> Law Commission </w:t>
      </w:r>
      <w:r w:rsidRPr="00400349" w:rsidDel="00B00D39">
        <w:rPr>
          <w:lang w:val="mi-NZ"/>
        </w:rPr>
        <w:t xml:space="preserve">(England and Wales) </w:t>
      </w:r>
      <w:r w:rsidRPr="00400349" w:rsidDel="00B00D39">
        <w:rPr>
          <w:i/>
        </w:rPr>
        <w:t xml:space="preserve">Hate crime laws: Final report </w:t>
      </w:r>
      <w:r w:rsidRPr="00400349" w:rsidDel="00B00D39">
        <w:t xml:space="preserve">(R402, 2021) at [3.43]; </w:t>
      </w:r>
      <w:r w:rsidRPr="00400349">
        <w:rPr>
          <w:color w:val="auto"/>
        </w:rPr>
        <w:t xml:space="preserve">Organization for Security and Co-operation in Europe </w:t>
      </w:r>
      <w:r w:rsidRPr="00400349">
        <w:rPr>
          <w:i/>
          <w:color w:val="auto"/>
        </w:rPr>
        <w:t>Hate Crime Laws: A Practical Guide</w:t>
      </w:r>
      <w:r w:rsidRPr="00400349">
        <w:rPr>
          <w:color w:val="auto"/>
        </w:rPr>
        <w:t xml:space="preserve"> (2nd ed, Office for Democratic Institutions and Human Rights, 2022</w:t>
      </w:r>
      <w:r w:rsidR="001F1BE7" w:rsidRPr="00400349">
        <w:rPr>
          <w:color w:val="auto"/>
        </w:rPr>
        <w:t>)</w:t>
      </w:r>
      <w:r w:rsidRPr="00400349">
        <w:rPr>
          <w:color w:val="auto"/>
        </w:rPr>
        <w:t xml:space="preserve"> at </w:t>
      </w:r>
      <w:r w:rsidR="00F65D4F" w:rsidRPr="00400349">
        <w:rPr>
          <w:color w:val="auto"/>
        </w:rPr>
        <w:t>47</w:t>
      </w:r>
      <w:r w:rsidR="002D388C">
        <w:rPr>
          <w:color w:val="auto"/>
        </w:rPr>
        <w:t>–</w:t>
      </w:r>
      <w:r w:rsidR="00F65D4F" w:rsidRPr="00400349">
        <w:rPr>
          <w:color w:val="auto"/>
        </w:rPr>
        <w:t xml:space="preserve">48, </w:t>
      </w:r>
      <w:r w:rsidR="00326DF5" w:rsidRPr="00400349">
        <w:rPr>
          <w:color w:val="auto"/>
        </w:rPr>
        <w:t xml:space="preserve">56 and </w:t>
      </w:r>
      <w:r w:rsidRPr="00400349">
        <w:rPr>
          <w:color w:val="auto"/>
        </w:rPr>
        <w:t xml:space="preserve">71; and James Chalmers and Fiona Leverick </w:t>
      </w:r>
      <w:r w:rsidRPr="00400349">
        <w:rPr>
          <w:i/>
          <w:color w:val="auto"/>
        </w:rPr>
        <w:t xml:space="preserve">A Comparative Analysis of Hate Crime Legislation: A Report to the Hate Crime Legislation Review </w:t>
      </w:r>
      <w:r w:rsidRPr="00400349">
        <w:rPr>
          <w:color w:val="auto"/>
        </w:rPr>
        <w:t>(University of Glasgow, July 2017) at 60</w:t>
      </w:r>
      <w:r w:rsidR="00B2491C" w:rsidRPr="00400349">
        <w:rPr>
          <w:color w:val="auto"/>
        </w:rPr>
        <w:t>–</w:t>
      </w:r>
      <w:r w:rsidRPr="00400349">
        <w:rPr>
          <w:color w:val="auto"/>
        </w:rPr>
        <w:t>65.</w:t>
      </w:r>
      <w:r w:rsidR="00B00D39" w:rsidRPr="00400349">
        <w:rPr>
          <w:color w:val="auto"/>
        </w:rPr>
        <w:t xml:space="preserve"> </w:t>
      </w:r>
    </w:p>
  </w:footnote>
  <w:footnote w:id="655">
    <w:p w14:paraId="069C6AE0" w14:textId="06222418" w:rsidR="001D525A" w:rsidRPr="00400349" w:rsidRDefault="001D525A" w:rsidP="001D525A">
      <w:pPr>
        <w:pStyle w:val="FootnoteText"/>
      </w:pPr>
      <w:r w:rsidRPr="00400349">
        <w:rPr>
          <w:rStyle w:val="FootnoteReference"/>
        </w:rPr>
        <w:footnoteRef/>
      </w:r>
      <w:r w:rsidRPr="00400349">
        <w:t xml:space="preserve"> </w:t>
      </w:r>
      <w:r w:rsidRPr="00400349">
        <w:tab/>
      </w:r>
      <w:r w:rsidR="003C321B" w:rsidRPr="00400349">
        <w:rPr>
          <w:color w:val="auto"/>
        </w:rPr>
        <w:t>See Kate O</w:t>
      </w:r>
      <w:r w:rsidR="009A2A2F">
        <w:rPr>
          <w:color w:val="auto"/>
        </w:rPr>
        <w:t>’</w:t>
      </w:r>
      <w:r w:rsidR="003C321B" w:rsidRPr="00400349">
        <w:rPr>
          <w:color w:val="auto"/>
        </w:rPr>
        <w:t>Donovan “Hate Crime: A critical analysis into whether an evidence-based approach is best in determining what groups are afforded protection in hate crime legislation” (2022) 2 Plassey Law Review 52 at 66.</w:t>
      </w:r>
    </w:p>
  </w:footnote>
  <w:footnote w:id="656">
    <w:p w14:paraId="39BCC5E1" w14:textId="10037C4D" w:rsidR="001D525A" w:rsidRPr="00400349" w:rsidRDefault="001D525A" w:rsidP="001D525A">
      <w:pPr>
        <w:pStyle w:val="FootnoteText"/>
      </w:pPr>
      <w:r w:rsidRPr="00400349">
        <w:rPr>
          <w:rStyle w:val="FootnoteReference"/>
        </w:rPr>
        <w:footnoteRef/>
      </w:r>
      <w:r w:rsidRPr="00400349">
        <w:t xml:space="preserve"> </w:t>
      </w:r>
      <w:r w:rsidRPr="00400349">
        <w:tab/>
      </w:r>
      <w:r w:rsidR="00BF407C" w:rsidRPr="00400349">
        <w:rPr>
          <w:color w:val="auto"/>
        </w:rPr>
        <w:t xml:space="preserve">Organization for Security and Co-operation in Europe </w:t>
      </w:r>
      <w:r w:rsidR="00BF407C" w:rsidRPr="00400349">
        <w:rPr>
          <w:i/>
          <w:color w:val="auto"/>
        </w:rPr>
        <w:t>Hate Crime Laws: A Practical Guide</w:t>
      </w:r>
      <w:r w:rsidR="00BF407C" w:rsidRPr="00400349">
        <w:rPr>
          <w:color w:val="auto"/>
        </w:rPr>
        <w:t xml:space="preserve"> (2nd ed, Office for Democratic Institutions and Human Rights, 2022) at 47</w:t>
      </w:r>
      <w:r w:rsidRPr="00400349">
        <w:t xml:space="preserve">; and </w:t>
      </w:r>
      <w:r w:rsidR="005768EA" w:rsidRPr="00400349">
        <w:rPr>
          <w:color w:val="auto"/>
        </w:rPr>
        <w:t xml:space="preserve">Law Commission (England and Wales) </w:t>
      </w:r>
      <w:r w:rsidR="005768EA" w:rsidRPr="00400349">
        <w:rPr>
          <w:i/>
          <w:color w:val="auto"/>
        </w:rPr>
        <w:t>Hate crime laws: Final report</w:t>
      </w:r>
      <w:r w:rsidR="005768EA" w:rsidRPr="00400349">
        <w:rPr>
          <w:color w:val="auto"/>
        </w:rPr>
        <w:t xml:space="preserve"> (R402, 2021) at [3.84]</w:t>
      </w:r>
      <w:r w:rsidRPr="00400349">
        <w:t>.</w:t>
      </w:r>
    </w:p>
  </w:footnote>
  <w:footnote w:id="657">
    <w:p w14:paraId="1A000C8D" w14:textId="1CD84C17" w:rsidR="001D525A" w:rsidRPr="00400349" w:rsidRDefault="001D525A" w:rsidP="001D525A">
      <w:pPr>
        <w:pStyle w:val="FootnoteText"/>
      </w:pPr>
      <w:r w:rsidRPr="00400349">
        <w:rPr>
          <w:rStyle w:val="FootnoteReference"/>
        </w:rPr>
        <w:footnoteRef/>
      </w:r>
      <w:r w:rsidRPr="00400349">
        <w:t xml:space="preserve"> </w:t>
      </w:r>
      <w:r w:rsidRPr="00400349">
        <w:tab/>
      </w:r>
      <w:r w:rsidR="00291C9E" w:rsidRPr="00400349">
        <w:t>Mark A Walters</w:t>
      </w:r>
      <w:r w:rsidRPr="00400349">
        <w:t xml:space="preserve"> </w:t>
      </w:r>
      <w:r w:rsidR="001C0C6B" w:rsidRPr="00400349">
        <w:t xml:space="preserve">“Conceptualizing </w:t>
      </w:r>
      <w:r w:rsidR="00CC4071">
        <w:t>‘</w:t>
      </w:r>
      <w:r w:rsidR="001C0C6B" w:rsidRPr="00400349">
        <w:t>Hostility</w:t>
      </w:r>
      <w:r w:rsidR="00CC4071">
        <w:t>’</w:t>
      </w:r>
      <w:r w:rsidR="001C0C6B" w:rsidRPr="00400349">
        <w:t xml:space="preserve"> for Hate Crime Law: Minding </w:t>
      </w:r>
      <w:r w:rsidR="00CC4071">
        <w:t>‘</w:t>
      </w:r>
      <w:r w:rsidR="001C0C6B" w:rsidRPr="00400349">
        <w:t>the Minutiae</w:t>
      </w:r>
      <w:r w:rsidR="00CC4071">
        <w:t>’</w:t>
      </w:r>
      <w:r w:rsidR="001C0C6B" w:rsidRPr="00400349">
        <w:t xml:space="preserve"> when Interpreting Section 28(1)(a) of the Crime and Disorder Act 1998” (2014) 34 Oxf J Leg Stud 47 at 53; and </w:t>
      </w:r>
      <w:r w:rsidR="00CA1E8C" w:rsidRPr="00400349">
        <w:t>Jennifer Schweppe “Defining Characteristics and Politicising Victims: A Legal  Perspective” (</w:t>
      </w:r>
      <w:r w:rsidR="00F1503D" w:rsidRPr="00400349">
        <w:t>2012) 10 Hate and Political Discourse 173</w:t>
      </w:r>
      <w:r w:rsidR="00FB6EB8" w:rsidRPr="00400349">
        <w:t xml:space="preserve"> at 186, citing </w:t>
      </w:r>
      <w:r w:rsidR="0082683F" w:rsidRPr="00400349">
        <w:t xml:space="preserve">Andrew Ashworth (ed) </w:t>
      </w:r>
      <w:r w:rsidR="0082683F" w:rsidRPr="00400349">
        <w:rPr>
          <w:i/>
        </w:rPr>
        <w:t xml:space="preserve">Principles of Criminal Law </w:t>
      </w:r>
      <w:r w:rsidR="0082683F" w:rsidRPr="00400349">
        <w:t>(6th ed, Oxford University Press, Oxford, 2009) at 256.</w:t>
      </w:r>
    </w:p>
  </w:footnote>
  <w:footnote w:id="658">
    <w:p w14:paraId="0EEE3F76" w14:textId="3AF3A9BD" w:rsidR="001D525A" w:rsidRPr="00400349" w:rsidRDefault="001D525A" w:rsidP="001D525A">
      <w:pPr>
        <w:pStyle w:val="FootnoteText"/>
      </w:pPr>
      <w:r w:rsidRPr="00400349">
        <w:rPr>
          <w:rStyle w:val="FootnoteReference"/>
        </w:rPr>
        <w:footnoteRef/>
      </w:r>
      <w:r w:rsidRPr="00400349">
        <w:t xml:space="preserve"> </w:t>
      </w:r>
      <w:r w:rsidRPr="00400349">
        <w:tab/>
        <w:t xml:space="preserve">James Chalmers and Fiona Leverick </w:t>
      </w:r>
      <w:r w:rsidRPr="00400349">
        <w:rPr>
          <w:i/>
        </w:rPr>
        <w:t xml:space="preserve">A Comparative Analysis of Hate Crime Legislation: A Report to the Hate Crime Legislation Review </w:t>
      </w:r>
      <w:r w:rsidRPr="00400349">
        <w:t>(University of Glasgow, July 2017) at 65</w:t>
      </w:r>
      <w:r w:rsidR="00BA5431" w:rsidRPr="00400349">
        <w:t>–</w:t>
      </w:r>
      <w:r w:rsidRPr="00400349">
        <w:t xml:space="preserve">66. </w:t>
      </w:r>
    </w:p>
  </w:footnote>
  <w:footnote w:id="659">
    <w:p w14:paraId="65055B38" w14:textId="4959484F" w:rsidR="001D525A" w:rsidRPr="00400349" w:rsidDel="004F128D" w:rsidRDefault="001D525A" w:rsidP="001D525A">
      <w:pPr>
        <w:pStyle w:val="FootnoteText"/>
      </w:pPr>
      <w:r w:rsidRPr="00400349" w:rsidDel="004F128D">
        <w:rPr>
          <w:rStyle w:val="FootnoteReference"/>
        </w:rPr>
        <w:footnoteRef/>
      </w:r>
      <w:r w:rsidRPr="00400349" w:rsidDel="004F128D">
        <w:t xml:space="preserve"> </w:t>
      </w:r>
      <w:r w:rsidRPr="00400349" w:rsidDel="004F128D">
        <w:tab/>
      </w:r>
      <w:r w:rsidR="00E520E6" w:rsidRPr="00400349">
        <w:rPr>
          <w:color w:val="auto"/>
        </w:rPr>
        <w:t>Consultation Paper at [5.46]–[5.48].</w:t>
      </w:r>
    </w:p>
  </w:footnote>
  <w:footnote w:id="660">
    <w:p w14:paraId="19896CE1" w14:textId="093CB5AF" w:rsidR="001D525A" w:rsidRPr="00400349" w:rsidDel="006465E5" w:rsidRDefault="001D525A" w:rsidP="001D525A">
      <w:pPr>
        <w:pStyle w:val="FootnoteText"/>
      </w:pPr>
      <w:r w:rsidRPr="00400349" w:rsidDel="006465E5">
        <w:rPr>
          <w:rStyle w:val="FootnoteReference"/>
        </w:rPr>
        <w:footnoteRef/>
      </w:r>
      <w:r w:rsidRPr="00400349" w:rsidDel="006465E5">
        <w:t xml:space="preserve"> </w:t>
      </w:r>
      <w:r w:rsidRPr="00400349" w:rsidDel="006465E5">
        <w:tab/>
      </w:r>
      <w:r w:rsidR="0044317F" w:rsidRPr="00400349">
        <w:rPr>
          <w:color w:val="auto"/>
        </w:rPr>
        <w:t>At</w:t>
      </w:r>
      <w:r w:rsidR="00E520E6" w:rsidRPr="00400349">
        <w:rPr>
          <w:color w:val="auto"/>
        </w:rPr>
        <w:t xml:space="preserve"> [7.33].</w:t>
      </w:r>
    </w:p>
  </w:footnote>
  <w:footnote w:id="661">
    <w:p w14:paraId="4822BF0B" w14:textId="755A3A95"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i/>
          <w:color w:val="auto"/>
        </w:rPr>
        <w:t xml:space="preserve">R v Pahau </w:t>
      </w:r>
      <w:r w:rsidRPr="00400349">
        <w:rPr>
          <w:color w:val="auto"/>
        </w:rPr>
        <w:t xml:space="preserve">HC New Plymouth CRI-2008-043-4555, 16 August 2010 at [39]–[40]. This decision was appealed but the </w:t>
      </w:r>
      <w:r w:rsidR="00255A4A" w:rsidRPr="00400349">
        <w:rPr>
          <w:color w:val="auto"/>
        </w:rPr>
        <w:t>hostility</w:t>
      </w:r>
      <w:r w:rsidRPr="00400349">
        <w:rPr>
          <w:color w:val="auto"/>
        </w:rPr>
        <w:t xml:space="preserve"> aggravating factor was not considered in later judgments.</w:t>
      </w:r>
    </w:p>
  </w:footnote>
  <w:footnote w:id="662">
    <w:p w14:paraId="7807D186" w14:textId="21E94319"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8F5B16" w:rsidRPr="00400349">
        <w:rPr>
          <w:color w:val="auto"/>
        </w:rPr>
        <w:t xml:space="preserve">For example, </w:t>
      </w:r>
      <w:r w:rsidR="008F5B16" w:rsidRPr="00400349">
        <w:rPr>
          <w:i/>
          <w:color w:val="auto"/>
        </w:rPr>
        <w:t>R v Ormsby-Turner</w:t>
      </w:r>
      <w:r w:rsidR="008F5B16" w:rsidRPr="00400349">
        <w:rPr>
          <w:color w:val="auto"/>
        </w:rPr>
        <w:t xml:space="preserve"> [2023] NZHC 406; </w:t>
      </w:r>
      <w:r w:rsidR="008F5B16" w:rsidRPr="00400349">
        <w:rPr>
          <w:i/>
          <w:color w:val="auto"/>
        </w:rPr>
        <w:t>R v Kahia</w:t>
      </w:r>
      <w:r w:rsidR="008F5B16" w:rsidRPr="00400349">
        <w:rPr>
          <w:color w:val="auto"/>
        </w:rPr>
        <w:t xml:space="preserve"> [2019] NZHC 1021; and </w:t>
      </w:r>
      <w:r w:rsidR="008F5B16" w:rsidRPr="00400349">
        <w:rPr>
          <w:i/>
          <w:color w:val="auto"/>
        </w:rPr>
        <w:t>R v Te Tomo</w:t>
      </w:r>
      <w:r w:rsidR="008F5B16" w:rsidRPr="00400349">
        <w:rPr>
          <w:color w:val="auto"/>
        </w:rPr>
        <w:t xml:space="preserve"> [2015] NZHC 2671. Notably, in 2009, the list of aggravating factors in s 9(1) of the Sentencing Act was amended to include, as a separate aggravating factor, the fact the offender was a participant or otherwise involved in an organised criminal group or association: Sentencing Amendment Act (No 3) 2009, s 4.</w:t>
      </w:r>
    </w:p>
  </w:footnote>
  <w:footnote w:id="663">
    <w:p w14:paraId="5EFDFB49" w14:textId="5D4E385F" w:rsidR="001D525A" w:rsidRPr="00400349" w:rsidRDefault="001D525A" w:rsidP="001D525A">
      <w:pPr>
        <w:pStyle w:val="FootnoteText"/>
      </w:pPr>
      <w:r w:rsidRPr="00400349">
        <w:rPr>
          <w:rStyle w:val="FootnoteReference"/>
        </w:rPr>
        <w:footnoteRef/>
      </w:r>
      <w:r w:rsidRPr="00400349">
        <w:t xml:space="preserve"> </w:t>
      </w:r>
      <w:r w:rsidRPr="00400349">
        <w:tab/>
      </w:r>
      <w:r w:rsidR="008F5B16" w:rsidRPr="00400349">
        <w:rPr>
          <w:i/>
          <w:color w:val="auto"/>
        </w:rPr>
        <w:t>Lawrence v Police</w:t>
      </w:r>
      <w:r w:rsidR="008F5B16" w:rsidRPr="00400349">
        <w:rPr>
          <w:color w:val="auto"/>
        </w:rPr>
        <w:t xml:space="preserve"> [2015] NZHC 1122 at [28].</w:t>
      </w:r>
      <w:r w:rsidRPr="00400349">
        <w:t xml:space="preserve"> </w:t>
      </w:r>
    </w:p>
  </w:footnote>
  <w:footnote w:id="664">
    <w:p w14:paraId="509E183A" w14:textId="214C3175" w:rsidR="00B0105A" w:rsidRPr="00400349" w:rsidRDefault="00B0105A" w:rsidP="00B0105A">
      <w:pPr>
        <w:pStyle w:val="FootnoteText"/>
      </w:pPr>
      <w:r w:rsidRPr="00400349">
        <w:rPr>
          <w:rStyle w:val="FootnoteReference"/>
        </w:rPr>
        <w:footnoteRef/>
      </w:r>
      <w:r w:rsidRPr="00400349">
        <w:t xml:space="preserve"> </w:t>
      </w:r>
      <w:r w:rsidRPr="00400349">
        <w:tab/>
      </w:r>
      <w:r w:rsidR="0044317F" w:rsidRPr="00400349">
        <w:rPr>
          <w:iCs/>
          <w:color w:val="auto"/>
        </w:rPr>
        <w:t>At</w:t>
      </w:r>
      <w:r w:rsidRPr="00400349">
        <w:rPr>
          <w:color w:val="auto"/>
        </w:rPr>
        <w:t xml:space="preserve"> [29].</w:t>
      </w:r>
    </w:p>
  </w:footnote>
  <w:footnote w:id="665">
    <w:p w14:paraId="5C145ACF" w14:textId="103E36EF" w:rsidR="001D525A" w:rsidRPr="00400349" w:rsidRDefault="001D525A" w:rsidP="001D525A">
      <w:pPr>
        <w:pStyle w:val="FootnoteText"/>
      </w:pPr>
      <w:r w:rsidRPr="00400349">
        <w:rPr>
          <w:rStyle w:val="FootnoteReference"/>
        </w:rPr>
        <w:footnoteRef/>
      </w:r>
      <w:r w:rsidRPr="00400349">
        <w:t xml:space="preserve"> </w:t>
      </w:r>
      <w:r w:rsidRPr="00400349">
        <w:tab/>
      </w:r>
      <w:r w:rsidR="008F5B16" w:rsidRPr="00400349">
        <w:rPr>
          <w:color w:val="auto"/>
        </w:rPr>
        <w:t>Crimes (Sentencing Procedure) Act 1999 (NSW), s 21A(2)(h).</w:t>
      </w:r>
    </w:p>
  </w:footnote>
  <w:footnote w:id="666">
    <w:p w14:paraId="13ECAD10" w14:textId="2A0FD5CB"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i/>
          <w:color w:val="auto"/>
        </w:rPr>
        <w:t xml:space="preserve">Dunn v R </w:t>
      </w:r>
      <w:r w:rsidRPr="00400349">
        <w:rPr>
          <w:color w:val="auto"/>
        </w:rPr>
        <w:t>[2007] NSWCCA 312 at [32].</w:t>
      </w:r>
    </w:p>
  </w:footnote>
  <w:footnote w:id="667">
    <w:p w14:paraId="79B80DEF" w14:textId="076DED07"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i/>
          <w:color w:val="auto"/>
        </w:rPr>
        <w:t xml:space="preserve">R v Davies </w:t>
      </w:r>
      <w:r w:rsidRPr="00400349">
        <w:rPr>
          <w:color w:val="auto"/>
        </w:rPr>
        <w:t>[2024] NSWSC 786 at [131].</w:t>
      </w:r>
    </w:p>
  </w:footnote>
  <w:footnote w:id="668">
    <w:p w14:paraId="24FB82D6" w14:textId="3F073586" w:rsidR="001D525A" w:rsidRPr="00400349" w:rsidRDefault="001D525A" w:rsidP="001D525A">
      <w:pPr>
        <w:pStyle w:val="FootnoteText"/>
      </w:pPr>
      <w:r w:rsidRPr="00400349">
        <w:rPr>
          <w:rStyle w:val="FootnoteReference"/>
        </w:rPr>
        <w:footnoteRef/>
      </w:r>
      <w:r w:rsidRPr="00400349">
        <w:t xml:space="preserve"> </w:t>
      </w:r>
      <w:r w:rsidRPr="00400349">
        <w:tab/>
      </w:r>
      <w:r w:rsidR="00912435" w:rsidRPr="00400349">
        <w:rPr>
          <w:color w:val="auto"/>
        </w:rPr>
        <w:t>Madeline Ash; Te Tari Ture o te Karauna | Crown Law; Luke Cunningham Clere; Maxim Institute; Ratonga Wawao ā-Ture Tūmatanui | Public Defence Service; and Submission 11</w:t>
      </w:r>
      <w:r w:rsidR="007E66FA" w:rsidRPr="00400349">
        <w:rPr>
          <w:color w:val="auto"/>
        </w:rPr>
        <w:t>.</w:t>
      </w:r>
    </w:p>
  </w:footnote>
  <w:footnote w:id="669">
    <w:p w14:paraId="5FD70CB4" w14:textId="501150AA" w:rsidR="001D525A" w:rsidRPr="00400349" w:rsidRDefault="001D525A" w:rsidP="001D525A">
      <w:pPr>
        <w:pStyle w:val="FootnoteText"/>
      </w:pPr>
      <w:r w:rsidRPr="00400349">
        <w:rPr>
          <w:rStyle w:val="FootnoteReference"/>
        </w:rPr>
        <w:footnoteRef/>
      </w:r>
      <w:r w:rsidRPr="00400349">
        <w:t xml:space="preserve"> </w:t>
      </w:r>
      <w:r w:rsidRPr="00400349">
        <w:tab/>
      </w:r>
      <w:r w:rsidR="00BB2BFF" w:rsidRPr="00400349">
        <w:rPr>
          <w:color w:val="auto"/>
        </w:rPr>
        <w:t>Graeme Edgeler; and Maxim Institute.</w:t>
      </w:r>
    </w:p>
  </w:footnote>
  <w:footnote w:id="670">
    <w:p w14:paraId="580F41BC" w14:textId="695818D9" w:rsidR="001D525A" w:rsidRPr="00400349" w:rsidRDefault="001D525A" w:rsidP="001D525A">
      <w:pPr>
        <w:pStyle w:val="FootnoteText"/>
      </w:pPr>
      <w:r w:rsidRPr="00400349">
        <w:rPr>
          <w:rStyle w:val="FootnoteReference"/>
        </w:rPr>
        <w:footnoteRef/>
      </w:r>
      <w:r w:rsidRPr="00400349">
        <w:t xml:space="preserve"> </w:t>
      </w:r>
      <w:r w:rsidRPr="00400349">
        <w:tab/>
      </w:r>
      <w:r w:rsidR="00152374" w:rsidRPr="00400349">
        <w:rPr>
          <w:color w:val="auto"/>
        </w:rPr>
        <w:t>Donald Beasley Institute and People First New Zealand (joint submission); Justice for Palestine, Alternative Jewish Voices and Dayenu (joint submission); Dr Kyle R Matthews; Te Kāhui Ture o Aotearoa | New Zealand Law Society; Pride in Law Otago; Sikh Council of New Zealand; Submission 11; Te Kāhui o Ināia Tonu Nei Charitable Trust; and The Law Association of New Zealand Criminal Law Committee.</w:t>
      </w:r>
    </w:p>
  </w:footnote>
  <w:footnote w:id="671">
    <w:p w14:paraId="5C59BC29" w14:textId="7E16985E" w:rsidR="001D525A" w:rsidRPr="00400349" w:rsidRDefault="001D525A" w:rsidP="001D525A">
      <w:pPr>
        <w:pStyle w:val="FootnoteText"/>
      </w:pPr>
      <w:r w:rsidRPr="00400349">
        <w:rPr>
          <w:rStyle w:val="FootnoteReference"/>
        </w:rPr>
        <w:footnoteRef/>
      </w:r>
      <w:r w:rsidRPr="00400349">
        <w:t xml:space="preserve"> </w:t>
      </w:r>
      <w:r w:rsidRPr="00400349">
        <w:tab/>
      </w:r>
      <w:r w:rsidR="00152374" w:rsidRPr="00400349">
        <w:rPr>
          <w:color w:val="auto"/>
        </w:rPr>
        <w:t>Justice for Palestine, Alternative Jewish Voices and Dayenu (joint submission); Dr Kyle R Matthews; Te Kāhui Ture o Aotearoa | New Zealand Law Society; Pride in Law Otago; Submission 11; Te Kāhui o Ināia Tonu Nei Charitable Trust; and The Law Association of New Zealand Criminal Law Committee.</w:t>
      </w:r>
    </w:p>
  </w:footnote>
  <w:footnote w:id="672">
    <w:p w14:paraId="1F21D940" w14:textId="77777777" w:rsidR="000F0FB5" w:rsidRPr="00400349" w:rsidRDefault="000F0FB5" w:rsidP="000F0FB5">
      <w:pPr>
        <w:pStyle w:val="FootnoteText"/>
      </w:pPr>
      <w:r w:rsidRPr="00400349">
        <w:rPr>
          <w:rStyle w:val="FootnoteReference"/>
        </w:rPr>
        <w:footnoteRef/>
      </w:r>
      <w:r w:rsidRPr="00400349">
        <w:t xml:space="preserve"> </w:t>
      </w:r>
      <w:r w:rsidRPr="00400349">
        <w:tab/>
      </w:r>
      <w:r w:rsidRPr="00400349">
        <w:rPr>
          <w:color w:val="auto"/>
        </w:rPr>
        <w:t>Sentencing Act 2020 (UK), s 66; and Crime and Disorder Act 1998 (UK), s 28 (as amended by the Crime and Policing Act 2026 (UK), s 145)</w:t>
      </w:r>
      <w:r w:rsidRPr="00400349">
        <w:t xml:space="preserve">; and </w:t>
      </w:r>
      <w:r w:rsidRPr="00400349">
        <w:rPr>
          <w:color w:val="auto"/>
        </w:rPr>
        <w:t>The Criminal Justice (No 2) (Northern Ireland) Order 2004 (UK), art 2(3).</w:t>
      </w:r>
    </w:p>
  </w:footnote>
  <w:footnote w:id="673">
    <w:p w14:paraId="4BA1A1D6" w14:textId="425266BE" w:rsidR="001D525A" w:rsidRPr="00400349" w:rsidRDefault="001D525A" w:rsidP="001D525A">
      <w:pPr>
        <w:pStyle w:val="FootnoteText"/>
      </w:pPr>
      <w:r w:rsidRPr="00400349">
        <w:rPr>
          <w:rStyle w:val="FootnoteReference"/>
        </w:rPr>
        <w:footnoteRef/>
      </w:r>
      <w:r w:rsidRPr="00400349">
        <w:t xml:space="preserve"> </w:t>
      </w:r>
      <w:r w:rsidRPr="00400349">
        <w:tab/>
        <w:t>Criminal Code RSC 1985 c C</w:t>
      </w:r>
      <w:r w:rsidR="00686D93" w:rsidRPr="00400349">
        <w:t>-</w:t>
      </w:r>
      <w:r w:rsidRPr="00400349">
        <w:t>46, s 718.2(a)(i); Crimes (Sentencing Procedure) Act 1999 (NSW), s 21A(2)(h); Sentencing Act 2017 (SA), s 11(1)(ca); and Sentencing Act 1997 (T</w:t>
      </w:r>
      <w:r w:rsidR="00686D93" w:rsidRPr="00400349">
        <w:t>as</w:t>
      </w:r>
      <w:r w:rsidRPr="00400349">
        <w:t>), s 11B.</w:t>
      </w:r>
    </w:p>
  </w:footnote>
  <w:footnote w:id="674">
    <w:p w14:paraId="12CA6716" w14:textId="19F36B98"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t xml:space="preserve">Sentencing Act 1995 (NT), s 6A(1)(e); </w:t>
      </w:r>
      <w:r w:rsidR="00BB6EB6" w:rsidRPr="00400349">
        <w:t xml:space="preserve">and </w:t>
      </w:r>
      <w:r w:rsidR="001D525A" w:rsidRPr="00400349">
        <w:t>Sentencing Act 1991 (Vic), s 5(2)(daaa).</w:t>
      </w:r>
    </w:p>
  </w:footnote>
  <w:footnote w:id="675">
    <w:p w14:paraId="79E17062" w14:textId="5997FDF4"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B715BB" w:rsidRPr="00400349">
        <w:rPr>
          <w:color w:val="auto"/>
        </w:rPr>
        <w:t xml:space="preserve">New South Wales Law Reform Commission </w:t>
      </w:r>
      <w:r w:rsidR="00B715BB" w:rsidRPr="00400349">
        <w:rPr>
          <w:i/>
          <w:color w:val="auto"/>
        </w:rPr>
        <w:t xml:space="preserve">Sentencing </w:t>
      </w:r>
      <w:r w:rsidR="00B715BB" w:rsidRPr="00400349">
        <w:rPr>
          <w:color w:val="auto"/>
        </w:rPr>
        <w:t>(R139, 2013) at [4.190] (recommendation 4.8).</w:t>
      </w:r>
    </w:p>
  </w:footnote>
  <w:footnote w:id="676">
    <w:p w14:paraId="58A1650C" w14:textId="58AB4C01" w:rsidR="001D525A" w:rsidRPr="00400349" w:rsidRDefault="001D525A" w:rsidP="001D525A">
      <w:pPr>
        <w:pStyle w:val="FootnoteText"/>
      </w:pPr>
      <w:r w:rsidRPr="00400349">
        <w:rPr>
          <w:rStyle w:val="FootnoteReference"/>
        </w:rPr>
        <w:footnoteRef/>
      </w:r>
      <w:r w:rsidRPr="00400349">
        <w:t xml:space="preserve"> </w:t>
      </w:r>
      <w:r w:rsidRPr="00400349">
        <w:tab/>
      </w:r>
      <w:r w:rsidR="0062671F" w:rsidRPr="00400349">
        <w:rPr>
          <w:color w:val="auto"/>
        </w:rPr>
        <w:t xml:space="preserve">Sentencing Advisory Council </w:t>
      </w:r>
      <w:r w:rsidR="0062671F" w:rsidRPr="00400349">
        <w:rPr>
          <w:i/>
          <w:color w:val="auto"/>
        </w:rPr>
        <w:t>Prejudice and Discrimination as Aggravating Factors in Sentencing: Final Report</w:t>
      </w:r>
      <w:r w:rsidR="0062671F" w:rsidRPr="00400349">
        <w:rPr>
          <w:color w:val="auto"/>
        </w:rPr>
        <w:t xml:space="preserve"> (February 2024) at 22; and Sentencing Amendment (Aggravating Factors) Act 2025 (Tas), s 4.</w:t>
      </w:r>
    </w:p>
  </w:footnote>
  <w:footnote w:id="677">
    <w:p w14:paraId="42AE6A88" w14:textId="47C69D15" w:rsidR="001D525A" w:rsidRPr="00400349" w:rsidRDefault="001D525A" w:rsidP="001D525A">
      <w:pPr>
        <w:pStyle w:val="FootnoteText"/>
      </w:pPr>
      <w:r w:rsidRPr="00400349">
        <w:rPr>
          <w:rStyle w:val="FootnoteReference"/>
        </w:rPr>
        <w:footnoteRef/>
      </w:r>
      <w:r w:rsidRPr="00400349">
        <w:t xml:space="preserve"> </w:t>
      </w:r>
      <w:r w:rsidRPr="00400349">
        <w:tab/>
      </w:r>
      <w:r w:rsidR="00EB425C" w:rsidRPr="00400349">
        <w:rPr>
          <w:color w:val="auto"/>
        </w:rPr>
        <w:t>Crimes (Sentencing Procedure) Act 1999 (NSW),</w:t>
      </w:r>
      <w:r w:rsidR="00EB425C" w:rsidRPr="00400349">
        <w:rPr>
          <w:color w:val="auto"/>
          <w:sz w:val="20"/>
          <w:szCs w:val="24"/>
          <w:lang w:eastAsia="en-AU"/>
        </w:rPr>
        <w:t xml:space="preserve"> </w:t>
      </w:r>
      <w:r w:rsidR="00EB425C" w:rsidRPr="00400349">
        <w:rPr>
          <w:color w:val="auto"/>
        </w:rPr>
        <w:t>s 21A(2)(h).</w:t>
      </w:r>
    </w:p>
  </w:footnote>
  <w:footnote w:id="678">
    <w:p w14:paraId="3839AFD5" w14:textId="0B115985" w:rsidR="001D525A" w:rsidRPr="00400349" w:rsidRDefault="001D525A" w:rsidP="001D525A">
      <w:pPr>
        <w:pStyle w:val="FootnoteText"/>
      </w:pPr>
      <w:r w:rsidRPr="00400349">
        <w:rPr>
          <w:rStyle w:val="FootnoteReference"/>
        </w:rPr>
        <w:footnoteRef/>
      </w:r>
      <w:r w:rsidRPr="00400349">
        <w:t xml:space="preserve"> </w:t>
      </w:r>
      <w:r w:rsidRPr="00400349">
        <w:tab/>
      </w:r>
      <w:r w:rsidR="007D63D1" w:rsidRPr="00400349">
        <w:rPr>
          <w:color w:val="auto"/>
        </w:rPr>
        <w:t>Gail Mason “Hate crime laws in Australia: Are they achieving their goals” (2009) 33 Crim LJ 326 at 337–339.</w:t>
      </w:r>
    </w:p>
  </w:footnote>
  <w:footnote w:id="679">
    <w:p w14:paraId="181B62B6" w14:textId="77777777" w:rsidR="001D525A" w:rsidRPr="00400349" w:rsidRDefault="001D525A" w:rsidP="001D525A">
      <w:pPr>
        <w:pStyle w:val="FootnoteText"/>
      </w:pPr>
      <w:r w:rsidRPr="00400349">
        <w:rPr>
          <w:rStyle w:val="FootnoteReference"/>
        </w:rPr>
        <w:footnoteRef/>
      </w:r>
      <w:r w:rsidRPr="00400349">
        <w:t xml:space="preserve"> </w:t>
      </w:r>
      <w:r w:rsidRPr="00400349">
        <w:tab/>
        <w:t>See Legislation Act 2019, s 10, stating that legislation must be interpreted from its text and in the light of its purpose and its context.</w:t>
      </w:r>
    </w:p>
  </w:footnote>
  <w:footnote w:id="680">
    <w:p w14:paraId="6DA69BE8" w14:textId="6E9E5F8F" w:rsidR="001D525A" w:rsidRPr="00400349" w:rsidRDefault="001D525A" w:rsidP="001D525A">
      <w:pPr>
        <w:pStyle w:val="FootnoteText"/>
      </w:pPr>
      <w:r w:rsidRPr="00400349">
        <w:rPr>
          <w:rStyle w:val="FootnoteReference"/>
        </w:rPr>
        <w:footnoteRef/>
      </w:r>
      <w:r w:rsidRPr="00400349">
        <w:t xml:space="preserve"> </w:t>
      </w:r>
      <w:r w:rsidRPr="00400349">
        <w:tab/>
      </w:r>
      <w:r w:rsidR="007D63D1" w:rsidRPr="00400349">
        <w:rPr>
          <w:color w:val="auto"/>
        </w:rPr>
        <w:t>Sentencing and Parole Reform Bill 200</w:t>
      </w:r>
      <w:r w:rsidR="00B43C8F">
        <w:rPr>
          <w:color w:val="auto"/>
        </w:rPr>
        <w:t>2</w:t>
      </w:r>
      <w:r w:rsidR="007D63D1" w:rsidRPr="00400349">
        <w:rPr>
          <w:color w:val="auto"/>
        </w:rPr>
        <w:t xml:space="preserve"> (148</w:t>
      </w:r>
      <w:r w:rsidR="00BB77CB">
        <w:rPr>
          <w:color w:val="auto"/>
        </w:rPr>
        <w:t>-</w:t>
      </w:r>
      <w:r w:rsidR="007D63D1" w:rsidRPr="00400349">
        <w:rPr>
          <w:color w:val="auto"/>
        </w:rPr>
        <w:t xml:space="preserve">2) (select committee report) at 12; and </w:t>
      </w:r>
      <w:r w:rsidR="007D63D1" w:rsidRPr="00400349">
        <w:rPr>
          <w:i/>
          <w:color w:val="auto"/>
        </w:rPr>
        <w:t>Arps v Police</w:t>
      </w:r>
      <w:r w:rsidR="007D63D1" w:rsidRPr="00400349">
        <w:rPr>
          <w:color w:val="auto"/>
        </w:rPr>
        <w:t xml:space="preserve"> [2019] NZCA 592, [2020] 2 NZLR 94 at [48].</w:t>
      </w:r>
    </w:p>
  </w:footnote>
  <w:footnote w:id="681">
    <w:p w14:paraId="2BB81189" w14:textId="28CC9D09" w:rsidR="001D525A" w:rsidRPr="00400349" w:rsidRDefault="001D525A" w:rsidP="001D525A">
      <w:pPr>
        <w:pStyle w:val="FootnoteText"/>
      </w:pPr>
      <w:r w:rsidRPr="00400349">
        <w:rPr>
          <w:rStyle w:val="FootnoteReference"/>
        </w:rPr>
        <w:footnoteRef/>
      </w:r>
      <w:r w:rsidRPr="00400349">
        <w:t xml:space="preserve"> </w:t>
      </w:r>
      <w:r w:rsidRPr="00400349">
        <w:tab/>
        <w:t xml:space="preserve">See </w:t>
      </w:r>
      <w:r w:rsidR="008B7DDA" w:rsidRPr="00400349">
        <w:rPr>
          <w:color w:val="auto"/>
        </w:rPr>
        <w:t>Chara Bakalis “The victims of hate crime and the principles of the criminal law” (2017) 37 Legal Studies 718 at 722</w:t>
      </w:r>
      <w:r w:rsidRPr="00400349">
        <w:t>, pointing to</w:t>
      </w:r>
      <w:r w:rsidRPr="00400349">
        <w:rPr>
          <w:sz w:val="20"/>
          <w:szCs w:val="24"/>
          <w:lang w:eastAsia="en-AU"/>
        </w:rPr>
        <w:t xml:space="preserve"> </w:t>
      </w:r>
      <w:r w:rsidRPr="00400349">
        <w:t>an “inextricable link between the underlying justification for hate crime and the broader equality agenda”.</w:t>
      </w:r>
    </w:p>
  </w:footnote>
  <w:footnote w:id="682">
    <w:p w14:paraId="4F859128" w14:textId="0CA1D18F" w:rsidR="001D525A" w:rsidRPr="00400349" w:rsidRDefault="001D525A" w:rsidP="001D525A">
      <w:pPr>
        <w:pStyle w:val="FootnoteText"/>
      </w:pPr>
      <w:r w:rsidRPr="00400349">
        <w:rPr>
          <w:rStyle w:val="FootnoteReference"/>
        </w:rPr>
        <w:footnoteRef/>
      </w:r>
      <w:r w:rsidRPr="00400349">
        <w:t xml:space="preserve"> </w:t>
      </w:r>
      <w:r w:rsidRPr="00400349">
        <w:tab/>
        <w:t xml:space="preserve">See Te Aka Matua o te Ture | Law Commission </w:t>
      </w:r>
      <w:r w:rsidRPr="00400349">
        <w:rPr>
          <w:i/>
          <w:iCs/>
        </w:rPr>
        <w:t xml:space="preserve">Ia Tangata: Protections in the Human Rights Act 1993 for people who are transgender, people who are non-binary and people with innate variations of sex characteristics </w:t>
      </w:r>
      <w:r w:rsidRPr="00400349">
        <w:t xml:space="preserve">(NZLC R150, 2025) at </w:t>
      </w:r>
      <w:r w:rsidR="00FD7957" w:rsidRPr="00400349">
        <w:t xml:space="preserve">[4.22], </w:t>
      </w:r>
      <w:r w:rsidR="00A7403D" w:rsidRPr="00400349">
        <w:t>[4.43] and [4.55].</w:t>
      </w:r>
    </w:p>
  </w:footnote>
  <w:footnote w:id="683">
    <w:p w14:paraId="521E83F2" w14:textId="18369F22" w:rsidR="001D525A" w:rsidRPr="00400349" w:rsidRDefault="001D525A" w:rsidP="001D525A">
      <w:pPr>
        <w:pStyle w:val="FootnoteText"/>
      </w:pPr>
      <w:r w:rsidRPr="00400349">
        <w:rPr>
          <w:rStyle w:val="FootnoteReference"/>
        </w:rPr>
        <w:footnoteRef/>
      </w:r>
      <w:r w:rsidRPr="00400349">
        <w:t xml:space="preserve"> </w:t>
      </w:r>
      <w:r w:rsidRPr="00400349">
        <w:tab/>
        <w:t>Consultation Paper at [5.43]</w:t>
      </w:r>
      <w:r w:rsidR="006D519B" w:rsidRPr="00400349">
        <w:t>–</w:t>
      </w:r>
      <w:r w:rsidRPr="00400349">
        <w:t>[5.45] and [7.35].</w:t>
      </w:r>
    </w:p>
  </w:footnote>
  <w:footnote w:id="684">
    <w:p w14:paraId="77B8C1A3" w14:textId="03E8E92B" w:rsidR="001D525A" w:rsidRPr="00400349" w:rsidRDefault="001D525A" w:rsidP="001D525A">
      <w:pPr>
        <w:pStyle w:val="FootnoteText"/>
      </w:pPr>
      <w:r w:rsidRPr="00400349">
        <w:rPr>
          <w:rStyle w:val="FootnoteReference"/>
        </w:rPr>
        <w:footnoteRef/>
      </w:r>
      <w:r w:rsidRPr="00400349">
        <w:t xml:space="preserve"> </w:t>
      </w:r>
      <w:r w:rsidRPr="00400349">
        <w:tab/>
      </w:r>
      <w:r w:rsidR="00EF6531" w:rsidRPr="00400349">
        <w:rPr>
          <w:i/>
          <w:color w:val="auto"/>
        </w:rPr>
        <w:t>R v Pahau</w:t>
      </w:r>
      <w:r w:rsidR="00EF6531" w:rsidRPr="00400349">
        <w:rPr>
          <w:color w:val="auto"/>
        </w:rPr>
        <w:t xml:space="preserve"> HC New Plymouth CRI-2008-043-4555, 16 August 2010 at [39]. Specifically, the judge mentioned religion and sexual orientation.</w:t>
      </w:r>
    </w:p>
  </w:footnote>
  <w:footnote w:id="685">
    <w:p w14:paraId="05E98B8C" w14:textId="73311F62" w:rsidR="001D525A" w:rsidRPr="00400349" w:rsidRDefault="001D525A" w:rsidP="001D525A">
      <w:pPr>
        <w:pStyle w:val="FootnoteText"/>
      </w:pPr>
      <w:r w:rsidRPr="00400349">
        <w:rPr>
          <w:rStyle w:val="FootnoteReference"/>
        </w:rPr>
        <w:footnoteRef/>
      </w:r>
      <w:r w:rsidRPr="00400349">
        <w:t xml:space="preserve"> </w:t>
      </w:r>
      <w:r w:rsidRPr="00400349">
        <w:tab/>
      </w:r>
      <w:r w:rsidR="00E12827" w:rsidRPr="00400349">
        <w:rPr>
          <w:color w:val="auto"/>
        </w:rPr>
        <w:t>Crimes (Sentencing Procedure) Act 1999 (NSW), s 21A(2)(h); and Sentencing Act 1995 (NT), s 6A(1)(e).</w:t>
      </w:r>
    </w:p>
  </w:footnote>
  <w:footnote w:id="686">
    <w:p w14:paraId="6B9B1AC0" w14:textId="0C3755FB" w:rsidR="001D525A" w:rsidRPr="00400349" w:rsidRDefault="001D525A" w:rsidP="001D525A">
      <w:pPr>
        <w:pStyle w:val="FootnoteText"/>
      </w:pPr>
      <w:r w:rsidRPr="00400349">
        <w:rPr>
          <w:rStyle w:val="FootnoteReference"/>
        </w:rPr>
        <w:footnoteRef/>
      </w:r>
      <w:r w:rsidRPr="00400349">
        <w:t xml:space="preserve"> </w:t>
      </w:r>
      <w:r w:rsidRPr="00400349">
        <w:tab/>
      </w:r>
      <w:r w:rsidR="00E12827" w:rsidRPr="00400349">
        <w:rPr>
          <w:color w:val="auto"/>
        </w:rPr>
        <w:t>Sentencing Act 1991 (Vic), s 5(2)(daaa).</w:t>
      </w:r>
    </w:p>
  </w:footnote>
  <w:footnote w:id="687">
    <w:p w14:paraId="385E2DFD" w14:textId="66B4306D" w:rsidR="001D525A" w:rsidRPr="00400349" w:rsidRDefault="001D525A" w:rsidP="001D525A">
      <w:pPr>
        <w:pStyle w:val="FootnoteText"/>
      </w:pPr>
      <w:r w:rsidRPr="00400349">
        <w:rPr>
          <w:rStyle w:val="FootnoteReference"/>
        </w:rPr>
        <w:footnoteRef/>
      </w:r>
      <w:r w:rsidRPr="00400349">
        <w:t xml:space="preserve"> </w:t>
      </w:r>
      <w:r w:rsidRPr="00400349">
        <w:tab/>
      </w:r>
      <w:r w:rsidR="00E12827" w:rsidRPr="00400349">
        <w:rPr>
          <w:color w:val="auto"/>
        </w:rPr>
        <w:t>Criminal Code RSC 1985 c C–46, s 718.2(a)(i). See also Sentencing Act 2017 (SA), s 11(1)(ca)</w:t>
      </w:r>
      <w:r w:rsidR="004C50ED">
        <w:rPr>
          <w:color w:val="auto"/>
        </w:rPr>
        <w:t>,</w:t>
      </w:r>
      <w:r w:rsidR="00E12827" w:rsidRPr="00400349">
        <w:rPr>
          <w:color w:val="auto"/>
        </w:rPr>
        <w:t xml:space="preserve"> which lists certain characteristics “without limiting” the operation of the aggravating factor.</w:t>
      </w:r>
    </w:p>
  </w:footnote>
  <w:footnote w:id="688">
    <w:p w14:paraId="10170EAA" w14:textId="3D53E09F" w:rsidR="001D525A" w:rsidRPr="00400349" w:rsidRDefault="001D525A" w:rsidP="001D525A">
      <w:pPr>
        <w:pStyle w:val="FootnoteText"/>
      </w:pPr>
      <w:r w:rsidRPr="00400349">
        <w:rPr>
          <w:rStyle w:val="FootnoteReference"/>
        </w:rPr>
        <w:footnoteRef/>
      </w:r>
      <w:r w:rsidRPr="00400349">
        <w:t xml:space="preserve"> </w:t>
      </w:r>
      <w:r w:rsidRPr="00400349">
        <w:tab/>
      </w:r>
      <w:r w:rsidR="00E553C0" w:rsidRPr="00400349">
        <w:rPr>
          <w:color w:val="auto"/>
        </w:rPr>
        <w:t>Ratonga Wawao ā-Ture Tūmatanui | Public Defence Service; and Submission 11.</w:t>
      </w:r>
    </w:p>
  </w:footnote>
  <w:footnote w:id="689">
    <w:p w14:paraId="5F9A5BBC" w14:textId="16F32825" w:rsidR="001D525A" w:rsidRPr="00400349" w:rsidRDefault="001D525A" w:rsidP="001D525A">
      <w:pPr>
        <w:pStyle w:val="FootnoteText"/>
      </w:pPr>
      <w:r w:rsidRPr="00400349">
        <w:rPr>
          <w:rStyle w:val="FootnoteReference"/>
        </w:rPr>
        <w:footnoteRef/>
      </w:r>
      <w:r w:rsidRPr="00400349">
        <w:t xml:space="preserve"> </w:t>
      </w:r>
      <w:r w:rsidRPr="00400349">
        <w:tab/>
      </w:r>
      <w:r w:rsidR="00E553C0" w:rsidRPr="00400349">
        <w:rPr>
          <w:color w:val="auto"/>
        </w:rPr>
        <w:t>Graeme Edgeler; Rex Landy; and Women’s Rights Party.</w:t>
      </w:r>
    </w:p>
  </w:footnote>
  <w:footnote w:id="690">
    <w:p w14:paraId="3FBE1C2E" w14:textId="77777777" w:rsidR="001D525A" w:rsidRPr="00400349" w:rsidRDefault="001D525A" w:rsidP="001D525A">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Organization for Security and Co-operation in Europe </w:t>
      </w:r>
      <w:r w:rsidRPr="00400349">
        <w:rPr>
          <w:i/>
          <w:color w:val="auto"/>
        </w:rPr>
        <w:t>Hate Crime Laws: A Practical Guide</w:t>
      </w:r>
      <w:r w:rsidRPr="00400349">
        <w:rPr>
          <w:color w:val="auto"/>
        </w:rPr>
        <w:t xml:space="preserve"> (2nd ed, Office for Democratic Institutions and Human Rights, 2022) at 47. </w:t>
      </w:r>
    </w:p>
  </w:footnote>
  <w:footnote w:id="691">
    <w:p w14:paraId="7B4BE53A" w14:textId="3A5082F5"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Consultation Paper at [3.55]</w:t>
      </w:r>
      <w:r w:rsidR="00483EAD" w:rsidRPr="00400349">
        <w:rPr>
          <w:color w:val="auto"/>
        </w:rPr>
        <w:t>–</w:t>
      </w:r>
      <w:r w:rsidRPr="00400349">
        <w:rPr>
          <w:color w:val="auto"/>
        </w:rPr>
        <w:t>[3.56], [3.58] and [5.47].</w:t>
      </w:r>
    </w:p>
  </w:footnote>
  <w:footnote w:id="692">
    <w:p w14:paraId="29A5DE14" w14:textId="1098BCD0"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7804BF" w:rsidRPr="00400349">
        <w:rPr>
          <w:color w:val="auto"/>
        </w:rPr>
        <w:t>Madeline Ash; Dr David Harvey; Russell Hoban; Inclusive Aotearoa Collective Tāhono; New Zealand Federation of Business and Professional Women; Submission 57; Tamsen Williams; Dr Chris Wilson; and Women’s Rights Party.</w:t>
      </w:r>
    </w:p>
  </w:footnote>
  <w:footnote w:id="693">
    <w:p w14:paraId="5B45706B" w14:textId="12B58ABC"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7804BF" w:rsidRPr="00400349">
        <w:rPr>
          <w:color w:val="auto"/>
        </w:rPr>
        <w:t>Women’s Rights Party.</w:t>
      </w:r>
    </w:p>
  </w:footnote>
  <w:footnote w:id="694">
    <w:p w14:paraId="11F699D5" w14:textId="15B7B8B6"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New Zealand Federation of Business and Professional Women; Tamsen Williams; Dr Chris Wilson; and Women’s Rights Party.</w:t>
      </w:r>
    </w:p>
  </w:footnote>
  <w:footnote w:id="695">
    <w:p w14:paraId="3C783581" w14:textId="7687AB8F"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New Zealand Federation of Business and Professional Women.</w:t>
      </w:r>
    </w:p>
  </w:footnote>
  <w:footnote w:id="696">
    <w:p w14:paraId="6AA96762" w14:textId="010AB45A"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851F20" w:rsidRPr="00400349">
        <w:rPr>
          <w:color w:val="auto"/>
        </w:rPr>
        <w:t>Inclusive Aotearoa Collective Tāhono.</w:t>
      </w:r>
    </w:p>
  </w:footnote>
  <w:footnote w:id="697">
    <w:p w14:paraId="7FF00C6A" w14:textId="376A952B"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Tamsen Williams.</w:t>
      </w:r>
    </w:p>
  </w:footnote>
  <w:footnote w:id="698">
    <w:p w14:paraId="37193B57" w14:textId="7587F6C9" w:rsidR="001D525A" w:rsidRPr="00400349" w:rsidRDefault="001D525A" w:rsidP="001D525A">
      <w:pPr>
        <w:pStyle w:val="FootnoteText"/>
      </w:pPr>
      <w:r w:rsidRPr="00400349">
        <w:rPr>
          <w:rStyle w:val="FootnoteReference"/>
        </w:rPr>
        <w:footnoteRef/>
      </w:r>
      <w:r w:rsidRPr="00400349">
        <w:t xml:space="preserve"> </w:t>
      </w:r>
      <w:r w:rsidRPr="00400349">
        <w:tab/>
      </w:r>
      <w:r w:rsidR="00851F20" w:rsidRPr="00400349">
        <w:rPr>
          <w:color w:val="auto"/>
        </w:rPr>
        <w:t>Women’s Rights Party.</w:t>
      </w:r>
    </w:p>
  </w:footnote>
  <w:footnote w:id="699">
    <w:p w14:paraId="5E0643C2" w14:textId="6638E6F4" w:rsidR="001D525A" w:rsidRPr="00400349" w:rsidRDefault="001D525A" w:rsidP="001D525A">
      <w:pPr>
        <w:pStyle w:val="FootnoteText"/>
      </w:pPr>
      <w:r w:rsidRPr="00400349">
        <w:rPr>
          <w:rStyle w:val="FootnoteReference"/>
        </w:rPr>
        <w:footnoteRef/>
      </w:r>
      <w:r w:rsidRPr="00400349">
        <w:t xml:space="preserve"> </w:t>
      </w:r>
      <w:r w:rsidRPr="00400349">
        <w:tab/>
      </w:r>
      <w:r w:rsidR="0045369B" w:rsidRPr="00400349">
        <w:rPr>
          <w:color w:val="auto"/>
        </w:rPr>
        <w:t>Crimes (Sentencing Procedure) Act 1999 (NSW), s 21A(2)(h).</w:t>
      </w:r>
    </w:p>
  </w:footnote>
  <w:footnote w:id="700">
    <w:p w14:paraId="12C49773" w14:textId="6816CE13" w:rsidR="001D525A" w:rsidRPr="00400349" w:rsidRDefault="001D525A" w:rsidP="001D525A">
      <w:pPr>
        <w:pStyle w:val="FootnoteText"/>
      </w:pPr>
      <w:r w:rsidRPr="00400349">
        <w:rPr>
          <w:rStyle w:val="FootnoteReference"/>
        </w:rPr>
        <w:footnoteRef/>
      </w:r>
      <w:r w:rsidRPr="00400349">
        <w:t xml:space="preserve"> </w:t>
      </w:r>
      <w:r w:rsidRPr="00400349">
        <w:tab/>
      </w:r>
      <w:r w:rsidR="00A26090" w:rsidRPr="00400349">
        <w:rPr>
          <w:color w:val="auto"/>
        </w:rPr>
        <w:t>Criminal Code RSC 1985 c C–46, s 718.2(a)(i)</w:t>
      </w:r>
      <w:r w:rsidR="00A26090">
        <w:rPr>
          <w:color w:val="auto"/>
        </w:rPr>
        <w:t xml:space="preserve">; </w:t>
      </w:r>
      <w:r w:rsidR="00A26090" w:rsidRPr="00400349">
        <w:rPr>
          <w:color w:val="auto"/>
        </w:rPr>
        <w:t>Sentencing Act 2017 (SA), s 11(1)(ca)</w:t>
      </w:r>
      <w:r w:rsidR="00A26090">
        <w:rPr>
          <w:color w:val="auto"/>
        </w:rPr>
        <w:t xml:space="preserve">; </w:t>
      </w:r>
      <w:r w:rsidR="008C3967" w:rsidRPr="00400349">
        <w:rPr>
          <w:color w:val="auto"/>
        </w:rPr>
        <w:t>Criminal Justice (Hate Offences) Act 2024 (Ireland), s 3(1)(g)</w:t>
      </w:r>
      <w:r w:rsidR="007A2F11">
        <w:rPr>
          <w:color w:val="auto"/>
        </w:rPr>
        <w:t xml:space="preserve">; and </w:t>
      </w:r>
      <w:r w:rsidR="00E24290" w:rsidRPr="00400349">
        <w:rPr>
          <w:color w:val="auto"/>
        </w:rPr>
        <w:t>Sentencing Act 1997 (Tas), s 11B(3)(e).</w:t>
      </w:r>
    </w:p>
  </w:footnote>
  <w:footnote w:id="701">
    <w:p w14:paraId="1AF2C6E2" w14:textId="129B6B5D" w:rsidR="001D525A" w:rsidRPr="00400349" w:rsidRDefault="001D525A" w:rsidP="001D525A">
      <w:pPr>
        <w:pStyle w:val="FootnoteText"/>
      </w:pPr>
      <w:r w:rsidRPr="00400349">
        <w:rPr>
          <w:rStyle w:val="FootnoteReference"/>
        </w:rPr>
        <w:footnoteRef/>
      </w:r>
      <w:r w:rsidRPr="00400349">
        <w:t xml:space="preserve"> </w:t>
      </w:r>
      <w:r w:rsidRPr="00400349">
        <w:tab/>
      </w:r>
      <w:r w:rsidR="00E24290" w:rsidRPr="00400349">
        <w:rPr>
          <w:color w:val="auto"/>
        </w:rPr>
        <w:t xml:space="preserve">Organization for Security and Co-operation in Europe </w:t>
      </w:r>
      <w:r w:rsidR="00E24290" w:rsidRPr="00400349">
        <w:rPr>
          <w:i/>
          <w:color w:val="auto"/>
        </w:rPr>
        <w:t>Hate Crime Laws: A Practical Guide</w:t>
      </w:r>
      <w:r w:rsidR="00E24290" w:rsidRPr="00400349">
        <w:rPr>
          <w:color w:val="auto"/>
        </w:rPr>
        <w:t xml:space="preserve"> (2nd ed, Office for Democratic Institutions and Human Rights, 2022) at 53. Twenty-one states had laws relating to gender identity.</w:t>
      </w:r>
    </w:p>
  </w:footnote>
  <w:footnote w:id="702">
    <w:p w14:paraId="6EC4971A" w14:textId="094A62A0" w:rsidR="001D525A" w:rsidRPr="00400349" w:rsidRDefault="001D525A" w:rsidP="001D525A">
      <w:pPr>
        <w:pStyle w:val="FootnoteText"/>
      </w:pPr>
      <w:r w:rsidRPr="00400349">
        <w:rPr>
          <w:rStyle w:val="FootnoteReference"/>
        </w:rPr>
        <w:footnoteRef/>
      </w:r>
      <w:r w:rsidRPr="00400349">
        <w:t xml:space="preserve"> </w:t>
      </w:r>
      <w:r w:rsidRPr="00400349">
        <w:tab/>
        <w:t xml:space="preserve">Alistair P Campbell </w:t>
      </w:r>
      <w:r w:rsidR="00840ED0" w:rsidRPr="00400349">
        <w:rPr>
          <w:i/>
          <w:color w:val="auto"/>
        </w:rPr>
        <w:t xml:space="preserve">Independent Review of Hate Crime Legislation in Scotland: </w:t>
      </w:r>
      <w:r w:rsidRPr="00400349">
        <w:rPr>
          <w:i/>
        </w:rPr>
        <w:t>Final report</w:t>
      </w:r>
      <w:r w:rsidRPr="00400349">
        <w:t xml:space="preserve"> (</w:t>
      </w:r>
      <w:r w:rsidR="004B1D6D" w:rsidRPr="00400349">
        <w:t xml:space="preserve">Justice Directorate, </w:t>
      </w:r>
      <w:r w:rsidRPr="00400349">
        <w:t>May 2018) at [4.50] (recommendation 9)</w:t>
      </w:r>
      <w:r w:rsidR="004D1A91" w:rsidRPr="00400349">
        <w:t>;</w:t>
      </w:r>
      <w:r w:rsidRPr="00400349">
        <w:t xml:space="preserve"> and Desmond Marrinan </w:t>
      </w:r>
      <w:r w:rsidRPr="00400349">
        <w:rPr>
          <w:i/>
        </w:rPr>
        <w:t>Hate crime legislation in Northern Ireland: Independent Review</w:t>
      </w:r>
      <w:r w:rsidRPr="00400349">
        <w:t xml:space="preserve"> (Department of Justice, December 2020) at [7.1</w:t>
      </w:r>
      <w:r w:rsidR="00714880" w:rsidRPr="00400349">
        <w:t>19</w:t>
      </w:r>
      <w:r w:rsidRPr="00400349">
        <w:t xml:space="preserve">] </w:t>
      </w:r>
      <w:r w:rsidR="00CA3AF6" w:rsidRPr="00400349">
        <w:t xml:space="preserve">and [7.138] </w:t>
      </w:r>
      <w:r w:rsidRPr="00400349">
        <w:t>(recommendation 9).</w:t>
      </w:r>
    </w:p>
  </w:footnote>
  <w:footnote w:id="703">
    <w:p w14:paraId="06E5B9D5" w14:textId="0605B2A5" w:rsidR="001D525A" w:rsidRPr="00400349" w:rsidRDefault="001D525A" w:rsidP="001D525A">
      <w:pPr>
        <w:pStyle w:val="FootnoteText"/>
      </w:pPr>
      <w:r w:rsidRPr="00400349">
        <w:rPr>
          <w:rStyle w:val="FootnoteReference"/>
        </w:rPr>
        <w:footnoteRef/>
      </w:r>
      <w:r w:rsidRPr="00400349">
        <w:t xml:space="preserve"> </w:t>
      </w:r>
      <w:r w:rsidRPr="00400349">
        <w:tab/>
        <w:t>Hate Crime and Public Order (Scotland) Act 2021</w:t>
      </w:r>
      <w:r w:rsidR="00EC0E43" w:rsidRPr="00400349">
        <w:t xml:space="preserve"> (UK)</w:t>
      </w:r>
      <w:r w:rsidRPr="00400349">
        <w:t xml:space="preserve">, s 12. When the legislation was passed, the decision about </w:t>
      </w:r>
      <w:r w:rsidR="00D44197">
        <w:t xml:space="preserve">whether to include </w:t>
      </w:r>
      <w:r w:rsidRPr="00400349">
        <w:t>the characteristic of sex was deferred until receiving recommendations from a Working Group on Misogyny and Criminal Justice. The Working Group was set up to consider whether legislation was needed to address violence and harassment against women</w:t>
      </w:r>
      <w:r w:rsidR="005B1690">
        <w:t>,</w:t>
      </w:r>
      <w:r w:rsidRPr="00400349">
        <w:t xml:space="preserve"> as groups consulted on the initial bill preferred “</w:t>
      </w:r>
      <w:r w:rsidR="00887430" w:rsidRPr="00400349">
        <w:t xml:space="preserve">the </w:t>
      </w:r>
      <w:r w:rsidRPr="00400349">
        <w:t xml:space="preserve">development of </w:t>
      </w:r>
      <w:r w:rsidR="00887430" w:rsidRPr="00400349">
        <w:t xml:space="preserve">a </w:t>
      </w:r>
      <w:r w:rsidRPr="00400349">
        <w:t xml:space="preserve">standalone offence for misogyny to tackle the unique features of violence and harassment against women”: Scottish Government </w:t>
      </w:r>
      <w:r w:rsidRPr="00400349">
        <w:rPr>
          <w:i/>
          <w:iCs/>
        </w:rPr>
        <w:t>Policy Memorandum: Hate Crime and Public Order (Scotland) Bill</w:t>
      </w:r>
      <w:r w:rsidRPr="00400349">
        <w:t xml:space="preserve"> (23 April 2020) at [255].</w:t>
      </w:r>
    </w:p>
  </w:footnote>
  <w:footnote w:id="704">
    <w:p w14:paraId="3616DDBF" w14:textId="6FC3F112" w:rsidR="001D525A" w:rsidRPr="00400349" w:rsidRDefault="001D525A" w:rsidP="001D525A">
      <w:pPr>
        <w:pStyle w:val="FootnoteText"/>
        <w:jc w:val="left"/>
        <w:rPr>
          <w:i/>
          <w:iCs/>
        </w:rPr>
      </w:pPr>
      <w:r w:rsidRPr="00400349">
        <w:rPr>
          <w:rStyle w:val="FootnoteReference"/>
        </w:rPr>
        <w:footnoteRef/>
      </w:r>
      <w:r w:rsidRPr="00400349">
        <w:t xml:space="preserve"> </w:t>
      </w:r>
      <w:r w:rsidRPr="00400349">
        <w:tab/>
      </w:r>
      <w:r w:rsidR="009907B9" w:rsidRPr="00400349">
        <w:rPr>
          <w:color w:val="auto"/>
        </w:rPr>
        <w:t>Phil Sim “</w:t>
      </w:r>
      <w:r w:rsidR="009907B9" w:rsidRPr="00400349">
        <w:t>Scottish government drops plans for new misogyny law</w:t>
      </w:r>
      <w:r w:rsidR="009907B9" w:rsidRPr="00400349">
        <w:rPr>
          <w:color w:val="auto"/>
        </w:rPr>
        <w:t xml:space="preserve">” </w:t>
      </w:r>
      <w:r w:rsidR="009907B9" w:rsidRPr="00400349">
        <w:rPr>
          <w:i/>
          <w:iCs/>
          <w:color w:val="auto"/>
        </w:rPr>
        <w:t xml:space="preserve">BBC </w:t>
      </w:r>
      <w:r w:rsidR="009907B9" w:rsidRPr="00400349">
        <w:rPr>
          <w:color w:val="auto"/>
        </w:rPr>
        <w:t xml:space="preserve">(2 May 2025) </w:t>
      </w:r>
      <w:r w:rsidR="009907B9" w:rsidRPr="006E1106">
        <w:rPr>
          <w:rStyle w:val="Hyperlink"/>
          <w:u w:val="none"/>
        </w:rPr>
        <w:t>&lt;</w:t>
      </w:r>
      <w:r w:rsidR="009907B9" w:rsidRPr="00400349">
        <w:rPr>
          <w:color w:val="auto"/>
        </w:rPr>
        <w:t xml:space="preserve">www.bbc.com&gt;; and The Hate Crime and Public Order (Scotland) Act 2021 (Characteristic of Sex) (Amendment and Transitional Provisions) Regulations 2026 (UK), reg 2. </w:t>
      </w:r>
      <w:r w:rsidRPr="00400349">
        <w:t xml:space="preserve">Although </w:t>
      </w:r>
      <w:r w:rsidR="009115AB" w:rsidRPr="00400349">
        <w:t>the independent review</w:t>
      </w:r>
      <w:r w:rsidRPr="00400349">
        <w:t xml:space="preserve"> had used the term ‘gender’, the Scottish Parliament adopted the term ‘sex’ on the basis that this was consistent with the Equality Act 2010 (UK): Scottish Government </w:t>
      </w:r>
      <w:r w:rsidRPr="00400349">
        <w:rPr>
          <w:i/>
          <w:iCs/>
        </w:rPr>
        <w:t>Policy Memorandum: Hate Crime and Public Order (Scotland) Bill</w:t>
      </w:r>
      <w:r w:rsidRPr="00400349">
        <w:t xml:space="preserve"> (23 April 2020) at [247].</w:t>
      </w:r>
    </w:p>
  </w:footnote>
  <w:footnote w:id="705">
    <w:p w14:paraId="1E2EB474" w14:textId="77777777" w:rsidR="00E27E37" w:rsidRPr="00400349" w:rsidRDefault="00E27E37" w:rsidP="00E27E37">
      <w:pPr>
        <w:pStyle w:val="FootnoteText"/>
      </w:pPr>
      <w:r w:rsidRPr="00400349">
        <w:rPr>
          <w:rStyle w:val="FootnoteReference"/>
        </w:rPr>
        <w:footnoteRef/>
      </w:r>
      <w:r w:rsidRPr="00400349">
        <w:t xml:space="preserve"> </w:t>
      </w:r>
      <w:r w:rsidRPr="00400349">
        <w:tab/>
        <w:t xml:space="preserve">Law Commission </w:t>
      </w:r>
      <w:r w:rsidRPr="00400349">
        <w:rPr>
          <w:lang w:val="mi-NZ"/>
        </w:rPr>
        <w:t xml:space="preserve">(England and Wales) </w:t>
      </w:r>
      <w:r w:rsidRPr="00400349">
        <w:rPr>
          <w:i/>
        </w:rPr>
        <w:t xml:space="preserve">Hate crime laws: Final report </w:t>
      </w:r>
      <w:r w:rsidRPr="00400349">
        <w:t xml:space="preserve">(R402, 2021) at [5.381] (recommendation 8). </w:t>
      </w:r>
    </w:p>
  </w:footnote>
  <w:footnote w:id="706">
    <w:p w14:paraId="5BDD2C64" w14:textId="4C8448D5" w:rsidR="001D525A" w:rsidRPr="00400349" w:rsidRDefault="001D525A" w:rsidP="001D525A">
      <w:pPr>
        <w:pStyle w:val="FootnoteText"/>
      </w:pPr>
      <w:r w:rsidRPr="00400349">
        <w:rPr>
          <w:rStyle w:val="FootnoteReference"/>
        </w:rPr>
        <w:footnoteRef/>
      </w:r>
      <w:r w:rsidRPr="00400349">
        <w:t xml:space="preserve"> </w:t>
      </w:r>
      <w:r w:rsidRPr="00400349">
        <w:tab/>
      </w:r>
      <w:r w:rsidR="00502309" w:rsidRPr="00400349">
        <w:t>See Crime and Disorder Act</w:t>
      </w:r>
      <w:r w:rsidR="00B460AD">
        <w:t xml:space="preserve"> 1998</w:t>
      </w:r>
      <w:r w:rsidR="00502309" w:rsidRPr="00400349">
        <w:t xml:space="preserve"> (UK), s 28(2) (as amended by </w:t>
      </w:r>
      <w:r w:rsidR="00D60EC1" w:rsidRPr="00400349">
        <w:t>Crime and Polic</w:t>
      </w:r>
      <w:r w:rsidR="000051C4" w:rsidRPr="00400349">
        <w:t>ing</w:t>
      </w:r>
      <w:r w:rsidR="00D60EC1" w:rsidRPr="00400349">
        <w:t xml:space="preserve"> Act 2026</w:t>
      </w:r>
      <w:r w:rsidR="00C217E9" w:rsidRPr="00400349">
        <w:t xml:space="preserve"> (UK)</w:t>
      </w:r>
      <w:r w:rsidR="00D60EC1" w:rsidRPr="00400349">
        <w:t xml:space="preserve">, s </w:t>
      </w:r>
      <w:r w:rsidR="00C217E9" w:rsidRPr="00400349">
        <w:t>145</w:t>
      </w:r>
      <w:r w:rsidR="00F17AC3" w:rsidRPr="00400349">
        <w:t>)</w:t>
      </w:r>
      <w:r w:rsidR="00C217E9" w:rsidRPr="00400349">
        <w:t>.</w:t>
      </w:r>
      <w:r w:rsidR="00D60EC1" w:rsidRPr="00400349">
        <w:t xml:space="preserve"> </w:t>
      </w:r>
      <w:r w:rsidRPr="00400349">
        <w:t>The</w:t>
      </w:r>
      <w:r w:rsidRPr="00400349" w:rsidDel="009A623C">
        <w:t xml:space="preserve"> </w:t>
      </w:r>
      <w:r w:rsidRPr="00400349">
        <w:t>legislation has a carve</w:t>
      </w:r>
      <w:r w:rsidR="003A1ACA">
        <w:t>-</w:t>
      </w:r>
      <w:r w:rsidRPr="00400349">
        <w:t>out for the offence of sex-based harassment.</w:t>
      </w:r>
    </w:p>
  </w:footnote>
  <w:footnote w:id="707">
    <w:p w14:paraId="4EFCD1A4" w14:textId="7BD50F64" w:rsidR="001D525A" w:rsidRPr="00400349" w:rsidRDefault="001D525A" w:rsidP="001D525A">
      <w:pPr>
        <w:pStyle w:val="FootnoteText"/>
      </w:pPr>
      <w:r w:rsidRPr="00400349">
        <w:rPr>
          <w:rStyle w:val="FootnoteReference"/>
        </w:rPr>
        <w:footnoteRef/>
      </w:r>
      <w:r w:rsidRPr="00400349">
        <w:t xml:space="preserve"> </w:t>
      </w:r>
      <w:r w:rsidRPr="00400349">
        <w:tab/>
        <w:t>(4 March 2026) 853 UKHL</w:t>
      </w:r>
      <w:r w:rsidR="00243C49" w:rsidRPr="00400349">
        <w:t xml:space="preserve"> </w:t>
      </w:r>
      <w:r w:rsidRPr="00400349">
        <w:t>129</w:t>
      </w:r>
      <w:r w:rsidR="00B95321" w:rsidRPr="00400349">
        <w:t>6</w:t>
      </w:r>
      <w:r w:rsidR="0047499A" w:rsidRPr="00400349">
        <w:t>–</w:t>
      </w:r>
      <w:r w:rsidRPr="00400349">
        <w:t>129</w:t>
      </w:r>
      <w:r w:rsidR="00B95321" w:rsidRPr="00400349">
        <w:t>8</w:t>
      </w:r>
      <w:r w:rsidR="00FD514F" w:rsidRPr="00400349">
        <w:t>.</w:t>
      </w:r>
    </w:p>
  </w:footnote>
  <w:footnote w:id="708">
    <w:p w14:paraId="54036E33" w14:textId="19265E95" w:rsidR="001D525A" w:rsidRPr="00400349" w:rsidRDefault="001D525A" w:rsidP="001D525A">
      <w:pPr>
        <w:pStyle w:val="FootnoteText"/>
      </w:pPr>
      <w:r w:rsidRPr="00400349">
        <w:rPr>
          <w:rStyle w:val="FootnoteReference"/>
        </w:rPr>
        <w:footnoteRef/>
      </w:r>
      <w:r w:rsidRPr="00400349">
        <w:t xml:space="preserve"> </w:t>
      </w:r>
      <w:r w:rsidRPr="00400349">
        <w:tab/>
        <w:t xml:space="preserve">Alistair P Campbell </w:t>
      </w:r>
      <w:r w:rsidR="00840ED0" w:rsidRPr="00400349">
        <w:rPr>
          <w:i/>
          <w:color w:val="auto"/>
        </w:rPr>
        <w:t xml:space="preserve">Independent Review of Hate Crime Legislation in Scotland: </w:t>
      </w:r>
      <w:r w:rsidRPr="00400349">
        <w:rPr>
          <w:i/>
        </w:rPr>
        <w:t>Final report</w:t>
      </w:r>
      <w:r w:rsidRPr="00400349">
        <w:t xml:space="preserve"> (</w:t>
      </w:r>
      <w:r w:rsidR="009869CF" w:rsidRPr="00400349">
        <w:t xml:space="preserve">Justice Directorate, </w:t>
      </w:r>
      <w:r w:rsidRPr="00400349">
        <w:t xml:space="preserve">May 2018) at [4.35]; and Desmond Marrinan </w:t>
      </w:r>
      <w:r w:rsidRPr="00400349">
        <w:rPr>
          <w:i/>
        </w:rPr>
        <w:t>Hate crime legislation in Northern Ireland: Independent Review</w:t>
      </w:r>
      <w:r w:rsidRPr="00400349">
        <w:t xml:space="preserve"> (Department of Justice, December 2020) at [7.109]. The Law Commission of England and Wales also acknowledged this, but concluded that a ground of sex-based hostility was unsuitable for other reasons, which we discuss below: see</w:t>
      </w:r>
      <w:r w:rsidRPr="00400349">
        <w:rPr>
          <w:color w:val="auto"/>
          <w:sz w:val="20"/>
          <w:szCs w:val="24"/>
          <w:lang w:eastAsia="en-AU"/>
        </w:rPr>
        <w:t xml:space="preserve"> </w:t>
      </w:r>
      <w:r w:rsidRPr="00400349">
        <w:rPr>
          <w:i/>
        </w:rPr>
        <w:t xml:space="preserve">Hate crime laws: A consultation paper </w:t>
      </w:r>
      <w:r w:rsidRPr="00400349">
        <w:t xml:space="preserve">(CP250, 2020) at [12.85]; and </w:t>
      </w:r>
      <w:r w:rsidRPr="00400349">
        <w:rPr>
          <w:i/>
        </w:rPr>
        <w:t xml:space="preserve">Hate crime laws: Final report </w:t>
      </w:r>
      <w:r w:rsidRPr="00400349">
        <w:t xml:space="preserve">(R402, 2021) at [5.378]. </w:t>
      </w:r>
    </w:p>
  </w:footnote>
  <w:footnote w:id="709">
    <w:p w14:paraId="22A76A67" w14:textId="77777777" w:rsidR="001D525A" w:rsidRPr="00400349" w:rsidRDefault="001D525A" w:rsidP="001D525A">
      <w:pPr>
        <w:pStyle w:val="FootnoteText"/>
      </w:pPr>
      <w:r w:rsidRPr="00400349">
        <w:rPr>
          <w:rStyle w:val="FootnoteReference"/>
        </w:rPr>
        <w:footnoteRef/>
      </w:r>
      <w:r w:rsidRPr="00400349">
        <w:t xml:space="preserve"> </w:t>
      </w:r>
      <w:r w:rsidRPr="00400349">
        <w:tab/>
        <w:t>Police currently record perceived hate crimes based on sex under the ‘gender identity’ characteristic.</w:t>
      </w:r>
    </w:p>
  </w:footnote>
  <w:footnote w:id="710">
    <w:p w14:paraId="0BA9BD06" w14:textId="297C9250" w:rsidR="001D525A" w:rsidRPr="00400349" w:rsidRDefault="001D525A" w:rsidP="001D525A">
      <w:pPr>
        <w:pStyle w:val="FootnoteText"/>
      </w:pPr>
      <w:r w:rsidRPr="00400349">
        <w:rPr>
          <w:rStyle w:val="FootnoteReference"/>
        </w:rPr>
        <w:footnoteRef/>
      </w:r>
      <w:r w:rsidRPr="00400349">
        <w:t xml:space="preserve"> </w:t>
      </w:r>
      <w:r w:rsidRPr="00400349">
        <w:tab/>
      </w:r>
      <w:r w:rsidR="004C1B55" w:rsidRPr="00400349">
        <w:t>Manatū Wāhine | Ministry for Women “Women’s Safety — Data and research”</w:t>
      </w:r>
      <w:r w:rsidR="004C1B55" w:rsidRPr="00400349">
        <w:rPr>
          <w:i/>
          <w:color w:val="auto"/>
        </w:rPr>
        <w:t xml:space="preserve"> </w:t>
      </w:r>
      <w:r w:rsidR="004C1B55" w:rsidRPr="00400349">
        <w:rPr>
          <w:color w:val="auto"/>
        </w:rPr>
        <w:t xml:space="preserve">&lt;www.women.govt.nz&gt;; </w:t>
      </w:r>
      <w:r w:rsidR="004C1B55" w:rsidRPr="00400349">
        <w:t>Te Tāhū o te Ture | Ministry of Justice “Research &amp; Data: Family violence and sexual violence research” (6 January 2026) &lt;www.justice.govt.nz&gt;</w:t>
      </w:r>
      <w:r w:rsidR="004C1B55" w:rsidRPr="00400349">
        <w:rPr>
          <w:color w:val="auto"/>
        </w:rPr>
        <w:t xml:space="preserve">; </w:t>
      </w:r>
      <w:r w:rsidR="004C1B55" w:rsidRPr="00400349">
        <w:t>Violence Information Aotearoa “Violence statistics: Population-based research</w:t>
      </w:r>
      <w:r w:rsidR="004C1B55" w:rsidRPr="00400349">
        <w:rPr>
          <w:color w:val="auto"/>
        </w:rPr>
        <w:t xml:space="preserve">” </w:t>
      </w:r>
      <w:r w:rsidR="00536C72" w:rsidRPr="00400349">
        <w:rPr>
          <w:color w:val="auto"/>
        </w:rPr>
        <w:t>&lt;</w:t>
      </w:r>
      <w:r w:rsidR="00536C72" w:rsidRPr="00400349">
        <w:t>www.vine.org.nz&gt;</w:t>
      </w:r>
      <w:r w:rsidR="00111148" w:rsidRPr="00400349">
        <w:t>;</w:t>
      </w:r>
      <w:r w:rsidRPr="00400349">
        <w:t xml:space="preserve"> </w:t>
      </w:r>
      <w:r w:rsidR="00F21093" w:rsidRPr="00400349">
        <w:t>World Health Organization “Violence against women” (25 Match 2024) &lt;www.who.int&gt;</w:t>
      </w:r>
      <w:r w:rsidR="00F21093" w:rsidRPr="00400349">
        <w:rPr>
          <w:color w:val="auto"/>
        </w:rPr>
        <w:t xml:space="preserve">; Marama Davidson </w:t>
      </w:r>
      <w:r w:rsidR="00F21093" w:rsidRPr="00400349">
        <w:rPr>
          <w:i/>
        </w:rPr>
        <w:t>Te Aorerekura</w:t>
      </w:r>
      <w:r w:rsidR="00872054" w:rsidRPr="00872054">
        <w:rPr>
          <w:i/>
          <w:iCs/>
        </w:rPr>
        <w:t xml:space="preserve">: </w:t>
      </w:r>
      <w:r w:rsidR="00F21093" w:rsidRPr="00872054">
        <w:rPr>
          <w:i/>
          <w:iCs/>
        </w:rPr>
        <w:t>The Enduring Spirit of Affection</w:t>
      </w:r>
      <w:r w:rsidR="00872054" w:rsidRPr="00872054">
        <w:rPr>
          <w:i/>
          <w:iCs/>
        </w:rPr>
        <w:t xml:space="preserve"> — </w:t>
      </w:r>
      <w:r w:rsidR="00F21093" w:rsidRPr="00872054">
        <w:rPr>
          <w:i/>
          <w:iCs/>
        </w:rPr>
        <w:t>The National Strategy to Eliminate Family Violence and Sexual Violence</w:t>
      </w:r>
      <w:r w:rsidR="00F21093" w:rsidRPr="00400349">
        <w:t xml:space="preserve"> (</w:t>
      </w:r>
      <w:r w:rsidR="006E754A" w:rsidRPr="00400349">
        <w:t xml:space="preserve">Te </w:t>
      </w:r>
      <w:r w:rsidR="00F21093" w:rsidRPr="00400349">
        <w:t>Kāwanatanga o Aotearoa | New Zealand Government, December 2021)</w:t>
      </w:r>
      <w:r w:rsidR="00F21093" w:rsidRPr="00400349">
        <w:rPr>
          <w:color w:val="auto"/>
        </w:rPr>
        <w:t xml:space="preserve"> at 11</w:t>
      </w:r>
      <w:r w:rsidR="006E754A" w:rsidRPr="00400349">
        <w:rPr>
          <w:color w:val="auto"/>
        </w:rPr>
        <w:t>–</w:t>
      </w:r>
      <w:r w:rsidR="00F21093" w:rsidRPr="00400349">
        <w:rPr>
          <w:color w:val="auto"/>
        </w:rPr>
        <w:t xml:space="preserve">12; </w:t>
      </w:r>
      <w:r w:rsidR="00F21093" w:rsidRPr="00400349">
        <w:t xml:space="preserve">Manatū Wāhine | Ministry for Women </w:t>
      </w:r>
      <w:r w:rsidR="00F21093" w:rsidRPr="00400349">
        <w:rPr>
          <w:i/>
          <w:iCs/>
        </w:rPr>
        <w:t>Women’s Equality Strategy: Aotearoa New Zealand</w:t>
      </w:r>
      <w:r w:rsidR="00F21093" w:rsidRPr="00400349">
        <w:t xml:space="preserve"> (2023)</w:t>
      </w:r>
      <w:r w:rsidR="00F21093" w:rsidRPr="00400349">
        <w:rPr>
          <w:color w:val="auto"/>
        </w:rPr>
        <w:t xml:space="preserve"> at 14; and Brenda C Gutierrez and Campbell Leaper “Linking Ambivalent Sexism to Violence-Against-Women Attitudes and Behaviours: A Three-Level Meta-analytic Review” (2024) 28 Sexuality &amp; Culture 851.</w:t>
      </w:r>
    </w:p>
  </w:footnote>
  <w:footnote w:id="711">
    <w:p w14:paraId="09C54D39" w14:textId="4DCE3924" w:rsidR="001D525A" w:rsidRPr="00400349" w:rsidRDefault="001D525A" w:rsidP="001D525A">
      <w:pPr>
        <w:pStyle w:val="FootnoteText"/>
      </w:pPr>
      <w:r w:rsidRPr="00400349">
        <w:rPr>
          <w:rStyle w:val="FootnoteReference"/>
        </w:rPr>
        <w:footnoteRef/>
      </w:r>
      <w:r w:rsidRPr="00400349">
        <w:t xml:space="preserve"> </w:t>
      </w:r>
      <w:r w:rsidRPr="00400349">
        <w:tab/>
      </w:r>
      <w:r w:rsidR="00977461" w:rsidRPr="00400349">
        <w:rPr>
          <w:color w:val="auto"/>
        </w:rPr>
        <w:t xml:space="preserve">Te Mana Whakaatu | Classification Office </w:t>
      </w:r>
      <w:r w:rsidR="00977461" w:rsidRPr="00400349">
        <w:rPr>
          <w:i/>
          <w:iCs/>
        </w:rPr>
        <w:t>Online Misogyny and Violent Extremism</w:t>
      </w:r>
      <w:r w:rsidR="00666882" w:rsidRPr="00400349">
        <w:rPr>
          <w:i/>
          <w:iCs/>
        </w:rPr>
        <w:t>: Understanding the Landscape</w:t>
      </w:r>
      <w:r w:rsidR="00CE6CA7" w:rsidRPr="00400349">
        <w:t xml:space="preserve"> (Summary Report, May 2024) at </w:t>
      </w:r>
      <w:r w:rsidR="0092161B" w:rsidRPr="00400349">
        <w:t>13–15</w:t>
      </w:r>
      <w:r w:rsidR="00CE6CA7" w:rsidRPr="00400349">
        <w:t xml:space="preserve">; </w:t>
      </w:r>
      <w:r w:rsidR="00977461" w:rsidRPr="00400349">
        <w:rPr>
          <w:color w:val="auto"/>
        </w:rPr>
        <w:t>Rhiannon Watson and others “Misogyny, racism, and threats to our families: a qualitative study of harassment of female politicians” (2025) 20 K</w:t>
      </w:r>
      <w:r w:rsidR="00B62E27">
        <w:rPr>
          <w:color w:val="auto"/>
        </w:rPr>
        <w:t>ō</w:t>
      </w:r>
      <w:r w:rsidR="00977461" w:rsidRPr="00400349">
        <w:rPr>
          <w:color w:val="auto"/>
        </w:rPr>
        <w:t xml:space="preserve">tuitui: New Zealand Journal </w:t>
      </w:r>
      <w:r w:rsidR="00B62E27">
        <w:rPr>
          <w:color w:val="auto"/>
        </w:rPr>
        <w:t>o</w:t>
      </w:r>
      <w:r w:rsidR="00977461" w:rsidRPr="00400349">
        <w:rPr>
          <w:color w:val="auto"/>
        </w:rPr>
        <w:t xml:space="preserve">f Social Sciences Online 979; Susanna Every-Palmer, Oliver Hansby and Justin Barry-Walsh “Stalking, harassment, gendered abuse, and violence towards politicians in the COVID-19 pandemic and recovery era” (2024) 15 Frontiers in Psychiatry 1; </w:t>
      </w:r>
      <w:r w:rsidR="00977461" w:rsidRPr="00400349">
        <w:t xml:space="preserve">Helena Kennedy QC </w:t>
      </w:r>
      <w:r w:rsidR="00977461" w:rsidRPr="00400349">
        <w:rPr>
          <w:i/>
          <w:iCs/>
        </w:rPr>
        <w:t xml:space="preserve">Misogyny </w:t>
      </w:r>
      <w:r w:rsidR="00174259">
        <w:rPr>
          <w:i/>
          <w:iCs/>
        </w:rPr>
        <w:t>—</w:t>
      </w:r>
      <w:r w:rsidR="00977461" w:rsidRPr="00400349">
        <w:rPr>
          <w:i/>
          <w:iCs/>
        </w:rPr>
        <w:t xml:space="preserve"> A Human Rights Issue</w:t>
      </w:r>
      <w:r w:rsidR="00977461" w:rsidRPr="00400349">
        <w:t xml:space="preserve"> (</w:t>
      </w:r>
      <w:r w:rsidR="006F5B6A" w:rsidRPr="00400349">
        <w:t>Scottish Government,</w:t>
      </w:r>
      <w:r w:rsidR="00977461" w:rsidRPr="00400349">
        <w:t xml:space="preserve"> March 2022)</w:t>
      </w:r>
      <w:r w:rsidR="00977461" w:rsidRPr="00400349">
        <w:rPr>
          <w:color w:val="auto"/>
        </w:rPr>
        <w:t xml:space="preserve"> at 30</w:t>
      </w:r>
      <w:r w:rsidR="006F5B6A" w:rsidRPr="00400349">
        <w:rPr>
          <w:color w:val="auto"/>
        </w:rPr>
        <w:t>–</w:t>
      </w:r>
      <w:r w:rsidR="00977461" w:rsidRPr="00400349">
        <w:rPr>
          <w:color w:val="auto"/>
        </w:rPr>
        <w:t>39</w:t>
      </w:r>
      <w:r w:rsidRPr="00400349">
        <w:t xml:space="preserve">; </w:t>
      </w:r>
      <w:r w:rsidR="00B234C0" w:rsidRPr="00400349">
        <w:t xml:space="preserve">and </w:t>
      </w:r>
      <w:r w:rsidR="008D34B6" w:rsidRPr="00400349">
        <w:t>Katie Harris “Expert</w:t>
      </w:r>
      <w:r w:rsidR="007663C3">
        <w:t>’</w:t>
      </w:r>
      <w:r w:rsidR="008D34B6" w:rsidRPr="00400349">
        <w:t xml:space="preserve">s concern after attempted murder of Auckland students: </w:t>
      </w:r>
      <w:r w:rsidR="00C32254">
        <w:t>‘</w:t>
      </w:r>
      <w:r w:rsidR="008D34B6" w:rsidRPr="00400349">
        <w:t>Closest to an incel attack NZ has had</w:t>
      </w:r>
      <w:r w:rsidR="00C32254">
        <w:t>’</w:t>
      </w:r>
      <w:r w:rsidR="008D34B6" w:rsidRPr="00400349">
        <w:t xml:space="preserve">” </w:t>
      </w:r>
      <w:r w:rsidR="008A6831" w:rsidRPr="00400349">
        <w:rPr>
          <w:i/>
          <w:iCs/>
        </w:rPr>
        <w:t>RNZ</w:t>
      </w:r>
      <w:r w:rsidR="008D34B6" w:rsidRPr="00400349">
        <w:t xml:space="preserve"> (</w:t>
      </w:r>
      <w:r w:rsidR="00B234C0" w:rsidRPr="00400349">
        <w:t xml:space="preserve">Aotearoa </w:t>
      </w:r>
      <w:r w:rsidR="008D34B6" w:rsidRPr="00400349">
        <w:t>New Zealand, 9 March 2023)</w:t>
      </w:r>
      <w:r w:rsidR="008D34B6" w:rsidRPr="00400349">
        <w:rPr>
          <w:color w:val="auto"/>
        </w:rPr>
        <w:t>. Overseas</w:t>
      </w:r>
      <w:r w:rsidR="00CD3475" w:rsidRPr="00400349">
        <w:rPr>
          <w:color w:val="auto"/>
        </w:rPr>
        <w:t>,</w:t>
      </w:r>
      <w:r w:rsidR="008D34B6" w:rsidRPr="00400349">
        <w:rPr>
          <w:color w:val="auto"/>
        </w:rPr>
        <w:t xml:space="preserve"> various acts of mass violence have been attributed to this type of motivation</w:t>
      </w:r>
      <w:r w:rsidR="00EE4C21">
        <w:rPr>
          <w:color w:val="auto"/>
        </w:rPr>
        <w:t>,</w:t>
      </w:r>
      <w:r w:rsidR="008D34B6" w:rsidRPr="00400349">
        <w:rPr>
          <w:color w:val="auto"/>
        </w:rPr>
        <w:t xml:space="preserve"> including attacks in </w:t>
      </w:r>
      <w:r w:rsidR="006766B6" w:rsidRPr="00400349">
        <w:rPr>
          <w:color w:val="auto"/>
        </w:rPr>
        <w:t xml:space="preserve">California (2014), </w:t>
      </w:r>
      <w:r w:rsidR="008D34B6" w:rsidRPr="00400349">
        <w:rPr>
          <w:color w:val="auto"/>
        </w:rPr>
        <w:t xml:space="preserve">Oregon (2015), Toronto (2018), Florida (2018), Arizona (2020) </w:t>
      </w:r>
      <w:r w:rsidR="00C17CBC" w:rsidRPr="00400349">
        <w:rPr>
          <w:color w:val="auto"/>
        </w:rPr>
        <w:t xml:space="preserve">and </w:t>
      </w:r>
      <w:r w:rsidR="008D34B6" w:rsidRPr="00400349">
        <w:rPr>
          <w:color w:val="auto"/>
        </w:rPr>
        <w:t>Plymouth</w:t>
      </w:r>
      <w:r w:rsidR="00C17CBC" w:rsidRPr="00400349">
        <w:rPr>
          <w:color w:val="auto"/>
        </w:rPr>
        <w:t xml:space="preserve"> (</w:t>
      </w:r>
      <w:r w:rsidR="008D34B6" w:rsidRPr="00400349">
        <w:rPr>
          <w:color w:val="auto"/>
        </w:rPr>
        <w:t>England</w:t>
      </w:r>
      <w:r w:rsidR="00C17CBC" w:rsidRPr="00400349">
        <w:rPr>
          <w:color w:val="auto"/>
        </w:rPr>
        <w:t>)</w:t>
      </w:r>
      <w:r w:rsidR="008D34B6" w:rsidRPr="00400349">
        <w:rPr>
          <w:color w:val="auto"/>
        </w:rPr>
        <w:t xml:space="preserve"> (2021). In some cases</w:t>
      </w:r>
      <w:r w:rsidR="001945FF" w:rsidRPr="00400349">
        <w:rPr>
          <w:color w:val="auto"/>
        </w:rPr>
        <w:t>,</w:t>
      </w:r>
      <w:r w:rsidR="008D34B6" w:rsidRPr="00400349">
        <w:rPr>
          <w:color w:val="auto"/>
        </w:rPr>
        <w:t xml:space="preserve"> the perpetrator was convicted and local hate crime law applied</w:t>
      </w:r>
      <w:r w:rsidR="00CF55B0">
        <w:rPr>
          <w:color w:val="auto"/>
        </w:rPr>
        <w:t>:</w:t>
      </w:r>
      <w:r w:rsidR="008D34B6" w:rsidRPr="00400349">
        <w:rPr>
          <w:color w:val="auto"/>
        </w:rPr>
        <w:t xml:space="preserve"> </w:t>
      </w:r>
      <w:r w:rsidR="00CF55B0">
        <w:rPr>
          <w:color w:val="auto"/>
        </w:rPr>
        <w:t>s</w:t>
      </w:r>
      <w:r w:rsidR="008D34B6" w:rsidRPr="00400349">
        <w:rPr>
          <w:color w:val="auto"/>
        </w:rPr>
        <w:t xml:space="preserve">ee United States Attorney’s Office Southern District of Ohio “Highland County man sentenced to more than 6 years in prison for attempting hate crime” (29 February 2024) &lt;www.justice.gov&gt;; and Summer Lin “Self-proclaimed Anaheim ‘incel’ gets prison term for hate crimes in 2021 pepper spray attacks” </w:t>
      </w:r>
      <w:r w:rsidR="008D34B6" w:rsidRPr="00400349">
        <w:rPr>
          <w:i/>
          <w:color w:val="auto"/>
        </w:rPr>
        <w:t xml:space="preserve">Los Angeles Times </w:t>
      </w:r>
      <w:r w:rsidR="008D34B6" w:rsidRPr="00400349">
        <w:rPr>
          <w:color w:val="auto"/>
        </w:rPr>
        <w:t>(online ed, Los Angeles, 13 September 2024).</w:t>
      </w:r>
    </w:p>
  </w:footnote>
  <w:footnote w:id="712">
    <w:p w14:paraId="71304677" w14:textId="2F640523" w:rsidR="001D525A" w:rsidRPr="00400349" w:rsidRDefault="001D525A" w:rsidP="001D525A">
      <w:pPr>
        <w:pStyle w:val="FootnoteText"/>
      </w:pPr>
      <w:r w:rsidRPr="00400349">
        <w:rPr>
          <w:rStyle w:val="FootnoteReference"/>
        </w:rPr>
        <w:footnoteRef/>
      </w:r>
      <w:r w:rsidRPr="00400349">
        <w:t xml:space="preserve"> </w:t>
      </w:r>
      <w:r w:rsidRPr="00400349">
        <w:tab/>
      </w:r>
      <w:r w:rsidR="00AC020A" w:rsidRPr="00400349">
        <w:t xml:space="preserve">United Nations Committee on the Elimination of Discrimination against Women </w:t>
      </w:r>
      <w:r w:rsidR="00AC020A" w:rsidRPr="00400349">
        <w:rPr>
          <w:i/>
          <w:iCs/>
        </w:rPr>
        <w:t>Concluding observations on the ninth periodic report of New Zealand</w:t>
      </w:r>
      <w:r w:rsidR="00AC020A" w:rsidRPr="00400349">
        <w:t xml:space="preserve"> CEDAW/C/NZL/CO/9 (30 October 2024)</w:t>
      </w:r>
      <w:r w:rsidR="00AC020A" w:rsidRPr="00400349">
        <w:rPr>
          <w:color w:val="auto"/>
        </w:rPr>
        <w:t xml:space="preserve"> at </w:t>
      </w:r>
      <w:r w:rsidR="00F27C03" w:rsidRPr="00400349">
        <w:rPr>
          <w:color w:val="auto"/>
        </w:rPr>
        <w:t>[26]–[27]</w:t>
      </w:r>
      <w:r w:rsidR="00AC020A" w:rsidRPr="00400349">
        <w:rPr>
          <w:color w:val="auto"/>
        </w:rPr>
        <w:t>.</w:t>
      </w:r>
    </w:p>
  </w:footnote>
  <w:footnote w:id="713">
    <w:p w14:paraId="640C3D5D" w14:textId="39A2B4EA" w:rsidR="001D525A" w:rsidRPr="00400349" w:rsidRDefault="001D525A" w:rsidP="001D525A">
      <w:pPr>
        <w:pStyle w:val="FootnoteText"/>
      </w:pPr>
      <w:r w:rsidRPr="00400349">
        <w:rPr>
          <w:rStyle w:val="FootnoteReference"/>
        </w:rPr>
        <w:footnoteRef/>
      </w:r>
      <w:r w:rsidRPr="00400349">
        <w:t xml:space="preserve"> </w:t>
      </w:r>
      <w:r w:rsidRPr="00400349">
        <w:tab/>
      </w:r>
      <w:r w:rsidR="00AC020A" w:rsidRPr="00400349">
        <w:rPr>
          <w:color w:val="auto"/>
        </w:rPr>
        <w:t xml:space="preserve">The New South Wales courts have held that the residual provision applies to women as a group: </w:t>
      </w:r>
      <w:r w:rsidR="00AC020A" w:rsidRPr="00400349">
        <w:rPr>
          <w:i/>
          <w:iCs/>
          <w:color w:val="auto"/>
        </w:rPr>
        <w:t>R v ID</w:t>
      </w:r>
      <w:r w:rsidR="00AC020A" w:rsidRPr="00400349">
        <w:rPr>
          <w:color w:val="auto"/>
        </w:rPr>
        <w:t xml:space="preserve"> [2007] NSWDC 51 at [70].</w:t>
      </w:r>
    </w:p>
  </w:footnote>
  <w:footnote w:id="714">
    <w:p w14:paraId="449AF59F" w14:textId="788A71DD" w:rsidR="001D525A" w:rsidRPr="00400349" w:rsidRDefault="001D525A" w:rsidP="001D525A">
      <w:pPr>
        <w:pStyle w:val="FootnoteText"/>
      </w:pPr>
      <w:r w:rsidRPr="00400349">
        <w:rPr>
          <w:rStyle w:val="FootnoteReference"/>
        </w:rPr>
        <w:footnoteRef/>
      </w:r>
      <w:r w:rsidRPr="00400349">
        <w:t xml:space="preserve"> </w:t>
      </w:r>
      <w:r w:rsidRPr="00400349">
        <w:tab/>
      </w:r>
      <w:r w:rsidR="00371BAB" w:rsidRPr="00400349">
        <w:t xml:space="preserve">See for example </w:t>
      </w:r>
      <w:r w:rsidR="00D6019E" w:rsidRPr="00400349">
        <w:rPr>
          <w:color w:val="auto"/>
        </w:rPr>
        <w:t>Charlotte Brown “Legislating against Hate Crime in New Zealand: The Need to Recognise Gender-Based Violence” (2004) 35 VUWLR 591 at 596</w:t>
      </w:r>
      <w:r w:rsidR="001948F6" w:rsidRPr="00400349">
        <w:rPr>
          <w:color w:val="auto"/>
        </w:rPr>
        <w:t xml:space="preserve">, suggesting that the term gender identity </w:t>
      </w:r>
      <w:r w:rsidR="00CE13A2" w:rsidRPr="00400349">
        <w:rPr>
          <w:color w:val="auto"/>
        </w:rPr>
        <w:t xml:space="preserve">is “more likely </w:t>
      </w:r>
      <w:r w:rsidR="000D0A04" w:rsidRPr="00400349">
        <w:rPr>
          <w:color w:val="auto"/>
        </w:rPr>
        <w:t xml:space="preserve">to alert lawyers and the courts” to hostility directed </w:t>
      </w:r>
      <w:r w:rsidR="0006013C" w:rsidRPr="00400349">
        <w:rPr>
          <w:color w:val="auto"/>
        </w:rPr>
        <w:t>at people who are transgender</w:t>
      </w:r>
      <w:r w:rsidR="00D6019E" w:rsidRPr="00400349">
        <w:rPr>
          <w:color w:val="auto"/>
        </w:rPr>
        <w:t>.</w:t>
      </w:r>
      <w:r w:rsidR="00BD35EF" w:rsidRPr="00400349">
        <w:rPr>
          <w:color w:val="auto"/>
        </w:rPr>
        <w:t xml:space="preserve"> </w:t>
      </w:r>
      <w:r w:rsidRPr="00400349">
        <w:t xml:space="preserve">We are aware of only two cases </w:t>
      </w:r>
      <w:r w:rsidR="00A32444">
        <w:t>in which</w:t>
      </w:r>
      <w:r w:rsidR="00A32444" w:rsidRPr="00400349">
        <w:t xml:space="preserve"> </w:t>
      </w:r>
      <w:r w:rsidRPr="00400349">
        <w:t>the courts applied the aggravating factor to hostility-motivated offending against women, both more than 20 years ago</w:t>
      </w:r>
      <w:r w:rsidR="00A176E3">
        <w:t>:</w:t>
      </w:r>
      <w:r w:rsidRPr="00400349">
        <w:t xml:space="preserve"> see </w:t>
      </w:r>
      <w:r w:rsidRPr="00400349">
        <w:rPr>
          <w:i/>
        </w:rPr>
        <w:t xml:space="preserve">R v Coleman </w:t>
      </w:r>
      <w:r w:rsidRPr="00400349">
        <w:t>HC Auckland T024701, 25 March 2004 at [15] and [24] (s 9(1)(h)</w:t>
      </w:r>
      <w:r w:rsidR="004F7432" w:rsidRPr="00400349">
        <w:t xml:space="preserve"> was</w:t>
      </w:r>
      <w:r w:rsidRPr="00400349">
        <w:t xml:space="preserve"> not referred to directly); and </w:t>
      </w:r>
      <w:r w:rsidRPr="00400349">
        <w:rPr>
          <w:i/>
        </w:rPr>
        <w:t xml:space="preserve">R v Johnston </w:t>
      </w:r>
      <w:r w:rsidRPr="00400349">
        <w:t>HC Auckland T023336, 5 August 2003 at [17].</w:t>
      </w:r>
    </w:p>
  </w:footnote>
  <w:footnote w:id="715">
    <w:p w14:paraId="78FDB81F" w14:textId="3CE4E379" w:rsidR="001D525A" w:rsidRPr="00400349" w:rsidRDefault="001D525A" w:rsidP="001D525A">
      <w:pPr>
        <w:pStyle w:val="FootnoteText"/>
      </w:pPr>
      <w:r w:rsidRPr="00400349">
        <w:rPr>
          <w:rStyle w:val="FootnoteReference"/>
        </w:rPr>
        <w:footnoteRef/>
      </w:r>
      <w:r w:rsidRPr="00400349">
        <w:t xml:space="preserve"> </w:t>
      </w:r>
      <w:r w:rsidRPr="00400349">
        <w:tab/>
      </w:r>
      <w:r w:rsidR="00330C39">
        <w:t>See f</w:t>
      </w:r>
      <w:r w:rsidRPr="00400349">
        <w:t>or example Legislation Act, s 14(1); Marriage Act 1955, s 2</w:t>
      </w:r>
      <w:r w:rsidR="00605AB3" w:rsidRPr="00400349">
        <w:t xml:space="preserve"> (definition of “marriage”)</w:t>
      </w:r>
      <w:r w:rsidRPr="00400349">
        <w:t xml:space="preserve">; and Property (Relationships) Act 1976, s 2D(1). </w:t>
      </w:r>
    </w:p>
  </w:footnote>
  <w:footnote w:id="716">
    <w:p w14:paraId="388D80D6" w14:textId="4B27BCB5" w:rsidR="001D525A" w:rsidRPr="00400349" w:rsidRDefault="001D525A" w:rsidP="001D525A">
      <w:pPr>
        <w:pStyle w:val="FootnoteText"/>
      </w:pPr>
      <w:r w:rsidRPr="00400349">
        <w:rPr>
          <w:rStyle w:val="FootnoteReference"/>
        </w:rPr>
        <w:footnoteRef/>
      </w:r>
      <w:r w:rsidRPr="00400349">
        <w:t xml:space="preserve"> </w:t>
      </w:r>
      <w:r w:rsidRPr="00400349">
        <w:tab/>
      </w:r>
      <w:r w:rsidR="006C7EFB" w:rsidRPr="00400349">
        <w:rPr>
          <w:color w:val="auto"/>
        </w:rPr>
        <w:t>See Marian Duggan “A Socio-Legal Analysis of Gender-Based Victimization, Misogyny and the Hate Crime Paradigm in England and Wales” (2021) 85 Studies in Law</w:t>
      </w:r>
      <w:r w:rsidR="002B588A">
        <w:rPr>
          <w:color w:val="auto"/>
        </w:rPr>
        <w:t>,</w:t>
      </w:r>
      <w:r w:rsidR="006C7EFB" w:rsidRPr="00400349">
        <w:rPr>
          <w:color w:val="auto"/>
        </w:rPr>
        <w:t xml:space="preserve"> Politics</w:t>
      </w:r>
      <w:r w:rsidR="00695759" w:rsidRPr="00400349">
        <w:rPr>
          <w:color w:val="auto"/>
        </w:rPr>
        <w:t>,</w:t>
      </w:r>
      <w:r w:rsidR="006C7EFB" w:rsidRPr="00400349">
        <w:rPr>
          <w:color w:val="auto"/>
        </w:rPr>
        <w:t xml:space="preserve"> and Society 101</w:t>
      </w:r>
      <w:r w:rsidR="008F52A0" w:rsidRPr="00400349">
        <w:rPr>
          <w:color w:val="auto"/>
        </w:rPr>
        <w:t xml:space="preserve"> at 122–123</w:t>
      </w:r>
      <w:r w:rsidR="000B57A2" w:rsidRPr="00400349">
        <w:rPr>
          <w:color w:val="auto"/>
        </w:rPr>
        <w:t>;</w:t>
      </w:r>
      <w:r w:rsidR="006C7EFB" w:rsidRPr="00400349">
        <w:rPr>
          <w:color w:val="auto"/>
        </w:rPr>
        <w:t xml:space="preserve"> </w:t>
      </w:r>
      <w:r w:rsidR="00ED4623" w:rsidRPr="00400349">
        <w:rPr>
          <w:color w:val="auto"/>
        </w:rPr>
        <w:t xml:space="preserve">and </w:t>
      </w:r>
      <w:r w:rsidR="006C7EFB" w:rsidRPr="00400349">
        <w:rPr>
          <w:color w:val="auto"/>
        </w:rPr>
        <w:t>Mark Austin Walters and Jessica Tumath “Gender ‘Hostility’, Rape, and the Hate Crime Paradigm” (2014) 77 MLR 563</w:t>
      </w:r>
      <w:r w:rsidR="000B57A2" w:rsidRPr="00400349">
        <w:rPr>
          <w:color w:val="auto"/>
        </w:rPr>
        <w:t xml:space="preserve"> at 592</w:t>
      </w:r>
      <w:r w:rsidR="00331C73">
        <w:rPr>
          <w:color w:val="auto"/>
        </w:rPr>
        <w:t>–</w:t>
      </w:r>
      <w:r w:rsidR="000B57A2" w:rsidRPr="00400349">
        <w:rPr>
          <w:color w:val="auto"/>
        </w:rPr>
        <w:t>593</w:t>
      </w:r>
      <w:r w:rsidR="006C7EFB" w:rsidRPr="00400349">
        <w:rPr>
          <w:color w:val="auto"/>
        </w:rPr>
        <w:t>.</w:t>
      </w:r>
    </w:p>
  </w:footnote>
  <w:footnote w:id="717">
    <w:p w14:paraId="27946A16" w14:textId="17519094" w:rsidR="001D525A" w:rsidRPr="00400349" w:rsidRDefault="001D525A" w:rsidP="001D525A">
      <w:pPr>
        <w:pStyle w:val="FootnoteText"/>
      </w:pPr>
      <w:r w:rsidRPr="00400349">
        <w:rPr>
          <w:rStyle w:val="FootnoteReference"/>
        </w:rPr>
        <w:footnoteRef/>
      </w:r>
      <w:r w:rsidRPr="00400349">
        <w:t xml:space="preserve"> </w:t>
      </w:r>
      <w:r w:rsidRPr="00400349">
        <w:tab/>
      </w:r>
      <w:r w:rsidR="003A5CE4" w:rsidRPr="00400349">
        <w:t>See f</w:t>
      </w:r>
      <w:r w:rsidRPr="00400349">
        <w:t xml:space="preserve">or example </w:t>
      </w:r>
      <w:r w:rsidR="006C7EFB" w:rsidRPr="00400349">
        <w:rPr>
          <w:color w:val="auto"/>
        </w:rPr>
        <w:t xml:space="preserve">Fiona Vera-Gray and Bianca Fileborn </w:t>
      </w:r>
      <w:r w:rsidR="006C7EFB" w:rsidRPr="00400349">
        <w:t xml:space="preserve">“Hiding the harm? An argument against misogyny hate crime” in Edward Hall, John Clayton and Catherine Donovan (eds) </w:t>
      </w:r>
      <w:r w:rsidR="006C7EFB" w:rsidRPr="00400349">
        <w:rPr>
          <w:i/>
          <w:iCs/>
        </w:rPr>
        <w:t xml:space="preserve">Landscapes of Hate: Tracing Spaces, Relations and Responses </w:t>
      </w:r>
      <w:r w:rsidR="006C7EFB" w:rsidRPr="00400349">
        <w:t>(Bristol University Press, Bristol, 2022)</w:t>
      </w:r>
      <w:r w:rsidR="00534535" w:rsidRPr="00400349">
        <w:t xml:space="preserve"> 38</w:t>
      </w:r>
      <w:r w:rsidR="006C7EFB" w:rsidRPr="00400349">
        <w:t>.</w:t>
      </w:r>
    </w:p>
  </w:footnote>
  <w:footnote w:id="718">
    <w:p w14:paraId="03B68764" w14:textId="42314B77" w:rsidR="001D525A" w:rsidRPr="00400349" w:rsidRDefault="001D525A" w:rsidP="001D525A">
      <w:pPr>
        <w:pStyle w:val="FootnoteText"/>
      </w:pPr>
      <w:r w:rsidRPr="00400349">
        <w:rPr>
          <w:rStyle w:val="FootnoteReference"/>
        </w:rPr>
        <w:footnoteRef/>
      </w:r>
      <w:r w:rsidRPr="00400349">
        <w:t xml:space="preserve"> </w:t>
      </w:r>
      <w:r w:rsidRPr="00400349">
        <w:tab/>
      </w:r>
      <w:r w:rsidR="006F18A2" w:rsidRPr="00400349">
        <w:rPr>
          <w:color w:val="auto"/>
        </w:rPr>
        <w:t xml:space="preserve">Law Commission (England and Wales) </w:t>
      </w:r>
      <w:r w:rsidR="006F18A2" w:rsidRPr="00400349">
        <w:rPr>
          <w:i/>
          <w:iCs/>
          <w:color w:val="auto"/>
        </w:rPr>
        <w:t>Hate crime laws: Final report</w:t>
      </w:r>
      <w:r w:rsidR="006F18A2" w:rsidRPr="00400349">
        <w:rPr>
          <w:color w:val="auto"/>
        </w:rPr>
        <w:t xml:space="preserve"> (R402, 2021) at [5.28].</w:t>
      </w:r>
    </w:p>
  </w:footnote>
  <w:footnote w:id="719">
    <w:p w14:paraId="0C74C00D" w14:textId="32B755EA" w:rsidR="001D525A" w:rsidRPr="00400349" w:rsidRDefault="001D525A" w:rsidP="001D525A">
      <w:pPr>
        <w:pStyle w:val="FootnoteText"/>
      </w:pPr>
      <w:r w:rsidRPr="00400349">
        <w:rPr>
          <w:rStyle w:val="FootnoteReference"/>
        </w:rPr>
        <w:footnoteRef/>
      </w:r>
      <w:r w:rsidRPr="00400349">
        <w:t xml:space="preserve"> </w:t>
      </w:r>
      <w:r w:rsidRPr="00400349">
        <w:tab/>
        <w:t xml:space="preserve">Law Commission </w:t>
      </w:r>
      <w:r w:rsidRPr="00400349">
        <w:rPr>
          <w:lang w:val="mi-NZ"/>
        </w:rPr>
        <w:t xml:space="preserve">(England and Wales) </w:t>
      </w:r>
      <w:r w:rsidRPr="00400349">
        <w:rPr>
          <w:i/>
        </w:rPr>
        <w:t xml:space="preserve">Hate crime laws: Final report </w:t>
      </w:r>
      <w:r w:rsidRPr="00400349">
        <w:t>(R402, 2021) at [5.379]</w:t>
      </w:r>
      <w:r w:rsidR="00CA57A8" w:rsidRPr="00400349">
        <w:t>–</w:t>
      </w:r>
      <w:r w:rsidRPr="00400349">
        <w:t>[5.38</w:t>
      </w:r>
      <w:r w:rsidR="00CC1590" w:rsidRPr="00400349">
        <w:t>1</w:t>
      </w:r>
      <w:r w:rsidRPr="00400349">
        <w:t>]</w:t>
      </w:r>
      <w:r w:rsidR="00CC1590" w:rsidRPr="00400349">
        <w:t xml:space="preserve"> (recommendation</w:t>
      </w:r>
      <w:r w:rsidR="00797C49">
        <w:rPr>
          <w:rFonts w:ascii="Calibri" w:hAnsi="Calibri" w:cs="Calibri"/>
        </w:rPr>
        <w:t> </w:t>
      </w:r>
      <w:r w:rsidR="00CC1590" w:rsidRPr="00400349">
        <w:t>8)</w:t>
      </w:r>
      <w:r w:rsidRPr="00400349">
        <w:t xml:space="preserve">. As noted earlier, the </w:t>
      </w:r>
      <w:r w:rsidR="00C50864">
        <w:t xml:space="preserve">UK </w:t>
      </w:r>
      <w:r w:rsidRPr="00400349">
        <w:t xml:space="preserve">Government has since enacted law contrary to this recommendation. </w:t>
      </w:r>
    </w:p>
  </w:footnote>
  <w:footnote w:id="720">
    <w:p w14:paraId="75F87974" w14:textId="64C71883" w:rsidR="001D525A" w:rsidRPr="00400349" w:rsidRDefault="001D525A" w:rsidP="001D525A">
      <w:pPr>
        <w:pStyle w:val="FootnoteText"/>
      </w:pPr>
      <w:r w:rsidRPr="00400349">
        <w:rPr>
          <w:rStyle w:val="FootnoteReference"/>
        </w:rPr>
        <w:footnoteRef/>
      </w:r>
      <w:r w:rsidRPr="00400349">
        <w:t xml:space="preserve"> </w:t>
      </w:r>
      <w:r w:rsidRPr="00400349">
        <w:tab/>
      </w:r>
      <w:r w:rsidR="00B60343" w:rsidRPr="00400349">
        <w:rPr>
          <w:color w:val="auto"/>
        </w:rPr>
        <w:t xml:space="preserve">There are few reported cases in Canada of the aggravating factor being used in relation to the listed sex ground. All those recorded involve female victims. A study found only three cases where it was applied between 2007 and 2020: Kundera Provost-Yombo, Cynthia Louden and Susan McDonald </w:t>
      </w:r>
      <w:r w:rsidR="00B60343" w:rsidRPr="00400349">
        <w:rPr>
          <w:i/>
        </w:rPr>
        <w:t xml:space="preserve">Hate as an Aggravating Factor at Sentencing: A Review of the Case Law from 2007–2020 </w:t>
      </w:r>
      <w:r w:rsidR="00B60343" w:rsidRPr="00400349">
        <w:rPr>
          <w:color w:val="auto"/>
        </w:rPr>
        <w:t xml:space="preserve">(Department of Justice Canada, 2020) at 27–28. We found a further three cases since that study was published: </w:t>
      </w:r>
      <w:r w:rsidR="00B60343" w:rsidRPr="00400349">
        <w:rPr>
          <w:i/>
          <w:iCs/>
          <w:color w:val="auto"/>
        </w:rPr>
        <w:t>R v Lockhart</w:t>
      </w:r>
      <w:r w:rsidR="00B60343" w:rsidRPr="00400349">
        <w:rPr>
          <w:color w:val="auto"/>
        </w:rPr>
        <w:t xml:space="preserve"> 2025 BCPC 21; </w:t>
      </w:r>
      <w:r w:rsidR="00B60343" w:rsidRPr="00400349">
        <w:rPr>
          <w:i/>
          <w:iCs/>
          <w:color w:val="auto"/>
        </w:rPr>
        <w:t>R v Grant</w:t>
      </w:r>
      <w:r w:rsidR="00B60343" w:rsidRPr="00400349">
        <w:rPr>
          <w:color w:val="auto"/>
        </w:rPr>
        <w:t xml:space="preserve"> 2025 ONCJ 231; and </w:t>
      </w:r>
      <w:r w:rsidR="00B60343" w:rsidRPr="00400349">
        <w:rPr>
          <w:i/>
          <w:iCs/>
          <w:color w:val="auto"/>
        </w:rPr>
        <w:t>R v Bushby</w:t>
      </w:r>
      <w:r w:rsidR="00B60343" w:rsidRPr="00400349">
        <w:rPr>
          <w:color w:val="auto"/>
        </w:rPr>
        <w:t xml:space="preserve"> 2021 ONSC 4082.</w:t>
      </w:r>
    </w:p>
  </w:footnote>
  <w:footnote w:id="721">
    <w:p w14:paraId="585842F6" w14:textId="5BCBEE90" w:rsidR="001D525A" w:rsidRPr="00400349" w:rsidRDefault="001D525A" w:rsidP="001D525A">
      <w:pPr>
        <w:pStyle w:val="FootnoteText"/>
      </w:pPr>
      <w:r w:rsidRPr="00400349">
        <w:rPr>
          <w:rStyle w:val="FootnoteReference"/>
        </w:rPr>
        <w:footnoteRef/>
      </w:r>
      <w:r w:rsidRPr="00400349">
        <w:t xml:space="preserve"> </w:t>
      </w:r>
      <w:r w:rsidRPr="00400349">
        <w:tab/>
      </w:r>
      <w:r w:rsidR="00B95041" w:rsidRPr="00400349">
        <w:rPr>
          <w:color w:val="auto"/>
        </w:rPr>
        <w:t xml:space="preserve">Organization for Security and Co-operation in Europe </w:t>
      </w:r>
      <w:r w:rsidR="00B95041" w:rsidRPr="00400349">
        <w:rPr>
          <w:i/>
          <w:color w:val="auto"/>
        </w:rPr>
        <w:t xml:space="preserve">Gender-Based Hate Crime </w:t>
      </w:r>
      <w:r w:rsidR="00B95041" w:rsidRPr="00400349">
        <w:rPr>
          <w:color w:val="auto"/>
        </w:rPr>
        <w:t>(</w:t>
      </w:r>
      <w:r w:rsidR="00B95041" w:rsidRPr="00400349">
        <w:t>Office of Democratic Institutions and Human Rights, 2021) at 2</w:t>
      </w:r>
      <w:r w:rsidR="00B95041" w:rsidRPr="00400349">
        <w:rPr>
          <w:color w:val="auto"/>
        </w:rPr>
        <w:t>.</w:t>
      </w:r>
    </w:p>
  </w:footnote>
  <w:footnote w:id="722">
    <w:p w14:paraId="23877694" w14:textId="003B8408" w:rsidR="001D525A" w:rsidRPr="00400349" w:rsidRDefault="001D525A" w:rsidP="001D525A">
      <w:pPr>
        <w:pStyle w:val="FootnoteText"/>
      </w:pPr>
      <w:r w:rsidRPr="00400349">
        <w:rPr>
          <w:rStyle w:val="FootnoteReference"/>
        </w:rPr>
        <w:footnoteRef/>
      </w:r>
      <w:r w:rsidRPr="00400349">
        <w:t xml:space="preserve"> </w:t>
      </w:r>
      <w:r w:rsidRPr="00400349">
        <w:tab/>
      </w:r>
      <w:r w:rsidR="00190651" w:rsidRPr="00400349">
        <w:rPr>
          <w:color w:val="auto"/>
        </w:rPr>
        <w:t xml:space="preserve">Te Aka Matua o te Ture | Law Commission </w:t>
      </w:r>
      <w:r w:rsidR="00190651" w:rsidRPr="00400349">
        <w:rPr>
          <w:i/>
          <w:iCs/>
          <w:color w:val="auto"/>
        </w:rPr>
        <w:t xml:space="preserve">Ia Tangata: A review of the protections in the Human Rights Act 1993 for people who are transgender, people who are non-binary and people with innate variations of sex characteristics </w:t>
      </w:r>
      <w:r w:rsidR="00190651" w:rsidRPr="00400349">
        <w:rPr>
          <w:color w:val="auto"/>
        </w:rPr>
        <w:t>(NZLC IP53, 2024) at [2.9]</w:t>
      </w:r>
      <w:r w:rsidR="001D0144" w:rsidRPr="00400349">
        <w:rPr>
          <w:color w:val="auto"/>
        </w:rPr>
        <w:t>–</w:t>
      </w:r>
      <w:r w:rsidR="00190651" w:rsidRPr="00400349">
        <w:rPr>
          <w:color w:val="auto"/>
        </w:rPr>
        <w:t>[2.11].</w:t>
      </w:r>
    </w:p>
  </w:footnote>
  <w:footnote w:id="723">
    <w:p w14:paraId="1EDCE30F" w14:textId="11D90582" w:rsidR="001D525A" w:rsidRPr="00400349" w:rsidRDefault="001D525A" w:rsidP="001D525A">
      <w:pPr>
        <w:pStyle w:val="FootnoteText"/>
      </w:pPr>
      <w:r w:rsidRPr="00400349">
        <w:rPr>
          <w:rStyle w:val="FootnoteReference"/>
        </w:rPr>
        <w:footnoteRef/>
      </w:r>
      <w:r w:rsidRPr="00400349">
        <w:t xml:space="preserve"> </w:t>
      </w:r>
      <w:r w:rsidRPr="00400349">
        <w:tab/>
      </w:r>
      <w:r w:rsidR="00190651" w:rsidRPr="00400349">
        <w:rPr>
          <w:color w:val="auto"/>
        </w:rPr>
        <w:t>Te Kāhui o Ināia Tonu Nei Charitable Trust.</w:t>
      </w:r>
    </w:p>
  </w:footnote>
  <w:footnote w:id="724">
    <w:p w14:paraId="1AFF8161" w14:textId="4625D523" w:rsidR="001D525A" w:rsidRPr="00400349" w:rsidRDefault="001D525A" w:rsidP="001D525A">
      <w:pPr>
        <w:pStyle w:val="FootnoteText"/>
      </w:pPr>
      <w:r w:rsidRPr="00400349">
        <w:rPr>
          <w:rStyle w:val="FootnoteReference"/>
        </w:rPr>
        <w:footnoteRef/>
      </w:r>
      <w:r w:rsidRPr="00400349">
        <w:t xml:space="preserve"> </w:t>
      </w:r>
      <w:r w:rsidRPr="00400349">
        <w:tab/>
      </w:r>
      <w:r w:rsidR="009B3C41" w:rsidRPr="00400349">
        <w:rPr>
          <w:color w:val="auto"/>
        </w:rPr>
        <w:t xml:space="preserve">Te Aka Matua o te Ture | Law Commission </w:t>
      </w:r>
      <w:r w:rsidR="009B3C41" w:rsidRPr="00400349">
        <w:rPr>
          <w:i/>
          <w:iCs/>
          <w:color w:val="auto"/>
        </w:rPr>
        <w:t xml:space="preserve">Ia Tangata: Protections in the Human Rights Act 1993 for people who are transgender, people who are non-binary and people with innate variations of sex characteristics </w:t>
      </w:r>
      <w:r w:rsidR="009B3C41" w:rsidRPr="00400349">
        <w:rPr>
          <w:color w:val="auto"/>
        </w:rPr>
        <w:t>(NZLC R150, 2025) at ch 1, n 1.</w:t>
      </w:r>
    </w:p>
  </w:footnote>
  <w:footnote w:id="725">
    <w:p w14:paraId="5713324A" w14:textId="6C230C5E" w:rsidR="001D525A" w:rsidRPr="00400349" w:rsidRDefault="001D525A" w:rsidP="001D525A">
      <w:pPr>
        <w:pStyle w:val="FootnoteText"/>
      </w:pPr>
      <w:r w:rsidRPr="00400349">
        <w:rPr>
          <w:rStyle w:val="FootnoteReference"/>
        </w:rPr>
        <w:footnoteRef/>
      </w:r>
      <w:r w:rsidRPr="00400349">
        <w:t xml:space="preserve"> </w:t>
      </w:r>
      <w:r w:rsidRPr="00400349">
        <w:tab/>
      </w:r>
      <w:r w:rsidR="00E70EFE" w:rsidRPr="00400349">
        <w:rPr>
          <w:color w:val="auto"/>
        </w:rPr>
        <w:t xml:space="preserve">Te Aka Matua o te Ture | Law Commission </w:t>
      </w:r>
      <w:r w:rsidR="00E70EFE" w:rsidRPr="00400349">
        <w:rPr>
          <w:i/>
          <w:iCs/>
          <w:color w:val="auto"/>
        </w:rPr>
        <w:t xml:space="preserve">Ia Tangata: Protections in the Human Rights Act 1993 for people who are transgender, people who are non-binary and people with innate variations of sex characteristics </w:t>
      </w:r>
      <w:r w:rsidR="00E70EFE" w:rsidRPr="00400349">
        <w:rPr>
          <w:color w:val="auto"/>
        </w:rPr>
        <w:t xml:space="preserve">(NZLC R150, 2025) at </w:t>
      </w:r>
      <w:r w:rsidR="00A936D6" w:rsidRPr="00400349">
        <w:rPr>
          <w:color w:val="auto"/>
        </w:rPr>
        <w:t>[</w:t>
      </w:r>
      <w:r w:rsidRPr="00400349">
        <w:t>4.49</w:t>
      </w:r>
      <w:r w:rsidR="00A936D6" w:rsidRPr="00400349">
        <w:t>]</w:t>
      </w:r>
      <w:r w:rsidRPr="00400349">
        <w:t>.</w:t>
      </w:r>
    </w:p>
  </w:footnote>
  <w:footnote w:id="726">
    <w:p w14:paraId="167D28BC" w14:textId="2FE144D7" w:rsidR="001D525A" w:rsidRPr="00400349" w:rsidRDefault="001D525A" w:rsidP="001D525A">
      <w:pPr>
        <w:pStyle w:val="FootnoteText"/>
      </w:pPr>
      <w:r w:rsidRPr="00400349">
        <w:rPr>
          <w:rStyle w:val="FootnoteReference"/>
        </w:rPr>
        <w:footnoteRef/>
      </w:r>
      <w:r w:rsidRPr="00400349">
        <w:t xml:space="preserve"> </w:t>
      </w:r>
      <w:r w:rsidRPr="00400349">
        <w:tab/>
      </w:r>
      <w:r w:rsidR="00993FAC" w:rsidRPr="00400349">
        <w:rPr>
          <w:color w:val="auto"/>
        </w:rPr>
        <w:t xml:space="preserve">Te Aka Matua o te Ture | Law Commission </w:t>
      </w:r>
      <w:r w:rsidR="00993FAC" w:rsidRPr="00400349">
        <w:rPr>
          <w:i/>
          <w:iCs/>
          <w:color w:val="auto"/>
        </w:rPr>
        <w:t xml:space="preserve">Ia Tangata: A review of the protections in the Human Rights Act 1993 for people who are transgender, people who are non-binary and people with innate variations of sex characteristics </w:t>
      </w:r>
      <w:r w:rsidR="00993FAC" w:rsidRPr="00400349">
        <w:rPr>
          <w:color w:val="auto"/>
        </w:rPr>
        <w:t xml:space="preserve">(NZLC IP53, 2024) at </w:t>
      </w:r>
      <w:r w:rsidRPr="00400349">
        <w:t xml:space="preserve">[3.47]–[3.68]; and </w:t>
      </w:r>
      <w:r w:rsidR="00A936D6" w:rsidRPr="00400349">
        <w:rPr>
          <w:color w:val="auto"/>
        </w:rPr>
        <w:t xml:space="preserve">Te Aka Matua o te Ture | Law Commission </w:t>
      </w:r>
      <w:r w:rsidR="00A936D6" w:rsidRPr="00400349">
        <w:rPr>
          <w:i/>
          <w:iCs/>
          <w:color w:val="auto"/>
        </w:rPr>
        <w:t xml:space="preserve">Ia Tangata: Protections in the Human Rights Act 1993 for people who are transgender, people who are non-binary and people with innate variations of sex characteristics </w:t>
      </w:r>
      <w:r w:rsidR="00A936D6" w:rsidRPr="00400349">
        <w:rPr>
          <w:color w:val="auto"/>
        </w:rPr>
        <w:t xml:space="preserve">(NZLC R150, 2025) at </w:t>
      </w:r>
      <w:r w:rsidRPr="00400349">
        <w:t>[4.32].</w:t>
      </w:r>
    </w:p>
  </w:footnote>
  <w:footnote w:id="727">
    <w:p w14:paraId="5A9084B2" w14:textId="29C7E40A" w:rsidR="001D525A" w:rsidRPr="00400349" w:rsidRDefault="001D525A" w:rsidP="001D525A">
      <w:pPr>
        <w:pStyle w:val="FootnoteText"/>
      </w:pPr>
      <w:r w:rsidRPr="00400349">
        <w:rPr>
          <w:rStyle w:val="FootnoteReference"/>
        </w:rPr>
        <w:footnoteRef/>
      </w:r>
      <w:r w:rsidRPr="00400349">
        <w:t xml:space="preserve"> </w:t>
      </w:r>
      <w:r w:rsidRPr="00400349">
        <w:tab/>
      </w:r>
      <w:r w:rsidR="007C6B4C" w:rsidRPr="00400349">
        <w:rPr>
          <w:color w:val="auto"/>
        </w:rPr>
        <w:t xml:space="preserve">Te Aka Matua o te Ture | Law Commission </w:t>
      </w:r>
      <w:r w:rsidR="007C6B4C" w:rsidRPr="00400349">
        <w:rPr>
          <w:i/>
          <w:iCs/>
          <w:color w:val="auto"/>
        </w:rPr>
        <w:t xml:space="preserve">Ia Tangata: Protections in the Human Rights Act 1993 for people who are transgender, people who are non-binary and people with innate variations of sex characteristics </w:t>
      </w:r>
      <w:r w:rsidR="007C6B4C" w:rsidRPr="00400349">
        <w:rPr>
          <w:color w:val="auto"/>
        </w:rPr>
        <w:t xml:space="preserve">(NZLC R150, 2025) at </w:t>
      </w:r>
      <w:r w:rsidRPr="00400349">
        <w:t>[4.164].</w:t>
      </w:r>
    </w:p>
  </w:footnote>
  <w:footnote w:id="728">
    <w:p w14:paraId="753F76AE" w14:textId="7E621539" w:rsidR="001D525A" w:rsidRPr="00400349" w:rsidRDefault="001D525A" w:rsidP="001D525A">
      <w:pPr>
        <w:pStyle w:val="FootnoteText"/>
      </w:pPr>
      <w:r w:rsidRPr="00400349">
        <w:rPr>
          <w:rStyle w:val="FootnoteReference"/>
        </w:rPr>
        <w:footnoteRef/>
      </w:r>
      <w:r w:rsidRPr="00400349">
        <w:t xml:space="preserve"> </w:t>
      </w:r>
      <w:r w:rsidRPr="00400349">
        <w:tab/>
        <w:t>See</w:t>
      </w:r>
      <w:r w:rsidR="0073405C">
        <w:t xml:space="preserve"> </w:t>
      </w:r>
      <w:r w:rsidR="0073405C" w:rsidRPr="00400349">
        <w:rPr>
          <w:color w:val="auto"/>
        </w:rPr>
        <w:t xml:space="preserve">Te Aka Matua o te Ture | Law Commission </w:t>
      </w:r>
      <w:r w:rsidR="0073405C" w:rsidRPr="00400349">
        <w:rPr>
          <w:i/>
          <w:iCs/>
          <w:color w:val="auto"/>
        </w:rPr>
        <w:t xml:space="preserve">Ia Tangata: Protections in the Human Rights Act 1993 for people who are transgender, people who are non-binary and people with innate variations of sex characteristics </w:t>
      </w:r>
      <w:r w:rsidR="0073405C" w:rsidRPr="00400349">
        <w:rPr>
          <w:color w:val="auto"/>
        </w:rPr>
        <w:t>(NZLC R150, 2025)</w:t>
      </w:r>
      <w:r w:rsidR="008E0E56">
        <w:rPr>
          <w:color w:val="auto"/>
        </w:rPr>
        <w:t xml:space="preserve"> at</w:t>
      </w:r>
      <w:r w:rsidRPr="00400349">
        <w:t xml:space="preserve"> [7.110]–[7.146] for discussion of some of the complexities that might be involved in selecting appropriate wording</w:t>
      </w:r>
      <w:r w:rsidR="008E0E56">
        <w:t>.</w:t>
      </w:r>
    </w:p>
  </w:footnote>
  <w:footnote w:id="729">
    <w:p w14:paraId="1EB8DF22" w14:textId="5C58EF77" w:rsidR="001D525A" w:rsidRPr="00400349" w:rsidRDefault="001D525A" w:rsidP="001D525A">
      <w:pPr>
        <w:pStyle w:val="FootnoteText"/>
      </w:pPr>
      <w:r w:rsidRPr="00400349">
        <w:rPr>
          <w:rStyle w:val="FootnoteReference"/>
        </w:rPr>
        <w:footnoteRef/>
      </w:r>
      <w:r w:rsidRPr="00400349">
        <w:t xml:space="preserve"> </w:t>
      </w:r>
      <w:r w:rsidRPr="00400349">
        <w:tab/>
      </w:r>
      <w:r w:rsidR="00E70799" w:rsidRPr="00400349">
        <w:rPr>
          <w:color w:val="auto"/>
        </w:rPr>
        <w:t xml:space="preserve">See for example </w:t>
      </w:r>
      <w:r w:rsidR="00E70799" w:rsidRPr="00400349">
        <w:rPr>
          <w:i/>
          <w:color w:val="auto"/>
        </w:rPr>
        <w:t>Houkamau v Police</w:t>
      </w:r>
      <w:r w:rsidR="00E70799" w:rsidRPr="00400349">
        <w:rPr>
          <w:color w:val="auto"/>
        </w:rPr>
        <w:t xml:space="preserve"> [2022] NZHC 152 at [15]; </w:t>
      </w:r>
      <w:r w:rsidR="00E70799" w:rsidRPr="00400349">
        <w:rPr>
          <w:i/>
          <w:color w:val="auto"/>
        </w:rPr>
        <w:t>F (CA691/2021) v R</w:t>
      </w:r>
      <w:r w:rsidR="00E70799" w:rsidRPr="00400349">
        <w:rPr>
          <w:color w:val="auto"/>
        </w:rPr>
        <w:t xml:space="preserve"> [2022] NZCA 217 at [41]; and </w:t>
      </w:r>
      <w:r w:rsidR="00E70799" w:rsidRPr="00400349">
        <w:rPr>
          <w:i/>
          <w:color w:val="auto"/>
        </w:rPr>
        <w:t xml:space="preserve">Pearson v R </w:t>
      </w:r>
      <w:r w:rsidR="00E70799" w:rsidRPr="00400349">
        <w:rPr>
          <w:color w:val="auto"/>
        </w:rPr>
        <w:t>[2020] NZCA 573 at [24] and [28].</w:t>
      </w:r>
    </w:p>
  </w:footnote>
  <w:footnote w:id="730">
    <w:p w14:paraId="3554E0D0" w14:textId="151DFAF4" w:rsidR="001D525A" w:rsidRPr="00400349" w:rsidRDefault="001D525A" w:rsidP="001D525A">
      <w:pPr>
        <w:pStyle w:val="FootnoteText"/>
      </w:pPr>
      <w:r w:rsidRPr="00400349">
        <w:rPr>
          <w:rStyle w:val="FootnoteReference"/>
        </w:rPr>
        <w:footnoteRef/>
      </w:r>
      <w:r w:rsidRPr="00400349">
        <w:t xml:space="preserve"> </w:t>
      </w:r>
      <w:r w:rsidRPr="00400349">
        <w:tab/>
      </w:r>
      <w:r w:rsidR="000A709B" w:rsidRPr="00400349">
        <w:rPr>
          <w:color w:val="auto"/>
        </w:rPr>
        <w:t>Annette Sykes &amp; Co; Madeline Ash; Disabled Persons Assembly and VisAble (joint submission); Donald Beasley Institute and People First New Zealand (joint submission); Inclusive Aotearoa Collective Tāhono; New Zealand Federation of Business and Professional Women; Parents of Vision Impaired; Pride in Law Otago; Submission 26; Submission 43; and Te Kāhui o Ināia Tonu Nei Charitable Trust</w:t>
      </w:r>
      <w:r w:rsidRPr="00400349">
        <w:t>.</w:t>
      </w:r>
    </w:p>
  </w:footnote>
  <w:footnote w:id="731">
    <w:p w14:paraId="14414DA7" w14:textId="562FE6EE"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Parents of Vision Impaired.</w:t>
      </w:r>
    </w:p>
  </w:footnote>
  <w:footnote w:id="732">
    <w:p w14:paraId="284CBB16" w14:textId="7AE3679C"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840436" w:rsidRPr="00400349">
        <w:rPr>
          <w:color w:val="auto"/>
        </w:rPr>
        <w:t>Donald Beasley Institute and People First New Zealand (joint submission).</w:t>
      </w:r>
    </w:p>
  </w:footnote>
  <w:footnote w:id="733">
    <w:p w14:paraId="22B21668" w14:textId="71FFBC30"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840436" w:rsidRPr="00400349">
        <w:rPr>
          <w:color w:val="auto"/>
        </w:rPr>
        <w:t>Parents of Vision Impaired.</w:t>
      </w:r>
    </w:p>
  </w:footnote>
  <w:footnote w:id="734">
    <w:p w14:paraId="25125E56" w14:textId="77318532"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Disabled Persons Assembly and VisAble (joint submission).</w:t>
      </w:r>
    </w:p>
  </w:footnote>
  <w:footnote w:id="735">
    <w:p w14:paraId="4CB9D8D1" w14:textId="3D3B70F7" w:rsidR="00B0105A" w:rsidRPr="00400349" w:rsidRDefault="00B0105A" w:rsidP="00B0105A">
      <w:pPr>
        <w:pStyle w:val="FootnoteText"/>
      </w:pPr>
      <w:r w:rsidRPr="00400349">
        <w:rPr>
          <w:rStyle w:val="FootnoteReference"/>
        </w:rPr>
        <w:footnoteRef/>
      </w:r>
      <w:r w:rsidRPr="00400349">
        <w:t xml:space="preserve"> </w:t>
      </w:r>
      <w:r w:rsidRPr="00400349">
        <w:tab/>
      </w:r>
      <w:r w:rsidRPr="00400349">
        <w:rPr>
          <w:color w:val="auto"/>
        </w:rPr>
        <w:t>Inclusive Aotearoa Collective Tāhono.</w:t>
      </w:r>
    </w:p>
  </w:footnote>
  <w:footnote w:id="736">
    <w:p w14:paraId="10BFA006" w14:textId="767B447F" w:rsidR="00B0105A" w:rsidRPr="00400349" w:rsidRDefault="00B0105A" w:rsidP="00B0105A">
      <w:pPr>
        <w:pStyle w:val="FootnoteText"/>
      </w:pPr>
      <w:r w:rsidRPr="00400349">
        <w:rPr>
          <w:rStyle w:val="FootnoteReference"/>
        </w:rPr>
        <w:footnoteRef/>
      </w:r>
      <w:r w:rsidR="001D525A" w:rsidRPr="00400349">
        <w:t xml:space="preserve"> </w:t>
      </w:r>
      <w:r w:rsidR="001D525A" w:rsidRPr="00400349">
        <w:tab/>
      </w:r>
      <w:r w:rsidR="000B432F" w:rsidRPr="00400349">
        <w:rPr>
          <w:color w:val="auto"/>
        </w:rPr>
        <w:t>Disabled Persons Assembly and VisAble (joint submission); and Donald Beasley Institute and People First New Zealand (joint submission).</w:t>
      </w:r>
    </w:p>
  </w:footnote>
  <w:footnote w:id="737">
    <w:p w14:paraId="226AAE58" w14:textId="32C6BD09" w:rsidR="001D525A" w:rsidRPr="00400349" w:rsidRDefault="001D525A" w:rsidP="001D525A">
      <w:pPr>
        <w:pStyle w:val="FootnoteText"/>
      </w:pPr>
      <w:r w:rsidRPr="00400349">
        <w:rPr>
          <w:rStyle w:val="FootnoteReference"/>
        </w:rPr>
        <w:footnoteRef/>
      </w:r>
      <w:r w:rsidRPr="00400349">
        <w:t xml:space="preserve"> </w:t>
      </w:r>
      <w:r w:rsidRPr="00400349">
        <w:tab/>
      </w:r>
      <w:r w:rsidR="00267F4D" w:rsidRPr="00400349">
        <w:rPr>
          <w:color w:val="auto"/>
        </w:rPr>
        <w:t>Annette Sykes &amp; Co; Madeline Ash; Disabled Persons Assembly and VisAble (joint submission); Dr David Harvey; New Zealand Federation of Business and Professional Women; Submission 57; Te Kāhui o Ināia Tonu Nei Charitable Trust; and Rod Young.</w:t>
      </w:r>
    </w:p>
  </w:footnote>
  <w:footnote w:id="738">
    <w:p w14:paraId="6780E44A" w14:textId="7FA5153C" w:rsidR="001D525A" w:rsidRPr="00400349" w:rsidRDefault="001D525A" w:rsidP="001D525A">
      <w:pPr>
        <w:pStyle w:val="FootnoteText"/>
      </w:pPr>
      <w:r w:rsidRPr="00400349">
        <w:rPr>
          <w:rStyle w:val="FootnoteReference"/>
        </w:rPr>
        <w:footnoteRef/>
      </w:r>
      <w:r w:rsidRPr="00400349">
        <w:t xml:space="preserve"> </w:t>
      </w:r>
      <w:r w:rsidRPr="00400349">
        <w:tab/>
        <w:t>Disabled Persons Assembly and VisAble</w:t>
      </w:r>
      <w:r w:rsidR="00DD468D" w:rsidRPr="00400349">
        <w:t xml:space="preserve"> (joint submission)</w:t>
      </w:r>
      <w:r w:rsidRPr="00400349">
        <w:t>.</w:t>
      </w:r>
    </w:p>
  </w:footnote>
  <w:footnote w:id="739">
    <w:p w14:paraId="1ECFFC7D" w14:textId="77777777" w:rsidR="005C242D" w:rsidRPr="00400349" w:rsidRDefault="005C242D" w:rsidP="005C242D">
      <w:pPr>
        <w:pStyle w:val="FootnoteText"/>
      </w:pPr>
      <w:r w:rsidRPr="00400349">
        <w:rPr>
          <w:rStyle w:val="FootnoteReference"/>
        </w:rPr>
        <w:footnoteRef/>
      </w:r>
      <w:r w:rsidRPr="00400349">
        <w:t xml:space="preserve"> </w:t>
      </w:r>
      <w:r w:rsidRPr="00400349">
        <w:tab/>
        <w:t>Inclusive Aotearoa Collective Tāhono. Luke Cunningham Clere also referred to this issue but did not take a clear position whether age should be included.</w:t>
      </w:r>
    </w:p>
  </w:footnote>
  <w:footnote w:id="740">
    <w:p w14:paraId="56C2CD6A" w14:textId="0BA5D344" w:rsidR="001D525A" w:rsidRPr="00400349" w:rsidRDefault="001D525A" w:rsidP="001D525A">
      <w:pPr>
        <w:pStyle w:val="FootnoteText"/>
      </w:pPr>
      <w:r w:rsidRPr="00400349">
        <w:rPr>
          <w:rStyle w:val="FootnoteReference"/>
        </w:rPr>
        <w:footnoteRef/>
      </w:r>
      <w:r w:rsidRPr="00400349">
        <w:t xml:space="preserve"> </w:t>
      </w:r>
      <w:r w:rsidRPr="00400349">
        <w:tab/>
        <w:t>There is a similar situation in Canada</w:t>
      </w:r>
      <w:r w:rsidR="007D37A6">
        <w:t>, where</w:t>
      </w:r>
      <w:r w:rsidRPr="00400349" w:rsidDel="007D37A6">
        <w:t xml:space="preserve"> </w:t>
      </w:r>
      <w:r w:rsidRPr="00400349">
        <w:t xml:space="preserve">the </w:t>
      </w:r>
      <w:r w:rsidR="00184631">
        <w:t>hostility aggravating factor</w:t>
      </w:r>
      <w:r w:rsidRPr="00400349">
        <w:t xml:space="preserve"> specifies both age and disability but there are few police-recorded incidents or reported cases. Between 2007 and 2020</w:t>
      </w:r>
      <w:r w:rsidR="00F01FA2">
        <w:t>,</w:t>
      </w:r>
      <w:r w:rsidRPr="00400349">
        <w:t xml:space="preserve"> there were no published</w:t>
      </w:r>
      <w:r w:rsidR="007D37A6">
        <w:t xml:space="preserve"> hate crime</w:t>
      </w:r>
      <w:r w:rsidRPr="00400349">
        <w:t xml:space="preserve"> cases </w:t>
      </w:r>
      <w:r w:rsidR="001D2C1D">
        <w:t>in which</w:t>
      </w:r>
      <w:r w:rsidR="001D2C1D" w:rsidRPr="00400349">
        <w:t xml:space="preserve"> </w:t>
      </w:r>
      <w:r w:rsidRPr="00400349">
        <w:t xml:space="preserve">disability was </w:t>
      </w:r>
      <w:r w:rsidR="007D37A6">
        <w:t xml:space="preserve">identified as </w:t>
      </w:r>
      <w:r w:rsidRPr="00400349">
        <w:t xml:space="preserve">the motivating factor: Kundera Provost-Yombo, Cynthia Louden and Susan McDonald </w:t>
      </w:r>
      <w:r w:rsidRPr="00400349">
        <w:rPr>
          <w:i/>
        </w:rPr>
        <w:t>Hate as an Aggravating Factor at Sentencing: A Review of the Case Law from 2007–2020</w:t>
      </w:r>
      <w:r w:rsidRPr="00400349">
        <w:t xml:space="preserve"> (Department of Justice, 2020) at </w:t>
      </w:r>
      <w:r w:rsidR="00EB4702" w:rsidRPr="00400349">
        <w:t>30</w:t>
      </w:r>
      <w:r w:rsidRPr="00400349">
        <w:t xml:space="preserve">. In 2018, there were </w:t>
      </w:r>
      <w:r w:rsidR="00730DF3" w:rsidRPr="00400349">
        <w:t>nine</w:t>
      </w:r>
      <w:r w:rsidRPr="00400349">
        <w:t xml:space="preserve"> police-reported hate crimes motivated by hatred towards the victim’s disability, less than 1</w:t>
      </w:r>
      <w:r w:rsidR="00510BC2">
        <w:t xml:space="preserve"> per cent</w:t>
      </w:r>
      <w:r w:rsidRPr="00400349">
        <w:t xml:space="preserve"> of reported hate crime. For the age factor, there was a single published case during the 2007</w:t>
      </w:r>
      <w:r w:rsidR="003F0E60">
        <w:t>–</w:t>
      </w:r>
      <w:r w:rsidRPr="00400349">
        <w:t xml:space="preserve">2020 period: Kundera Provost-Yombo, Cynthia Louden and Susan McDonald </w:t>
      </w:r>
      <w:r w:rsidRPr="00400349">
        <w:rPr>
          <w:i/>
          <w:iCs/>
        </w:rPr>
        <w:t>Hate as an Aggravating Factor at Sentencing: A Review of the Case Law from 2007–2020</w:t>
      </w:r>
      <w:r w:rsidRPr="00400349">
        <w:t xml:space="preserve"> (Department of Justice, 2020) at 27. In 2018, there were </w:t>
      </w:r>
      <w:r w:rsidR="00510BC2">
        <w:t>10</w:t>
      </w:r>
      <w:r w:rsidRPr="00400349">
        <w:t xml:space="preserve"> police-reported hate crimes motivated by hatred towards the victim’s age, less than 1</w:t>
      </w:r>
      <w:r w:rsidR="00510BC2">
        <w:t xml:space="preserve"> per cent</w:t>
      </w:r>
      <w:r w:rsidRPr="00400349">
        <w:t xml:space="preserve"> of reported hate crime.</w:t>
      </w:r>
    </w:p>
  </w:footnote>
  <w:footnote w:id="741">
    <w:p w14:paraId="74184CF5" w14:textId="5D64A5A1" w:rsidR="00F92181" w:rsidRPr="00400349" w:rsidRDefault="00F92181" w:rsidP="00F92181">
      <w:pPr>
        <w:pStyle w:val="FootnoteText"/>
      </w:pPr>
      <w:r w:rsidRPr="00400349">
        <w:rPr>
          <w:rStyle w:val="FootnoteReference"/>
        </w:rPr>
        <w:footnoteRef/>
      </w:r>
      <w:r w:rsidRPr="00400349">
        <w:t xml:space="preserve"> </w:t>
      </w:r>
      <w:r w:rsidRPr="00400349">
        <w:tab/>
      </w:r>
      <w:r w:rsidR="001442C5" w:rsidRPr="00400349">
        <w:rPr>
          <w:color w:val="auto"/>
        </w:rPr>
        <w:t>Gail Mason and Kristin Macintosh “Hate Crime Sentencing Laws in New Zealand and Australia: Is there a Difference?” [2014] NZ L Rev 647 at 678.</w:t>
      </w:r>
    </w:p>
  </w:footnote>
  <w:footnote w:id="742">
    <w:p w14:paraId="634D4AAA" w14:textId="0768C7D4" w:rsidR="00F92181" w:rsidRPr="00400349" w:rsidRDefault="00F92181" w:rsidP="00F92181">
      <w:pPr>
        <w:pStyle w:val="FootnoteText"/>
      </w:pPr>
      <w:r w:rsidRPr="00400349">
        <w:rPr>
          <w:rStyle w:val="FootnoteReference"/>
        </w:rPr>
        <w:footnoteRef/>
      </w:r>
      <w:r w:rsidRPr="00400349">
        <w:t xml:space="preserve"> </w:t>
      </w:r>
      <w:r w:rsidRPr="00400349">
        <w:tab/>
        <w:t>Consultation Paper at [5.37]</w:t>
      </w:r>
      <w:r w:rsidR="006E7C97" w:rsidRPr="00400349">
        <w:t>–</w:t>
      </w:r>
      <w:r w:rsidRPr="00400349">
        <w:t>[5.40].</w:t>
      </w:r>
    </w:p>
  </w:footnote>
  <w:footnote w:id="743">
    <w:p w14:paraId="273638BF" w14:textId="36C0A40F" w:rsidR="00B0105A" w:rsidRPr="00400349" w:rsidRDefault="00B0105A" w:rsidP="00B0105A">
      <w:pPr>
        <w:pStyle w:val="FootnoteText"/>
      </w:pPr>
      <w:r w:rsidRPr="00400349">
        <w:rPr>
          <w:rStyle w:val="FootnoteReference"/>
        </w:rPr>
        <w:footnoteRef/>
      </w:r>
      <w:r w:rsidRPr="00400349">
        <w:t xml:space="preserve"> </w:t>
      </w:r>
      <w:r w:rsidRPr="00400349">
        <w:tab/>
      </w:r>
      <w:r w:rsidR="008E03D4" w:rsidRPr="00400349">
        <w:rPr>
          <w:color w:val="auto"/>
        </w:rPr>
        <w:t xml:space="preserve">Te Kāhui Ture o Aotearoa | </w:t>
      </w:r>
      <w:r w:rsidRPr="00400349">
        <w:rPr>
          <w:color w:val="auto"/>
        </w:rPr>
        <w:t xml:space="preserve">New Zealand Law Society (note the submission refers to </w:t>
      </w:r>
      <w:r w:rsidRPr="00400349">
        <w:rPr>
          <w:i/>
          <w:color w:val="auto"/>
        </w:rPr>
        <w:t>multiple</w:t>
      </w:r>
      <w:r w:rsidRPr="00400349">
        <w:rPr>
          <w:color w:val="auto"/>
        </w:rPr>
        <w:t xml:space="preserve"> </w:t>
      </w:r>
      <w:r w:rsidRPr="00400349">
        <w:rPr>
          <w:i/>
          <w:color w:val="auto"/>
        </w:rPr>
        <w:t>aggravating factors</w:t>
      </w:r>
      <w:r w:rsidRPr="00400349">
        <w:rPr>
          <w:color w:val="auto"/>
        </w:rPr>
        <w:t>, but the context suggests this was intended to refer to motivations).</w:t>
      </w:r>
    </w:p>
  </w:footnote>
  <w:footnote w:id="744">
    <w:p w14:paraId="662BBAD2" w14:textId="0ED0ACA1" w:rsidR="00B0105A" w:rsidRPr="00400349" w:rsidRDefault="00B0105A" w:rsidP="00B0105A">
      <w:pPr>
        <w:pStyle w:val="FootnoteText"/>
      </w:pPr>
      <w:r w:rsidRPr="00400349">
        <w:rPr>
          <w:rStyle w:val="FootnoteReference"/>
        </w:rPr>
        <w:footnoteRef/>
      </w:r>
      <w:r w:rsidR="00F92181" w:rsidRPr="00400349">
        <w:t xml:space="preserve"> </w:t>
      </w:r>
      <w:r w:rsidR="00F92181" w:rsidRPr="00400349">
        <w:tab/>
      </w:r>
      <w:r w:rsidR="001E67AA" w:rsidRPr="00400349">
        <w:rPr>
          <w:color w:val="auto"/>
        </w:rPr>
        <w:t>Maxim Institute. See also Ratonga Wawao ā-Ture Tūmatanui | Public Defence Service, noting “How much weight a judge gives the factor, once proven, is up to the judge, but will no doubt reflect the level of the motivation.”</w:t>
      </w:r>
    </w:p>
  </w:footnote>
  <w:footnote w:id="745">
    <w:p w14:paraId="36AAF669" w14:textId="3EC13ABC" w:rsidR="00F92181" w:rsidRPr="00400349" w:rsidRDefault="00F92181" w:rsidP="00F92181">
      <w:pPr>
        <w:pStyle w:val="FootnoteText"/>
      </w:pPr>
      <w:r w:rsidRPr="00400349">
        <w:rPr>
          <w:rStyle w:val="FootnoteReference"/>
        </w:rPr>
        <w:footnoteRef/>
      </w:r>
      <w:r w:rsidRPr="00400349">
        <w:t xml:space="preserve"> </w:t>
      </w:r>
      <w:r w:rsidRPr="00400349">
        <w:tab/>
      </w:r>
      <w:r w:rsidR="001E67AA" w:rsidRPr="00400349">
        <w:rPr>
          <w:color w:val="auto"/>
        </w:rPr>
        <w:t>Ratonga Wawao ā-Ture Tūmatanui | Public Defence Service.</w:t>
      </w:r>
    </w:p>
  </w:footnote>
  <w:footnote w:id="746">
    <w:p w14:paraId="57BBF81A" w14:textId="2426844B" w:rsidR="00F92181" w:rsidRPr="00400349" w:rsidRDefault="00F92181" w:rsidP="00F92181">
      <w:pPr>
        <w:pStyle w:val="FootnoteText"/>
      </w:pPr>
      <w:r w:rsidRPr="00400349">
        <w:rPr>
          <w:rStyle w:val="FootnoteReference"/>
        </w:rPr>
        <w:footnoteRef/>
      </w:r>
      <w:r w:rsidRPr="00400349">
        <w:t xml:space="preserve"> </w:t>
      </w:r>
      <w:r w:rsidRPr="00400349">
        <w:tab/>
      </w:r>
      <w:r w:rsidR="001E67AA" w:rsidRPr="00400349">
        <w:rPr>
          <w:color w:val="auto"/>
        </w:rPr>
        <w:t>Sentencing Act, s 9(1).</w:t>
      </w:r>
    </w:p>
  </w:footnote>
  <w:footnote w:id="747">
    <w:p w14:paraId="6129F51B" w14:textId="4AC8C323" w:rsidR="00F92181" w:rsidRPr="00400349" w:rsidRDefault="00F92181" w:rsidP="00F92181">
      <w:pPr>
        <w:pStyle w:val="FootnoteText"/>
      </w:pPr>
      <w:r w:rsidRPr="00400349">
        <w:rPr>
          <w:rStyle w:val="FootnoteReference"/>
        </w:rPr>
        <w:footnoteRef/>
      </w:r>
      <w:r w:rsidRPr="00400349">
        <w:t xml:space="preserve"> </w:t>
      </w:r>
      <w:r w:rsidRPr="00400349">
        <w:tab/>
      </w:r>
      <w:r w:rsidR="006C536A" w:rsidRPr="00400349">
        <w:rPr>
          <w:color w:val="auto"/>
        </w:rPr>
        <w:t>Crimes (Sentencing Procedure) Act 1999 (NSW), s</w:t>
      </w:r>
      <w:r w:rsidR="006C536A" w:rsidRPr="00400349">
        <w:rPr>
          <w:rFonts w:ascii="Cambria Math" w:hAnsi="Cambria Math" w:cs="Cambria Math"/>
          <w:color w:val="auto"/>
        </w:rPr>
        <w:t> </w:t>
      </w:r>
      <w:r w:rsidR="006C536A" w:rsidRPr="00400349">
        <w:rPr>
          <w:color w:val="auto"/>
        </w:rPr>
        <w:t xml:space="preserve">21A(2)(h) (as amended by the Crimes Legislation Amendment (Racial and Religious Hatred) </w:t>
      </w:r>
      <w:r w:rsidR="0095721F">
        <w:rPr>
          <w:color w:val="auto"/>
        </w:rPr>
        <w:t>Act</w:t>
      </w:r>
      <w:r w:rsidR="0095721F" w:rsidRPr="00400349">
        <w:rPr>
          <w:color w:val="auto"/>
        </w:rPr>
        <w:t xml:space="preserve"> </w:t>
      </w:r>
      <w:r w:rsidR="006C536A" w:rsidRPr="00400349">
        <w:rPr>
          <w:color w:val="auto"/>
        </w:rPr>
        <w:t>2025); Criminal Code Act 1899 (Qld), s 52B; Sentencing Act 2017 (SA), s 11(1)(ca); Sentencing Act 1997 (Tas), s</w:t>
      </w:r>
      <w:r w:rsidR="006C536A" w:rsidRPr="00400349">
        <w:rPr>
          <w:rFonts w:ascii="Calibri" w:hAnsi="Calibri" w:cs="Calibri"/>
          <w:color w:val="auto"/>
        </w:rPr>
        <w:t> </w:t>
      </w:r>
      <w:r w:rsidR="006C536A" w:rsidRPr="00400349">
        <w:rPr>
          <w:color w:val="auto"/>
        </w:rPr>
        <w:t>11B; Sentencing Act 1991 (Vic), s</w:t>
      </w:r>
      <w:r w:rsidR="006C536A" w:rsidRPr="00400349">
        <w:rPr>
          <w:rFonts w:ascii="Cambria Math" w:hAnsi="Cambria Math" w:cs="Cambria Math"/>
          <w:color w:val="auto"/>
        </w:rPr>
        <w:t> </w:t>
      </w:r>
      <w:r w:rsidR="006C536A" w:rsidRPr="00400349">
        <w:rPr>
          <w:color w:val="auto"/>
        </w:rPr>
        <w:t>5(2)(daaa); Criminal Code Act Compilation Act 1913 (WA), s 80I; Sentencing Act 2020 (UK), s 66; Hate Crime and Public Order (Scotland) Act 2021 (UK), s 1(1)(b); The Criminal Justice (No 2) (Northern Ireland) Order 2004, art 2(3)(b); and Criminal Justice (Hate Offences) Act 2024 (Ireland), ss 5–7.</w:t>
      </w:r>
    </w:p>
  </w:footnote>
  <w:footnote w:id="748">
    <w:p w14:paraId="21ACE9B9" w14:textId="47A337D2" w:rsidR="00F92181" w:rsidRPr="00400349" w:rsidRDefault="00F92181" w:rsidP="00F92181">
      <w:pPr>
        <w:pStyle w:val="FootnoteText"/>
      </w:pPr>
      <w:r w:rsidRPr="00400349">
        <w:rPr>
          <w:vertAlign w:val="superscript"/>
        </w:rPr>
        <w:footnoteRef/>
      </w:r>
      <w:r w:rsidRPr="00400349">
        <w:t xml:space="preserve"> </w:t>
      </w:r>
      <w:r w:rsidRPr="00400349">
        <w:tab/>
      </w:r>
      <w:r w:rsidR="005B6564" w:rsidRPr="00400349">
        <w:rPr>
          <w:color w:val="auto"/>
        </w:rPr>
        <w:t>Sentencing Act 1995 (NT), s</w:t>
      </w:r>
      <w:r w:rsidR="005B6564" w:rsidRPr="00400349">
        <w:rPr>
          <w:rFonts w:ascii="Cambria Math" w:hAnsi="Cambria Math" w:cs="Cambria Math"/>
          <w:color w:val="auto"/>
        </w:rPr>
        <w:t> </w:t>
      </w:r>
      <w:r w:rsidR="005B6564" w:rsidRPr="00400349">
        <w:rPr>
          <w:color w:val="auto"/>
        </w:rPr>
        <w:t>6A(1)(e); and Criminal Code RSC 1985 c C</w:t>
      </w:r>
      <w:r w:rsidR="00FC6751" w:rsidRPr="00400349">
        <w:rPr>
          <w:color w:val="auto"/>
        </w:rPr>
        <w:t>-</w:t>
      </w:r>
      <w:r w:rsidR="005B6564" w:rsidRPr="00400349">
        <w:rPr>
          <w:color w:val="auto"/>
        </w:rPr>
        <w:t>46, s 718.2(a)(i).</w:t>
      </w:r>
    </w:p>
  </w:footnote>
  <w:footnote w:id="749">
    <w:p w14:paraId="018F1AAE" w14:textId="702A12E4" w:rsidR="00F92181" w:rsidRPr="00400349" w:rsidRDefault="00F92181" w:rsidP="00F92181">
      <w:pPr>
        <w:pStyle w:val="FootnoteText"/>
      </w:pPr>
      <w:r w:rsidRPr="00400349">
        <w:rPr>
          <w:rStyle w:val="FootnoteReference"/>
        </w:rPr>
        <w:footnoteRef/>
      </w:r>
      <w:r w:rsidRPr="00400349">
        <w:t xml:space="preserve"> </w:t>
      </w:r>
      <w:r w:rsidRPr="00400349">
        <w:tab/>
      </w:r>
      <w:r w:rsidR="00F16418">
        <w:rPr>
          <w:color w:val="auto"/>
        </w:rPr>
        <w:t>In</w:t>
      </w:r>
      <w:r w:rsidR="00FF5A16" w:rsidRPr="00400349">
        <w:rPr>
          <w:color w:val="auto"/>
        </w:rPr>
        <w:t xml:space="preserve"> Canada</w:t>
      </w:r>
      <w:r w:rsidR="00F16418">
        <w:rPr>
          <w:color w:val="auto"/>
        </w:rPr>
        <w:t>, see</w:t>
      </w:r>
      <w:r w:rsidR="00FF5A16" w:rsidRPr="00400349">
        <w:rPr>
          <w:color w:val="auto"/>
        </w:rPr>
        <w:t xml:space="preserve"> </w:t>
      </w:r>
      <w:r w:rsidR="00FF5A16" w:rsidRPr="00400349">
        <w:rPr>
          <w:i/>
          <w:color w:val="auto"/>
        </w:rPr>
        <w:t>R v Vrdoljak</w:t>
      </w:r>
      <w:r w:rsidR="00FF5A16" w:rsidRPr="00400349">
        <w:rPr>
          <w:color w:val="auto"/>
        </w:rPr>
        <w:t xml:space="preserve"> [2002] OJ No 1332 at [4]; and </w:t>
      </w:r>
      <w:r w:rsidR="00FF5A16" w:rsidRPr="00400349">
        <w:rPr>
          <w:i/>
          <w:color w:val="auto"/>
        </w:rPr>
        <w:t>R v Grant</w:t>
      </w:r>
      <w:r w:rsidR="00FF5A16" w:rsidRPr="00400349">
        <w:rPr>
          <w:color w:val="auto"/>
        </w:rPr>
        <w:t xml:space="preserve"> 2025 ONCJ 231 at [32].</w:t>
      </w:r>
    </w:p>
  </w:footnote>
  <w:footnote w:id="750">
    <w:p w14:paraId="602C8CA1" w14:textId="25BBC781" w:rsidR="00B26C4D" w:rsidRPr="00400349" w:rsidRDefault="00B26C4D" w:rsidP="00244AD8">
      <w:pPr>
        <w:pStyle w:val="FootnoteText"/>
      </w:pPr>
      <w:r w:rsidRPr="00400349">
        <w:rPr>
          <w:rStyle w:val="FootnoteReference"/>
          <w:color w:val="auto"/>
        </w:rPr>
        <w:footnoteRef/>
      </w:r>
      <w:r w:rsidRPr="00400349">
        <w:t xml:space="preserve"> </w:t>
      </w:r>
      <w:r w:rsidRPr="00400349">
        <w:tab/>
      </w:r>
      <w:r w:rsidR="00EF3A8C" w:rsidRPr="00400349">
        <w:t xml:space="preserve">Te Aka Matua o te Ture | Law Commission </w:t>
      </w:r>
      <w:r w:rsidR="00EF3A8C" w:rsidRPr="00400349">
        <w:rPr>
          <w:i/>
        </w:rPr>
        <w:t>Hara ngākau kino | Hate crime: Consultation Paper</w:t>
      </w:r>
      <w:r w:rsidR="00EF3A8C" w:rsidRPr="00400349">
        <w:t xml:space="preserve"> (NZLC IP55, 2025) (Consultation Paper)</w:t>
      </w:r>
      <w:r w:rsidRPr="00400349">
        <w:t xml:space="preserve"> at [5.21] and [5.26].</w:t>
      </w:r>
    </w:p>
  </w:footnote>
  <w:footnote w:id="751">
    <w:p w14:paraId="281BF533" w14:textId="5DDF288D"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Consultation Paper at [7.21]</w:t>
      </w:r>
      <w:r w:rsidR="00D2084A" w:rsidRPr="00400349">
        <w:rPr>
          <w:color w:val="auto"/>
        </w:rPr>
        <w:t>–</w:t>
      </w:r>
      <w:r w:rsidRPr="00400349">
        <w:rPr>
          <w:color w:val="auto"/>
        </w:rPr>
        <w:t>[7.22].</w:t>
      </w:r>
    </w:p>
  </w:footnote>
  <w:footnote w:id="752">
    <w:p w14:paraId="539A70E8" w14:textId="22F23561"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EC7C93" w:rsidRPr="00400349">
        <w:rPr>
          <w:color w:val="auto"/>
        </w:rPr>
        <w:t xml:space="preserve">Justice for Palestine, Alternative Jewish Voices and Dayenu (joint submission); Dr Kyle R Matthews; </w:t>
      </w:r>
      <w:r w:rsidRPr="00400349">
        <w:rPr>
          <w:color w:val="auto"/>
        </w:rPr>
        <w:t xml:space="preserve">New Zealand Federation of Business and Professional Women; New Zealand Jewish Council; Te Kāhui Ture o Aotearoa | New Zealand Law Society; Submission </w:t>
      </w:r>
      <w:r w:rsidR="00EC7C93" w:rsidRPr="00400349">
        <w:rPr>
          <w:color w:val="auto"/>
        </w:rPr>
        <w:t xml:space="preserve">26; and </w:t>
      </w:r>
      <w:r w:rsidRPr="00400349">
        <w:rPr>
          <w:color w:val="auto"/>
        </w:rPr>
        <w:t>Submission 43</w:t>
      </w:r>
      <w:r w:rsidR="00EC7C93" w:rsidRPr="00400349">
        <w:rPr>
          <w:color w:val="auto"/>
        </w:rPr>
        <w:t>.</w:t>
      </w:r>
    </w:p>
  </w:footnote>
  <w:footnote w:id="753">
    <w:p w14:paraId="66EA43C7" w14:textId="77777777"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Dr Kyle R Matthews; New Zealand Federation of Business and Professional Women; Te Kāhui Ture o Aotearoa | New Zealand Law Society; and Te Kāhui o Ināia Tonu Nei Charitable Trust.</w:t>
      </w:r>
    </w:p>
  </w:footnote>
  <w:footnote w:id="754">
    <w:p w14:paraId="44371EC8" w14:textId="77777777"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 Dr Kyle R Matthews; and Te Kāhui Ture o Aotearoa | New Zealand Law Society.</w:t>
      </w:r>
    </w:p>
  </w:footnote>
  <w:footnote w:id="755">
    <w:p w14:paraId="11A4B14E" w14:textId="77777777"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Justice for Palestine, Alternative Jewish Voices, and Dayenu (joint submission).</w:t>
      </w:r>
    </w:p>
  </w:footnote>
  <w:footnote w:id="756">
    <w:p w14:paraId="7632BE39" w14:textId="77777777"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See Consultation Paper at [4.35].</w:t>
      </w:r>
    </w:p>
  </w:footnote>
  <w:footnote w:id="757">
    <w:p w14:paraId="13B87617" w14:textId="089764D4"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 xml:space="preserve">The sufficiency of partial motivation </w:t>
      </w:r>
      <w:r w:rsidR="00654D89" w:rsidRPr="00400349">
        <w:rPr>
          <w:color w:val="auto"/>
        </w:rPr>
        <w:t xml:space="preserve">appears to have </w:t>
      </w:r>
      <w:r w:rsidRPr="00400349">
        <w:rPr>
          <w:color w:val="auto"/>
        </w:rPr>
        <w:t xml:space="preserve">been overlooked in some cases. For example, in </w:t>
      </w:r>
      <w:r w:rsidRPr="00400349">
        <w:rPr>
          <w:i/>
          <w:color w:val="auto"/>
        </w:rPr>
        <w:t>Police v Purves</w:t>
      </w:r>
      <w:r w:rsidRPr="00400349">
        <w:rPr>
          <w:color w:val="auto"/>
        </w:rPr>
        <w:t xml:space="preserve"> [2025] NZDC 7514</w:t>
      </w:r>
      <w:r w:rsidR="00A45C24">
        <w:rPr>
          <w:color w:val="auto"/>
        </w:rPr>
        <w:t>,</w:t>
      </w:r>
      <w:r w:rsidRPr="00400349">
        <w:rPr>
          <w:color w:val="auto"/>
        </w:rPr>
        <w:t xml:space="preserve"> the </w:t>
      </w:r>
      <w:r w:rsidR="00A45C24">
        <w:rPr>
          <w:color w:val="auto"/>
        </w:rPr>
        <w:t>C</w:t>
      </w:r>
      <w:r w:rsidRPr="00400349">
        <w:rPr>
          <w:color w:val="auto"/>
        </w:rPr>
        <w:t>ourt appeared to suggest that offending needed to be “purely” motivated by hostility for the aggravating factor to apply</w:t>
      </w:r>
      <w:r w:rsidR="000A1D82" w:rsidRPr="00400349">
        <w:rPr>
          <w:color w:val="auto"/>
        </w:rPr>
        <w:t>:</w:t>
      </w:r>
      <w:r w:rsidRPr="00400349">
        <w:rPr>
          <w:color w:val="auto"/>
        </w:rPr>
        <w:t xml:space="preserve"> at [8].</w:t>
      </w:r>
    </w:p>
  </w:footnote>
  <w:footnote w:id="758">
    <w:p w14:paraId="2696FAB1" w14:textId="238E9B69" w:rsidR="00B26C4D" w:rsidRPr="00400349"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t>Some examples are discussed in Sentencing Council (England and Wales) “</w:t>
      </w:r>
      <w:r w:rsidR="000A1D82" w:rsidRPr="00400349">
        <w:t>Hate Crime</w:t>
      </w:r>
      <w:r w:rsidRPr="00400349">
        <w:rPr>
          <w:color w:val="auto"/>
        </w:rPr>
        <w:t>” &lt;www.sentencingcouncil.org.uk&gt;.</w:t>
      </w:r>
    </w:p>
  </w:footnote>
  <w:footnote w:id="759">
    <w:p w14:paraId="091C23D5" w14:textId="77777777" w:rsidR="00B26C4D" w:rsidRPr="00400349" w:rsidRDefault="00B26C4D" w:rsidP="00B26C4D">
      <w:pPr>
        <w:pStyle w:val="FootnoteText"/>
        <w:rPr>
          <w:color w:val="auto"/>
          <w:lang w:val="en-GB"/>
        </w:rPr>
      </w:pPr>
      <w:r w:rsidRPr="00400349">
        <w:rPr>
          <w:rStyle w:val="FootnoteReference"/>
          <w:color w:val="auto"/>
        </w:rPr>
        <w:footnoteRef/>
      </w:r>
      <w:r w:rsidRPr="00400349">
        <w:rPr>
          <w:color w:val="auto"/>
        </w:rPr>
        <w:t xml:space="preserve"> </w:t>
      </w:r>
      <w:r w:rsidRPr="00400349">
        <w:rPr>
          <w:color w:val="auto"/>
          <w:lang w:val="en-GB"/>
        </w:rPr>
        <w:tab/>
      </w:r>
      <w:r w:rsidRPr="00400349">
        <w:rPr>
          <w:color w:val="auto"/>
        </w:rPr>
        <w:t>Justice for Palestine, Alternative Jewish Voices, and Dayenu (joint submission).</w:t>
      </w:r>
    </w:p>
  </w:footnote>
  <w:footnote w:id="760">
    <w:p w14:paraId="39EBC915" w14:textId="6940DC5F" w:rsidR="009C22DB" w:rsidRPr="00400349" w:rsidRDefault="009C22DB">
      <w:pPr>
        <w:pStyle w:val="FootnoteText"/>
      </w:pPr>
      <w:r w:rsidRPr="00400349">
        <w:rPr>
          <w:rStyle w:val="FootnoteReference"/>
        </w:rPr>
        <w:footnoteRef/>
      </w:r>
      <w:r w:rsidRPr="00400349">
        <w:t xml:space="preserve"> </w:t>
      </w:r>
      <w:r w:rsidR="00074152" w:rsidRPr="00400349">
        <w:tab/>
        <w:t>Dr Chris Wilson.</w:t>
      </w:r>
    </w:p>
  </w:footnote>
  <w:footnote w:id="761">
    <w:p w14:paraId="22B9B641" w14:textId="77777777" w:rsidR="009C22DB" w:rsidRPr="00400349" w:rsidRDefault="009C22DB" w:rsidP="009C22DB">
      <w:pPr>
        <w:pStyle w:val="FootnoteText"/>
        <w:rPr>
          <w:color w:val="auto"/>
        </w:rPr>
      </w:pPr>
      <w:r w:rsidRPr="00400349">
        <w:rPr>
          <w:rStyle w:val="FootnoteReference"/>
          <w:color w:val="auto"/>
        </w:rPr>
        <w:footnoteRef/>
      </w:r>
      <w:r w:rsidRPr="00400349">
        <w:rPr>
          <w:color w:val="auto"/>
        </w:rPr>
        <w:t xml:space="preserve"> </w:t>
      </w:r>
      <w:r w:rsidRPr="00400349">
        <w:rPr>
          <w:color w:val="auto"/>
        </w:rPr>
        <w:tab/>
        <w:t>Grace Carroll.</w:t>
      </w:r>
    </w:p>
  </w:footnote>
  <w:footnote w:id="762">
    <w:p w14:paraId="6589BDE9" w14:textId="3A336BFB" w:rsidR="00463685" w:rsidRPr="00400349" w:rsidRDefault="00463685" w:rsidP="00463685">
      <w:pPr>
        <w:pStyle w:val="FootnoteText"/>
        <w:rPr>
          <w:color w:val="auto"/>
          <w:lang w:eastAsia="en-AU"/>
        </w:rPr>
      </w:pPr>
      <w:r w:rsidRPr="00400349">
        <w:rPr>
          <w:rStyle w:val="FootnoteReference"/>
          <w:color w:val="auto"/>
        </w:rPr>
        <w:footnoteRef/>
      </w:r>
      <w:r w:rsidRPr="00400349">
        <w:rPr>
          <w:color w:val="auto"/>
        </w:rPr>
        <w:t xml:space="preserve"> </w:t>
      </w:r>
      <w:r w:rsidRPr="00400349">
        <w:rPr>
          <w:color w:val="auto"/>
          <w:lang w:val="mi-NZ"/>
        </w:rPr>
        <w:tab/>
      </w:r>
      <w:r w:rsidRPr="00400349">
        <w:rPr>
          <w:color w:val="auto"/>
          <w:lang w:val="mi-NZ" w:eastAsia="en-AU"/>
        </w:rPr>
        <w:t>Barbara Perry and Kanika Samuels-Wortley “‘</w:t>
      </w:r>
      <w:r w:rsidRPr="00400349">
        <w:rPr>
          <w:color w:val="auto"/>
          <w:lang w:eastAsia="en-AU"/>
        </w:rPr>
        <w:t>We</w:t>
      </w:r>
      <w:r w:rsidR="007403A0">
        <w:rPr>
          <w:color w:val="auto"/>
          <w:lang w:eastAsia="en-AU"/>
        </w:rPr>
        <w:t>’</w:t>
      </w:r>
      <w:r w:rsidRPr="00400349">
        <w:rPr>
          <w:color w:val="auto"/>
          <w:lang w:eastAsia="en-AU"/>
        </w:rPr>
        <w:t xml:space="preserve">re Not Where We Should Be’: Enhancing Law Enforcement Responses to Hate Crime” </w:t>
      </w:r>
      <w:r w:rsidRPr="00400349">
        <w:rPr>
          <w:color w:val="auto"/>
          <w:lang w:val="mi-NZ" w:eastAsia="en-AU"/>
        </w:rPr>
        <w:t>(2021) 63</w:t>
      </w:r>
      <w:r w:rsidRPr="00400349">
        <w:rPr>
          <w:color w:val="auto"/>
          <w:lang w:eastAsia="en-AU"/>
        </w:rPr>
        <w:t xml:space="preserve"> CJCCJ 68 at 80. </w:t>
      </w:r>
    </w:p>
  </w:footnote>
  <w:footnote w:id="763">
    <w:p w14:paraId="704770A1" w14:textId="3C35DA09" w:rsidR="00463685" w:rsidRPr="00400349" w:rsidRDefault="00463685" w:rsidP="00463685">
      <w:pPr>
        <w:pStyle w:val="FootnoteText"/>
        <w:rPr>
          <w:color w:val="auto"/>
        </w:rPr>
      </w:pPr>
      <w:r w:rsidRPr="00400349">
        <w:rPr>
          <w:rStyle w:val="FootnoteReference"/>
          <w:color w:val="auto"/>
        </w:rPr>
        <w:footnoteRef/>
      </w:r>
      <w:r w:rsidRPr="00400349">
        <w:rPr>
          <w:color w:val="auto"/>
        </w:rPr>
        <w:t xml:space="preserve"> </w:t>
      </w:r>
      <w:r w:rsidRPr="00400349">
        <w:rPr>
          <w:color w:val="auto"/>
          <w:lang w:val="mi-NZ"/>
        </w:rPr>
        <w:tab/>
      </w:r>
      <w:r w:rsidR="00EE039B" w:rsidRPr="00400349">
        <w:rPr>
          <w:color w:val="auto"/>
        </w:rPr>
        <w:t>EU High Level Group on combating racism, xenophobia and other forms of intolerance</w:t>
      </w:r>
      <w:r w:rsidR="00EE039B" w:rsidRPr="00400349" w:rsidDel="00EE039B">
        <w:rPr>
          <w:color w:val="auto"/>
        </w:rPr>
        <w:t xml:space="preserve"> </w:t>
      </w:r>
      <w:r w:rsidRPr="00400349">
        <w:rPr>
          <w:i/>
        </w:rPr>
        <w:t>Key Guiding Principles on Encouraging Reporting of Hate Crime</w:t>
      </w:r>
      <w:r w:rsidR="00EE039B" w:rsidRPr="00400349">
        <w:rPr>
          <w:i/>
        </w:rPr>
        <w:t>: The Role of Law Enforcement and Relevant Authorities</w:t>
      </w:r>
      <w:r w:rsidRPr="00400349">
        <w:rPr>
          <w:color w:val="auto"/>
        </w:rPr>
        <w:t xml:space="preserve"> </w:t>
      </w:r>
      <w:r w:rsidRPr="00400349" w:rsidDel="00260227">
        <w:rPr>
          <w:color w:val="auto"/>
        </w:rPr>
        <w:t>(</w:t>
      </w:r>
      <w:r w:rsidRPr="00400349">
        <w:rPr>
          <w:color w:val="auto"/>
        </w:rPr>
        <w:t xml:space="preserve">European Commission, </w:t>
      </w:r>
      <w:r w:rsidR="00EA6A7E" w:rsidRPr="00400349">
        <w:rPr>
          <w:color w:val="auto"/>
        </w:rPr>
        <w:t xml:space="preserve">March </w:t>
      </w:r>
      <w:r w:rsidRPr="00400349">
        <w:rPr>
          <w:color w:val="auto"/>
        </w:rPr>
        <w:t>2021) at 8.</w:t>
      </w:r>
    </w:p>
  </w:footnote>
  <w:footnote w:id="764">
    <w:p w14:paraId="7FB8BA49" w14:textId="21B4F18A" w:rsidR="00463685" w:rsidRPr="00400349" w:rsidRDefault="00463685" w:rsidP="00463685">
      <w:pPr>
        <w:pStyle w:val="FootnoteText"/>
        <w:rPr>
          <w:color w:val="auto"/>
          <w:lang w:eastAsia="en-AU"/>
        </w:rPr>
      </w:pPr>
      <w:r w:rsidRPr="00400349">
        <w:rPr>
          <w:rStyle w:val="FootnoteReference"/>
          <w:color w:val="auto"/>
        </w:rPr>
        <w:footnoteRef/>
      </w:r>
      <w:r w:rsidRPr="00400349">
        <w:rPr>
          <w:color w:val="auto"/>
        </w:rPr>
        <w:t xml:space="preserve"> </w:t>
      </w:r>
      <w:r w:rsidRPr="00400349">
        <w:rPr>
          <w:color w:val="auto"/>
          <w:lang w:val="mi-NZ"/>
        </w:rPr>
        <w:tab/>
      </w:r>
      <w:r w:rsidRPr="00400349">
        <w:rPr>
          <w:color w:val="auto"/>
          <w:lang w:val="mi-NZ" w:eastAsia="en-AU"/>
        </w:rPr>
        <w:t>Barbara Perry and Kanika Samuels-Wortley “‘</w:t>
      </w:r>
      <w:r w:rsidRPr="00400349">
        <w:rPr>
          <w:color w:val="auto"/>
          <w:lang w:eastAsia="en-AU"/>
        </w:rPr>
        <w:t>We</w:t>
      </w:r>
      <w:r w:rsidR="00AF0501">
        <w:rPr>
          <w:color w:val="auto"/>
          <w:lang w:eastAsia="en-AU"/>
        </w:rPr>
        <w:t>’</w:t>
      </w:r>
      <w:r w:rsidRPr="00400349">
        <w:rPr>
          <w:color w:val="auto"/>
          <w:lang w:eastAsia="en-AU"/>
        </w:rPr>
        <w:t xml:space="preserve">re Not Where We Should Be’: Enhancing Law Enforcement Responses to Hate Crime” </w:t>
      </w:r>
      <w:r w:rsidRPr="00400349">
        <w:rPr>
          <w:color w:val="auto"/>
          <w:lang w:val="mi-NZ" w:eastAsia="en-AU"/>
        </w:rPr>
        <w:t xml:space="preserve">(2021) 63 </w:t>
      </w:r>
      <w:r w:rsidRPr="00400349">
        <w:rPr>
          <w:color w:val="auto"/>
          <w:lang w:eastAsia="en-AU"/>
        </w:rPr>
        <w:t xml:space="preserve">CJCCJ 68 at 80. </w:t>
      </w:r>
    </w:p>
  </w:footnote>
  <w:footnote w:id="765">
    <w:p w14:paraId="6CCF6EA3" w14:textId="47F3B171" w:rsidR="00463685" w:rsidRPr="00400349" w:rsidRDefault="00463685" w:rsidP="00463685">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r>
      <w:r w:rsidR="001D5C95" w:rsidRPr="00400349">
        <w:rPr>
          <w:color w:val="auto"/>
        </w:rPr>
        <w:t>EU High Level Group on combating racism, xenophobia and other forms of intolerance</w:t>
      </w:r>
      <w:r w:rsidR="001D5C95" w:rsidRPr="00400349">
        <w:rPr>
          <w:i/>
          <w:iCs/>
        </w:rPr>
        <w:t xml:space="preserve"> Key Guiding Principles on Encouraging Reporting of Hate Crime: The Role of Law Enforcement and Relevant Authorities</w:t>
      </w:r>
      <w:r w:rsidR="001D5C95" w:rsidRPr="00400349">
        <w:rPr>
          <w:color w:val="auto"/>
        </w:rPr>
        <w:t xml:space="preserve"> </w:t>
      </w:r>
      <w:r w:rsidR="001D5C95" w:rsidRPr="00400349" w:rsidDel="00260227">
        <w:rPr>
          <w:color w:val="auto"/>
        </w:rPr>
        <w:t>(</w:t>
      </w:r>
      <w:r w:rsidR="001D5C95" w:rsidRPr="00400349">
        <w:rPr>
          <w:color w:val="auto"/>
        </w:rPr>
        <w:t>European Commission, March 2021) at 8.</w:t>
      </w:r>
    </w:p>
  </w:footnote>
  <w:footnote w:id="766">
    <w:p w14:paraId="6CD4679C" w14:textId="6E50C2EF" w:rsidR="00463685" w:rsidRPr="00400349" w:rsidRDefault="00463685" w:rsidP="00463685">
      <w:pPr>
        <w:pStyle w:val="FootnoteText"/>
        <w:rPr>
          <w:color w:val="auto"/>
          <w:lang w:val="mi-NZ"/>
        </w:rPr>
      </w:pPr>
      <w:r w:rsidRPr="00400349">
        <w:rPr>
          <w:rStyle w:val="FootnoteReference"/>
          <w:color w:val="auto"/>
        </w:rPr>
        <w:footnoteRef/>
      </w:r>
      <w:r w:rsidRPr="00400349">
        <w:rPr>
          <w:color w:val="auto"/>
          <w:lang w:val="mi-NZ"/>
        </w:rPr>
        <w:t xml:space="preserve"> </w:t>
      </w:r>
      <w:r w:rsidRPr="00400349">
        <w:rPr>
          <w:color w:val="auto"/>
          <w:lang w:val="mi-NZ"/>
        </w:rPr>
        <w:tab/>
        <w:t>Home Office “</w:t>
      </w:r>
      <w:r w:rsidR="00254A37" w:rsidRPr="00400349">
        <w:t>Hate crime, England and Wales, year ending March 2025</w:t>
      </w:r>
      <w:r w:rsidRPr="00400349">
        <w:rPr>
          <w:color w:val="auto"/>
          <w:lang w:val="mi-NZ"/>
        </w:rPr>
        <w:t>” (9 October 2025) &lt;www.gov.uk&gt;.</w:t>
      </w:r>
    </w:p>
  </w:footnote>
  <w:footnote w:id="767">
    <w:p w14:paraId="2B97CA61" w14:textId="0499F214" w:rsidR="00463685" w:rsidRPr="00400349" w:rsidRDefault="00463685" w:rsidP="00463685">
      <w:pPr>
        <w:pStyle w:val="FootnoteText"/>
        <w:rPr>
          <w:color w:val="auto"/>
        </w:rPr>
      </w:pPr>
      <w:r w:rsidRPr="00400349">
        <w:rPr>
          <w:rStyle w:val="FootnoteReference"/>
          <w:color w:val="auto"/>
        </w:rPr>
        <w:footnoteRef/>
      </w:r>
      <w:r w:rsidRPr="00400349">
        <w:rPr>
          <w:color w:val="auto"/>
        </w:rPr>
        <w:t xml:space="preserve"> </w:t>
      </w:r>
      <w:r w:rsidRPr="00400349">
        <w:rPr>
          <w:color w:val="auto"/>
        </w:rPr>
        <w:tab/>
        <w:t>Crown Prosecution Service “</w:t>
      </w:r>
      <w:r w:rsidR="00254A37" w:rsidRPr="00400349">
        <w:t>CPS data summary Quarter 4 2024–2025</w:t>
      </w:r>
      <w:r w:rsidRPr="00400349">
        <w:rPr>
          <w:color w:val="auto"/>
        </w:rPr>
        <w:t>” (17 July 2025) &lt;www.cps.gov.uk&gt;.</w:t>
      </w:r>
    </w:p>
  </w:footnote>
  <w:footnote w:id="768">
    <w:p w14:paraId="793BA4B5" w14:textId="6A8B4D96" w:rsidR="00463685" w:rsidRPr="00400349" w:rsidRDefault="00463685" w:rsidP="00463685">
      <w:pPr>
        <w:pStyle w:val="FootnoteText"/>
        <w:rPr>
          <w:color w:val="auto"/>
          <w:lang w:val="mi-NZ"/>
        </w:rPr>
      </w:pPr>
      <w:r w:rsidRPr="00400349">
        <w:rPr>
          <w:rStyle w:val="FootnoteReference"/>
          <w:color w:val="auto"/>
        </w:rPr>
        <w:footnoteRef/>
      </w:r>
      <w:r w:rsidRPr="00400349">
        <w:rPr>
          <w:color w:val="auto"/>
        </w:rPr>
        <w:t xml:space="preserve"> </w:t>
      </w:r>
      <w:r w:rsidRPr="00400349">
        <w:rPr>
          <w:color w:val="auto"/>
          <w:lang w:val="mi-NZ"/>
        </w:rPr>
        <w:tab/>
      </w:r>
      <w:r w:rsidRPr="00400349">
        <w:rPr>
          <w:color w:val="auto"/>
        </w:rPr>
        <w:t>Statistics Canada “</w:t>
      </w:r>
      <w:r w:rsidR="00254A37" w:rsidRPr="00400349">
        <w:t>Police-reported crime in Canada, 2024</w:t>
      </w:r>
      <w:r w:rsidRPr="00400349">
        <w:rPr>
          <w:color w:val="auto"/>
        </w:rPr>
        <w:t>” (22 July 2025) &lt;www.statcan.gc.ca&gt;</w:t>
      </w:r>
      <w:r w:rsidRPr="00400349">
        <w:rPr>
          <w:b/>
          <w:color w:val="auto"/>
        </w:rPr>
        <w:t>.</w:t>
      </w:r>
    </w:p>
  </w:footnote>
  <w:footnote w:id="769">
    <w:p w14:paraId="49FA84E3" w14:textId="1961F275" w:rsidR="00180791" w:rsidRPr="00400349" w:rsidRDefault="00180791" w:rsidP="00180791">
      <w:pPr>
        <w:pStyle w:val="FootnoteText"/>
        <w:rPr>
          <w:color w:val="auto"/>
        </w:rPr>
      </w:pPr>
      <w:r w:rsidRPr="00400349">
        <w:rPr>
          <w:rStyle w:val="FootnoteReference"/>
          <w:color w:val="auto"/>
        </w:rPr>
        <w:footnoteRef/>
      </w:r>
      <w:r w:rsidRPr="00400349">
        <w:rPr>
          <w:color w:val="auto"/>
        </w:rPr>
        <w:t xml:space="preserve"> </w:t>
      </w:r>
      <w:r w:rsidRPr="00400349">
        <w:rPr>
          <w:color w:val="auto"/>
        </w:rPr>
        <w:tab/>
        <w:t>New Zealand Police “</w:t>
      </w:r>
      <w:r w:rsidR="00254A37" w:rsidRPr="00400349">
        <w:t>Hate-motivated Crimes Official Information Act responses</w:t>
      </w:r>
      <w:r w:rsidRPr="00400349">
        <w:rPr>
          <w:color w:val="auto"/>
        </w:rPr>
        <w:t>” &lt;www.police.govt.nz&gt;.</w:t>
      </w:r>
    </w:p>
  </w:footnote>
  <w:footnote w:id="770">
    <w:p w14:paraId="1EDC9F6E" w14:textId="5AAF413B" w:rsidR="00B26C4D" w:rsidRPr="005B779A" w:rsidRDefault="00B26C4D" w:rsidP="00B26C4D">
      <w:pPr>
        <w:pStyle w:val="FootnoteText"/>
        <w:rPr>
          <w:color w:val="auto"/>
        </w:rPr>
      </w:pPr>
      <w:r w:rsidRPr="00400349">
        <w:rPr>
          <w:rStyle w:val="FootnoteReference"/>
          <w:color w:val="auto"/>
        </w:rPr>
        <w:footnoteRef/>
      </w:r>
      <w:r w:rsidRPr="00400349">
        <w:rPr>
          <w:color w:val="auto"/>
        </w:rPr>
        <w:t xml:space="preserve"> </w:t>
      </w:r>
      <w:r w:rsidRPr="00400349">
        <w:rPr>
          <w:color w:val="auto"/>
        </w:rPr>
        <w:tab/>
      </w:r>
      <w:r w:rsidR="006C6E7D" w:rsidRPr="00400349">
        <w:rPr>
          <w:color w:val="auto"/>
        </w:rPr>
        <w:t xml:space="preserve">Te Tāhū o te Ture | </w:t>
      </w:r>
      <w:r w:rsidRPr="00400349">
        <w:rPr>
          <w:color w:val="auto"/>
        </w:rPr>
        <w:t>Ministry of Justice “</w:t>
      </w:r>
      <w:r w:rsidR="00254A37" w:rsidRPr="00400349">
        <w:t>Family violence offences data tables</w:t>
      </w:r>
      <w:r w:rsidRPr="00400349">
        <w:rPr>
          <w:color w:val="auto"/>
        </w:rPr>
        <w:t>”</w:t>
      </w:r>
      <w:r w:rsidRPr="00400349">
        <w:rPr>
          <w:i/>
          <w:color w:val="auto"/>
        </w:rPr>
        <w:t xml:space="preserve"> </w:t>
      </w:r>
      <w:r w:rsidRPr="00400349">
        <w:rPr>
          <w:color w:val="auto"/>
        </w:rPr>
        <w:t>(December 2024) &lt;www.justice.govt.nz&gt;.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4FF0" w14:textId="316CB4C8" w:rsidR="008C2005" w:rsidRPr="00B66958" w:rsidRDefault="00B66958">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138</w:t>
    </w:r>
    <w:r w:rsidRPr="001D3DD6">
      <w:rPr>
        <w:szCs w:val="13"/>
      </w:rPr>
      <w:fldChar w:fldCharType="end"/>
    </w:r>
    <w:r>
      <w:rPr>
        <w:szCs w:val="13"/>
      </w:rPr>
      <w:t xml:space="preserve">    </w:t>
    </w:r>
    <w:r w:rsidR="007A2BB6" w:rsidRPr="00D6443F">
      <w:rPr>
        <w:szCs w:val="13"/>
      </w:rPr>
      <w:t>HARA NGĀKAU KINO | HATE CRIME</w:t>
    </w:r>
    <w:r>
      <w:rPr>
        <w:color w:val="000000" w:themeColor="text1"/>
      </w:rPr>
      <w:tab/>
    </w:r>
    <w:r>
      <w:rPr>
        <w:szCs w:val="13"/>
      </w:rPr>
      <w:tab/>
    </w:r>
    <w:r w:rsidRPr="00287AFD">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7125" w14:textId="537C1E45" w:rsidR="000A7772" w:rsidRPr="00770BA2" w:rsidRDefault="0096626D" w:rsidP="00DF5044">
    <w:pPr>
      <w:pStyle w:val="Header"/>
      <w:tabs>
        <w:tab w:val="clear" w:pos="4536"/>
        <w:tab w:val="right" w:pos="4820"/>
        <w:tab w:val="right" w:pos="15026"/>
      </w:tabs>
    </w:pPr>
    <w:sdt>
      <w:sdtPr>
        <w:id w:val="-186915440"/>
        <w:docPartObj>
          <w:docPartGallery w:val="Page Numbers (Top of Page)"/>
          <w:docPartUnique/>
        </w:docPartObj>
      </w:sdtPr>
      <w:sdtEndPr/>
      <w:sdtContent>
        <w:r w:rsidR="003B618F" w:rsidRPr="00770BA2">
          <w:rPr>
            <w:szCs w:val="13"/>
          </w:rPr>
          <w:fldChar w:fldCharType="begin"/>
        </w:r>
        <w:r w:rsidR="003B618F" w:rsidRPr="00770BA2">
          <w:rPr>
            <w:szCs w:val="13"/>
            <w:lang w:val="fr-FR"/>
          </w:rPr>
          <w:instrText xml:space="preserve"> PAGE   \* MERGEFORMAT </w:instrText>
        </w:r>
        <w:r w:rsidR="003B618F" w:rsidRPr="00770BA2">
          <w:rPr>
            <w:szCs w:val="13"/>
          </w:rPr>
          <w:fldChar w:fldCharType="separate"/>
        </w:r>
        <w:r w:rsidR="003B618F" w:rsidRPr="00770BA2">
          <w:rPr>
            <w:szCs w:val="13"/>
          </w:rPr>
          <w:t>2</w:t>
        </w:r>
        <w:r w:rsidR="003B618F" w:rsidRPr="00770BA2">
          <w:rPr>
            <w:szCs w:val="13"/>
          </w:rPr>
          <w:fldChar w:fldCharType="end"/>
        </w:r>
        <w:r w:rsidR="003B618F" w:rsidRPr="00770BA2">
          <w:rPr>
            <w:szCs w:val="13"/>
            <w:lang w:val="fr-FR"/>
          </w:rPr>
          <w:t xml:space="preserve">       HARA NGĀKAU KINO | </w:t>
        </w:r>
        <w:r w:rsidR="003B618F" w:rsidRPr="00770BA2">
          <w:rPr>
            <w:szCs w:val="32"/>
          </w:rPr>
          <w:t>REVIEW OF HATE CRIME LAW</w:t>
        </w:r>
      </w:sdtContent>
    </w:sdt>
    <w:r w:rsidR="003B618F" w:rsidRPr="00770BA2">
      <w:tab/>
      <w:t xml:space="preserve"> </w:t>
    </w:r>
    <w:r w:rsidR="003B618F" w:rsidRPr="00770BA2">
      <w:rPr>
        <w:szCs w:val="13"/>
      </w:rPr>
      <w:tab/>
      <w:t>TE AKA MATUA O TE TURE | LAW COMMISSION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5217" w14:textId="1E72F0BF" w:rsidR="00E77DDB" w:rsidRPr="00265B29" w:rsidRDefault="00E77DDB"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D6439B">
      <w:rPr>
        <w:szCs w:val="13"/>
      </w:rPr>
      <w:t>RECOMMENDATIONS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7619" w14:textId="59C8E14F" w:rsidR="007004AE" w:rsidRPr="00770BA2" w:rsidRDefault="0096626D" w:rsidP="00DF5044">
    <w:pPr>
      <w:pStyle w:val="Header"/>
      <w:tabs>
        <w:tab w:val="clear" w:pos="4536"/>
        <w:tab w:val="right" w:pos="4111"/>
        <w:tab w:val="right" w:pos="15026"/>
      </w:tabs>
    </w:pPr>
    <w:sdt>
      <w:sdtPr>
        <w:id w:val="-1886482819"/>
        <w:docPartObj>
          <w:docPartGallery w:val="Page Numbers (Top of Page)"/>
          <w:docPartUnique/>
        </w:docPartObj>
      </w:sdtPr>
      <w:sdtEndPr/>
      <w:sdtContent>
        <w:r w:rsidR="003B618F" w:rsidRPr="00770BA2">
          <w:rPr>
            <w:szCs w:val="13"/>
          </w:rPr>
          <w:fldChar w:fldCharType="begin"/>
        </w:r>
        <w:r w:rsidR="003B618F" w:rsidRPr="00770BA2">
          <w:rPr>
            <w:szCs w:val="13"/>
            <w:lang w:val="fr-FR"/>
          </w:rPr>
          <w:instrText xml:space="preserve"> PAGE   \* MERGEFORMAT </w:instrText>
        </w:r>
        <w:r w:rsidR="003B618F" w:rsidRPr="00770BA2">
          <w:rPr>
            <w:szCs w:val="13"/>
          </w:rPr>
          <w:fldChar w:fldCharType="separate"/>
        </w:r>
        <w:r w:rsidR="003B618F" w:rsidRPr="00770BA2">
          <w:rPr>
            <w:szCs w:val="13"/>
          </w:rPr>
          <w:t>2</w:t>
        </w:r>
        <w:r w:rsidR="003B618F" w:rsidRPr="00770BA2">
          <w:rPr>
            <w:szCs w:val="13"/>
          </w:rPr>
          <w:fldChar w:fldCharType="end"/>
        </w:r>
        <w:r w:rsidR="003B618F" w:rsidRPr="00770BA2">
          <w:rPr>
            <w:szCs w:val="13"/>
            <w:lang w:val="fr-FR"/>
          </w:rPr>
          <w:t xml:space="preserve">       HARA NGĀKAU KINO | </w:t>
        </w:r>
        <w:r w:rsidR="003B618F" w:rsidRPr="00770BA2">
          <w:rPr>
            <w:szCs w:val="32"/>
          </w:rPr>
          <w:t>REVIEW OF HATE CRIME LAW</w:t>
        </w:r>
      </w:sdtContent>
    </w:sdt>
    <w:r w:rsidR="003B618F" w:rsidRPr="00770BA2">
      <w:tab/>
      <w:t xml:space="preserve"> </w:t>
    </w:r>
    <w:r w:rsidR="003B618F" w:rsidRPr="00770BA2">
      <w:rPr>
        <w:szCs w:val="13"/>
      </w:rPr>
      <w:tab/>
      <w:t>TE AKA MATUA O TE TURE | LAW COMMISSION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4BF5" w14:textId="71B932F5" w:rsidR="00CB6B87" w:rsidRPr="00265B29" w:rsidRDefault="00CB6B87"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2540BD">
      <w:rPr>
        <w:szCs w:val="13"/>
      </w:rPr>
      <w:t>CHAPTER 1: INTRODUCTION</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7035" w14:textId="0F2636F6" w:rsidR="00771338" w:rsidRPr="002F0BCB" w:rsidRDefault="00771338" w:rsidP="002F0B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303DA" w14:textId="77777777" w:rsidR="00A42BC3" w:rsidRPr="00265B29" w:rsidRDefault="00A42BC3"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t>CHAPTER</w:t>
    </w:r>
    <w:r w:rsidRPr="001038FE">
      <w:rPr>
        <w:szCs w:val="13"/>
      </w:rPr>
      <w:t xml:space="preserve"> 2: </w:t>
    </w:r>
    <w:r>
      <w:rPr>
        <w:rFonts w:eastAsia="Metropolis Black"/>
      </w:rPr>
      <w:t>HATE CRIME IN AOTEAROA NEW ZEALAND</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0532" w14:textId="394C7ABC" w:rsidR="00CB6B87" w:rsidRPr="004158ED" w:rsidRDefault="004158ED" w:rsidP="004158ED">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t>CHAPTER</w:t>
    </w:r>
    <w:r w:rsidRPr="001038FE">
      <w:rPr>
        <w:szCs w:val="13"/>
      </w:rPr>
      <w:t xml:space="preserve"> </w:t>
    </w:r>
    <w:r>
      <w:rPr>
        <w:szCs w:val="13"/>
      </w:rPr>
      <w:t>3</w:t>
    </w:r>
    <w:r w:rsidRPr="001038FE">
      <w:rPr>
        <w:szCs w:val="13"/>
      </w:rPr>
      <w:t xml:space="preserve">: </w:t>
    </w:r>
    <w:r w:rsidR="00CC7B3B" w:rsidRPr="00CC7B3B">
      <w:rPr>
        <w:rFonts w:eastAsia="Metropolis Black"/>
      </w:rPr>
      <w:t>REFORM CONSIDERATIONS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19</w:t>
    </w:r>
    <w:r w:rsidRPr="00712470">
      <w:rPr>
        <w:szCs w:val="13"/>
      </w:rPr>
      <w:fldChar w:fldCharType="end"/>
    </w:r>
    <w:r>
      <w:rPr>
        <w:szCs w:val="13"/>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86B3" w14:textId="74FD4323" w:rsidR="00796355" w:rsidRPr="000E5418" w:rsidRDefault="00796355" w:rsidP="000E541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F9EE" w14:textId="27443234" w:rsidR="0071356E" w:rsidRPr="00770BA2" w:rsidRDefault="0096626D" w:rsidP="009630ED">
    <w:pPr>
      <w:pStyle w:val="Header"/>
      <w:tabs>
        <w:tab w:val="clear" w:pos="4536"/>
        <w:tab w:val="right" w:pos="4395"/>
        <w:tab w:val="left" w:pos="5030"/>
        <w:tab w:val="right" w:pos="15026"/>
      </w:tabs>
    </w:pPr>
    <w:sdt>
      <w:sdtPr>
        <w:id w:val="165212691"/>
        <w:docPartObj>
          <w:docPartGallery w:val="Page Numbers (Top of Page)"/>
          <w:docPartUnique/>
        </w:docPartObj>
      </w:sdtPr>
      <w:sdtEndPr/>
      <w:sdtContent>
        <w:r w:rsidR="004134E3" w:rsidRPr="00770BA2">
          <w:rPr>
            <w:szCs w:val="13"/>
          </w:rPr>
          <w:fldChar w:fldCharType="begin"/>
        </w:r>
        <w:r w:rsidR="004134E3" w:rsidRPr="00770BA2">
          <w:rPr>
            <w:szCs w:val="13"/>
            <w:lang w:val="fr-FR"/>
          </w:rPr>
          <w:instrText xml:space="preserve"> PAGE   \* MERGEFORMAT </w:instrText>
        </w:r>
        <w:r w:rsidR="004134E3" w:rsidRPr="00770BA2">
          <w:rPr>
            <w:szCs w:val="13"/>
          </w:rPr>
          <w:fldChar w:fldCharType="separate"/>
        </w:r>
        <w:r w:rsidR="004134E3" w:rsidRPr="00770BA2">
          <w:rPr>
            <w:szCs w:val="13"/>
          </w:rPr>
          <w:t>2</w:t>
        </w:r>
        <w:r w:rsidR="004134E3" w:rsidRPr="00770BA2">
          <w:rPr>
            <w:szCs w:val="13"/>
          </w:rPr>
          <w:fldChar w:fldCharType="end"/>
        </w:r>
        <w:r w:rsidR="004134E3" w:rsidRPr="00770BA2">
          <w:rPr>
            <w:szCs w:val="13"/>
            <w:lang w:val="fr-FR"/>
          </w:rPr>
          <w:t xml:space="preserve">       HARA NGĀKAU KINO | </w:t>
        </w:r>
        <w:r w:rsidR="004134E3" w:rsidRPr="00770BA2">
          <w:rPr>
            <w:szCs w:val="32"/>
          </w:rPr>
          <w:t>REVIEW OF HATE CRIME LAW</w:t>
        </w:r>
      </w:sdtContent>
    </w:sdt>
    <w:r w:rsidR="004134E3" w:rsidRPr="00770BA2">
      <w:tab/>
      <w:t xml:space="preserve"> </w:t>
    </w:r>
    <w:r w:rsidR="004134E3" w:rsidRPr="00770BA2">
      <w:rPr>
        <w:szCs w:val="13"/>
      </w:rPr>
      <w:tab/>
    </w:r>
    <w:r w:rsidR="004134E3" w:rsidRPr="00770BA2">
      <w:rPr>
        <w:szCs w:val="13"/>
      </w:rPr>
      <w:tab/>
      <w:t>TE AKA MATUA O TE TURE | LAW COMMISSION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FCC0" w14:textId="4DA29D7D" w:rsidR="00A42BC3" w:rsidRPr="00265B29" w:rsidRDefault="00A42BC3" w:rsidP="00F75EE3">
    <w:pPr>
      <w:pStyle w:val="Header"/>
      <w:tabs>
        <w:tab w:val="clear" w:pos="4536"/>
        <w:tab w:val="clear" w:pos="9072"/>
        <w:tab w:val="right" w:pos="3402"/>
        <w:tab w:val="right" w:pos="8931"/>
        <w:tab w:val="right" w:pos="15026"/>
      </w:tabs>
      <w:rPr>
        <w:szCs w:val="13"/>
      </w:rPr>
    </w:pPr>
    <w:r w:rsidRPr="00712470">
      <w:rPr>
        <w:szCs w:val="13"/>
      </w:rPr>
      <w:t xml:space="preserve">TE AKA MATUA O TE TURE | LAW COMMISSION </w:t>
    </w:r>
    <w:r w:rsidRPr="00712470">
      <w:rPr>
        <w:szCs w:val="13"/>
      </w:rPr>
      <w:tab/>
    </w:r>
    <w:r w:rsidR="00AA4DB5">
      <w:rPr>
        <w:szCs w:val="13"/>
      </w:rPr>
      <w:tab/>
    </w:r>
    <w:r>
      <w:rPr>
        <w:szCs w:val="13"/>
      </w:rPr>
      <w:t>CHAPTER</w:t>
    </w:r>
    <w:r w:rsidRPr="001038FE">
      <w:rPr>
        <w:szCs w:val="13"/>
      </w:rPr>
      <w:t xml:space="preserve"> </w:t>
    </w:r>
    <w:r w:rsidR="00F75EE3">
      <w:rPr>
        <w:szCs w:val="13"/>
      </w:rPr>
      <w:t>4</w:t>
    </w:r>
    <w:r w:rsidRPr="001038FE">
      <w:rPr>
        <w:szCs w:val="13"/>
      </w:rPr>
      <w:t xml:space="preserve">: </w:t>
    </w:r>
    <w:r w:rsidR="00F75EE3" w:rsidRPr="00F75EE3">
      <w:rPr>
        <w:rFonts w:eastAsia="Metropolis Black"/>
      </w:rPr>
      <w:t xml:space="preserve">ARE THERE PROBLEMS WITH THE </w:t>
    </w:r>
    <w:r w:rsidR="00BB5361">
      <w:rPr>
        <w:rFonts w:eastAsia="Metropolis Black"/>
      </w:rPr>
      <w:t>CURRENT LAW</w:t>
    </w:r>
    <w:r w:rsidR="00127787">
      <w:rPr>
        <w:rFonts w:eastAsia="Metropolis Black"/>
      </w:rPr>
      <w:t>?</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C19C" w14:textId="4D2E2664"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57FAB" w14:textId="22258998" w:rsidR="00CA5754" w:rsidRPr="00265B29" w:rsidRDefault="00CA57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DE489D">
      <w:rPr>
        <w:szCs w:val="13"/>
      </w:rPr>
      <w:t xml:space="preserve">CHAPTER 5: </w:t>
    </w:r>
    <w:r w:rsidR="00DE489D" w:rsidRPr="00DE489D">
      <w:rPr>
        <w:szCs w:val="13"/>
      </w:rPr>
      <w:t>COMPARING LEGAL MODELS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33CC4" w14:textId="5DDA790E" w:rsidR="00D60CCE" w:rsidRDefault="00D60CCE" w:rsidP="007004AE">
    <w:pPr>
      <w:pStyle w:val="Header"/>
      <w:tabs>
        <w:tab w:val="clear" w:pos="4536"/>
        <w:tab w:val="right" w:pos="1701"/>
        <w:tab w:val="right" w:pos="15026"/>
      </w:tabs>
      <w:rPr>
        <w:sz w:val="20"/>
      </w:rPr>
    </w:pPr>
    <w:r>
      <w:rPr>
        <w:noProof/>
      </w:rPr>
      <mc:AlternateContent>
        <mc:Choice Requires="wps">
          <w:drawing>
            <wp:anchor distT="0" distB="0" distL="114300" distR="114300" simplePos="0" relativeHeight="251658240" behindDoc="1" locked="0" layoutInCell="1" allowOverlap="1" wp14:anchorId="5FF98D02" wp14:editId="03A3663D">
              <wp:simplePos x="0" y="0"/>
              <wp:positionH relativeFrom="column">
                <wp:posOffset>-1082040</wp:posOffset>
              </wp:positionH>
              <wp:positionV relativeFrom="paragraph">
                <wp:posOffset>-335915</wp:posOffset>
              </wp:positionV>
              <wp:extent cx="7924800" cy="10692130"/>
              <wp:effectExtent l="0" t="0" r="0" b="0"/>
              <wp:wrapNone/>
              <wp:docPr id="2302181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4092147" id="Freeform 2" o:spid="_x0000_s1026" style="position:absolute;margin-left:-85.2pt;margin-top:-26.45pt;width:624pt;height:841.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" path="m,16838r11906,l11906,,,,,16838e" fillcolor="#e2eaef" stroked="f">
              <v:path arrowok="t" o:connecttype="custom" o:connectlocs="0,10692130;7924800,10692130;7924800,0;0,0;0,10692130" o:connectangles="0,0,0,0,0"/>
            </v:shape>
          </w:pict>
        </mc:Fallback>
      </mc:AlternateContent>
    </w:r>
    <w:sdt>
      <w:sdtPr>
        <w:id w:val="1168058884"/>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Pr>
            <w:szCs w:val="13"/>
          </w:rPr>
          <w:t>PART 3: IMPROVING THE SENTENCE AGGRAVATION MODEL</w:t>
        </w:r>
      </w:sdtContent>
    </w:sdt>
    <w:r w:rsidRPr="00287AFD">
      <w:tab/>
      <w:t xml:space="preserve"> </w:t>
    </w:r>
    <w:r w:rsidRPr="00287AFD">
      <w:rPr>
        <w:szCs w:val="13"/>
      </w:rPr>
      <w:t>TE AKA MATUA O TE TURE | LAW COMMISSION</w:t>
    </w:r>
    <w:r>
      <w:rPr>
        <w:szCs w:val="13"/>
      </w:rPr>
      <w:t xml:space="preserve"> </w:t>
    </w:r>
  </w:p>
  <w:p w14:paraId="696EEFFC" w14:textId="77777777" w:rsidR="00D60CCE" w:rsidRDefault="00D60CC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C5E6" w14:textId="6EF16B06" w:rsidR="00A42BC3" w:rsidRPr="00265B29" w:rsidRDefault="00A42BC3" w:rsidP="00265B29">
    <w:pPr>
      <w:pStyle w:val="Header"/>
      <w:tabs>
        <w:tab w:val="clear" w:pos="9072"/>
        <w:tab w:val="right" w:pos="4536"/>
        <w:tab w:val="right" w:pos="8931"/>
        <w:tab w:val="right" w:pos="15026"/>
      </w:tabs>
      <w:rPr>
        <w:szCs w:val="1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34BC" w14:textId="79AB8249" w:rsidR="00BB5361" w:rsidRPr="005F6A03" w:rsidRDefault="0096626D" w:rsidP="002A05A7">
    <w:pPr>
      <w:pStyle w:val="Header"/>
      <w:tabs>
        <w:tab w:val="left" w:pos="4536"/>
        <w:tab w:val="right" w:pos="15026"/>
      </w:tabs>
    </w:pPr>
    <w:sdt>
      <w:sdtPr>
        <w:id w:val="2085940961"/>
        <w:docPartObj>
          <w:docPartGallery w:val="Page Numbers (Top of Page)"/>
          <w:docPartUnique/>
        </w:docPartObj>
      </w:sdtPr>
      <w:sdtEndPr/>
      <w:sdtContent>
        <w:r w:rsidR="001C231C" w:rsidRPr="005F6A03">
          <w:rPr>
            <w:szCs w:val="13"/>
          </w:rPr>
          <w:fldChar w:fldCharType="begin"/>
        </w:r>
        <w:r w:rsidR="001C231C" w:rsidRPr="005F6A03">
          <w:rPr>
            <w:szCs w:val="13"/>
            <w:lang w:val="fr-FR"/>
          </w:rPr>
          <w:instrText xml:space="preserve"> PAGE   \* MERGEFORMAT </w:instrText>
        </w:r>
        <w:r w:rsidR="001C231C" w:rsidRPr="005F6A03">
          <w:rPr>
            <w:szCs w:val="13"/>
          </w:rPr>
          <w:fldChar w:fldCharType="separate"/>
        </w:r>
        <w:r w:rsidR="001C231C" w:rsidRPr="005F6A03">
          <w:rPr>
            <w:szCs w:val="13"/>
          </w:rPr>
          <w:t>2</w:t>
        </w:r>
        <w:r w:rsidR="001C231C" w:rsidRPr="005F6A03">
          <w:rPr>
            <w:szCs w:val="13"/>
          </w:rPr>
          <w:fldChar w:fldCharType="end"/>
        </w:r>
        <w:r w:rsidR="001C231C" w:rsidRPr="005F6A03">
          <w:rPr>
            <w:szCs w:val="13"/>
            <w:lang w:val="fr-FR"/>
          </w:rPr>
          <w:t xml:space="preserve">       HARA NGĀKAU KINO | </w:t>
        </w:r>
        <w:r w:rsidR="001C231C" w:rsidRPr="005F6A03">
          <w:rPr>
            <w:szCs w:val="32"/>
          </w:rPr>
          <w:t>REVIEW OF HATE CRIME LAW</w:t>
        </w:r>
      </w:sdtContent>
    </w:sdt>
    <w:r w:rsidR="001C231C" w:rsidRPr="005F6A03">
      <w:tab/>
      <w:t xml:space="preserve"> </w:t>
    </w:r>
    <w:r w:rsidR="001C231C" w:rsidRPr="005F6A03">
      <w:rPr>
        <w:szCs w:val="13"/>
      </w:rPr>
      <w:tab/>
      <w:t>TE AKA MATUA O TE TURE | LAW COMMISSION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0855" w14:textId="5C6CFD61" w:rsidR="00A42BC3" w:rsidRPr="00265B29" w:rsidRDefault="00A42BC3" w:rsidP="007B02AB">
    <w:pPr>
      <w:pStyle w:val="Header"/>
      <w:tabs>
        <w:tab w:val="clear" w:pos="4536"/>
        <w:tab w:val="clear" w:pos="9072"/>
        <w:tab w:val="right" w:pos="3969"/>
        <w:tab w:val="right" w:pos="8931"/>
        <w:tab w:val="right" w:pos="15026"/>
      </w:tabs>
      <w:rPr>
        <w:szCs w:val="13"/>
      </w:rPr>
    </w:pPr>
    <w:r w:rsidRPr="00712470">
      <w:rPr>
        <w:szCs w:val="13"/>
      </w:rPr>
      <w:t xml:space="preserve">TE AKA MATUA O TE TURE | LAW COMMISSION </w:t>
    </w:r>
    <w:r w:rsidRPr="00712470">
      <w:rPr>
        <w:szCs w:val="13"/>
      </w:rPr>
      <w:tab/>
    </w:r>
    <w:r w:rsidR="007B02AB">
      <w:rPr>
        <w:szCs w:val="13"/>
      </w:rPr>
      <w:tab/>
    </w:r>
    <w:r>
      <w:rPr>
        <w:szCs w:val="13"/>
      </w:rPr>
      <w:t>CHAPTER</w:t>
    </w:r>
    <w:r w:rsidRPr="001038FE">
      <w:rPr>
        <w:szCs w:val="13"/>
      </w:rPr>
      <w:t xml:space="preserve"> </w:t>
    </w:r>
    <w:r w:rsidR="00BB5361">
      <w:rPr>
        <w:szCs w:val="13"/>
      </w:rPr>
      <w:t>6</w:t>
    </w:r>
    <w:r w:rsidRPr="001038FE">
      <w:rPr>
        <w:szCs w:val="13"/>
      </w:rPr>
      <w:t xml:space="preserve">: </w:t>
    </w:r>
    <w:r w:rsidR="007B02AB" w:rsidRPr="007B02AB">
      <w:rPr>
        <w:rFonts w:eastAsia="Metropolis Black"/>
      </w:rPr>
      <w:t>IDENTIFYING AND RECORDING HATE CRIME IN THE COURTS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76D2D" w14:textId="07D093D8" w:rsidR="00A42BC3" w:rsidRPr="00265B29" w:rsidRDefault="00A42BC3" w:rsidP="00004E67">
    <w:pPr>
      <w:pStyle w:val="Header"/>
      <w:tabs>
        <w:tab w:val="clear" w:pos="4536"/>
        <w:tab w:val="clear" w:pos="9072"/>
        <w:tab w:val="right" w:pos="3969"/>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t>CHAPTER</w:t>
    </w:r>
    <w:r w:rsidRPr="001038FE">
      <w:rPr>
        <w:szCs w:val="13"/>
      </w:rPr>
      <w:t xml:space="preserve"> </w:t>
    </w:r>
    <w:r w:rsidR="00DF5D3C">
      <w:rPr>
        <w:szCs w:val="13"/>
      </w:rPr>
      <w:t>7</w:t>
    </w:r>
    <w:r w:rsidRPr="001038FE">
      <w:rPr>
        <w:szCs w:val="13"/>
      </w:rPr>
      <w:t xml:space="preserve">: </w:t>
    </w:r>
    <w:r w:rsidR="00004E67" w:rsidRPr="00004E67">
      <w:rPr>
        <w:rFonts w:eastAsia="Metropolis Black"/>
      </w:rPr>
      <w:t>DENOUNCING HATE CRIME IN SENTENCING DECISIONS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BC56" w14:textId="4F2CC8CC" w:rsidR="00A42BC3" w:rsidRPr="00265B29" w:rsidRDefault="00A42BC3"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t>CHAPTER</w:t>
    </w:r>
    <w:r w:rsidRPr="001038FE">
      <w:rPr>
        <w:szCs w:val="13"/>
      </w:rPr>
      <w:t xml:space="preserve"> </w:t>
    </w:r>
    <w:r w:rsidR="008226C9">
      <w:rPr>
        <w:szCs w:val="13"/>
      </w:rPr>
      <w:t>8</w:t>
    </w:r>
    <w:r w:rsidRPr="001038FE">
      <w:rPr>
        <w:szCs w:val="13"/>
      </w:rPr>
      <w:t xml:space="preserve">: </w:t>
    </w:r>
    <w:r w:rsidR="00F9662D">
      <w:rPr>
        <w:rFonts w:eastAsia="Metropolis Black"/>
      </w:rPr>
      <w:t>WORDING</w:t>
    </w:r>
    <w:r w:rsidR="003E3956" w:rsidRPr="003E3956">
      <w:rPr>
        <w:rFonts w:eastAsia="Metropolis Black"/>
      </w:rPr>
      <w:t xml:space="preserve"> OF </w:t>
    </w:r>
    <w:r w:rsidR="00F9662D">
      <w:rPr>
        <w:rFonts w:eastAsia="Metropolis Black"/>
      </w:rPr>
      <w:t>SECTION 9(1)(h)</w:t>
    </w:r>
    <w:r w:rsidRPr="00712470">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934142"/>
      <w:docPartObj>
        <w:docPartGallery w:val="Page Numbers (Top of Page)"/>
        <w:docPartUnique/>
      </w:docPartObj>
    </w:sdtPr>
    <w:sdtEndPr>
      <w:rPr>
        <w:noProof/>
      </w:rPr>
    </w:sdtEndPr>
    <w:sdtContent>
      <w:p w14:paraId="3CE20BE6" w14:textId="70C365B8" w:rsidR="005627A2" w:rsidRPr="001D3DD6" w:rsidRDefault="005627A2" w:rsidP="004E3A8E">
        <w:pPr>
          <w:pStyle w:val="Heade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3</w:t>
        </w:r>
        <w:r w:rsidRPr="001D3DD6">
          <w:rPr>
            <w:noProof/>
            <w:szCs w:val="13"/>
          </w:rPr>
          <w:fldChar w:fldCharType="end"/>
        </w:r>
        <w:r>
          <w:rPr>
            <w:noProof/>
            <w:szCs w:val="13"/>
          </w:rPr>
          <w:t xml:space="preserve">               </w:t>
        </w:r>
        <w:r w:rsidR="00280177" w:rsidRPr="00712470">
          <w:rPr>
            <w:szCs w:val="13"/>
          </w:rPr>
          <w:t xml:space="preserve">TE AKA MATUA O TE TURE | LAW COMMISSION </w:t>
        </w:r>
        <w:r w:rsidR="00280177" w:rsidRPr="00712470">
          <w:rPr>
            <w:szCs w:val="13"/>
          </w:rPr>
          <w:tab/>
        </w:r>
        <w:r w:rsidR="00280177">
          <w:rPr>
            <w:szCs w:val="13"/>
          </w:rPr>
          <w:t xml:space="preserve">         </w:t>
        </w:r>
        <w:r w:rsidR="00280177">
          <w:rPr>
            <w:szCs w:val="13"/>
          </w:rPr>
          <w:tab/>
        </w:r>
        <w:r w:rsidR="0052701F">
          <w:rPr>
            <w:szCs w:val="13"/>
          </w:rPr>
          <w:t>CHAPTER 9: OPERATIONAL MATTERS</w:t>
        </w:r>
      </w:p>
    </w:sdtContent>
  </w:sdt>
  <w:p w14:paraId="46EF3C28" w14:textId="039B0D91" w:rsidR="005627A2" w:rsidRPr="001D3DD6" w:rsidRDefault="005627A2">
    <w:pPr>
      <w:pStyle w:val="Header"/>
      <w:jc w:val="right"/>
      <w:rPr>
        <w:szCs w:val="1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211190"/>
      <w:docPartObj>
        <w:docPartGallery w:val="Page Numbers (Top of Page)"/>
        <w:docPartUnique/>
      </w:docPartObj>
    </w:sdtPr>
    <w:sdtEndPr>
      <w:rPr>
        <w:noProof/>
      </w:rPr>
    </w:sdtEndPr>
    <w:sdtContent>
      <w:p w14:paraId="11FCC112" w14:textId="147EBF8C" w:rsidR="00852254" w:rsidRPr="001D3DD6" w:rsidRDefault="00852254" w:rsidP="0089642B">
        <w:pPr>
          <w:pStyle w:val="Header"/>
          <w:tabs>
            <w:tab w:val="left" w:pos="6040"/>
          </w:tabs>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3</w:t>
        </w:r>
        <w:r w:rsidRPr="001D3DD6">
          <w:rPr>
            <w:noProof/>
            <w:szCs w:val="13"/>
          </w:rPr>
          <w:fldChar w:fldCharType="end"/>
        </w:r>
        <w:r>
          <w:rPr>
            <w:noProof/>
            <w:szCs w:val="13"/>
          </w:rPr>
          <w:t xml:space="preserve">               </w:t>
        </w:r>
        <w:r w:rsidRPr="00712470">
          <w:rPr>
            <w:szCs w:val="13"/>
          </w:rPr>
          <w:t xml:space="preserve">TE AKA MATUA O TE TURE | LAW COMMISSION </w:t>
        </w:r>
        <w:r w:rsidRPr="00712470">
          <w:rPr>
            <w:szCs w:val="13"/>
          </w:rPr>
          <w:tab/>
        </w:r>
        <w:r>
          <w:rPr>
            <w:szCs w:val="13"/>
          </w:rPr>
          <w:t xml:space="preserve">         </w:t>
        </w:r>
        <w:r>
          <w:rPr>
            <w:szCs w:val="13"/>
          </w:rPr>
          <w:tab/>
        </w:r>
        <w:r w:rsidR="008D7072">
          <w:rPr>
            <w:szCs w:val="13"/>
          </w:rPr>
          <w:tab/>
        </w:r>
        <w:r>
          <w:rPr>
            <w:szCs w:val="13"/>
          </w:rPr>
          <w:t xml:space="preserve">APPENDIX </w:t>
        </w:r>
        <w:r w:rsidR="00077DCC">
          <w:rPr>
            <w:szCs w:val="13"/>
          </w:rPr>
          <w:t>1</w:t>
        </w:r>
        <w:r>
          <w:rPr>
            <w:szCs w:val="13"/>
          </w:rPr>
          <w:t xml:space="preserve">: </w:t>
        </w:r>
        <w:r w:rsidR="00077DCC">
          <w:rPr>
            <w:szCs w:val="13"/>
          </w:rPr>
          <w:t>TERMS OF REFERENCE</w:t>
        </w:r>
      </w:p>
    </w:sdtContent>
  </w:sdt>
  <w:p w14:paraId="28877CDF" w14:textId="77777777" w:rsidR="00852254" w:rsidRPr="001D3DD6" w:rsidRDefault="00852254">
    <w:pPr>
      <w:pStyle w:val="Header"/>
      <w:jc w:val="right"/>
      <w:rPr>
        <w:szCs w:val="1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68E51" w14:textId="14048AD4" w:rsidR="004C5C93" w:rsidRDefault="0096626D" w:rsidP="00B956CC">
    <w:pPr>
      <w:pStyle w:val="Header"/>
      <w:tabs>
        <w:tab w:val="clear" w:pos="4536"/>
        <w:tab w:val="left" w:pos="5103"/>
        <w:tab w:val="right" w:pos="15026"/>
      </w:tabs>
      <w:rPr>
        <w:sz w:val="20"/>
      </w:rPr>
    </w:pPr>
    <w:sdt>
      <w:sdtPr>
        <w:id w:val="1645085053"/>
        <w:docPartObj>
          <w:docPartGallery w:val="Page Numbers (Top of Page)"/>
          <w:docPartUnique/>
        </w:docPartObj>
      </w:sdtPr>
      <w:sdtEndPr>
        <w:rPr>
          <w:szCs w:val="13"/>
        </w:rPr>
      </w:sdtEndPr>
      <w:sdtContent>
        <w:r w:rsidR="004C5C93" w:rsidRPr="00287AFD">
          <w:rPr>
            <w:szCs w:val="13"/>
          </w:rPr>
          <w:fldChar w:fldCharType="begin"/>
        </w:r>
        <w:r w:rsidR="004C5C93" w:rsidRPr="00287AFD">
          <w:rPr>
            <w:szCs w:val="13"/>
            <w:lang w:val="fr-FR"/>
          </w:rPr>
          <w:instrText xml:space="preserve"> PAGE   \* MERGEFORMAT </w:instrText>
        </w:r>
        <w:r w:rsidR="004C5C93" w:rsidRPr="00287AFD">
          <w:rPr>
            <w:szCs w:val="13"/>
          </w:rPr>
          <w:fldChar w:fldCharType="separate"/>
        </w:r>
        <w:r w:rsidR="004C5C93">
          <w:rPr>
            <w:szCs w:val="13"/>
          </w:rPr>
          <w:t>iv</w:t>
        </w:r>
        <w:r w:rsidR="004C5C93" w:rsidRPr="00287AFD">
          <w:rPr>
            <w:szCs w:val="13"/>
          </w:rPr>
          <w:fldChar w:fldCharType="end"/>
        </w:r>
      </w:sdtContent>
    </w:sdt>
    <w:r w:rsidR="004C5C93" w:rsidRPr="00287AFD">
      <w:rPr>
        <w:szCs w:val="13"/>
        <w:lang w:val="fr-FR"/>
      </w:rPr>
      <w:t xml:space="preserve">       </w:t>
    </w:r>
    <w:r w:rsidR="004C5C93">
      <w:rPr>
        <w:szCs w:val="13"/>
      </w:rPr>
      <w:t>APPENDIX 2: PUBLIC CONSULTATION</w:t>
    </w:r>
    <w:r w:rsidR="004C5C93" w:rsidRPr="00712470">
      <w:t xml:space="preserve"> </w:t>
    </w:r>
    <w:r w:rsidR="004C5C93" w:rsidRPr="00712470">
      <w:rPr>
        <w:szCs w:val="13"/>
      </w:rPr>
      <w:tab/>
    </w:r>
    <w:r w:rsidR="004C5C93">
      <w:rPr>
        <w:szCs w:val="13"/>
      </w:rPr>
      <w:t xml:space="preserve">         </w:t>
    </w:r>
    <w:r w:rsidR="004C5C93">
      <w:rPr>
        <w:szCs w:val="13"/>
      </w:rPr>
      <w:tab/>
    </w:r>
    <w:r w:rsidR="004C5C93" w:rsidRPr="00712470">
      <w:rPr>
        <w:szCs w:val="13"/>
      </w:rPr>
      <w:t xml:space="preserve">TE AKA MATUA O TE TURE | LAW COMMISSION  </w:t>
    </w:r>
  </w:p>
  <w:p w14:paraId="0E9E97FD" w14:textId="77777777" w:rsidR="004C5C93" w:rsidRDefault="004C5C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384402"/>
      <w:docPartObj>
        <w:docPartGallery w:val="Page Numbers (Top of Page)"/>
        <w:docPartUnique/>
      </w:docPartObj>
    </w:sdtPr>
    <w:sdtEndPr>
      <w:rPr>
        <w:noProof/>
      </w:rPr>
    </w:sdtEndPr>
    <w:sdtContent>
      <w:p w14:paraId="1791ACE6" w14:textId="60DB760A" w:rsidR="00077DCC" w:rsidRPr="001D3DD6" w:rsidRDefault="00077DCC" w:rsidP="001223BC">
        <w:pPr>
          <w:pStyle w:val="Header"/>
          <w:rPr>
            <w:szCs w:val="13"/>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3</w:t>
        </w:r>
        <w:r w:rsidRPr="001D3DD6">
          <w:rPr>
            <w:noProof/>
            <w:szCs w:val="13"/>
          </w:rPr>
          <w:fldChar w:fldCharType="end"/>
        </w:r>
        <w:r>
          <w:rPr>
            <w:noProof/>
            <w:szCs w:val="13"/>
          </w:rPr>
          <w:t xml:space="preserve">               </w:t>
        </w:r>
        <w:r w:rsidRPr="00712470">
          <w:rPr>
            <w:szCs w:val="13"/>
          </w:rPr>
          <w:t xml:space="preserve">TE AKA MATUA O TE TURE | LAW COMMISSION </w:t>
        </w:r>
        <w:r w:rsidRPr="00712470">
          <w:rPr>
            <w:szCs w:val="13"/>
          </w:rPr>
          <w:tab/>
        </w:r>
        <w:r>
          <w:rPr>
            <w:szCs w:val="13"/>
          </w:rPr>
          <w:t xml:space="preserve">         </w:t>
        </w:r>
        <w:r>
          <w:rPr>
            <w:szCs w:val="13"/>
          </w:rPr>
          <w:tab/>
          <w:t>APPENDIX 2: PUBLIC CONSULTATION</w:t>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E538" w14:textId="7B5D6B40" w:rsidR="009206DB" w:rsidRDefault="0096626D" w:rsidP="00B956CC">
    <w:pPr>
      <w:pStyle w:val="Header"/>
      <w:tabs>
        <w:tab w:val="clear" w:pos="4536"/>
        <w:tab w:val="left" w:pos="5103"/>
        <w:tab w:val="right" w:pos="15026"/>
      </w:tabs>
      <w:rPr>
        <w:sz w:val="20"/>
      </w:rPr>
    </w:pPr>
    <w:sdt>
      <w:sdtPr>
        <w:id w:val="862249713"/>
        <w:docPartObj>
          <w:docPartGallery w:val="Page Numbers (Top of Page)"/>
          <w:docPartUnique/>
        </w:docPartObj>
      </w:sdtPr>
      <w:sdtEndPr>
        <w:rPr>
          <w:szCs w:val="13"/>
        </w:rPr>
      </w:sdtEndPr>
      <w:sdtContent>
        <w:r w:rsidR="009206DB" w:rsidRPr="00287AFD">
          <w:rPr>
            <w:szCs w:val="13"/>
          </w:rPr>
          <w:fldChar w:fldCharType="begin"/>
        </w:r>
        <w:r w:rsidR="009206DB" w:rsidRPr="00287AFD">
          <w:rPr>
            <w:szCs w:val="13"/>
            <w:lang w:val="fr-FR"/>
          </w:rPr>
          <w:instrText xml:space="preserve"> PAGE   \* MERGEFORMAT </w:instrText>
        </w:r>
        <w:r w:rsidR="009206DB" w:rsidRPr="00287AFD">
          <w:rPr>
            <w:szCs w:val="13"/>
          </w:rPr>
          <w:fldChar w:fldCharType="separate"/>
        </w:r>
        <w:r w:rsidR="009206DB">
          <w:rPr>
            <w:szCs w:val="13"/>
          </w:rPr>
          <w:t>iv</w:t>
        </w:r>
        <w:r w:rsidR="009206DB" w:rsidRPr="00287AFD">
          <w:rPr>
            <w:szCs w:val="13"/>
          </w:rPr>
          <w:fldChar w:fldCharType="end"/>
        </w:r>
      </w:sdtContent>
    </w:sdt>
    <w:r w:rsidR="009206DB" w:rsidRPr="00287AFD">
      <w:rPr>
        <w:szCs w:val="13"/>
        <w:lang w:val="fr-FR"/>
      </w:rPr>
      <w:t xml:space="preserve">       </w:t>
    </w:r>
    <w:r w:rsidR="009206DB" w:rsidRPr="00336707">
      <w:rPr>
        <w:szCs w:val="13"/>
        <w:lang w:val="fr-FR"/>
      </w:rPr>
      <w:t xml:space="preserve">HARA NGAKAU KINO </w:t>
    </w:r>
    <w:r w:rsidR="009206DB">
      <w:rPr>
        <w:szCs w:val="13"/>
        <w:lang w:val="fr-FR"/>
      </w:rPr>
      <w:t xml:space="preserve">| </w:t>
    </w:r>
    <w:r w:rsidR="009206DB" w:rsidRPr="006A1120">
      <w:rPr>
        <w:color w:val="auto"/>
        <w:szCs w:val="32"/>
      </w:rPr>
      <w:t>REVIEW OF HATE CRIME LAW</w:t>
    </w:r>
    <w:r w:rsidR="009206DB" w:rsidRPr="00287AFD">
      <w:tab/>
      <w:t xml:space="preserve"> </w:t>
    </w:r>
    <w:r w:rsidR="009206DB" w:rsidRPr="00287AFD">
      <w:rPr>
        <w:szCs w:val="13"/>
      </w:rPr>
      <w:tab/>
      <w:t>TE AKA MATUA O TE TURE | LAW COMMISSION</w:t>
    </w:r>
  </w:p>
  <w:p w14:paraId="70718B0E" w14:textId="77777777" w:rsidR="009B0D1A" w:rsidRDefault="009B0D1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B7A16" w14:textId="61F51DA8" w:rsidR="008C2005" w:rsidRPr="003D2475" w:rsidRDefault="003D2475" w:rsidP="003D2475">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178</w:t>
    </w:r>
    <w:r w:rsidRPr="001D3DD6">
      <w:rPr>
        <w:szCs w:val="13"/>
      </w:rPr>
      <w:fldChar w:fldCharType="end"/>
    </w:r>
    <w:r>
      <w:rPr>
        <w:szCs w:val="13"/>
      </w:rPr>
      <w:t xml:space="preserve">    </w:t>
    </w:r>
    <w:r w:rsidR="00282FDD">
      <w:rPr>
        <w:szCs w:val="13"/>
      </w:rPr>
      <w:t>APPENDIX 3: TECHNICAL ADVISORY GROUP</w:t>
    </w:r>
    <w:r>
      <w:rPr>
        <w:color w:val="000000" w:themeColor="text1"/>
      </w:rPr>
      <w:tab/>
    </w:r>
    <w:r>
      <w:rPr>
        <w:szCs w:val="13"/>
      </w:rPr>
      <w:tab/>
    </w:r>
    <w:r w:rsidRPr="00287AFD">
      <w:rPr>
        <w:szCs w:val="13"/>
      </w:rPr>
      <w:t>TE AKA MATUA O TE TURE | LAW COMMISSION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921855"/>
      <w:docPartObj>
        <w:docPartGallery w:val="Page Numbers (Top of Page)"/>
        <w:docPartUnique/>
      </w:docPartObj>
    </w:sdtPr>
    <w:sdtEndPr>
      <w:rPr>
        <w:noProof/>
      </w:rPr>
    </w:sdtEndPr>
    <w:sdtContent>
      <w:p w14:paraId="6F5E785A" w14:textId="2A88C0BA" w:rsidR="00C808C1" w:rsidRPr="001D3DD6" w:rsidRDefault="00C808C1" w:rsidP="004E3A8E">
        <w:pPr>
          <w:pStyle w:val="Heade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3</w:t>
        </w:r>
        <w:r w:rsidRPr="001D3DD6">
          <w:rPr>
            <w:noProof/>
            <w:szCs w:val="13"/>
          </w:rPr>
          <w:fldChar w:fldCharType="end"/>
        </w:r>
        <w:r>
          <w:rPr>
            <w:noProof/>
            <w:szCs w:val="13"/>
          </w:rPr>
          <w:t xml:space="preserve">               </w:t>
        </w:r>
        <w:r w:rsidRPr="00712470">
          <w:rPr>
            <w:szCs w:val="13"/>
          </w:rPr>
          <w:t xml:space="preserve">TE AKA MATUA O TE TURE | LAW COMMISSION </w:t>
        </w:r>
        <w:r w:rsidRPr="00712470">
          <w:rPr>
            <w:szCs w:val="13"/>
          </w:rPr>
          <w:tab/>
        </w:r>
        <w:r>
          <w:rPr>
            <w:szCs w:val="13"/>
          </w:rPr>
          <w:t xml:space="preserve">         </w:t>
        </w:r>
        <w:r>
          <w:rPr>
            <w:szCs w:val="13"/>
          </w:rPr>
          <w:tab/>
          <w:t>APPENDIX 3: TECHNICAL ADVISORY GROUP</w:t>
        </w:r>
      </w:p>
    </w:sdtContent>
  </w:sdt>
  <w:p w14:paraId="163C00F8" w14:textId="77777777" w:rsidR="00C808C1" w:rsidRPr="001D3DD6" w:rsidRDefault="00C808C1">
    <w:pPr>
      <w:pStyle w:val="Header"/>
      <w:rPr>
        <w:szCs w:val="1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081A" w14:textId="558ED7B6" w:rsidR="00E02CB8" w:rsidRDefault="00E02CB8" w:rsidP="00E02CB8">
    <w:pPr>
      <w:pStyle w:val="Header"/>
      <w:tabs>
        <w:tab w:val="clear" w:pos="4536"/>
        <w:tab w:val="right" w:pos="4111"/>
        <w:tab w:val="right" w:pos="15026"/>
      </w:tabs>
    </w:pPr>
  </w:p>
  <w:p w14:paraId="7B1976EB" w14:textId="41A05CED" w:rsidR="00C808C1" w:rsidRPr="003D2475" w:rsidRDefault="00C808C1" w:rsidP="003D2475">
    <w:pPr>
      <w:pStyle w:val="Header"/>
      <w:rPr>
        <w:szCs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EAF5C" w14:textId="66805799" w:rsidR="00282FDD" w:rsidRPr="004E664D" w:rsidRDefault="00282FDD" w:rsidP="004E664D">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DD27" w14:textId="4FF4DB76" w:rsidR="00EA5E0E" w:rsidRPr="00C842A1" w:rsidRDefault="00EA5E0E" w:rsidP="00C842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B610" w14:textId="77777777" w:rsidR="00EA5E0E" w:rsidRPr="004663B9" w:rsidRDefault="00EA5E0E" w:rsidP="004663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DDCC" w14:textId="77777777" w:rsidR="00C842A1" w:rsidRPr="007413F6" w:rsidRDefault="00C842A1" w:rsidP="007413F6">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FOREWORD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v</w:t>
    </w:r>
    <w:r w:rsidRPr="001D3DD6">
      <w:rPr>
        <w:szCs w:val="13"/>
      </w:rPr>
      <w:fldChar w:fldCharType="end"/>
    </w:r>
    <w:r>
      <w:rPr>
        <w:szCs w:val="13"/>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94B8" w14:textId="77777777" w:rsidR="00D860BC" w:rsidRPr="00265B29" w:rsidRDefault="00D860BC"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C44F62">
      <w:rPr>
        <w:szCs w:val="13"/>
      </w:rPr>
      <w:t>ACKNOWLEDGEMENTS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DE04" w14:textId="2C197167" w:rsidR="006E514D" w:rsidRPr="00770BA2" w:rsidRDefault="0096626D" w:rsidP="00336707">
    <w:pPr>
      <w:pStyle w:val="Header"/>
      <w:tabs>
        <w:tab w:val="clear" w:pos="4536"/>
        <w:tab w:val="right" w:pos="3969"/>
        <w:tab w:val="right" w:pos="15026"/>
      </w:tabs>
      <w:rPr>
        <w:sz w:val="20"/>
      </w:rPr>
    </w:pPr>
    <w:sdt>
      <w:sdtPr>
        <w:id w:val="306291399"/>
        <w:docPartObj>
          <w:docPartGallery w:val="Page Numbers (Top of Page)"/>
          <w:docPartUnique/>
        </w:docPartObj>
      </w:sdtPr>
      <w:sdtEndPr/>
      <w:sdtContent>
        <w:r w:rsidR="006E514D" w:rsidRPr="00770BA2">
          <w:rPr>
            <w:szCs w:val="13"/>
          </w:rPr>
          <w:fldChar w:fldCharType="begin"/>
        </w:r>
        <w:r w:rsidR="006E514D" w:rsidRPr="00770BA2">
          <w:rPr>
            <w:szCs w:val="13"/>
            <w:lang w:val="fr-FR"/>
          </w:rPr>
          <w:instrText xml:space="preserve"> PAGE   \* MERGEFORMAT </w:instrText>
        </w:r>
        <w:r w:rsidR="006E514D" w:rsidRPr="00770BA2">
          <w:rPr>
            <w:szCs w:val="13"/>
          </w:rPr>
          <w:fldChar w:fldCharType="separate"/>
        </w:r>
        <w:r w:rsidR="006E514D" w:rsidRPr="00770BA2">
          <w:rPr>
            <w:szCs w:val="13"/>
          </w:rPr>
          <w:t>iv</w:t>
        </w:r>
        <w:r w:rsidR="006E514D" w:rsidRPr="00770BA2">
          <w:rPr>
            <w:szCs w:val="13"/>
          </w:rPr>
          <w:fldChar w:fldCharType="end"/>
        </w:r>
        <w:r w:rsidR="006E514D" w:rsidRPr="00770BA2">
          <w:rPr>
            <w:szCs w:val="13"/>
            <w:lang w:val="fr-FR"/>
          </w:rPr>
          <w:t xml:space="preserve">       </w:t>
        </w:r>
        <w:r w:rsidR="00336707" w:rsidRPr="00770BA2">
          <w:rPr>
            <w:szCs w:val="13"/>
            <w:lang w:val="fr-FR"/>
          </w:rPr>
          <w:t>HARA NG</w:t>
        </w:r>
        <w:r w:rsidR="00051858" w:rsidRPr="00770BA2">
          <w:rPr>
            <w:szCs w:val="13"/>
            <w:lang w:val="fr-FR"/>
          </w:rPr>
          <w:t>Ā</w:t>
        </w:r>
        <w:r w:rsidR="00336707" w:rsidRPr="00770BA2">
          <w:rPr>
            <w:szCs w:val="13"/>
            <w:lang w:val="fr-FR"/>
          </w:rPr>
          <w:t xml:space="preserve">KAU KINO | </w:t>
        </w:r>
        <w:r w:rsidR="00336707" w:rsidRPr="00770BA2">
          <w:rPr>
            <w:szCs w:val="32"/>
          </w:rPr>
          <w:t>REVIEW OF HATE CRIME LAW</w:t>
        </w:r>
      </w:sdtContent>
    </w:sdt>
    <w:r w:rsidR="006E514D" w:rsidRPr="00770BA2">
      <w:tab/>
      <w:t xml:space="preserve"> </w:t>
    </w:r>
    <w:r w:rsidR="006E514D" w:rsidRPr="00770BA2">
      <w:rPr>
        <w:szCs w:val="13"/>
      </w:rPr>
      <w:tab/>
      <w:t xml:space="preserve">TE AKA MATUA O TE TURE | LAW COMMISSION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1126" w14:textId="7F7517D0" w:rsidR="006E514D" w:rsidRPr="00265B29" w:rsidRDefault="006E514D"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34D"/>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2174F0B"/>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E271AB4"/>
    <w:multiLevelType w:val="multilevel"/>
    <w:tmpl w:val="1C9836CE"/>
    <w:lvl w:ilvl="0">
      <w:start w:val="1"/>
      <w:numFmt w:val="decimal"/>
      <w:pStyle w:val="RxRecommendationText"/>
      <w:lvlText w:val="R%1"/>
      <w:lvlJc w:val="left"/>
      <w:pPr>
        <w:ind w:left="709" w:hanging="425"/>
      </w:pPr>
      <w:rPr>
        <w:rFonts w:ascii="Metropolis" w:hAnsi="Metropolis" w:hint="default"/>
        <w:b/>
        <w:bCs/>
        <w:color w:val="FFFFFF" w:themeColor="background1"/>
      </w:rPr>
    </w:lvl>
    <w:lvl w:ilvl="1">
      <w:start w:val="1"/>
      <w:numFmt w:val="lowerLetter"/>
      <w:pStyle w:val="aRecommendationText"/>
      <w:lvlText w:val="%2."/>
      <w:lvlJc w:val="left"/>
      <w:pPr>
        <w:ind w:left="1069" w:hanging="360"/>
      </w:pPr>
      <w:rPr>
        <w:rFonts w:ascii="Metropolis" w:hAnsi="Metropoli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3"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17C05F59"/>
    <w:multiLevelType w:val="multilevel"/>
    <w:tmpl w:val="DB586FB4"/>
    <w:lvl w:ilvl="0">
      <w:start w:val="1"/>
      <w:numFmt w:val="bullet"/>
      <w:pStyle w:val="ListBullet"/>
      <w:lvlText w:val="•"/>
      <w:lvlJc w:val="left"/>
      <w:pPr>
        <w:ind w:left="1134" w:hanging="425"/>
      </w:pPr>
      <w:rPr>
        <w:rFonts w:ascii="Arial" w:hAnsi="Arial" w:hint="default"/>
      </w:rPr>
    </w:lvl>
    <w:lvl w:ilvl="1">
      <w:start w:val="1"/>
      <w:numFmt w:val="bullet"/>
      <w:pStyle w:val="ListBullet2"/>
      <w:lvlText w:val="•"/>
      <w:lvlJc w:val="left"/>
      <w:pPr>
        <w:ind w:left="1559" w:hanging="425"/>
      </w:pPr>
      <w:rPr>
        <w:rFonts w:ascii="Arial" w:hAnsi="Arial" w:hint="default"/>
      </w:rPr>
    </w:lvl>
    <w:lvl w:ilvl="2">
      <w:start w:val="1"/>
      <w:numFmt w:val="bullet"/>
      <w:pStyle w:val="ListBullet3"/>
      <w:lvlText w:val="•"/>
      <w:lvlJc w:val="left"/>
      <w:pPr>
        <w:ind w:left="1984" w:hanging="425"/>
      </w:pPr>
      <w:rPr>
        <w:rFonts w:ascii="Arial" w:hAnsi="Arial" w:hint="default"/>
      </w:rPr>
    </w:lvl>
    <w:lvl w:ilvl="3">
      <w:start w:val="1"/>
      <w:numFmt w:val="bullet"/>
      <w:pStyle w:val="ListBullet4"/>
      <w:lvlText w:val="•"/>
      <w:lvlJc w:val="left"/>
      <w:pPr>
        <w:ind w:left="2409" w:hanging="425"/>
      </w:pPr>
      <w:rPr>
        <w:rFonts w:ascii="Arial" w:hAnsi="Arial" w:hint="default"/>
      </w:rPr>
    </w:lvl>
    <w:lvl w:ilvl="4">
      <w:start w:val="1"/>
      <w:numFmt w:val="bullet"/>
      <w:pStyle w:val="ListBullet5"/>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5"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6"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7" w15:restartNumberingAfterBreak="0">
    <w:nsid w:val="29AE3DD1"/>
    <w:multiLevelType w:val="singleLevel"/>
    <w:tmpl w:val="16EE1A90"/>
    <w:lvl w:ilvl="0">
      <w:start w:val="1"/>
      <w:numFmt w:val="decimal"/>
      <w:lvlRestart w:val="0"/>
      <w:pStyle w:val="ParaNumbering"/>
      <w:lvlText w:val="%1"/>
      <w:lvlJc w:val="left"/>
      <w:pPr>
        <w:tabs>
          <w:tab w:val="num" w:pos="720"/>
        </w:tabs>
        <w:ind w:left="0" w:hanging="720"/>
      </w:pPr>
      <w:rPr>
        <w:rFonts w:hint="default"/>
        <w:i w:val="0"/>
        <w:iCs w:val="0"/>
        <w:sz w:val="20"/>
      </w:rPr>
    </w:lvl>
  </w:abstractNum>
  <w:abstractNum w:abstractNumId="8" w15:restartNumberingAfterBreak="0">
    <w:nsid w:val="2F80100A"/>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9"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0" w15:restartNumberingAfterBreak="0">
    <w:nsid w:val="38FF5A4D"/>
    <w:multiLevelType w:val="multilevel"/>
    <w:tmpl w:val="0B4E1B2C"/>
    <w:lvl w:ilvl="0">
      <w:start w:val="1"/>
      <w:numFmt w:val="bullet"/>
      <w:pStyle w:val="RecommendationBullet"/>
      <w:lvlText w:val="•"/>
      <w:lvlJc w:val="left"/>
      <w:pPr>
        <w:ind w:left="1134" w:hanging="425"/>
      </w:pPr>
      <w:rPr>
        <w:rFonts w:ascii="Arial" w:hAnsi="Arial" w:hint="default"/>
      </w:rPr>
    </w:lvl>
    <w:lvl w:ilvl="1">
      <w:start w:val="1"/>
      <w:numFmt w:val="bullet"/>
      <w:pStyle w:val="RecommendationBullet2"/>
      <w:lvlText w:val="•"/>
      <w:lvlJc w:val="left"/>
      <w:pPr>
        <w:ind w:left="1559" w:hanging="425"/>
      </w:pPr>
      <w:rPr>
        <w:rFonts w:ascii="Arial" w:hAnsi="Arial" w:hint="default"/>
      </w:rPr>
    </w:lvl>
    <w:lvl w:ilvl="2">
      <w:start w:val="1"/>
      <w:numFmt w:val="lowerRoman"/>
      <w:pStyle w:val="RecommendationBullet3"/>
      <w:lvlText w:val="%3."/>
      <w:lvlJc w:val="left"/>
      <w:pPr>
        <w:ind w:left="1919" w:hanging="360"/>
      </w:pPr>
      <w:rPr>
        <w:rFonts w:hint="default"/>
        <w:caps w:val="0"/>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1" w15:restartNumberingAfterBreak="0">
    <w:nsid w:val="3A243D12"/>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2"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3" w15:restartNumberingAfterBreak="0">
    <w:nsid w:val="45C025E5"/>
    <w:multiLevelType w:val="multilevel"/>
    <w:tmpl w:val="7F763B2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4"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D615A59"/>
    <w:multiLevelType w:val="multilevel"/>
    <w:tmpl w:val="39F62274"/>
    <w:styleLink w:val="Chapter119"/>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18" w15:restartNumberingAfterBreak="0">
    <w:nsid w:val="4E530959"/>
    <w:multiLevelType w:val="hybridMultilevel"/>
    <w:tmpl w:val="9BA2054A"/>
    <w:lvl w:ilvl="0" w:tplc="52FE50E0">
      <w:start w:val="1"/>
      <w:numFmt w:val="decimal"/>
      <w:pStyle w:val="RxListRecommendationText"/>
      <w:lvlText w:val="R%1"/>
      <w:lvlJc w:val="left"/>
      <w:pPr>
        <w:ind w:left="1713" w:hanging="360"/>
      </w:pPr>
      <w:rPr>
        <w:rFonts w:ascii="Metropolis" w:hAnsi="Metropolis" w:hint="default"/>
        <w:b/>
        <w:bCs/>
        <w:color w:val="FFFFFF" w:themeColor="background1"/>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9" w15:restartNumberingAfterBreak="0">
    <w:nsid w:val="50B91E83"/>
    <w:multiLevelType w:val="multilevel"/>
    <w:tmpl w:val="E1169C32"/>
    <w:lvl w:ilvl="0">
      <w:start w:val="1"/>
      <w:numFmt w:val="bullet"/>
      <w:lvlText w:val="•"/>
      <w:lvlJc w:val="left"/>
      <w:pPr>
        <w:ind w:left="1134" w:hanging="425"/>
      </w:pPr>
      <w:rPr>
        <w:rFonts w:ascii="Arial" w:hAnsi="Aria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20"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1"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4"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15:restartNumberingAfterBreak="0">
    <w:nsid w:val="5FA03CF7"/>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6"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7"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9"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2" w15:restartNumberingAfterBreak="0">
    <w:nsid w:val="75C964B8"/>
    <w:multiLevelType w:val="hybridMultilevel"/>
    <w:tmpl w:val="5888CF6C"/>
    <w:lvl w:ilvl="0" w:tplc="161EE60E">
      <w:start w:val="1"/>
      <w:numFmt w:val="decimal"/>
      <w:lvlText w:val="R%1."/>
      <w:lvlJc w:val="left"/>
      <w:pPr>
        <w:ind w:left="1429" w:hanging="360"/>
      </w:pPr>
      <w:rPr>
        <w:rFonts w:hint="default"/>
        <w:b/>
        <w:bCs/>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3" w15:restartNumberingAfterBreak="0">
    <w:nsid w:val="7CFB013C"/>
    <w:multiLevelType w:val="multilevel"/>
    <w:tmpl w:val="EB9428C2"/>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4" w15:restartNumberingAfterBreak="0">
    <w:nsid w:val="7DBF6A8A"/>
    <w:multiLevelType w:val="hybridMultilevel"/>
    <w:tmpl w:val="174633B6"/>
    <w:lvl w:ilvl="0" w:tplc="4D84219E">
      <w:start w:val="1"/>
      <w:numFmt w:val="lowerLetter"/>
      <w:pStyle w:val="bRecommendationText"/>
      <w:lvlText w:val="%1."/>
      <w:lvlJc w:val="left"/>
      <w:pPr>
        <w:ind w:left="1134" w:hanging="360"/>
      </w:pPr>
      <w:rPr>
        <w:rFonts w:ascii="Metropolis" w:hAnsi="Metropolis" w:hint="default"/>
      </w:rPr>
    </w:lvl>
    <w:lvl w:ilvl="1" w:tplc="14090019" w:tentative="1">
      <w:start w:val="1"/>
      <w:numFmt w:val="lowerLetter"/>
      <w:lvlText w:val="%2."/>
      <w:lvlJc w:val="left"/>
      <w:pPr>
        <w:ind w:left="1854" w:hanging="360"/>
      </w:pPr>
    </w:lvl>
    <w:lvl w:ilvl="2" w:tplc="1409001B" w:tentative="1">
      <w:start w:val="1"/>
      <w:numFmt w:val="lowerRoman"/>
      <w:lvlText w:val="%3."/>
      <w:lvlJc w:val="right"/>
      <w:pPr>
        <w:ind w:left="2574" w:hanging="180"/>
      </w:pPr>
    </w:lvl>
    <w:lvl w:ilvl="3" w:tplc="1409000F" w:tentative="1">
      <w:start w:val="1"/>
      <w:numFmt w:val="decimal"/>
      <w:lvlText w:val="%4."/>
      <w:lvlJc w:val="left"/>
      <w:pPr>
        <w:ind w:left="3294" w:hanging="360"/>
      </w:pPr>
    </w:lvl>
    <w:lvl w:ilvl="4" w:tplc="14090019" w:tentative="1">
      <w:start w:val="1"/>
      <w:numFmt w:val="lowerLetter"/>
      <w:lvlText w:val="%5."/>
      <w:lvlJc w:val="left"/>
      <w:pPr>
        <w:ind w:left="4014" w:hanging="360"/>
      </w:pPr>
    </w:lvl>
    <w:lvl w:ilvl="5" w:tplc="1409001B" w:tentative="1">
      <w:start w:val="1"/>
      <w:numFmt w:val="lowerRoman"/>
      <w:lvlText w:val="%6."/>
      <w:lvlJc w:val="right"/>
      <w:pPr>
        <w:ind w:left="4734" w:hanging="180"/>
      </w:pPr>
    </w:lvl>
    <w:lvl w:ilvl="6" w:tplc="1409000F" w:tentative="1">
      <w:start w:val="1"/>
      <w:numFmt w:val="decimal"/>
      <w:lvlText w:val="%7."/>
      <w:lvlJc w:val="left"/>
      <w:pPr>
        <w:ind w:left="5454" w:hanging="360"/>
      </w:pPr>
    </w:lvl>
    <w:lvl w:ilvl="7" w:tplc="14090019" w:tentative="1">
      <w:start w:val="1"/>
      <w:numFmt w:val="lowerLetter"/>
      <w:lvlText w:val="%8."/>
      <w:lvlJc w:val="left"/>
      <w:pPr>
        <w:ind w:left="6174" w:hanging="360"/>
      </w:pPr>
    </w:lvl>
    <w:lvl w:ilvl="8" w:tplc="1409001B" w:tentative="1">
      <w:start w:val="1"/>
      <w:numFmt w:val="lowerRoman"/>
      <w:lvlText w:val="%9."/>
      <w:lvlJc w:val="right"/>
      <w:pPr>
        <w:ind w:left="6894" w:hanging="180"/>
      </w:pPr>
    </w:lvl>
  </w:abstractNum>
  <w:num w:numId="1" w16cid:durableId="1032657430">
    <w:abstractNumId w:val="6"/>
  </w:num>
  <w:num w:numId="2" w16cid:durableId="1581016266">
    <w:abstractNumId w:val="29"/>
  </w:num>
  <w:num w:numId="3" w16cid:durableId="1153715142">
    <w:abstractNumId w:val="15"/>
  </w:num>
  <w:num w:numId="4" w16cid:durableId="618027738">
    <w:abstractNumId w:val="22"/>
  </w:num>
  <w:num w:numId="5" w16cid:durableId="62413040">
    <w:abstractNumId w:val="4"/>
  </w:num>
  <w:num w:numId="6" w16cid:durableId="852885801">
    <w:abstractNumId w:val="23"/>
  </w:num>
  <w:num w:numId="7" w16cid:durableId="1263146113">
    <w:abstractNumId w:val="24"/>
  </w:num>
  <w:num w:numId="8" w16cid:durableId="1361588018">
    <w:abstractNumId w:val="30"/>
  </w:num>
  <w:num w:numId="9" w16cid:durableId="5525205">
    <w:abstractNumId w:val="9"/>
  </w:num>
  <w:num w:numId="10" w16cid:durableId="346057969">
    <w:abstractNumId w:val="31"/>
  </w:num>
  <w:num w:numId="11" w16cid:durableId="1253734276">
    <w:abstractNumId w:val="14"/>
  </w:num>
  <w:num w:numId="12" w16cid:durableId="83039021">
    <w:abstractNumId w:val="12"/>
  </w:num>
  <w:num w:numId="13" w16cid:durableId="1069232379">
    <w:abstractNumId w:val="5"/>
  </w:num>
  <w:num w:numId="14" w16cid:durableId="2089839358">
    <w:abstractNumId w:val="27"/>
  </w:num>
  <w:num w:numId="15" w16cid:durableId="164050325">
    <w:abstractNumId w:val="13"/>
  </w:num>
  <w:num w:numId="16" w16cid:durableId="334116549">
    <w:abstractNumId w:val="16"/>
  </w:num>
  <w:num w:numId="17" w16cid:durableId="1595016399">
    <w:abstractNumId w:val="28"/>
  </w:num>
  <w:num w:numId="18" w16cid:durableId="231552414">
    <w:abstractNumId w:val="3"/>
  </w:num>
  <w:num w:numId="19" w16cid:durableId="2094470574">
    <w:abstractNumId w:val="21"/>
    <w:lvlOverride w:ilvl="0">
      <w:startOverride w:val="1"/>
    </w:lvlOverride>
  </w:num>
  <w:num w:numId="20" w16cid:durableId="1424380339">
    <w:abstractNumId w:val="20"/>
  </w:num>
  <w:num w:numId="21" w16cid:durableId="1904288101">
    <w:abstractNumId w:val="0"/>
  </w:num>
  <w:num w:numId="22" w16cid:durableId="2040353442">
    <w:abstractNumId w:val="17"/>
  </w:num>
  <w:num w:numId="23" w16cid:durableId="13129049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1943546">
    <w:abstractNumId w:val="18"/>
  </w:num>
  <w:num w:numId="25" w16cid:durableId="2017999874">
    <w:abstractNumId w:val="34"/>
    <w:lvlOverride w:ilvl="0">
      <w:startOverride w:val="1"/>
    </w:lvlOverride>
  </w:num>
  <w:num w:numId="26" w16cid:durableId="191457145">
    <w:abstractNumId w:val="26"/>
  </w:num>
  <w:num w:numId="27" w16cid:durableId="89857556">
    <w:abstractNumId w:val="7"/>
  </w:num>
  <w:num w:numId="28" w16cid:durableId="5536569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2580182">
    <w:abstractNumId w:val="2"/>
  </w:num>
  <w:num w:numId="30" w16cid:durableId="928078166">
    <w:abstractNumId w:val="10"/>
  </w:num>
  <w:num w:numId="31" w16cid:durableId="967012523">
    <w:abstractNumId w:val="1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i w:val="0"/>
          <w:iCs/>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b w:val="0"/>
          <w:bCs/>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1932658738">
    <w:abstractNumId w:val="1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3" w16cid:durableId="1044521536">
    <w:abstractNumId w:val="13"/>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4" w16cid:durableId="1576815660">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5" w16cid:durableId="721096181">
    <w:abstractNumId w:val="11"/>
  </w:num>
  <w:num w:numId="36" w16cid:durableId="552740394">
    <w:abstractNumId w:val="1"/>
  </w:num>
  <w:num w:numId="37" w16cid:durableId="119230012">
    <w:abstractNumId w:val="8"/>
  </w:num>
  <w:num w:numId="38" w16cid:durableId="2024429670">
    <w:abstractNumId w:val="33"/>
  </w:num>
  <w:num w:numId="39" w16cid:durableId="7106926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1253430">
    <w:abstractNumId w:val="1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16cid:durableId="1878346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74261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34146303">
    <w:abstractNumId w:val="1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i w:val="0"/>
          <w:iCs/>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b w:val="0"/>
          <w:bCs/>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4" w16cid:durableId="389620967">
    <w:abstractNumId w:val="1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i w:val="0"/>
          <w:iCs/>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b w:val="0"/>
          <w:bCs/>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5" w16cid:durableId="1361933262">
    <w:abstractNumId w:val="13"/>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i w:val="0"/>
          <w:iCs/>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b w:val="0"/>
          <w:bCs/>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6" w16cid:durableId="1800873210">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7" w16cid:durableId="878931651">
    <w:abstractNumId w:val="19"/>
  </w:num>
  <w:num w:numId="48" w16cid:durableId="341125167">
    <w:abstractNumId w:val="25"/>
  </w:num>
  <w:num w:numId="49" w16cid:durableId="1591815110">
    <w:abstractNumId w:val="32"/>
  </w:num>
  <w:num w:numId="50" w16cid:durableId="12086452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attachedTemplate r:id="rId1"/>
  <w:linkStyles/>
  <w:stylePaneSortMethod w:val="0000"/>
  <w:documentProtection w:edit="readOnly" w:formatting="1" w:enforcement="0"/>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0EE"/>
    <w:rsid w:val="00000152"/>
    <w:rsid w:val="000001AF"/>
    <w:rsid w:val="0000024C"/>
    <w:rsid w:val="000002E8"/>
    <w:rsid w:val="000002F9"/>
    <w:rsid w:val="000003CB"/>
    <w:rsid w:val="000003FB"/>
    <w:rsid w:val="0000043F"/>
    <w:rsid w:val="0000044A"/>
    <w:rsid w:val="0000050C"/>
    <w:rsid w:val="00000512"/>
    <w:rsid w:val="00000517"/>
    <w:rsid w:val="000005DE"/>
    <w:rsid w:val="00000629"/>
    <w:rsid w:val="0000066A"/>
    <w:rsid w:val="000006BE"/>
    <w:rsid w:val="000006EC"/>
    <w:rsid w:val="00000763"/>
    <w:rsid w:val="0000078A"/>
    <w:rsid w:val="000007C4"/>
    <w:rsid w:val="000007F7"/>
    <w:rsid w:val="0000082D"/>
    <w:rsid w:val="0000087B"/>
    <w:rsid w:val="000008F9"/>
    <w:rsid w:val="00000923"/>
    <w:rsid w:val="000009C0"/>
    <w:rsid w:val="00000A49"/>
    <w:rsid w:val="00000A4D"/>
    <w:rsid w:val="00000A63"/>
    <w:rsid w:val="00000A7D"/>
    <w:rsid w:val="00000A9D"/>
    <w:rsid w:val="00000AB6"/>
    <w:rsid w:val="00000BED"/>
    <w:rsid w:val="00000CBA"/>
    <w:rsid w:val="00000CD5"/>
    <w:rsid w:val="00000D2A"/>
    <w:rsid w:val="00000E62"/>
    <w:rsid w:val="00000EB3"/>
    <w:rsid w:val="00000ED6"/>
    <w:rsid w:val="00000F34"/>
    <w:rsid w:val="00000F4B"/>
    <w:rsid w:val="00000FDF"/>
    <w:rsid w:val="000010C7"/>
    <w:rsid w:val="000010D6"/>
    <w:rsid w:val="000010D7"/>
    <w:rsid w:val="000010E1"/>
    <w:rsid w:val="00001121"/>
    <w:rsid w:val="00001137"/>
    <w:rsid w:val="00001193"/>
    <w:rsid w:val="000011EB"/>
    <w:rsid w:val="00001254"/>
    <w:rsid w:val="00001299"/>
    <w:rsid w:val="000013BE"/>
    <w:rsid w:val="000013C4"/>
    <w:rsid w:val="00001443"/>
    <w:rsid w:val="000014E8"/>
    <w:rsid w:val="00001520"/>
    <w:rsid w:val="0000155E"/>
    <w:rsid w:val="00001644"/>
    <w:rsid w:val="000016D5"/>
    <w:rsid w:val="00001768"/>
    <w:rsid w:val="000017D5"/>
    <w:rsid w:val="00001835"/>
    <w:rsid w:val="00001863"/>
    <w:rsid w:val="000018AA"/>
    <w:rsid w:val="000018BE"/>
    <w:rsid w:val="000018D2"/>
    <w:rsid w:val="0000193C"/>
    <w:rsid w:val="00001BA0"/>
    <w:rsid w:val="00001C84"/>
    <w:rsid w:val="00001D33"/>
    <w:rsid w:val="00001DC8"/>
    <w:rsid w:val="00001DDA"/>
    <w:rsid w:val="00001DF2"/>
    <w:rsid w:val="00001E01"/>
    <w:rsid w:val="00001E55"/>
    <w:rsid w:val="00001EBB"/>
    <w:rsid w:val="00001EC4"/>
    <w:rsid w:val="00001EDE"/>
    <w:rsid w:val="00001F18"/>
    <w:rsid w:val="00001F43"/>
    <w:rsid w:val="00001F49"/>
    <w:rsid w:val="00001F8A"/>
    <w:rsid w:val="00001FE0"/>
    <w:rsid w:val="00001FE3"/>
    <w:rsid w:val="00002063"/>
    <w:rsid w:val="00002119"/>
    <w:rsid w:val="00002172"/>
    <w:rsid w:val="000021AD"/>
    <w:rsid w:val="000021DD"/>
    <w:rsid w:val="000021F6"/>
    <w:rsid w:val="00002319"/>
    <w:rsid w:val="00002364"/>
    <w:rsid w:val="0000237F"/>
    <w:rsid w:val="00002435"/>
    <w:rsid w:val="00002453"/>
    <w:rsid w:val="000024B5"/>
    <w:rsid w:val="000024BD"/>
    <w:rsid w:val="000024D7"/>
    <w:rsid w:val="00002516"/>
    <w:rsid w:val="00002525"/>
    <w:rsid w:val="00002543"/>
    <w:rsid w:val="00002548"/>
    <w:rsid w:val="0000258E"/>
    <w:rsid w:val="000025D6"/>
    <w:rsid w:val="000025F9"/>
    <w:rsid w:val="00002658"/>
    <w:rsid w:val="00002689"/>
    <w:rsid w:val="00002696"/>
    <w:rsid w:val="00002703"/>
    <w:rsid w:val="0000278B"/>
    <w:rsid w:val="0000279C"/>
    <w:rsid w:val="000027D6"/>
    <w:rsid w:val="0000290A"/>
    <w:rsid w:val="0000290C"/>
    <w:rsid w:val="0000291D"/>
    <w:rsid w:val="00002971"/>
    <w:rsid w:val="000029AC"/>
    <w:rsid w:val="000029BA"/>
    <w:rsid w:val="00002A2F"/>
    <w:rsid w:val="00002AEC"/>
    <w:rsid w:val="00002B8B"/>
    <w:rsid w:val="00002B9F"/>
    <w:rsid w:val="00002BF4"/>
    <w:rsid w:val="00002CF9"/>
    <w:rsid w:val="00002D3E"/>
    <w:rsid w:val="00002D4F"/>
    <w:rsid w:val="00002DA8"/>
    <w:rsid w:val="00002DAC"/>
    <w:rsid w:val="00002DD5"/>
    <w:rsid w:val="00002DEC"/>
    <w:rsid w:val="00002DF7"/>
    <w:rsid w:val="00002E3F"/>
    <w:rsid w:val="00002EA2"/>
    <w:rsid w:val="00002EF6"/>
    <w:rsid w:val="00002F30"/>
    <w:rsid w:val="00002F8E"/>
    <w:rsid w:val="00003064"/>
    <w:rsid w:val="000030FE"/>
    <w:rsid w:val="00003136"/>
    <w:rsid w:val="000031D4"/>
    <w:rsid w:val="000031FB"/>
    <w:rsid w:val="00003279"/>
    <w:rsid w:val="000032BB"/>
    <w:rsid w:val="000033C1"/>
    <w:rsid w:val="000033E0"/>
    <w:rsid w:val="000033FF"/>
    <w:rsid w:val="000034F8"/>
    <w:rsid w:val="00003531"/>
    <w:rsid w:val="000036A2"/>
    <w:rsid w:val="000036C4"/>
    <w:rsid w:val="00003734"/>
    <w:rsid w:val="00003738"/>
    <w:rsid w:val="000037A3"/>
    <w:rsid w:val="000037E7"/>
    <w:rsid w:val="0000383A"/>
    <w:rsid w:val="0000384D"/>
    <w:rsid w:val="00003885"/>
    <w:rsid w:val="0000389D"/>
    <w:rsid w:val="000038F8"/>
    <w:rsid w:val="0000399F"/>
    <w:rsid w:val="000039A9"/>
    <w:rsid w:val="000039F9"/>
    <w:rsid w:val="00003A32"/>
    <w:rsid w:val="00003A50"/>
    <w:rsid w:val="00003A77"/>
    <w:rsid w:val="00003A9E"/>
    <w:rsid w:val="00003AC1"/>
    <w:rsid w:val="00003B8C"/>
    <w:rsid w:val="00003C07"/>
    <w:rsid w:val="00003C3D"/>
    <w:rsid w:val="00003C54"/>
    <w:rsid w:val="00003C86"/>
    <w:rsid w:val="00003CAB"/>
    <w:rsid w:val="00003D22"/>
    <w:rsid w:val="00003D88"/>
    <w:rsid w:val="00003DE5"/>
    <w:rsid w:val="00003E19"/>
    <w:rsid w:val="00003E7C"/>
    <w:rsid w:val="00003E9E"/>
    <w:rsid w:val="00003FE0"/>
    <w:rsid w:val="00004085"/>
    <w:rsid w:val="0000409B"/>
    <w:rsid w:val="000040BD"/>
    <w:rsid w:val="000040DC"/>
    <w:rsid w:val="000040EF"/>
    <w:rsid w:val="00004103"/>
    <w:rsid w:val="0000413D"/>
    <w:rsid w:val="00004225"/>
    <w:rsid w:val="00004291"/>
    <w:rsid w:val="0000429C"/>
    <w:rsid w:val="000042ED"/>
    <w:rsid w:val="00004376"/>
    <w:rsid w:val="000043AD"/>
    <w:rsid w:val="000043E8"/>
    <w:rsid w:val="0000440A"/>
    <w:rsid w:val="000044DF"/>
    <w:rsid w:val="0000452B"/>
    <w:rsid w:val="00004531"/>
    <w:rsid w:val="00004552"/>
    <w:rsid w:val="00004643"/>
    <w:rsid w:val="00004676"/>
    <w:rsid w:val="0000468C"/>
    <w:rsid w:val="000046A5"/>
    <w:rsid w:val="000046AF"/>
    <w:rsid w:val="000046B6"/>
    <w:rsid w:val="00004770"/>
    <w:rsid w:val="000047BD"/>
    <w:rsid w:val="000047D2"/>
    <w:rsid w:val="00004804"/>
    <w:rsid w:val="000049AB"/>
    <w:rsid w:val="000049F2"/>
    <w:rsid w:val="00004A2E"/>
    <w:rsid w:val="00004A77"/>
    <w:rsid w:val="00004A7B"/>
    <w:rsid w:val="00004AC8"/>
    <w:rsid w:val="00004AE2"/>
    <w:rsid w:val="00004B50"/>
    <w:rsid w:val="00004BC0"/>
    <w:rsid w:val="00004C1B"/>
    <w:rsid w:val="00004C3E"/>
    <w:rsid w:val="00004C8E"/>
    <w:rsid w:val="00004CED"/>
    <w:rsid w:val="00004E0D"/>
    <w:rsid w:val="00004E3B"/>
    <w:rsid w:val="00004E67"/>
    <w:rsid w:val="00004E68"/>
    <w:rsid w:val="00004E89"/>
    <w:rsid w:val="00004EA5"/>
    <w:rsid w:val="00004EDA"/>
    <w:rsid w:val="00004EE0"/>
    <w:rsid w:val="00004F01"/>
    <w:rsid w:val="00004F79"/>
    <w:rsid w:val="00004F7E"/>
    <w:rsid w:val="00004F8D"/>
    <w:rsid w:val="00004F9E"/>
    <w:rsid w:val="00004FB3"/>
    <w:rsid w:val="00004FC8"/>
    <w:rsid w:val="00004FCE"/>
    <w:rsid w:val="00004FF3"/>
    <w:rsid w:val="0000501C"/>
    <w:rsid w:val="0000514D"/>
    <w:rsid w:val="00005157"/>
    <w:rsid w:val="000051A8"/>
    <w:rsid w:val="000051C4"/>
    <w:rsid w:val="000051E3"/>
    <w:rsid w:val="000052F4"/>
    <w:rsid w:val="000053A8"/>
    <w:rsid w:val="000053AA"/>
    <w:rsid w:val="000053EE"/>
    <w:rsid w:val="0000548E"/>
    <w:rsid w:val="000054A9"/>
    <w:rsid w:val="000055F3"/>
    <w:rsid w:val="00005627"/>
    <w:rsid w:val="0000562A"/>
    <w:rsid w:val="0000565E"/>
    <w:rsid w:val="000056A0"/>
    <w:rsid w:val="00005709"/>
    <w:rsid w:val="0000571D"/>
    <w:rsid w:val="00005723"/>
    <w:rsid w:val="00005745"/>
    <w:rsid w:val="00005777"/>
    <w:rsid w:val="000057B2"/>
    <w:rsid w:val="00005827"/>
    <w:rsid w:val="0000586C"/>
    <w:rsid w:val="0000587A"/>
    <w:rsid w:val="00005890"/>
    <w:rsid w:val="000058A2"/>
    <w:rsid w:val="000058D3"/>
    <w:rsid w:val="000058DD"/>
    <w:rsid w:val="000058E3"/>
    <w:rsid w:val="00005959"/>
    <w:rsid w:val="0000598A"/>
    <w:rsid w:val="00005A89"/>
    <w:rsid w:val="00005A93"/>
    <w:rsid w:val="00005A94"/>
    <w:rsid w:val="00005A9E"/>
    <w:rsid w:val="00005AB7"/>
    <w:rsid w:val="00005B0C"/>
    <w:rsid w:val="00005CF7"/>
    <w:rsid w:val="00005D14"/>
    <w:rsid w:val="00005D7B"/>
    <w:rsid w:val="00005DDE"/>
    <w:rsid w:val="00005E10"/>
    <w:rsid w:val="00005E38"/>
    <w:rsid w:val="00005ED9"/>
    <w:rsid w:val="00006012"/>
    <w:rsid w:val="0000602D"/>
    <w:rsid w:val="000060B0"/>
    <w:rsid w:val="000060D4"/>
    <w:rsid w:val="0000619C"/>
    <w:rsid w:val="000061AE"/>
    <w:rsid w:val="000061E6"/>
    <w:rsid w:val="00006228"/>
    <w:rsid w:val="0000629A"/>
    <w:rsid w:val="0000633C"/>
    <w:rsid w:val="0000655F"/>
    <w:rsid w:val="000065A3"/>
    <w:rsid w:val="0000660C"/>
    <w:rsid w:val="000066B6"/>
    <w:rsid w:val="000066B9"/>
    <w:rsid w:val="00006752"/>
    <w:rsid w:val="00006777"/>
    <w:rsid w:val="000067CA"/>
    <w:rsid w:val="000067E2"/>
    <w:rsid w:val="000067E6"/>
    <w:rsid w:val="00006858"/>
    <w:rsid w:val="000068A3"/>
    <w:rsid w:val="000068AA"/>
    <w:rsid w:val="000068FD"/>
    <w:rsid w:val="0000693F"/>
    <w:rsid w:val="000069DC"/>
    <w:rsid w:val="00006A15"/>
    <w:rsid w:val="00006A4E"/>
    <w:rsid w:val="00006AAB"/>
    <w:rsid w:val="00006ABF"/>
    <w:rsid w:val="00006B44"/>
    <w:rsid w:val="00006C8B"/>
    <w:rsid w:val="00006C9B"/>
    <w:rsid w:val="00006CBF"/>
    <w:rsid w:val="00006CF9"/>
    <w:rsid w:val="00006D76"/>
    <w:rsid w:val="00006D9C"/>
    <w:rsid w:val="00006DCD"/>
    <w:rsid w:val="00006E1C"/>
    <w:rsid w:val="00006F0F"/>
    <w:rsid w:val="00006F5F"/>
    <w:rsid w:val="00006FE3"/>
    <w:rsid w:val="00007025"/>
    <w:rsid w:val="0000705B"/>
    <w:rsid w:val="000070DC"/>
    <w:rsid w:val="00007137"/>
    <w:rsid w:val="00007207"/>
    <w:rsid w:val="00007266"/>
    <w:rsid w:val="000072AE"/>
    <w:rsid w:val="00007343"/>
    <w:rsid w:val="00007352"/>
    <w:rsid w:val="00007382"/>
    <w:rsid w:val="0000738E"/>
    <w:rsid w:val="0000739C"/>
    <w:rsid w:val="000073C9"/>
    <w:rsid w:val="000073EA"/>
    <w:rsid w:val="00007435"/>
    <w:rsid w:val="00007447"/>
    <w:rsid w:val="00007556"/>
    <w:rsid w:val="00007562"/>
    <w:rsid w:val="000075A2"/>
    <w:rsid w:val="00007615"/>
    <w:rsid w:val="0000762B"/>
    <w:rsid w:val="00007637"/>
    <w:rsid w:val="0000766B"/>
    <w:rsid w:val="0000780D"/>
    <w:rsid w:val="00007840"/>
    <w:rsid w:val="00007902"/>
    <w:rsid w:val="000079D8"/>
    <w:rsid w:val="00007A06"/>
    <w:rsid w:val="00007A92"/>
    <w:rsid w:val="00007AC7"/>
    <w:rsid w:val="00007B03"/>
    <w:rsid w:val="00007B1F"/>
    <w:rsid w:val="00007B25"/>
    <w:rsid w:val="00007B44"/>
    <w:rsid w:val="00007B64"/>
    <w:rsid w:val="00007B7A"/>
    <w:rsid w:val="00007BE1"/>
    <w:rsid w:val="00007C56"/>
    <w:rsid w:val="00007C8E"/>
    <w:rsid w:val="00007D1B"/>
    <w:rsid w:val="00007DA0"/>
    <w:rsid w:val="00007E7D"/>
    <w:rsid w:val="00007EE3"/>
    <w:rsid w:val="00007F08"/>
    <w:rsid w:val="00007F64"/>
    <w:rsid w:val="00007FF0"/>
    <w:rsid w:val="00010021"/>
    <w:rsid w:val="0001004A"/>
    <w:rsid w:val="0001009C"/>
    <w:rsid w:val="000100D9"/>
    <w:rsid w:val="00010182"/>
    <w:rsid w:val="0001022B"/>
    <w:rsid w:val="00010289"/>
    <w:rsid w:val="000102A5"/>
    <w:rsid w:val="000102F7"/>
    <w:rsid w:val="000102FE"/>
    <w:rsid w:val="00010311"/>
    <w:rsid w:val="0001034B"/>
    <w:rsid w:val="0001037F"/>
    <w:rsid w:val="00010393"/>
    <w:rsid w:val="000103B8"/>
    <w:rsid w:val="0001044B"/>
    <w:rsid w:val="00010453"/>
    <w:rsid w:val="00010506"/>
    <w:rsid w:val="0001056D"/>
    <w:rsid w:val="00010609"/>
    <w:rsid w:val="00010666"/>
    <w:rsid w:val="0001069E"/>
    <w:rsid w:val="000106E1"/>
    <w:rsid w:val="00010731"/>
    <w:rsid w:val="00010878"/>
    <w:rsid w:val="00010883"/>
    <w:rsid w:val="00010891"/>
    <w:rsid w:val="00010935"/>
    <w:rsid w:val="00010A0A"/>
    <w:rsid w:val="00010A5D"/>
    <w:rsid w:val="00010AAE"/>
    <w:rsid w:val="00010AC2"/>
    <w:rsid w:val="00010ACD"/>
    <w:rsid w:val="00010B27"/>
    <w:rsid w:val="00010B7C"/>
    <w:rsid w:val="00010BDC"/>
    <w:rsid w:val="00010BDE"/>
    <w:rsid w:val="00010C0A"/>
    <w:rsid w:val="00010C8C"/>
    <w:rsid w:val="00010CA0"/>
    <w:rsid w:val="00010CC9"/>
    <w:rsid w:val="00010D37"/>
    <w:rsid w:val="00010DCE"/>
    <w:rsid w:val="00010EAD"/>
    <w:rsid w:val="00010F35"/>
    <w:rsid w:val="00011016"/>
    <w:rsid w:val="00011079"/>
    <w:rsid w:val="00011082"/>
    <w:rsid w:val="000110A6"/>
    <w:rsid w:val="00011160"/>
    <w:rsid w:val="0001116F"/>
    <w:rsid w:val="0001117F"/>
    <w:rsid w:val="00011183"/>
    <w:rsid w:val="000111BB"/>
    <w:rsid w:val="00011240"/>
    <w:rsid w:val="0001124C"/>
    <w:rsid w:val="00011264"/>
    <w:rsid w:val="00011308"/>
    <w:rsid w:val="000113F7"/>
    <w:rsid w:val="00011476"/>
    <w:rsid w:val="00011483"/>
    <w:rsid w:val="000114E8"/>
    <w:rsid w:val="00011533"/>
    <w:rsid w:val="000115C0"/>
    <w:rsid w:val="000115E5"/>
    <w:rsid w:val="000116EB"/>
    <w:rsid w:val="00011971"/>
    <w:rsid w:val="000119DB"/>
    <w:rsid w:val="000119E7"/>
    <w:rsid w:val="00011A01"/>
    <w:rsid w:val="00011A6C"/>
    <w:rsid w:val="00011B2D"/>
    <w:rsid w:val="00011B90"/>
    <w:rsid w:val="00011C55"/>
    <w:rsid w:val="00011C89"/>
    <w:rsid w:val="00011D0A"/>
    <w:rsid w:val="00011D64"/>
    <w:rsid w:val="00011D6F"/>
    <w:rsid w:val="00011E09"/>
    <w:rsid w:val="00011E68"/>
    <w:rsid w:val="00011E7A"/>
    <w:rsid w:val="00011EBA"/>
    <w:rsid w:val="00011EF0"/>
    <w:rsid w:val="00011F1F"/>
    <w:rsid w:val="00011F8C"/>
    <w:rsid w:val="00011FAC"/>
    <w:rsid w:val="00011FBD"/>
    <w:rsid w:val="00012040"/>
    <w:rsid w:val="00012129"/>
    <w:rsid w:val="000121BF"/>
    <w:rsid w:val="000121DB"/>
    <w:rsid w:val="000121EE"/>
    <w:rsid w:val="00012258"/>
    <w:rsid w:val="00012351"/>
    <w:rsid w:val="00012370"/>
    <w:rsid w:val="000123FE"/>
    <w:rsid w:val="000124CE"/>
    <w:rsid w:val="0001250A"/>
    <w:rsid w:val="0001251A"/>
    <w:rsid w:val="00012526"/>
    <w:rsid w:val="00012629"/>
    <w:rsid w:val="00012682"/>
    <w:rsid w:val="0001271D"/>
    <w:rsid w:val="0001275C"/>
    <w:rsid w:val="0001277C"/>
    <w:rsid w:val="0001279B"/>
    <w:rsid w:val="000127F7"/>
    <w:rsid w:val="00012808"/>
    <w:rsid w:val="00012843"/>
    <w:rsid w:val="0001286C"/>
    <w:rsid w:val="000128A0"/>
    <w:rsid w:val="000128EE"/>
    <w:rsid w:val="00012911"/>
    <w:rsid w:val="000129F9"/>
    <w:rsid w:val="00012A49"/>
    <w:rsid w:val="00012A88"/>
    <w:rsid w:val="00012AB8"/>
    <w:rsid w:val="00012BAA"/>
    <w:rsid w:val="00012BC3"/>
    <w:rsid w:val="00012CF9"/>
    <w:rsid w:val="00012D05"/>
    <w:rsid w:val="00012D93"/>
    <w:rsid w:val="00012DE3"/>
    <w:rsid w:val="00012E3E"/>
    <w:rsid w:val="00012F47"/>
    <w:rsid w:val="00012F6B"/>
    <w:rsid w:val="00012F8C"/>
    <w:rsid w:val="00012FAE"/>
    <w:rsid w:val="0001311B"/>
    <w:rsid w:val="00013147"/>
    <w:rsid w:val="000131DE"/>
    <w:rsid w:val="000132EC"/>
    <w:rsid w:val="000133BE"/>
    <w:rsid w:val="0001342D"/>
    <w:rsid w:val="000134A0"/>
    <w:rsid w:val="00013502"/>
    <w:rsid w:val="00013504"/>
    <w:rsid w:val="00013547"/>
    <w:rsid w:val="000135F5"/>
    <w:rsid w:val="0001361A"/>
    <w:rsid w:val="0001365F"/>
    <w:rsid w:val="0001368F"/>
    <w:rsid w:val="000136CD"/>
    <w:rsid w:val="000136F6"/>
    <w:rsid w:val="00013735"/>
    <w:rsid w:val="0001375F"/>
    <w:rsid w:val="00013766"/>
    <w:rsid w:val="000137ED"/>
    <w:rsid w:val="0001382D"/>
    <w:rsid w:val="0001391C"/>
    <w:rsid w:val="000139E5"/>
    <w:rsid w:val="00013A23"/>
    <w:rsid w:val="00013A95"/>
    <w:rsid w:val="00013A97"/>
    <w:rsid w:val="00013AD2"/>
    <w:rsid w:val="00013AF7"/>
    <w:rsid w:val="00013B4B"/>
    <w:rsid w:val="00013B82"/>
    <w:rsid w:val="00013CA6"/>
    <w:rsid w:val="00013CC0"/>
    <w:rsid w:val="00013D09"/>
    <w:rsid w:val="00013D83"/>
    <w:rsid w:val="00013EA3"/>
    <w:rsid w:val="00013F39"/>
    <w:rsid w:val="00014018"/>
    <w:rsid w:val="0001403B"/>
    <w:rsid w:val="00014055"/>
    <w:rsid w:val="0001405F"/>
    <w:rsid w:val="000140CD"/>
    <w:rsid w:val="000140F7"/>
    <w:rsid w:val="00014182"/>
    <w:rsid w:val="000141B0"/>
    <w:rsid w:val="00014216"/>
    <w:rsid w:val="000143DF"/>
    <w:rsid w:val="00014435"/>
    <w:rsid w:val="0001449E"/>
    <w:rsid w:val="00014547"/>
    <w:rsid w:val="000146A1"/>
    <w:rsid w:val="000146AD"/>
    <w:rsid w:val="00014702"/>
    <w:rsid w:val="00014730"/>
    <w:rsid w:val="0001475E"/>
    <w:rsid w:val="0001481D"/>
    <w:rsid w:val="0001482E"/>
    <w:rsid w:val="000148F4"/>
    <w:rsid w:val="000149A2"/>
    <w:rsid w:val="000149CF"/>
    <w:rsid w:val="000149D8"/>
    <w:rsid w:val="000149DD"/>
    <w:rsid w:val="000149E2"/>
    <w:rsid w:val="000149FD"/>
    <w:rsid w:val="00014A38"/>
    <w:rsid w:val="00014A53"/>
    <w:rsid w:val="00014B16"/>
    <w:rsid w:val="00014BB0"/>
    <w:rsid w:val="00014BE2"/>
    <w:rsid w:val="00014C88"/>
    <w:rsid w:val="00014D8F"/>
    <w:rsid w:val="00014DC7"/>
    <w:rsid w:val="00014DC8"/>
    <w:rsid w:val="00014E21"/>
    <w:rsid w:val="00014E24"/>
    <w:rsid w:val="00014E30"/>
    <w:rsid w:val="00014E76"/>
    <w:rsid w:val="00014FA9"/>
    <w:rsid w:val="00014FAA"/>
    <w:rsid w:val="00014FE3"/>
    <w:rsid w:val="00014FF2"/>
    <w:rsid w:val="000150CD"/>
    <w:rsid w:val="000150D7"/>
    <w:rsid w:val="000150DC"/>
    <w:rsid w:val="0001513D"/>
    <w:rsid w:val="000151C7"/>
    <w:rsid w:val="000151FD"/>
    <w:rsid w:val="00015315"/>
    <w:rsid w:val="000153BD"/>
    <w:rsid w:val="0001549C"/>
    <w:rsid w:val="00015525"/>
    <w:rsid w:val="000155B0"/>
    <w:rsid w:val="000155BD"/>
    <w:rsid w:val="00015668"/>
    <w:rsid w:val="00015669"/>
    <w:rsid w:val="00015687"/>
    <w:rsid w:val="000156F1"/>
    <w:rsid w:val="00015736"/>
    <w:rsid w:val="00015780"/>
    <w:rsid w:val="000157BB"/>
    <w:rsid w:val="000157E4"/>
    <w:rsid w:val="0001583B"/>
    <w:rsid w:val="00015877"/>
    <w:rsid w:val="0001587F"/>
    <w:rsid w:val="0001589A"/>
    <w:rsid w:val="000158DE"/>
    <w:rsid w:val="000158FE"/>
    <w:rsid w:val="0001594B"/>
    <w:rsid w:val="000159FE"/>
    <w:rsid w:val="00015A2F"/>
    <w:rsid w:val="00015B5E"/>
    <w:rsid w:val="00015BF3"/>
    <w:rsid w:val="00015BFE"/>
    <w:rsid w:val="00015D61"/>
    <w:rsid w:val="00015D75"/>
    <w:rsid w:val="00015DE7"/>
    <w:rsid w:val="00015ED2"/>
    <w:rsid w:val="00015FF9"/>
    <w:rsid w:val="000160C1"/>
    <w:rsid w:val="000160E3"/>
    <w:rsid w:val="00016103"/>
    <w:rsid w:val="0001611C"/>
    <w:rsid w:val="00016120"/>
    <w:rsid w:val="0001619A"/>
    <w:rsid w:val="0001620E"/>
    <w:rsid w:val="000162A8"/>
    <w:rsid w:val="000162F9"/>
    <w:rsid w:val="0001635F"/>
    <w:rsid w:val="000163F9"/>
    <w:rsid w:val="00016407"/>
    <w:rsid w:val="000164CC"/>
    <w:rsid w:val="000164D8"/>
    <w:rsid w:val="0001658F"/>
    <w:rsid w:val="0001675E"/>
    <w:rsid w:val="000167EA"/>
    <w:rsid w:val="000167FB"/>
    <w:rsid w:val="0001680C"/>
    <w:rsid w:val="00016826"/>
    <w:rsid w:val="00016860"/>
    <w:rsid w:val="0001688E"/>
    <w:rsid w:val="000168B5"/>
    <w:rsid w:val="000168C6"/>
    <w:rsid w:val="00016901"/>
    <w:rsid w:val="00016917"/>
    <w:rsid w:val="00016985"/>
    <w:rsid w:val="000169FC"/>
    <w:rsid w:val="00016A55"/>
    <w:rsid w:val="00016B4B"/>
    <w:rsid w:val="00016BD8"/>
    <w:rsid w:val="00016BED"/>
    <w:rsid w:val="00016BFA"/>
    <w:rsid w:val="00016C3C"/>
    <w:rsid w:val="00016C5B"/>
    <w:rsid w:val="00016CBA"/>
    <w:rsid w:val="00016D00"/>
    <w:rsid w:val="00016D5A"/>
    <w:rsid w:val="00016DA2"/>
    <w:rsid w:val="00016DCD"/>
    <w:rsid w:val="00016DFD"/>
    <w:rsid w:val="00016E53"/>
    <w:rsid w:val="00016E65"/>
    <w:rsid w:val="00016E70"/>
    <w:rsid w:val="00016FBC"/>
    <w:rsid w:val="000170B1"/>
    <w:rsid w:val="000171B1"/>
    <w:rsid w:val="00017246"/>
    <w:rsid w:val="0001725B"/>
    <w:rsid w:val="0001729E"/>
    <w:rsid w:val="000172D2"/>
    <w:rsid w:val="00017302"/>
    <w:rsid w:val="0001736B"/>
    <w:rsid w:val="000173B3"/>
    <w:rsid w:val="0001741A"/>
    <w:rsid w:val="000174C2"/>
    <w:rsid w:val="00017590"/>
    <w:rsid w:val="000175A4"/>
    <w:rsid w:val="00017667"/>
    <w:rsid w:val="0001771A"/>
    <w:rsid w:val="00017779"/>
    <w:rsid w:val="00017867"/>
    <w:rsid w:val="00017884"/>
    <w:rsid w:val="000178C9"/>
    <w:rsid w:val="00017936"/>
    <w:rsid w:val="000179E2"/>
    <w:rsid w:val="000179EA"/>
    <w:rsid w:val="00017AA1"/>
    <w:rsid w:val="00017B5A"/>
    <w:rsid w:val="00017B6B"/>
    <w:rsid w:val="00017C39"/>
    <w:rsid w:val="00017CC2"/>
    <w:rsid w:val="00017D8D"/>
    <w:rsid w:val="00017D8E"/>
    <w:rsid w:val="00017DB2"/>
    <w:rsid w:val="00017DBF"/>
    <w:rsid w:val="00017DDE"/>
    <w:rsid w:val="00017E4E"/>
    <w:rsid w:val="00017E70"/>
    <w:rsid w:val="00017E95"/>
    <w:rsid w:val="00017F11"/>
    <w:rsid w:val="00017F18"/>
    <w:rsid w:val="00017FE2"/>
    <w:rsid w:val="00020042"/>
    <w:rsid w:val="00020156"/>
    <w:rsid w:val="00020195"/>
    <w:rsid w:val="000201E5"/>
    <w:rsid w:val="000202A2"/>
    <w:rsid w:val="000202AD"/>
    <w:rsid w:val="000202FF"/>
    <w:rsid w:val="0002038C"/>
    <w:rsid w:val="000203BC"/>
    <w:rsid w:val="000203E0"/>
    <w:rsid w:val="000203F1"/>
    <w:rsid w:val="0002052B"/>
    <w:rsid w:val="0002053B"/>
    <w:rsid w:val="00020562"/>
    <w:rsid w:val="00020565"/>
    <w:rsid w:val="0002056A"/>
    <w:rsid w:val="000205E3"/>
    <w:rsid w:val="00020654"/>
    <w:rsid w:val="0002067F"/>
    <w:rsid w:val="0002070A"/>
    <w:rsid w:val="000207AA"/>
    <w:rsid w:val="0002085A"/>
    <w:rsid w:val="00020887"/>
    <w:rsid w:val="000208C0"/>
    <w:rsid w:val="0002092F"/>
    <w:rsid w:val="00020938"/>
    <w:rsid w:val="00020947"/>
    <w:rsid w:val="0002094D"/>
    <w:rsid w:val="0002098F"/>
    <w:rsid w:val="00020AC0"/>
    <w:rsid w:val="00020B91"/>
    <w:rsid w:val="00020BED"/>
    <w:rsid w:val="00020C2C"/>
    <w:rsid w:val="00020C36"/>
    <w:rsid w:val="00020C96"/>
    <w:rsid w:val="00020D7D"/>
    <w:rsid w:val="00020E04"/>
    <w:rsid w:val="00020E58"/>
    <w:rsid w:val="00020E9A"/>
    <w:rsid w:val="00020EE2"/>
    <w:rsid w:val="00020F94"/>
    <w:rsid w:val="00020F9D"/>
    <w:rsid w:val="00020FCB"/>
    <w:rsid w:val="0002109C"/>
    <w:rsid w:val="000210C1"/>
    <w:rsid w:val="0002123F"/>
    <w:rsid w:val="0002124F"/>
    <w:rsid w:val="000212AF"/>
    <w:rsid w:val="000212BE"/>
    <w:rsid w:val="000212ED"/>
    <w:rsid w:val="00021385"/>
    <w:rsid w:val="000213B6"/>
    <w:rsid w:val="00021417"/>
    <w:rsid w:val="0002142A"/>
    <w:rsid w:val="0002144C"/>
    <w:rsid w:val="0002145F"/>
    <w:rsid w:val="0002146E"/>
    <w:rsid w:val="0002148A"/>
    <w:rsid w:val="00021520"/>
    <w:rsid w:val="00021550"/>
    <w:rsid w:val="000215ED"/>
    <w:rsid w:val="0002164D"/>
    <w:rsid w:val="00021657"/>
    <w:rsid w:val="00021668"/>
    <w:rsid w:val="000216A5"/>
    <w:rsid w:val="000216AC"/>
    <w:rsid w:val="000216FF"/>
    <w:rsid w:val="00021714"/>
    <w:rsid w:val="0002172B"/>
    <w:rsid w:val="000217EC"/>
    <w:rsid w:val="0002183F"/>
    <w:rsid w:val="00021869"/>
    <w:rsid w:val="000219C3"/>
    <w:rsid w:val="000219C9"/>
    <w:rsid w:val="000219CA"/>
    <w:rsid w:val="00021AD6"/>
    <w:rsid w:val="00021B44"/>
    <w:rsid w:val="00021C26"/>
    <w:rsid w:val="00021D14"/>
    <w:rsid w:val="00021D26"/>
    <w:rsid w:val="00021D69"/>
    <w:rsid w:val="00021D8B"/>
    <w:rsid w:val="00021DEE"/>
    <w:rsid w:val="00021DF7"/>
    <w:rsid w:val="00021E85"/>
    <w:rsid w:val="00021E92"/>
    <w:rsid w:val="00021ED8"/>
    <w:rsid w:val="00021EED"/>
    <w:rsid w:val="00021EF9"/>
    <w:rsid w:val="00021EFA"/>
    <w:rsid w:val="00021F2F"/>
    <w:rsid w:val="00021F44"/>
    <w:rsid w:val="00021F56"/>
    <w:rsid w:val="00021F70"/>
    <w:rsid w:val="00021F9C"/>
    <w:rsid w:val="000220E4"/>
    <w:rsid w:val="00022106"/>
    <w:rsid w:val="00022147"/>
    <w:rsid w:val="000221AD"/>
    <w:rsid w:val="000221C8"/>
    <w:rsid w:val="000221F9"/>
    <w:rsid w:val="00022248"/>
    <w:rsid w:val="00022268"/>
    <w:rsid w:val="00022271"/>
    <w:rsid w:val="00022305"/>
    <w:rsid w:val="00022335"/>
    <w:rsid w:val="0002233D"/>
    <w:rsid w:val="0002237C"/>
    <w:rsid w:val="000223A5"/>
    <w:rsid w:val="000223CB"/>
    <w:rsid w:val="000223D9"/>
    <w:rsid w:val="000224BC"/>
    <w:rsid w:val="00022567"/>
    <w:rsid w:val="000225E5"/>
    <w:rsid w:val="000226FC"/>
    <w:rsid w:val="000227E3"/>
    <w:rsid w:val="00022804"/>
    <w:rsid w:val="00022844"/>
    <w:rsid w:val="0002284A"/>
    <w:rsid w:val="0002285B"/>
    <w:rsid w:val="000228DE"/>
    <w:rsid w:val="0002291D"/>
    <w:rsid w:val="000229E7"/>
    <w:rsid w:val="00022A0A"/>
    <w:rsid w:val="00022A3C"/>
    <w:rsid w:val="00022A5E"/>
    <w:rsid w:val="00022ACF"/>
    <w:rsid w:val="00022B41"/>
    <w:rsid w:val="00022B5A"/>
    <w:rsid w:val="00022B73"/>
    <w:rsid w:val="00022B8D"/>
    <w:rsid w:val="00022BB1"/>
    <w:rsid w:val="00022BF9"/>
    <w:rsid w:val="00022C52"/>
    <w:rsid w:val="00022C58"/>
    <w:rsid w:val="00022C5B"/>
    <w:rsid w:val="00022D26"/>
    <w:rsid w:val="00022D2E"/>
    <w:rsid w:val="00022E02"/>
    <w:rsid w:val="00022E4E"/>
    <w:rsid w:val="00022E5B"/>
    <w:rsid w:val="00022E9F"/>
    <w:rsid w:val="00022EC4"/>
    <w:rsid w:val="00022F18"/>
    <w:rsid w:val="00022F44"/>
    <w:rsid w:val="00022F64"/>
    <w:rsid w:val="00022FA6"/>
    <w:rsid w:val="00022FBB"/>
    <w:rsid w:val="0002302A"/>
    <w:rsid w:val="000230B2"/>
    <w:rsid w:val="00023155"/>
    <w:rsid w:val="00023161"/>
    <w:rsid w:val="0002318A"/>
    <w:rsid w:val="000231DF"/>
    <w:rsid w:val="0002322D"/>
    <w:rsid w:val="0002323F"/>
    <w:rsid w:val="00023249"/>
    <w:rsid w:val="00023280"/>
    <w:rsid w:val="00023306"/>
    <w:rsid w:val="0002333F"/>
    <w:rsid w:val="000233AE"/>
    <w:rsid w:val="00023407"/>
    <w:rsid w:val="000234A9"/>
    <w:rsid w:val="000234D2"/>
    <w:rsid w:val="000234D9"/>
    <w:rsid w:val="000234F3"/>
    <w:rsid w:val="00023584"/>
    <w:rsid w:val="00023587"/>
    <w:rsid w:val="000236A5"/>
    <w:rsid w:val="00023898"/>
    <w:rsid w:val="000238B1"/>
    <w:rsid w:val="00023921"/>
    <w:rsid w:val="0002393B"/>
    <w:rsid w:val="00023970"/>
    <w:rsid w:val="00023B38"/>
    <w:rsid w:val="00023B80"/>
    <w:rsid w:val="00023BC6"/>
    <w:rsid w:val="00023C08"/>
    <w:rsid w:val="00023C66"/>
    <w:rsid w:val="00023CB3"/>
    <w:rsid w:val="00023CBA"/>
    <w:rsid w:val="00023CDC"/>
    <w:rsid w:val="00023CFA"/>
    <w:rsid w:val="00023CFF"/>
    <w:rsid w:val="00023D54"/>
    <w:rsid w:val="00023D91"/>
    <w:rsid w:val="00023DB8"/>
    <w:rsid w:val="00023DD5"/>
    <w:rsid w:val="00023E67"/>
    <w:rsid w:val="00023EE7"/>
    <w:rsid w:val="00023F13"/>
    <w:rsid w:val="00023F36"/>
    <w:rsid w:val="0002409B"/>
    <w:rsid w:val="00024105"/>
    <w:rsid w:val="00024110"/>
    <w:rsid w:val="00024111"/>
    <w:rsid w:val="0002423D"/>
    <w:rsid w:val="00024245"/>
    <w:rsid w:val="0002424F"/>
    <w:rsid w:val="0002428E"/>
    <w:rsid w:val="000242BC"/>
    <w:rsid w:val="00024300"/>
    <w:rsid w:val="000243D6"/>
    <w:rsid w:val="0002445B"/>
    <w:rsid w:val="00024497"/>
    <w:rsid w:val="000244B5"/>
    <w:rsid w:val="00024536"/>
    <w:rsid w:val="00024544"/>
    <w:rsid w:val="00024577"/>
    <w:rsid w:val="000245A1"/>
    <w:rsid w:val="000245B0"/>
    <w:rsid w:val="000246C6"/>
    <w:rsid w:val="000246E4"/>
    <w:rsid w:val="000246F0"/>
    <w:rsid w:val="0002470B"/>
    <w:rsid w:val="00024725"/>
    <w:rsid w:val="000247D5"/>
    <w:rsid w:val="00024806"/>
    <w:rsid w:val="0002480C"/>
    <w:rsid w:val="00024898"/>
    <w:rsid w:val="000248D5"/>
    <w:rsid w:val="0002490B"/>
    <w:rsid w:val="0002490C"/>
    <w:rsid w:val="00024921"/>
    <w:rsid w:val="0002492E"/>
    <w:rsid w:val="00024945"/>
    <w:rsid w:val="0002496C"/>
    <w:rsid w:val="00024994"/>
    <w:rsid w:val="000249CB"/>
    <w:rsid w:val="00024ABA"/>
    <w:rsid w:val="00024B26"/>
    <w:rsid w:val="00024C22"/>
    <w:rsid w:val="00024C74"/>
    <w:rsid w:val="00024C7B"/>
    <w:rsid w:val="00024CFF"/>
    <w:rsid w:val="00024D72"/>
    <w:rsid w:val="00024DF3"/>
    <w:rsid w:val="00024F68"/>
    <w:rsid w:val="00024FB6"/>
    <w:rsid w:val="0002501E"/>
    <w:rsid w:val="000250B5"/>
    <w:rsid w:val="00025118"/>
    <w:rsid w:val="0002512F"/>
    <w:rsid w:val="0002516D"/>
    <w:rsid w:val="000251FD"/>
    <w:rsid w:val="00025222"/>
    <w:rsid w:val="000252A5"/>
    <w:rsid w:val="000252F7"/>
    <w:rsid w:val="00025309"/>
    <w:rsid w:val="00025348"/>
    <w:rsid w:val="0002534B"/>
    <w:rsid w:val="0002542C"/>
    <w:rsid w:val="000254A1"/>
    <w:rsid w:val="000254AA"/>
    <w:rsid w:val="00025545"/>
    <w:rsid w:val="000255DB"/>
    <w:rsid w:val="00025710"/>
    <w:rsid w:val="00025745"/>
    <w:rsid w:val="00025746"/>
    <w:rsid w:val="000257CA"/>
    <w:rsid w:val="00025849"/>
    <w:rsid w:val="0002587A"/>
    <w:rsid w:val="00025897"/>
    <w:rsid w:val="000258A6"/>
    <w:rsid w:val="000258BC"/>
    <w:rsid w:val="000258D0"/>
    <w:rsid w:val="0002595B"/>
    <w:rsid w:val="00025981"/>
    <w:rsid w:val="00025985"/>
    <w:rsid w:val="00025A0D"/>
    <w:rsid w:val="00025A84"/>
    <w:rsid w:val="00025B93"/>
    <w:rsid w:val="00025BD3"/>
    <w:rsid w:val="00025BE5"/>
    <w:rsid w:val="00025CBF"/>
    <w:rsid w:val="00025D6A"/>
    <w:rsid w:val="00025DD7"/>
    <w:rsid w:val="00025E5A"/>
    <w:rsid w:val="00025E5E"/>
    <w:rsid w:val="00025E82"/>
    <w:rsid w:val="00025E9D"/>
    <w:rsid w:val="00025EBA"/>
    <w:rsid w:val="00025EE7"/>
    <w:rsid w:val="00025FF1"/>
    <w:rsid w:val="00026006"/>
    <w:rsid w:val="0002602D"/>
    <w:rsid w:val="00026098"/>
    <w:rsid w:val="000260C8"/>
    <w:rsid w:val="000260FC"/>
    <w:rsid w:val="00026108"/>
    <w:rsid w:val="0002613F"/>
    <w:rsid w:val="00026149"/>
    <w:rsid w:val="000261A8"/>
    <w:rsid w:val="000262AB"/>
    <w:rsid w:val="0002638D"/>
    <w:rsid w:val="000263D9"/>
    <w:rsid w:val="000263E5"/>
    <w:rsid w:val="0002641D"/>
    <w:rsid w:val="00026425"/>
    <w:rsid w:val="0002642A"/>
    <w:rsid w:val="000264B6"/>
    <w:rsid w:val="000264E6"/>
    <w:rsid w:val="000264FE"/>
    <w:rsid w:val="0002652B"/>
    <w:rsid w:val="00026558"/>
    <w:rsid w:val="00026595"/>
    <w:rsid w:val="0002660C"/>
    <w:rsid w:val="0002661B"/>
    <w:rsid w:val="0002662B"/>
    <w:rsid w:val="0002666C"/>
    <w:rsid w:val="00026677"/>
    <w:rsid w:val="000266A7"/>
    <w:rsid w:val="000266E3"/>
    <w:rsid w:val="000267B4"/>
    <w:rsid w:val="00026875"/>
    <w:rsid w:val="000268D6"/>
    <w:rsid w:val="00026972"/>
    <w:rsid w:val="000269A7"/>
    <w:rsid w:val="00026AC6"/>
    <w:rsid w:val="00026AEE"/>
    <w:rsid w:val="00026B78"/>
    <w:rsid w:val="00026BA7"/>
    <w:rsid w:val="00026C85"/>
    <w:rsid w:val="00026CB1"/>
    <w:rsid w:val="00026CD3"/>
    <w:rsid w:val="00026CE3"/>
    <w:rsid w:val="00026D16"/>
    <w:rsid w:val="00026D97"/>
    <w:rsid w:val="00026DE1"/>
    <w:rsid w:val="00026E09"/>
    <w:rsid w:val="00026E3B"/>
    <w:rsid w:val="00026EB2"/>
    <w:rsid w:val="00026EC3"/>
    <w:rsid w:val="00026F67"/>
    <w:rsid w:val="00026F6C"/>
    <w:rsid w:val="00026F6D"/>
    <w:rsid w:val="00026F93"/>
    <w:rsid w:val="000270BE"/>
    <w:rsid w:val="000270DC"/>
    <w:rsid w:val="000270E8"/>
    <w:rsid w:val="00027132"/>
    <w:rsid w:val="0002713C"/>
    <w:rsid w:val="00027201"/>
    <w:rsid w:val="000272AE"/>
    <w:rsid w:val="000272C0"/>
    <w:rsid w:val="0002736B"/>
    <w:rsid w:val="00027376"/>
    <w:rsid w:val="0002739E"/>
    <w:rsid w:val="000273F9"/>
    <w:rsid w:val="0002743C"/>
    <w:rsid w:val="00027514"/>
    <w:rsid w:val="00027548"/>
    <w:rsid w:val="000275D0"/>
    <w:rsid w:val="000275DE"/>
    <w:rsid w:val="000275F5"/>
    <w:rsid w:val="0002771A"/>
    <w:rsid w:val="0002773F"/>
    <w:rsid w:val="000277B3"/>
    <w:rsid w:val="0002784F"/>
    <w:rsid w:val="000278FF"/>
    <w:rsid w:val="00027985"/>
    <w:rsid w:val="000279AE"/>
    <w:rsid w:val="000279B6"/>
    <w:rsid w:val="00027A5D"/>
    <w:rsid w:val="00027A67"/>
    <w:rsid w:val="00027A8A"/>
    <w:rsid w:val="00027AE7"/>
    <w:rsid w:val="00027B32"/>
    <w:rsid w:val="00027BA8"/>
    <w:rsid w:val="00027BBF"/>
    <w:rsid w:val="00027C47"/>
    <w:rsid w:val="00027C4C"/>
    <w:rsid w:val="00027C95"/>
    <w:rsid w:val="00027CBE"/>
    <w:rsid w:val="00027D2A"/>
    <w:rsid w:val="00027D62"/>
    <w:rsid w:val="00027E8F"/>
    <w:rsid w:val="00027F53"/>
    <w:rsid w:val="00027F98"/>
    <w:rsid w:val="00030009"/>
    <w:rsid w:val="000300B3"/>
    <w:rsid w:val="000300CA"/>
    <w:rsid w:val="000300E0"/>
    <w:rsid w:val="000300FE"/>
    <w:rsid w:val="00030153"/>
    <w:rsid w:val="0003018C"/>
    <w:rsid w:val="000301DF"/>
    <w:rsid w:val="0003020A"/>
    <w:rsid w:val="00030262"/>
    <w:rsid w:val="000302A2"/>
    <w:rsid w:val="000303A0"/>
    <w:rsid w:val="000303F1"/>
    <w:rsid w:val="000303FA"/>
    <w:rsid w:val="00030521"/>
    <w:rsid w:val="00030573"/>
    <w:rsid w:val="00030581"/>
    <w:rsid w:val="000305E4"/>
    <w:rsid w:val="000305F5"/>
    <w:rsid w:val="000305F9"/>
    <w:rsid w:val="00030700"/>
    <w:rsid w:val="00030760"/>
    <w:rsid w:val="00030771"/>
    <w:rsid w:val="00030780"/>
    <w:rsid w:val="0003079B"/>
    <w:rsid w:val="00030850"/>
    <w:rsid w:val="0003088F"/>
    <w:rsid w:val="000308F4"/>
    <w:rsid w:val="00030941"/>
    <w:rsid w:val="000309A0"/>
    <w:rsid w:val="000309EA"/>
    <w:rsid w:val="00030A5F"/>
    <w:rsid w:val="00030A62"/>
    <w:rsid w:val="00030AD6"/>
    <w:rsid w:val="00030AD9"/>
    <w:rsid w:val="00030ADF"/>
    <w:rsid w:val="00030AEF"/>
    <w:rsid w:val="00030B78"/>
    <w:rsid w:val="00030B91"/>
    <w:rsid w:val="00030BE9"/>
    <w:rsid w:val="00030C7F"/>
    <w:rsid w:val="00030DDC"/>
    <w:rsid w:val="00030DFF"/>
    <w:rsid w:val="00030EB4"/>
    <w:rsid w:val="00030F29"/>
    <w:rsid w:val="00030F41"/>
    <w:rsid w:val="00031034"/>
    <w:rsid w:val="00031086"/>
    <w:rsid w:val="00031271"/>
    <w:rsid w:val="00031312"/>
    <w:rsid w:val="00031327"/>
    <w:rsid w:val="00031333"/>
    <w:rsid w:val="000313BF"/>
    <w:rsid w:val="0003141D"/>
    <w:rsid w:val="00031429"/>
    <w:rsid w:val="0003146E"/>
    <w:rsid w:val="00031506"/>
    <w:rsid w:val="00031541"/>
    <w:rsid w:val="000315B3"/>
    <w:rsid w:val="00031669"/>
    <w:rsid w:val="000317D8"/>
    <w:rsid w:val="00031810"/>
    <w:rsid w:val="000318A1"/>
    <w:rsid w:val="0003191A"/>
    <w:rsid w:val="00031955"/>
    <w:rsid w:val="0003195B"/>
    <w:rsid w:val="0003196B"/>
    <w:rsid w:val="00031A04"/>
    <w:rsid w:val="00031A41"/>
    <w:rsid w:val="00031A46"/>
    <w:rsid w:val="00031A9B"/>
    <w:rsid w:val="00031B74"/>
    <w:rsid w:val="00031C0C"/>
    <w:rsid w:val="00031D28"/>
    <w:rsid w:val="00031D42"/>
    <w:rsid w:val="00031DC0"/>
    <w:rsid w:val="00031DCF"/>
    <w:rsid w:val="00031EA9"/>
    <w:rsid w:val="00031F62"/>
    <w:rsid w:val="00031FBE"/>
    <w:rsid w:val="00031FE2"/>
    <w:rsid w:val="00032020"/>
    <w:rsid w:val="00032027"/>
    <w:rsid w:val="0003203E"/>
    <w:rsid w:val="000320C0"/>
    <w:rsid w:val="00032115"/>
    <w:rsid w:val="0003212D"/>
    <w:rsid w:val="000323D6"/>
    <w:rsid w:val="000323F3"/>
    <w:rsid w:val="00032414"/>
    <w:rsid w:val="00032420"/>
    <w:rsid w:val="0003247C"/>
    <w:rsid w:val="00032508"/>
    <w:rsid w:val="000325DB"/>
    <w:rsid w:val="00032631"/>
    <w:rsid w:val="0003263B"/>
    <w:rsid w:val="0003269D"/>
    <w:rsid w:val="000326A4"/>
    <w:rsid w:val="00032704"/>
    <w:rsid w:val="00032820"/>
    <w:rsid w:val="00032855"/>
    <w:rsid w:val="00032856"/>
    <w:rsid w:val="000328AF"/>
    <w:rsid w:val="000328CC"/>
    <w:rsid w:val="000328EC"/>
    <w:rsid w:val="0003290C"/>
    <w:rsid w:val="00032933"/>
    <w:rsid w:val="00032966"/>
    <w:rsid w:val="000329D7"/>
    <w:rsid w:val="000329DF"/>
    <w:rsid w:val="000329F7"/>
    <w:rsid w:val="00032A0C"/>
    <w:rsid w:val="00032A46"/>
    <w:rsid w:val="00032B0E"/>
    <w:rsid w:val="00032C27"/>
    <w:rsid w:val="00032C2E"/>
    <w:rsid w:val="00032C4A"/>
    <w:rsid w:val="00032CE8"/>
    <w:rsid w:val="00032D76"/>
    <w:rsid w:val="00032D85"/>
    <w:rsid w:val="00032E2E"/>
    <w:rsid w:val="00032E4C"/>
    <w:rsid w:val="00032E90"/>
    <w:rsid w:val="00032F2E"/>
    <w:rsid w:val="00032F6E"/>
    <w:rsid w:val="00032F99"/>
    <w:rsid w:val="00032FA8"/>
    <w:rsid w:val="00032FD6"/>
    <w:rsid w:val="0003302E"/>
    <w:rsid w:val="000330F8"/>
    <w:rsid w:val="00033100"/>
    <w:rsid w:val="00033144"/>
    <w:rsid w:val="0003317F"/>
    <w:rsid w:val="0003318E"/>
    <w:rsid w:val="0003319C"/>
    <w:rsid w:val="000331C6"/>
    <w:rsid w:val="00033366"/>
    <w:rsid w:val="000333D0"/>
    <w:rsid w:val="00033443"/>
    <w:rsid w:val="00033454"/>
    <w:rsid w:val="000334BC"/>
    <w:rsid w:val="000334C9"/>
    <w:rsid w:val="00033512"/>
    <w:rsid w:val="00033527"/>
    <w:rsid w:val="0003354D"/>
    <w:rsid w:val="00033564"/>
    <w:rsid w:val="0003362A"/>
    <w:rsid w:val="0003367B"/>
    <w:rsid w:val="000336E7"/>
    <w:rsid w:val="00033740"/>
    <w:rsid w:val="00033743"/>
    <w:rsid w:val="0003387E"/>
    <w:rsid w:val="000338AC"/>
    <w:rsid w:val="000338B8"/>
    <w:rsid w:val="00033905"/>
    <w:rsid w:val="00033943"/>
    <w:rsid w:val="0003398A"/>
    <w:rsid w:val="000339EF"/>
    <w:rsid w:val="00033A5E"/>
    <w:rsid w:val="00033AA1"/>
    <w:rsid w:val="00033BFE"/>
    <w:rsid w:val="00033CF0"/>
    <w:rsid w:val="00033CF7"/>
    <w:rsid w:val="00033CFB"/>
    <w:rsid w:val="00033D30"/>
    <w:rsid w:val="00033D7C"/>
    <w:rsid w:val="00033DD8"/>
    <w:rsid w:val="00033DF3"/>
    <w:rsid w:val="00033E0A"/>
    <w:rsid w:val="00033EA5"/>
    <w:rsid w:val="00033EFA"/>
    <w:rsid w:val="00033F24"/>
    <w:rsid w:val="00033F28"/>
    <w:rsid w:val="00033F49"/>
    <w:rsid w:val="0003406C"/>
    <w:rsid w:val="000340C1"/>
    <w:rsid w:val="000341AD"/>
    <w:rsid w:val="000341DB"/>
    <w:rsid w:val="0003438A"/>
    <w:rsid w:val="000343AE"/>
    <w:rsid w:val="000343B1"/>
    <w:rsid w:val="00034421"/>
    <w:rsid w:val="00034434"/>
    <w:rsid w:val="0003445F"/>
    <w:rsid w:val="0003447B"/>
    <w:rsid w:val="000344E4"/>
    <w:rsid w:val="000344ED"/>
    <w:rsid w:val="00034573"/>
    <w:rsid w:val="00034575"/>
    <w:rsid w:val="000346B3"/>
    <w:rsid w:val="0003470B"/>
    <w:rsid w:val="00034742"/>
    <w:rsid w:val="000347BC"/>
    <w:rsid w:val="000348FF"/>
    <w:rsid w:val="00034943"/>
    <w:rsid w:val="00034944"/>
    <w:rsid w:val="0003497F"/>
    <w:rsid w:val="00034990"/>
    <w:rsid w:val="000349A3"/>
    <w:rsid w:val="00034A22"/>
    <w:rsid w:val="00034A8D"/>
    <w:rsid w:val="00034AB3"/>
    <w:rsid w:val="00034B46"/>
    <w:rsid w:val="00034B7F"/>
    <w:rsid w:val="00034BF2"/>
    <w:rsid w:val="00034C1B"/>
    <w:rsid w:val="00034D07"/>
    <w:rsid w:val="00034D16"/>
    <w:rsid w:val="00034D34"/>
    <w:rsid w:val="00034E70"/>
    <w:rsid w:val="00034ECA"/>
    <w:rsid w:val="00034EF7"/>
    <w:rsid w:val="00034F80"/>
    <w:rsid w:val="00034F81"/>
    <w:rsid w:val="0003504B"/>
    <w:rsid w:val="0003506F"/>
    <w:rsid w:val="00035104"/>
    <w:rsid w:val="00035264"/>
    <w:rsid w:val="000352C7"/>
    <w:rsid w:val="000352E7"/>
    <w:rsid w:val="000352F0"/>
    <w:rsid w:val="00035302"/>
    <w:rsid w:val="00035307"/>
    <w:rsid w:val="00035314"/>
    <w:rsid w:val="00035324"/>
    <w:rsid w:val="000354C6"/>
    <w:rsid w:val="00035582"/>
    <w:rsid w:val="000355D6"/>
    <w:rsid w:val="00035688"/>
    <w:rsid w:val="00035766"/>
    <w:rsid w:val="000357A3"/>
    <w:rsid w:val="000357AA"/>
    <w:rsid w:val="000359A2"/>
    <w:rsid w:val="00035A0F"/>
    <w:rsid w:val="00035A6B"/>
    <w:rsid w:val="00035A6E"/>
    <w:rsid w:val="00035B36"/>
    <w:rsid w:val="00035B3C"/>
    <w:rsid w:val="00035B9C"/>
    <w:rsid w:val="00035C5E"/>
    <w:rsid w:val="00035CAA"/>
    <w:rsid w:val="00035D29"/>
    <w:rsid w:val="00035DCB"/>
    <w:rsid w:val="00035E30"/>
    <w:rsid w:val="00035E38"/>
    <w:rsid w:val="00035E9C"/>
    <w:rsid w:val="00035EB4"/>
    <w:rsid w:val="00035EB7"/>
    <w:rsid w:val="00035EC8"/>
    <w:rsid w:val="00035F31"/>
    <w:rsid w:val="00035FA8"/>
    <w:rsid w:val="00035FB7"/>
    <w:rsid w:val="0003600F"/>
    <w:rsid w:val="0003601C"/>
    <w:rsid w:val="00036097"/>
    <w:rsid w:val="00036109"/>
    <w:rsid w:val="00036161"/>
    <w:rsid w:val="00036186"/>
    <w:rsid w:val="000361E2"/>
    <w:rsid w:val="0003620E"/>
    <w:rsid w:val="0003623A"/>
    <w:rsid w:val="0003628E"/>
    <w:rsid w:val="0003640E"/>
    <w:rsid w:val="00036484"/>
    <w:rsid w:val="000364C2"/>
    <w:rsid w:val="0003658A"/>
    <w:rsid w:val="000365A7"/>
    <w:rsid w:val="000365C7"/>
    <w:rsid w:val="000365CA"/>
    <w:rsid w:val="0003665A"/>
    <w:rsid w:val="000366A9"/>
    <w:rsid w:val="000366DA"/>
    <w:rsid w:val="00036703"/>
    <w:rsid w:val="0003672B"/>
    <w:rsid w:val="000367BC"/>
    <w:rsid w:val="000367D4"/>
    <w:rsid w:val="000367DD"/>
    <w:rsid w:val="00036842"/>
    <w:rsid w:val="0003687E"/>
    <w:rsid w:val="000368C9"/>
    <w:rsid w:val="000368F2"/>
    <w:rsid w:val="00036907"/>
    <w:rsid w:val="0003690C"/>
    <w:rsid w:val="0003691C"/>
    <w:rsid w:val="000369D8"/>
    <w:rsid w:val="000369E1"/>
    <w:rsid w:val="00036AA4"/>
    <w:rsid w:val="00036AAA"/>
    <w:rsid w:val="00036B88"/>
    <w:rsid w:val="00036C70"/>
    <w:rsid w:val="00036D5B"/>
    <w:rsid w:val="00036E79"/>
    <w:rsid w:val="00036E84"/>
    <w:rsid w:val="00036EE7"/>
    <w:rsid w:val="00036F1C"/>
    <w:rsid w:val="00036FE0"/>
    <w:rsid w:val="000370B2"/>
    <w:rsid w:val="000370D8"/>
    <w:rsid w:val="000370F8"/>
    <w:rsid w:val="0003715B"/>
    <w:rsid w:val="00037174"/>
    <w:rsid w:val="00037222"/>
    <w:rsid w:val="00037227"/>
    <w:rsid w:val="0003727B"/>
    <w:rsid w:val="000372AF"/>
    <w:rsid w:val="0003733D"/>
    <w:rsid w:val="0003734C"/>
    <w:rsid w:val="000373F4"/>
    <w:rsid w:val="00037409"/>
    <w:rsid w:val="000374AF"/>
    <w:rsid w:val="000374F7"/>
    <w:rsid w:val="0003750F"/>
    <w:rsid w:val="0003754C"/>
    <w:rsid w:val="0003767A"/>
    <w:rsid w:val="000376A0"/>
    <w:rsid w:val="00037708"/>
    <w:rsid w:val="000377CC"/>
    <w:rsid w:val="0003780C"/>
    <w:rsid w:val="00037858"/>
    <w:rsid w:val="00037877"/>
    <w:rsid w:val="00037897"/>
    <w:rsid w:val="00037898"/>
    <w:rsid w:val="00037994"/>
    <w:rsid w:val="00037A27"/>
    <w:rsid w:val="00037AF5"/>
    <w:rsid w:val="00037B2D"/>
    <w:rsid w:val="00037B63"/>
    <w:rsid w:val="00037B6A"/>
    <w:rsid w:val="00037C35"/>
    <w:rsid w:val="00037D0A"/>
    <w:rsid w:val="00037D0D"/>
    <w:rsid w:val="00037D26"/>
    <w:rsid w:val="00037D45"/>
    <w:rsid w:val="00037D72"/>
    <w:rsid w:val="00037D86"/>
    <w:rsid w:val="00037DA0"/>
    <w:rsid w:val="00037E29"/>
    <w:rsid w:val="00037ECE"/>
    <w:rsid w:val="00037F2A"/>
    <w:rsid w:val="00037FAB"/>
    <w:rsid w:val="00037FE5"/>
    <w:rsid w:val="00040030"/>
    <w:rsid w:val="000400CE"/>
    <w:rsid w:val="000400FC"/>
    <w:rsid w:val="0004013D"/>
    <w:rsid w:val="00040205"/>
    <w:rsid w:val="0004029C"/>
    <w:rsid w:val="000402E5"/>
    <w:rsid w:val="00040306"/>
    <w:rsid w:val="00040337"/>
    <w:rsid w:val="00040347"/>
    <w:rsid w:val="0004034F"/>
    <w:rsid w:val="00040355"/>
    <w:rsid w:val="00040366"/>
    <w:rsid w:val="0004037F"/>
    <w:rsid w:val="000403C6"/>
    <w:rsid w:val="000403CB"/>
    <w:rsid w:val="000403E1"/>
    <w:rsid w:val="00040461"/>
    <w:rsid w:val="00040531"/>
    <w:rsid w:val="00040623"/>
    <w:rsid w:val="00040653"/>
    <w:rsid w:val="0004069B"/>
    <w:rsid w:val="0004075D"/>
    <w:rsid w:val="000407F0"/>
    <w:rsid w:val="00040840"/>
    <w:rsid w:val="00040845"/>
    <w:rsid w:val="0004086E"/>
    <w:rsid w:val="0004089E"/>
    <w:rsid w:val="000408B7"/>
    <w:rsid w:val="000408C3"/>
    <w:rsid w:val="0004096A"/>
    <w:rsid w:val="000409AA"/>
    <w:rsid w:val="000409BD"/>
    <w:rsid w:val="00040A08"/>
    <w:rsid w:val="00040A29"/>
    <w:rsid w:val="00040A35"/>
    <w:rsid w:val="00040A39"/>
    <w:rsid w:val="00040AC3"/>
    <w:rsid w:val="00040AEA"/>
    <w:rsid w:val="00040B25"/>
    <w:rsid w:val="00040B4D"/>
    <w:rsid w:val="00040BBD"/>
    <w:rsid w:val="00040C03"/>
    <w:rsid w:val="00040E0F"/>
    <w:rsid w:val="00040E1D"/>
    <w:rsid w:val="00040E51"/>
    <w:rsid w:val="00040ED1"/>
    <w:rsid w:val="00040F00"/>
    <w:rsid w:val="00041061"/>
    <w:rsid w:val="00041196"/>
    <w:rsid w:val="000411EE"/>
    <w:rsid w:val="00041268"/>
    <w:rsid w:val="00041271"/>
    <w:rsid w:val="0004127B"/>
    <w:rsid w:val="000412B3"/>
    <w:rsid w:val="00041345"/>
    <w:rsid w:val="0004143F"/>
    <w:rsid w:val="0004147D"/>
    <w:rsid w:val="000414D1"/>
    <w:rsid w:val="0004155E"/>
    <w:rsid w:val="00041627"/>
    <w:rsid w:val="0004162C"/>
    <w:rsid w:val="000416C4"/>
    <w:rsid w:val="000416F6"/>
    <w:rsid w:val="00041717"/>
    <w:rsid w:val="00041779"/>
    <w:rsid w:val="00041792"/>
    <w:rsid w:val="000417A5"/>
    <w:rsid w:val="00041835"/>
    <w:rsid w:val="0004191A"/>
    <w:rsid w:val="00041921"/>
    <w:rsid w:val="000419FA"/>
    <w:rsid w:val="00041A39"/>
    <w:rsid w:val="00041A3B"/>
    <w:rsid w:val="00041A9B"/>
    <w:rsid w:val="00041ABD"/>
    <w:rsid w:val="00041B8A"/>
    <w:rsid w:val="00041C78"/>
    <w:rsid w:val="00041C98"/>
    <w:rsid w:val="00041CC4"/>
    <w:rsid w:val="00041D36"/>
    <w:rsid w:val="00041D72"/>
    <w:rsid w:val="00041D87"/>
    <w:rsid w:val="00041D95"/>
    <w:rsid w:val="00041DD4"/>
    <w:rsid w:val="00041E21"/>
    <w:rsid w:val="00041F21"/>
    <w:rsid w:val="00041F34"/>
    <w:rsid w:val="00041FA4"/>
    <w:rsid w:val="00041FC1"/>
    <w:rsid w:val="00042048"/>
    <w:rsid w:val="00042057"/>
    <w:rsid w:val="000420BE"/>
    <w:rsid w:val="0004230E"/>
    <w:rsid w:val="0004233D"/>
    <w:rsid w:val="0004237B"/>
    <w:rsid w:val="00042405"/>
    <w:rsid w:val="000424BD"/>
    <w:rsid w:val="0004250C"/>
    <w:rsid w:val="00042518"/>
    <w:rsid w:val="00042562"/>
    <w:rsid w:val="000425D4"/>
    <w:rsid w:val="000426B6"/>
    <w:rsid w:val="000426FD"/>
    <w:rsid w:val="0004274C"/>
    <w:rsid w:val="00042760"/>
    <w:rsid w:val="0004276D"/>
    <w:rsid w:val="000427C6"/>
    <w:rsid w:val="000427DE"/>
    <w:rsid w:val="000427EC"/>
    <w:rsid w:val="0004284C"/>
    <w:rsid w:val="00042860"/>
    <w:rsid w:val="000428ED"/>
    <w:rsid w:val="000429AB"/>
    <w:rsid w:val="00042A2C"/>
    <w:rsid w:val="00042A82"/>
    <w:rsid w:val="00042B14"/>
    <w:rsid w:val="00042B22"/>
    <w:rsid w:val="00042C6C"/>
    <w:rsid w:val="00042C6D"/>
    <w:rsid w:val="00042CEC"/>
    <w:rsid w:val="00042D0E"/>
    <w:rsid w:val="00042D3C"/>
    <w:rsid w:val="00042D41"/>
    <w:rsid w:val="00042DA3"/>
    <w:rsid w:val="00042DE7"/>
    <w:rsid w:val="00042E92"/>
    <w:rsid w:val="00042EA7"/>
    <w:rsid w:val="00042F41"/>
    <w:rsid w:val="00042F82"/>
    <w:rsid w:val="00042F9A"/>
    <w:rsid w:val="00042FA5"/>
    <w:rsid w:val="00043017"/>
    <w:rsid w:val="000430A8"/>
    <w:rsid w:val="00043127"/>
    <w:rsid w:val="00043136"/>
    <w:rsid w:val="000431CA"/>
    <w:rsid w:val="000431D2"/>
    <w:rsid w:val="000432A0"/>
    <w:rsid w:val="000432BA"/>
    <w:rsid w:val="000432FF"/>
    <w:rsid w:val="000433E3"/>
    <w:rsid w:val="00043443"/>
    <w:rsid w:val="00043445"/>
    <w:rsid w:val="000434AB"/>
    <w:rsid w:val="000436F6"/>
    <w:rsid w:val="00043723"/>
    <w:rsid w:val="00043793"/>
    <w:rsid w:val="00043833"/>
    <w:rsid w:val="0004392C"/>
    <w:rsid w:val="0004395C"/>
    <w:rsid w:val="00043971"/>
    <w:rsid w:val="00043996"/>
    <w:rsid w:val="00043AA4"/>
    <w:rsid w:val="00043AD6"/>
    <w:rsid w:val="00043AE2"/>
    <w:rsid w:val="00043BAC"/>
    <w:rsid w:val="00043BD7"/>
    <w:rsid w:val="00043C0C"/>
    <w:rsid w:val="00043C64"/>
    <w:rsid w:val="00043C84"/>
    <w:rsid w:val="00043DBB"/>
    <w:rsid w:val="00043F08"/>
    <w:rsid w:val="00043FBF"/>
    <w:rsid w:val="0004406B"/>
    <w:rsid w:val="000440CA"/>
    <w:rsid w:val="000440E3"/>
    <w:rsid w:val="0004412B"/>
    <w:rsid w:val="0004412C"/>
    <w:rsid w:val="000441A6"/>
    <w:rsid w:val="000441E7"/>
    <w:rsid w:val="0004421C"/>
    <w:rsid w:val="00044250"/>
    <w:rsid w:val="00044300"/>
    <w:rsid w:val="0004431B"/>
    <w:rsid w:val="0004433E"/>
    <w:rsid w:val="0004436E"/>
    <w:rsid w:val="0004438B"/>
    <w:rsid w:val="000443B6"/>
    <w:rsid w:val="00044490"/>
    <w:rsid w:val="0004451F"/>
    <w:rsid w:val="000445D9"/>
    <w:rsid w:val="0004460E"/>
    <w:rsid w:val="00044612"/>
    <w:rsid w:val="00044613"/>
    <w:rsid w:val="00044620"/>
    <w:rsid w:val="0004466A"/>
    <w:rsid w:val="00044756"/>
    <w:rsid w:val="000447BA"/>
    <w:rsid w:val="000447BB"/>
    <w:rsid w:val="000447CD"/>
    <w:rsid w:val="000448D9"/>
    <w:rsid w:val="000448EC"/>
    <w:rsid w:val="00044925"/>
    <w:rsid w:val="00044973"/>
    <w:rsid w:val="000449AA"/>
    <w:rsid w:val="00044AE8"/>
    <w:rsid w:val="00044AF7"/>
    <w:rsid w:val="00044B08"/>
    <w:rsid w:val="00044B35"/>
    <w:rsid w:val="00044C00"/>
    <w:rsid w:val="00044CBE"/>
    <w:rsid w:val="00044D18"/>
    <w:rsid w:val="00044D19"/>
    <w:rsid w:val="00044D44"/>
    <w:rsid w:val="00044D4F"/>
    <w:rsid w:val="00044D73"/>
    <w:rsid w:val="00044D7B"/>
    <w:rsid w:val="00044DFA"/>
    <w:rsid w:val="00044EAE"/>
    <w:rsid w:val="00044EEE"/>
    <w:rsid w:val="00044EF3"/>
    <w:rsid w:val="00044EFB"/>
    <w:rsid w:val="00044F20"/>
    <w:rsid w:val="00044F7F"/>
    <w:rsid w:val="00044FC4"/>
    <w:rsid w:val="00045023"/>
    <w:rsid w:val="0004508E"/>
    <w:rsid w:val="000450D3"/>
    <w:rsid w:val="00045123"/>
    <w:rsid w:val="00045149"/>
    <w:rsid w:val="0004514C"/>
    <w:rsid w:val="00045249"/>
    <w:rsid w:val="0004535D"/>
    <w:rsid w:val="00045360"/>
    <w:rsid w:val="000453A2"/>
    <w:rsid w:val="0004551E"/>
    <w:rsid w:val="00045521"/>
    <w:rsid w:val="00045527"/>
    <w:rsid w:val="000455E5"/>
    <w:rsid w:val="00045636"/>
    <w:rsid w:val="000456C1"/>
    <w:rsid w:val="00045780"/>
    <w:rsid w:val="000457AF"/>
    <w:rsid w:val="0004580D"/>
    <w:rsid w:val="00045834"/>
    <w:rsid w:val="00045864"/>
    <w:rsid w:val="00045870"/>
    <w:rsid w:val="000458BC"/>
    <w:rsid w:val="000458CB"/>
    <w:rsid w:val="000458DC"/>
    <w:rsid w:val="000458FD"/>
    <w:rsid w:val="000458FF"/>
    <w:rsid w:val="00045986"/>
    <w:rsid w:val="000459A8"/>
    <w:rsid w:val="000459AF"/>
    <w:rsid w:val="000459CC"/>
    <w:rsid w:val="00045A36"/>
    <w:rsid w:val="00045B05"/>
    <w:rsid w:val="00045B4F"/>
    <w:rsid w:val="00045BDE"/>
    <w:rsid w:val="00045C02"/>
    <w:rsid w:val="00045C40"/>
    <w:rsid w:val="00045C52"/>
    <w:rsid w:val="00045CE7"/>
    <w:rsid w:val="00045D44"/>
    <w:rsid w:val="00045D77"/>
    <w:rsid w:val="00045D7E"/>
    <w:rsid w:val="00045F22"/>
    <w:rsid w:val="00046066"/>
    <w:rsid w:val="00046085"/>
    <w:rsid w:val="000461E5"/>
    <w:rsid w:val="000461F9"/>
    <w:rsid w:val="00046227"/>
    <w:rsid w:val="00046262"/>
    <w:rsid w:val="000462A8"/>
    <w:rsid w:val="000462AB"/>
    <w:rsid w:val="0004632F"/>
    <w:rsid w:val="00046378"/>
    <w:rsid w:val="0004639F"/>
    <w:rsid w:val="000463CC"/>
    <w:rsid w:val="000464BA"/>
    <w:rsid w:val="0004657F"/>
    <w:rsid w:val="000465AD"/>
    <w:rsid w:val="000465BB"/>
    <w:rsid w:val="000465EE"/>
    <w:rsid w:val="000466E3"/>
    <w:rsid w:val="0004670B"/>
    <w:rsid w:val="000467EB"/>
    <w:rsid w:val="00046846"/>
    <w:rsid w:val="000468D9"/>
    <w:rsid w:val="0004691B"/>
    <w:rsid w:val="00046983"/>
    <w:rsid w:val="000469B1"/>
    <w:rsid w:val="000469C6"/>
    <w:rsid w:val="00046A28"/>
    <w:rsid w:val="00046A35"/>
    <w:rsid w:val="00046A62"/>
    <w:rsid w:val="00046B42"/>
    <w:rsid w:val="00046BBB"/>
    <w:rsid w:val="00046CE9"/>
    <w:rsid w:val="00046CEA"/>
    <w:rsid w:val="00046DC1"/>
    <w:rsid w:val="00046DE2"/>
    <w:rsid w:val="00046E01"/>
    <w:rsid w:val="00046E45"/>
    <w:rsid w:val="00046E8B"/>
    <w:rsid w:val="00046EAB"/>
    <w:rsid w:val="00046EFF"/>
    <w:rsid w:val="00046F85"/>
    <w:rsid w:val="00046FD5"/>
    <w:rsid w:val="00046FE1"/>
    <w:rsid w:val="00047043"/>
    <w:rsid w:val="00047068"/>
    <w:rsid w:val="000470EA"/>
    <w:rsid w:val="0004710D"/>
    <w:rsid w:val="000471BF"/>
    <w:rsid w:val="0004732F"/>
    <w:rsid w:val="00047338"/>
    <w:rsid w:val="00047344"/>
    <w:rsid w:val="0004734A"/>
    <w:rsid w:val="00047398"/>
    <w:rsid w:val="000473DD"/>
    <w:rsid w:val="000473F3"/>
    <w:rsid w:val="00047445"/>
    <w:rsid w:val="0004744A"/>
    <w:rsid w:val="000474B5"/>
    <w:rsid w:val="000474C8"/>
    <w:rsid w:val="00047533"/>
    <w:rsid w:val="00047579"/>
    <w:rsid w:val="000475F0"/>
    <w:rsid w:val="00047644"/>
    <w:rsid w:val="00047691"/>
    <w:rsid w:val="00047785"/>
    <w:rsid w:val="000477C6"/>
    <w:rsid w:val="0004794C"/>
    <w:rsid w:val="0004794E"/>
    <w:rsid w:val="00047A8D"/>
    <w:rsid w:val="00047AE7"/>
    <w:rsid w:val="00047BA2"/>
    <w:rsid w:val="00047C35"/>
    <w:rsid w:val="00047C49"/>
    <w:rsid w:val="00047C9F"/>
    <w:rsid w:val="00047CD1"/>
    <w:rsid w:val="00047CD2"/>
    <w:rsid w:val="00047ECE"/>
    <w:rsid w:val="00047F19"/>
    <w:rsid w:val="00047F49"/>
    <w:rsid w:val="00047F74"/>
    <w:rsid w:val="00050021"/>
    <w:rsid w:val="0005006E"/>
    <w:rsid w:val="00050080"/>
    <w:rsid w:val="00050090"/>
    <w:rsid w:val="000500B7"/>
    <w:rsid w:val="000500C8"/>
    <w:rsid w:val="00050123"/>
    <w:rsid w:val="00050124"/>
    <w:rsid w:val="0005012F"/>
    <w:rsid w:val="00050149"/>
    <w:rsid w:val="00050199"/>
    <w:rsid w:val="00050215"/>
    <w:rsid w:val="0005022B"/>
    <w:rsid w:val="0005023D"/>
    <w:rsid w:val="000502A7"/>
    <w:rsid w:val="000502A8"/>
    <w:rsid w:val="000502B0"/>
    <w:rsid w:val="000502E4"/>
    <w:rsid w:val="00050320"/>
    <w:rsid w:val="00050355"/>
    <w:rsid w:val="0005037F"/>
    <w:rsid w:val="000504DB"/>
    <w:rsid w:val="000505B5"/>
    <w:rsid w:val="000505F3"/>
    <w:rsid w:val="00050621"/>
    <w:rsid w:val="00050768"/>
    <w:rsid w:val="0005083F"/>
    <w:rsid w:val="000509B7"/>
    <w:rsid w:val="000509FC"/>
    <w:rsid w:val="00050A22"/>
    <w:rsid w:val="00050A32"/>
    <w:rsid w:val="00050A68"/>
    <w:rsid w:val="00050B05"/>
    <w:rsid w:val="00050B09"/>
    <w:rsid w:val="00050B0F"/>
    <w:rsid w:val="00050B35"/>
    <w:rsid w:val="00050B5E"/>
    <w:rsid w:val="00050B61"/>
    <w:rsid w:val="00050C86"/>
    <w:rsid w:val="00050CF0"/>
    <w:rsid w:val="00050D01"/>
    <w:rsid w:val="00050D0A"/>
    <w:rsid w:val="00050D52"/>
    <w:rsid w:val="00050D56"/>
    <w:rsid w:val="00050D59"/>
    <w:rsid w:val="00050DC5"/>
    <w:rsid w:val="00050E51"/>
    <w:rsid w:val="00050E58"/>
    <w:rsid w:val="00050E84"/>
    <w:rsid w:val="00050EBB"/>
    <w:rsid w:val="00050F6E"/>
    <w:rsid w:val="00050F81"/>
    <w:rsid w:val="00050F87"/>
    <w:rsid w:val="0005102D"/>
    <w:rsid w:val="0005105D"/>
    <w:rsid w:val="0005107D"/>
    <w:rsid w:val="000510BD"/>
    <w:rsid w:val="000510E8"/>
    <w:rsid w:val="00051113"/>
    <w:rsid w:val="00051129"/>
    <w:rsid w:val="0005113C"/>
    <w:rsid w:val="00051163"/>
    <w:rsid w:val="0005119D"/>
    <w:rsid w:val="000511D9"/>
    <w:rsid w:val="000512AF"/>
    <w:rsid w:val="00051348"/>
    <w:rsid w:val="000513C3"/>
    <w:rsid w:val="00051412"/>
    <w:rsid w:val="00051584"/>
    <w:rsid w:val="00051588"/>
    <w:rsid w:val="000515BD"/>
    <w:rsid w:val="00051694"/>
    <w:rsid w:val="00051696"/>
    <w:rsid w:val="000516C1"/>
    <w:rsid w:val="00051722"/>
    <w:rsid w:val="00051774"/>
    <w:rsid w:val="00051853"/>
    <w:rsid w:val="00051858"/>
    <w:rsid w:val="00051888"/>
    <w:rsid w:val="000518A7"/>
    <w:rsid w:val="000518D2"/>
    <w:rsid w:val="000518EA"/>
    <w:rsid w:val="0005199D"/>
    <w:rsid w:val="00051A4C"/>
    <w:rsid w:val="00051A54"/>
    <w:rsid w:val="00051A9C"/>
    <w:rsid w:val="00051B9F"/>
    <w:rsid w:val="00051BEC"/>
    <w:rsid w:val="00051BFB"/>
    <w:rsid w:val="00051C01"/>
    <w:rsid w:val="00051C18"/>
    <w:rsid w:val="00051C65"/>
    <w:rsid w:val="00051CD0"/>
    <w:rsid w:val="00051D13"/>
    <w:rsid w:val="00051D68"/>
    <w:rsid w:val="00051E1C"/>
    <w:rsid w:val="00051E88"/>
    <w:rsid w:val="00051F27"/>
    <w:rsid w:val="00051FC8"/>
    <w:rsid w:val="00052036"/>
    <w:rsid w:val="0005204F"/>
    <w:rsid w:val="00052084"/>
    <w:rsid w:val="00052103"/>
    <w:rsid w:val="0005212D"/>
    <w:rsid w:val="00052174"/>
    <w:rsid w:val="0005223F"/>
    <w:rsid w:val="00052252"/>
    <w:rsid w:val="000522A7"/>
    <w:rsid w:val="000522D0"/>
    <w:rsid w:val="0005234F"/>
    <w:rsid w:val="00052363"/>
    <w:rsid w:val="00052393"/>
    <w:rsid w:val="000523DE"/>
    <w:rsid w:val="00052417"/>
    <w:rsid w:val="0005241F"/>
    <w:rsid w:val="00052465"/>
    <w:rsid w:val="000524A3"/>
    <w:rsid w:val="00052576"/>
    <w:rsid w:val="0005257C"/>
    <w:rsid w:val="00052592"/>
    <w:rsid w:val="000525B7"/>
    <w:rsid w:val="000525B9"/>
    <w:rsid w:val="000525F2"/>
    <w:rsid w:val="00052658"/>
    <w:rsid w:val="000526E2"/>
    <w:rsid w:val="00052763"/>
    <w:rsid w:val="0005279C"/>
    <w:rsid w:val="000527A3"/>
    <w:rsid w:val="000528D6"/>
    <w:rsid w:val="000528F9"/>
    <w:rsid w:val="0005291F"/>
    <w:rsid w:val="00052939"/>
    <w:rsid w:val="00052AD4"/>
    <w:rsid w:val="00052AFC"/>
    <w:rsid w:val="00052B9A"/>
    <w:rsid w:val="00052BEB"/>
    <w:rsid w:val="00052C39"/>
    <w:rsid w:val="00052C58"/>
    <w:rsid w:val="00052CA9"/>
    <w:rsid w:val="00052CAC"/>
    <w:rsid w:val="00052EB3"/>
    <w:rsid w:val="00052EEB"/>
    <w:rsid w:val="00052F15"/>
    <w:rsid w:val="00052F5C"/>
    <w:rsid w:val="00052FD0"/>
    <w:rsid w:val="00052FFA"/>
    <w:rsid w:val="0005301B"/>
    <w:rsid w:val="0005301F"/>
    <w:rsid w:val="00053117"/>
    <w:rsid w:val="00053135"/>
    <w:rsid w:val="0005316F"/>
    <w:rsid w:val="0005318F"/>
    <w:rsid w:val="000531FD"/>
    <w:rsid w:val="00053241"/>
    <w:rsid w:val="000532BC"/>
    <w:rsid w:val="0005338A"/>
    <w:rsid w:val="000533F2"/>
    <w:rsid w:val="000534B3"/>
    <w:rsid w:val="000534C7"/>
    <w:rsid w:val="000534C9"/>
    <w:rsid w:val="00053580"/>
    <w:rsid w:val="000535C6"/>
    <w:rsid w:val="0005369F"/>
    <w:rsid w:val="00053706"/>
    <w:rsid w:val="000537BF"/>
    <w:rsid w:val="00053812"/>
    <w:rsid w:val="00053838"/>
    <w:rsid w:val="00053882"/>
    <w:rsid w:val="0005388A"/>
    <w:rsid w:val="000538D5"/>
    <w:rsid w:val="000538EA"/>
    <w:rsid w:val="0005399C"/>
    <w:rsid w:val="000539E9"/>
    <w:rsid w:val="00053A73"/>
    <w:rsid w:val="00053A97"/>
    <w:rsid w:val="00053C73"/>
    <w:rsid w:val="00053C90"/>
    <w:rsid w:val="00053CDE"/>
    <w:rsid w:val="00053D00"/>
    <w:rsid w:val="00053DA5"/>
    <w:rsid w:val="00053E12"/>
    <w:rsid w:val="00053E26"/>
    <w:rsid w:val="00053E9A"/>
    <w:rsid w:val="00053EDD"/>
    <w:rsid w:val="00053EEB"/>
    <w:rsid w:val="00053F67"/>
    <w:rsid w:val="00054016"/>
    <w:rsid w:val="00054026"/>
    <w:rsid w:val="00054067"/>
    <w:rsid w:val="00054091"/>
    <w:rsid w:val="0005412D"/>
    <w:rsid w:val="000541A3"/>
    <w:rsid w:val="000541A6"/>
    <w:rsid w:val="000541C5"/>
    <w:rsid w:val="0005422B"/>
    <w:rsid w:val="00054236"/>
    <w:rsid w:val="00054286"/>
    <w:rsid w:val="00054296"/>
    <w:rsid w:val="000542A9"/>
    <w:rsid w:val="000542B1"/>
    <w:rsid w:val="000542C3"/>
    <w:rsid w:val="000542EC"/>
    <w:rsid w:val="000542F2"/>
    <w:rsid w:val="0005430D"/>
    <w:rsid w:val="000543BA"/>
    <w:rsid w:val="0005442D"/>
    <w:rsid w:val="000544B5"/>
    <w:rsid w:val="000544C3"/>
    <w:rsid w:val="000545B0"/>
    <w:rsid w:val="00054616"/>
    <w:rsid w:val="0005465E"/>
    <w:rsid w:val="00054697"/>
    <w:rsid w:val="00054778"/>
    <w:rsid w:val="00054779"/>
    <w:rsid w:val="00054786"/>
    <w:rsid w:val="000547A1"/>
    <w:rsid w:val="000547C7"/>
    <w:rsid w:val="00054805"/>
    <w:rsid w:val="00054814"/>
    <w:rsid w:val="000548FE"/>
    <w:rsid w:val="0005490B"/>
    <w:rsid w:val="000549C9"/>
    <w:rsid w:val="000549D1"/>
    <w:rsid w:val="00054A22"/>
    <w:rsid w:val="00054A8F"/>
    <w:rsid w:val="00054B40"/>
    <w:rsid w:val="00054B59"/>
    <w:rsid w:val="00054BF7"/>
    <w:rsid w:val="00054C0F"/>
    <w:rsid w:val="00054C73"/>
    <w:rsid w:val="00054D1D"/>
    <w:rsid w:val="00054D73"/>
    <w:rsid w:val="00054D79"/>
    <w:rsid w:val="00054DBF"/>
    <w:rsid w:val="00054EE3"/>
    <w:rsid w:val="00054F41"/>
    <w:rsid w:val="00054FCD"/>
    <w:rsid w:val="00054FD8"/>
    <w:rsid w:val="0005508D"/>
    <w:rsid w:val="000550A7"/>
    <w:rsid w:val="00055103"/>
    <w:rsid w:val="00055275"/>
    <w:rsid w:val="00055279"/>
    <w:rsid w:val="000552D0"/>
    <w:rsid w:val="000552FF"/>
    <w:rsid w:val="000553AD"/>
    <w:rsid w:val="000553AE"/>
    <w:rsid w:val="000553CD"/>
    <w:rsid w:val="000555A3"/>
    <w:rsid w:val="000555F4"/>
    <w:rsid w:val="00055623"/>
    <w:rsid w:val="00055674"/>
    <w:rsid w:val="00055691"/>
    <w:rsid w:val="00055693"/>
    <w:rsid w:val="000556AB"/>
    <w:rsid w:val="000556E6"/>
    <w:rsid w:val="00055712"/>
    <w:rsid w:val="0005574A"/>
    <w:rsid w:val="000557CD"/>
    <w:rsid w:val="0005584C"/>
    <w:rsid w:val="0005584E"/>
    <w:rsid w:val="00055863"/>
    <w:rsid w:val="00055872"/>
    <w:rsid w:val="00055901"/>
    <w:rsid w:val="00055943"/>
    <w:rsid w:val="00055997"/>
    <w:rsid w:val="000559BF"/>
    <w:rsid w:val="00055A7F"/>
    <w:rsid w:val="00055AC5"/>
    <w:rsid w:val="00055AD2"/>
    <w:rsid w:val="00055B36"/>
    <w:rsid w:val="00055BD8"/>
    <w:rsid w:val="00055BDC"/>
    <w:rsid w:val="00055C0D"/>
    <w:rsid w:val="00055C87"/>
    <w:rsid w:val="00055D6F"/>
    <w:rsid w:val="00055DB8"/>
    <w:rsid w:val="00055E2A"/>
    <w:rsid w:val="00055E2F"/>
    <w:rsid w:val="00055E7D"/>
    <w:rsid w:val="00055EBC"/>
    <w:rsid w:val="00055F62"/>
    <w:rsid w:val="00055F8D"/>
    <w:rsid w:val="00055F91"/>
    <w:rsid w:val="00055FAF"/>
    <w:rsid w:val="00055FD3"/>
    <w:rsid w:val="00056019"/>
    <w:rsid w:val="00056042"/>
    <w:rsid w:val="0005604C"/>
    <w:rsid w:val="00056082"/>
    <w:rsid w:val="000560EE"/>
    <w:rsid w:val="0005619C"/>
    <w:rsid w:val="000561F7"/>
    <w:rsid w:val="0005627C"/>
    <w:rsid w:val="000562CE"/>
    <w:rsid w:val="00056359"/>
    <w:rsid w:val="00056365"/>
    <w:rsid w:val="000563D3"/>
    <w:rsid w:val="000563D5"/>
    <w:rsid w:val="00056491"/>
    <w:rsid w:val="000564BE"/>
    <w:rsid w:val="0005652F"/>
    <w:rsid w:val="00056545"/>
    <w:rsid w:val="00056559"/>
    <w:rsid w:val="000565E2"/>
    <w:rsid w:val="000565F4"/>
    <w:rsid w:val="000565F6"/>
    <w:rsid w:val="000565FD"/>
    <w:rsid w:val="00056604"/>
    <w:rsid w:val="00056704"/>
    <w:rsid w:val="00056897"/>
    <w:rsid w:val="000568B4"/>
    <w:rsid w:val="000568F0"/>
    <w:rsid w:val="00056B15"/>
    <w:rsid w:val="00056B39"/>
    <w:rsid w:val="00056B92"/>
    <w:rsid w:val="00056BEE"/>
    <w:rsid w:val="00056C48"/>
    <w:rsid w:val="00056C4C"/>
    <w:rsid w:val="00056C8E"/>
    <w:rsid w:val="00056CAE"/>
    <w:rsid w:val="00056D2F"/>
    <w:rsid w:val="00056D7D"/>
    <w:rsid w:val="00056E14"/>
    <w:rsid w:val="00056F71"/>
    <w:rsid w:val="00056FA3"/>
    <w:rsid w:val="00056FD5"/>
    <w:rsid w:val="0005700E"/>
    <w:rsid w:val="00057042"/>
    <w:rsid w:val="00057114"/>
    <w:rsid w:val="0005711D"/>
    <w:rsid w:val="000571DD"/>
    <w:rsid w:val="00057220"/>
    <w:rsid w:val="00057248"/>
    <w:rsid w:val="00057299"/>
    <w:rsid w:val="0005739C"/>
    <w:rsid w:val="0005742B"/>
    <w:rsid w:val="00057467"/>
    <w:rsid w:val="000574F3"/>
    <w:rsid w:val="00057601"/>
    <w:rsid w:val="00057657"/>
    <w:rsid w:val="000576AE"/>
    <w:rsid w:val="000576B7"/>
    <w:rsid w:val="000576C1"/>
    <w:rsid w:val="0005777A"/>
    <w:rsid w:val="00057796"/>
    <w:rsid w:val="000577D6"/>
    <w:rsid w:val="00057859"/>
    <w:rsid w:val="000579BF"/>
    <w:rsid w:val="000579EB"/>
    <w:rsid w:val="000579FD"/>
    <w:rsid w:val="00057AC3"/>
    <w:rsid w:val="00057AD8"/>
    <w:rsid w:val="00057ADA"/>
    <w:rsid w:val="00057B14"/>
    <w:rsid w:val="00057B46"/>
    <w:rsid w:val="00057B5B"/>
    <w:rsid w:val="00057B68"/>
    <w:rsid w:val="00057BAD"/>
    <w:rsid w:val="00057C33"/>
    <w:rsid w:val="00057CC0"/>
    <w:rsid w:val="00057CF4"/>
    <w:rsid w:val="00057D0A"/>
    <w:rsid w:val="00057D27"/>
    <w:rsid w:val="00057DEF"/>
    <w:rsid w:val="00057E23"/>
    <w:rsid w:val="00057EE0"/>
    <w:rsid w:val="00057F08"/>
    <w:rsid w:val="00057FA3"/>
    <w:rsid w:val="00057FD8"/>
    <w:rsid w:val="00057FE1"/>
    <w:rsid w:val="00060043"/>
    <w:rsid w:val="000600A9"/>
    <w:rsid w:val="000600B4"/>
    <w:rsid w:val="0006011F"/>
    <w:rsid w:val="00060133"/>
    <w:rsid w:val="00060136"/>
    <w:rsid w:val="0006013C"/>
    <w:rsid w:val="0006014D"/>
    <w:rsid w:val="00060221"/>
    <w:rsid w:val="0006022D"/>
    <w:rsid w:val="00060238"/>
    <w:rsid w:val="0006023C"/>
    <w:rsid w:val="000602B4"/>
    <w:rsid w:val="000602FE"/>
    <w:rsid w:val="0006031C"/>
    <w:rsid w:val="00060327"/>
    <w:rsid w:val="00060488"/>
    <w:rsid w:val="000604E9"/>
    <w:rsid w:val="0006051B"/>
    <w:rsid w:val="000605DE"/>
    <w:rsid w:val="00060626"/>
    <w:rsid w:val="00060669"/>
    <w:rsid w:val="000606D5"/>
    <w:rsid w:val="000606FB"/>
    <w:rsid w:val="00060769"/>
    <w:rsid w:val="0006078B"/>
    <w:rsid w:val="000607DF"/>
    <w:rsid w:val="00060835"/>
    <w:rsid w:val="00060870"/>
    <w:rsid w:val="00060872"/>
    <w:rsid w:val="000608AF"/>
    <w:rsid w:val="00060900"/>
    <w:rsid w:val="0006097D"/>
    <w:rsid w:val="00060986"/>
    <w:rsid w:val="000609A6"/>
    <w:rsid w:val="000609FB"/>
    <w:rsid w:val="00060A38"/>
    <w:rsid w:val="00060A6C"/>
    <w:rsid w:val="00060B54"/>
    <w:rsid w:val="00060C33"/>
    <w:rsid w:val="00060CE6"/>
    <w:rsid w:val="00060D06"/>
    <w:rsid w:val="00060D28"/>
    <w:rsid w:val="00060D36"/>
    <w:rsid w:val="00060D7B"/>
    <w:rsid w:val="00060DA8"/>
    <w:rsid w:val="00060DF2"/>
    <w:rsid w:val="00060E0E"/>
    <w:rsid w:val="00060E68"/>
    <w:rsid w:val="00060EB5"/>
    <w:rsid w:val="00060EE2"/>
    <w:rsid w:val="00060F02"/>
    <w:rsid w:val="00060F22"/>
    <w:rsid w:val="00060F70"/>
    <w:rsid w:val="00060F90"/>
    <w:rsid w:val="00060FDB"/>
    <w:rsid w:val="00061053"/>
    <w:rsid w:val="0006111C"/>
    <w:rsid w:val="00061160"/>
    <w:rsid w:val="00061178"/>
    <w:rsid w:val="00061194"/>
    <w:rsid w:val="000611FD"/>
    <w:rsid w:val="00061204"/>
    <w:rsid w:val="000612BA"/>
    <w:rsid w:val="000612D5"/>
    <w:rsid w:val="00061329"/>
    <w:rsid w:val="0006132A"/>
    <w:rsid w:val="000613C6"/>
    <w:rsid w:val="000613F2"/>
    <w:rsid w:val="00061425"/>
    <w:rsid w:val="00061445"/>
    <w:rsid w:val="000614CF"/>
    <w:rsid w:val="00061543"/>
    <w:rsid w:val="0006157E"/>
    <w:rsid w:val="000615C6"/>
    <w:rsid w:val="0006169C"/>
    <w:rsid w:val="000616AB"/>
    <w:rsid w:val="00061704"/>
    <w:rsid w:val="0006178E"/>
    <w:rsid w:val="000617A0"/>
    <w:rsid w:val="0006180E"/>
    <w:rsid w:val="0006185D"/>
    <w:rsid w:val="000618FA"/>
    <w:rsid w:val="000619A0"/>
    <w:rsid w:val="000619AA"/>
    <w:rsid w:val="000619FB"/>
    <w:rsid w:val="00061A0E"/>
    <w:rsid w:val="00061A97"/>
    <w:rsid w:val="00061B11"/>
    <w:rsid w:val="00061B4D"/>
    <w:rsid w:val="00061C5A"/>
    <w:rsid w:val="00061C6F"/>
    <w:rsid w:val="00061D17"/>
    <w:rsid w:val="00061D56"/>
    <w:rsid w:val="00061E73"/>
    <w:rsid w:val="00061EAA"/>
    <w:rsid w:val="00061EF6"/>
    <w:rsid w:val="00061F3A"/>
    <w:rsid w:val="00061FA7"/>
    <w:rsid w:val="0006207F"/>
    <w:rsid w:val="000620CB"/>
    <w:rsid w:val="000620FF"/>
    <w:rsid w:val="00062165"/>
    <w:rsid w:val="00062179"/>
    <w:rsid w:val="000621D6"/>
    <w:rsid w:val="0006222C"/>
    <w:rsid w:val="00062261"/>
    <w:rsid w:val="000622B3"/>
    <w:rsid w:val="000622CA"/>
    <w:rsid w:val="00062526"/>
    <w:rsid w:val="0006254E"/>
    <w:rsid w:val="000625CE"/>
    <w:rsid w:val="000626AE"/>
    <w:rsid w:val="000627AE"/>
    <w:rsid w:val="00062812"/>
    <w:rsid w:val="00062828"/>
    <w:rsid w:val="0006285F"/>
    <w:rsid w:val="000629C5"/>
    <w:rsid w:val="000629E8"/>
    <w:rsid w:val="00062A77"/>
    <w:rsid w:val="00062A7F"/>
    <w:rsid w:val="00062A85"/>
    <w:rsid w:val="00062B18"/>
    <w:rsid w:val="00062B3D"/>
    <w:rsid w:val="00062B6C"/>
    <w:rsid w:val="00062BE5"/>
    <w:rsid w:val="00062C19"/>
    <w:rsid w:val="00062C85"/>
    <w:rsid w:val="00062DA9"/>
    <w:rsid w:val="00062E1A"/>
    <w:rsid w:val="00062EE8"/>
    <w:rsid w:val="00062F3D"/>
    <w:rsid w:val="00062F9F"/>
    <w:rsid w:val="00062FB2"/>
    <w:rsid w:val="00062FDB"/>
    <w:rsid w:val="00063065"/>
    <w:rsid w:val="0006308E"/>
    <w:rsid w:val="000630DE"/>
    <w:rsid w:val="00063121"/>
    <w:rsid w:val="000631BC"/>
    <w:rsid w:val="000631EC"/>
    <w:rsid w:val="0006320D"/>
    <w:rsid w:val="00063263"/>
    <w:rsid w:val="000632B7"/>
    <w:rsid w:val="000632D0"/>
    <w:rsid w:val="00063329"/>
    <w:rsid w:val="00063340"/>
    <w:rsid w:val="00063350"/>
    <w:rsid w:val="0006337D"/>
    <w:rsid w:val="0006338F"/>
    <w:rsid w:val="000633A2"/>
    <w:rsid w:val="000633B6"/>
    <w:rsid w:val="000633FB"/>
    <w:rsid w:val="00063464"/>
    <w:rsid w:val="00063476"/>
    <w:rsid w:val="000635C3"/>
    <w:rsid w:val="00063617"/>
    <w:rsid w:val="00063901"/>
    <w:rsid w:val="00063964"/>
    <w:rsid w:val="00063997"/>
    <w:rsid w:val="000639D9"/>
    <w:rsid w:val="000639E4"/>
    <w:rsid w:val="00063ABB"/>
    <w:rsid w:val="00063AF6"/>
    <w:rsid w:val="00063AFF"/>
    <w:rsid w:val="00063B02"/>
    <w:rsid w:val="00063B71"/>
    <w:rsid w:val="00063C03"/>
    <w:rsid w:val="00063C2B"/>
    <w:rsid w:val="00063C87"/>
    <w:rsid w:val="00063C91"/>
    <w:rsid w:val="00063CCC"/>
    <w:rsid w:val="00063D1D"/>
    <w:rsid w:val="00063D21"/>
    <w:rsid w:val="00063DF6"/>
    <w:rsid w:val="00063F27"/>
    <w:rsid w:val="00063F3B"/>
    <w:rsid w:val="00063F6C"/>
    <w:rsid w:val="00063F85"/>
    <w:rsid w:val="00063F89"/>
    <w:rsid w:val="00063FAC"/>
    <w:rsid w:val="0006409A"/>
    <w:rsid w:val="000640B0"/>
    <w:rsid w:val="000640E4"/>
    <w:rsid w:val="00064120"/>
    <w:rsid w:val="0006417D"/>
    <w:rsid w:val="000641BD"/>
    <w:rsid w:val="000641C4"/>
    <w:rsid w:val="00064211"/>
    <w:rsid w:val="00064258"/>
    <w:rsid w:val="000642BB"/>
    <w:rsid w:val="000642F4"/>
    <w:rsid w:val="0006431A"/>
    <w:rsid w:val="000643A2"/>
    <w:rsid w:val="000643C6"/>
    <w:rsid w:val="000643F5"/>
    <w:rsid w:val="0006447E"/>
    <w:rsid w:val="00064540"/>
    <w:rsid w:val="00064549"/>
    <w:rsid w:val="000645E9"/>
    <w:rsid w:val="000645FA"/>
    <w:rsid w:val="00064653"/>
    <w:rsid w:val="00064736"/>
    <w:rsid w:val="0006484E"/>
    <w:rsid w:val="00064857"/>
    <w:rsid w:val="00064924"/>
    <w:rsid w:val="00064934"/>
    <w:rsid w:val="00064948"/>
    <w:rsid w:val="00064A2C"/>
    <w:rsid w:val="00064A73"/>
    <w:rsid w:val="00064A75"/>
    <w:rsid w:val="00064BAA"/>
    <w:rsid w:val="00064C08"/>
    <w:rsid w:val="00064C8C"/>
    <w:rsid w:val="00064C8D"/>
    <w:rsid w:val="00064CA1"/>
    <w:rsid w:val="00064CAA"/>
    <w:rsid w:val="00064CD3"/>
    <w:rsid w:val="00064D1E"/>
    <w:rsid w:val="00064D79"/>
    <w:rsid w:val="00064DF9"/>
    <w:rsid w:val="00064E5C"/>
    <w:rsid w:val="00064E89"/>
    <w:rsid w:val="00064F09"/>
    <w:rsid w:val="00064F10"/>
    <w:rsid w:val="00064F1C"/>
    <w:rsid w:val="00064F33"/>
    <w:rsid w:val="00064FA9"/>
    <w:rsid w:val="00065055"/>
    <w:rsid w:val="00065093"/>
    <w:rsid w:val="000650CA"/>
    <w:rsid w:val="000651C9"/>
    <w:rsid w:val="000651CB"/>
    <w:rsid w:val="000651D9"/>
    <w:rsid w:val="0006522C"/>
    <w:rsid w:val="0006523C"/>
    <w:rsid w:val="0006525B"/>
    <w:rsid w:val="000652A0"/>
    <w:rsid w:val="000652E4"/>
    <w:rsid w:val="000653F5"/>
    <w:rsid w:val="000653F6"/>
    <w:rsid w:val="0006541A"/>
    <w:rsid w:val="0006547E"/>
    <w:rsid w:val="000654ED"/>
    <w:rsid w:val="0006550D"/>
    <w:rsid w:val="00065640"/>
    <w:rsid w:val="0006565D"/>
    <w:rsid w:val="00065679"/>
    <w:rsid w:val="00065691"/>
    <w:rsid w:val="00065718"/>
    <w:rsid w:val="0006586F"/>
    <w:rsid w:val="000658B6"/>
    <w:rsid w:val="00065960"/>
    <w:rsid w:val="00065989"/>
    <w:rsid w:val="00065A09"/>
    <w:rsid w:val="00065A36"/>
    <w:rsid w:val="00065ABC"/>
    <w:rsid w:val="00065B12"/>
    <w:rsid w:val="00065B80"/>
    <w:rsid w:val="00065BA9"/>
    <w:rsid w:val="00065BAE"/>
    <w:rsid w:val="00065BD5"/>
    <w:rsid w:val="00065BF4"/>
    <w:rsid w:val="00065C95"/>
    <w:rsid w:val="00065CA6"/>
    <w:rsid w:val="00065CF6"/>
    <w:rsid w:val="00065D69"/>
    <w:rsid w:val="00065D6C"/>
    <w:rsid w:val="00065D8B"/>
    <w:rsid w:val="00065DBE"/>
    <w:rsid w:val="00065DD6"/>
    <w:rsid w:val="00065E66"/>
    <w:rsid w:val="00065E81"/>
    <w:rsid w:val="00065E86"/>
    <w:rsid w:val="00065FA2"/>
    <w:rsid w:val="00066046"/>
    <w:rsid w:val="0006604C"/>
    <w:rsid w:val="00066069"/>
    <w:rsid w:val="0006607F"/>
    <w:rsid w:val="00066117"/>
    <w:rsid w:val="00066138"/>
    <w:rsid w:val="0006618E"/>
    <w:rsid w:val="000662C2"/>
    <w:rsid w:val="00066377"/>
    <w:rsid w:val="00066422"/>
    <w:rsid w:val="00066442"/>
    <w:rsid w:val="00066463"/>
    <w:rsid w:val="00066481"/>
    <w:rsid w:val="000664AA"/>
    <w:rsid w:val="00066597"/>
    <w:rsid w:val="000665B8"/>
    <w:rsid w:val="000666A9"/>
    <w:rsid w:val="00066725"/>
    <w:rsid w:val="00066757"/>
    <w:rsid w:val="00066772"/>
    <w:rsid w:val="00066779"/>
    <w:rsid w:val="00066861"/>
    <w:rsid w:val="00066865"/>
    <w:rsid w:val="000668BF"/>
    <w:rsid w:val="0006692F"/>
    <w:rsid w:val="00066984"/>
    <w:rsid w:val="000669AD"/>
    <w:rsid w:val="00066A3E"/>
    <w:rsid w:val="00066A41"/>
    <w:rsid w:val="00066A91"/>
    <w:rsid w:val="00066A93"/>
    <w:rsid w:val="00066AB1"/>
    <w:rsid w:val="00066AFA"/>
    <w:rsid w:val="00066B76"/>
    <w:rsid w:val="00066BB0"/>
    <w:rsid w:val="00066C3D"/>
    <w:rsid w:val="00066C69"/>
    <w:rsid w:val="00066D0B"/>
    <w:rsid w:val="00066D97"/>
    <w:rsid w:val="00066DF6"/>
    <w:rsid w:val="00066E20"/>
    <w:rsid w:val="00066EEC"/>
    <w:rsid w:val="00066EF2"/>
    <w:rsid w:val="00066F84"/>
    <w:rsid w:val="00066F89"/>
    <w:rsid w:val="00066FAF"/>
    <w:rsid w:val="00066FB5"/>
    <w:rsid w:val="00066FF8"/>
    <w:rsid w:val="00067060"/>
    <w:rsid w:val="000670E6"/>
    <w:rsid w:val="000671A9"/>
    <w:rsid w:val="000671FB"/>
    <w:rsid w:val="0006728C"/>
    <w:rsid w:val="0006739C"/>
    <w:rsid w:val="000673CF"/>
    <w:rsid w:val="000674B2"/>
    <w:rsid w:val="000675AD"/>
    <w:rsid w:val="000675D6"/>
    <w:rsid w:val="000675D7"/>
    <w:rsid w:val="0006760E"/>
    <w:rsid w:val="000676B1"/>
    <w:rsid w:val="000676E3"/>
    <w:rsid w:val="000677C1"/>
    <w:rsid w:val="00067814"/>
    <w:rsid w:val="00067852"/>
    <w:rsid w:val="0006786C"/>
    <w:rsid w:val="000678EA"/>
    <w:rsid w:val="00067904"/>
    <w:rsid w:val="00067920"/>
    <w:rsid w:val="0006797C"/>
    <w:rsid w:val="00067980"/>
    <w:rsid w:val="000679DA"/>
    <w:rsid w:val="00067A01"/>
    <w:rsid w:val="00067A4F"/>
    <w:rsid w:val="00067A9E"/>
    <w:rsid w:val="00067AB1"/>
    <w:rsid w:val="00067ABD"/>
    <w:rsid w:val="00067B5B"/>
    <w:rsid w:val="00067B68"/>
    <w:rsid w:val="00067B72"/>
    <w:rsid w:val="00067B87"/>
    <w:rsid w:val="00067BAD"/>
    <w:rsid w:val="00067C34"/>
    <w:rsid w:val="00067C8F"/>
    <w:rsid w:val="00067CD2"/>
    <w:rsid w:val="00067D62"/>
    <w:rsid w:val="00067F00"/>
    <w:rsid w:val="00067F03"/>
    <w:rsid w:val="00067F83"/>
    <w:rsid w:val="00067F93"/>
    <w:rsid w:val="00067FBA"/>
    <w:rsid w:val="00067FC9"/>
    <w:rsid w:val="0007002E"/>
    <w:rsid w:val="0007003A"/>
    <w:rsid w:val="000700B8"/>
    <w:rsid w:val="000700EC"/>
    <w:rsid w:val="00070193"/>
    <w:rsid w:val="00070198"/>
    <w:rsid w:val="00070240"/>
    <w:rsid w:val="00070278"/>
    <w:rsid w:val="000702BD"/>
    <w:rsid w:val="000702C2"/>
    <w:rsid w:val="00070303"/>
    <w:rsid w:val="00070313"/>
    <w:rsid w:val="00070325"/>
    <w:rsid w:val="0007037F"/>
    <w:rsid w:val="000703B8"/>
    <w:rsid w:val="000703BB"/>
    <w:rsid w:val="000704E1"/>
    <w:rsid w:val="000704FB"/>
    <w:rsid w:val="00070510"/>
    <w:rsid w:val="00070525"/>
    <w:rsid w:val="0007054E"/>
    <w:rsid w:val="00070558"/>
    <w:rsid w:val="000705AE"/>
    <w:rsid w:val="00070639"/>
    <w:rsid w:val="0007064C"/>
    <w:rsid w:val="000706CE"/>
    <w:rsid w:val="000706F5"/>
    <w:rsid w:val="000707BF"/>
    <w:rsid w:val="000707CF"/>
    <w:rsid w:val="000707D8"/>
    <w:rsid w:val="000707F0"/>
    <w:rsid w:val="0007080C"/>
    <w:rsid w:val="000708FC"/>
    <w:rsid w:val="00070981"/>
    <w:rsid w:val="00070A11"/>
    <w:rsid w:val="00070A25"/>
    <w:rsid w:val="00070A32"/>
    <w:rsid w:val="00070A56"/>
    <w:rsid w:val="00070AB6"/>
    <w:rsid w:val="00070B00"/>
    <w:rsid w:val="00070B14"/>
    <w:rsid w:val="00070B2D"/>
    <w:rsid w:val="00070B60"/>
    <w:rsid w:val="00070B8E"/>
    <w:rsid w:val="00070D47"/>
    <w:rsid w:val="00070E43"/>
    <w:rsid w:val="00070E6B"/>
    <w:rsid w:val="00070EDE"/>
    <w:rsid w:val="00070F16"/>
    <w:rsid w:val="00070F6A"/>
    <w:rsid w:val="00070FC4"/>
    <w:rsid w:val="00070FFF"/>
    <w:rsid w:val="00071041"/>
    <w:rsid w:val="00071110"/>
    <w:rsid w:val="000711BF"/>
    <w:rsid w:val="000711F1"/>
    <w:rsid w:val="00071213"/>
    <w:rsid w:val="0007123E"/>
    <w:rsid w:val="000712B4"/>
    <w:rsid w:val="0007130C"/>
    <w:rsid w:val="0007133C"/>
    <w:rsid w:val="00071354"/>
    <w:rsid w:val="0007145F"/>
    <w:rsid w:val="00071477"/>
    <w:rsid w:val="00071483"/>
    <w:rsid w:val="0007148E"/>
    <w:rsid w:val="0007156D"/>
    <w:rsid w:val="0007157B"/>
    <w:rsid w:val="0007159A"/>
    <w:rsid w:val="00071647"/>
    <w:rsid w:val="000716B9"/>
    <w:rsid w:val="0007176C"/>
    <w:rsid w:val="00071771"/>
    <w:rsid w:val="00071809"/>
    <w:rsid w:val="000718B8"/>
    <w:rsid w:val="000718C9"/>
    <w:rsid w:val="000718FC"/>
    <w:rsid w:val="00071929"/>
    <w:rsid w:val="0007192D"/>
    <w:rsid w:val="000719C6"/>
    <w:rsid w:val="00071A44"/>
    <w:rsid w:val="00071A83"/>
    <w:rsid w:val="00071A99"/>
    <w:rsid w:val="00071B33"/>
    <w:rsid w:val="00071B4E"/>
    <w:rsid w:val="00071B77"/>
    <w:rsid w:val="00071BFF"/>
    <w:rsid w:val="00071C81"/>
    <w:rsid w:val="00071DAC"/>
    <w:rsid w:val="00071DCE"/>
    <w:rsid w:val="00071E6A"/>
    <w:rsid w:val="00071E8F"/>
    <w:rsid w:val="00071E91"/>
    <w:rsid w:val="00071E9D"/>
    <w:rsid w:val="00071EAE"/>
    <w:rsid w:val="00071F2B"/>
    <w:rsid w:val="00071F46"/>
    <w:rsid w:val="00071F4C"/>
    <w:rsid w:val="00071F86"/>
    <w:rsid w:val="00071FEB"/>
    <w:rsid w:val="00072077"/>
    <w:rsid w:val="0007208E"/>
    <w:rsid w:val="000720A5"/>
    <w:rsid w:val="000720EF"/>
    <w:rsid w:val="00072105"/>
    <w:rsid w:val="0007210E"/>
    <w:rsid w:val="000721AE"/>
    <w:rsid w:val="000721BB"/>
    <w:rsid w:val="000721F3"/>
    <w:rsid w:val="00072269"/>
    <w:rsid w:val="00072308"/>
    <w:rsid w:val="00072309"/>
    <w:rsid w:val="0007231D"/>
    <w:rsid w:val="00072343"/>
    <w:rsid w:val="000723A3"/>
    <w:rsid w:val="000723A5"/>
    <w:rsid w:val="000723A7"/>
    <w:rsid w:val="0007241B"/>
    <w:rsid w:val="000724C3"/>
    <w:rsid w:val="00072535"/>
    <w:rsid w:val="000725BF"/>
    <w:rsid w:val="00072632"/>
    <w:rsid w:val="0007268C"/>
    <w:rsid w:val="0007269B"/>
    <w:rsid w:val="000726D2"/>
    <w:rsid w:val="000726ED"/>
    <w:rsid w:val="0007270F"/>
    <w:rsid w:val="000727BF"/>
    <w:rsid w:val="000727E7"/>
    <w:rsid w:val="00072803"/>
    <w:rsid w:val="00072849"/>
    <w:rsid w:val="00072873"/>
    <w:rsid w:val="000728B2"/>
    <w:rsid w:val="000728E1"/>
    <w:rsid w:val="00072908"/>
    <w:rsid w:val="0007292A"/>
    <w:rsid w:val="00072936"/>
    <w:rsid w:val="00072956"/>
    <w:rsid w:val="00072975"/>
    <w:rsid w:val="00072A59"/>
    <w:rsid w:val="00072A9F"/>
    <w:rsid w:val="00072AC9"/>
    <w:rsid w:val="00072B2D"/>
    <w:rsid w:val="00072B92"/>
    <w:rsid w:val="00072BE9"/>
    <w:rsid w:val="00072BF1"/>
    <w:rsid w:val="00072C5A"/>
    <w:rsid w:val="00072C76"/>
    <w:rsid w:val="00072CBF"/>
    <w:rsid w:val="00072D57"/>
    <w:rsid w:val="0007308C"/>
    <w:rsid w:val="00073191"/>
    <w:rsid w:val="000731DE"/>
    <w:rsid w:val="000731E5"/>
    <w:rsid w:val="000731F5"/>
    <w:rsid w:val="00073219"/>
    <w:rsid w:val="00073275"/>
    <w:rsid w:val="00073282"/>
    <w:rsid w:val="00073286"/>
    <w:rsid w:val="000732B8"/>
    <w:rsid w:val="000732B9"/>
    <w:rsid w:val="00073334"/>
    <w:rsid w:val="00073347"/>
    <w:rsid w:val="0007335B"/>
    <w:rsid w:val="000733AB"/>
    <w:rsid w:val="000733E9"/>
    <w:rsid w:val="0007346D"/>
    <w:rsid w:val="0007348B"/>
    <w:rsid w:val="00073552"/>
    <w:rsid w:val="0007361A"/>
    <w:rsid w:val="00073640"/>
    <w:rsid w:val="00073710"/>
    <w:rsid w:val="00073726"/>
    <w:rsid w:val="0007374C"/>
    <w:rsid w:val="00073787"/>
    <w:rsid w:val="0007379E"/>
    <w:rsid w:val="000738EE"/>
    <w:rsid w:val="000738F5"/>
    <w:rsid w:val="00073A0B"/>
    <w:rsid w:val="00073A3C"/>
    <w:rsid w:val="00073A60"/>
    <w:rsid w:val="00073ACE"/>
    <w:rsid w:val="00073B21"/>
    <w:rsid w:val="00073B31"/>
    <w:rsid w:val="00073C4B"/>
    <w:rsid w:val="00073CCB"/>
    <w:rsid w:val="00073CE0"/>
    <w:rsid w:val="00073CF5"/>
    <w:rsid w:val="00073D12"/>
    <w:rsid w:val="00073D79"/>
    <w:rsid w:val="00073D94"/>
    <w:rsid w:val="00073E6B"/>
    <w:rsid w:val="00073EA2"/>
    <w:rsid w:val="00073ED3"/>
    <w:rsid w:val="00073EF6"/>
    <w:rsid w:val="00073FD5"/>
    <w:rsid w:val="0007404E"/>
    <w:rsid w:val="00074096"/>
    <w:rsid w:val="000740D1"/>
    <w:rsid w:val="00074152"/>
    <w:rsid w:val="0007418C"/>
    <w:rsid w:val="00074197"/>
    <w:rsid w:val="00074299"/>
    <w:rsid w:val="000742C3"/>
    <w:rsid w:val="00074415"/>
    <w:rsid w:val="00074444"/>
    <w:rsid w:val="00074489"/>
    <w:rsid w:val="000744CA"/>
    <w:rsid w:val="00074502"/>
    <w:rsid w:val="0007456E"/>
    <w:rsid w:val="00074577"/>
    <w:rsid w:val="00074705"/>
    <w:rsid w:val="000747BA"/>
    <w:rsid w:val="000747C3"/>
    <w:rsid w:val="0007491E"/>
    <w:rsid w:val="000749C7"/>
    <w:rsid w:val="00074A00"/>
    <w:rsid w:val="00074A15"/>
    <w:rsid w:val="00074A72"/>
    <w:rsid w:val="00074AF1"/>
    <w:rsid w:val="00074C24"/>
    <w:rsid w:val="00074C40"/>
    <w:rsid w:val="00074C93"/>
    <w:rsid w:val="00074C94"/>
    <w:rsid w:val="00074CF0"/>
    <w:rsid w:val="00074D2C"/>
    <w:rsid w:val="00074D6B"/>
    <w:rsid w:val="00074DC5"/>
    <w:rsid w:val="00074E2B"/>
    <w:rsid w:val="00074F30"/>
    <w:rsid w:val="00074F5C"/>
    <w:rsid w:val="00074FF9"/>
    <w:rsid w:val="0007506A"/>
    <w:rsid w:val="0007506C"/>
    <w:rsid w:val="000750B8"/>
    <w:rsid w:val="000750BF"/>
    <w:rsid w:val="0007514F"/>
    <w:rsid w:val="0007518D"/>
    <w:rsid w:val="000751E7"/>
    <w:rsid w:val="00075235"/>
    <w:rsid w:val="00075239"/>
    <w:rsid w:val="00075406"/>
    <w:rsid w:val="00075410"/>
    <w:rsid w:val="000754CB"/>
    <w:rsid w:val="000754DB"/>
    <w:rsid w:val="00075555"/>
    <w:rsid w:val="0007564A"/>
    <w:rsid w:val="00075671"/>
    <w:rsid w:val="0007568F"/>
    <w:rsid w:val="00075766"/>
    <w:rsid w:val="00075771"/>
    <w:rsid w:val="00075B6C"/>
    <w:rsid w:val="00075BA4"/>
    <w:rsid w:val="00075BD0"/>
    <w:rsid w:val="00075CF1"/>
    <w:rsid w:val="00075D34"/>
    <w:rsid w:val="00075E00"/>
    <w:rsid w:val="00075E6C"/>
    <w:rsid w:val="00075E8D"/>
    <w:rsid w:val="00075EA2"/>
    <w:rsid w:val="00075F15"/>
    <w:rsid w:val="00075F17"/>
    <w:rsid w:val="00075F22"/>
    <w:rsid w:val="00075F4E"/>
    <w:rsid w:val="00075F92"/>
    <w:rsid w:val="00076107"/>
    <w:rsid w:val="00076201"/>
    <w:rsid w:val="000762BD"/>
    <w:rsid w:val="000762CB"/>
    <w:rsid w:val="000762EF"/>
    <w:rsid w:val="00076302"/>
    <w:rsid w:val="00076312"/>
    <w:rsid w:val="0007636D"/>
    <w:rsid w:val="000763E1"/>
    <w:rsid w:val="00076484"/>
    <w:rsid w:val="00076627"/>
    <w:rsid w:val="0007662A"/>
    <w:rsid w:val="00076751"/>
    <w:rsid w:val="00076757"/>
    <w:rsid w:val="000767A8"/>
    <w:rsid w:val="0007680B"/>
    <w:rsid w:val="00076845"/>
    <w:rsid w:val="000768AE"/>
    <w:rsid w:val="00076970"/>
    <w:rsid w:val="00076992"/>
    <w:rsid w:val="000769EC"/>
    <w:rsid w:val="000769EF"/>
    <w:rsid w:val="00076A5A"/>
    <w:rsid w:val="00076AD4"/>
    <w:rsid w:val="00076BC4"/>
    <w:rsid w:val="00076CE6"/>
    <w:rsid w:val="00076D38"/>
    <w:rsid w:val="00076D49"/>
    <w:rsid w:val="00076E25"/>
    <w:rsid w:val="00076FD7"/>
    <w:rsid w:val="00077004"/>
    <w:rsid w:val="000770C8"/>
    <w:rsid w:val="000770EE"/>
    <w:rsid w:val="000770FA"/>
    <w:rsid w:val="00077114"/>
    <w:rsid w:val="00077165"/>
    <w:rsid w:val="000771B4"/>
    <w:rsid w:val="000771CC"/>
    <w:rsid w:val="0007720C"/>
    <w:rsid w:val="00077250"/>
    <w:rsid w:val="0007728F"/>
    <w:rsid w:val="00077297"/>
    <w:rsid w:val="0007736C"/>
    <w:rsid w:val="0007738A"/>
    <w:rsid w:val="000773A7"/>
    <w:rsid w:val="000773E3"/>
    <w:rsid w:val="000773F1"/>
    <w:rsid w:val="000774F0"/>
    <w:rsid w:val="00077589"/>
    <w:rsid w:val="00077710"/>
    <w:rsid w:val="0007777A"/>
    <w:rsid w:val="00077864"/>
    <w:rsid w:val="0007789F"/>
    <w:rsid w:val="000778C0"/>
    <w:rsid w:val="00077932"/>
    <w:rsid w:val="00077984"/>
    <w:rsid w:val="000779CC"/>
    <w:rsid w:val="00077A59"/>
    <w:rsid w:val="00077A67"/>
    <w:rsid w:val="00077AC9"/>
    <w:rsid w:val="00077ADC"/>
    <w:rsid w:val="00077B06"/>
    <w:rsid w:val="00077B26"/>
    <w:rsid w:val="00077B40"/>
    <w:rsid w:val="00077B48"/>
    <w:rsid w:val="00077B4B"/>
    <w:rsid w:val="00077B86"/>
    <w:rsid w:val="00077C93"/>
    <w:rsid w:val="00077C94"/>
    <w:rsid w:val="00077C96"/>
    <w:rsid w:val="00077CFD"/>
    <w:rsid w:val="00077D00"/>
    <w:rsid w:val="00077DBA"/>
    <w:rsid w:val="00077DCC"/>
    <w:rsid w:val="00077E97"/>
    <w:rsid w:val="00077EB3"/>
    <w:rsid w:val="00077EED"/>
    <w:rsid w:val="00077EEE"/>
    <w:rsid w:val="00080057"/>
    <w:rsid w:val="0008007F"/>
    <w:rsid w:val="0008019A"/>
    <w:rsid w:val="00080204"/>
    <w:rsid w:val="0008020E"/>
    <w:rsid w:val="00080372"/>
    <w:rsid w:val="000803E5"/>
    <w:rsid w:val="00080430"/>
    <w:rsid w:val="00080437"/>
    <w:rsid w:val="000804C3"/>
    <w:rsid w:val="000805E0"/>
    <w:rsid w:val="000805F8"/>
    <w:rsid w:val="0008067F"/>
    <w:rsid w:val="000806FE"/>
    <w:rsid w:val="0008072C"/>
    <w:rsid w:val="0008072D"/>
    <w:rsid w:val="00080751"/>
    <w:rsid w:val="000807B7"/>
    <w:rsid w:val="00080820"/>
    <w:rsid w:val="000808AB"/>
    <w:rsid w:val="000809C3"/>
    <w:rsid w:val="000809E8"/>
    <w:rsid w:val="00080A0B"/>
    <w:rsid w:val="00080A24"/>
    <w:rsid w:val="00080A33"/>
    <w:rsid w:val="00080A38"/>
    <w:rsid w:val="00080A63"/>
    <w:rsid w:val="00080A78"/>
    <w:rsid w:val="00080AB9"/>
    <w:rsid w:val="00080B7D"/>
    <w:rsid w:val="00080BA5"/>
    <w:rsid w:val="00080BC5"/>
    <w:rsid w:val="00080C1A"/>
    <w:rsid w:val="00080CED"/>
    <w:rsid w:val="00080DEE"/>
    <w:rsid w:val="00080E15"/>
    <w:rsid w:val="00080E49"/>
    <w:rsid w:val="00080EAC"/>
    <w:rsid w:val="00080EC4"/>
    <w:rsid w:val="00080FD1"/>
    <w:rsid w:val="000810B5"/>
    <w:rsid w:val="00081174"/>
    <w:rsid w:val="000811ED"/>
    <w:rsid w:val="00081227"/>
    <w:rsid w:val="000812FD"/>
    <w:rsid w:val="00081364"/>
    <w:rsid w:val="0008137E"/>
    <w:rsid w:val="00081425"/>
    <w:rsid w:val="000814CC"/>
    <w:rsid w:val="000814E2"/>
    <w:rsid w:val="00081582"/>
    <w:rsid w:val="0008161F"/>
    <w:rsid w:val="00081700"/>
    <w:rsid w:val="0008174F"/>
    <w:rsid w:val="000817BE"/>
    <w:rsid w:val="00081821"/>
    <w:rsid w:val="000818C0"/>
    <w:rsid w:val="0008194B"/>
    <w:rsid w:val="00081952"/>
    <w:rsid w:val="00081961"/>
    <w:rsid w:val="0008199A"/>
    <w:rsid w:val="00081B65"/>
    <w:rsid w:val="00081BA2"/>
    <w:rsid w:val="00081BB3"/>
    <w:rsid w:val="00081C03"/>
    <w:rsid w:val="00081C1D"/>
    <w:rsid w:val="00081C55"/>
    <w:rsid w:val="00081D53"/>
    <w:rsid w:val="00081D54"/>
    <w:rsid w:val="00081DBD"/>
    <w:rsid w:val="00081DDD"/>
    <w:rsid w:val="00081E44"/>
    <w:rsid w:val="00081E59"/>
    <w:rsid w:val="00081F9E"/>
    <w:rsid w:val="00081FD5"/>
    <w:rsid w:val="00081FEF"/>
    <w:rsid w:val="00081FF7"/>
    <w:rsid w:val="00082054"/>
    <w:rsid w:val="000820BF"/>
    <w:rsid w:val="00082183"/>
    <w:rsid w:val="000821B8"/>
    <w:rsid w:val="000822D4"/>
    <w:rsid w:val="00082468"/>
    <w:rsid w:val="000824F1"/>
    <w:rsid w:val="00082541"/>
    <w:rsid w:val="0008255A"/>
    <w:rsid w:val="000825E5"/>
    <w:rsid w:val="000825E7"/>
    <w:rsid w:val="0008261D"/>
    <w:rsid w:val="0008265C"/>
    <w:rsid w:val="0008267F"/>
    <w:rsid w:val="000826A2"/>
    <w:rsid w:val="00082718"/>
    <w:rsid w:val="00082826"/>
    <w:rsid w:val="000828A2"/>
    <w:rsid w:val="000828F2"/>
    <w:rsid w:val="0008297D"/>
    <w:rsid w:val="000829DA"/>
    <w:rsid w:val="00082AB6"/>
    <w:rsid w:val="00082BB2"/>
    <w:rsid w:val="00082C16"/>
    <w:rsid w:val="00082C1C"/>
    <w:rsid w:val="00082C4B"/>
    <w:rsid w:val="00082CA8"/>
    <w:rsid w:val="00082D3A"/>
    <w:rsid w:val="00082F04"/>
    <w:rsid w:val="00082F73"/>
    <w:rsid w:val="00082F83"/>
    <w:rsid w:val="00082FD8"/>
    <w:rsid w:val="00083002"/>
    <w:rsid w:val="0008300B"/>
    <w:rsid w:val="000830F9"/>
    <w:rsid w:val="0008311D"/>
    <w:rsid w:val="0008316B"/>
    <w:rsid w:val="00083179"/>
    <w:rsid w:val="0008317D"/>
    <w:rsid w:val="00083223"/>
    <w:rsid w:val="00083260"/>
    <w:rsid w:val="00083271"/>
    <w:rsid w:val="0008329D"/>
    <w:rsid w:val="0008338D"/>
    <w:rsid w:val="0008343F"/>
    <w:rsid w:val="00083472"/>
    <w:rsid w:val="0008347A"/>
    <w:rsid w:val="00083496"/>
    <w:rsid w:val="000834EC"/>
    <w:rsid w:val="00083589"/>
    <w:rsid w:val="00083601"/>
    <w:rsid w:val="00083606"/>
    <w:rsid w:val="00083610"/>
    <w:rsid w:val="0008366A"/>
    <w:rsid w:val="000836AD"/>
    <w:rsid w:val="0008380F"/>
    <w:rsid w:val="00083815"/>
    <w:rsid w:val="0008382B"/>
    <w:rsid w:val="0008382C"/>
    <w:rsid w:val="00083855"/>
    <w:rsid w:val="000838CE"/>
    <w:rsid w:val="0008394B"/>
    <w:rsid w:val="0008395B"/>
    <w:rsid w:val="000839A0"/>
    <w:rsid w:val="000839CE"/>
    <w:rsid w:val="000839D5"/>
    <w:rsid w:val="000839FB"/>
    <w:rsid w:val="00083A37"/>
    <w:rsid w:val="00083A44"/>
    <w:rsid w:val="00083A9B"/>
    <w:rsid w:val="00083AC3"/>
    <w:rsid w:val="00083AE6"/>
    <w:rsid w:val="00083BAB"/>
    <w:rsid w:val="00083C61"/>
    <w:rsid w:val="00083C76"/>
    <w:rsid w:val="00083D89"/>
    <w:rsid w:val="00083E25"/>
    <w:rsid w:val="00083E50"/>
    <w:rsid w:val="00083EBE"/>
    <w:rsid w:val="00083F4B"/>
    <w:rsid w:val="00083FE3"/>
    <w:rsid w:val="0008401D"/>
    <w:rsid w:val="00084088"/>
    <w:rsid w:val="0008409B"/>
    <w:rsid w:val="00084113"/>
    <w:rsid w:val="0008411E"/>
    <w:rsid w:val="00084190"/>
    <w:rsid w:val="00084196"/>
    <w:rsid w:val="00084241"/>
    <w:rsid w:val="00084257"/>
    <w:rsid w:val="00084288"/>
    <w:rsid w:val="000842C8"/>
    <w:rsid w:val="00084336"/>
    <w:rsid w:val="00084489"/>
    <w:rsid w:val="00084492"/>
    <w:rsid w:val="000844A0"/>
    <w:rsid w:val="000844E6"/>
    <w:rsid w:val="0008450F"/>
    <w:rsid w:val="0008451C"/>
    <w:rsid w:val="000845D4"/>
    <w:rsid w:val="00084669"/>
    <w:rsid w:val="000846AF"/>
    <w:rsid w:val="000846C8"/>
    <w:rsid w:val="00084704"/>
    <w:rsid w:val="00084732"/>
    <w:rsid w:val="000847AE"/>
    <w:rsid w:val="00084854"/>
    <w:rsid w:val="000848E6"/>
    <w:rsid w:val="000848E7"/>
    <w:rsid w:val="00084903"/>
    <w:rsid w:val="00084953"/>
    <w:rsid w:val="000849AC"/>
    <w:rsid w:val="00084A73"/>
    <w:rsid w:val="00084A76"/>
    <w:rsid w:val="00084A9A"/>
    <w:rsid w:val="00084B35"/>
    <w:rsid w:val="00084B71"/>
    <w:rsid w:val="00084BB5"/>
    <w:rsid w:val="00084C83"/>
    <w:rsid w:val="00084CEC"/>
    <w:rsid w:val="00084D0E"/>
    <w:rsid w:val="00084D9D"/>
    <w:rsid w:val="00084F45"/>
    <w:rsid w:val="00084F8A"/>
    <w:rsid w:val="00084FBB"/>
    <w:rsid w:val="00085084"/>
    <w:rsid w:val="000850A5"/>
    <w:rsid w:val="000850CA"/>
    <w:rsid w:val="00085220"/>
    <w:rsid w:val="000852B7"/>
    <w:rsid w:val="000852D6"/>
    <w:rsid w:val="0008537E"/>
    <w:rsid w:val="000853C6"/>
    <w:rsid w:val="00085458"/>
    <w:rsid w:val="00085476"/>
    <w:rsid w:val="0008547E"/>
    <w:rsid w:val="00085485"/>
    <w:rsid w:val="00085559"/>
    <w:rsid w:val="000855B5"/>
    <w:rsid w:val="000855F1"/>
    <w:rsid w:val="000856BA"/>
    <w:rsid w:val="000856F6"/>
    <w:rsid w:val="000857BC"/>
    <w:rsid w:val="000857BD"/>
    <w:rsid w:val="00085821"/>
    <w:rsid w:val="0008587A"/>
    <w:rsid w:val="00085894"/>
    <w:rsid w:val="000858D1"/>
    <w:rsid w:val="000858E3"/>
    <w:rsid w:val="00085933"/>
    <w:rsid w:val="00085A34"/>
    <w:rsid w:val="00085AB4"/>
    <w:rsid w:val="00085AC5"/>
    <w:rsid w:val="00085AE5"/>
    <w:rsid w:val="00085B77"/>
    <w:rsid w:val="00085CE7"/>
    <w:rsid w:val="00085D85"/>
    <w:rsid w:val="00085D8D"/>
    <w:rsid w:val="00085DA6"/>
    <w:rsid w:val="00085DC3"/>
    <w:rsid w:val="00085E2C"/>
    <w:rsid w:val="00085E51"/>
    <w:rsid w:val="00085E9A"/>
    <w:rsid w:val="00085EDB"/>
    <w:rsid w:val="00085EEB"/>
    <w:rsid w:val="00085F1D"/>
    <w:rsid w:val="00086080"/>
    <w:rsid w:val="0008614B"/>
    <w:rsid w:val="0008616A"/>
    <w:rsid w:val="0008617C"/>
    <w:rsid w:val="000861A9"/>
    <w:rsid w:val="000861DD"/>
    <w:rsid w:val="00086237"/>
    <w:rsid w:val="00086263"/>
    <w:rsid w:val="00086319"/>
    <w:rsid w:val="00086353"/>
    <w:rsid w:val="00086387"/>
    <w:rsid w:val="00086419"/>
    <w:rsid w:val="00086443"/>
    <w:rsid w:val="000864BB"/>
    <w:rsid w:val="00086679"/>
    <w:rsid w:val="000866D4"/>
    <w:rsid w:val="00086712"/>
    <w:rsid w:val="00086769"/>
    <w:rsid w:val="00086853"/>
    <w:rsid w:val="000868DF"/>
    <w:rsid w:val="00086982"/>
    <w:rsid w:val="00086A95"/>
    <w:rsid w:val="00086A9A"/>
    <w:rsid w:val="00086ACE"/>
    <w:rsid w:val="00086B86"/>
    <w:rsid w:val="00086C1C"/>
    <w:rsid w:val="00086CD8"/>
    <w:rsid w:val="00086D25"/>
    <w:rsid w:val="00086D50"/>
    <w:rsid w:val="00086DE5"/>
    <w:rsid w:val="00086E18"/>
    <w:rsid w:val="00086E1D"/>
    <w:rsid w:val="00086E39"/>
    <w:rsid w:val="00086E3E"/>
    <w:rsid w:val="00086E3F"/>
    <w:rsid w:val="00086E87"/>
    <w:rsid w:val="00086F61"/>
    <w:rsid w:val="0008705E"/>
    <w:rsid w:val="0008707A"/>
    <w:rsid w:val="00087096"/>
    <w:rsid w:val="0008711E"/>
    <w:rsid w:val="00087123"/>
    <w:rsid w:val="000871DE"/>
    <w:rsid w:val="00087206"/>
    <w:rsid w:val="00087215"/>
    <w:rsid w:val="00087280"/>
    <w:rsid w:val="000872D7"/>
    <w:rsid w:val="000872FF"/>
    <w:rsid w:val="000873A3"/>
    <w:rsid w:val="000873C4"/>
    <w:rsid w:val="000873EE"/>
    <w:rsid w:val="00087424"/>
    <w:rsid w:val="00087434"/>
    <w:rsid w:val="0008758A"/>
    <w:rsid w:val="00087673"/>
    <w:rsid w:val="00087699"/>
    <w:rsid w:val="000876CB"/>
    <w:rsid w:val="0008772F"/>
    <w:rsid w:val="00087742"/>
    <w:rsid w:val="00087756"/>
    <w:rsid w:val="00087775"/>
    <w:rsid w:val="0008778F"/>
    <w:rsid w:val="00087860"/>
    <w:rsid w:val="0008787D"/>
    <w:rsid w:val="000878A8"/>
    <w:rsid w:val="00087968"/>
    <w:rsid w:val="000879CE"/>
    <w:rsid w:val="00087A18"/>
    <w:rsid w:val="00087AAF"/>
    <w:rsid w:val="00087C1B"/>
    <w:rsid w:val="00087C55"/>
    <w:rsid w:val="00087C71"/>
    <w:rsid w:val="00087C97"/>
    <w:rsid w:val="00087D29"/>
    <w:rsid w:val="00087D7A"/>
    <w:rsid w:val="00087E68"/>
    <w:rsid w:val="00087E93"/>
    <w:rsid w:val="00087EAB"/>
    <w:rsid w:val="00087F45"/>
    <w:rsid w:val="00087FBE"/>
    <w:rsid w:val="00090008"/>
    <w:rsid w:val="00090026"/>
    <w:rsid w:val="00090027"/>
    <w:rsid w:val="0009003C"/>
    <w:rsid w:val="000900CC"/>
    <w:rsid w:val="00090105"/>
    <w:rsid w:val="0009010F"/>
    <w:rsid w:val="00090117"/>
    <w:rsid w:val="000901A2"/>
    <w:rsid w:val="000901D6"/>
    <w:rsid w:val="00090307"/>
    <w:rsid w:val="00090430"/>
    <w:rsid w:val="0009057B"/>
    <w:rsid w:val="00090644"/>
    <w:rsid w:val="000906D8"/>
    <w:rsid w:val="000907AC"/>
    <w:rsid w:val="00090916"/>
    <w:rsid w:val="00090922"/>
    <w:rsid w:val="00090938"/>
    <w:rsid w:val="0009099E"/>
    <w:rsid w:val="00090A00"/>
    <w:rsid w:val="00090A90"/>
    <w:rsid w:val="00090B2F"/>
    <w:rsid w:val="00090BB0"/>
    <w:rsid w:val="00090C1D"/>
    <w:rsid w:val="00090C6B"/>
    <w:rsid w:val="00090C80"/>
    <w:rsid w:val="00090D2A"/>
    <w:rsid w:val="00090D30"/>
    <w:rsid w:val="00090D3B"/>
    <w:rsid w:val="00090D4B"/>
    <w:rsid w:val="00090D7B"/>
    <w:rsid w:val="00090DE5"/>
    <w:rsid w:val="00090E58"/>
    <w:rsid w:val="00090F2B"/>
    <w:rsid w:val="0009104F"/>
    <w:rsid w:val="000910DD"/>
    <w:rsid w:val="000910FF"/>
    <w:rsid w:val="000911CC"/>
    <w:rsid w:val="000912FA"/>
    <w:rsid w:val="0009137B"/>
    <w:rsid w:val="00091395"/>
    <w:rsid w:val="00091439"/>
    <w:rsid w:val="00091525"/>
    <w:rsid w:val="0009152D"/>
    <w:rsid w:val="0009156C"/>
    <w:rsid w:val="0009157B"/>
    <w:rsid w:val="00091643"/>
    <w:rsid w:val="00091692"/>
    <w:rsid w:val="000916AA"/>
    <w:rsid w:val="00091729"/>
    <w:rsid w:val="0009182C"/>
    <w:rsid w:val="00091899"/>
    <w:rsid w:val="000918CA"/>
    <w:rsid w:val="000918DD"/>
    <w:rsid w:val="00091958"/>
    <w:rsid w:val="000919CB"/>
    <w:rsid w:val="000919F4"/>
    <w:rsid w:val="00091AAA"/>
    <w:rsid w:val="00091AC3"/>
    <w:rsid w:val="00091ADC"/>
    <w:rsid w:val="00091AF5"/>
    <w:rsid w:val="00091B2C"/>
    <w:rsid w:val="00091B3A"/>
    <w:rsid w:val="00091C39"/>
    <w:rsid w:val="00091C63"/>
    <w:rsid w:val="00091D75"/>
    <w:rsid w:val="00091D87"/>
    <w:rsid w:val="00091D8F"/>
    <w:rsid w:val="00091DB2"/>
    <w:rsid w:val="00091E75"/>
    <w:rsid w:val="00091ED9"/>
    <w:rsid w:val="00091F03"/>
    <w:rsid w:val="00091F33"/>
    <w:rsid w:val="00091F36"/>
    <w:rsid w:val="00091F44"/>
    <w:rsid w:val="00091F9C"/>
    <w:rsid w:val="00091FAA"/>
    <w:rsid w:val="00091FDD"/>
    <w:rsid w:val="00092019"/>
    <w:rsid w:val="0009201C"/>
    <w:rsid w:val="0009225C"/>
    <w:rsid w:val="000922D8"/>
    <w:rsid w:val="00092387"/>
    <w:rsid w:val="00092409"/>
    <w:rsid w:val="00092599"/>
    <w:rsid w:val="00092605"/>
    <w:rsid w:val="00092682"/>
    <w:rsid w:val="000926EF"/>
    <w:rsid w:val="000928E9"/>
    <w:rsid w:val="000928F8"/>
    <w:rsid w:val="0009291E"/>
    <w:rsid w:val="00092980"/>
    <w:rsid w:val="00092988"/>
    <w:rsid w:val="0009298D"/>
    <w:rsid w:val="00092A16"/>
    <w:rsid w:val="00092A7F"/>
    <w:rsid w:val="00092AC3"/>
    <w:rsid w:val="00092B41"/>
    <w:rsid w:val="00092BBE"/>
    <w:rsid w:val="00092BF7"/>
    <w:rsid w:val="00092C1B"/>
    <w:rsid w:val="00092C9A"/>
    <w:rsid w:val="00092CDB"/>
    <w:rsid w:val="00092D1C"/>
    <w:rsid w:val="00092D31"/>
    <w:rsid w:val="00092DD4"/>
    <w:rsid w:val="00092E1C"/>
    <w:rsid w:val="00092F40"/>
    <w:rsid w:val="00092F81"/>
    <w:rsid w:val="00092FA5"/>
    <w:rsid w:val="0009314F"/>
    <w:rsid w:val="00093193"/>
    <w:rsid w:val="000931C5"/>
    <w:rsid w:val="00093268"/>
    <w:rsid w:val="000932C6"/>
    <w:rsid w:val="000933CD"/>
    <w:rsid w:val="0009341B"/>
    <w:rsid w:val="0009351F"/>
    <w:rsid w:val="0009354A"/>
    <w:rsid w:val="0009356A"/>
    <w:rsid w:val="00093615"/>
    <w:rsid w:val="000937DA"/>
    <w:rsid w:val="00093804"/>
    <w:rsid w:val="00093812"/>
    <w:rsid w:val="000938B8"/>
    <w:rsid w:val="000938C4"/>
    <w:rsid w:val="00093915"/>
    <w:rsid w:val="00093934"/>
    <w:rsid w:val="0009398B"/>
    <w:rsid w:val="000939BF"/>
    <w:rsid w:val="000939C4"/>
    <w:rsid w:val="00093A59"/>
    <w:rsid w:val="00093B10"/>
    <w:rsid w:val="00093B21"/>
    <w:rsid w:val="00093CAC"/>
    <w:rsid w:val="00093D44"/>
    <w:rsid w:val="00093D70"/>
    <w:rsid w:val="00093D81"/>
    <w:rsid w:val="00093E29"/>
    <w:rsid w:val="00093E68"/>
    <w:rsid w:val="00093E85"/>
    <w:rsid w:val="00093E89"/>
    <w:rsid w:val="00093EEA"/>
    <w:rsid w:val="00093EF2"/>
    <w:rsid w:val="00093EFC"/>
    <w:rsid w:val="00093F34"/>
    <w:rsid w:val="00093F98"/>
    <w:rsid w:val="00093FD7"/>
    <w:rsid w:val="0009407A"/>
    <w:rsid w:val="000940C8"/>
    <w:rsid w:val="000940F0"/>
    <w:rsid w:val="000940FC"/>
    <w:rsid w:val="000941C4"/>
    <w:rsid w:val="00094352"/>
    <w:rsid w:val="00094363"/>
    <w:rsid w:val="0009439B"/>
    <w:rsid w:val="000943AF"/>
    <w:rsid w:val="00094457"/>
    <w:rsid w:val="0009445A"/>
    <w:rsid w:val="000944F0"/>
    <w:rsid w:val="000944FA"/>
    <w:rsid w:val="0009451E"/>
    <w:rsid w:val="00094539"/>
    <w:rsid w:val="00094548"/>
    <w:rsid w:val="00094557"/>
    <w:rsid w:val="000945BA"/>
    <w:rsid w:val="0009469F"/>
    <w:rsid w:val="0009471D"/>
    <w:rsid w:val="0009480E"/>
    <w:rsid w:val="00094867"/>
    <w:rsid w:val="000948D7"/>
    <w:rsid w:val="000948F3"/>
    <w:rsid w:val="00094A29"/>
    <w:rsid w:val="00094A81"/>
    <w:rsid w:val="00094AC3"/>
    <w:rsid w:val="00094AD9"/>
    <w:rsid w:val="00094AEE"/>
    <w:rsid w:val="00094B70"/>
    <w:rsid w:val="00094B7B"/>
    <w:rsid w:val="00094BAA"/>
    <w:rsid w:val="00094C09"/>
    <w:rsid w:val="00094C10"/>
    <w:rsid w:val="00094C86"/>
    <w:rsid w:val="00094CAC"/>
    <w:rsid w:val="00094CC0"/>
    <w:rsid w:val="00094D27"/>
    <w:rsid w:val="00094D2A"/>
    <w:rsid w:val="00094D30"/>
    <w:rsid w:val="00094DA7"/>
    <w:rsid w:val="00094DC8"/>
    <w:rsid w:val="00094E0B"/>
    <w:rsid w:val="00094E5F"/>
    <w:rsid w:val="00094E69"/>
    <w:rsid w:val="00094EC1"/>
    <w:rsid w:val="00094F16"/>
    <w:rsid w:val="00094F4E"/>
    <w:rsid w:val="00094FB4"/>
    <w:rsid w:val="00094FE0"/>
    <w:rsid w:val="0009503D"/>
    <w:rsid w:val="0009505D"/>
    <w:rsid w:val="000950AF"/>
    <w:rsid w:val="0009510F"/>
    <w:rsid w:val="00095167"/>
    <w:rsid w:val="000951AD"/>
    <w:rsid w:val="000951BA"/>
    <w:rsid w:val="0009523C"/>
    <w:rsid w:val="00095335"/>
    <w:rsid w:val="00095417"/>
    <w:rsid w:val="0009554C"/>
    <w:rsid w:val="000955C5"/>
    <w:rsid w:val="000955D6"/>
    <w:rsid w:val="0009565E"/>
    <w:rsid w:val="00095689"/>
    <w:rsid w:val="000956C8"/>
    <w:rsid w:val="00095793"/>
    <w:rsid w:val="000957B9"/>
    <w:rsid w:val="000957D4"/>
    <w:rsid w:val="00095820"/>
    <w:rsid w:val="0009583F"/>
    <w:rsid w:val="00095886"/>
    <w:rsid w:val="0009588D"/>
    <w:rsid w:val="000958D7"/>
    <w:rsid w:val="000959B0"/>
    <w:rsid w:val="00095AD0"/>
    <w:rsid w:val="00095AEA"/>
    <w:rsid w:val="00095B20"/>
    <w:rsid w:val="00095B48"/>
    <w:rsid w:val="00095BE4"/>
    <w:rsid w:val="00095C41"/>
    <w:rsid w:val="00095C4F"/>
    <w:rsid w:val="00095CAE"/>
    <w:rsid w:val="00095D1A"/>
    <w:rsid w:val="00095DB6"/>
    <w:rsid w:val="00095E3B"/>
    <w:rsid w:val="00095E5B"/>
    <w:rsid w:val="00095EE5"/>
    <w:rsid w:val="00095EF5"/>
    <w:rsid w:val="00095F96"/>
    <w:rsid w:val="00095F98"/>
    <w:rsid w:val="00095FB3"/>
    <w:rsid w:val="00095FCA"/>
    <w:rsid w:val="00095FF0"/>
    <w:rsid w:val="00096025"/>
    <w:rsid w:val="00096095"/>
    <w:rsid w:val="000960B3"/>
    <w:rsid w:val="000960BB"/>
    <w:rsid w:val="00096138"/>
    <w:rsid w:val="0009614F"/>
    <w:rsid w:val="0009615A"/>
    <w:rsid w:val="000961A3"/>
    <w:rsid w:val="000961ED"/>
    <w:rsid w:val="00096353"/>
    <w:rsid w:val="00096374"/>
    <w:rsid w:val="0009639F"/>
    <w:rsid w:val="000963CD"/>
    <w:rsid w:val="000963F0"/>
    <w:rsid w:val="00096460"/>
    <w:rsid w:val="0009646E"/>
    <w:rsid w:val="00096491"/>
    <w:rsid w:val="000964F0"/>
    <w:rsid w:val="00096547"/>
    <w:rsid w:val="00096574"/>
    <w:rsid w:val="00096594"/>
    <w:rsid w:val="000965BB"/>
    <w:rsid w:val="000965E4"/>
    <w:rsid w:val="000965E6"/>
    <w:rsid w:val="00096629"/>
    <w:rsid w:val="00096697"/>
    <w:rsid w:val="000966A0"/>
    <w:rsid w:val="000966F6"/>
    <w:rsid w:val="00096755"/>
    <w:rsid w:val="0009690E"/>
    <w:rsid w:val="0009693D"/>
    <w:rsid w:val="000969AE"/>
    <w:rsid w:val="000969C4"/>
    <w:rsid w:val="00096A20"/>
    <w:rsid w:val="00096A3F"/>
    <w:rsid w:val="00096AED"/>
    <w:rsid w:val="00096B8C"/>
    <w:rsid w:val="00096BCF"/>
    <w:rsid w:val="00096C54"/>
    <w:rsid w:val="00096C86"/>
    <w:rsid w:val="00096CF8"/>
    <w:rsid w:val="00096D85"/>
    <w:rsid w:val="00096D93"/>
    <w:rsid w:val="00096DC7"/>
    <w:rsid w:val="00096E29"/>
    <w:rsid w:val="00096E60"/>
    <w:rsid w:val="00096EBC"/>
    <w:rsid w:val="00096F0F"/>
    <w:rsid w:val="00096F2E"/>
    <w:rsid w:val="00096F8D"/>
    <w:rsid w:val="00097015"/>
    <w:rsid w:val="00097074"/>
    <w:rsid w:val="000970EF"/>
    <w:rsid w:val="00097140"/>
    <w:rsid w:val="000971E8"/>
    <w:rsid w:val="0009728B"/>
    <w:rsid w:val="00097322"/>
    <w:rsid w:val="000973E8"/>
    <w:rsid w:val="0009743E"/>
    <w:rsid w:val="00097463"/>
    <w:rsid w:val="00097530"/>
    <w:rsid w:val="00097627"/>
    <w:rsid w:val="0009765B"/>
    <w:rsid w:val="000976B7"/>
    <w:rsid w:val="000976BA"/>
    <w:rsid w:val="000976BE"/>
    <w:rsid w:val="00097730"/>
    <w:rsid w:val="00097759"/>
    <w:rsid w:val="00097775"/>
    <w:rsid w:val="0009777C"/>
    <w:rsid w:val="000977B9"/>
    <w:rsid w:val="000977D9"/>
    <w:rsid w:val="0009783B"/>
    <w:rsid w:val="0009786A"/>
    <w:rsid w:val="000978AA"/>
    <w:rsid w:val="000978B3"/>
    <w:rsid w:val="00097936"/>
    <w:rsid w:val="0009796F"/>
    <w:rsid w:val="00097995"/>
    <w:rsid w:val="0009799F"/>
    <w:rsid w:val="000979B3"/>
    <w:rsid w:val="00097A07"/>
    <w:rsid w:val="00097A2F"/>
    <w:rsid w:val="00097B17"/>
    <w:rsid w:val="00097C3B"/>
    <w:rsid w:val="00097C52"/>
    <w:rsid w:val="00097D19"/>
    <w:rsid w:val="00097D5D"/>
    <w:rsid w:val="00097DF6"/>
    <w:rsid w:val="00097E25"/>
    <w:rsid w:val="00097E53"/>
    <w:rsid w:val="00097FE6"/>
    <w:rsid w:val="00097FF3"/>
    <w:rsid w:val="000A0021"/>
    <w:rsid w:val="000A0031"/>
    <w:rsid w:val="000A0032"/>
    <w:rsid w:val="000A004E"/>
    <w:rsid w:val="000A0071"/>
    <w:rsid w:val="000A00D2"/>
    <w:rsid w:val="000A0105"/>
    <w:rsid w:val="000A0197"/>
    <w:rsid w:val="000A01A6"/>
    <w:rsid w:val="000A01A9"/>
    <w:rsid w:val="000A01BC"/>
    <w:rsid w:val="000A01D4"/>
    <w:rsid w:val="000A01E6"/>
    <w:rsid w:val="000A01E7"/>
    <w:rsid w:val="000A01F2"/>
    <w:rsid w:val="000A02F1"/>
    <w:rsid w:val="000A0301"/>
    <w:rsid w:val="000A03B4"/>
    <w:rsid w:val="000A03CC"/>
    <w:rsid w:val="000A03E7"/>
    <w:rsid w:val="000A03EB"/>
    <w:rsid w:val="000A0404"/>
    <w:rsid w:val="000A0437"/>
    <w:rsid w:val="000A0438"/>
    <w:rsid w:val="000A0485"/>
    <w:rsid w:val="000A0494"/>
    <w:rsid w:val="000A04EB"/>
    <w:rsid w:val="000A053A"/>
    <w:rsid w:val="000A055A"/>
    <w:rsid w:val="000A058C"/>
    <w:rsid w:val="000A05C4"/>
    <w:rsid w:val="000A0673"/>
    <w:rsid w:val="000A0681"/>
    <w:rsid w:val="000A06E7"/>
    <w:rsid w:val="000A070F"/>
    <w:rsid w:val="000A072A"/>
    <w:rsid w:val="000A075C"/>
    <w:rsid w:val="000A07A0"/>
    <w:rsid w:val="000A07B9"/>
    <w:rsid w:val="000A07E2"/>
    <w:rsid w:val="000A07FF"/>
    <w:rsid w:val="000A0816"/>
    <w:rsid w:val="000A082A"/>
    <w:rsid w:val="000A0891"/>
    <w:rsid w:val="000A08FA"/>
    <w:rsid w:val="000A0A38"/>
    <w:rsid w:val="000A0AD2"/>
    <w:rsid w:val="000A0B06"/>
    <w:rsid w:val="000A0B44"/>
    <w:rsid w:val="000A0BC7"/>
    <w:rsid w:val="000A0BE8"/>
    <w:rsid w:val="000A0BFA"/>
    <w:rsid w:val="000A0CFC"/>
    <w:rsid w:val="000A0D2B"/>
    <w:rsid w:val="000A0E25"/>
    <w:rsid w:val="000A0E89"/>
    <w:rsid w:val="000A0EB3"/>
    <w:rsid w:val="000A0EDD"/>
    <w:rsid w:val="000A0F1F"/>
    <w:rsid w:val="000A0F72"/>
    <w:rsid w:val="000A0FCB"/>
    <w:rsid w:val="000A109D"/>
    <w:rsid w:val="000A110D"/>
    <w:rsid w:val="000A1111"/>
    <w:rsid w:val="000A1119"/>
    <w:rsid w:val="000A1135"/>
    <w:rsid w:val="000A1154"/>
    <w:rsid w:val="000A1155"/>
    <w:rsid w:val="000A1171"/>
    <w:rsid w:val="000A117C"/>
    <w:rsid w:val="000A11A0"/>
    <w:rsid w:val="000A11C4"/>
    <w:rsid w:val="000A121E"/>
    <w:rsid w:val="000A1227"/>
    <w:rsid w:val="000A124B"/>
    <w:rsid w:val="000A12A1"/>
    <w:rsid w:val="000A131B"/>
    <w:rsid w:val="000A13EA"/>
    <w:rsid w:val="000A13F4"/>
    <w:rsid w:val="000A1434"/>
    <w:rsid w:val="000A1466"/>
    <w:rsid w:val="000A14C5"/>
    <w:rsid w:val="000A14E6"/>
    <w:rsid w:val="000A1515"/>
    <w:rsid w:val="000A152E"/>
    <w:rsid w:val="000A15A2"/>
    <w:rsid w:val="000A1616"/>
    <w:rsid w:val="000A1628"/>
    <w:rsid w:val="000A166E"/>
    <w:rsid w:val="000A168D"/>
    <w:rsid w:val="000A16C2"/>
    <w:rsid w:val="000A16C4"/>
    <w:rsid w:val="000A16E2"/>
    <w:rsid w:val="000A175D"/>
    <w:rsid w:val="000A1799"/>
    <w:rsid w:val="000A17B5"/>
    <w:rsid w:val="000A180B"/>
    <w:rsid w:val="000A18A3"/>
    <w:rsid w:val="000A18E0"/>
    <w:rsid w:val="000A18E7"/>
    <w:rsid w:val="000A1939"/>
    <w:rsid w:val="000A1947"/>
    <w:rsid w:val="000A195B"/>
    <w:rsid w:val="000A1A05"/>
    <w:rsid w:val="000A1A53"/>
    <w:rsid w:val="000A1A58"/>
    <w:rsid w:val="000A1A70"/>
    <w:rsid w:val="000A1ACA"/>
    <w:rsid w:val="000A1B2C"/>
    <w:rsid w:val="000A1B3E"/>
    <w:rsid w:val="000A1B56"/>
    <w:rsid w:val="000A1B70"/>
    <w:rsid w:val="000A1B7D"/>
    <w:rsid w:val="000A1BF4"/>
    <w:rsid w:val="000A1C34"/>
    <w:rsid w:val="000A1C75"/>
    <w:rsid w:val="000A1D82"/>
    <w:rsid w:val="000A1DB2"/>
    <w:rsid w:val="000A1E00"/>
    <w:rsid w:val="000A1E14"/>
    <w:rsid w:val="000A1E6C"/>
    <w:rsid w:val="000A1E7A"/>
    <w:rsid w:val="000A1ED3"/>
    <w:rsid w:val="000A1FBB"/>
    <w:rsid w:val="000A1FEA"/>
    <w:rsid w:val="000A2035"/>
    <w:rsid w:val="000A2060"/>
    <w:rsid w:val="000A2065"/>
    <w:rsid w:val="000A217A"/>
    <w:rsid w:val="000A218B"/>
    <w:rsid w:val="000A21F0"/>
    <w:rsid w:val="000A2224"/>
    <w:rsid w:val="000A2268"/>
    <w:rsid w:val="000A2348"/>
    <w:rsid w:val="000A238C"/>
    <w:rsid w:val="000A2403"/>
    <w:rsid w:val="000A240E"/>
    <w:rsid w:val="000A248A"/>
    <w:rsid w:val="000A259F"/>
    <w:rsid w:val="000A25E3"/>
    <w:rsid w:val="000A2619"/>
    <w:rsid w:val="000A2626"/>
    <w:rsid w:val="000A265B"/>
    <w:rsid w:val="000A2677"/>
    <w:rsid w:val="000A26AD"/>
    <w:rsid w:val="000A26FA"/>
    <w:rsid w:val="000A2725"/>
    <w:rsid w:val="000A275E"/>
    <w:rsid w:val="000A2774"/>
    <w:rsid w:val="000A27A2"/>
    <w:rsid w:val="000A2804"/>
    <w:rsid w:val="000A2835"/>
    <w:rsid w:val="000A28A5"/>
    <w:rsid w:val="000A2935"/>
    <w:rsid w:val="000A29DD"/>
    <w:rsid w:val="000A29E1"/>
    <w:rsid w:val="000A29E6"/>
    <w:rsid w:val="000A2A0C"/>
    <w:rsid w:val="000A2A3E"/>
    <w:rsid w:val="000A2A7E"/>
    <w:rsid w:val="000A2AF1"/>
    <w:rsid w:val="000A2CBC"/>
    <w:rsid w:val="000A2D43"/>
    <w:rsid w:val="000A2D75"/>
    <w:rsid w:val="000A2E3D"/>
    <w:rsid w:val="000A2E43"/>
    <w:rsid w:val="000A2E9D"/>
    <w:rsid w:val="000A300D"/>
    <w:rsid w:val="000A3011"/>
    <w:rsid w:val="000A3050"/>
    <w:rsid w:val="000A30C4"/>
    <w:rsid w:val="000A312B"/>
    <w:rsid w:val="000A313B"/>
    <w:rsid w:val="000A3179"/>
    <w:rsid w:val="000A317F"/>
    <w:rsid w:val="000A31BD"/>
    <w:rsid w:val="000A3291"/>
    <w:rsid w:val="000A3298"/>
    <w:rsid w:val="000A3306"/>
    <w:rsid w:val="000A3313"/>
    <w:rsid w:val="000A3392"/>
    <w:rsid w:val="000A3411"/>
    <w:rsid w:val="000A34D2"/>
    <w:rsid w:val="000A3526"/>
    <w:rsid w:val="000A3537"/>
    <w:rsid w:val="000A35DF"/>
    <w:rsid w:val="000A3628"/>
    <w:rsid w:val="000A364E"/>
    <w:rsid w:val="000A384A"/>
    <w:rsid w:val="000A3877"/>
    <w:rsid w:val="000A392E"/>
    <w:rsid w:val="000A398A"/>
    <w:rsid w:val="000A39CF"/>
    <w:rsid w:val="000A3B73"/>
    <w:rsid w:val="000A3B7E"/>
    <w:rsid w:val="000A3BFB"/>
    <w:rsid w:val="000A3BFF"/>
    <w:rsid w:val="000A3C04"/>
    <w:rsid w:val="000A3C3D"/>
    <w:rsid w:val="000A3C41"/>
    <w:rsid w:val="000A3C7D"/>
    <w:rsid w:val="000A3C9D"/>
    <w:rsid w:val="000A3CA0"/>
    <w:rsid w:val="000A3CD4"/>
    <w:rsid w:val="000A3CF7"/>
    <w:rsid w:val="000A3D14"/>
    <w:rsid w:val="000A3D37"/>
    <w:rsid w:val="000A3D44"/>
    <w:rsid w:val="000A3E20"/>
    <w:rsid w:val="000A3ECA"/>
    <w:rsid w:val="000A3ED1"/>
    <w:rsid w:val="000A3F3F"/>
    <w:rsid w:val="000A3F8A"/>
    <w:rsid w:val="000A3F8D"/>
    <w:rsid w:val="000A404A"/>
    <w:rsid w:val="000A40E9"/>
    <w:rsid w:val="000A4121"/>
    <w:rsid w:val="000A418E"/>
    <w:rsid w:val="000A4196"/>
    <w:rsid w:val="000A41C1"/>
    <w:rsid w:val="000A4313"/>
    <w:rsid w:val="000A4337"/>
    <w:rsid w:val="000A4369"/>
    <w:rsid w:val="000A43B7"/>
    <w:rsid w:val="000A43E4"/>
    <w:rsid w:val="000A448F"/>
    <w:rsid w:val="000A4555"/>
    <w:rsid w:val="000A45C5"/>
    <w:rsid w:val="000A4608"/>
    <w:rsid w:val="000A4747"/>
    <w:rsid w:val="000A47F7"/>
    <w:rsid w:val="000A4882"/>
    <w:rsid w:val="000A49E5"/>
    <w:rsid w:val="000A4A6B"/>
    <w:rsid w:val="000A4A8B"/>
    <w:rsid w:val="000A4B48"/>
    <w:rsid w:val="000A4B8F"/>
    <w:rsid w:val="000A4BDE"/>
    <w:rsid w:val="000A4CF9"/>
    <w:rsid w:val="000A4D66"/>
    <w:rsid w:val="000A4D77"/>
    <w:rsid w:val="000A4DB4"/>
    <w:rsid w:val="000A4DC9"/>
    <w:rsid w:val="000A4EAC"/>
    <w:rsid w:val="000A4F9F"/>
    <w:rsid w:val="000A4FDD"/>
    <w:rsid w:val="000A5009"/>
    <w:rsid w:val="000A50A9"/>
    <w:rsid w:val="000A50D0"/>
    <w:rsid w:val="000A511A"/>
    <w:rsid w:val="000A516B"/>
    <w:rsid w:val="000A5171"/>
    <w:rsid w:val="000A518E"/>
    <w:rsid w:val="000A51B7"/>
    <w:rsid w:val="000A5210"/>
    <w:rsid w:val="000A5253"/>
    <w:rsid w:val="000A525E"/>
    <w:rsid w:val="000A52CC"/>
    <w:rsid w:val="000A531A"/>
    <w:rsid w:val="000A5461"/>
    <w:rsid w:val="000A54C9"/>
    <w:rsid w:val="000A54DF"/>
    <w:rsid w:val="000A55B2"/>
    <w:rsid w:val="000A5691"/>
    <w:rsid w:val="000A5696"/>
    <w:rsid w:val="000A56D3"/>
    <w:rsid w:val="000A575A"/>
    <w:rsid w:val="000A5787"/>
    <w:rsid w:val="000A5827"/>
    <w:rsid w:val="000A58DC"/>
    <w:rsid w:val="000A5920"/>
    <w:rsid w:val="000A5959"/>
    <w:rsid w:val="000A5A07"/>
    <w:rsid w:val="000A5A1A"/>
    <w:rsid w:val="000A5A45"/>
    <w:rsid w:val="000A5A66"/>
    <w:rsid w:val="000A5B17"/>
    <w:rsid w:val="000A5B2D"/>
    <w:rsid w:val="000A5B79"/>
    <w:rsid w:val="000A5CA7"/>
    <w:rsid w:val="000A5D84"/>
    <w:rsid w:val="000A5EA3"/>
    <w:rsid w:val="000A6074"/>
    <w:rsid w:val="000A60E8"/>
    <w:rsid w:val="000A60F8"/>
    <w:rsid w:val="000A6261"/>
    <w:rsid w:val="000A630B"/>
    <w:rsid w:val="000A633C"/>
    <w:rsid w:val="000A64D9"/>
    <w:rsid w:val="000A64E4"/>
    <w:rsid w:val="000A64F4"/>
    <w:rsid w:val="000A6577"/>
    <w:rsid w:val="000A658E"/>
    <w:rsid w:val="000A65C0"/>
    <w:rsid w:val="000A6625"/>
    <w:rsid w:val="000A666B"/>
    <w:rsid w:val="000A676B"/>
    <w:rsid w:val="000A6791"/>
    <w:rsid w:val="000A67C9"/>
    <w:rsid w:val="000A68A1"/>
    <w:rsid w:val="000A68B0"/>
    <w:rsid w:val="000A6933"/>
    <w:rsid w:val="000A6952"/>
    <w:rsid w:val="000A69A9"/>
    <w:rsid w:val="000A69F3"/>
    <w:rsid w:val="000A69FC"/>
    <w:rsid w:val="000A6A51"/>
    <w:rsid w:val="000A6BB0"/>
    <w:rsid w:val="000A6C7A"/>
    <w:rsid w:val="000A6CC7"/>
    <w:rsid w:val="000A6CEC"/>
    <w:rsid w:val="000A6EF0"/>
    <w:rsid w:val="000A6F68"/>
    <w:rsid w:val="000A6F94"/>
    <w:rsid w:val="000A6F99"/>
    <w:rsid w:val="000A6FF1"/>
    <w:rsid w:val="000A703E"/>
    <w:rsid w:val="000A709B"/>
    <w:rsid w:val="000A70B7"/>
    <w:rsid w:val="000A711E"/>
    <w:rsid w:val="000A71AD"/>
    <w:rsid w:val="000A71B2"/>
    <w:rsid w:val="000A71BF"/>
    <w:rsid w:val="000A7202"/>
    <w:rsid w:val="000A72B8"/>
    <w:rsid w:val="000A7399"/>
    <w:rsid w:val="000A73EE"/>
    <w:rsid w:val="000A747C"/>
    <w:rsid w:val="000A74A1"/>
    <w:rsid w:val="000A75B2"/>
    <w:rsid w:val="000A75FE"/>
    <w:rsid w:val="000A7674"/>
    <w:rsid w:val="000A7700"/>
    <w:rsid w:val="000A7751"/>
    <w:rsid w:val="000A7772"/>
    <w:rsid w:val="000A779E"/>
    <w:rsid w:val="000A78C7"/>
    <w:rsid w:val="000A7965"/>
    <w:rsid w:val="000A796D"/>
    <w:rsid w:val="000A7996"/>
    <w:rsid w:val="000A7A7A"/>
    <w:rsid w:val="000A7AC6"/>
    <w:rsid w:val="000A7AE7"/>
    <w:rsid w:val="000A7B16"/>
    <w:rsid w:val="000A7B57"/>
    <w:rsid w:val="000A7BA6"/>
    <w:rsid w:val="000A7C06"/>
    <w:rsid w:val="000A7C4D"/>
    <w:rsid w:val="000A7CBD"/>
    <w:rsid w:val="000A7D98"/>
    <w:rsid w:val="000A7DC2"/>
    <w:rsid w:val="000A7DDB"/>
    <w:rsid w:val="000A7E70"/>
    <w:rsid w:val="000A7EDC"/>
    <w:rsid w:val="000A7EF8"/>
    <w:rsid w:val="000A7F33"/>
    <w:rsid w:val="000A7F39"/>
    <w:rsid w:val="000A7F99"/>
    <w:rsid w:val="000A7FA9"/>
    <w:rsid w:val="000A7FC1"/>
    <w:rsid w:val="000A7FF5"/>
    <w:rsid w:val="000B009A"/>
    <w:rsid w:val="000B0181"/>
    <w:rsid w:val="000B0205"/>
    <w:rsid w:val="000B020E"/>
    <w:rsid w:val="000B0227"/>
    <w:rsid w:val="000B0268"/>
    <w:rsid w:val="000B0277"/>
    <w:rsid w:val="000B027A"/>
    <w:rsid w:val="000B0287"/>
    <w:rsid w:val="000B02D3"/>
    <w:rsid w:val="000B0343"/>
    <w:rsid w:val="000B034F"/>
    <w:rsid w:val="000B0352"/>
    <w:rsid w:val="000B0389"/>
    <w:rsid w:val="000B0435"/>
    <w:rsid w:val="000B045B"/>
    <w:rsid w:val="000B053B"/>
    <w:rsid w:val="000B0543"/>
    <w:rsid w:val="000B057B"/>
    <w:rsid w:val="000B0677"/>
    <w:rsid w:val="000B06D5"/>
    <w:rsid w:val="000B06D9"/>
    <w:rsid w:val="000B078B"/>
    <w:rsid w:val="000B07E0"/>
    <w:rsid w:val="000B097D"/>
    <w:rsid w:val="000B09AE"/>
    <w:rsid w:val="000B09EE"/>
    <w:rsid w:val="000B0ABA"/>
    <w:rsid w:val="000B0AC4"/>
    <w:rsid w:val="000B0B6C"/>
    <w:rsid w:val="000B0B72"/>
    <w:rsid w:val="000B0B8D"/>
    <w:rsid w:val="000B0C0D"/>
    <w:rsid w:val="000B0C82"/>
    <w:rsid w:val="000B0CC0"/>
    <w:rsid w:val="000B0D72"/>
    <w:rsid w:val="000B0E1F"/>
    <w:rsid w:val="000B0E33"/>
    <w:rsid w:val="000B0E8C"/>
    <w:rsid w:val="000B0EB6"/>
    <w:rsid w:val="000B0F89"/>
    <w:rsid w:val="000B10D4"/>
    <w:rsid w:val="000B119A"/>
    <w:rsid w:val="000B12CF"/>
    <w:rsid w:val="000B1333"/>
    <w:rsid w:val="000B1399"/>
    <w:rsid w:val="000B1403"/>
    <w:rsid w:val="000B1421"/>
    <w:rsid w:val="000B1487"/>
    <w:rsid w:val="000B1493"/>
    <w:rsid w:val="000B14B3"/>
    <w:rsid w:val="000B14C0"/>
    <w:rsid w:val="000B1587"/>
    <w:rsid w:val="000B15B6"/>
    <w:rsid w:val="000B15F7"/>
    <w:rsid w:val="000B163B"/>
    <w:rsid w:val="000B1739"/>
    <w:rsid w:val="000B173B"/>
    <w:rsid w:val="000B17A9"/>
    <w:rsid w:val="000B1866"/>
    <w:rsid w:val="000B1869"/>
    <w:rsid w:val="000B18C1"/>
    <w:rsid w:val="000B1901"/>
    <w:rsid w:val="000B19C4"/>
    <w:rsid w:val="000B19F0"/>
    <w:rsid w:val="000B1A6B"/>
    <w:rsid w:val="000B1B1D"/>
    <w:rsid w:val="000B1B21"/>
    <w:rsid w:val="000B1B29"/>
    <w:rsid w:val="000B1C79"/>
    <w:rsid w:val="000B1C97"/>
    <w:rsid w:val="000B1D59"/>
    <w:rsid w:val="000B1DD8"/>
    <w:rsid w:val="000B1DF1"/>
    <w:rsid w:val="000B1DFB"/>
    <w:rsid w:val="000B1E18"/>
    <w:rsid w:val="000B1E2A"/>
    <w:rsid w:val="000B205D"/>
    <w:rsid w:val="000B210E"/>
    <w:rsid w:val="000B211C"/>
    <w:rsid w:val="000B2132"/>
    <w:rsid w:val="000B213C"/>
    <w:rsid w:val="000B2172"/>
    <w:rsid w:val="000B2186"/>
    <w:rsid w:val="000B21A3"/>
    <w:rsid w:val="000B2230"/>
    <w:rsid w:val="000B2271"/>
    <w:rsid w:val="000B2280"/>
    <w:rsid w:val="000B22C4"/>
    <w:rsid w:val="000B2360"/>
    <w:rsid w:val="000B2361"/>
    <w:rsid w:val="000B2446"/>
    <w:rsid w:val="000B246D"/>
    <w:rsid w:val="000B247F"/>
    <w:rsid w:val="000B2667"/>
    <w:rsid w:val="000B2696"/>
    <w:rsid w:val="000B26AB"/>
    <w:rsid w:val="000B26B1"/>
    <w:rsid w:val="000B275B"/>
    <w:rsid w:val="000B27F4"/>
    <w:rsid w:val="000B2844"/>
    <w:rsid w:val="000B28DE"/>
    <w:rsid w:val="000B28EA"/>
    <w:rsid w:val="000B293D"/>
    <w:rsid w:val="000B299F"/>
    <w:rsid w:val="000B29A7"/>
    <w:rsid w:val="000B29BF"/>
    <w:rsid w:val="000B29D3"/>
    <w:rsid w:val="000B29ED"/>
    <w:rsid w:val="000B2B0B"/>
    <w:rsid w:val="000B2B3E"/>
    <w:rsid w:val="000B2B4D"/>
    <w:rsid w:val="000B2BB8"/>
    <w:rsid w:val="000B2C25"/>
    <w:rsid w:val="000B2C94"/>
    <w:rsid w:val="000B2D25"/>
    <w:rsid w:val="000B2D4F"/>
    <w:rsid w:val="000B2DA9"/>
    <w:rsid w:val="000B2DB9"/>
    <w:rsid w:val="000B2E6C"/>
    <w:rsid w:val="000B2F7D"/>
    <w:rsid w:val="000B2FE2"/>
    <w:rsid w:val="000B2FEC"/>
    <w:rsid w:val="000B30D1"/>
    <w:rsid w:val="000B31B1"/>
    <w:rsid w:val="000B31CC"/>
    <w:rsid w:val="000B31FE"/>
    <w:rsid w:val="000B3200"/>
    <w:rsid w:val="000B326A"/>
    <w:rsid w:val="000B32E9"/>
    <w:rsid w:val="000B3339"/>
    <w:rsid w:val="000B33BF"/>
    <w:rsid w:val="000B33E8"/>
    <w:rsid w:val="000B3529"/>
    <w:rsid w:val="000B356C"/>
    <w:rsid w:val="000B36A4"/>
    <w:rsid w:val="000B36BB"/>
    <w:rsid w:val="000B36E9"/>
    <w:rsid w:val="000B3758"/>
    <w:rsid w:val="000B376D"/>
    <w:rsid w:val="000B378C"/>
    <w:rsid w:val="000B3883"/>
    <w:rsid w:val="000B3885"/>
    <w:rsid w:val="000B38DB"/>
    <w:rsid w:val="000B3959"/>
    <w:rsid w:val="000B39E1"/>
    <w:rsid w:val="000B3ABD"/>
    <w:rsid w:val="000B3AE8"/>
    <w:rsid w:val="000B3AED"/>
    <w:rsid w:val="000B3B02"/>
    <w:rsid w:val="000B3B0F"/>
    <w:rsid w:val="000B3B11"/>
    <w:rsid w:val="000B3B14"/>
    <w:rsid w:val="000B3BDC"/>
    <w:rsid w:val="000B3C7F"/>
    <w:rsid w:val="000B3CE9"/>
    <w:rsid w:val="000B3D58"/>
    <w:rsid w:val="000B3EA6"/>
    <w:rsid w:val="000B3EDB"/>
    <w:rsid w:val="000B3F42"/>
    <w:rsid w:val="000B3F76"/>
    <w:rsid w:val="000B3F85"/>
    <w:rsid w:val="000B4045"/>
    <w:rsid w:val="000B404A"/>
    <w:rsid w:val="000B4097"/>
    <w:rsid w:val="000B40FC"/>
    <w:rsid w:val="000B4131"/>
    <w:rsid w:val="000B41BF"/>
    <w:rsid w:val="000B41C2"/>
    <w:rsid w:val="000B41DA"/>
    <w:rsid w:val="000B41E6"/>
    <w:rsid w:val="000B432F"/>
    <w:rsid w:val="000B4348"/>
    <w:rsid w:val="000B437A"/>
    <w:rsid w:val="000B4438"/>
    <w:rsid w:val="000B449B"/>
    <w:rsid w:val="000B44F5"/>
    <w:rsid w:val="000B4549"/>
    <w:rsid w:val="000B46C9"/>
    <w:rsid w:val="000B4702"/>
    <w:rsid w:val="000B472F"/>
    <w:rsid w:val="000B4777"/>
    <w:rsid w:val="000B4812"/>
    <w:rsid w:val="000B4844"/>
    <w:rsid w:val="000B487E"/>
    <w:rsid w:val="000B4916"/>
    <w:rsid w:val="000B497E"/>
    <w:rsid w:val="000B49C5"/>
    <w:rsid w:val="000B49C8"/>
    <w:rsid w:val="000B49FF"/>
    <w:rsid w:val="000B4A10"/>
    <w:rsid w:val="000B4A61"/>
    <w:rsid w:val="000B4A8E"/>
    <w:rsid w:val="000B4AA3"/>
    <w:rsid w:val="000B4AEF"/>
    <w:rsid w:val="000B4B6F"/>
    <w:rsid w:val="000B4B79"/>
    <w:rsid w:val="000B4B91"/>
    <w:rsid w:val="000B4BD0"/>
    <w:rsid w:val="000B4BD4"/>
    <w:rsid w:val="000B4C12"/>
    <w:rsid w:val="000B4CB4"/>
    <w:rsid w:val="000B4CDC"/>
    <w:rsid w:val="000B4CE5"/>
    <w:rsid w:val="000B4CEC"/>
    <w:rsid w:val="000B4D4F"/>
    <w:rsid w:val="000B4EEA"/>
    <w:rsid w:val="000B4F06"/>
    <w:rsid w:val="000B4F80"/>
    <w:rsid w:val="000B4F99"/>
    <w:rsid w:val="000B5000"/>
    <w:rsid w:val="000B5098"/>
    <w:rsid w:val="000B5137"/>
    <w:rsid w:val="000B52A6"/>
    <w:rsid w:val="000B52C5"/>
    <w:rsid w:val="000B537B"/>
    <w:rsid w:val="000B538F"/>
    <w:rsid w:val="000B53B2"/>
    <w:rsid w:val="000B543A"/>
    <w:rsid w:val="000B545B"/>
    <w:rsid w:val="000B5464"/>
    <w:rsid w:val="000B547E"/>
    <w:rsid w:val="000B5485"/>
    <w:rsid w:val="000B54D6"/>
    <w:rsid w:val="000B559B"/>
    <w:rsid w:val="000B55E3"/>
    <w:rsid w:val="000B55EA"/>
    <w:rsid w:val="000B5613"/>
    <w:rsid w:val="000B5627"/>
    <w:rsid w:val="000B563E"/>
    <w:rsid w:val="000B5652"/>
    <w:rsid w:val="000B566B"/>
    <w:rsid w:val="000B56BD"/>
    <w:rsid w:val="000B577D"/>
    <w:rsid w:val="000B57A2"/>
    <w:rsid w:val="000B57AF"/>
    <w:rsid w:val="000B582C"/>
    <w:rsid w:val="000B584A"/>
    <w:rsid w:val="000B5857"/>
    <w:rsid w:val="000B5893"/>
    <w:rsid w:val="000B5912"/>
    <w:rsid w:val="000B5915"/>
    <w:rsid w:val="000B5950"/>
    <w:rsid w:val="000B59A3"/>
    <w:rsid w:val="000B59FE"/>
    <w:rsid w:val="000B5A00"/>
    <w:rsid w:val="000B5A32"/>
    <w:rsid w:val="000B5AC1"/>
    <w:rsid w:val="000B5ADE"/>
    <w:rsid w:val="000B5AF4"/>
    <w:rsid w:val="000B5B39"/>
    <w:rsid w:val="000B5B52"/>
    <w:rsid w:val="000B5B7E"/>
    <w:rsid w:val="000B5BAE"/>
    <w:rsid w:val="000B5C6F"/>
    <w:rsid w:val="000B5C9E"/>
    <w:rsid w:val="000B5D38"/>
    <w:rsid w:val="000B5D3E"/>
    <w:rsid w:val="000B5D3F"/>
    <w:rsid w:val="000B5D48"/>
    <w:rsid w:val="000B5D4C"/>
    <w:rsid w:val="000B5D55"/>
    <w:rsid w:val="000B5D88"/>
    <w:rsid w:val="000B5DA1"/>
    <w:rsid w:val="000B5DF1"/>
    <w:rsid w:val="000B5E1D"/>
    <w:rsid w:val="000B5EB9"/>
    <w:rsid w:val="000B5EEF"/>
    <w:rsid w:val="000B5F06"/>
    <w:rsid w:val="000B5F0F"/>
    <w:rsid w:val="000B5F72"/>
    <w:rsid w:val="000B5F8E"/>
    <w:rsid w:val="000B5FB2"/>
    <w:rsid w:val="000B6012"/>
    <w:rsid w:val="000B604C"/>
    <w:rsid w:val="000B6157"/>
    <w:rsid w:val="000B61CB"/>
    <w:rsid w:val="000B62F0"/>
    <w:rsid w:val="000B638E"/>
    <w:rsid w:val="000B63FE"/>
    <w:rsid w:val="000B6413"/>
    <w:rsid w:val="000B642F"/>
    <w:rsid w:val="000B64E5"/>
    <w:rsid w:val="000B653F"/>
    <w:rsid w:val="000B6559"/>
    <w:rsid w:val="000B655D"/>
    <w:rsid w:val="000B65B2"/>
    <w:rsid w:val="000B661C"/>
    <w:rsid w:val="000B66A8"/>
    <w:rsid w:val="000B66DF"/>
    <w:rsid w:val="000B676D"/>
    <w:rsid w:val="000B6821"/>
    <w:rsid w:val="000B6962"/>
    <w:rsid w:val="000B6A1C"/>
    <w:rsid w:val="000B6AD4"/>
    <w:rsid w:val="000B6B3C"/>
    <w:rsid w:val="000B6B57"/>
    <w:rsid w:val="000B6B5F"/>
    <w:rsid w:val="000B6B9C"/>
    <w:rsid w:val="000B6BA1"/>
    <w:rsid w:val="000B6BCC"/>
    <w:rsid w:val="000B6C34"/>
    <w:rsid w:val="000B6C54"/>
    <w:rsid w:val="000B6C92"/>
    <w:rsid w:val="000B6D49"/>
    <w:rsid w:val="000B6D6F"/>
    <w:rsid w:val="000B6D86"/>
    <w:rsid w:val="000B6E11"/>
    <w:rsid w:val="000B6E20"/>
    <w:rsid w:val="000B6E34"/>
    <w:rsid w:val="000B6ED9"/>
    <w:rsid w:val="000B6EE6"/>
    <w:rsid w:val="000B6EF9"/>
    <w:rsid w:val="000B6F30"/>
    <w:rsid w:val="000B6FBF"/>
    <w:rsid w:val="000B709E"/>
    <w:rsid w:val="000B716D"/>
    <w:rsid w:val="000B7176"/>
    <w:rsid w:val="000B7264"/>
    <w:rsid w:val="000B7291"/>
    <w:rsid w:val="000B72AE"/>
    <w:rsid w:val="000B72FE"/>
    <w:rsid w:val="000B731C"/>
    <w:rsid w:val="000B735E"/>
    <w:rsid w:val="000B7367"/>
    <w:rsid w:val="000B7386"/>
    <w:rsid w:val="000B7410"/>
    <w:rsid w:val="000B7514"/>
    <w:rsid w:val="000B7518"/>
    <w:rsid w:val="000B752F"/>
    <w:rsid w:val="000B755F"/>
    <w:rsid w:val="000B7578"/>
    <w:rsid w:val="000B75B2"/>
    <w:rsid w:val="000B7606"/>
    <w:rsid w:val="000B76DE"/>
    <w:rsid w:val="000B770B"/>
    <w:rsid w:val="000B775D"/>
    <w:rsid w:val="000B77E2"/>
    <w:rsid w:val="000B782B"/>
    <w:rsid w:val="000B7A18"/>
    <w:rsid w:val="000B7B9E"/>
    <w:rsid w:val="000B7C1B"/>
    <w:rsid w:val="000B7C50"/>
    <w:rsid w:val="000B7C9B"/>
    <w:rsid w:val="000B7D1E"/>
    <w:rsid w:val="000B7D54"/>
    <w:rsid w:val="000B7D8A"/>
    <w:rsid w:val="000B7DDB"/>
    <w:rsid w:val="000B7E29"/>
    <w:rsid w:val="000B7E45"/>
    <w:rsid w:val="000B7E71"/>
    <w:rsid w:val="000B7F3E"/>
    <w:rsid w:val="000B7F54"/>
    <w:rsid w:val="000B7F71"/>
    <w:rsid w:val="000B7FA4"/>
    <w:rsid w:val="000BB944"/>
    <w:rsid w:val="000C0034"/>
    <w:rsid w:val="000C003E"/>
    <w:rsid w:val="000C0045"/>
    <w:rsid w:val="000C004F"/>
    <w:rsid w:val="000C00D2"/>
    <w:rsid w:val="000C016F"/>
    <w:rsid w:val="000C01F7"/>
    <w:rsid w:val="000C021F"/>
    <w:rsid w:val="000C025E"/>
    <w:rsid w:val="000C04AB"/>
    <w:rsid w:val="000C0595"/>
    <w:rsid w:val="000C05E1"/>
    <w:rsid w:val="000C05F5"/>
    <w:rsid w:val="000C0653"/>
    <w:rsid w:val="000C065C"/>
    <w:rsid w:val="000C0671"/>
    <w:rsid w:val="000C070D"/>
    <w:rsid w:val="000C0763"/>
    <w:rsid w:val="000C07E1"/>
    <w:rsid w:val="000C07E8"/>
    <w:rsid w:val="000C07F0"/>
    <w:rsid w:val="000C082A"/>
    <w:rsid w:val="000C0861"/>
    <w:rsid w:val="000C08D2"/>
    <w:rsid w:val="000C08E2"/>
    <w:rsid w:val="000C0A36"/>
    <w:rsid w:val="000C0A6D"/>
    <w:rsid w:val="000C0B1B"/>
    <w:rsid w:val="000C0B29"/>
    <w:rsid w:val="000C0B7B"/>
    <w:rsid w:val="000C0B7D"/>
    <w:rsid w:val="000C0CDD"/>
    <w:rsid w:val="000C0D19"/>
    <w:rsid w:val="000C0D4B"/>
    <w:rsid w:val="000C0D6F"/>
    <w:rsid w:val="000C0DC5"/>
    <w:rsid w:val="000C0E6E"/>
    <w:rsid w:val="000C0FDD"/>
    <w:rsid w:val="000C1069"/>
    <w:rsid w:val="000C10FE"/>
    <w:rsid w:val="000C1134"/>
    <w:rsid w:val="000C1284"/>
    <w:rsid w:val="000C1285"/>
    <w:rsid w:val="000C12B7"/>
    <w:rsid w:val="000C12FB"/>
    <w:rsid w:val="000C135B"/>
    <w:rsid w:val="000C137A"/>
    <w:rsid w:val="000C137C"/>
    <w:rsid w:val="000C145D"/>
    <w:rsid w:val="000C1471"/>
    <w:rsid w:val="000C1483"/>
    <w:rsid w:val="000C154C"/>
    <w:rsid w:val="000C15A1"/>
    <w:rsid w:val="000C15F3"/>
    <w:rsid w:val="000C1617"/>
    <w:rsid w:val="000C1794"/>
    <w:rsid w:val="000C17CB"/>
    <w:rsid w:val="000C1868"/>
    <w:rsid w:val="000C19A2"/>
    <w:rsid w:val="000C19A5"/>
    <w:rsid w:val="000C19D3"/>
    <w:rsid w:val="000C19D9"/>
    <w:rsid w:val="000C19E0"/>
    <w:rsid w:val="000C1AF2"/>
    <w:rsid w:val="000C1B24"/>
    <w:rsid w:val="000C1C3F"/>
    <w:rsid w:val="000C1C85"/>
    <w:rsid w:val="000C1D0B"/>
    <w:rsid w:val="000C1E03"/>
    <w:rsid w:val="000C1E0C"/>
    <w:rsid w:val="000C1EC7"/>
    <w:rsid w:val="000C1EDA"/>
    <w:rsid w:val="000C1F28"/>
    <w:rsid w:val="000C1FC1"/>
    <w:rsid w:val="000C1FCD"/>
    <w:rsid w:val="000C2020"/>
    <w:rsid w:val="000C207D"/>
    <w:rsid w:val="000C20B7"/>
    <w:rsid w:val="000C20C9"/>
    <w:rsid w:val="000C20D3"/>
    <w:rsid w:val="000C20F0"/>
    <w:rsid w:val="000C2108"/>
    <w:rsid w:val="000C2149"/>
    <w:rsid w:val="000C2160"/>
    <w:rsid w:val="000C2167"/>
    <w:rsid w:val="000C21CD"/>
    <w:rsid w:val="000C21DC"/>
    <w:rsid w:val="000C224E"/>
    <w:rsid w:val="000C2254"/>
    <w:rsid w:val="000C229A"/>
    <w:rsid w:val="000C22CA"/>
    <w:rsid w:val="000C2334"/>
    <w:rsid w:val="000C2365"/>
    <w:rsid w:val="000C23BF"/>
    <w:rsid w:val="000C241E"/>
    <w:rsid w:val="000C2448"/>
    <w:rsid w:val="000C247C"/>
    <w:rsid w:val="000C2540"/>
    <w:rsid w:val="000C254B"/>
    <w:rsid w:val="000C256F"/>
    <w:rsid w:val="000C258E"/>
    <w:rsid w:val="000C25A9"/>
    <w:rsid w:val="000C2609"/>
    <w:rsid w:val="000C269D"/>
    <w:rsid w:val="000C26B9"/>
    <w:rsid w:val="000C26D6"/>
    <w:rsid w:val="000C26FA"/>
    <w:rsid w:val="000C2712"/>
    <w:rsid w:val="000C27AF"/>
    <w:rsid w:val="000C27B4"/>
    <w:rsid w:val="000C27E2"/>
    <w:rsid w:val="000C286E"/>
    <w:rsid w:val="000C28D5"/>
    <w:rsid w:val="000C29B6"/>
    <w:rsid w:val="000C29F0"/>
    <w:rsid w:val="000C2A2E"/>
    <w:rsid w:val="000C2ACC"/>
    <w:rsid w:val="000C2BB7"/>
    <w:rsid w:val="000C2C61"/>
    <w:rsid w:val="000C2C75"/>
    <w:rsid w:val="000C2CC1"/>
    <w:rsid w:val="000C2D09"/>
    <w:rsid w:val="000C2D19"/>
    <w:rsid w:val="000C2D48"/>
    <w:rsid w:val="000C2D99"/>
    <w:rsid w:val="000C2DAC"/>
    <w:rsid w:val="000C2DE4"/>
    <w:rsid w:val="000C2E1D"/>
    <w:rsid w:val="000C2E2C"/>
    <w:rsid w:val="000C2E48"/>
    <w:rsid w:val="000C2E57"/>
    <w:rsid w:val="000C2E93"/>
    <w:rsid w:val="000C2EBC"/>
    <w:rsid w:val="000C2F10"/>
    <w:rsid w:val="000C2F63"/>
    <w:rsid w:val="000C2FB7"/>
    <w:rsid w:val="000C3038"/>
    <w:rsid w:val="000C30A2"/>
    <w:rsid w:val="000C3120"/>
    <w:rsid w:val="000C313A"/>
    <w:rsid w:val="000C3178"/>
    <w:rsid w:val="000C3180"/>
    <w:rsid w:val="000C31BB"/>
    <w:rsid w:val="000C31FF"/>
    <w:rsid w:val="000C3261"/>
    <w:rsid w:val="000C3287"/>
    <w:rsid w:val="000C32E9"/>
    <w:rsid w:val="000C32F3"/>
    <w:rsid w:val="000C32F5"/>
    <w:rsid w:val="000C332C"/>
    <w:rsid w:val="000C333C"/>
    <w:rsid w:val="000C3388"/>
    <w:rsid w:val="000C33AE"/>
    <w:rsid w:val="000C33CB"/>
    <w:rsid w:val="000C341F"/>
    <w:rsid w:val="000C3424"/>
    <w:rsid w:val="000C3468"/>
    <w:rsid w:val="000C3469"/>
    <w:rsid w:val="000C347C"/>
    <w:rsid w:val="000C34F8"/>
    <w:rsid w:val="000C352E"/>
    <w:rsid w:val="000C3531"/>
    <w:rsid w:val="000C36E5"/>
    <w:rsid w:val="000C374F"/>
    <w:rsid w:val="000C37CA"/>
    <w:rsid w:val="000C3835"/>
    <w:rsid w:val="000C38B7"/>
    <w:rsid w:val="000C38F3"/>
    <w:rsid w:val="000C395A"/>
    <w:rsid w:val="000C39E7"/>
    <w:rsid w:val="000C3A7B"/>
    <w:rsid w:val="000C3B11"/>
    <w:rsid w:val="000C3B38"/>
    <w:rsid w:val="000C3BA3"/>
    <w:rsid w:val="000C3C98"/>
    <w:rsid w:val="000C3CD9"/>
    <w:rsid w:val="000C3D16"/>
    <w:rsid w:val="000C3D63"/>
    <w:rsid w:val="000C3D78"/>
    <w:rsid w:val="000C3E83"/>
    <w:rsid w:val="000C3F3C"/>
    <w:rsid w:val="000C3FBB"/>
    <w:rsid w:val="000C4035"/>
    <w:rsid w:val="000C4040"/>
    <w:rsid w:val="000C40BD"/>
    <w:rsid w:val="000C40D9"/>
    <w:rsid w:val="000C41C4"/>
    <w:rsid w:val="000C4241"/>
    <w:rsid w:val="000C438F"/>
    <w:rsid w:val="000C43E5"/>
    <w:rsid w:val="000C44AE"/>
    <w:rsid w:val="000C44B9"/>
    <w:rsid w:val="000C4509"/>
    <w:rsid w:val="000C4561"/>
    <w:rsid w:val="000C45EC"/>
    <w:rsid w:val="000C46B2"/>
    <w:rsid w:val="000C46CD"/>
    <w:rsid w:val="000C46CE"/>
    <w:rsid w:val="000C46F7"/>
    <w:rsid w:val="000C4724"/>
    <w:rsid w:val="000C4735"/>
    <w:rsid w:val="000C4783"/>
    <w:rsid w:val="000C480A"/>
    <w:rsid w:val="000C48A9"/>
    <w:rsid w:val="000C48D4"/>
    <w:rsid w:val="000C48D8"/>
    <w:rsid w:val="000C49A6"/>
    <w:rsid w:val="000C49AD"/>
    <w:rsid w:val="000C4A0A"/>
    <w:rsid w:val="000C4A2A"/>
    <w:rsid w:val="000C4A55"/>
    <w:rsid w:val="000C4ADB"/>
    <w:rsid w:val="000C4BC3"/>
    <w:rsid w:val="000C4BD2"/>
    <w:rsid w:val="000C4C18"/>
    <w:rsid w:val="000C4C19"/>
    <w:rsid w:val="000C4C50"/>
    <w:rsid w:val="000C4C88"/>
    <w:rsid w:val="000C4CB4"/>
    <w:rsid w:val="000C4E60"/>
    <w:rsid w:val="000C4EBC"/>
    <w:rsid w:val="000C4FA1"/>
    <w:rsid w:val="000C4FED"/>
    <w:rsid w:val="000C500B"/>
    <w:rsid w:val="000C506E"/>
    <w:rsid w:val="000C5081"/>
    <w:rsid w:val="000C5095"/>
    <w:rsid w:val="000C50B1"/>
    <w:rsid w:val="000C50F5"/>
    <w:rsid w:val="000C5118"/>
    <w:rsid w:val="000C5179"/>
    <w:rsid w:val="000C51F1"/>
    <w:rsid w:val="000C521B"/>
    <w:rsid w:val="000C5305"/>
    <w:rsid w:val="000C533F"/>
    <w:rsid w:val="000C5397"/>
    <w:rsid w:val="000C53E2"/>
    <w:rsid w:val="000C548C"/>
    <w:rsid w:val="000C54A0"/>
    <w:rsid w:val="000C5533"/>
    <w:rsid w:val="000C55A6"/>
    <w:rsid w:val="000C56A7"/>
    <w:rsid w:val="000C57A9"/>
    <w:rsid w:val="000C57B4"/>
    <w:rsid w:val="000C5964"/>
    <w:rsid w:val="000C5999"/>
    <w:rsid w:val="000C59D3"/>
    <w:rsid w:val="000C5A03"/>
    <w:rsid w:val="000C5A52"/>
    <w:rsid w:val="000C5A53"/>
    <w:rsid w:val="000C5A77"/>
    <w:rsid w:val="000C5A97"/>
    <w:rsid w:val="000C5AB9"/>
    <w:rsid w:val="000C5B52"/>
    <w:rsid w:val="000C5B6E"/>
    <w:rsid w:val="000C5BA5"/>
    <w:rsid w:val="000C5BA7"/>
    <w:rsid w:val="000C5BB9"/>
    <w:rsid w:val="000C5C21"/>
    <w:rsid w:val="000C5D03"/>
    <w:rsid w:val="000C5DB3"/>
    <w:rsid w:val="000C5DDE"/>
    <w:rsid w:val="000C5DFF"/>
    <w:rsid w:val="000C5E12"/>
    <w:rsid w:val="000C5E14"/>
    <w:rsid w:val="000C5E6D"/>
    <w:rsid w:val="000C5E8D"/>
    <w:rsid w:val="000C5E98"/>
    <w:rsid w:val="000C5EE9"/>
    <w:rsid w:val="000C5F15"/>
    <w:rsid w:val="000C5F64"/>
    <w:rsid w:val="000C60E8"/>
    <w:rsid w:val="000C6139"/>
    <w:rsid w:val="000C6165"/>
    <w:rsid w:val="000C62A3"/>
    <w:rsid w:val="000C62A4"/>
    <w:rsid w:val="000C62A6"/>
    <w:rsid w:val="000C62EE"/>
    <w:rsid w:val="000C6302"/>
    <w:rsid w:val="000C6309"/>
    <w:rsid w:val="000C6344"/>
    <w:rsid w:val="000C636D"/>
    <w:rsid w:val="000C63DC"/>
    <w:rsid w:val="000C63E2"/>
    <w:rsid w:val="000C6440"/>
    <w:rsid w:val="000C652F"/>
    <w:rsid w:val="000C65CB"/>
    <w:rsid w:val="000C65D1"/>
    <w:rsid w:val="000C6661"/>
    <w:rsid w:val="000C66C3"/>
    <w:rsid w:val="000C6716"/>
    <w:rsid w:val="000C6771"/>
    <w:rsid w:val="000C6811"/>
    <w:rsid w:val="000C681C"/>
    <w:rsid w:val="000C6868"/>
    <w:rsid w:val="000C68B5"/>
    <w:rsid w:val="000C6A52"/>
    <w:rsid w:val="000C6A69"/>
    <w:rsid w:val="000C6AD1"/>
    <w:rsid w:val="000C6BEF"/>
    <w:rsid w:val="000C6C05"/>
    <w:rsid w:val="000C6CBC"/>
    <w:rsid w:val="000C6D2A"/>
    <w:rsid w:val="000C6DDB"/>
    <w:rsid w:val="000C6E75"/>
    <w:rsid w:val="000C6E9F"/>
    <w:rsid w:val="000C6F32"/>
    <w:rsid w:val="000C6FDD"/>
    <w:rsid w:val="000C7011"/>
    <w:rsid w:val="000C701A"/>
    <w:rsid w:val="000C7031"/>
    <w:rsid w:val="000C7049"/>
    <w:rsid w:val="000C70A9"/>
    <w:rsid w:val="000C70B9"/>
    <w:rsid w:val="000C70C1"/>
    <w:rsid w:val="000C70C6"/>
    <w:rsid w:val="000C70F6"/>
    <w:rsid w:val="000C7127"/>
    <w:rsid w:val="000C713B"/>
    <w:rsid w:val="000C71DF"/>
    <w:rsid w:val="000C71E2"/>
    <w:rsid w:val="000C722D"/>
    <w:rsid w:val="000C7258"/>
    <w:rsid w:val="000C7267"/>
    <w:rsid w:val="000C729F"/>
    <w:rsid w:val="000C72B2"/>
    <w:rsid w:val="000C7313"/>
    <w:rsid w:val="000C7349"/>
    <w:rsid w:val="000C73CB"/>
    <w:rsid w:val="000C73F5"/>
    <w:rsid w:val="000C751C"/>
    <w:rsid w:val="000C756A"/>
    <w:rsid w:val="000C75FB"/>
    <w:rsid w:val="000C76DB"/>
    <w:rsid w:val="000C76F1"/>
    <w:rsid w:val="000C7780"/>
    <w:rsid w:val="000C7785"/>
    <w:rsid w:val="000C77A1"/>
    <w:rsid w:val="000C7830"/>
    <w:rsid w:val="000C7837"/>
    <w:rsid w:val="000C7874"/>
    <w:rsid w:val="000C78DF"/>
    <w:rsid w:val="000C79E9"/>
    <w:rsid w:val="000C7A45"/>
    <w:rsid w:val="000C7AB5"/>
    <w:rsid w:val="000C7ADF"/>
    <w:rsid w:val="000C7B6E"/>
    <w:rsid w:val="000C7B71"/>
    <w:rsid w:val="000C7BA5"/>
    <w:rsid w:val="000C7C4C"/>
    <w:rsid w:val="000C7CB7"/>
    <w:rsid w:val="000C7CE5"/>
    <w:rsid w:val="000C7CEA"/>
    <w:rsid w:val="000C7CEF"/>
    <w:rsid w:val="000C7D10"/>
    <w:rsid w:val="000C7D30"/>
    <w:rsid w:val="000C7D32"/>
    <w:rsid w:val="000C7D68"/>
    <w:rsid w:val="000C7DB8"/>
    <w:rsid w:val="000C7DD8"/>
    <w:rsid w:val="000C7DDA"/>
    <w:rsid w:val="000C7DF8"/>
    <w:rsid w:val="000C7E33"/>
    <w:rsid w:val="000C7E64"/>
    <w:rsid w:val="000C7F6E"/>
    <w:rsid w:val="000C7F91"/>
    <w:rsid w:val="000C7FB0"/>
    <w:rsid w:val="000C7FB7"/>
    <w:rsid w:val="000C7FD7"/>
    <w:rsid w:val="000D0051"/>
    <w:rsid w:val="000D0056"/>
    <w:rsid w:val="000D00BE"/>
    <w:rsid w:val="000D0188"/>
    <w:rsid w:val="000D0196"/>
    <w:rsid w:val="000D01AA"/>
    <w:rsid w:val="000D01C2"/>
    <w:rsid w:val="000D01CF"/>
    <w:rsid w:val="000D021A"/>
    <w:rsid w:val="000D0270"/>
    <w:rsid w:val="000D02BE"/>
    <w:rsid w:val="000D02F1"/>
    <w:rsid w:val="000D0354"/>
    <w:rsid w:val="000D038C"/>
    <w:rsid w:val="000D03DE"/>
    <w:rsid w:val="000D03EA"/>
    <w:rsid w:val="000D040F"/>
    <w:rsid w:val="000D04B4"/>
    <w:rsid w:val="000D04CE"/>
    <w:rsid w:val="000D062E"/>
    <w:rsid w:val="000D0650"/>
    <w:rsid w:val="000D0716"/>
    <w:rsid w:val="000D079E"/>
    <w:rsid w:val="000D0811"/>
    <w:rsid w:val="000D082C"/>
    <w:rsid w:val="000D083E"/>
    <w:rsid w:val="000D083F"/>
    <w:rsid w:val="000D0849"/>
    <w:rsid w:val="000D0861"/>
    <w:rsid w:val="000D08E8"/>
    <w:rsid w:val="000D0911"/>
    <w:rsid w:val="000D096E"/>
    <w:rsid w:val="000D09D8"/>
    <w:rsid w:val="000D0A04"/>
    <w:rsid w:val="000D0AAE"/>
    <w:rsid w:val="000D0AC4"/>
    <w:rsid w:val="000D0B13"/>
    <w:rsid w:val="000D0B5E"/>
    <w:rsid w:val="000D0C7A"/>
    <w:rsid w:val="000D0C92"/>
    <w:rsid w:val="000D0D1E"/>
    <w:rsid w:val="000D0D6A"/>
    <w:rsid w:val="000D0DA2"/>
    <w:rsid w:val="000D0DCA"/>
    <w:rsid w:val="000D0E24"/>
    <w:rsid w:val="000D0E61"/>
    <w:rsid w:val="000D0E98"/>
    <w:rsid w:val="000D0EC5"/>
    <w:rsid w:val="000D0F03"/>
    <w:rsid w:val="000D0F6A"/>
    <w:rsid w:val="000D0FC5"/>
    <w:rsid w:val="000D1024"/>
    <w:rsid w:val="000D1102"/>
    <w:rsid w:val="000D1107"/>
    <w:rsid w:val="000D1134"/>
    <w:rsid w:val="000D12D5"/>
    <w:rsid w:val="000D12E6"/>
    <w:rsid w:val="000D1308"/>
    <w:rsid w:val="000D1331"/>
    <w:rsid w:val="000D13D2"/>
    <w:rsid w:val="000D1427"/>
    <w:rsid w:val="000D144A"/>
    <w:rsid w:val="000D1461"/>
    <w:rsid w:val="000D14AD"/>
    <w:rsid w:val="000D14F1"/>
    <w:rsid w:val="000D1588"/>
    <w:rsid w:val="000D15A3"/>
    <w:rsid w:val="000D15E3"/>
    <w:rsid w:val="000D15F5"/>
    <w:rsid w:val="000D1629"/>
    <w:rsid w:val="000D16E7"/>
    <w:rsid w:val="000D178C"/>
    <w:rsid w:val="000D17FB"/>
    <w:rsid w:val="000D187D"/>
    <w:rsid w:val="000D1890"/>
    <w:rsid w:val="000D1918"/>
    <w:rsid w:val="000D196D"/>
    <w:rsid w:val="000D1991"/>
    <w:rsid w:val="000D19EE"/>
    <w:rsid w:val="000D1A22"/>
    <w:rsid w:val="000D1A69"/>
    <w:rsid w:val="000D1A89"/>
    <w:rsid w:val="000D1B9D"/>
    <w:rsid w:val="000D1BAC"/>
    <w:rsid w:val="000D1C07"/>
    <w:rsid w:val="000D1C38"/>
    <w:rsid w:val="000D1D29"/>
    <w:rsid w:val="000D1DE4"/>
    <w:rsid w:val="000D1E17"/>
    <w:rsid w:val="000D1EA4"/>
    <w:rsid w:val="000D1F47"/>
    <w:rsid w:val="000D1F7B"/>
    <w:rsid w:val="000D1FB2"/>
    <w:rsid w:val="000D1FD8"/>
    <w:rsid w:val="000D20E3"/>
    <w:rsid w:val="000D219D"/>
    <w:rsid w:val="000D21E3"/>
    <w:rsid w:val="000D2265"/>
    <w:rsid w:val="000D229F"/>
    <w:rsid w:val="000D23B7"/>
    <w:rsid w:val="000D23CD"/>
    <w:rsid w:val="000D23E9"/>
    <w:rsid w:val="000D2441"/>
    <w:rsid w:val="000D245C"/>
    <w:rsid w:val="000D249A"/>
    <w:rsid w:val="000D24B6"/>
    <w:rsid w:val="000D24F9"/>
    <w:rsid w:val="000D2505"/>
    <w:rsid w:val="000D25EC"/>
    <w:rsid w:val="000D2676"/>
    <w:rsid w:val="000D2680"/>
    <w:rsid w:val="000D26C0"/>
    <w:rsid w:val="000D26F3"/>
    <w:rsid w:val="000D2719"/>
    <w:rsid w:val="000D278B"/>
    <w:rsid w:val="000D2790"/>
    <w:rsid w:val="000D27A7"/>
    <w:rsid w:val="000D27D1"/>
    <w:rsid w:val="000D2820"/>
    <w:rsid w:val="000D2825"/>
    <w:rsid w:val="000D2830"/>
    <w:rsid w:val="000D29DE"/>
    <w:rsid w:val="000D2A1D"/>
    <w:rsid w:val="000D2A96"/>
    <w:rsid w:val="000D2AE1"/>
    <w:rsid w:val="000D2B32"/>
    <w:rsid w:val="000D2BE6"/>
    <w:rsid w:val="000D2C39"/>
    <w:rsid w:val="000D2C55"/>
    <w:rsid w:val="000D2CCF"/>
    <w:rsid w:val="000D2CEE"/>
    <w:rsid w:val="000D2CF7"/>
    <w:rsid w:val="000D2D50"/>
    <w:rsid w:val="000D2D52"/>
    <w:rsid w:val="000D2ED0"/>
    <w:rsid w:val="000D2F25"/>
    <w:rsid w:val="000D2FD3"/>
    <w:rsid w:val="000D3029"/>
    <w:rsid w:val="000D3107"/>
    <w:rsid w:val="000D3129"/>
    <w:rsid w:val="000D31B0"/>
    <w:rsid w:val="000D3308"/>
    <w:rsid w:val="000D3395"/>
    <w:rsid w:val="000D33B9"/>
    <w:rsid w:val="000D33D8"/>
    <w:rsid w:val="000D33E7"/>
    <w:rsid w:val="000D345E"/>
    <w:rsid w:val="000D34C5"/>
    <w:rsid w:val="000D358E"/>
    <w:rsid w:val="000D35E1"/>
    <w:rsid w:val="000D361E"/>
    <w:rsid w:val="000D364B"/>
    <w:rsid w:val="000D3738"/>
    <w:rsid w:val="000D381C"/>
    <w:rsid w:val="000D383A"/>
    <w:rsid w:val="000D383E"/>
    <w:rsid w:val="000D38CF"/>
    <w:rsid w:val="000D38FC"/>
    <w:rsid w:val="000D3973"/>
    <w:rsid w:val="000D3982"/>
    <w:rsid w:val="000D3B31"/>
    <w:rsid w:val="000D3BF0"/>
    <w:rsid w:val="000D3C7D"/>
    <w:rsid w:val="000D3CD5"/>
    <w:rsid w:val="000D3D12"/>
    <w:rsid w:val="000D3DAD"/>
    <w:rsid w:val="000D3E25"/>
    <w:rsid w:val="000D3E41"/>
    <w:rsid w:val="000D3EA7"/>
    <w:rsid w:val="000D3F9C"/>
    <w:rsid w:val="000D3F9D"/>
    <w:rsid w:val="000D3FA3"/>
    <w:rsid w:val="000D400E"/>
    <w:rsid w:val="000D4039"/>
    <w:rsid w:val="000D404A"/>
    <w:rsid w:val="000D404D"/>
    <w:rsid w:val="000D4096"/>
    <w:rsid w:val="000D40B1"/>
    <w:rsid w:val="000D4126"/>
    <w:rsid w:val="000D41FF"/>
    <w:rsid w:val="000D4255"/>
    <w:rsid w:val="000D42DE"/>
    <w:rsid w:val="000D42FD"/>
    <w:rsid w:val="000D433D"/>
    <w:rsid w:val="000D4354"/>
    <w:rsid w:val="000D435A"/>
    <w:rsid w:val="000D4394"/>
    <w:rsid w:val="000D43D1"/>
    <w:rsid w:val="000D43E3"/>
    <w:rsid w:val="000D4464"/>
    <w:rsid w:val="000D448D"/>
    <w:rsid w:val="000D44AF"/>
    <w:rsid w:val="000D4553"/>
    <w:rsid w:val="000D46B9"/>
    <w:rsid w:val="000D4701"/>
    <w:rsid w:val="000D4762"/>
    <w:rsid w:val="000D4794"/>
    <w:rsid w:val="000D480A"/>
    <w:rsid w:val="000D488C"/>
    <w:rsid w:val="000D48F7"/>
    <w:rsid w:val="000D490F"/>
    <w:rsid w:val="000D4910"/>
    <w:rsid w:val="000D4924"/>
    <w:rsid w:val="000D4935"/>
    <w:rsid w:val="000D493C"/>
    <w:rsid w:val="000D495D"/>
    <w:rsid w:val="000D4985"/>
    <w:rsid w:val="000D49D3"/>
    <w:rsid w:val="000D49D4"/>
    <w:rsid w:val="000D4A01"/>
    <w:rsid w:val="000D4A13"/>
    <w:rsid w:val="000D4A87"/>
    <w:rsid w:val="000D4B80"/>
    <w:rsid w:val="000D4BD6"/>
    <w:rsid w:val="000D4BE2"/>
    <w:rsid w:val="000D4C31"/>
    <w:rsid w:val="000D4C39"/>
    <w:rsid w:val="000D4CB3"/>
    <w:rsid w:val="000D4CD1"/>
    <w:rsid w:val="000D4D59"/>
    <w:rsid w:val="000D4D78"/>
    <w:rsid w:val="000D4DF3"/>
    <w:rsid w:val="000D4E62"/>
    <w:rsid w:val="000D4E80"/>
    <w:rsid w:val="000D4EA2"/>
    <w:rsid w:val="000D4F7A"/>
    <w:rsid w:val="000D4F97"/>
    <w:rsid w:val="000D5022"/>
    <w:rsid w:val="000D5099"/>
    <w:rsid w:val="000D509D"/>
    <w:rsid w:val="000D50A4"/>
    <w:rsid w:val="000D519D"/>
    <w:rsid w:val="000D52B6"/>
    <w:rsid w:val="000D52C4"/>
    <w:rsid w:val="000D52CB"/>
    <w:rsid w:val="000D52E5"/>
    <w:rsid w:val="000D531E"/>
    <w:rsid w:val="000D5373"/>
    <w:rsid w:val="000D5393"/>
    <w:rsid w:val="000D53F0"/>
    <w:rsid w:val="000D54C3"/>
    <w:rsid w:val="000D5550"/>
    <w:rsid w:val="000D5575"/>
    <w:rsid w:val="000D55CA"/>
    <w:rsid w:val="000D563E"/>
    <w:rsid w:val="000D56BD"/>
    <w:rsid w:val="000D5708"/>
    <w:rsid w:val="000D5762"/>
    <w:rsid w:val="000D57E4"/>
    <w:rsid w:val="000D584F"/>
    <w:rsid w:val="000D5896"/>
    <w:rsid w:val="000D58BC"/>
    <w:rsid w:val="000D595E"/>
    <w:rsid w:val="000D597F"/>
    <w:rsid w:val="000D59CE"/>
    <w:rsid w:val="000D5A2D"/>
    <w:rsid w:val="000D5AFB"/>
    <w:rsid w:val="000D5B0C"/>
    <w:rsid w:val="000D5B2A"/>
    <w:rsid w:val="000D5B56"/>
    <w:rsid w:val="000D5B98"/>
    <w:rsid w:val="000D5BA3"/>
    <w:rsid w:val="000D5C5B"/>
    <w:rsid w:val="000D5C93"/>
    <w:rsid w:val="000D5D19"/>
    <w:rsid w:val="000D5DF7"/>
    <w:rsid w:val="000D5E12"/>
    <w:rsid w:val="000D5EAC"/>
    <w:rsid w:val="000D5EC5"/>
    <w:rsid w:val="000D5ECB"/>
    <w:rsid w:val="000D5ED2"/>
    <w:rsid w:val="000D5ED4"/>
    <w:rsid w:val="000D5F45"/>
    <w:rsid w:val="000D5F7F"/>
    <w:rsid w:val="000D5FFD"/>
    <w:rsid w:val="000D601A"/>
    <w:rsid w:val="000D60CD"/>
    <w:rsid w:val="000D60D3"/>
    <w:rsid w:val="000D61CB"/>
    <w:rsid w:val="000D61DB"/>
    <w:rsid w:val="000D6262"/>
    <w:rsid w:val="000D6275"/>
    <w:rsid w:val="000D62EF"/>
    <w:rsid w:val="000D62FF"/>
    <w:rsid w:val="000D6360"/>
    <w:rsid w:val="000D6381"/>
    <w:rsid w:val="000D63B9"/>
    <w:rsid w:val="000D6401"/>
    <w:rsid w:val="000D6460"/>
    <w:rsid w:val="000D6483"/>
    <w:rsid w:val="000D64CF"/>
    <w:rsid w:val="000D64D7"/>
    <w:rsid w:val="000D64F6"/>
    <w:rsid w:val="000D656F"/>
    <w:rsid w:val="000D65BC"/>
    <w:rsid w:val="000D65F2"/>
    <w:rsid w:val="000D65F9"/>
    <w:rsid w:val="000D66B4"/>
    <w:rsid w:val="000D6751"/>
    <w:rsid w:val="000D6796"/>
    <w:rsid w:val="000D682C"/>
    <w:rsid w:val="000D6889"/>
    <w:rsid w:val="000D6891"/>
    <w:rsid w:val="000D6906"/>
    <w:rsid w:val="000D690E"/>
    <w:rsid w:val="000D694B"/>
    <w:rsid w:val="000D6965"/>
    <w:rsid w:val="000D69ED"/>
    <w:rsid w:val="000D6A0E"/>
    <w:rsid w:val="000D6A3A"/>
    <w:rsid w:val="000D6AB1"/>
    <w:rsid w:val="000D6B98"/>
    <w:rsid w:val="000D6BD0"/>
    <w:rsid w:val="000D6CB2"/>
    <w:rsid w:val="000D6D37"/>
    <w:rsid w:val="000D6D53"/>
    <w:rsid w:val="000D6D98"/>
    <w:rsid w:val="000D6E14"/>
    <w:rsid w:val="000D6F79"/>
    <w:rsid w:val="000D6FBF"/>
    <w:rsid w:val="000D6FF2"/>
    <w:rsid w:val="000D701E"/>
    <w:rsid w:val="000D705B"/>
    <w:rsid w:val="000D7097"/>
    <w:rsid w:val="000D7298"/>
    <w:rsid w:val="000D7310"/>
    <w:rsid w:val="000D734E"/>
    <w:rsid w:val="000D73F3"/>
    <w:rsid w:val="000D7436"/>
    <w:rsid w:val="000D7763"/>
    <w:rsid w:val="000D77C4"/>
    <w:rsid w:val="000D781C"/>
    <w:rsid w:val="000D786B"/>
    <w:rsid w:val="000D78BD"/>
    <w:rsid w:val="000D7980"/>
    <w:rsid w:val="000D7987"/>
    <w:rsid w:val="000D79AB"/>
    <w:rsid w:val="000D79DB"/>
    <w:rsid w:val="000D7A2E"/>
    <w:rsid w:val="000D7AA4"/>
    <w:rsid w:val="000D7AF4"/>
    <w:rsid w:val="000D7C15"/>
    <w:rsid w:val="000D7C43"/>
    <w:rsid w:val="000D7C51"/>
    <w:rsid w:val="000D7CC7"/>
    <w:rsid w:val="000D7CE7"/>
    <w:rsid w:val="000D7D20"/>
    <w:rsid w:val="000D7D96"/>
    <w:rsid w:val="000D7DBA"/>
    <w:rsid w:val="000D7E99"/>
    <w:rsid w:val="000D7EE7"/>
    <w:rsid w:val="000D7F17"/>
    <w:rsid w:val="000D7F71"/>
    <w:rsid w:val="000E003A"/>
    <w:rsid w:val="000E0116"/>
    <w:rsid w:val="000E0124"/>
    <w:rsid w:val="000E01BE"/>
    <w:rsid w:val="000E022E"/>
    <w:rsid w:val="000E0250"/>
    <w:rsid w:val="000E025D"/>
    <w:rsid w:val="000E02B5"/>
    <w:rsid w:val="000E02C1"/>
    <w:rsid w:val="000E0374"/>
    <w:rsid w:val="000E03D2"/>
    <w:rsid w:val="000E048C"/>
    <w:rsid w:val="000E052A"/>
    <w:rsid w:val="000E055C"/>
    <w:rsid w:val="000E05AF"/>
    <w:rsid w:val="000E0606"/>
    <w:rsid w:val="000E0682"/>
    <w:rsid w:val="000E0684"/>
    <w:rsid w:val="000E076D"/>
    <w:rsid w:val="000E079A"/>
    <w:rsid w:val="000E088F"/>
    <w:rsid w:val="000E08BE"/>
    <w:rsid w:val="000E0A4E"/>
    <w:rsid w:val="000E0A5E"/>
    <w:rsid w:val="000E0A99"/>
    <w:rsid w:val="000E0B1D"/>
    <w:rsid w:val="000E0B58"/>
    <w:rsid w:val="000E0BA9"/>
    <w:rsid w:val="000E0C3B"/>
    <w:rsid w:val="000E0C9C"/>
    <w:rsid w:val="000E0CA7"/>
    <w:rsid w:val="000E0CB3"/>
    <w:rsid w:val="000E0D87"/>
    <w:rsid w:val="000E0DEB"/>
    <w:rsid w:val="000E0E61"/>
    <w:rsid w:val="000E0E6C"/>
    <w:rsid w:val="000E0E7C"/>
    <w:rsid w:val="000E0ED5"/>
    <w:rsid w:val="000E0FF4"/>
    <w:rsid w:val="000E1053"/>
    <w:rsid w:val="000E10A4"/>
    <w:rsid w:val="000E116A"/>
    <w:rsid w:val="000E11F5"/>
    <w:rsid w:val="000E1234"/>
    <w:rsid w:val="000E1262"/>
    <w:rsid w:val="000E1274"/>
    <w:rsid w:val="000E1277"/>
    <w:rsid w:val="000E133B"/>
    <w:rsid w:val="000E1371"/>
    <w:rsid w:val="000E13D6"/>
    <w:rsid w:val="000E13DF"/>
    <w:rsid w:val="000E13EC"/>
    <w:rsid w:val="000E13F7"/>
    <w:rsid w:val="000E1412"/>
    <w:rsid w:val="000E1423"/>
    <w:rsid w:val="000E1427"/>
    <w:rsid w:val="000E149A"/>
    <w:rsid w:val="000E159E"/>
    <w:rsid w:val="000E15C0"/>
    <w:rsid w:val="000E15C1"/>
    <w:rsid w:val="000E1610"/>
    <w:rsid w:val="000E170E"/>
    <w:rsid w:val="000E17A7"/>
    <w:rsid w:val="000E17D2"/>
    <w:rsid w:val="000E1954"/>
    <w:rsid w:val="000E1965"/>
    <w:rsid w:val="000E1969"/>
    <w:rsid w:val="000E1A85"/>
    <w:rsid w:val="000E1AA9"/>
    <w:rsid w:val="000E1B32"/>
    <w:rsid w:val="000E1B61"/>
    <w:rsid w:val="000E1BBC"/>
    <w:rsid w:val="000E1BD7"/>
    <w:rsid w:val="000E1C5D"/>
    <w:rsid w:val="000E1C6E"/>
    <w:rsid w:val="000E1CAE"/>
    <w:rsid w:val="000E1D0D"/>
    <w:rsid w:val="000E1D3B"/>
    <w:rsid w:val="000E1D61"/>
    <w:rsid w:val="000E1E3B"/>
    <w:rsid w:val="000E1E99"/>
    <w:rsid w:val="000E1EA2"/>
    <w:rsid w:val="000E1EFF"/>
    <w:rsid w:val="000E1F50"/>
    <w:rsid w:val="000E1FC9"/>
    <w:rsid w:val="000E1FCC"/>
    <w:rsid w:val="000E1FE9"/>
    <w:rsid w:val="000E2021"/>
    <w:rsid w:val="000E2032"/>
    <w:rsid w:val="000E2038"/>
    <w:rsid w:val="000E2072"/>
    <w:rsid w:val="000E208C"/>
    <w:rsid w:val="000E20E2"/>
    <w:rsid w:val="000E20F1"/>
    <w:rsid w:val="000E210A"/>
    <w:rsid w:val="000E2169"/>
    <w:rsid w:val="000E219B"/>
    <w:rsid w:val="000E21C5"/>
    <w:rsid w:val="000E21EC"/>
    <w:rsid w:val="000E2219"/>
    <w:rsid w:val="000E2264"/>
    <w:rsid w:val="000E2281"/>
    <w:rsid w:val="000E228D"/>
    <w:rsid w:val="000E2338"/>
    <w:rsid w:val="000E2458"/>
    <w:rsid w:val="000E247D"/>
    <w:rsid w:val="000E255C"/>
    <w:rsid w:val="000E2642"/>
    <w:rsid w:val="000E2648"/>
    <w:rsid w:val="000E26BC"/>
    <w:rsid w:val="000E26F5"/>
    <w:rsid w:val="000E2750"/>
    <w:rsid w:val="000E2754"/>
    <w:rsid w:val="000E2756"/>
    <w:rsid w:val="000E277C"/>
    <w:rsid w:val="000E27C2"/>
    <w:rsid w:val="000E281B"/>
    <w:rsid w:val="000E28D7"/>
    <w:rsid w:val="000E2984"/>
    <w:rsid w:val="000E2AE5"/>
    <w:rsid w:val="000E2AF5"/>
    <w:rsid w:val="000E2B64"/>
    <w:rsid w:val="000E2B75"/>
    <w:rsid w:val="000E2BD0"/>
    <w:rsid w:val="000E2BDD"/>
    <w:rsid w:val="000E2C51"/>
    <w:rsid w:val="000E2C84"/>
    <w:rsid w:val="000E2CD1"/>
    <w:rsid w:val="000E2D1D"/>
    <w:rsid w:val="000E2D23"/>
    <w:rsid w:val="000E2D78"/>
    <w:rsid w:val="000E2E55"/>
    <w:rsid w:val="000E2EB4"/>
    <w:rsid w:val="000E2EEE"/>
    <w:rsid w:val="000E2EF4"/>
    <w:rsid w:val="000E2F22"/>
    <w:rsid w:val="000E2F49"/>
    <w:rsid w:val="000E2F62"/>
    <w:rsid w:val="000E2FD1"/>
    <w:rsid w:val="000E3062"/>
    <w:rsid w:val="000E3068"/>
    <w:rsid w:val="000E309E"/>
    <w:rsid w:val="000E30BA"/>
    <w:rsid w:val="000E319A"/>
    <w:rsid w:val="000E31B8"/>
    <w:rsid w:val="000E328F"/>
    <w:rsid w:val="000E3300"/>
    <w:rsid w:val="000E334A"/>
    <w:rsid w:val="000E336D"/>
    <w:rsid w:val="000E3382"/>
    <w:rsid w:val="000E33B1"/>
    <w:rsid w:val="000E33B5"/>
    <w:rsid w:val="000E33E7"/>
    <w:rsid w:val="000E3466"/>
    <w:rsid w:val="000E352A"/>
    <w:rsid w:val="000E3608"/>
    <w:rsid w:val="000E3617"/>
    <w:rsid w:val="000E3647"/>
    <w:rsid w:val="000E370D"/>
    <w:rsid w:val="000E3714"/>
    <w:rsid w:val="000E3812"/>
    <w:rsid w:val="000E3815"/>
    <w:rsid w:val="000E3872"/>
    <w:rsid w:val="000E38A6"/>
    <w:rsid w:val="000E38BB"/>
    <w:rsid w:val="000E38ED"/>
    <w:rsid w:val="000E393C"/>
    <w:rsid w:val="000E394D"/>
    <w:rsid w:val="000E3998"/>
    <w:rsid w:val="000E3A68"/>
    <w:rsid w:val="000E3AC9"/>
    <w:rsid w:val="000E3B18"/>
    <w:rsid w:val="000E3B92"/>
    <w:rsid w:val="000E3BF5"/>
    <w:rsid w:val="000E3C03"/>
    <w:rsid w:val="000E3C06"/>
    <w:rsid w:val="000E3C5A"/>
    <w:rsid w:val="000E3C7C"/>
    <w:rsid w:val="000E3CAA"/>
    <w:rsid w:val="000E3CC3"/>
    <w:rsid w:val="000E3D2E"/>
    <w:rsid w:val="000E3DE0"/>
    <w:rsid w:val="000E3E55"/>
    <w:rsid w:val="000E3E9C"/>
    <w:rsid w:val="000E3ECA"/>
    <w:rsid w:val="000E3F79"/>
    <w:rsid w:val="000E3F8E"/>
    <w:rsid w:val="000E4069"/>
    <w:rsid w:val="000E4075"/>
    <w:rsid w:val="000E40B5"/>
    <w:rsid w:val="000E4127"/>
    <w:rsid w:val="000E41F7"/>
    <w:rsid w:val="000E4299"/>
    <w:rsid w:val="000E431D"/>
    <w:rsid w:val="000E4343"/>
    <w:rsid w:val="000E4387"/>
    <w:rsid w:val="000E43D6"/>
    <w:rsid w:val="000E43E3"/>
    <w:rsid w:val="000E4431"/>
    <w:rsid w:val="000E4645"/>
    <w:rsid w:val="000E46B2"/>
    <w:rsid w:val="000E46BA"/>
    <w:rsid w:val="000E46F4"/>
    <w:rsid w:val="000E4715"/>
    <w:rsid w:val="000E4754"/>
    <w:rsid w:val="000E47AB"/>
    <w:rsid w:val="000E47E8"/>
    <w:rsid w:val="000E4901"/>
    <w:rsid w:val="000E4998"/>
    <w:rsid w:val="000E4A55"/>
    <w:rsid w:val="000E4B24"/>
    <w:rsid w:val="000E4B44"/>
    <w:rsid w:val="000E4CA9"/>
    <w:rsid w:val="000E4CD1"/>
    <w:rsid w:val="000E4CE3"/>
    <w:rsid w:val="000E4CF1"/>
    <w:rsid w:val="000E4D46"/>
    <w:rsid w:val="000E4D7A"/>
    <w:rsid w:val="000E4DAD"/>
    <w:rsid w:val="000E4E2C"/>
    <w:rsid w:val="000E4E50"/>
    <w:rsid w:val="000E4E54"/>
    <w:rsid w:val="000E4ED7"/>
    <w:rsid w:val="000E4F1A"/>
    <w:rsid w:val="000E5049"/>
    <w:rsid w:val="000E50B0"/>
    <w:rsid w:val="000E513D"/>
    <w:rsid w:val="000E52C7"/>
    <w:rsid w:val="000E52CF"/>
    <w:rsid w:val="000E5324"/>
    <w:rsid w:val="000E5357"/>
    <w:rsid w:val="000E536E"/>
    <w:rsid w:val="000E53C5"/>
    <w:rsid w:val="000E5418"/>
    <w:rsid w:val="000E5431"/>
    <w:rsid w:val="000E54CD"/>
    <w:rsid w:val="000E5523"/>
    <w:rsid w:val="000E557B"/>
    <w:rsid w:val="000E55B2"/>
    <w:rsid w:val="000E55C2"/>
    <w:rsid w:val="000E55C8"/>
    <w:rsid w:val="000E55FC"/>
    <w:rsid w:val="000E5638"/>
    <w:rsid w:val="000E567C"/>
    <w:rsid w:val="000E56FF"/>
    <w:rsid w:val="000E5740"/>
    <w:rsid w:val="000E5891"/>
    <w:rsid w:val="000E5898"/>
    <w:rsid w:val="000E58CA"/>
    <w:rsid w:val="000E5901"/>
    <w:rsid w:val="000E5914"/>
    <w:rsid w:val="000E5919"/>
    <w:rsid w:val="000E59D1"/>
    <w:rsid w:val="000E5A4B"/>
    <w:rsid w:val="000E5A52"/>
    <w:rsid w:val="000E5B3C"/>
    <w:rsid w:val="000E5B3D"/>
    <w:rsid w:val="000E5B93"/>
    <w:rsid w:val="000E5BA3"/>
    <w:rsid w:val="000E5C48"/>
    <w:rsid w:val="000E5C70"/>
    <w:rsid w:val="000E5D0C"/>
    <w:rsid w:val="000E5D26"/>
    <w:rsid w:val="000E5D43"/>
    <w:rsid w:val="000E5D6A"/>
    <w:rsid w:val="000E5D86"/>
    <w:rsid w:val="000E5DDD"/>
    <w:rsid w:val="000E5DE4"/>
    <w:rsid w:val="000E5DFC"/>
    <w:rsid w:val="000E5E4F"/>
    <w:rsid w:val="000E5E59"/>
    <w:rsid w:val="000E5E97"/>
    <w:rsid w:val="000E5F4F"/>
    <w:rsid w:val="000E5FAD"/>
    <w:rsid w:val="000E5FC3"/>
    <w:rsid w:val="000E6071"/>
    <w:rsid w:val="000E608D"/>
    <w:rsid w:val="000E6175"/>
    <w:rsid w:val="000E618E"/>
    <w:rsid w:val="000E6190"/>
    <w:rsid w:val="000E61DF"/>
    <w:rsid w:val="000E61E6"/>
    <w:rsid w:val="000E624F"/>
    <w:rsid w:val="000E6281"/>
    <w:rsid w:val="000E637A"/>
    <w:rsid w:val="000E63C3"/>
    <w:rsid w:val="000E63E7"/>
    <w:rsid w:val="000E655C"/>
    <w:rsid w:val="000E65AF"/>
    <w:rsid w:val="000E6652"/>
    <w:rsid w:val="000E666A"/>
    <w:rsid w:val="000E6674"/>
    <w:rsid w:val="000E6682"/>
    <w:rsid w:val="000E66D2"/>
    <w:rsid w:val="000E66F0"/>
    <w:rsid w:val="000E6712"/>
    <w:rsid w:val="000E6722"/>
    <w:rsid w:val="000E67DD"/>
    <w:rsid w:val="000E68B1"/>
    <w:rsid w:val="000E690C"/>
    <w:rsid w:val="000E6966"/>
    <w:rsid w:val="000E699D"/>
    <w:rsid w:val="000E69C6"/>
    <w:rsid w:val="000E6A38"/>
    <w:rsid w:val="000E6A4E"/>
    <w:rsid w:val="000E6A59"/>
    <w:rsid w:val="000E6B87"/>
    <w:rsid w:val="000E6BD6"/>
    <w:rsid w:val="000E6CC2"/>
    <w:rsid w:val="000E6D67"/>
    <w:rsid w:val="000E6E05"/>
    <w:rsid w:val="000E6E5F"/>
    <w:rsid w:val="000E6F45"/>
    <w:rsid w:val="000E6F49"/>
    <w:rsid w:val="000E6FAE"/>
    <w:rsid w:val="000E7057"/>
    <w:rsid w:val="000E7082"/>
    <w:rsid w:val="000E70A4"/>
    <w:rsid w:val="000E70FB"/>
    <w:rsid w:val="000E7146"/>
    <w:rsid w:val="000E7174"/>
    <w:rsid w:val="000E7182"/>
    <w:rsid w:val="000E7237"/>
    <w:rsid w:val="000E7250"/>
    <w:rsid w:val="000E72E7"/>
    <w:rsid w:val="000E7314"/>
    <w:rsid w:val="000E7319"/>
    <w:rsid w:val="000E731D"/>
    <w:rsid w:val="000E734D"/>
    <w:rsid w:val="000E74B2"/>
    <w:rsid w:val="000E7533"/>
    <w:rsid w:val="000E7565"/>
    <w:rsid w:val="000E7578"/>
    <w:rsid w:val="000E759A"/>
    <w:rsid w:val="000E75EC"/>
    <w:rsid w:val="000E760E"/>
    <w:rsid w:val="000E76E7"/>
    <w:rsid w:val="000E77D1"/>
    <w:rsid w:val="000E780B"/>
    <w:rsid w:val="000E7907"/>
    <w:rsid w:val="000E7989"/>
    <w:rsid w:val="000E7995"/>
    <w:rsid w:val="000E79BD"/>
    <w:rsid w:val="000E79E2"/>
    <w:rsid w:val="000E7A4A"/>
    <w:rsid w:val="000E7A7B"/>
    <w:rsid w:val="000E7ACB"/>
    <w:rsid w:val="000E7B4F"/>
    <w:rsid w:val="000E7B84"/>
    <w:rsid w:val="000E7B8C"/>
    <w:rsid w:val="000E7BCB"/>
    <w:rsid w:val="000E7CF2"/>
    <w:rsid w:val="000E7DA9"/>
    <w:rsid w:val="000E7DB5"/>
    <w:rsid w:val="000E7DCC"/>
    <w:rsid w:val="000E7DE1"/>
    <w:rsid w:val="000E7E3F"/>
    <w:rsid w:val="000E7F0D"/>
    <w:rsid w:val="000E7F13"/>
    <w:rsid w:val="000E7F5C"/>
    <w:rsid w:val="000E7F71"/>
    <w:rsid w:val="000F007E"/>
    <w:rsid w:val="000F009C"/>
    <w:rsid w:val="000F00D5"/>
    <w:rsid w:val="000F0134"/>
    <w:rsid w:val="000F016E"/>
    <w:rsid w:val="000F01A6"/>
    <w:rsid w:val="000F01D1"/>
    <w:rsid w:val="000F01DA"/>
    <w:rsid w:val="000F01E2"/>
    <w:rsid w:val="000F0208"/>
    <w:rsid w:val="000F0216"/>
    <w:rsid w:val="000F026E"/>
    <w:rsid w:val="000F02CD"/>
    <w:rsid w:val="000F0314"/>
    <w:rsid w:val="000F032F"/>
    <w:rsid w:val="000F0339"/>
    <w:rsid w:val="000F0405"/>
    <w:rsid w:val="000F0440"/>
    <w:rsid w:val="000F0457"/>
    <w:rsid w:val="000F04A5"/>
    <w:rsid w:val="000F04C5"/>
    <w:rsid w:val="000F050A"/>
    <w:rsid w:val="000F0580"/>
    <w:rsid w:val="000F0598"/>
    <w:rsid w:val="000F05C4"/>
    <w:rsid w:val="000F05F9"/>
    <w:rsid w:val="000F0625"/>
    <w:rsid w:val="000F06EA"/>
    <w:rsid w:val="000F076D"/>
    <w:rsid w:val="000F077F"/>
    <w:rsid w:val="000F0863"/>
    <w:rsid w:val="000F08A7"/>
    <w:rsid w:val="000F08C3"/>
    <w:rsid w:val="000F08F9"/>
    <w:rsid w:val="000F095C"/>
    <w:rsid w:val="000F0A15"/>
    <w:rsid w:val="000F0A84"/>
    <w:rsid w:val="000F0AB4"/>
    <w:rsid w:val="000F0B1B"/>
    <w:rsid w:val="000F0B4D"/>
    <w:rsid w:val="000F0BC4"/>
    <w:rsid w:val="000F0CBC"/>
    <w:rsid w:val="000F0CDC"/>
    <w:rsid w:val="000F0CDF"/>
    <w:rsid w:val="000F0D97"/>
    <w:rsid w:val="000F0F76"/>
    <w:rsid w:val="000F0FB5"/>
    <w:rsid w:val="000F0FE7"/>
    <w:rsid w:val="000F100C"/>
    <w:rsid w:val="000F1101"/>
    <w:rsid w:val="000F1147"/>
    <w:rsid w:val="000F116A"/>
    <w:rsid w:val="000F118F"/>
    <w:rsid w:val="000F11B2"/>
    <w:rsid w:val="000F11D9"/>
    <w:rsid w:val="000F11FF"/>
    <w:rsid w:val="000F1211"/>
    <w:rsid w:val="000F1362"/>
    <w:rsid w:val="000F1388"/>
    <w:rsid w:val="000F140B"/>
    <w:rsid w:val="000F149D"/>
    <w:rsid w:val="000F1565"/>
    <w:rsid w:val="000F15B8"/>
    <w:rsid w:val="000F1651"/>
    <w:rsid w:val="000F16C5"/>
    <w:rsid w:val="000F16F7"/>
    <w:rsid w:val="000F176B"/>
    <w:rsid w:val="000F177B"/>
    <w:rsid w:val="000F17A0"/>
    <w:rsid w:val="000F17DC"/>
    <w:rsid w:val="000F1848"/>
    <w:rsid w:val="000F184D"/>
    <w:rsid w:val="000F18AD"/>
    <w:rsid w:val="000F18AF"/>
    <w:rsid w:val="000F1B5E"/>
    <w:rsid w:val="000F1BD2"/>
    <w:rsid w:val="000F1C08"/>
    <w:rsid w:val="000F1C13"/>
    <w:rsid w:val="000F1C2C"/>
    <w:rsid w:val="000F1C65"/>
    <w:rsid w:val="000F1CAE"/>
    <w:rsid w:val="000F1D66"/>
    <w:rsid w:val="000F1F7E"/>
    <w:rsid w:val="000F1F85"/>
    <w:rsid w:val="000F2022"/>
    <w:rsid w:val="000F2077"/>
    <w:rsid w:val="000F212E"/>
    <w:rsid w:val="000F2188"/>
    <w:rsid w:val="000F21D5"/>
    <w:rsid w:val="000F226A"/>
    <w:rsid w:val="000F2278"/>
    <w:rsid w:val="000F22CA"/>
    <w:rsid w:val="000F232B"/>
    <w:rsid w:val="000F2397"/>
    <w:rsid w:val="000F23E4"/>
    <w:rsid w:val="000F2459"/>
    <w:rsid w:val="000F24F9"/>
    <w:rsid w:val="000F2563"/>
    <w:rsid w:val="000F25DD"/>
    <w:rsid w:val="000F260B"/>
    <w:rsid w:val="000F2635"/>
    <w:rsid w:val="000F2732"/>
    <w:rsid w:val="000F2740"/>
    <w:rsid w:val="000F2744"/>
    <w:rsid w:val="000F2790"/>
    <w:rsid w:val="000F27D0"/>
    <w:rsid w:val="000F27E5"/>
    <w:rsid w:val="000F281A"/>
    <w:rsid w:val="000F287A"/>
    <w:rsid w:val="000F28A8"/>
    <w:rsid w:val="000F28E5"/>
    <w:rsid w:val="000F28F5"/>
    <w:rsid w:val="000F28F6"/>
    <w:rsid w:val="000F2A36"/>
    <w:rsid w:val="000F2A6B"/>
    <w:rsid w:val="000F2B9B"/>
    <w:rsid w:val="000F2BA3"/>
    <w:rsid w:val="000F2C25"/>
    <w:rsid w:val="000F2D07"/>
    <w:rsid w:val="000F2D1C"/>
    <w:rsid w:val="000F2D3E"/>
    <w:rsid w:val="000F2DC2"/>
    <w:rsid w:val="000F2E25"/>
    <w:rsid w:val="000F2E89"/>
    <w:rsid w:val="000F2E8A"/>
    <w:rsid w:val="000F2EEE"/>
    <w:rsid w:val="000F2F1F"/>
    <w:rsid w:val="000F2F67"/>
    <w:rsid w:val="000F2F73"/>
    <w:rsid w:val="000F2F94"/>
    <w:rsid w:val="000F3032"/>
    <w:rsid w:val="000F303A"/>
    <w:rsid w:val="000F3088"/>
    <w:rsid w:val="000F3089"/>
    <w:rsid w:val="000F30E7"/>
    <w:rsid w:val="000F313D"/>
    <w:rsid w:val="000F31B6"/>
    <w:rsid w:val="000F31EE"/>
    <w:rsid w:val="000F32C5"/>
    <w:rsid w:val="000F3392"/>
    <w:rsid w:val="000F33A0"/>
    <w:rsid w:val="000F3418"/>
    <w:rsid w:val="000F3449"/>
    <w:rsid w:val="000F3477"/>
    <w:rsid w:val="000F3484"/>
    <w:rsid w:val="000F34E0"/>
    <w:rsid w:val="000F34E9"/>
    <w:rsid w:val="000F34F6"/>
    <w:rsid w:val="000F362F"/>
    <w:rsid w:val="000F3719"/>
    <w:rsid w:val="000F37A8"/>
    <w:rsid w:val="000F389B"/>
    <w:rsid w:val="000F38EF"/>
    <w:rsid w:val="000F3957"/>
    <w:rsid w:val="000F3A28"/>
    <w:rsid w:val="000F3A63"/>
    <w:rsid w:val="000F3AB5"/>
    <w:rsid w:val="000F3B28"/>
    <w:rsid w:val="000F3B4A"/>
    <w:rsid w:val="000F3BA8"/>
    <w:rsid w:val="000F3BCE"/>
    <w:rsid w:val="000F3C08"/>
    <w:rsid w:val="000F3D1F"/>
    <w:rsid w:val="000F3D5A"/>
    <w:rsid w:val="000F3D66"/>
    <w:rsid w:val="000F3DAD"/>
    <w:rsid w:val="000F3DE0"/>
    <w:rsid w:val="000F3E0E"/>
    <w:rsid w:val="000F3E47"/>
    <w:rsid w:val="000F3E5D"/>
    <w:rsid w:val="000F3E6E"/>
    <w:rsid w:val="000F3E7A"/>
    <w:rsid w:val="000F3EFA"/>
    <w:rsid w:val="000F3F67"/>
    <w:rsid w:val="000F3FDB"/>
    <w:rsid w:val="000F4050"/>
    <w:rsid w:val="000F40C3"/>
    <w:rsid w:val="000F40F7"/>
    <w:rsid w:val="000F411F"/>
    <w:rsid w:val="000F4132"/>
    <w:rsid w:val="000F417B"/>
    <w:rsid w:val="000F41AC"/>
    <w:rsid w:val="000F42A8"/>
    <w:rsid w:val="000F42F1"/>
    <w:rsid w:val="000F431B"/>
    <w:rsid w:val="000F4393"/>
    <w:rsid w:val="000F43FE"/>
    <w:rsid w:val="000F4497"/>
    <w:rsid w:val="000F44A7"/>
    <w:rsid w:val="000F4537"/>
    <w:rsid w:val="000F4544"/>
    <w:rsid w:val="000F4558"/>
    <w:rsid w:val="000F4567"/>
    <w:rsid w:val="000F4593"/>
    <w:rsid w:val="000F45BD"/>
    <w:rsid w:val="000F45EF"/>
    <w:rsid w:val="000F4619"/>
    <w:rsid w:val="000F4629"/>
    <w:rsid w:val="000F4675"/>
    <w:rsid w:val="000F46E3"/>
    <w:rsid w:val="000F46F3"/>
    <w:rsid w:val="000F473E"/>
    <w:rsid w:val="000F47DC"/>
    <w:rsid w:val="000F48A4"/>
    <w:rsid w:val="000F4911"/>
    <w:rsid w:val="000F4917"/>
    <w:rsid w:val="000F494E"/>
    <w:rsid w:val="000F49DD"/>
    <w:rsid w:val="000F4A1F"/>
    <w:rsid w:val="000F4A58"/>
    <w:rsid w:val="000F4BA4"/>
    <w:rsid w:val="000F4BBF"/>
    <w:rsid w:val="000F4CE3"/>
    <w:rsid w:val="000F4DA7"/>
    <w:rsid w:val="000F4DCA"/>
    <w:rsid w:val="000F4DE4"/>
    <w:rsid w:val="000F4E66"/>
    <w:rsid w:val="000F4E75"/>
    <w:rsid w:val="000F4EAE"/>
    <w:rsid w:val="000F4F20"/>
    <w:rsid w:val="000F4F7B"/>
    <w:rsid w:val="000F504B"/>
    <w:rsid w:val="000F50AB"/>
    <w:rsid w:val="000F50AE"/>
    <w:rsid w:val="000F50E2"/>
    <w:rsid w:val="000F5165"/>
    <w:rsid w:val="000F52ED"/>
    <w:rsid w:val="000F5333"/>
    <w:rsid w:val="000F5354"/>
    <w:rsid w:val="000F536D"/>
    <w:rsid w:val="000F53E6"/>
    <w:rsid w:val="000F5419"/>
    <w:rsid w:val="000F54AF"/>
    <w:rsid w:val="000F54B5"/>
    <w:rsid w:val="000F54DA"/>
    <w:rsid w:val="000F5514"/>
    <w:rsid w:val="000F552C"/>
    <w:rsid w:val="000F554A"/>
    <w:rsid w:val="000F559E"/>
    <w:rsid w:val="000F55BD"/>
    <w:rsid w:val="000F561C"/>
    <w:rsid w:val="000F563C"/>
    <w:rsid w:val="000F568C"/>
    <w:rsid w:val="000F56B2"/>
    <w:rsid w:val="000F56BA"/>
    <w:rsid w:val="000F5770"/>
    <w:rsid w:val="000F5775"/>
    <w:rsid w:val="000F580C"/>
    <w:rsid w:val="000F587F"/>
    <w:rsid w:val="000F588A"/>
    <w:rsid w:val="000F5897"/>
    <w:rsid w:val="000F596B"/>
    <w:rsid w:val="000F5972"/>
    <w:rsid w:val="000F59E8"/>
    <w:rsid w:val="000F59F4"/>
    <w:rsid w:val="000F5A85"/>
    <w:rsid w:val="000F5AB9"/>
    <w:rsid w:val="000F5AF3"/>
    <w:rsid w:val="000F5B04"/>
    <w:rsid w:val="000F5B35"/>
    <w:rsid w:val="000F5B3E"/>
    <w:rsid w:val="000F5BAB"/>
    <w:rsid w:val="000F5BB2"/>
    <w:rsid w:val="000F5BD2"/>
    <w:rsid w:val="000F5CE6"/>
    <w:rsid w:val="000F5D27"/>
    <w:rsid w:val="000F5D7F"/>
    <w:rsid w:val="000F5D89"/>
    <w:rsid w:val="000F5DDE"/>
    <w:rsid w:val="000F5E1B"/>
    <w:rsid w:val="000F5FA9"/>
    <w:rsid w:val="000F6044"/>
    <w:rsid w:val="000F60A8"/>
    <w:rsid w:val="000F6109"/>
    <w:rsid w:val="000F61A3"/>
    <w:rsid w:val="000F61C9"/>
    <w:rsid w:val="000F61DE"/>
    <w:rsid w:val="000F61FD"/>
    <w:rsid w:val="000F6246"/>
    <w:rsid w:val="000F637A"/>
    <w:rsid w:val="000F6393"/>
    <w:rsid w:val="000F63A9"/>
    <w:rsid w:val="000F6457"/>
    <w:rsid w:val="000F6461"/>
    <w:rsid w:val="000F64ED"/>
    <w:rsid w:val="000F6578"/>
    <w:rsid w:val="000F65AE"/>
    <w:rsid w:val="000F65E9"/>
    <w:rsid w:val="000F6629"/>
    <w:rsid w:val="000F67C8"/>
    <w:rsid w:val="000F67EA"/>
    <w:rsid w:val="000F682E"/>
    <w:rsid w:val="000F68B0"/>
    <w:rsid w:val="000F693F"/>
    <w:rsid w:val="000F6954"/>
    <w:rsid w:val="000F697D"/>
    <w:rsid w:val="000F69B8"/>
    <w:rsid w:val="000F6A3F"/>
    <w:rsid w:val="000F6AA6"/>
    <w:rsid w:val="000F6B00"/>
    <w:rsid w:val="000F6B69"/>
    <w:rsid w:val="000F6B6B"/>
    <w:rsid w:val="000F6BD1"/>
    <w:rsid w:val="000F6BFA"/>
    <w:rsid w:val="000F6C09"/>
    <w:rsid w:val="000F6C23"/>
    <w:rsid w:val="000F6C6B"/>
    <w:rsid w:val="000F6DF2"/>
    <w:rsid w:val="000F6E30"/>
    <w:rsid w:val="000F6E8B"/>
    <w:rsid w:val="000F6EE9"/>
    <w:rsid w:val="000F6F26"/>
    <w:rsid w:val="000F6F49"/>
    <w:rsid w:val="000F6F4C"/>
    <w:rsid w:val="000F6F7D"/>
    <w:rsid w:val="000F6F8F"/>
    <w:rsid w:val="000F7083"/>
    <w:rsid w:val="000F70AD"/>
    <w:rsid w:val="000F70DF"/>
    <w:rsid w:val="000F71D1"/>
    <w:rsid w:val="000F71DC"/>
    <w:rsid w:val="000F722B"/>
    <w:rsid w:val="000F723E"/>
    <w:rsid w:val="000F725A"/>
    <w:rsid w:val="000F7296"/>
    <w:rsid w:val="000F72B5"/>
    <w:rsid w:val="000F7351"/>
    <w:rsid w:val="000F7360"/>
    <w:rsid w:val="000F73BF"/>
    <w:rsid w:val="000F73CA"/>
    <w:rsid w:val="000F7450"/>
    <w:rsid w:val="000F746F"/>
    <w:rsid w:val="000F7507"/>
    <w:rsid w:val="000F754C"/>
    <w:rsid w:val="000F75C0"/>
    <w:rsid w:val="000F763C"/>
    <w:rsid w:val="000F772B"/>
    <w:rsid w:val="000F773E"/>
    <w:rsid w:val="000F7769"/>
    <w:rsid w:val="000F77FB"/>
    <w:rsid w:val="000F787C"/>
    <w:rsid w:val="000F78EA"/>
    <w:rsid w:val="000F7921"/>
    <w:rsid w:val="000F79E7"/>
    <w:rsid w:val="000F7A21"/>
    <w:rsid w:val="000F7A39"/>
    <w:rsid w:val="000F7A93"/>
    <w:rsid w:val="000F7AE6"/>
    <w:rsid w:val="000F7B42"/>
    <w:rsid w:val="000F7B4F"/>
    <w:rsid w:val="000F7B78"/>
    <w:rsid w:val="000F7B7A"/>
    <w:rsid w:val="000F7B9C"/>
    <w:rsid w:val="000F7C17"/>
    <w:rsid w:val="000F7CA1"/>
    <w:rsid w:val="000F7CFA"/>
    <w:rsid w:val="000F7D33"/>
    <w:rsid w:val="000F7D47"/>
    <w:rsid w:val="000F7DCC"/>
    <w:rsid w:val="000F7E24"/>
    <w:rsid w:val="000F7EDD"/>
    <w:rsid w:val="000F7EF1"/>
    <w:rsid w:val="000F7F09"/>
    <w:rsid w:val="000F7F23"/>
    <w:rsid w:val="0010002B"/>
    <w:rsid w:val="0010002D"/>
    <w:rsid w:val="00100030"/>
    <w:rsid w:val="00100041"/>
    <w:rsid w:val="00100086"/>
    <w:rsid w:val="001000AB"/>
    <w:rsid w:val="001000D2"/>
    <w:rsid w:val="001000F9"/>
    <w:rsid w:val="0010019B"/>
    <w:rsid w:val="001001A4"/>
    <w:rsid w:val="001001B7"/>
    <w:rsid w:val="001001C9"/>
    <w:rsid w:val="001001E0"/>
    <w:rsid w:val="001001E1"/>
    <w:rsid w:val="0010025B"/>
    <w:rsid w:val="0010026F"/>
    <w:rsid w:val="001002DF"/>
    <w:rsid w:val="001002FF"/>
    <w:rsid w:val="0010032C"/>
    <w:rsid w:val="0010033A"/>
    <w:rsid w:val="00100357"/>
    <w:rsid w:val="0010036F"/>
    <w:rsid w:val="0010037F"/>
    <w:rsid w:val="001003DE"/>
    <w:rsid w:val="001004B2"/>
    <w:rsid w:val="001004FC"/>
    <w:rsid w:val="001004FE"/>
    <w:rsid w:val="00100529"/>
    <w:rsid w:val="001005E3"/>
    <w:rsid w:val="00100602"/>
    <w:rsid w:val="00100624"/>
    <w:rsid w:val="00100760"/>
    <w:rsid w:val="00100799"/>
    <w:rsid w:val="0010079C"/>
    <w:rsid w:val="001007AA"/>
    <w:rsid w:val="001007E2"/>
    <w:rsid w:val="0010081F"/>
    <w:rsid w:val="00100888"/>
    <w:rsid w:val="00100938"/>
    <w:rsid w:val="001009B0"/>
    <w:rsid w:val="001009E4"/>
    <w:rsid w:val="00100A63"/>
    <w:rsid w:val="00100A7A"/>
    <w:rsid w:val="00100ABE"/>
    <w:rsid w:val="00100B35"/>
    <w:rsid w:val="00100B6C"/>
    <w:rsid w:val="00100BD9"/>
    <w:rsid w:val="00100BEC"/>
    <w:rsid w:val="00100C11"/>
    <w:rsid w:val="00100C1E"/>
    <w:rsid w:val="00100D0B"/>
    <w:rsid w:val="00100D6C"/>
    <w:rsid w:val="00100DB5"/>
    <w:rsid w:val="00100DF3"/>
    <w:rsid w:val="00100E28"/>
    <w:rsid w:val="00100E3E"/>
    <w:rsid w:val="00100E5D"/>
    <w:rsid w:val="00100EC1"/>
    <w:rsid w:val="00100F20"/>
    <w:rsid w:val="00100FC0"/>
    <w:rsid w:val="0010102B"/>
    <w:rsid w:val="001010E9"/>
    <w:rsid w:val="001010F0"/>
    <w:rsid w:val="00101123"/>
    <w:rsid w:val="0010113C"/>
    <w:rsid w:val="00101157"/>
    <w:rsid w:val="00101178"/>
    <w:rsid w:val="001011E8"/>
    <w:rsid w:val="00101202"/>
    <w:rsid w:val="00101293"/>
    <w:rsid w:val="001013F1"/>
    <w:rsid w:val="00101476"/>
    <w:rsid w:val="0010158D"/>
    <w:rsid w:val="001015F2"/>
    <w:rsid w:val="00101661"/>
    <w:rsid w:val="00101679"/>
    <w:rsid w:val="00101706"/>
    <w:rsid w:val="0010173A"/>
    <w:rsid w:val="001017DF"/>
    <w:rsid w:val="00101879"/>
    <w:rsid w:val="00101881"/>
    <w:rsid w:val="001018D1"/>
    <w:rsid w:val="00101957"/>
    <w:rsid w:val="001019DB"/>
    <w:rsid w:val="00101A1D"/>
    <w:rsid w:val="00101A21"/>
    <w:rsid w:val="00101A73"/>
    <w:rsid w:val="00101B1B"/>
    <w:rsid w:val="00101B39"/>
    <w:rsid w:val="00101B52"/>
    <w:rsid w:val="00101B71"/>
    <w:rsid w:val="00101BDA"/>
    <w:rsid w:val="00101C1F"/>
    <w:rsid w:val="00101C88"/>
    <w:rsid w:val="00101C89"/>
    <w:rsid w:val="00101CA2"/>
    <w:rsid w:val="00101D2B"/>
    <w:rsid w:val="00101E07"/>
    <w:rsid w:val="00101F23"/>
    <w:rsid w:val="00102070"/>
    <w:rsid w:val="001020BF"/>
    <w:rsid w:val="00102114"/>
    <w:rsid w:val="00102212"/>
    <w:rsid w:val="00102219"/>
    <w:rsid w:val="00102226"/>
    <w:rsid w:val="00102251"/>
    <w:rsid w:val="001022C7"/>
    <w:rsid w:val="00102317"/>
    <w:rsid w:val="001023B9"/>
    <w:rsid w:val="0010249B"/>
    <w:rsid w:val="001024FE"/>
    <w:rsid w:val="001025D2"/>
    <w:rsid w:val="0010261A"/>
    <w:rsid w:val="00102629"/>
    <w:rsid w:val="001026D2"/>
    <w:rsid w:val="00102706"/>
    <w:rsid w:val="00102714"/>
    <w:rsid w:val="0010271F"/>
    <w:rsid w:val="001027C3"/>
    <w:rsid w:val="001028A8"/>
    <w:rsid w:val="001028ED"/>
    <w:rsid w:val="00102986"/>
    <w:rsid w:val="00102993"/>
    <w:rsid w:val="001029B5"/>
    <w:rsid w:val="001029CC"/>
    <w:rsid w:val="001029D8"/>
    <w:rsid w:val="00102A31"/>
    <w:rsid w:val="00102B2B"/>
    <w:rsid w:val="00102BA2"/>
    <w:rsid w:val="00102BE8"/>
    <w:rsid w:val="00102BF6"/>
    <w:rsid w:val="00102C53"/>
    <w:rsid w:val="00102C6E"/>
    <w:rsid w:val="00102D3D"/>
    <w:rsid w:val="00102D51"/>
    <w:rsid w:val="00102D6A"/>
    <w:rsid w:val="00102D7F"/>
    <w:rsid w:val="00102E30"/>
    <w:rsid w:val="00102F3F"/>
    <w:rsid w:val="00102F58"/>
    <w:rsid w:val="00102F63"/>
    <w:rsid w:val="00103010"/>
    <w:rsid w:val="0010302D"/>
    <w:rsid w:val="001031DF"/>
    <w:rsid w:val="001031F8"/>
    <w:rsid w:val="0010333E"/>
    <w:rsid w:val="001033FB"/>
    <w:rsid w:val="0010343E"/>
    <w:rsid w:val="001034B2"/>
    <w:rsid w:val="0010358F"/>
    <w:rsid w:val="001035EE"/>
    <w:rsid w:val="00103618"/>
    <w:rsid w:val="001036AD"/>
    <w:rsid w:val="001037C4"/>
    <w:rsid w:val="001037E8"/>
    <w:rsid w:val="00103808"/>
    <w:rsid w:val="0010383E"/>
    <w:rsid w:val="001038B4"/>
    <w:rsid w:val="001038FE"/>
    <w:rsid w:val="00103918"/>
    <w:rsid w:val="0010394E"/>
    <w:rsid w:val="00103971"/>
    <w:rsid w:val="001039F4"/>
    <w:rsid w:val="001039FA"/>
    <w:rsid w:val="00103B58"/>
    <w:rsid w:val="00103B7A"/>
    <w:rsid w:val="00103BEF"/>
    <w:rsid w:val="00103BFF"/>
    <w:rsid w:val="00103DDB"/>
    <w:rsid w:val="00103E4A"/>
    <w:rsid w:val="00103E65"/>
    <w:rsid w:val="00103EDA"/>
    <w:rsid w:val="00103EE2"/>
    <w:rsid w:val="00103F9E"/>
    <w:rsid w:val="00103FD9"/>
    <w:rsid w:val="00104061"/>
    <w:rsid w:val="001041D8"/>
    <w:rsid w:val="0010425B"/>
    <w:rsid w:val="00104284"/>
    <w:rsid w:val="001042A4"/>
    <w:rsid w:val="001042AD"/>
    <w:rsid w:val="00104301"/>
    <w:rsid w:val="0010437D"/>
    <w:rsid w:val="001043A5"/>
    <w:rsid w:val="001043AB"/>
    <w:rsid w:val="00104461"/>
    <w:rsid w:val="00104511"/>
    <w:rsid w:val="00104557"/>
    <w:rsid w:val="001045A4"/>
    <w:rsid w:val="001045C4"/>
    <w:rsid w:val="001045F2"/>
    <w:rsid w:val="0010460F"/>
    <w:rsid w:val="0010463C"/>
    <w:rsid w:val="0010463E"/>
    <w:rsid w:val="0010469C"/>
    <w:rsid w:val="00104764"/>
    <w:rsid w:val="001047E1"/>
    <w:rsid w:val="00104827"/>
    <w:rsid w:val="0010493C"/>
    <w:rsid w:val="00104944"/>
    <w:rsid w:val="001049E3"/>
    <w:rsid w:val="001049EE"/>
    <w:rsid w:val="00104B25"/>
    <w:rsid w:val="00104C37"/>
    <w:rsid w:val="00104D2C"/>
    <w:rsid w:val="00104D34"/>
    <w:rsid w:val="00104D4B"/>
    <w:rsid w:val="00104E09"/>
    <w:rsid w:val="00104E87"/>
    <w:rsid w:val="00104F95"/>
    <w:rsid w:val="00105016"/>
    <w:rsid w:val="0010502C"/>
    <w:rsid w:val="0010502D"/>
    <w:rsid w:val="001050B0"/>
    <w:rsid w:val="001050BE"/>
    <w:rsid w:val="00105152"/>
    <w:rsid w:val="001051A4"/>
    <w:rsid w:val="001051C1"/>
    <w:rsid w:val="00105201"/>
    <w:rsid w:val="00105225"/>
    <w:rsid w:val="0010524E"/>
    <w:rsid w:val="00105257"/>
    <w:rsid w:val="001052B7"/>
    <w:rsid w:val="001052E2"/>
    <w:rsid w:val="0010530D"/>
    <w:rsid w:val="00105335"/>
    <w:rsid w:val="0010536A"/>
    <w:rsid w:val="00105385"/>
    <w:rsid w:val="00105398"/>
    <w:rsid w:val="001053D0"/>
    <w:rsid w:val="001053D9"/>
    <w:rsid w:val="00105416"/>
    <w:rsid w:val="0010541F"/>
    <w:rsid w:val="001054DC"/>
    <w:rsid w:val="0010552F"/>
    <w:rsid w:val="0010559F"/>
    <w:rsid w:val="001055FF"/>
    <w:rsid w:val="0010566F"/>
    <w:rsid w:val="001056A4"/>
    <w:rsid w:val="001056A8"/>
    <w:rsid w:val="001056FC"/>
    <w:rsid w:val="001057C0"/>
    <w:rsid w:val="0010582B"/>
    <w:rsid w:val="00105846"/>
    <w:rsid w:val="001058A2"/>
    <w:rsid w:val="001058C7"/>
    <w:rsid w:val="00105975"/>
    <w:rsid w:val="001059C1"/>
    <w:rsid w:val="001059D9"/>
    <w:rsid w:val="00105A46"/>
    <w:rsid w:val="00105A9A"/>
    <w:rsid w:val="00105AE1"/>
    <w:rsid w:val="00105B28"/>
    <w:rsid w:val="00105B33"/>
    <w:rsid w:val="00105B41"/>
    <w:rsid w:val="00105B83"/>
    <w:rsid w:val="00105BCB"/>
    <w:rsid w:val="00105C17"/>
    <w:rsid w:val="00105C26"/>
    <w:rsid w:val="00105CE9"/>
    <w:rsid w:val="00105D16"/>
    <w:rsid w:val="00105D32"/>
    <w:rsid w:val="00105D37"/>
    <w:rsid w:val="00105D51"/>
    <w:rsid w:val="00105DF3"/>
    <w:rsid w:val="00105E2B"/>
    <w:rsid w:val="00105E4F"/>
    <w:rsid w:val="00105FAE"/>
    <w:rsid w:val="0010602A"/>
    <w:rsid w:val="00106085"/>
    <w:rsid w:val="001060F0"/>
    <w:rsid w:val="001060FB"/>
    <w:rsid w:val="001061AB"/>
    <w:rsid w:val="00106248"/>
    <w:rsid w:val="0010629E"/>
    <w:rsid w:val="00106323"/>
    <w:rsid w:val="0010638C"/>
    <w:rsid w:val="001063CC"/>
    <w:rsid w:val="0010640E"/>
    <w:rsid w:val="00106463"/>
    <w:rsid w:val="001064A5"/>
    <w:rsid w:val="001064B5"/>
    <w:rsid w:val="001065E9"/>
    <w:rsid w:val="00106666"/>
    <w:rsid w:val="001066D2"/>
    <w:rsid w:val="0010676E"/>
    <w:rsid w:val="00106771"/>
    <w:rsid w:val="00106826"/>
    <w:rsid w:val="0010687E"/>
    <w:rsid w:val="0010694A"/>
    <w:rsid w:val="00106A07"/>
    <w:rsid w:val="00106A1D"/>
    <w:rsid w:val="00106B08"/>
    <w:rsid w:val="00106B15"/>
    <w:rsid w:val="00106B52"/>
    <w:rsid w:val="00106D17"/>
    <w:rsid w:val="00106D2C"/>
    <w:rsid w:val="00106D4B"/>
    <w:rsid w:val="00106E2C"/>
    <w:rsid w:val="00106F60"/>
    <w:rsid w:val="00106FD6"/>
    <w:rsid w:val="00106FFD"/>
    <w:rsid w:val="0010702C"/>
    <w:rsid w:val="0010703D"/>
    <w:rsid w:val="0010718F"/>
    <w:rsid w:val="001071A0"/>
    <w:rsid w:val="001071A5"/>
    <w:rsid w:val="001071B9"/>
    <w:rsid w:val="00107201"/>
    <w:rsid w:val="00107224"/>
    <w:rsid w:val="00107249"/>
    <w:rsid w:val="00107260"/>
    <w:rsid w:val="00107295"/>
    <w:rsid w:val="001072D1"/>
    <w:rsid w:val="00107300"/>
    <w:rsid w:val="00107320"/>
    <w:rsid w:val="0010736C"/>
    <w:rsid w:val="00107372"/>
    <w:rsid w:val="00107380"/>
    <w:rsid w:val="001073A7"/>
    <w:rsid w:val="001073F8"/>
    <w:rsid w:val="0010741E"/>
    <w:rsid w:val="00107424"/>
    <w:rsid w:val="0010744C"/>
    <w:rsid w:val="00107474"/>
    <w:rsid w:val="001074AE"/>
    <w:rsid w:val="00107534"/>
    <w:rsid w:val="00107558"/>
    <w:rsid w:val="001075A4"/>
    <w:rsid w:val="001075F0"/>
    <w:rsid w:val="0010762E"/>
    <w:rsid w:val="0010764B"/>
    <w:rsid w:val="0010766D"/>
    <w:rsid w:val="00107675"/>
    <w:rsid w:val="001076BB"/>
    <w:rsid w:val="001076ED"/>
    <w:rsid w:val="00107740"/>
    <w:rsid w:val="00107790"/>
    <w:rsid w:val="00107827"/>
    <w:rsid w:val="001078AA"/>
    <w:rsid w:val="001078AD"/>
    <w:rsid w:val="001078B0"/>
    <w:rsid w:val="001078ED"/>
    <w:rsid w:val="00107938"/>
    <w:rsid w:val="00107956"/>
    <w:rsid w:val="00107988"/>
    <w:rsid w:val="00107A24"/>
    <w:rsid w:val="00107A46"/>
    <w:rsid w:val="00107B40"/>
    <w:rsid w:val="00107BE1"/>
    <w:rsid w:val="00107C23"/>
    <w:rsid w:val="00107C5B"/>
    <w:rsid w:val="00107C94"/>
    <w:rsid w:val="00107D70"/>
    <w:rsid w:val="00107DCD"/>
    <w:rsid w:val="00107DF8"/>
    <w:rsid w:val="00107E09"/>
    <w:rsid w:val="00107E1F"/>
    <w:rsid w:val="00107E73"/>
    <w:rsid w:val="00107ECA"/>
    <w:rsid w:val="00107ECB"/>
    <w:rsid w:val="00107F28"/>
    <w:rsid w:val="00107F81"/>
    <w:rsid w:val="00107FAE"/>
    <w:rsid w:val="00107FBF"/>
    <w:rsid w:val="0011006D"/>
    <w:rsid w:val="001100DF"/>
    <w:rsid w:val="001100E7"/>
    <w:rsid w:val="00110146"/>
    <w:rsid w:val="00110148"/>
    <w:rsid w:val="0011016A"/>
    <w:rsid w:val="0011017D"/>
    <w:rsid w:val="001101A7"/>
    <w:rsid w:val="001101CB"/>
    <w:rsid w:val="001101D7"/>
    <w:rsid w:val="001101D9"/>
    <w:rsid w:val="0011027E"/>
    <w:rsid w:val="001102A3"/>
    <w:rsid w:val="001102F7"/>
    <w:rsid w:val="001103BA"/>
    <w:rsid w:val="001103CD"/>
    <w:rsid w:val="0011046D"/>
    <w:rsid w:val="00110528"/>
    <w:rsid w:val="00110585"/>
    <w:rsid w:val="001105A4"/>
    <w:rsid w:val="001105DF"/>
    <w:rsid w:val="001105F1"/>
    <w:rsid w:val="001106CD"/>
    <w:rsid w:val="0011073C"/>
    <w:rsid w:val="00110803"/>
    <w:rsid w:val="00110960"/>
    <w:rsid w:val="00110968"/>
    <w:rsid w:val="00110977"/>
    <w:rsid w:val="00110A36"/>
    <w:rsid w:val="00110B37"/>
    <w:rsid w:val="00110B60"/>
    <w:rsid w:val="00110B6F"/>
    <w:rsid w:val="00110BB6"/>
    <w:rsid w:val="00110C1B"/>
    <w:rsid w:val="00110C2D"/>
    <w:rsid w:val="00110CED"/>
    <w:rsid w:val="00110D98"/>
    <w:rsid w:val="00110EAA"/>
    <w:rsid w:val="00110EC4"/>
    <w:rsid w:val="00110EF9"/>
    <w:rsid w:val="00110F1C"/>
    <w:rsid w:val="00110F4F"/>
    <w:rsid w:val="00110FE8"/>
    <w:rsid w:val="00111071"/>
    <w:rsid w:val="00111148"/>
    <w:rsid w:val="0011118A"/>
    <w:rsid w:val="00111239"/>
    <w:rsid w:val="001112F4"/>
    <w:rsid w:val="001112FA"/>
    <w:rsid w:val="0011132E"/>
    <w:rsid w:val="001114D1"/>
    <w:rsid w:val="001114D9"/>
    <w:rsid w:val="00111533"/>
    <w:rsid w:val="00111559"/>
    <w:rsid w:val="001115B5"/>
    <w:rsid w:val="0011163D"/>
    <w:rsid w:val="00111684"/>
    <w:rsid w:val="0011169D"/>
    <w:rsid w:val="001116CA"/>
    <w:rsid w:val="00111712"/>
    <w:rsid w:val="00111757"/>
    <w:rsid w:val="001117C0"/>
    <w:rsid w:val="001117DB"/>
    <w:rsid w:val="0011181D"/>
    <w:rsid w:val="001118CA"/>
    <w:rsid w:val="00111918"/>
    <w:rsid w:val="0011194E"/>
    <w:rsid w:val="001119D7"/>
    <w:rsid w:val="001119E2"/>
    <w:rsid w:val="00111A1C"/>
    <w:rsid w:val="00111A35"/>
    <w:rsid w:val="00111A6E"/>
    <w:rsid w:val="00111ACD"/>
    <w:rsid w:val="00111BA6"/>
    <w:rsid w:val="00111C2A"/>
    <w:rsid w:val="00111C89"/>
    <w:rsid w:val="00111CF6"/>
    <w:rsid w:val="00111D0F"/>
    <w:rsid w:val="00111D31"/>
    <w:rsid w:val="00111DF4"/>
    <w:rsid w:val="00111E62"/>
    <w:rsid w:val="00111ED4"/>
    <w:rsid w:val="00111FB8"/>
    <w:rsid w:val="00112015"/>
    <w:rsid w:val="001120C4"/>
    <w:rsid w:val="001120FF"/>
    <w:rsid w:val="00112108"/>
    <w:rsid w:val="00112114"/>
    <w:rsid w:val="00112169"/>
    <w:rsid w:val="001122EE"/>
    <w:rsid w:val="001122F7"/>
    <w:rsid w:val="00112321"/>
    <w:rsid w:val="00112340"/>
    <w:rsid w:val="00112344"/>
    <w:rsid w:val="00112347"/>
    <w:rsid w:val="00112378"/>
    <w:rsid w:val="001123C8"/>
    <w:rsid w:val="001123EE"/>
    <w:rsid w:val="00112418"/>
    <w:rsid w:val="001124C1"/>
    <w:rsid w:val="00112568"/>
    <w:rsid w:val="0011259A"/>
    <w:rsid w:val="001125B3"/>
    <w:rsid w:val="0011260F"/>
    <w:rsid w:val="00112636"/>
    <w:rsid w:val="00112677"/>
    <w:rsid w:val="001126A5"/>
    <w:rsid w:val="001126A8"/>
    <w:rsid w:val="00112761"/>
    <w:rsid w:val="0011278B"/>
    <w:rsid w:val="001127C3"/>
    <w:rsid w:val="0011285F"/>
    <w:rsid w:val="00112861"/>
    <w:rsid w:val="001128AD"/>
    <w:rsid w:val="001128BA"/>
    <w:rsid w:val="001128CD"/>
    <w:rsid w:val="001128CE"/>
    <w:rsid w:val="001128DE"/>
    <w:rsid w:val="00112913"/>
    <w:rsid w:val="0011291F"/>
    <w:rsid w:val="0011293C"/>
    <w:rsid w:val="00112A46"/>
    <w:rsid w:val="00112A89"/>
    <w:rsid w:val="00112B06"/>
    <w:rsid w:val="00112B1A"/>
    <w:rsid w:val="00112C1A"/>
    <w:rsid w:val="00112CAA"/>
    <w:rsid w:val="00112CAD"/>
    <w:rsid w:val="00112D70"/>
    <w:rsid w:val="00112E06"/>
    <w:rsid w:val="00112E07"/>
    <w:rsid w:val="00112E75"/>
    <w:rsid w:val="00112F01"/>
    <w:rsid w:val="00112F70"/>
    <w:rsid w:val="0011300E"/>
    <w:rsid w:val="0011305F"/>
    <w:rsid w:val="00113061"/>
    <w:rsid w:val="001130A2"/>
    <w:rsid w:val="001130AA"/>
    <w:rsid w:val="001130AC"/>
    <w:rsid w:val="00113104"/>
    <w:rsid w:val="0011311B"/>
    <w:rsid w:val="001131D6"/>
    <w:rsid w:val="00113276"/>
    <w:rsid w:val="00113304"/>
    <w:rsid w:val="0011336E"/>
    <w:rsid w:val="00113387"/>
    <w:rsid w:val="001133A8"/>
    <w:rsid w:val="0011344A"/>
    <w:rsid w:val="0011359F"/>
    <w:rsid w:val="001135DC"/>
    <w:rsid w:val="001135DD"/>
    <w:rsid w:val="001135E9"/>
    <w:rsid w:val="00113628"/>
    <w:rsid w:val="0011362F"/>
    <w:rsid w:val="0011367E"/>
    <w:rsid w:val="0011368F"/>
    <w:rsid w:val="001136D3"/>
    <w:rsid w:val="001136DC"/>
    <w:rsid w:val="001137FD"/>
    <w:rsid w:val="001138C0"/>
    <w:rsid w:val="00113912"/>
    <w:rsid w:val="00113990"/>
    <w:rsid w:val="001139CB"/>
    <w:rsid w:val="001139F9"/>
    <w:rsid w:val="00113A5B"/>
    <w:rsid w:val="00113A66"/>
    <w:rsid w:val="00113A6A"/>
    <w:rsid w:val="00113A87"/>
    <w:rsid w:val="00113AA3"/>
    <w:rsid w:val="00113AAB"/>
    <w:rsid w:val="00113B47"/>
    <w:rsid w:val="00113B49"/>
    <w:rsid w:val="00113B52"/>
    <w:rsid w:val="00113B5D"/>
    <w:rsid w:val="00113B69"/>
    <w:rsid w:val="00113BEE"/>
    <w:rsid w:val="00113C96"/>
    <w:rsid w:val="00113CD5"/>
    <w:rsid w:val="00113CF7"/>
    <w:rsid w:val="00113DEE"/>
    <w:rsid w:val="00113EBA"/>
    <w:rsid w:val="00113EF1"/>
    <w:rsid w:val="00113F5E"/>
    <w:rsid w:val="00113F84"/>
    <w:rsid w:val="00113FD6"/>
    <w:rsid w:val="0011400E"/>
    <w:rsid w:val="00114038"/>
    <w:rsid w:val="0011404E"/>
    <w:rsid w:val="00114120"/>
    <w:rsid w:val="00114155"/>
    <w:rsid w:val="001141B0"/>
    <w:rsid w:val="001141E3"/>
    <w:rsid w:val="00114240"/>
    <w:rsid w:val="00114272"/>
    <w:rsid w:val="00114283"/>
    <w:rsid w:val="00114325"/>
    <w:rsid w:val="00114334"/>
    <w:rsid w:val="001143A7"/>
    <w:rsid w:val="001143E3"/>
    <w:rsid w:val="0011441C"/>
    <w:rsid w:val="0011445E"/>
    <w:rsid w:val="00114500"/>
    <w:rsid w:val="0011451F"/>
    <w:rsid w:val="00114558"/>
    <w:rsid w:val="001145A9"/>
    <w:rsid w:val="001145B9"/>
    <w:rsid w:val="001145E7"/>
    <w:rsid w:val="001146D9"/>
    <w:rsid w:val="001146E8"/>
    <w:rsid w:val="001146F6"/>
    <w:rsid w:val="0011472E"/>
    <w:rsid w:val="0011474C"/>
    <w:rsid w:val="0011475D"/>
    <w:rsid w:val="001147D6"/>
    <w:rsid w:val="00114892"/>
    <w:rsid w:val="001148B3"/>
    <w:rsid w:val="001148B8"/>
    <w:rsid w:val="001148C4"/>
    <w:rsid w:val="0011491C"/>
    <w:rsid w:val="00114921"/>
    <w:rsid w:val="001149E0"/>
    <w:rsid w:val="00114A3E"/>
    <w:rsid w:val="00114A7E"/>
    <w:rsid w:val="00114ACB"/>
    <w:rsid w:val="00114B22"/>
    <w:rsid w:val="00114B56"/>
    <w:rsid w:val="00114B92"/>
    <w:rsid w:val="00114C5B"/>
    <w:rsid w:val="00114C95"/>
    <w:rsid w:val="00114CA8"/>
    <w:rsid w:val="00114CE8"/>
    <w:rsid w:val="00114D7E"/>
    <w:rsid w:val="00114D89"/>
    <w:rsid w:val="00114DAC"/>
    <w:rsid w:val="00114E45"/>
    <w:rsid w:val="00114EDC"/>
    <w:rsid w:val="00114F35"/>
    <w:rsid w:val="00114FD2"/>
    <w:rsid w:val="00114FE2"/>
    <w:rsid w:val="0011506E"/>
    <w:rsid w:val="001150D6"/>
    <w:rsid w:val="00115111"/>
    <w:rsid w:val="00115127"/>
    <w:rsid w:val="001151C8"/>
    <w:rsid w:val="001151D9"/>
    <w:rsid w:val="00115292"/>
    <w:rsid w:val="0011534E"/>
    <w:rsid w:val="00115380"/>
    <w:rsid w:val="0011539E"/>
    <w:rsid w:val="001154CD"/>
    <w:rsid w:val="00115511"/>
    <w:rsid w:val="001155C3"/>
    <w:rsid w:val="00115800"/>
    <w:rsid w:val="00115811"/>
    <w:rsid w:val="0011581D"/>
    <w:rsid w:val="0011584E"/>
    <w:rsid w:val="001158BA"/>
    <w:rsid w:val="001158F7"/>
    <w:rsid w:val="00115990"/>
    <w:rsid w:val="001159C1"/>
    <w:rsid w:val="00115A35"/>
    <w:rsid w:val="00115ABF"/>
    <w:rsid w:val="00115AED"/>
    <w:rsid w:val="00115B06"/>
    <w:rsid w:val="00115B6C"/>
    <w:rsid w:val="00115C6F"/>
    <w:rsid w:val="00115D0A"/>
    <w:rsid w:val="00115D94"/>
    <w:rsid w:val="00115DDF"/>
    <w:rsid w:val="00115DEA"/>
    <w:rsid w:val="00115E49"/>
    <w:rsid w:val="00115E53"/>
    <w:rsid w:val="00115E62"/>
    <w:rsid w:val="00115E96"/>
    <w:rsid w:val="00115EAB"/>
    <w:rsid w:val="00115EBF"/>
    <w:rsid w:val="00115ED2"/>
    <w:rsid w:val="00115EED"/>
    <w:rsid w:val="00115EF3"/>
    <w:rsid w:val="00115F43"/>
    <w:rsid w:val="00115F66"/>
    <w:rsid w:val="00115FA5"/>
    <w:rsid w:val="00115FB5"/>
    <w:rsid w:val="00116018"/>
    <w:rsid w:val="00116091"/>
    <w:rsid w:val="00116096"/>
    <w:rsid w:val="001160E1"/>
    <w:rsid w:val="00116122"/>
    <w:rsid w:val="00116270"/>
    <w:rsid w:val="00116288"/>
    <w:rsid w:val="00116297"/>
    <w:rsid w:val="0011637F"/>
    <w:rsid w:val="001163FB"/>
    <w:rsid w:val="00116413"/>
    <w:rsid w:val="00116414"/>
    <w:rsid w:val="00116423"/>
    <w:rsid w:val="0011645F"/>
    <w:rsid w:val="001164B9"/>
    <w:rsid w:val="0011652E"/>
    <w:rsid w:val="0011659A"/>
    <w:rsid w:val="001165A3"/>
    <w:rsid w:val="001165F4"/>
    <w:rsid w:val="00116619"/>
    <w:rsid w:val="0011663E"/>
    <w:rsid w:val="0011678C"/>
    <w:rsid w:val="001167F1"/>
    <w:rsid w:val="001168CE"/>
    <w:rsid w:val="00116945"/>
    <w:rsid w:val="00116946"/>
    <w:rsid w:val="001169F1"/>
    <w:rsid w:val="001169FD"/>
    <w:rsid w:val="00116A44"/>
    <w:rsid w:val="00116AB9"/>
    <w:rsid w:val="00116AF2"/>
    <w:rsid w:val="00116AF7"/>
    <w:rsid w:val="00116B0B"/>
    <w:rsid w:val="00116C03"/>
    <w:rsid w:val="00116C0B"/>
    <w:rsid w:val="00116C29"/>
    <w:rsid w:val="00116C2C"/>
    <w:rsid w:val="00116CD0"/>
    <w:rsid w:val="00116D5F"/>
    <w:rsid w:val="00116DAB"/>
    <w:rsid w:val="00116DAE"/>
    <w:rsid w:val="00116E7C"/>
    <w:rsid w:val="00116F61"/>
    <w:rsid w:val="00116F7A"/>
    <w:rsid w:val="00116FD1"/>
    <w:rsid w:val="0011702C"/>
    <w:rsid w:val="00117030"/>
    <w:rsid w:val="00117069"/>
    <w:rsid w:val="001170F5"/>
    <w:rsid w:val="0011710C"/>
    <w:rsid w:val="0011721D"/>
    <w:rsid w:val="001172AE"/>
    <w:rsid w:val="001172E4"/>
    <w:rsid w:val="0011730B"/>
    <w:rsid w:val="00117329"/>
    <w:rsid w:val="0011743F"/>
    <w:rsid w:val="00117453"/>
    <w:rsid w:val="001174D2"/>
    <w:rsid w:val="001174E2"/>
    <w:rsid w:val="00117724"/>
    <w:rsid w:val="001177A4"/>
    <w:rsid w:val="00117825"/>
    <w:rsid w:val="0011787D"/>
    <w:rsid w:val="001178B2"/>
    <w:rsid w:val="001178D2"/>
    <w:rsid w:val="001178E7"/>
    <w:rsid w:val="001178EA"/>
    <w:rsid w:val="001178ED"/>
    <w:rsid w:val="00117930"/>
    <w:rsid w:val="0011795D"/>
    <w:rsid w:val="00117963"/>
    <w:rsid w:val="00117983"/>
    <w:rsid w:val="001179D0"/>
    <w:rsid w:val="001179E2"/>
    <w:rsid w:val="00117A5F"/>
    <w:rsid w:val="00117A85"/>
    <w:rsid w:val="00117A86"/>
    <w:rsid w:val="00117B93"/>
    <w:rsid w:val="00117B99"/>
    <w:rsid w:val="00117BCC"/>
    <w:rsid w:val="00117BDD"/>
    <w:rsid w:val="00117BF7"/>
    <w:rsid w:val="00117CA2"/>
    <w:rsid w:val="00117CC4"/>
    <w:rsid w:val="00117CF3"/>
    <w:rsid w:val="00117D09"/>
    <w:rsid w:val="00117D94"/>
    <w:rsid w:val="00117E84"/>
    <w:rsid w:val="00117E8D"/>
    <w:rsid w:val="00117EA1"/>
    <w:rsid w:val="00117EE0"/>
    <w:rsid w:val="00117F0E"/>
    <w:rsid w:val="00117F0F"/>
    <w:rsid w:val="00117F40"/>
    <w:rsid w:val="00117F68"/>
    <w:rsid w:val="00117FBC"/>
    <w:rsid w:val="0012001E"/>
    <w:rsid w:val="00120100"/>
    <w:rsid w:val="00120121"/>
    <w:rsid w:val="0012012E"/>
    <w:rsid w:val="00120196"/>
    <w:rsid w:val="001201C2"/>
    <w:rsid w:val="0012026F"/>
    <w:rsid w:val="00120282"/>
    <w:rsid w:val="001202A9"/>
    <w:rsid w:val="001202C3"/>
    <w:rsid w:val="001202E8"/>
    <w:rsid w:val="00120324"/>
    <w:rsid w:val="00120359"/>
    <w:rsid w:val="001203BF"/>
    <w:rsid w:val="00120437"/>
    <w:rsid w:val="001204DC"/>
    <w:rsid w:val="001204EC"/>
    <w:rsid w:val="00120550"/>
    <w:rsid w:val="00120579"/>
    <w:rsid w:val="001205A6"/>
    <w:rsid w:val="00120637"/>
    <w:rsid w:val="0012063C"/>
    <w:rsid w:val="0012069A"/>
    <w:rsid w:val="001206C4"/>
    <w:rsid w:val="00120708"/>
    <w:rsid w:val="001207A2"/>
    <w:rsid w:val="001207D0"/>
    <w:rsid w:val="001207EC"/>
    <w:rsid w:val="0012089B"/>
    <w:rsid w:val="001209A0"/>
    <w:rsid w:val="00120AB3"/>
    <w:rsid w:val="00120AE3"/>
    <w:rsid w:val="00120AF2"/>
    <w:rsid w:val="00120B6D"/>
    <w:rsid w:val="00120B8A"/>
    <w:rsid w:val="00120B8C"/>
    <w:rsid w:val="00120BB1"/>
    <w:rsid w:val="00120BF1"/>
    <w:rsid w:val="00120C86"/>
    <w:rsid w:val="00120CC4"/>
    <w:rsid w:val="00120DC0"/>
    <w:rsid w:val="00120E39"/>
    <w:rsid w:val="00120E52"/>
    <w:rsid w:val="00120E78"/>
    <w:rsid w:val="00120E8E"/>
    <w:rsid w:val="00120F34"/>
    <w:rsid w:val="00120F84"/>
    <w:rsid w:val="0012108C"/>
    <w:rsid w:val="00121129"/>
    <w:rsid w:val="00121188"/>
    <w:rsid w:val="00121244"/>
    <w:rsid w:val="0012135C"/>
    <w:rsid w:val="00121454"/>
    <w:rsid w:val="00121511"/>
    <w:rsid w:val="00121576"/>
    <w:rsid w:val="001215D9"/>
    <w:rsid w:val="001215EC"/>
    <w:rsid w:val="00121675"/>
    <w:rsid w:val="001216F7"/>
    <w:rsid w:val="001217BF"/>
    <w:rsid w:val="001217C6"/>
    <w:rsid w:val="00121841"/>
    <w:rsid w:val="00121843"/>
    <w:rsid w:val="001218F5"/>
    <w:rsid w:val="0012199A"/>
    <w:rsid w:val="00121AE2"/>
    <w:rsid w:val="00121AFB"/>
    <w:rsid w:val="00121B3C"/>
    <w:rsid w:val="00121BD3"/>
    <w:rsid w:val="00121CFE"/>
    <w:rsid w:val="00121DBF"/>
    <w:rsid w:val="00121DC6"/>
    <w:rsid w:val="00121DFD"/>
    <w:rsid w:val="00121E1B"/>
    <w:rsid w:val="00121EDB"/>
    <w:rsid w:val="00121F1D"/>
    <w:rsid w:val="00121F4D"/>
    <w:rsid w:val="00121F57"/>
    <w:rsid w:val="00121F87"/>
    <w:rsid w:val="00121FDD"/>
    <w:rsid w:val="0012201D"/>
    <w:rsid w:val="00122022"/>
    <w:rsid w:val="00122025"/>
    <w:rsid w:val="00122040"/>
    <w:rsid w:val="00122065"/>
    <w:rsid w:val="00122069"/>
    <w:rsid w:val="001220CB"/>
    <w:rsid w:val="001220EB"/>
    <w:rsid w:val="001220FA"/>
    <w:rsid w:val="0012210F"/>
    <w:rsid w:val="00122122"/>
    <w:rsid w:val="00122165"/>
    <w:rsid w:val="0012232E"/>
    <w:rsid w:val="001223BC"/>
    <w:rsid w:val="001223DB"/>
    <w:rsid w:val="00122408"/>
    <w:rsid w:val="001224D1"/>
    <w:rsid w:val="001225AB"/>
    <w:rsid w:val="001225FC"/>
    <w:rsid w:val="00122677"/>
    <w:rsid w:val="00122750"/>
    <w:rsid w:val="00122767"/>
    <w:rsid w:val="00122784"/>
    <w:rsid w:val="001227C4"/>
    <w:rsid w:val="001227E0"/>
    <w:rsid w:val="001227E2"/>
    <w:rsid w:val="00122907"/>
    <w:rsid w:val="0012294C"/>
    <w:rsid w:val="0012296F"/>
    <w:rsid w:val="00122986"/>
    <w:rsid w:val="00122996"/>
    <w:rsid w:val="001229B5"/>
    <w:rsid w:val="001229F8"/>
    <w:rsid w:val="00122A12"/>
    <w:rsid w:val="00122A4E"/>
    <w:rsid w:val="00122AA2"/>
    <w:rsid w:val="00122AD2"/>
    <w:rsid w:val="00122AD4"/>
    <w:rsid w:val="00122B16"/>
    <w:rsid w:val="00122B28"/>
    <w:rsid w:val="00122BAA"/>
    <w:rsid w:val="00122BD9"/>
    <w:rsid w:val="00122C36"/>
    <w:rsid w:val="00122C95"/>
    <w:rsid w:val="00122CA6"/>
    <w:rsid w:val="00122CE7"/>
    <w:rsid w:val="00122D2B"/>
    <w:rsid w:val="00122D54"/>
    <w:rsid w:val="00122DC6"/>
    <w:rsid w:val="00122DD2"/>
    <w:rsid w:val="00122E31"/>
    <w:rsid w:val="00122E4B"/>
    <w:rsid w:val="00122F3F"/>
    <w:rsid w:val="00122F75"/>
    <w:rsid w:val="00122FF1"/>
    <w:rsid w:val="00123092"/>
    <w:rsid w:val="001230AE"/>
    <w:rsid w:val="001230C0"/>
    <w:rsid w:val="00123117"/>
    <w:rsid w:val="00123203"/>
    <w:rsid w:val="00123229"/>
    <w:rsid w:val="00123277"/>
    <w:rsid w:val="001232AD"/>
    <w:rsid w:val="001232F3"/>
    <w:rsid w:val="001232F6"/>
    <w:rsid w:val="001232FB"/>
    <w:rsid w:val="001233CF"/>
    <w:rsid w:val="0012348D"/>
    <w:rsid w:val="001234BE"/>
    <w:rsid w:val="0012351F"/>
    <w:rsid w:val="00123542"/>
    <w:rsid w:val="00123635"/>
    <w:rsid w:val="00123682"/>
    <w:rsid w:val="001236F9"/>
    <w:rsid w:val="0012376C"/>
    <w:rsid w:val="0012377F"/>
    <w:rsid w:val="0012379B"/>
    <w:rsid w:val="00123819"/>
    <w:rsid w:val="0012384B"/>
    <w:rsid w:val="0012388C"/>
    <w:rsid w:val="0012396C"/>
    <w:rsid w:val="00123979"/>
    <w:rsid w:val="001239AF"/>
    <w:rsid w:val="00123A1A"/>
    <w:rsid w:val="00123A28"/>
    <w:rsid w:val="00123A2C"/>
    <w:rsid w:val="00123A4A"/>
    <w:rsid w:val="00123A52"/>
    <w:rsid w:val="00123ADC"/>
    <w:rsid w:val="00123B50"/>
    <w:rsid w:val="00123C00"/>
    <w:rsid w:val="00123C26"/>
    <w:rsid w:val="00123C83"/>
    <w:rsid w:val="00123CA7"/>
    <w:rsid w:val="00123CE1"/>
    <w:rsid w:val="00123CF0"/>
    <w:rsid w:val="00123D1A"/>
    <w:rsid w:val="00123D3B"/>
    <w:rsid w:val="00123E10"/>
    <w:rsid w:val="00123E48"/>
    <w:rsid w:val="00123EBF"/>
    <w:rsid w:val="00123EF4"/>
    <w:rsid w:val="00123F5A"/>
    <w:rsid w:val="00123F5E"/>
    <w:rsid w:val="00123F7E"/>
    <w:rsid w:val="00123F84"/>
    <w:rsid w:val="00123FEE"/>
    <w:rsid w:val="0012402B"/>
    <w:rsid w:val="00124038"/>
    <w:rsid w:val="0012404D"/>
    <w:rsid w:val="00124091"/>
    <w:rsid w:val="001240E6"/>
    <w:rsid w:val="0012413E"/>
    <w:rsid w:val="00124156"/>
    <w:rsid w:val="0012415B"/>
    <w:rsid w:val="001241AA"/>
    <w:rsid w:val="001241C8"/>
    <w:rsid w:val="00124342"/>
    <w:rsid w:val="001243AC"/>
    <w:rsid w:val="0012445E"/>
    <w:rsid w:val="0012448A"/>
    <w:rsid w:val="00124494"/>
    <w:rsid w:val="001246FF"/>
    <w:rsid w:val="00124730"/>
    <w:rsid w:val="00124736"/>
    <w:rsid w:val="0012474A"/>
    <w:rsid w:val="00124788"/>
    <w:rsid w:val="0012480C"/>
    <w:rsid w:val="0012480D"/>
    <w:rsid w:val="00124860"/>
    <w:rsid w:val="001248B5"/>
    <w:rsid w:val="00124901"/>
    <w:rsid w:val="001249FA"/>
    <w:rsid w:val="00124A52"/>
    <w:rsid w:val="00124A8B"/>
    <w:rsid w:val="00124A9E"/>
    <w:rsid w:val="00124AC4"/>
    <w:rsid w:val="00124AFD"/>
    <w:rsid w:val="00124D2F"/>
    <w:rsid w:val="00124D56"/>
    <w:rsid w:val="00124E1A"/>
    <w:rsid w:val="00124E86"/>
    <w:rsid w:val="00124E8A"/>
    <w:rsid w:val="00125045"/>
    <w:rsid w:val="0012509A"/>
    <w:rsid w:val="001250CE"/>
    <w:rsid w:val="001250DA"/>
    <w:rsid w:val="001250F2"/>
    <w:rsid w:val="00125163"/>
    <w:rsid w:val="00125181"/>
    <w:rsid w:val="001251E0"/>
    <w:rsid w:val="001251F7"/>
    <w:rsid w:val="0012526C"/>
    <w:rsid w:val="001252BD"/>
    <w:rsid w:val="001252F4"/>
    <w:rsid w:val="00125306"/>
    <w:rsid w:val="00125307"/>
    <w:rsid w:val="00125309"/>
    <w:rsid w:val="00125353"/>
    <w:rsid w:val="001253A1"/>
    <w:rsid w:val="001253CF"/>
    <w:rsid w:val="0012544C"/>
    <w:rsid w:val="0012545C"/>
    <w:rsid w:val="0012545D"/>
    <w:rsid w:val="00125462"/>
    <w:rsid w:val="001254B3"/>
    <w:rsid w:val="001254B8"/>
    <w:rsid w:val="001254BD"/>
    <w:rsid w:val="001254F9"/>
    <w:rsid w:val="00125511"/>
    <w:rsid w:val="00125736"/>
    <w:rsid w:val="00125759"/>
    <w:rsid w:val="001257EC"/>
    <w:rsid w:val="00125873"/>
    <w:rsid w:val="0012587F"/>
    <w:rsid w:val="0012588E"/>
    <w:rsid w:val="001258EF"/>
    <w:rsid w:val="00125929"/>
    <w:rsid w:val="00125950"/>
    <w:rsid w:val="00125AF4"/>
    <w:rsid w:val="00125B80"/>
    <w:rsid w:val="00125BF6"/>
    <w:rsid w:val="00125BFE"/>
    <w:rsid w:val="00125CC6"/>
    <w:rsid w:val="00125CD4"/>
    <w:rsid w:val="00125CEF"/>
    <w:rsid w:val="00125D40"/>
    <w:rsid w:val="00125DAF"/>
    <w:rsid w:val="00125DC3"/>
    <w:rsid w:val="00125DF8"/>
    <w:rsid w:val="00125E96"/>
    <w:rsid w:val="00125EDC"/>
    <w:rsid w:val="00125F7D"/>
    <w:rsid w:val="0012604A"/>
    <w:rsid w:val="001260CA"/>
    <w:rsid w:val="00126131"/>
    <w:rsid w:val="001261C5"/>
    <w:rsid w:val="00126275"/>
    <w:rsid w:val="001262A5"/>
    <w:rsid w:val="00126314"/>
    <w:rsid w:val="00126331"/>
    <w:rsid w:val="0012636B"/>
    <w:rsid w:val="0012637F"/>
    <w:rsid w:val="0012638B"/>
    <w:rsid w:val="001263F7"/>
    <w:rsid w:val="00126476"/>
    <w:rsid w:val="00126515"/>
    <w:rsid w:val="00126583"/>
    <w:rsid w:val="0012658C"/>
    <w:rsid w:val="0012661D"/>
    <w:rsid w:val="0012665F"/>
    <w:rsid w:val="00126675"/>
    <w:rsid w:val="00126689"/>
    <w:rsid w:val="001266D1"/>
    <w:rsid w:val="0012678F"/>
    <w:rsid w:val="00126816"/>
    <w:rsid w:val="00126817"/>
    <w:rsid w:val="0012684B"/>
    <w:rsid w:val="001268FA"/>
    <w:rsid w:val="00126904"/>
    <w:rsid w:val="0012692D"/>
    <w:rsid w:val="0012695B"/>
    <w:rsid w:val="00126978"/>
    <w:rsid w:val="001269B2"/>
    <w:rsid w:val="00126A19"/>
    <w:rsid w:val="00126A28"/>
    <w:rsid w:val="00126B23"/>
    <w:rsid w:val="00126B6A"/>
    <w:rsid w:val="00126BB1"/>
    <w:rsid w:val="00126BE3"/>
    <w:rsid w:val="00126C97"/>
    <w:rsid w:val="00126C9A"/>
    <w:rsid w:val="00126D64"/>
    <w:rsid w:val="00126DEE"/>
    <w:rsid w:val="00126E4C"/>
    <w:rsid w:val="00126EC4"/>
    <w:rsid w:val="00126EDE"/>
    <w:rsid w:val="00126F2D"/>
    <w:rsid w:val="00126F3F"/>
    <w:rsid w:val="00126F9F"/>
    <w:rsid w:val="00126FAA"/>
    <w:rsid w:val="00126FE2"/>
    <w:rsid w:val="00127060"/>
    <w:rsid w:val="001270A1"/>
    <w:rsid w:val="001270C2"/>
    <w:rsid w:val="00127108"/>
    <w:rsid w:val="0012726A"/>
    <w:rsid w:val="001272D5"/>
    <w:rsid w:val="0012732D"/>
    <w:rsid w:val="00127350"/>
    <w:rsid w:val="00127359"/>
    <w:rsid w:val="001273C0"/>
    <w:rsid w:val="001273FD"/>
    <w:rsid w:val="00127426"/>
    <w:rsid w:val="0012742E"/>
    <w:rsid w:val="00127454"/>
    <w:rsid w:val="001274FC"/>
    <w:rsid w:val="0012750D"/>
    <w:rsid w:val="001275AA"/>
    <w:rsid w:val="00127668"/>
    <w:rsid w:val="00127693"/>
    <w:rsid w:val="00127696"/>
    <w:rsid w:val="00127704"/>
    <w:rsid w:val="0012775B"/>
    <w:rsid w:val="00127783"/>
    <w:rsid w:val="00127787"/>
    <w:rsid w:val="00127790"/>
    <w:rsid w:val="001277A7"/>
    <w:rsid w:val="001277B9"/>
    <w:rsid w:val="001277BE"/>
    <w:rsid w:val="001277FD"/>
    <w:rsid w:val="00127813"/>
    <w:rsid w:val="0012785A"/>
    <w:rsid w:val="00127879"/>
    <w:rsid w:val="0012792D"/>
    <w:rsid w:val="00127937"/>
    <w:rsid w:val="00127AAA"/>
    <w:rsid w:val="00127AC2"/>
    <w:rsid w:val="00127B59"/>
    <w:rsid w:val="00127B62"/>
    <w:rsid w:val="00127BC0"/>
    <w:rsid w:val="00127C2D"/>
    <w:rsid w:val="00127C4D"/>
    <w:rsid w:val="00127C75"/>
    <w:rsid w:val="00127CA6"/>
    <w:rsid w:val="00127CAD"/>
    <w:rsid w:val="00127CB6"/>
    <w:rsid w:val="00127CD7"/>
    <w:rsid w:val="00127CF4"/>
    <w:rsid w:val="00127D26"/>
    <w:rsid w:val="00127E0D"/>
    <w:rsid w:val="00127E2B"/>
    <w:rsid w:val="00127E95"/>
    <w:rsid w:val="00127EA6"/>
    <w:rsid w:val="00127EE1"/>
    <w:rsid w:val="00127F2B"/>
    <w:rsid w:val="00127F3A"/>
    <w:rsid w:val="00127F58"/>
    <w:rsid w:val="00127FD3"/>
    <w:rsid w:val="00130009"/>
    <w:rsid w:val="0013004D"/>
    <w:rsid w:val="0013006D"/>
    <w:rsid w:val="001300C3"/>
    <w:rsid w:val="001300DF"/>
    <w:rsid w:val="001300E4"/>
    <w:rsid w:val="00130259"/>
    <w:rsid w:val="00130263"/>
    <w:rsid w:val="001302FF"/>
    <w:rsid w:val="0013034D"/>
    <w:rsid w:val="0013034F"/>
    <w:rsid w:val="0013035D"/>
    <w:rsid w:val="001303E5"/>
    <w:rsid w:val="00130419"/>
    <w:rsid w:val="00130529"/>
    <w:rsid w:val="0013052B"/>
    <w:rsid w:val="001305AE"/>
    <w:rsid w:val="001305C8"/>
    <w:rsid w:val="001305DD"/>
    <w:rsid w:val="00130670"/>
    <w:rsid w:val="001306A9"/>
    <w:rsid w:val="001306D5"/>
    <w:rsid w:val="001306F8"/>
    <w:rsid w:val="00130706"/>
    <w:rsid w:val="0013071C"/>
    <w:rsid w:val="00130733"/>
    <w:rsid w:val="001307BE"/>
    <w:rsid w:val="00130812"/>
    <w:rsid w:val="0013084E"/>
    <w:rsid w:val="00130918"/>
    <w:rsid w:val="001309DF"/>
    <w:rsid w:val="00130A33"/>
    <w:rsid w:val="00130A4F"/>
    <w:rsid w:val="00130A86"/>
    <w:rsid w:val="00130A8D"/>
    <w:rsid w:val="00130B5B"/>
    <w:rsid w:val="00130BE3"/>
    <w:rsid w:val="00130C20"/>
    <w:rsid w:val="00130C2D"/>
    <w:rsid w:val="00130C2E"/>
    <w:rsid w:val="00130C44"/>
    <w:rsid w:val="00130CB3"/>
    <w:rsid w:val="00130CEA"/>
    <w:rsid w:val="00130D29"/>
    <w:rsid w:val="00130D40"/>
    <w:rsid w:val="00130DAB"/>
    <w:rsid w:val="00130DBC"/>
    <w:rsid w:val="00130EB4"/>
    <w:rsid w:val="00130F00"/>
    <w:rsid w:val="00130F06"/>
    <w:rsid w:val="00130F3E"/>
    <w:rsid w:val="00130FF7"/>
    <w:rsid w:val="00131097"/>
    <w:rsid w:val="001310B9"/>
    <w:rsid w:val="001310C8"/>
    <w:rsid w:val="001311BA"/>
    <w:rsid w:val="00131299"/>
    <w:rsid w:val="001312C0"/>
    <w:rsid w:val="0013132F"/>
    <w:rsid w:val="00131334"/>
    <w:rsid w:val="00131340"/>
    <w:rsid w:val="0013134F"/>
    <w:rsid w:val="0013135F"/>
    <w:rsid w:val="00131360"/>
    <w:rsid w:val="001313D0"/>
    <w:rsid w:val="00131491"/>
    <w:rsid w:val="0013153D"/>
    <w:rsid w:val="00131561"/>
    <w:rsid w:val="00131586"/>
    <w:rsid w:val="0013158E"/>
    <w:rsid w:val="00131707"/>
    <w:rsid w:val="0013170D"/>
    <w:rsid w:val="0013177D"/>
    <w:rsid w:val="001317AE"/>
    <w:rsid w:val="00131829"/>
    <w:rsid w:val="00131850"/>
    <w:rsid w:val="00131993"/>
    <w:rsid w:val="001319EC"/>
    <w:rsid w:val="00131A10"/>
    <w:rsid w:val="00131A75"/>
    <w:rsid w:val="00131A9A"/>
    <w:rsid w:val="00131A9C"/>
    <w:rsid w:val="00131B7E"/>
    <w:rsid w:val="00131C22"/>
    <w:rsid w:val="00131CD5"/>
    <w:rsid w:val="00131D21"/>
    <w:rsid w:val="00131DF2"/>
    <w:rsid w:val="00131E58"/>
    <w:rsid w:val="00131E63"/>
    <w:rsid w:val="00131E7F"/>
    <w:rsid w:val="00131F7C"/>
    <w:rsid w:val="00131FD8"/>
    <w:rsid w:val="0013200B"/>
    <w:rsid w:val="001320D5"/>
    <w:rsid w:val="001320E7"/>
    <w:rsid w:val="001320F7"/>
    <w:rsid w:val="00132100"/>
    <w:rsid w:val="001321CF"/>
    <w:rsid w:val="001322CC"/>
    <w:rsid w:val="001322F2"/>
    <w:rsid w:val="00132308"/>
    <w:rsid w:val="00132398"/>
    <w:rsid w:val="001323BA"/>
    <w:rsid w:val="001325CD"/>
    <w:rsid w:val="001325CE"/>
    <w:rsid w:val="001325E7"/>
    <w:rsid w:val="001325F1"/>
    <w:rsid w:val="001325FB"/>
    <w:rsid w:val="00132633"/>
    <w:rsid w:val="00132634"/>
    <w:rsid w:val="0013264F"/>
    <w:rsid w:val="0013274C"/>
    <w:rsid w:val="00132759"/>
    <w:rsid w:val="0013277A"/>
    <w:rsid w:val="0013286B"/>
    <w:rsid w:val="0013288A"/>
    <w:rsid w:val="00132911"/>
    <w:rsid w:val="00132920"/>
    <w:rsid w:val="0013299A"/>
    <w:rsid w:val="001329B3"/>
    <w:rsid w:val="001329B6"/>
    <w:rsid w:val="00132A0F"/>
    <w:rsid w:val="00132B40"/>
    <w:rsid w:val="00132B9E"/>
    <w:rsid w:val="00132C2C"/>
    <w:rsid w:val="00132D06"/>
    <w:rsid w:val="00132D7F"/>
    <w:rsid w:val="00132DA1"/>
    <w:rsid w:val="00132DBE"/>
    <w:rsid w:val="00132E08"/>
    <w:rsid w:val="00132E82"/>
    <w:rsid w:val="00132EEC"/>
    <w:rsid w:val="00132F3B"/>
    <w:rsid w:val="00132F83"/>
    <w:rsid w:val="00132FA3"/>
    <w:rsid w:val="00132FD7"/>
    <w:rsid w:val="00133007"/>
    <w:rsid w:val="00133073"/>
    <w:rsid w:val="00133194"/>
    <w:rsid w:val="00133196"/>
    <w:rsid w:val="001331E3"/>
    <w:rsid w:val="00133210"/>
    <w:rsid w:val="00133256"/>
    <w:rsid w:val="00133275"/>
    <w:rsid w:val="00133323"/>
    <w:rsid w:val="00133388"/>
    <w:rsid w:val="00133419"/>
    <w:rsid w:val="0013342C"/>
    <w:rsid w:val="001334D3"/>
    <w:rsid w:val="001334DF"/>
    <w:rsid w:val="0013358F"/>
    <w:rsid w:val="00133592"/>
    <w:rsid w:val="001335B2"/>
    <w:rsid w:val="001335CC"/>
    <w:rsid w:val="001335D5"/>
    <w:rsid w:val="0013360F"/>
    <w:rsid w:val="0013365C"/>
    <w:rsid w:val="0013366E"/>
    <w:rsid w:val="00133759"/>
    <w:rsid w:val="001337CA"/>
    <w:rsid w:val="00133809"/>
    <w:rsid w:val="00133835"/>
    <w:rsid w:val="00133850"/>
    <w:rsid w:val="00133999"/>
    <w:rsid w:val="00133A5F"/>
    <w:rsid w:val="00133AA9"/>
    <w:rsid w:val="00133B32"/>
    <w:rsid w:val="00133B50"/>
    <w:rsid w:val="00133B62"/>
    <w:rsid w:val="00133C5D"/>
    <w:rsid w:val="00133C68"/>
    <w:rsid w:val="00133C98"/>
    <w:rsid w:val="00133CC6"/>
    <w:rsid w:val="00133D27"/>
    <w:rsid w:val="00133D4C"/>
    <w:rsid w:val="00133E58"/>
    <w:rsid w:val="00133EB9"/>
    <w:rsid w:val="00133ECA"/>
    <w:rsid w:val="00133F0F"/>
    <w:rsid w:val="00133F1F"/>
    <w:rsid w:val="00133FA0"/>
    <w:rsid w:val="00134031"/>
    <w:rsid w:val="0013403E"/>
    <w:rsid w:val="001340FD"/>
    <w:rsid w:val="0013412F"/>
    <w:rsid w:val="00134174"/>
    <w:rsid w:val="001341B6"/>
    <w:rsid w:val="001341F9"/>
    <w:rsid w:val="001341FE"/>
    <w:rsid w:val="0013429B"/>
    <w:rsid w:val="001342D0"/>
    <w:rsid w:val="001342D5"/>
    <w:rsid w:val="0013435B"/>
    <w:rsid w:val="00134362"/>
    <w:rsid w:val="001343B5"/>
    <w:rsid w:val="001344AE"/>
    <w:rsid w:val="00134559"/>
    <w:rsid w:val="001346DF"/>
    <w:rsid w:val="0013473F"/>
    <w:rsid w:val="0013474F"/>
    <w:rsid w:val="00134895"/>
    <w:rsid w:val="001348A7"/>
    <w:rsid w:val="001348C7"/>
    <w:rsid w:val="00134920"/>
    <w:rsid w:val="00134922"/>
    <w:rsid w:val="00134942"/>
    <w:rsid w:val="00134966"/>
    <w:rsid w:val="0013499F"/>
    <w:rsid w:val="00134B32"/>
    <w:rsid w:val="00134B8B"/>
    <w:rsid w:val="00134BC4"/>
    <w:rsid w:val="00134C18"/>
    <w:rsid w:val="00134C42"/>
    <w:rsid w:val="00134D22"/>
    <w:rsid w:val="00134D24"/>
    <w:rsid w:val="00134D44"/>
    <w:rsid w:val="00134D8E"/>
    <w:rsid w:val="00134E29"/>
    <w:rsid w:val="00134E45"/>
    <w:rsid w:val="00134E6D"/>
    <w:rsid w:val="00134F51"/>
    <w:rsid w:val="00134F95"/>
    <w:rsid w:val="00134FD3"/>
    <w:rsid w:val="001350A4"/>
    <w:rsid w:val="001350A6"/>
    <w:rsid w:val="001350C7"/>
    <w:rsid w:val="001350DD"/>
    <w:rsid w:val="001350DE"/>
    <w:rsid w:val="001351AA"/>
    <w:rsid w:val="00135343"/>
    <w:rsid w:val="00135353"/>
    <w:rsid w:val="0013536A"/>
    <w:rsid w:val="00135386"/>
    <w:rsid w:val="001353D2"/>
    <w:rsid w:val="0013543A"/>
    <w:rsid w:val="0013544E"/>
    <w:rsid w:val="0013544F"/>
    <w:rsid w:val="00135496"/>
    <w:rsid w:val="0013549B"/>
    <w:rsid w:val="001354D2"/>
    <w:rsid w:val="00135521"/>
    <w:rsid w:val="0013559D"/>
    <w:rsid w:val="00135627"/>
    <w:rsid w:val="00135687"/>
    <w:rsid w:val="00135822"/>
    <w:rsid w:val="0013584D"/>
    <w:rsid w:val="00135891"/>
    <w:rsid w:val="00135904"/>
    <w:rsid w:val="00135921"/>
    <w:rsid w:val="001359D8"/>
    <w:rsid w:val="00135A08"/>
    <w:rsid w:val="00135A17"/>
    <w:rsid w:val="00135B09"/>
    <w:rsid w:val="00135BD2"/>
    <w:rsid w:val="00135C04"/>
    <w:rsid w:val="00135C0E"/>
    <w:rsid w:val="00135C26"/>
    <w:rsid w:val="00135C63"/>
    <w:rsid w:val="00135CEB"/>
    <w:rsid w:val="00135D82"/>
    <w:rsid w:val="00135DC4"/>
    <w:rsid w:val="00135E6E"/>
    <w:rsid w:val="00135E98"/>
    <w:rsid w:val="00135F37"/>
    <w:rsid w:val="00135FCA"/>
    <w:rsid w:val="00136023"/>
    <w:rsid w:val="00136036"/>
    <w:rsid w:val="001360A6"/>
    <w:rsid w:val="00136121"/>
    <w:rsid w:val="00136154"/>
    <w:rsid w:val="0013618D"/>
    <w:rsid w:val="001362B8"/>
    <w:rsid w:val="001362EB"/>
    <w:rsid w:val="00136349"/>
    <w:rsid w:val="00136361"/>
    <w:rsid w:val="001363C8"/>
    <w:rsid w:val="001363EC"/>
    <w:rsid w:val="00136509"/>
    <w:rsid w:val="001365A3"/>
    <w:rsid w:val="001365C0"/>
    <w:rsid w:val="001365EA"/>
    <w:rsid w:val="0013663C"/>
    <w:rsid w:val="0013665A"/>
    <w:rsid w:val="001366A3"/>
    <w:rsid w:val="0013674B"/>
    <w:rsid w:val="001367AA"/>
    <w:rsid w:val="00136807"/>
    <w:rsid w:val="00136862"/>
    <w:rsid w:val="00136873"/>
    <w:rsid w:val="00136887"/>
    <w:rsid w:val="00136894"/>
    <w:rsid w:val="001368A4"/>
    <w:rsid w:val="00136990"/>
    <w:rsid w:val="00136998"/>
    <w:rsid w:val="001369A9"/>
    <w:rsid w:val="001369E7"/>
    <w:rsid w:val="001369EF"/>
    <w:rsid w:val="00136A7C"/>
    <w:rsid w:val="00136AAE"/>
    <w:rsid w:val="00136AF9"/>
    <w:rsid w:val="00136B38"/>
    <w:rsid w:val="00136B43"/>
    <w:rsid w:val="00136B74"/>
    <w:rsid w:val="00136C32"/>
    <w:rsid w:val="00136C46"/>
    <w:rsid w:val="00136C4B"/>
    <w:rsid w:val="00136C6E"/>
    <w:rsid w:val="00136CEC"/>
    <w:rsid w:val="00136D0A"/>
    <w:rsid w:val="00136D0C"/>
    <w:rsid w:val="00136E45"/>
    <w:rsid w:val="00136E79"/>
    <w:rsid w:val="00136F94"/>
    <w:rsid w:val="00136FE1"/>
    <w:rsid w:val="00137059"/>
    <w:rsid w:val="001370D9"/>
    <w:rsid w:val="00137109"/>
    <w:rsid w:val="0013711E"/>
    <w:rsid w:val="00137170"/>
    <w:rsid w:val="001371AA"/>
    <w:rsid w:val="001371B8"/>
    <w:rsid w:val="0013734B"/>
    <w:rsid w:val="001374DD"/>
    <w:rsid w:val="00137564"/>
    <w:rsid w:val="00137586"/>
    <w:rsid w:val="00137593"/>
    <w:rsid w:val="00137652"/>
    <w:rsid w:val="0013767C"/>
    <w:rsid w:val="0013768A"/>
    <w:rsid w:val="00137699"/>
    <w:rsid w:val="0013777F"/>
    <w:rsid w:val="00137788"/>
    <w:rsid w:val="00137799"/>
    <w:rsid w:val="001377CC"/>
    <w:rsid w:val="001377F8"/>
    <w:rsid w:val="00137801"/>
    <w:rsid w:val="00137832"/>
    <w:rsid w:val="00137844"/>
    <w:rsid w:val="00137861"/>
    <w:rsid w:val="0013786A"/>
    <w:rsid w:val="00137944"/>
    <w:rsid w:val="0013795A"/>
    <w:rsid w:val="0013797C"/>
    <w:rsid w:val="00137A36"/>
    <w:rsid w:val="00137A4D"/>
    <w:rsid w:val="00137A62"/>
    <w:rsid w:val="00137A84"/>
    <w:rsid w:val="00137A96"/>
    <w:rsid w:val="00137AB4"/>
    <w:rsid w:val="00137ADA"/>
    <w:rsid w:val="00137B01"/>
    <w:rsid w:val="00137B64"/>
    <w:rsid w:val="00137BCD"/>
    <w:rsid w:val="00137C13"/>
    <w:rsid w:val="00137C30"/>
    <w:rsid w:val="00137CA9"/>
    <w:rsid w:val="00137D5A"/>
    <w:rsid w:val="00137DE6"/>
    <w:rsid w:val="00137F16"/>
    <w:rsid w:val="00137FF4"/>
    <w:rsid w:val="0013CA8C"/>
    <w:rsid w:val="0014001A"/>
    <w:rsid w:val="00140031"/>
    <w:rsid w:val="001400D8"/>
    <w:rsid w:val="0014012E"/>
    <w:rsid w:val="001401AF"/>
    <w:rsid w:val="001401BD"/>
    <w:rsid w:val="00140203"/>
    <w:rsid w:val="00140257"/>
    <w:rsid w:val="00140321"/>
    <w:rsid w:val="00140327"/>
    <w:rsid w:val="0014032F"/>
    <w:rsid w:val="001403BA"/>
    <w:rsid w:val="00140437"/>
    <w:rsid w:val="0014046C"/>
    <w:rsid w:val="00140470"/>
    <w:rsid w:val="0014049A"/>
    <w:rsid w:val="001404AA"/>
    <w:rsid w:val="0014050C"/>
    <w:rsid w:val="00140520"/>
    <w:rsid w:val="001405D6"/>
    <w:rsid w:val="001405FC"/>
    <w:rsid w:val="001406EE"/>
    <w:rsid w:val="00140754"/>
    <w:rsid w:val="001407CC"/>
    <w:rsid w:val="0014087B"/>
    <w:rsid w:val="001408EC"/>
    <w:rsid w:val="00140904"/>
    <w:rsid w:val="00140918"/>
    <w:rsid w:val="00140922"/>
    <w:rsid w:val="001409A2"/>
    <w:rsid w:val="001409D3"/>
    <w:rsid w:val="00140A12"/>
    <w:rsid w:val="00140A7B"/>
    <w:rsid w:val="00140B35"/>
    <w:rsid w:val="00140BBA"/>
    <w:rsid w:val="00140C1D"/>
    <w:rsid w:val="00140CA2"/>
    <w:rsid w:val="00140CD5"/>
    <w:rsid w:val="00140D22"/>
    <w:rsid w:val="00140D5F"/>
    <w:rsid w:val="00140D8E"/>
    <w:rsid w:val="00140DDF"/>
    <w:rsid w:val="00140E0D"/>
    <w:rsid w:val="00140EC3"/>
    <w:rsid w:val="00140FA1"/>
    <w:rsid w:val="00141020"/>
    <w:rsid w:val="0014109E"/>
    <w:rsid w:val="001410C0"/>
    <w:rsid w:val="00141108"/>
    <w:rsid w:val="0014112D"/>
    <w:rsid w:val="00141150"/>
    <w:rsid w:val="001411E6"/>
    <w:rsid w:val="00141220"/>
    <w:rsid w:val="00141296"/>
    <w:rsid w:val="00141313"/>
    <w:rsid w:val="00141333"/>
    <w:rsid w:val="00141461"/>
    <w:rsid w:val="00141471"/>
    <w:rsid w:val="00141487"/>
    <w:rsid w:val="001414D2"/>
    <w:rsid w:val="001414FB"/>
    <w:rsid w:val="00141559"/>
    <w:rsid w:val="001415D4"/>
    <w:rsid w:val="001415F9"/>
    <w:rsid w:val="00141736"/>
    <w:rsid w:val="00141747"/>
    <w:rsid w:val="00141889"/>
    <w:rsid w:val="00141915"/>
    <w:rsid w:val="00141916"/>
    <w:rsid w:val="00141919"/>
    <w:rsid w:val="0014194A"/>
    <w:rsid w:val="00141968"/>
    <w:rsid w:val="00141981"/>
    <w:rsid w:val="001419A1"/>
    <w:rsid w:val="001419CC"/>
    <w:rsid w:val="00141AA7"/>
    <w:rsid w:val="00141ADD"/>
    <w:rsid w:val="00141B18"/>
    <w:rsid w:val="00141B30"/>
    <w:rsid w:val="00141B54"/>
    <w:rsid w:val="00141B9D"/>
    <w:rsid w:val="00141C07"/>
    <w:rsid w:val="00141C24"/>
    <w:rsid w:val="00141CB9"/>
    <w:rsid w:val="00141CC6"/>
    <w:rsid w:val="00141CDE"/>
    <w:rsid w:val="00141D82"/>
    <w:rsid w:val="00141D90"/>
    <w:rsid w:val="00141DD1"/>
    <w:rsid w:val="00141DD2"/>
    <w:rsid w:val="00141DEB"/>
    <w:rsid w:val="00141E1A"/>
    <w:rsid w:val="00141E78"/>
    <w:rsid w:val="00141EA0"/>
    <w:rsid w:val="00141F37"/>
    <w:rsid w:val="00141F58"/>
    <w:rsid w:val="00141F96"/>
    <w:rsid w:val="00141FFC"/>
    <w:rsid w:val="0014207C"/>
    <w:rsid w:val="001420AC"/>
    <w:rsid w:val="001420E6"/>
    <w:rsid w:val="00142160"/>
    <w:rsid w:val="0014219D"/>
    <w:rsid w:val="001421C9"/>
    <w:rsid w:val="001421D4"/>
    <w:rsid w:val="001421DD"/>
    <w:rsid w:val="00142240"/>
    <w:rsid w:val="00142279"/>
    <w:rsid w:val="0014227A"/>
    <w:rsid w:val="00142285"/>
    <w:rsid w:val="00142294"/>
    <w:rsid w:val="00142295"/>
    <w:rsid w:val="001422AD"/>
    <w:rsid w:val="00142454"/>
    <w:rsid w:val="0014246E"/>
    <w:rsid w:val="0014258F"/>
    <w:rsid w:val="001426BF"/>
    <w:rsid w:val="001426FA"/>
    <w:rsid w:val="001427C3"/>
    <w:rsid w:val="00142879"/>
    <w:rsid w:val="00142957"/>
    <w:rsid w:val="001429D2"/>
    <w:rsid w:val="00142A00"/>
    <w:rsid w:val="00142A11"/>
    <w:rsid w:val="00142A55"/>
    <w:rsid w:val="00142A74"/>
    <w:rsid w:val="00142ADE"/>
    <w:rsid w:val="00142ADF"/>
    <w:rsid w:val="00142AF7"/>
    <w:rsid w:val="00142B77"/>
    <w:rsid w:val="00142BF5"/>
    <w:rsid w:val="00142C33"/>
    <w:rsid w:val="00142C79"/>
    <w:rsid w:val="00142CB0"/>
    <w:rsid w:val="00142CB1"/>
    <w:rsid w:val="00142D9B"/>
    <w:rsid w:val="00142DAA"/>
    <w:rsid w:val="00142DDC"/>
    <w:rsid w:val="00142DFB"/>
    <w:rsid w:val="00142F80"/>
    <w:rsid w:val="00143033"/>
    <w:rsid w:val="001430C6"/>
    <w:rsid w:val="0014318C"/>
    <w:rsid w:val="0014320E"/>
    <w:rsid w:val="001432BD"/>
    <w:rsid w:val="00143317"/>
    <w:rsid w:val="00143335"/>
    <w:rsid w:val="001433E2"/>
    <w:rsid w:val="001433FC"/>
    <w:rsid w:val="001434D4"/>
    <w:rsid w:val="0014354D"/>
    <w:rsid w:val="001435CC"/>
    <w:rsid w:val="0014361E"/>
    <w:rsid w:val="00143712"/>
    <w:rsid w:val="0014371D"/>
    <w:rsid w:val="00143771"/>
    <w:rsid w:val="00143774"/>
    <w:rsid w:val="001437B0"/>
    <w:rsid w:val="001437CC"/>
    <w:rsid w:val="001438A4"/>
    <w:rsid w:val="001438B6"/>
    <w:rsid w:val="001438D1"/>
    <w:rsid w:val="00143A0F"/>
    <w:rsid w:val="00143A34"/>
    <w:rsid w:val="00143AA0"/>
    <w:rsid w:val="00143AF3"/>
    <w:rsid w:val="00143B28"/>
    <w:rsid w:val="00143B76"/>
    <w:rsid w:val="00143C35"/>
    <w:rsid w:val="00143C52"/>
    <w:rsid w:val="00143C94"/>
    <w:rsid w:val="00143D32"/>
    <w:rsid w:val="00143D85"/>
    <w:rsid w:val="00143DCC"/>
    <w:rsid w:val="00143DCD"/>
    <w:rsid w:val="00143E21"/>
    <w:rsid w:val="00143E8D"/>
    <w:rsid w:val="00143EC3"/>
    <w:rsid w:val="00143EC8"/>
    <w:rsid w:val="00143EF4"/>
    <w:rsid w:val="00143EFB"/>
    <w:rsid w:val="00143F39"/>
    <w:rsid w:val="00143F75"/>
    <w:rsid w:val="001440AA"/>
    <w:rsid w:val="001440F4"/>
    <w:rsid w:val="00144129"/>
    <w:rsid w:val="001441E3"/>
    <w:rsid w:val="0014421F"/>
    <w:rsid w:val="00144268"/>
    <w:rsid w:val="00144290"/>
    <w:rsid w:val="001442C5"/>
    <w:rsid w:val="001442CF"/>
    <w:rsid w:val="001442EE"/>
    <w:rsid w:val="001443A0"/>
    <w:rsid w:val="001443E7"/>
    <w:rsid w:val="001444E2"/>
    <w:rsid w:val="00144529"/>
    <w:rsid w:val="001445AD"/>
    <w:rsid w:val="001445E1"/>
    <w:rsid w:val="00144628"/>
    <w:rsid w:val="00144677"/>
    <w:rsid w:val="001446FD"/>
    <w:rsid w:val="0014479C"/>
    <w:rsid w:val="00144837"/>
    <w:rsid w:val="0014485C"/>
    <w:rsid w:val="001448AE"/>
    <w:rsid w:val="001449BD"/>
    <w:rsid w:val="00144A11"/>
    <w:rsid w:val="00144A5F"/>
    <w:rsid w:val="00144ACB"/>
    <w:rsid w:val="00144B89"/>
    <w:rsid w:val="00144C07"/>
    <w:rsid w:val="00144C15"/>
    <w:rsid w:val="00144C61"/>
    <w:rsid w:val="00144C6E"/>
    <w:rsid w:val="00144C77"/>
    <w:rsid w:val="00144CD3"/>
    <w:rsid w:val="00144CD6"/>
    <w:rsid w:val="00144CD7"/>
    <w:rsid w:val="00144D4A"/>
    <w:rsid w:val="00144D4B"/>
    <w:rsid w:val="00144D92"/>
    <w:rsid w:val="00144D9C"/>
    <w:rsid w:val="00144DBC"/>
    <w:rsid w:val="00144DEF"/>
    <w:rsid w:val="00144DFD"/>
    <w:rsid w:val="00144F24"/>
    <w:rsid w:val="00144F90"/>
    <w:rsid w:val="00144FA3"/>
    <w:rsid w:val="00144FC5"/>
    <w:rsid w:val="00145036"/>
    <w:rsid w:val="00145063"/>
    <w:rsid w:val="00145112"/>
    <w:rsid w:val="00145184"/>
    <w:rsid w:val="001451B1"/>
    <w:rsid w:val="00145226"/>
    <w:rsid w:val="0014522D"/>
    <w:rsid w:val="0014524A"/>
    <w:rsid w:val="0014527F"/>
    <w:rsid w:val="0014528D"/>
    <w:rsid w:val="001452A5"/>
    <w:rsid w:val="001452D5"/>
    <w:rsid w:val="0014533A"/>
    <w:rsid w:val="0014538B"/>
    <w:rsid w:val="00145391"/>
    <w:rsid w:val="00145397"/>
    <w:rsid w:val="001453D8"/>
    <w:rsid w:val="00145410"/>
    <w:rsid w:val="00145443"/>
    <w:rsid w:val="0014544D"/>
    <w:rsid w:val="001454C0"/>
    <w:rsid w:val="001454CC"/>
    <w:rsid w:val="00145524"/>
    <w:rsid w:val="00145549"/>
    <w:rsid w:val="0014556B"/>
    <w:rsid w:val="00145596"/>
    <w:rsid w:val="00145682"/>
    <w:rsid w:val="001456CC"/>
    <w:rsid w:val="00145736"/>
    <w:rsid w:val="00145781"/>
    <w:rsid w:val="0014582D"/>
    <w:rsid w:val="00145884"/>
    <w:rsid w:val="0014588E"/>
    <w:rsid w:val="0014591C"/>
    <w:rsid w:val="00145A10"/>
    <w:rsid w:val="00145A34"/>
    <w:rsid w:val="00145AD7"/>
    <w:rsid w:val="00145C09"/>
    <w:rsid w:val="00145C5D"/>
    <w:rsid w:val="00145CEF"/>
    <w:rsid w:val="00145CF6"/>
    <w:rsid w:val="00145D65"/>
    <w:rsid w:val="00145E53"/>
    <w:rsid w:val="00145E75"/>
    <w:rsid w:val="00145F3E"/>
    <w:rsid w:val="00145F5B"/>
    <w:rsid w:val="00145F5E"/>
    <w:rsid w:val="0014607D"/>
    <w:rsid w:val="00146195"/>
    <w:rsid w:val="001461E3"/>
    <w:rsid w:val="001462B9"/>
    <w:rsid w:val="001462CF"/>
    <w:rsid w:val="00146333"/>
    <w:rsid w:val="00146376"/>
    <w:rsid w:val="001464B1"/>
    <w:rsid w:val="00146504"/>
    <w:rsid w:val="0014650E"/>
    <w:rsid w:val="00146590"/>
    <w:rsid w:val="0014664B"/>
    <w:rsid w:val="001466DC"/>
    <w:rsid w:val="001466EA"/>
    <w:rsid w:val="001466F6"/>
    <w:rsid w:val="0014670C"/>
    <w:rsid w:val="00146736"/>
    <w:rsid w:val="00146867"/>
    <w:rsid w:val="0014686E"/>
    <w:rsid w:val="001468D7"/>
    <w:rsid w:val="00146921"/>
    <w:rsid w:val="00146944"/>
    <w:rsid w:val="00146945"/>
    <w:rsid w:val="00146A33"/>
    <w:rsid w:val="00146A3B"/>
    <w:rsid w:val="00146B17"/>
    <w:rsid w:val="00146B3D"/>
    <w:rsid w:val="00146C17"/>
    <w:rsid w:val="00146CA4"/>
    <w:rsid w:val="00146CD3"/>
    <w:rsid w:val="00146D04"/>
    <w:rsid w:val="00146D96"/>
    <w:rsid w:val="00146DA9"/>
    <w:rsid w:val="00146DAF"/>
    <w:rsid w:val="00146E21"/>
    <w:rsid w:val="00146F65"/>
    <w:rsid w:val="00147106"/>
    <w:rsid w:val="00147111"/>
    <w:rsid w:val="00147126"/>
    <w:rsid w:val="00147142"/>
    <w:rsid w:val="001471CA"/>
    <w:rsid w:val="001471D1"/>
    <w:rsid w:val="001471FC"/>
    <w:rsid w:val="0014720A"/>
    <w:rsid w:val="001472E1"/>
    <w:rsid w:val="00147328"/>
    <w:rsid w:val="0014735B"/>
    <w:rsid w:val="00147369"/>
    <w:rsid w:val="00147380"/>
    <w:rsid w:val="00147409"/>
    <w:rsid w:val="0014746B"/>
    <w:rsid w:val="00147551"/>
    <w:rsid w:val="0014755E"/>
    <w:rsid w:val="001475AD"/>
    <w:rsid w:val="001475E7"/>
    <w:rsid w:val="00147601"/>
    <w:rsid w:val="0014760D"/>
    <w:rsid w:val="0014766F"/>
    <w:rsid w:val="0014775A"/>
    <w:rsid w:val="0014776A"/>
    <w:rsid w:val="00147771"/>
    <w:rsid w:val="00147829"/>
    <w:rsid w:val="0014787F"/>
    <w:rsid w:val="00147893"/>
    <w:rsid w:val="001478D4"/>
    <w:rsid w:val="0014799B"/>
    <w:rsid w:val="001479D3"/>
    <w:rsid w:val="00147A5E"/>
    <w:rsid w:val="00147A97"/>
    <w:rsid w:val="00147B5D"/>
    <w:rsid w:val="00147BE5"/>
    <w:rsid w:val="00147BFB"/>
    <w:rsid w:val="00147C36"/>
    <w:rsid w:val="00147CDE"/>
    <w:rsid w:val="00147D16"/>
    <w:rsid w:val="00147D37"/>
    <w:rsid w:val="00147E77"/>
    <w:rsid w:val="00147F8F"/>
    <w:rsid w:val="00147FF4"/>
    <w:rsid w:val="0015005D"/>
    <w:rsid w:val="0015019D"/>
    <w:rsid w:val="0015021B"/>
    <w:rsid w:val="0015028C"/>
    <w:rsid w:val="001502B7"/>
    <w:rsid w:val="001502D3"/>
    <w:rsid w:val="001502F6"/>
    <w:rsid w:val="00150384"/>
    <w:rsid w:val="001503F0"/>
    <w:rsid w:val="001504D8"/>
    <w:rsid w:val="001504EF"/>
    <w:rsid w:val="001505EE"/>
    <w:rsid w:val="0015065A"/>
    <w:rsid w:val="0015068B"/>
    <w:rsid w:val="001506FF"/>
    <w:rsid w:val="00150759"/>
    <w:rsid w:val="00150775"/>
    <w:rsid w:val="00150841"/>
    <w:rsid w:val="0015087E"/>
    <w:rsid w:val="001508B5"/>
    <w:rsid w:val="001508C8"/>
    <w:rsid w:val="00150945"/>
    <w:rsid w:val="00150991"/>
    <w:rsid w:val="0015099F"/>
    <w:rsid w:val="001509E5"/>
    <w:rsid w:val="00150A2A"/>
    <w:rsid w:val="00150A2C"/>
    <w:rsid w:val="00150A5E"/>
    <w:rsid w:val="00150AB9"/>
    <w:rsid w:val="00150B13"/>
    <w:rsid w:val="00150B61"/>
    <w:rsid w:val="00150C0B"/>
    <w:rsid w:val="00150C80"/>
    <w:rsid w:val="00150CA9"/>
    <w:rsid w:val="00150D0E"/>
    <w:rsid w:val="00150E06"/>
    <w:rsid w:val="00150E15"/>
    <w:rsid w:val="00150E97"/>
    <w:rsid w:val="00150F14"/>
    <w:rsid w:val="00150FC7"/>
    <w:rsid w:val="0015106C"/>
    <w:rsid w:val="00151094"/>
    <w:rsid w:val="001510BB"/>
    <w:rsid w:val="001510CC"/>
    <w:rsid w:val="001510D6"/>
    <w:rsid w:val="001510EB"/>
    <w:rsid w:val="00151110"/>
    <w:rsid w:val="00151118"/>
    <w:rsid w:val="00151146"/>
    <w:rsid w:val="0015116D"/>
    <w:rsid w:val="0015119E"/>
    <w:rsid w:val="001511A0"/>
    <w:rsid w:val="001511B4"/>
    <w:rsid w:val="001511E5"/>
    <w:rsid w:val="00151238"/>
    <w:rsid w:val="001512B6"/>
    <w:rsid w:val="00151315"/>
    <w:rsid w:val="00151339"/>
    <w:rsid w:val="0015136F"/>
    <w:rsid w:val="001513A8"/>
    <w:rsid w:val="001513E6"/>
    <w:rsid w:val="00151458"/>
    <w:rsid w:val="001514B2"/>
    <w:rsid w:val="001514CF"/>
    <w:rsid w:val="00151578"/>
    <w:rsid w:val="00151584"/>
    <w:rsid w:val="0015163F"/>
    <w:rsid w:val="001516E8"/>
    <w:rsid w:val="00151721"/>
    <w:rsid w:val="0015174E"/>
    <w:rsid w:val="00151777"/>
    <w:rsid w:val="0015180A"/>
    <w:rsid w:val="001519A9"/>
    <w:rsid w:val="00151A02"/>
    <w:rsid w:val="00151A19"/>
    <w:rsid w:val="00151A44"/>
    <w:rsid w:val="00151A53"/>
    <w:rsid w:val="00151A87"/>
    <w:rsid w:val="00151B74"/>
    <w:rsid w:val="00151B97"/>
    <w:rsid w:val="00151BB8"/>
    <w:rsid w:val="00151C37"/>
    <w:rsid w:val="00151CB0"/>
    <w:rsid w:val="00151D1B"/>
    <w:rsid w:val="00151E2D"/>
    <w:rsid w:val="00151EAB"/>
    <w:rsid w:val="00151ECC"/>
    <w:rsid w:val="00151EEF"/>
    <w:rsid w:val="00151F68"/>
    <w:rsid w:val="00151FE6"/>
    <w:rsid w:val="0015206C"/>
    <w:rsid w:val="001520A4"/>
    <w:rsid w:val="00152111"/>
    <w:rsid w:val="0015212D"/>
    <w:rsid w:val="00152166"/>
    <w:rsid w:val="00152199"/>
    <w:rsid w:val="001522DA"/>
    <w:rsid w:val="0015233E"/>
    <w:rsid w:val="00152348"/>
    <w:rsid w:val="0015234F"/>
    <w:rsid w:val="00152374"/>
    <w:rsid w:val="001523A7"/>
    <w:rsid w:val="001523C9"/>
    <w:rsid w:val="001523DF"/>
    <w:rsid w:val="00152414"/>
    <w:rsid w:val="0015245C"/>
    <w:rsid w:val="0015249E"/>
    <w:rsid w:val="001524A8"/>
    <w:rsid w:val="001524F8"/>
    <w:rsid w:val="00152518"/>
    <w:rsid w:val="0015253D"/>
    <w:rsid w:val="0015258A"/>
    <w:rsid w:val="001525FA"/>
    <w:rsid w:val="00152670"/>
    <w:rsid w:val="00152721"/>
    <w:rsid w:val="001527FC"/>
    <w:rsid w:val="0015282B"/>
    <w:rsid w:val="00152867"/>
    <w:rsid w:val="00152925"/>
    <w:rsid w:val="00152941"/>
    <w:rsid w:val="0015295F"/>
    <w:rsid w:val="0015299A"/>
    <w:rsid w:val="00152A4D"/>
    <w:rsid w:val="00152AEE"/>
    <w:rsid w:val="00152B3A"/>
    <w:rsid w:val="00152B6D"/>
    <w:rsid w:val="00152B8D"/>
    <w:rsid w:val="00152BEC"/>
    <w:rsid w:val="00152CE7"/>
    <w:rsid w:val="00152DAD"/>
    <w:rsid w:val="00152E0F"/>
    <w:rsid w:val="00152E11"/>
    <w:rsid w:val="00152E5C"/>
    <w:rsid w:val="00152E60"/>
    <w:rsid w:val="00152F09"/>
    <w:rsid w:val="00152F3D"/>
    <w:rsid w:val="00152FA8"/>
    <w:rsid w:val="00152FB9"/>
    <w:rsid w:val="00153012"/>
    <w:rsid w:val="00153026"/>
    <w:rsid w:val="001530A7"/>
    <w:rsid w:val="001530DD"/>
    <w:rsid w:val="00153120"/>
    <w:rsid w:val="00153152"/>
    <w:rsid w:val="0015317A"/>
    <w:rsid w:val="001531C5"/>
    <w:rsid w:val="00153245"/>
    <w:rsid w:val="0015327B"/>
    <w:rsid w:val="00153361"/>
    <w:rsid w:val="001533CD"/>
    <w:rsid w:val="001533E6"/>
    <w:rsid w:val="001534E1"/>
    <w:rsid w:val="0015356C"/>
    <w:rsid w:val="00153632"/>
    <w:rsid w:val="0015365B"/>
    <w:rsid w:val="00153671"/>
    <w:rsid w:val="0015369A"/>
    <w:rsid w:val="00153700"/>
    <w:rsid w:val="00153703"/>
    <w:rsid w:val="00153757"/>
    <w:rsid w:val="00153821"/>
    <w:rsid w:val="0015382A"/>
    <w:rsid w:val="0015384C"/>
    <w:rsid w:val="00153892"/>
    <w:rsid w:val="001538FC"/>
    <w:rsid w:val="001539E5"/>
    <w:rsid w:val="00153A20"/>
    <w:rsid w:val="00153A62"/>
    <w:rsid w:val="00153A90"/>
    <w:rsid w:val="00153AF3"/>
    <w:rsid w:val="00153C46"/>
    <w:rsid w:val="00153CB2"/>
    <w:rsid w:val="00153CCB"/>
    <w:rsid w:val="00153D43"/>
    <w:rsid w:val="00153D53"/>
    <w:rsid w:val="00153D71"/>
    <w:rsid w:val="00153EB9"/>
    <w:rsid w:val="00153ED5"/>
    <w:rsid w:val="00153ED6"/>
    <w:rsid w:val="00153EF6"/>
    <w:rsid w:val="00153F04"/>
    <w:rsid w:val="00153FE9"/>
    <w:rsid w:val="00154005"/>
    <w:rsid w:val="00154131"/>
    <w:rsid w:val="0015421A"/>
    <w:rsid w:val="0015423D"/>
    <w:rsid w:val="0015424A"/>
    <w:rsid w:val="001542DE"/>
    <w:rsid w:val="00154316"/>
    <w:rsid w:val="00154343"/>
    <w:rsid w:val="001543B1"/>
    <w:rsid w:val="001543CB"/>
    <w:rsid w:val="001543D8"/>
    <w:rsid w:val="001545CF"/>
    <w:rsid w:val="001545D7"/>
    <w:rsid w:val="00154654"/>
    <w:rsid w:val="001546A5"/>
    <w:rsid w:val="00154766"/>
    <w:rsid w:val="00154787"/>
    <w:rsid w:val="001547F5"/>
    <w:rsid w:val="0015481D"/>
    <w:rsid w:val="00154955"/>
    <w:rsid w:val="0015496E"/>
    <w:rsid w:val="001549F5"/>
    <w:rsid w:val="00154A7F"/>
    <w:rsid w:val="00154B41"/>
    <w:rsid w:val="00154C07"/>
    <w:rsid w:val="00154C41"/>
    <w:rsid w:val="00154C7D"/>
    <w:rsid w:val="00154CAC"/>
    <w:rsid w:val="00154CCD"/>
    <w:rsid w:val="00154CE8"/>
    <w:rsid w:val="00154D1C"/>
    <w:rsid w:val="00154D72"/>
    <w:rsid w:val="00154E37"/>
    <w:rsid w:val="00154EAB"/>
    <w:rsid w:val="00154F16"/>
    <w:rsid w:val="00154F48"/>
    <w:rsid w:val="00154FE8"/>
    <w:rsid w:val="00155023"/>
    <w:rsid w:val="0015503F"/>
    <w:rsid w:val="001550FF"/>
    <w:rsid w:val="00155117"/>
    <w:rsid w:val="001551C4"/>
    <w:rsid w:val="001551D7"/>
    <w:rsid w:val="00155334"/>
    <w:rsid w:val="0015535D"/>
    <w:rsid w:val="0015536F"/>
    <w:rsid w:val="0015539A"/>
    <w:rsid w:val="001554A7"/>
    <w:rsid w:val="001554DA"/>
    <w:rsid w:val="001554F7"/>
    <w:rsid w:val="00155515"/>
    <w:rsid w:val="00155587"/>
    <w:rsid w:val="00155638"/>
    <w:rsid w:val="00155661"/>
    <w:rsid w:val="001556BC"/>
    <w:rsid w:val="001556D7"/>
    <w:rsid w:val="0015570F"/>
    <w:rsid w:val="00155743"/>
    <w:rsid w:val="0015574A"/>
    <w:rsid w:val="00155755"/>
    <w:rsid w:val="0015576B"/>
    <w:rsid w:val="001557DB"/>
    <w:rsid w:val="00155819"/>
    <w:rsid w:val="001558B5"/>
    <w:rsid w:val="001558C2"/>
    <w:rsid w:val="001558C9"/>
    <w:rsid w:val="00155954"/>
    <w:rsid w:val="0015596C"/>
    <w:rsid w:val="0015599A"/>
    <w:rsid w:val="00155A45"/>
    <w:rsid w:val="00155A48"/>
    <w:rsid w:val="00155B0F"/>
    <w:rsid w:val="00155BE8"/>
    <w:rsid w:val="00155C55"/>
    <w:rsid w:val="00155CF3"/>
    <w:rsid w:val="00155D56"/>
    <w:rsid w:val="00155D5B"/>
    <w:rsid w:val="00155D67"/>
    <w:rsid w:val="00155D6C"/>
    <w:rsid w:val="00155DC4"/>
    <w:rsid w:val="00155DEA"/>
    <w:rsid w:val="00155E20"/>
    <w:rsid w:val="00155E31"/>
    <w:rsid w:val="00155EF4"/>
    <w:rsid w:val="00155F2C"/>
    <w:rsid w:val="00155F48"/>
    <w:rsid w:val="00155F66"/>
    <w:rsid w:val="00155F87"/>
    <w:rsid w:val="00155F8A"/>
    <w:rsid w:val="00155FD9"/>
    <w:rsid w:val="00156068"/>
    <w:rsid w:val="00156110"/>
    <w:rsid w:val="00156147"/>
    <w:rsid w:val="00156173"/>
    <w:rsid w:val="0015620F"/>
    <w:rsid w:val="0015622C"/>
    <w:rsid w:val="00156246"/>
    <w:rsid w:val="0015624F"/>
    <w:rsid w:val="00156302"/>
    <w:rsid w:val="00156365"/>
    <w:rsid w:val="00156369"/>
    <w:rsid w:val="001563A9"/>
    <w:rsid w:val="001563BB"/>
    <w:rsid w:val="0015647F"/>
    <w:rsid w:val="0015649D"/>
    <w:rsid w:val="001565A8"/>
    <w:rsid w:val="001565CE"/>
    <w:rsid w:val="001565EE"/>
    <w:rsid w:val="00156603"/>
    <w:rsid w:val="0015661F"/>
    <w:rsid w:val="001566C4"/>
    <w:rsid w:val="00156723"/>
    <w:rsid w:val="00156759"/>
    <w:rsid w:val="001567D4"/>
    <w:rsid w:val="001567FB"/>
    <w:rsid w:val="00156815"/>
    <w:rsid w:val="00156829"/>
    <w:rsid w:val="0015683D"/>
    <w:rsid w:val="00156854"/>
    <w:rsid w:val="00156855"/>
    <w:rsid w:val="00156860"/>
    <w:rsid w:val="001568B2"/>
    <w:rsid w:val="0015692D"/>
    <w:rsid w:val="00156A14"/>
    <w:rsid w:val="00156A2B"/>
    <w:rsid w:val="00156A2C"/>
    <w:rsid w:val="00156AC3"/>
    <w:rsid w:val="00156B5B"/>
    <w:rsid w:val="00156C89"/>
    <w:rsid w:val="00156C8A"/>
    <w:rsid w:val="00156C92"/>
    <w:rsid w:val="00156C99"/>
    <w:rsid w:val="00156CF6"/>
    <w:rsid w:val="00156D2F"/>
    <w:rsid w:val="00156D43"/>
    <w:rsid w:val="00156D70"/>
    <w:rsid w:val="00156DCA"/>
    <w:rsid w:val="00156DDD"/>
    <w:rsid w:val="00156E80"/>
    <w:rsid w:val="00156E93"/>
    <w:rsid w:val="00156EDC"/>
    <w:rsid w:val="00156F2D"/>
    <w:rsid w:val="00156F60"/>
    <w:rsid w:val="00156FD5"/>
    <w:rsid w:val="0015700A"/>
    <w:rsid w:val="00157013"/>
    <w:rsid w:val="00157034"/>
    <w:rsid w:val="00157077"/>
    <w:rsid w:val="00157241"/>
    <w:rsid w:val="00157268"/>
    <w:rsid w:val="00157284"/>
    <w:rsid w:val="001572BF"/>
    <w:rsid w:val="001572F0"/>
    <w:rsid w:val="001573F9"/>
    <w:rsid w:val="00157496"/>
    <w:rsid w:val="001575AE"/>
    <w:rsid w:val="001575B4"/>
    <w:rsid w:val="001575BB"/>
    <w:rsid w:val="001575D1"/>
    <w:rsid w:val="00157617"/>
    <w:rsid w:val="0015766F"/>
    <w:rsid w:val="00157671"/>
    <w:rsid w:val="001576F0"/>
    <w:rsid w:val="00157709"/>
    <w:rsid w:val="001577F9"/>
    <w:rsid w:val="00157838"/>
    <w:rsid w:val="0015789F"/>
    <w:rsid w:val="001578C6"/>
    <w:rsid w:val="001578CA"/>
    <w:rsid w:val="001578CE"/>
    <w:rsid w:val="001578F5"/>
    <w:rsid w:val="00157999"/>
    <w:rsid w:val="00157A59"/>
    <w:rsid w:val="00157ADC"/>
    <w:rsid w:val="00157B94"/>
    <w:rsid w:val="00157C0D"/>
    <w:rsid w:val="00157C59"/>
    <w:rsid w:val="00157C90"/>
    <w:rsid w:val="00157CAE"/>
    <w:rsid w:val="00157D05"/>
    <w:rsid w:val="00157D0F"/>
    <w:rsid w:val="00157D56"/>
    <w:rsid w:val="00157D9E"/>
    <w:rsid w:val="00157E0D"/>
    <w:rsid w:val="00157E3F"/>
    <w:rsid w:val="00157E86"/>
    <w:rsid w:val="00157F0A"/>
    <w:rsid w:val="00157F0D"/>
    <w:rsid w:val="00157F28"/>
    <w:rsid w:val="00157FEE"/>
    <w:rsid w:val="00160007"/>
    <w:rsid w:val="0016008F"/>
    <w:rsid w:val="001600AB"/>
    <w:rsid w:val="001600C1"/>
    <w:rsid w:val="00160103"/>
    <w:rsid w:val="001601EA"/>
    <w:rsid w:val="0016023A"/>
    <w:rsid w:val="00160314"/>
    <w:rsid w:val="00160372"/>
    <w:rsid w:val="0016038B"/>
    <w:rsid w:val="001603D4"/>
    <w:rsid w:val="00160446"/>
    <w:rsid w:val="00160492"/>
    <w:rsid w:val="001604AF"/>
    <w:rsid w:val="001604C0"/>
    <w:rsid w:val="001604DE"/>
    <w:rsid w:val="001604F2"/>
    <w:rsid w:val="001604F3"/>
    <w:rsid w:val="00160529"/>
    <w:rsid w:val="0016052B"/>
    <w:rsid w:val="00160613"/>
    <w:rsid w:val="001606BA"/>
    <w:rsid w:val="001606E4"/>
    <w:rsid w:val="001606F5"/>
    <w:rsid w:val="001607B3"/>
    <w:rsid w:val="001607DF"/>
    <w:rsid w:val="00160800"/>
    <w:rsid w:val="00160858"/>
    <w:rsid w:val="00160914"/>
    <w:rsid w:val="00160947"/>
    <w:rsid w:val="00160A50"/>
    <w:rsid w:val="00160A54"/>
    <w:rsid w:val="00160BA6"/>
    <w:rsid w:val="00160BFC"/>
    <w:rsid w:val="00160BFF"/>
    <w:rsid w:val="00160CCD"/>
    <w:rsid w:val="00160CD6"/>
    <w:rsid w:val="00160D73"/>
    <w:rsid w:val="00160DB8"/>
    <w:rsid w:val="00160EE1"/>
    <w:rsid w:val="00160EF1"/>
    <w:rsid w:val="00160EF8"/>
    <w:rsid w:val="00160F3D"/>
    <w:rsid w:val="00160FAF"/>
    <w:rsid w:val="00161057"/>
    <w:rsid w:val="00161069"/>
    <w:rsid w:val="00161075"/>
    <w:rsid w:val="001610B4"/>
    <w:rsid w:val="001610D2"/>
    <w:rsid w:val="001610FA"/>
    <w:rsid w:val="0016112F"/>
    <w:rsid w:val="00161130"/>
    <w:rsid w:val="001611E2"/>
    <w:rsid w:val="00161237"/>
    <w:rsid w:val="00161271"/>
    <w:rsid w:val="001612A0"/>
    <w:rsid w:val="00161331"/>
    <w:rsid w:val="001613F6"/>
    <w:rsid w:val="001613FB"/>
    <w:rsid w:val="0016141B"/>
    <w:rsid w:val="0016141C"/>
    <w:rsid w:val="00161431"/>
    <w:rsid w:val="001614F5"/>
    <w:rsid w:val="00161559"/>
    <w:rsid w:val="00161596"/>
    <w:rsid w:val="001615B6"/>
    <w:rsid w:val="001615DA"/>
    <w:rsid w:val="00161683"/>
    <w:rsid w:val="0016169B"/>
    <w:rsid w:val="0016169C"/>
    <w:rsid w:val="001616F6"/>
    <w:rsid w:val="001616F9"/>
    <w:rsid w:val="00161704"/>
    <w:rsid w:val="0016176D"/>
    <w:rsid w:val="001617FE"/>
    <w:rsid w:val="0016183A"/>
    <w:rsid w:val="001618AA"/>
    <w:rsid w:val="00161924"/>
    <w:rsid w:val="0016198D"/>
    <w:rsid w:val="00161A56"/>
    <w:rsid w:val="00161ACC"/>
    <w:rsid w:val="00161AD7"/>
    <w:rsid w:val="00161B24"/>
    <w:rsid w:val="00161B5C"/>
    <w:rsid w:val="00161B94"/>
    <w:rsid w:val="00161BC9"/>
    <w:rsid w:val="00161BFB"/>
    <w:rsid w:val="00161C4B"/>
    <w:rsid w:val="00161C65"/>
    <w:rsid w:val="00161CB3"/>
    <w:rsid w:val="00161D36"/>
    <w:rsid w:val="00161D41"/>
    <w:rsid w:val="00161D5F"/>
    <w:rsid w:val="00161DC9"/>
    <w:rsid w:val="00161DDE"/>
    <w:rsid w:val="00161EB0"/>
    <w:rsid w:val="00161F3D"/>
    <w:rsid w:val="001620EC"/>
    <w:rsid w:val="0016210A"/>
    <w:rsid w:val="0016214F"/>
    <w:rsid w:val="00162171"/>
    <w:rsid w:val="001621C7"/>
    <w:rsid w:val="001621F8"/>
    <w:rsid w:val="00162208"/>
    <w:rsid w:val="0016228A"/>
    <w:rsid w:val="001622BD"/>
    <w:rsid w:val="001622C5"/>
    <w:rsid w:val="001622D2"/>
    <w:rsid w:val="001623BC"/>
    <w:rsid w:val="001623F0"/>
    <w:rsid w:val="001624D7"/>
    <w:rsid w:val="00162565"/>
    <w:rsid w:val="00162572"/>
    <w:rsid w:val="00162579"/>
    <w:rsid w:val="001625D7"/>
    <w:rsid w:val="0016268C"/>
    <w:rsid w:val="001626DD"/>
    <w:rsid w:val="00162768"/>
    <w:rsid w:val="001627C8"/>
    <w:rsid w:val="00162861"/>
    <w:rsid w:val="0016288C"/>
    <w:rsid w:val="001628D6"/>
    <w:rsid w:val="001629A6"/>
    <w:rsid w:val="00162A49"/>
    <w:rsid w:val="00162AF2"/>
    <w:rsid w:val="00162AF5"/>
    <w:rsid w:val="00162B50"/>
    <w:rsid w:val="00162B92"/>
    <w:rsid w:val="00162C8C"/>
    <w:rsid w:val="00162CB3"/>
    <w:rsid w:val="00162D56"/>
    <w:rsid w:val="00162D60"/>
    <w:rsid w:val="00162DB4"/>
    <w:rsid w:val="00162DC9"/>
    <w:rsid w:val="00162E01"/>
    <w:rsid w:val="00162E24"/>
    <w:rsid w:val="00162E61"/>
    <w:rsid w:val="00162F2C"/>
    <w:rsid w:val="00162F5F"/>
    <w:rsid w:val="00162F7C"/>
    <w:rsid w:val="00162F8A"/>
    <w:rsid w:val="001630E6"/>
    <w:rsid w:val="00163103"/>
    <w:rsid w:val="00163111"/>
    <w:rsid w:val="00163116"/>
    <w:rsid w:val="00163187"/>
    <w:rsid w:val="001631AD"/>
    <w:rsid w:val="001631C9"/>
    <w:rsid w:val="00163294"/>
    <w:rsid w:val="00163315"/>
    <w:rsid w:val="00163318"/>
    <w:rsid w:val="0016335B"/>
    <w:rsid w:val="001633BF"/>
    <w:rsid w:val="0016343C"/>
    <w:rsid w:val="0016354E"/>
    <w:rsid w:val="00163572"/>
    <w:rsid w:val="0016357E"/>
    <w:rsid w:val="00163615"/>
    <w:rsid w:val="00163652"/>
    <w:rsid w:val="00163752"/>
    <w:rsid w:val="001637A6"/>
    <w:rsid w:val="001637DE"/>
    <w:rsid w:val="001637E2"/>
    <w:rsid w:val="001637F5"/>
    <w:rsid w:val="00163814"/>
    <w:rsid w:val="001638C5"/>
    <w:rsid w:val="0016390B"/>
    <w:rsid w:val="0016396C"/>
    <w:rsid w:val="00163A1E"/>
    <w:rsid w:val="00163AC2"/>
    <w:rsid w:val="00163B2D"/>
    <w:rsid w:val="00163B62"/>
    <w:rsid w:val="00163B6F"/>
    <w:rsid w:val="00163B82"/>
    <w:rsid w:val="00163C71"/>
    <w:rsid w:val="00163CA9"/>
    <w:rsid w:val="00163D13"/>
    <w:rsid w:val="00163DA5"/>
    <w:rsid w:val="00163E55"/>
    <w:rsid w:val="00163E9D"/>
    <w:rsid w:val="00163ED7"/>
    <w:rsid w:val="00163F26"/>
    <w:rsid w:val="00163F4C"/>
    <w:rsid w:val="00163FC9"/>
    <w:rsid w:val="00163FCB"/>
    <w:rsid w:val="00163FE8"/>
    <w:rsid w:val="00164005"/>
    <w:rsid w:val="00164045"/>
    <w:rsid w:val="0016406E"/>
    <w:rsid w:val="00164084"/>
    <w:rsid w:val="001641DB"/>
    <w:rsid w:val="0016423A"/>
    <w:rsid w:val="00164342"/>
    <w:rsid w:val="00164343"/>
    <w:rsid w:val="0016435B"/>
    <w:rsid w:val="001643BC"/>
    <w:rsid w:val="001643EE"/>
    <w:rsid w:val="0016444E"/>
    <w:rsid w:val="00164541"/>
    <w:rsid w:val="001645A4"/>
    <w:rsid w:val="0016463C"/>
    <w:rsid w:val="00164666"/>
    <w:rsid w:val="0016466E"/>
    <w:rsid w:val="00164712"/>
    <w:rsid w:val="0016477D"/>
    <w:rsid w:val="001647B4"/>
    <w:rsid w:val="0016483F"/>
    <w:rsid w:val="00164856"/>
    <w:rsid w:val="0016493C"/>
    <w:rsid w:val="00164940"/>
    <w:rsid w:val="0016497B"/>
    <w:rsid w:val="001649A2"/>
    <w:rsid w:val="00164A7B"/>
    <w:rsid w:val="00164A81"/>
    <w:rsid w:val="00164A9C"/>
    <w:rsid w:val="00164AC6"/>
    <w:rsid w:val="00164AD0"/>
    <w:rsid w:val="00164AEA"/>
    <w:rsid w:val="00164B66"/>
    <w:rsid w:val="00164BCF"/>
    <w:rsid w:val="00164BDE"/>
    <w:rsid w:val="00164C18"/>
    <w:rsid w:val="00164CC9"/>
    <w:rsid w:val="00164D08"/>
    <w:rsid w:val="00164D0F"/>
    <w:rsid w:val="00164D1E"/>
    <w:rsid w:val="00164D3D"/>
    <w:rsid w:val="00164D76"/>
    <w:rsid w:val="00164DC1"/>
    <w:rsid w:val="00164DFB"/>
    <w:rsid w:val="00164EF4"/>
    <w:rsid w:val="00165075"/>
    <w:rsid w:val="00165084"/>
    <w:rsid w:val="0016509E"/>
    <w:rsid w:val="001650BA"/>
    <w:rsid w:val="0016513B"/>
    <w:rsid w:val="0016513D"/>
    <w:rsid w:val="0016516A"/>
    <w:rsid w:val="00165216"/>
    <w:rsid w:val="0016524A"/>
    <w:rsid w:val="001652F0"/>
    <w:rsid w:val="00165347"/>
    <w:rsid w:val="00165390"/>
    <w:rsid w:val="001653B3"/>
    <w:rsid w:val="001653CE"/>
    <w:rsid w:val="00165441"/>
    <w:rsid w:val="00165467"/>
    <w:rsid w:val="001654A5"/>
    <w:rsid w:val="00165500"/>
    <w:rsid w:val="00165511"/>
    <w:rsid w:val="001655EE"/>
    <w:rsid w:val="00165687"/>
    <w:rsid w:val="0016577C"/>
    <w:rsid w:val="00165822"/>
    <w:rsid w:val="00165866"/>
    <w:rsid w:val="00165875"/>
    <w:rsid w:val="001658A4"/>
    <w:rsid w:val="001658A6"/>
    <w:rsid w:val="001658EA"/>
    <w:rsid w:val="00165999"/>
    <w:rsid w:val="00165A3C"/>
    <w:rsid w:val="00165B17"/>
    <w:rsid w:val="00165B37"/>
    <w:rsid w:val="00165B72"/>
    <w:rsid w:val="00165B9D"/>
    <w:rsid w:val="00165BA1"/>
    <w:rsid w:val="00165C4E"/>
    <w:rsid w:val="00165CBE"/>
    <w:rsid w:val="00165D4B"/>
    <w:rsid w:val="00165E53"/>
    <w:rsid w:val="00165E62"/>
    <w:rsid w:val="00165ED8"/>
    <w:rsid w:val="00166009"/>
    <w:rsid w:val="001660A2"/>
    <w:rsid w:val="001660D6"/>
    <w:rsid w:val="001660DB"/>
    <w:rsid w:val="001661BA"/>
    <w:rsid w:val="001661CC"/>
    <w:rsid w:val="001661D6"/>
    <w:rsid w:val="001663E5"/>
    <w:rsid w:val="00166439"/>
    <w:rsid w:val="00166447"/>
    <w:rsid w:val="001664B2"/>
    <w:rsid w:val="00166503"/>
    <w:rsid w:val="001665BA"/>
    <w:rsid w:val="001665C1"/>
    <w:rsid w:val="001666A5"/>
    <w:rsid w:val="001666B8"/>
    <w:rsid w:val="0016673B"/>
    <w:rsid w:val="0016675D"/>
    <w:rsid w:val="001667D8"/>
    <w:rsid w:val="001667FA"/>
    <w:rsid w:val="00166840"/>
    <w:rsid w:val="00166870"/>
    <w:rsid w:val="001668B9"/>
    <w:rsid w:val="001668C1"/>
    <w:rsid w:val="001668CE"/>
    <w:rsid w:val="001669BD"/>
    <w:rsid w:val="001669C9"/>
    <w:rsid w:val="00166A29"/>
    <w:rsid w:val="00166A6F"/>
    <w:rsid w:val="00166ABF"/>
    <w:rsid w:val="00166BA7"/>
    <w:rsid w:val="00166BB2"/>
    <w:rsid w:val="00166BB5"/>
    <w:rsid w:val="00166BEE"/>
    <w:rsid w:val="00166CBD"/>
    <w:rsid w:val="00166CCC"/>
    <w:rsid w:val="00166CE7"/>
    <w:rsid w:val="00166D3A"/>
    <w:rsid w:val="00166DB1"/>
    <w:rsid w:val="00166DFD"/>
    <w:rsid w:val="00166E34"/>
    <w:rsid w:val="00166E6F"/>
    <w:rsid w:val="00166F45"/>
    <w:rsid w:val="00167022"/>
    <w:rsid w:val="00167026"/>
    <w:rsid w:val="001670E5"/>
    <w:rsid w:val="001670FE"/>
    <w:rsid w:val="0016710C"/>
    <w:rsid w:val="0016712E"/>
    <w:rsid w:val="0016714B"/>
    <w:rsid w:val="00167165"/>
    <w:rsid w:val="00167172"/>
    <w:rsid w:val="001671B7"/>
    <w:rsid w:val="00167228"/>
    <w:rsid w:val="0016726E"/>
    <w:rsid w:val="00167270"/>
    <w:rsid w:val="0016729D"/>
    <w:rsid w:val="001673AA"/>
    <w:rsid w:val="00167415"/>
    <w:rsid w:val="00167433"/>
    <w:rsid w:val="00167456"/>
    <w:rsid w:val="00167475"/>
    <w:rsid w:val="0016749B"/>
    <w:rsid w:val="0016755C"/>
    <w:rsid w:val="001675BE"/>
    <w:rsid w:val="0016761B"/>
    <w:rsid w:val="00167641"/>
    <w:rsid w:val="00167695"/>
    <w:rsid w:val="001676A4"/>
    <w:rsid w:val="001676F4"/>
    <w:rsid w:val="0016770A"/>
    <w:rsid w:val="0016788D"/>
    <w:rsid w:val="0016793C"/>
    <w:rsid w:val="0016795C"/>
    <w:rsid w:val="00167979"/>
    <w:rsid w:val="0016797B"/>
    <w:rsid w:val="0016799E"/>
    <w:rsid w:val="00167A3A"/>
    <w:rsid w:val="00167AE7"/>
    <w:rsid w:val="00167B94"/>
    <w:rsid w:val="00167CC2"/>
    <w:rsid w:val="00167D13"/>
    <w:rsid w:val="00167D68"/>
    <w:rsid w:val="00167DE7"/>
    <w:rsid w:val="00167DF7"/>
    <w:rsid w:val="00167E15"/>
    <w:rsid w:val="00167EA0"/>
    <w:rsid w:val="00167ECD"/>
    <w:rsid w:val="00167F00"/>
    <w:rsid w:val="00167F4C"/>
    <w:rsid w:val="00167F68"/>
    <w:rsid w:val="00167F6D"/>
    <w:rsid w:val="00167F7F"/>
    <w:rsid w:val="00167FC6"/>
    <w:rsid w:val="00170063"/>
    <w:rsid w:val="00170069"/>
    <w:rsid w:val="001700F8"/>
    <w:rsid w:val="0017012D"/>
    <w:rsid w:val="0017019F"/>
    <w:rsid w:val="001701FD"/>
    <w:rsid w:val="001702F1"/>
    <w:rsid w:val="001702FC"/>
    <w:rsid w:val="001702FD"/>
    <w:rsid w:val="00170326"/>
    <w:rsid w:val="0017032D"/>
    <w:rsid w:val="001703C7"/>
    <w:rsid w:val="00170442"/>
    <w:rsid w:val="0017044C"/>
    <w:rsid w:val="00170468"/>
    <w:rsid w:val="00170473"/>
    <w:rsid w:val="00170489"/>
    <w:rsid w:val="001704AA"/>
    <w:rsid w:val="001704C1"/>
    <w:rsid w:val="00170548"/>
    <w:rsid w:val="00170634"/>
    <w:rsid w:val="00170693"/>
    <w:rsid w:val="001706EB"/>
    <w:rsid w:val="001707BA"/>
    <w:rsid w:val="00170828"/>
    <w:rsid w:val="001708B9"/>
    <w:rsid w:val="001708CE"/>
    <w:rsid w:val="001708D2"/>
    <w:rsid w:val="00170A38"/>
    <w:rsid w:val="00170A6C"/>
    <w:rsid w:val="00170AAE"/>
    <w:rsid w:val="00170AF1"/>
    <w:rsid w:val="00170BAB"/>
    <w:rsid w:val="00170BBE"/>
    <w:rsid w:val="00170BEB"/>
    <w:rsid w:val="00170C08"/>
    <w:rsid w:val="00170CA4"/>
    <w:rsid w:val="00170CA8"/>
    <w:rsid w:val="00170CAE"/>
    <w:rsid w:val="00170CEF"/>
    <w:rsid w:val="00170D14"/>
    <w:rsid w:val="00170D82"/>
    <w:rsid w:val="00170D86"/>
    <w:rsid w:val="00170DEA"/>
    <w:rsid w:val="00170E3D"/>
    <w:rsid w:val="00170E3E"/>
    <w:rsid w:val="00170E7A"/>
    <w:rsid w:val="00170F2A"/>
    <w:rsid w:val="00171095"/>
    <w:rsid w:val="00171180"/>
    <w:rsid w:val="001711B8"/>
    <w:rsid w:val="001711C7"/>
    <w:rsid w:val="001711D4"/>
    <w:rsid w:val="001712A6"/>
    <w:rsid w:val="001712AA"/>
    <w:rsid w:val="001712D7"/>
    <w:rsid w:val="00171414"/>
    <w:rsid w:val="00171421"/>
    <w:rsid w:val="00171513"/>
    <w:rsid w:val="00171574"/>
    <w:rsid w:val="001715D6"/>
    <w:rsid w:val="0017169B"/>
    <w:rsid w:val="001716A8"/>
    <w:rsid w:val="001716C4"/>
    <w:rsid w:val="00171725"/>
    <w:rsid w:val="00171734"/>
    <w:rsid w:val="001717C9"/>
    <w:rsid w:val="00171868"/>
    <w:rsid w:val="0017186A"/>
    <w:rsid w:val="001718BC"/>
    <w:rsid w:val="00171915"/>
    <w:rsid w:val="00171916"/>
    <w:rsid w:val="0017199A"/>
    <w:rsid w:val="001719E5"/>
    <w:rsid w:val="00171A57"/>
    <w:rsid w:val="00171AD7"/>
    <w:rsid w:val="00171B47"/>
    <w:rsid w:val="00171BE8"/>
    <w:rsid w:val="00171CC7"/>
    <w:rsid w:val="00171D60"/>
    <w:rsid w:val="00171DB5"/>
    <w:rsid w:val="00171DB6"/>
    <w:rsid w:val="00171E3B"/>
    <w:rsid w:val="00171E88"/>
    <w:rsid w:val="00171F16"/>
    <w:rsid w:val="00171F5D"/>
    <w:rsid w:val="00171FF4"/>
    <w:rsid w:val="00172011"/>
    <w:rsid w:val="00172080"/>
    <w:rsid w:val="001720AE"/>
    <w:rsid w:val="001720B0"/>
    <w:rsid w:val="001720C0"/>
    <w:rsid w:val="001720E3"/>
    <w:rsid w:val="00172123"/>
    <w:rsid w:val="00172136"/>
    <w:rsid w:val="00172184"/>
    <w:rsid w:val="0017218D"/>
    <w:rsid w:val="00172367"/>
    <w:rsid w:val="001723FF"/>
    <w:rsid w:val="00172424"/>
    <w:rsid w:val="00172459"/>
    <w:rsid w:val="00172528"/>
    <w:rsid w:val="001725D9"/>
    <w:rsid w:val="00172621"/>
    <w:rsid w:val="001726EF"/>
    <w:rsid w:val="0017273D"/>
    <w:rsid w:val="00172775"/>
    <w:rsid w:val="00172837"/>
    <w:rsid w:val="00172886"/>
    <w:rsid w:val="00172896"/>
    <w:rsid w:val="001728A7"/>
    <w:rsid w:val="00172909"/>
    <w:rsid w:val="00172949"/>
    <w:rsid w:val="001729CD"/>
    <w:rsid w:val="001729CE"/>
    <w:rsid w:val="00172A09"/>
    <w:rsid w:val="00172B48"/>
    <w:rsid w:val="00172B7A"/>
    <w:rsid w:val="00172B7C"/>
    <w:rsid w:val="00172B8E"/>
    <w:rsid w:val="00172BCB"/>
    <w:rsid w:val="00172BD9"/>
    <w:rsid w:val="00172C79"/>
    <w:rsid w:val="00172C7C"/>
    <w:rsid w:val="00172C8C"/>
    <w:rsid w:val="00172CE9"/>
    <w:rsid w:val="00172CF9"/>
    <w:rsid w:val="00172D0F"/>
    <w:rsid w:val="00172E20"/>
    <w:rsid w:val="00172E7B"/>
    <w:rsid w:val="00172ECF"/>
    <w:rsid w:val="00172EE1"/>
    <w:rsid w:val="00172F9C"/>
    <w:rsid w:val="00172FA8"/>
    <w:rsid w:val="00172FD5"/>
    <w:rsid w:val="00172FE8"/>
    <w:rsid w:val="00172FF2"/>
    <w:rsid w:val="0017301A"/>
    <w:rsid w:val="0017301C"/>
    <w:rsid w:val="0017303D"/>
    <w:rsid w:val="0017306C"/>
    <w:rsid w:val="00173072"/>
    <w:rsid w:val="001730AB"/>
    <w:rsid w:val="001730D1"/>
    <w:rsid w:val="0017311F"/>
    <w:rsid w:val="0017318F"/>
    <w:rsid w:val="001731A2"/>
    <w:rsid w:val="001731AA"/>
    <w:rsid w:val="001731F0"/>
    <w:rsid w:val="00173247"/>
    <w:rsid w:val="00173258"/>
    <w:rsid w:val="00173333"/>
    <w:rsid w:val="001733BE"/>
    <w:rsid w:val="0017342A"/>
    <w:rsid w:val="00173450"/>
    <w:rsid w:val="001734C3"/>
    <w:rsid w:val="001734D8"/>
    <w:rsid w:val="001734F1"/>
    <w:rsid w:val="0017354C"/>
    <w:rsid w:val="001735D4"/>
    <w:rsid w:val="00173644"/>
    <w:rsid w:val="00173661"/>
    <w:rsid w:val="00173672"/>
    <w:rsid w:val="0017368C"/>
    <w:rsid w:val="0017373F"/>
    <w:rsid w:val="0017385F"/>
    <w:rsid w:val="0017393D"/>
    <w:rsid w:val="0017397A"/>
    <w:rsid w:val="00173A1E"/>
    <w:rsid w:val="00173AF8"/>
    <w:rsid w:val="00173B12"/>
    <w:rsid w:val="00173B68"/>
    <w:rsid w:val="00173BD0"/>
    <w:rsid w:val="00173CA1"/>
    <w:rsid w:val="00173CBF"/>
    <w:rsid w:val="00173CCD"/>
    <w:rsid w:val="00173CD6"/>
    <w:rsid w:val="00173D43"/>
    <w:rsid w:val="00173D59"/>
    <w:rsid w:val="00173E3F"/>
    <w:rsid w:val="00173EF8"/>
    <w:rsid w:val="00173F80"/>
    <w:rsid w:val="00173F96"/>
    <w:rsid w:val="00173FA5"/>
    <w:rsid w:val="00173FF5"/>
    <w:rsid w:val="00174027"/>
    <w:rsid w:val="00174072"/>
    <w:rsid w:val="001740EB"/>
    <w:rsid w:val="0017415D"/>
    <w:rsid w:val="00174181"/>
    <w:rsid w:val="001741DB"/>
    <w:rsid w:val="00174259"/>
    <w:rsid w:val="0017426A"/>
    <w:rsid w:val="00174353"/>
    <w:rsid w:val="001743F3"/>
    <w:rsid w:val="00174412"/>
    <w:rsid w:val="00174579"/>
    <w:rsid w:val="00174616"/>
    <w:rsid w:val="0017470A"/>
    <w:rsid w:val="0017473D"/>
    <w:rsid w:val="00174773"/>
    <w:rsid w:val="0017478A"/>
    <w:rsid w:val="001747C8"/>
    <w:rsid w:val="001747FD"/>
    <w:rsid w:val="00174834"/>
    <w:rsid w:val="00174854"/>
    <w:rsid w:val="0017487B"/>
    <w:rsid w:val="0017488F"/>
    <w:rsid w:val="001748C5"/>
    <w:rsid w:val="001748CB"/>
    <w:rsid w:val="00174907"/>
    <w:rsid w:val="00174A70"/>
    <w:rsid w:val="00174A7D"/>
    <w:rsid w:val="00174B26"/>
    <w:rsid w:val="00174B51"/>
    <w:rsid w:val="00174B64"/>
    <w:rsid w:val="00174C0E"/>
    <w:rsid w:val="00174C62"/>
    <w:rsid w:val="00174C95"/>
    <w:rsid w:val="00174CFE"/>
    <w:rsid w:val="00174D16"/>
    <w:rsid w:val="00174D36"/>
    <w:rsid w:val="00174D55"/>
    <w:rsid w:val="00174DFA"/>
    <w:rsid w:val="00174E30"/>
    <w:rsid w:val="00174EB6"/>
    <w:rsid w:val="00174F4E"/>
    <w:rsid w:val="00174FB9"/>
    <w:rsid w:val="0017507F"/>
    <w:rsid w:val="001750D1"/>
    <w:rsid w:val="001750D8"/>
    <w:rsid w:val="0017511B"/>
    <w:rsid w:val="00175156"/>
    <w:rsid w:val="0017517C"/>
    <w:rsid w:val="0017520E"/>
    <w:rsid w:val="001752DA"/>
    <w:rsid w:val="001753D0"/>
    <w:rsid w:val="00175534"/>
    <w:rsid w:val="00175557"/>
    <w:rsid w:val="001755AD"/>
    <w:rsid w:val="001755F6"/>
    <w:rsid w:val="001756C2"/>
    <w:rsid w:val="001756F5"/>
    <w:rsid w:val="00175703"/>
    <w:rsid w:val="00175715"/>
    <w:rsid w:val="00175769"/>
    <w:rsid w:val="001757B4"/>
    <w:rsid w:val="001757DD"/>
    <w:rsid w:val="00175805"/>
    <w:rsid w:val="00175856"/>
    <w:rsid w:val="0017586D"/>
    <w:rsid w:val="00175876"/>
    <w:rsid w:val="001758A0"/>
    <w:rsid w:val="00175901"/>
    <w:rsid w:val="00175A3F"/>
    <w:rsid w:val="00175AE4"/>
    <w:rsid w:val="00175B45"/>
    <w:rsid w:val="00175BE2"/>
    <w:rsid w:val="00175D37"/>
    <w:rsid w:val="00175D47"/>
    <w:rsid w:val="00175D49"/>
    <w:rsid w:val="00175D57"/>
    <w:rsid w:val="00175DE2"/>
    <w:rsid w:val="00175E14"/>
    <w:rsid w:val="00175ED3"/>
    <w:rsid w:val="00175F07"/>
    <w:rsid w:val="00175F21"/>
    <w:rsid w:val="00175F6B"/>
    <w:rsid w:val="0017608C"/>
    <w:rsid w:val="00176156"/>
    <w:rsid w:val="001761E8"/>
    <w:rsid w:val="00176266"/>
    <w:rsid w:val="00176296"/>
    <w:rsid w:val="001763AF"/>
    <w:rsid w:val="001763C7"/>
    <w:rsid w:val="00176432"/>
    <w:rsid w:val="001764A1"/>
    <w:rsid w:val="001764B6"/>
    <w:rsid w:val="001764FD"/>
    <w:rsid w:val="00176529"/>
    <w:rsid w:val="0017652D"/>
    <w:rsid w:val="00176561"/>
    <w:rsid w:val="0017659A"/>
    <w:rsid w:val="0017663F"/>
    <w:rsid w:val="0017669A"/>
    <w:rsid w:val="001766E6"/>
    <w:rsid w:val="0017670D"/>
    <w:rsid w:val="00176737"/>
    <w:rsid w:val="00176749"/>
    <w:rsid w:val="00176848"/>
    <w:rsid w:val="00176871"/>
    <w:rsid w:val="00176898"/>
    <w:rsid w:val="001768BA"/>
    <w:rsid w:val="001768F1"/>
    <w:rsid w:val="0017691C"/>
    <w:rsid w:val="001769A5"/>
    <w:rsid w:val="00176AAA"/>
    <w:rsid w:val="00176B2E"/>
    <w:rsid w:val="00176B30"/>
    <w:rsid w:val="00176C38"/>
    <w:rsid w:val="00176C5E"/>
    <w:rsid w:val="00176CB0"/>
    <w:rsid w:val="00176CB1"/>
    <w:rsid w:val="00176CBC"/>
    <w:rsid w:val="00176D47"/>
    <w:rsid w:val="00176D58"/>
    <w:rsid w:val="00176DB9"/>
    <w:rsid w:val="00176DBF"/>
    <w:rsid w:val="00176DE3"/>
    <w:rsid w:val="00176E55"/>
    <w:rsid w:val="00176E92"/>
    <w:rsid w:val="00176F5F"/>
    <w:rsid w:val="00176FE9"/>
    <w:rsid w:val="001770A8"/>
    <w:rsid w:val="001770DD"/>
    <w:rsid w:val="001770E0"/>
    <w:rsid w:val="001771E4"/>
    <w:rsid w:val="001772A5"/>
    <w:rsid w:val="001772EC"/>
    <w:rsid w:val="00177340"/>
    <w:rsid w:val="00177395"/>
    <w:rsid w:val="001773A3"/>
    <w:rsid w:val="001773F2"/>
    <w:rsid w:val="0017747A"/>
    <w:rsid w:val="0017749F"/>
    <w:rsid w:val="001774DD"/>
    <w:rsid w:val="00177526"/>
    <w:rsid w:val="0017753A"/>
    <w:rsid w:val="001775E8"/>
    <w:rsid w:val="001775F1"/>
    <w:rsid w:val="00177610"/>
    <w:rsid w:val="00177623"/>
    <w:rsid w:val="00177651"/>
    <w:rsid w:val="001776BB"/>
    <w:rsid w:val="001776C6"/>
    <w:rsid w:val="001776FD"/>
    <w:rsid w:val="00177738"/>
    <w:rsid w:val="0017778A"/>
    <w:rsid w:val="00177854"/>
    <w:rsid w:val="00177963"/>
    <w:rsid w:val="00177991"/>
    <w:rsid w:val="00177A04"/>
    <w:rsid w:val="00177ACE"/>
    <w:rsid w:val="00177B4F"/>
    <w:rsid w:val="00177BAC"/>
    <w:rsid w:val="00177BD6"/>
    <w:rsid w:val="00177D5D"/>
    <w:rsid w:val="00177EC5"/>
    <w:rsid w:val="00177F2E"/>
    <w:rsid w:val="00180086"/>
    <w:rsid w:val="001800A4"/>
    <w:rsid w:val="001800A6"/>
    <w:rsid w:val="001800C1"/>
    <w:rsid w:val="001800F6"/>
    <w:rsid w:val="0018018E"/>
    <w:rsid w:val="00180197"/>
    <w:rsid w:val="00180199"/>
    <w:rsid w:val="0018019E"/>
    <w:rsid w:val="001801E8"/>
    <w:rsid w:val="0018031A"/>
    <w:rsid w:val="00180379"/>
    <w:rsid w:val="001803BF"/>
    <w:rsid w:val="0018052F"/>
    <w:rsid w:val="0018057B"/>
    <w:rsid w:val="001805A8"/>
    <w:rsid w:val="001805B4"/>
    <w:rsid w:val="001805CD"/>
    <w:rsid w:val="00180638"/>
    <w:rsid w:val="001806C0"/>
    <w:rsid w:val="00180700"/>
    <w:rsid w:val="00180718"/>
    <w:rsid w:val="00180791"/>
    <w:rsid w:val="001808AC"/>
    <w:rsid w:val="001808F7"/>
    <w:rsid w:val="001809CB"/>
    <w:rsid w:val="00180A2A"/>
    <w:rsid w:val="00180A51"/>
    <w:rsid w:val="00180A65"/>
    <w:rsid w:val="00180B1C"/>
    <w:rsid w:val="00180B5B"/>
    <w:rsid w:val="00180B6A"/>
    <w:rsid w:val="00180C8C"/>
    <w:rsid w:val="00180DD0"/>
    <w:rsid w:val="00180EAA"/>
    <w:rsid w:val="00180EDF"/>
    <w:rsid w:val="00180F07"/>
    <w:rsid w:val="00180F1F"/>
    <w:rsid w:val="00181024"/>
    <w:rsid w:val="0018106B"/>
    <w:rsid w:val="0018107D"/>
    <w:rsid w:val="00181155"/>
    <w:rsid w:val="00181179"/>
    <w:rsid w:val="00181214"/>
    <w:rsid w:val="0018125A"/>
    <w:rsid w:val="00181316"/>
    <w:rsid w:val="0018132A"/>
    <w:rsid w:val="0018132C"/>
    <w:rsid w:val="0018132D"/>
    <w:rsid w:val="0018136D"/>
    <w:rsid w:val="00181430"/>
    <w:rsid w:val="001814A3"/>
    <w:rsid w:val="001814E7"/>
    <w:rsid w:val="001814F1"/>
    <w:rsid w:val="00181512"/>
    <w:rsid w:val="001815BF"/>
    <w:rsid w:val="001815E0"/>
    <w:rsid w:val="0018166A"/>
    <w:rsid w:val="00181683"/>
    <w:rsid w:val="00181728"/>
    <w:rsid w:val="001817A0"/>
    <w:rsid w:val="001817C0"/>
    <w:rsid w:val="001817FA"/>
    <w:rsid w:val="0018188B"/>
    <w:rsid w:val="001818A0"/>
    <w:rsid w:val="00181900"/>
    <w:rsid w:val="00181932"/>
    <w:rsid w:val="00181971"/>
    <w:rsid w:val="00181A24"/>
    <w:rsid w:val="00181A5F"/>
    <w:rsid w:val="00181AD7"/>
    <w:rsid w:val="00181B94"/>
    <w:rsid w:val="00181BC6"/>
    <w:rsid w:val="00181BF7"/>
    <w:rsid w:val="00181C84"/>
    <w:rsid w:val="00181C8D"/>
    <w:rsid w:val="00181CB9"/>
    <w:rsid w:val="00181D42"/>
    <w:rsid w:val="00181D50"/>
    <w:rsid w:val="00181DED"/>
    <w:rsid w:val="00181E32"/>
    <w:rsid w:val="00181E44"/>
    <w:rsid w:val="00181F2F"/>
    <w:rsid w:val="00181F3D"/>
    <w:rsid w:val="00181F5C"/>
    <w:rsid w:val="00181F74"/>
    <w:rsid w:val="00181F79"/>
    <w:rsid w:val="00181F8D"/>
    <w:rsid w:val="00181F99"/>
    <w:rsid w:val="00181FE2"/>
    <w:rsid w:val="00181FF2"/>
    <w:rsid w:val="00181FF5"/>
    <w:rsid w:val="00182091"/>
    <w:rsid w:val="001820DD"/>
    <w:rsid w:val="00182161"/>
    <w:rsid w:val="00182163"/>
    <w:rsid w:val="0018219A"/>
    <w:rsid w:val="001821A9"/>
    <w:rsid w:val="00182210"/>
    <w:rsid w:val="00182280"/>
    <w:rsid w:val="001822B4"/>
    <w:rsid w:val="00182314"/>
    <w:rsid w:val="0018232F"/>
    <w:rsid w:val="00182390"/>
    <w:rsid w:val="001823A3"/>
    <w:rsid w:val="001823FA"/>
    <w:rsid w:val="0018245E"/>
    <w:rsid w:val="00182462"/>
    <w:rsid w:val="001824EB"/>
    <w:rsid w:val="0018252B"/>
    <w:rsid w:val="00182532"/>
    <w:rsid w:val="001825EC"/>
    <w:rsid w:val="0018260D"/>
    <w:rsid w:val="00182626"/>
    <w:rsid w:val="0018273A"/>
    <w:rsid w:val="00182800"/>
    <w:rsid w:val="00182895"/>
    <w:rsid w:val="001828F3"/>
    <w:rsid w:val="00182967"/>
    <w:rsid w:val="001829B6"/>
    <w:rsid w:val="001829D0"/>
    <w:rsid w:val="00182A0F"/>
    <w:rsid w:val="00182B0B"/>
    <w:rsid w:val="00182B9A"/>
    <w:rsid w:val="00182B9E"/>
    <w:rsid w:val="00182BBA"/>
    <w:rsid w:val="00182C75"/>
    <w:rsid w:val="00182CB4"/>
    <w:rsid w:val="00182D24"/>
    <w:rsid w:val="00182D49"/>
    <w:rsid w:val="00182D63"/>
    <w:rsid w:val="00182DB1"/>
    <w:rsid w:val="00182E09"/>
    <w:rsid w:val="00182E46"/>
    <w:rsid w:val="00182E9C"/>
    <w:rsid w:val="00182EDD"/>
    <w:rsid w:val="00182EFB"/>
    <w:rsid w:val="00182F0E"/>
    <w:rsid w:val="00182F89"/>
    <w:rsid w:val="00183025"/>
    <w:rsid w:val="00183118"/>
    <w:rsid w:val="00183178"/>
    <w:rsid w:val="0018317F"/>
    <w:rsid w:val="00183194"/>
    <w:rsid w:val="00183199"/>
    <w:rsid w:val="001831A5"/>
    <w:rsid w:val="00183292"/>
    <w:rsid w:val="001832B4"/>
    <w:rsid w:val="001833FD"/>
    <w:rsid w:val="00183496"/>
    <w:rsid w:val="00183529"/>
    <w:rsid w:val="00183612"/>
    <w:rsid w:val="00183678"/>
    <w:rsid w:val="00183686"/>
    <w:rsid w:val="001836D7"/>
    <w:rsid w:val="00183793"/>
    <w:rsid w:val="001837C3"/>
    <w:rsid w:val="00183811"/>
    <w:rsid w:val="0018381F"/>
    <w:rsid w:val="00183834"/>
    <w:rsid w:val="00183848"/>
    <w:rsid w:val="00183853"/>
    <w:rsid w:val="00183883"/>
    <w:rsid w:val="001838F2"/>
    <w:rsid w:val="00183913"/>
    <w:rsid w:val="00183A0D"/>
    <w:rsid w:val="00183A12"/>
    <w:rsid w:val="00183A44"/>
    <w:rsid w:val="00183AC6"/>
    <w:rsid w:val="00183BB0"/>
    <w:rsid w:val="00183BFF"/>
    <w:rsid w:val="00183C2C"/>
    <w:rsid w:val="00183C91"/>
    <w:rsid w:val="00183C96"/>
    <w:rsid w:val="00183CF0"/>
    <w:rsid w:val="00183D76"/>
    <w:rsid w:val="00183DB9"/>
    <w:rsid w:val="00183DD3"/>
    <w:rsid w:val="00183E29"/>
    <w:rsid w:val="00183EC0"/>
    <w:rsid w:val="00183F63"/>
    <w:rsid w:val="0018400F"/>
    <w:rsid w:val="0018404B"/>
    <w:rsid w:val="00184075"/>
    <w:rsid w:val="001840A4"/>
    <w:rsid w:val="00184139"/>
    <w:rsid w:val="001841C6"/>
    <w:rsid w:val="001841CE"/>
    <w:rsid w:val="001841EA"/>
    <w:rsid w:val="00184205"/>
    <w:rsid w:val="00184221"/>
    <w:rsid w:val="00184236"/>
    <w:rsid w:val="0018424A"/>
    <w:rsid w:val="00184304"/>
    <w:rsid w:val="00184371"/>
    <w:rsid w:val="00184392"/>
    <w:rsid w:val="001843B4"/>
    <w:rsid w:val="00184419"/>
    <w:rsid w:val="0018442A"/>
    <w:rsid w:val="0018444A"/>
    <w:rsid w:val="00184513"/>
    <w:rsid w:val="001845DE"/>
    <w:rsid w:val="00184608"/>
    <w:rsid w:val="00184631"/>
    <w:rsid w:val="00184692"/>
    <w:rsid w:val="001846C2"/>
    <w:rsid w:val="00184790"/>
    <w:rsid w:val="001847E1"/>
    <w:rsid w:val="0018482D"/>
    <w:rsid w:val="001848F6"/>
    <w:rsid w:val="00184A00"/>
    <w:rsid w:val="00184A0D"/>
    <w:rsid w:val="00184A11"/>
    <w:rsid w:val="00184A17"/>
    <w:rsid w:val="00184A1E"/>
    <w:rsid w:val="00184A65"/>
    <w:rsid w:val="00184AD3"/>
    <w:rsid w:val="00184B57"/>
    <w:rsid w:val="00184B87"/>
    <w:rsid w:val="00184B8A"/>
    <w:rsid w:val="00184BD8"/>
    <w:rsid w:val="00184BF5"/>
    <w:rsid w:val="00184C45"/>
    <w:rsid w:val="00184C75"/>
    <w:rsid w:val="00184D9D"/>
    <w:rsid w:val="00184DC0"/>
    <w:rsid w:val="00184DC4"/>
    <w:rsid w:val="00184E13"/>
    <w:rsid w:val="00184E2D"/>
    <w:rsid w:val="00184E83"/>
    <w:rsid w:val="00184EA7"/>
    <w:rsid w:val="00184F72"/>
    <w:rsid w:val="00184F77"/>
    <w:rsid w:val="00184FFC"/>
    <w:rsid w:val="0018506C"/>
    <w:rsid w:val="00185072"/>
    <w:rsid w:val="001850A6"/>
    <w:rsid w:val="001850CE"/>
    <w:rsid w:val="00185155"/>
    <w:rsid w:val="001851B7"/>
    <w:rsid w:val="001851F4"/>
    <w:rsid w:val="00185223"/>
    <w:rsid w:val="00185233"/>
    <w:rsid w:val="00185292"/>
    <w:rsid w:val="0018536C"/>
    <w:rsid w:val="001853F9"/>
    <w:rsid w:val="0018541E"/>
    <w:rsid w:val="00185473"/>
    <w:rsid w:val="00185499"/>
    <w:rsid w:val="0018551C"/>
    <w:rsid w:val="00185548"/>
    <w:rsid w:val="0018560A"/>
    <w:rsid w:val="001856E7"/>
    <w:rsid w:val="00185724"/>
    <w:rsid w:val="0018572D"/>
    <w:rsid w:val="0018573C"/>
    <w:rsid w:val="0018575F"/>
    <w:rsid w:val="00185A49"/>
    <w:rsid w:val="00185AC1"/>
    <w:rsid w:val="00185ACF"/>
    <w:rsid w:val="00185AF7"/>
    <w:rsid w:val="00185B7A"/>
    <w:rsid w:val="00185BA2"/>
    <w:rsid w:val="00185C54"/>
    <w:rsid w:val="00185C57"/>
    <w:rsid w:val="00185C67"/>
    <w:rsid w:val="00185CE6"/>
    <w:rsid w:val="00185D4F"/>
    <w:rsid w:val="00185D5C"/>
    <w:rsid w:val="00185D86"/>
    <w:rsid w:val="00185DA5"/>
    <w:rsid w:val="00185DEB"/>
    <w:rsid w:val="00185E3B"/>
    <w:rsid w:val="00185E73"/>
    <w:rsid w:val="00185EF2"/>
    <w:rsid w:val="00185EF7"/>
    <w:rsid w:val="00185FCF"/>
    <w:rsid w:val="00185FF2"/>
    <w:rsid w:val="00186002"/>
    <w:rsid w:val="00186032"/>
    <w:rsid w:val="001860C6"/>
    <w:rsid w:val="001860EF"/>
    <w:rsid w:val="001861D4"/>
    <w:rsid w:val="00186247"/>
    <w:rsid w:val="00186266"/>
    <w:rsid w:val="001862B2"/>
    <w:rsid w:val="001863AC"/>
    <w:rsid w:val="001863C3"/>
    <w:rsid w:val="001863CC"/>
    <w:rsid w:val="00186425"/>
    <w:rsid w:val="0018647C"/>
    <w:rsid w:val="001864EC"/>
    <w:rsid w:val="00186520"/>
    <w:rsid w:val="0018655E"/>
    <w:rsid w:val="00186563"/>
    <w:rsid w:val="00186564"/>
    <w:rsid w:val="001865D9"/>
    <w:rsid w:val="001865E4"/>
    <w:rsid w:val="00186649"/>
    <w:rsid w:val="0018670A"/>
    <w:rsid w:val="00186742"/>
    <w:rsid w:val="00186769"/>
    <w:rsid w:val="001867A7"/>
    <w:rsid w:val="001867D8"/>
    <w:rsid w:val="00186831"/>
    <w:rsid w:val="0018684B"/>
    <w:rsid w:val="00186882"/>
    <w:rsid w:val="001868A3"/>
    <w:rsid w:val="00186926"/>
    <w:rsid w:val="00186989"/>
    <w:rsid w:val="00186A38"/>
    <w:rsid w:val="00186A4D"/>
    <w:rsid w:val="00186A8D"/>
    <w:rsid w:val="00186AB2"/>
    <w:rsid w:val="00186AB9"/>
    <w:rsid w:val="00186AF0"/>
    <w:rsid w:val="00186B52"/>
    <w:rsid w:val="00186B5E"/>
    <w:rsid w:val="00186B9D"/>
    <w:rsid w:val="00186BB2"/>
    <w:rsid w:val="00186C33"/>
    <w:rsid w:val="00186C56"/>
    <w:rsid w:val="00186CED"/>
    <w:rsid w:val="00186D3C"/>
    <w:rsid w:val="00186D7A"/>
    <w:rsid w:val="00186F40"/>
    <w:rsid w:val="00187023"/>
    <w:rsid w:val="001870F8"/>
    <w:rsid w:val="0018710E"/>
    <w:rsid w:val="00187140"/>
    <w:rsid w:val="0018721A"/>
    <w:rsid w:val="0018724B"/>
    <w:rsid w:val="0018726F"/>
    <w:rsid w:val="0018737D"/>
    <w:rsid w:val="0018742D"/>
    <w:rsid w:val="0018743B"/>
    <w:rsid w:val="0018744B"/>
    <w:rsid w:val="00187490"/>
    <w:rsid w:val="0018750A"/>
    <w:rsid w:val="00187619"/>
    <w:rsid w:val="00187727"/>
    <w:rsid w:val="00187734"/>
    <w:rsid w:val="001877FF"/>
    <w:rsid w:val="0018782E"/>
    <w:rsid w:val="0018787E"/>
    <w:rsid w:val="001878AD"/>
    <w:rsid w:val="001878D3"/>
    <w:rsid w:val="001878DF"/>
    <w:rsid w:val="001878FF"/>
    <w:rsid w:val="00187903"/>
    <w:rsid w:val="0018790B"/>
    <w:rsid w:val="0018795F"/>
    <w:rsid w:val="00187A42"/>
    <w:rsid w:val="00187A87"/>
    <w:rsid w:val="00187AC8"/>
    <w:rsid w:val="00187B20"/>
    <w:rsid w:val="00187B45"/>
    <w:rsid w:val="00187C55"/>
    <w:rsid w:val="00187C98"/>
    <w:rsid w:val="00187CCC"/>
    <w:rsid w:val="00187CEB"/>
    <w:rsid w:val="00187EE1"/>
    <w:rsid w:val="00187EE3"/>
    <w:rsid w:val="00187F1E"/>
    <w:rsid w:val="00187F37"/>
    <w:rsid w:val="00187F6C"/>
    <w:rsid w:val="00187F7B"/>
    <w:rsid w:val="00187FAB"/>
    <w:rsid w:val="0019004D"/>
    <w:rsid w:val="001900A6"/>
    <w:rsid w:val="001900BB"/>
    <w:rsid w:val="001900EA"/>
    <w:rsid w:val="0019011F"/>
    <w:rsid w:val="0019014F"/>
    <w:rsid w:val="001902B5"/>
    <w:rsid w:val="00190314"/>
    <w:rsid w:val="001903C9"/>
    <w:rsid w:val="00190424"/>
    <w:rsid w:val="00190456"/>
    <w:rsid w:val="001904B2"/>
    <w:rsid w:val="00190594"/>
    <w:rsid w:val="00190651"/>
    <w:rsid w:val="001906BB"/>
    <w:rsid w:val="00190724"/>
    <w:rsid w:val="0019074E"/>
    <w:rsid w:val="0019079B"/>
    <w:rsid w:val="001907BF"/>
    <w:rsid w:val="00190819"/>
    <w:rsid w:val="001908B5"/>
    <w:rsid w:val="00190913"/>
    <w:rsid w:val="001909AB"/>
    <w:rsid w:val="001909AD"/>
    <w:rsid w:val="001909BF"/>
    <w:rsid w:val="00190A75"/>
    <w:rsid w:val="00190A8D"/>
    <w:rsid w:val="00190AF0"/>
    <w:rsid w:val="00190B02"/>
    <w:rsid w:val="00190B2F"/>
    <w:rsid w:val="00190B47"/>
    <w:rsid w:val="00190C10"/>
    <w:rsid w:val="00190C38"/>
    <w:rsid w:val="00190C70"/>
    <w:rsid w:val="00190C8F"/>
    <w:rsid w:val="00190CA7"/>
    <w:rsid w:val="00190CD0"/>
    <w:rsid w:val="00190D71"/>
    <w:rsid w:val="00190DC1"/>
    <w:rsid w:val="00190DC8"/>
    <w:rsid w:val="00190E53"/>
    <w:rsid w:val="00190EBA"/>
    <w:rsid w:val="00190F53"/>
    <w:rsid w:val="00190F77"/>
    <w:rsid w:val="00190F94"/>
    <w:rsid w:val="00191063"/>
    <w:rsid w:val="001910AB"/>
    <w:rsid w:val="0019110B"/>
    <w:rsid w:val="00191166"/>
    <w:rsid w:val="00191179"/>
    <w:rsid w:val="001911BE"/>
    <w:rsid w:val="001911CD"/>
    <w:rsid w:val="00191237"/>
    <w:rsid w:val="00191336"/>
    <w:rsid w:val="00191349"/>
    <w:rsid w:val="0019135E"/>
    <w:rsid w:val="00191425"/>
    <w:rsid w:val="00191473"/>
    <w:rsid w:val="0019149F"/>
    <w:rsid w:val="001915F3"/>
    <w:rsid w:val="001916C8"/>
    <w:rsid w:val="00191746"/>
    <w:rsid w:val="0019177B"/>
    <w:rsid w:val="00191799"/>
    <w:rsid w:val="001917AA"/>
    <w:rsid w:val="001918A2"/>
    <w:rsid w:val="001918BC"/>
    <w:rsid w:val="001918BD"/>
    <w:rsid w:val="001919A7"/>
    <w:rsid w:val="00191A6A"/>
    <w:rsid w:val="00191AE0"/>
    <w:rsid w:val="00191B47"/>
    <w:rsid w:val="00191B4A"/>
    <w:rsid w:val="00191B4D"/>
    <w:rsid w:val="00191BA2"/>
    <w:rsid w:val="00191C36"/>
    <w:rsid w:val="00191D19"/>
    <w:rsid w:val="00191D36"/>
    <w:rsid w:val="00191D55"/>
    <w:rsid w:val="00191D5E"/>
    <w:rsid w:val="00191DD9"/>
    <w:rsid w:val="00191DFC"/>
    <w:rsid w:val="00191E4D"/>
    <w:rsid w:val="00191EDC"/>
    <w:rsid w:val="00191F23"/>
    <w:rsid w:val="00191F3B"/>
    <w:rsid w:val="00191FF8"/>
    <w:rsid w:val="00191FFE"/>
    <w:rsid w:val="0019200C"/>
    <w:rsid w:val="00192031"/>
    <w:rsid w:val="001920D3"/>
    <w:rsid w:val="00192107"/>
    <w:rsid w:val="001921F1"/>
    <w:rsid w:val="00192276"/>
    <w:rsid w:val="001922C0"/>
    <w:rsid w:val="00192331"/>
    <w:rsid w:val="001923E9"/>
    <w:rsid w:val="00192459"/>
    <w:rsid w:val="00192466"/>
    <w:rsid w:val="00192541"/>
    <w:rsid w:val="00192559"/>
    <w:rsid w:val="001925B5"/>
    <w:rsid w:val="001925D1"/>
    <w:rsid w:val="00192761"/>
    <w:rsid w:val="001927B8"/>
    <w:rsid w:val="001927CF"/>
    <w:rsid w:val="0019284F"/>
    <w:rsid w:val="00192894"/>
    <w:rsid w:val="00192A70"/>
    <w:rsid w:val="00192A73"/>
    <w:rsid w:val="00192AED"/>
    <w:rsid w:val="00192B22"/>
    <w:rsid w:val="00192B46"/>
    <w:rsid w:val="00192B95"/>
    <w:rsid w:val="00192BF3"/>
    <w:rsid w:val="00192C9A"/>
    <w:rsid w:val="00192D5C"/>
    <w:rsid w:val="00192DAB"/>
    <w:rsid w:val="00192EE4"/>
    <w:rsid w:val="00192FFD"/>
    <w:rsid w:val="001930AB"/>
    <w:rsid w:val="00193115"/>
    <w:rsid w:val="0019312D"/>
    <w:rsid w:val="00193179"/>
    <w:rsid w:val="0019317D"/>
    <w:rsid w:val="00193225"/>
    <w:rsid w:val="00193289"/>
    <w:rsid w:val="001932EE"/>
    <w:rsid w:val="0019330C"/>
    <w:rsid w:val="00193364"/>
    <w:rsid w:val="0019338B"/>
    <w:rsid w:val="001933DD"/>
    <w:rsid w:val="0019344B"/>
    <w:rsid w:val="001934B3"/>
    <w:rsid w:val="001934C6"/>
    <w:rsid w:val="00193593"/>
    <w:rsid w:val="00193598"/>
    <w:rsid w:val="00193673"/>
    <w:rsid w:val="001936D0"/>
    <w:rsid w:val="00193700"/>
    <w:rsid w:val="00193730"/>
    <w:rsid w:val="0019377A"/>
    <w:rsid w:val="001938E7"/>
    <w:rsid w:val="0019392D"/>
    <w:rsid w:val="00193982"/>
    <w:rsid w:val="00193995"/>
    <w:rsid w:val="001939D0"/>
    <w:rsid w:val="00193A0C"/>
    <w:rsid w:val="00193A21"/>
    <w:rsid w:val="00193A26"/>
    <w:rsid w:val="00193A3D"/>
    <w:rsid w:val="00193A4E"/>
    <w:rsid w:val="00193A81"/>
    <w:rsid w:val="00193B53"/>
    <w:rsid w:val="00193B76"/>
    <w:rsid w:val="00193B81"/>
    <w:rsid w:val="00193B84"/>
    <w:rsid w:val="00193BF4"/>
    <w:rsid w:val="00193C54"/>
    <w:rsid w:val="00193C60"/>
    <w:rsid w:val="00193C66"/>
    <w:rsid w:val="00193CBF"/>
    <w:rsid w:val="00193CD6"/>
    <w:rsid w:val="00193D80"/>
    <w:rsid w:val="00193E0A"/>
    <w:rsid w:val="00193E35"/>
    <w:rsid w:val="00193E68"/>
    <w:rsid w:val="00193F29"/>
    <w:rsid w:val="00193F4B"/>
    <w:rsid w:val="00193FB4"/>
    <w:rsid w:val="00194021"/>
    <w:rsid w:val="00194056"/>
    <w:rsid w:val="0019405C"/>
    <w:rsid w:val="0019408D"/>
    <w:rsid w:val="001940CC"/>
    <w:rsid w:val="001940FD"/>
    <w:rsid w:val="00194161"/>
    <w:rsid w:val="001941B2"/>
    <w:rsid w:val="001941D0"/>
    <w:rsid w:val="00194264"/>
    <w:rsid w:val="0019428E"/>
    <w:rsid w:val="00194299"/>
    <w:rsid w:val="001942A0"/>
    <w:rsid w:val="0019430F"/>
    <w:rsid w:val="00194346"/>
    <w:rsid w:val="0019440E"/>
    <w:rsid w:val="00194418"/>
    <w:rsid w:val="00194422"/>
    <w:rsid w:val="00194450"/>
    <w:rsid w:val="00194459"/>
    <w:rsid w:val="0019445E"/>
    <w:rsid w:val="00194466"/>
    <w:rsid w:val="001944B3"/>
    <w:rsid w:val="001944D4"/>
    <w:rsid w:val="00194548"/>
    <w:rsid w:val="001945C5"/>
    <w:rsid w:val="001945FF"/>
    <w:rsid w:val="00194716"/>
    <w:rsid w:val="00194782"/>
    <w:rsid w:val="00194836"/>
    <w:rsid w:val="001948F6"/>
    <w:rsid w:val="00194A2F"/>
    <w:rsid w:val="00194A3D"/>
    <w:rsid w:val="00194B9D"/>
    <w:rsid w:val="00194BE1"/>
    <w:rsid w:val="00194C02"/>
    <w:rsid w:val="00194C03"/>
    <w:rsid w:val="00194C3F"/>
    <w:rsid w:val="00194C5F"/>
    <w:rsid w:val="00194CAD"/>
    <w:rsid w:val="00194CB6"/>
    <w:rsid w:val="00194D7A"/>
    <w:rsid w:val="00194DB8"/>
    <w:rsid w:val="00194FAC"/>
    <w:rsid w:val="00195015"/>
    <w:rsid w:val="00195056"/>
    <w:rsid w:val="00195087"/>
    <w:rsid w:val="00195089"/>
    <w:rsid w:val="0019516A"/>
    <w:rsid w:val="001951DC"/>
    <w:rsid w:val="001951E0"/>
    <w:rsid w:val="0019521D"/>
    <w:rsid w:val="00195314"/>
    <w:rsid w:val="0019534D"/>
    <w:rsid w:val="0019535A"/>
    <w:rsid w:val="001953D3"/>
    <w:rsid w:val="00195452"/>
    <w:rsid w:val="001954B2"/>
    <w:rsid w:val="00195559"/>
    <w:rsid w:val="0019556F"/>
    <w:rsid w:val="00195588"/>
    <w:rsid w:val="0019558D"/>
    <w:rsid w:val="0019568E"/>
    <w:rsid w:val="001956A1"/>
    <w:rsid w:val="00195714"/>
    <w:rsid w:val="00195850"/>
    <w:rsid w:val="001958E7"/>
    <w:rsid w:val="00195912"/>
    <w:rsid w:val="0019596D"/>
    <w:rsid w:val="00195992"/>
    <w:rsid w:val="001959A0"/>
    <w:rsid w:val="00195B4B"/>
    <w:rsid w:val="00195B56"/>
    <w:rsid w:val="00195B67"/>
    <w:rsid w:val="00195D43"/>
    <w:rsid w:val="00195D8B"/>
    <w:rsid w:val="00195EE1"/>
    <w:rsid w:val="00195EE4"/>
    <w:rsid w:val="00195EE7"/>
    <w:rsid w:val="00195F30"/>
    <w:rsid w:val="00195F56"/>
    <w:rsid w:val="00195FF6"/>
    <w:rsid w:val="0019600C"/>
    <w:rsid w:val="00196070"/>
    <w:rsid w:val="001960BE"/>
    <w:rsid w:val="00196111"/>
    <w:rsid w:val="00196158"/>
    <w:rsid w:val="0019615A"/>
    <w:rsid w:val="001961FE"/>
    <w:rsid w:val="00196296"/>
    <w:rsid w:val="00196307"/>
    <w:rsid w:val="001963BA"/>
    <w:rsid w:val="001963F0"/>
    <w:rsid w:val="001963FB"/>
    <w:rsid w:val="0019643B"/>
    <w:rsid w:val="00196666"/>
    <w:rsid w:val="0019670A"/>
    <w:rsid w:val="00196792"/>
    <w:rsid w:val="0019679F"/>
    <w:rsid w:val="001967E5"/>
    <w:rsid w:val="001967FE"/>
    <w:rsid w:val="00196853"/>
    <w:rsid w:val="001968B1"/>
    <w:rsid w:val="001968B3"/>
    <w:rsid w:val="001968C8"/>
    <w:rsid w:val="001968D5"/>
    <w:rsid w:val="00196949"/>
    <w:rsid w:val="001969CE"/>
    <w:rsid w:val="001969EB"/>
    <w:rsid w:val="00196B6B"/>
    <w:rsid w:val="00196BF8"/>
    <w:rsid w:val="00196C4B"/>
    <w:rsid w:val="00196C9B"/>
    <w:rsid w:val="00196CBA"/>
    <w:rsid w:val="00196DE7"/>
    <w:rsid w:val="00196DFC"/>
    <w:rsid w:val="00196E8A"/>
    <w:rsid w:val="00196EA5"/>
    <w:rsid w:val="00196F03"/>
    <w:rsid w:val="00196F39"/>
    <w:rsid w:val="00196FA0"/>
    <w:rsid w:val="00196FF1"/>
    <w:rsid w:val="00197027"/>
    <w:rsid w:val="00197080"/>
    <w:rsid w:val="00197097"/>
    <w:rsid w:val="001970A9"/>
    <w:rsid w:val="001970C6"/>
    <w:rsid w:val="00197144"/>
    <w:rsid w:val="001971D4"/>
    <w:rsid w:val="001971F8"/>
    <w:rsid w:val="001972BE"/>
    <w:rsid w:val="001972FA"/>
    <w:rsid w:val="0019734A"/>
    <w:rsid w:val="00197387"/>
    <w:rsid w:val="001973C2"/>
    <w:rsid w:val="001973F7"/>
    <w:rsid w:val="00197413"/>
    <w:rsid w:val="00197525"/>
    <w:rsid w:val="00197562"/>
    <w:rsid w:val="00197573"/>
    <w:rsid w:val="0019764D"/>
    <w:rsid w:val="00197654"/>
    <w:rsid w:val="001976E7"/>
    <w:rsid w:val="00197734"/>
    <w:rsid w:val="00197736"/>
    <w:rsid w:val="001977CF"/>
    <w:rsid w:val="00197803"/>
    <w:rsid w:val="0019782E"/>
    <w:rsid w:val="00197867"/>
    <w:rsid w:val="001978D7"/>
    <w:rsid w:val="00197980"/>
    <w:rsid w:val="001979C9"/>
    <w:rsid w:val="00197AB3"/>
    <w:rsid w:val="00197AF0"/>
    <w:rsid w:val="00197B37"/>
    <w:rsid w:val="00197BBB"/>
    <w:rsid w:val="00197C16"/>
    <w:rsid w:val="00197CF8"/>
    <w:rsid w:val="00197DD6"/>
    <w:rsid w:val="001A00B6"/>
    <w:rsid w:val="001A00C1"/>
    <w:rsid w:val="001A010D"/>
    <w:rsid w:val="001A0111"/>
    <w:rsid w:val="001A0182"/>
    <w:rsid w:val="001A0231"/>
    <w:rsid w:val="001A02A2"/>
    <w:rsid w:val="001A0367"/>
    <w:rsid w:val="001A03E9"/>
    <w:rsid w:val="001A051E"/>
    <w:rsid w:val="001A0561"/>
    <w:rsid w:val="001A0574"/>
    <w:rsid w:val="001A0592"/>
    <w:rsid w:val="001A0604"/>
    <w:rsid w:val="001A0638"/>
    <w:rsid w:val="001A0713"/>
    <w:rsid w:val="001A0750"/>
    <w:rsid w:val="001A0769"/>
    <w:rsid w:val="001A07A7"/>
    <w:rsid w:val="001A07C0"/>
    <w:rsid w:val="001A0804"/>
    <w:rsid w:val="001A086D"/>
    <w:rsid w:val="001A0877"/>
    <w:rsid w:val="001A08C6"/>
    <w:rsid w:val="001A0920"/>
    <w:rsid w:val="001A095A"/>
    <w:rsid w:val="001A0984"/>
    <w:rsid w:val="001A09B1"/>
    <w:rsid w:val="001A0A40"/>
    <w:rsid w:val="001A0AA6"/>
    <w:rsid w:val="001A0AF1"/>
    <w:rsid w:val="001A0B0C"/>
    <w:rsid w:val="001A0B13"/>
    <w:rsid w:val="001A0C48"/>
    <w:rsid w:val="001A0C8B"/>
    <w:rsid w:val="001A0C9A"/>
    <w:rsid w:val="001A0CBD"/>
    <w:rsid w:val="001A0CD3"/>
    <w:rsid w:val="001A0CEE"/>
    <w:rsid w:val="001A0DA6"/>
    <w:rsid w:val="001A0DAC"/>
    <w:rsid w:val="001A0E65"/>
    <w:rsid w:val="001A0EEC"/>
    <w:rsid w:val="001A0F47"/>
    <w:rsid w:val="001A0F79"/>
    <w:rsid w:val="001A0F8B"/>
    <w:rsid w:val="001A0FE9"/>
    <w:rsid w:val="001A1005"/>
    <w:rsid w:val="001A1123"/>
    <w:rsid w:val="001A1188"/>
    <w:rsid w:val="001A11A3"/>
    <w:rsid w:val="001A1200"/>
    <w:rsid w:val="001A1234"/>
    <w:rsid w:val="001A133D"/>
    <w:rsid w:val="001A1392"/>
    <w:rsid w:val="001A1439"/>
    <w:rsid w:val="001A1495"/>
    <w:rsid w:val="001A1531"/>
    <w:rsid w:val="001A1549"/>
    <w:rsid w:val="001A1572"/>
    <w:rsid w:val="001A15A9"/>
    <w:rsid w:val="001A15F9"/>
    <w:rsid w:val="001A1615"/>
    <w:rsid w:val="001A163B"/>
    <w:rsid w:val="001A1656"/>
    <w:rsid w:val="001A172B"/>
    <w:rsid w:val="001A1795"/>
    <w:rsid w:val="001A17C3"/>
    <w:rsid w:val="001A1800"/>
    <w:rsid w:val="001A188E"/>
    <w:rsid w:val="001A1898"/>
    <w:rsid w:val="001A18B0"/>
    <w:rsid w:val="001A18C3"/>
    <w:rsid w:val="001A18E9"/>
    <w:rsid w:val="001A1907"/>
    <w:rsid w:val="001A1988"/>
    <w:rsid w:val="001A198F"/>
    <w:rsid w:val="001A1A75"/>
    <w:rsid w:val="001A1ADD"/>
    <w:rsid w:val="001A1AE0"/>
    <w:rsid w:val="001A1AFF"/>
    <w:rsid w:val="001A1B71"/>
    <w:rsid w:val="001A1B8F"/>
    <w:rsid w:val="001A1C40"/>
    <w:rsid w:val="001A1C4D"/>
    <w:rsid w:val="001A1C71"/>
    <w:rsid w:val="001A1CCE"/>
    <w:rsid w:val="001A1DB7"/>
    <w:rsid w:val="001A1DBF"/>
    <w:rsid w:val="001A1E21"/>
    <w:rsid w:val="001A1E8F"/>
    <w:rsid w:val="001A1F34"/>
    <w:rsid w:val="001A205E"/>
    <w:rsid w:val="001A20D1"/>
    <w:rsid w:val="001A20EE"/>
    <w:rsid w:val="001A2137"/>
    <w:rsid w:val="001A214D"/>
    <w:rsid w:val="001A21B9"/>
    <w:rsid w:val="001A21D2"/>
    <w:rsid w:val="001A2308"/>
    <w:rsid w:val="001A2337"/>
    <w:rsid w:val="001A2383"/>
    <w:rsid w:val="001A23D6"/>
    <w:rsid w:val="001A23DC"/>
    <w:rsid w:val="001A2428"/>
    <w:rsid w:val="001A2445"/>
    <w:rsid w:val="001A2455"/>
    <w:rsid w:val="001A24C4"/>
    <w:rsid w:val="001A2545"/>
    <w:rsid w:val="001A2622"/>
    <w:rsid w:val="001A266A"/>
    <w:rsid w:val="001A2797"/>
    <w:rsid w:val="001A279F"/>
    <w:rsid w:val="001A27B4"/>
    <w:rsid w:val="001A27DC"/>
    <w:rsid w:val="001A2967"/>
    <w:rsid w:val="001A296A"/>
    <w:rsid w:val="001A29CC"/>
    <w:rsid w:val="001A2A35"/>
    <w:rsid w:val="001A2A3A"/>
    <w:rsid w:val="001A2A8E"/>
    <w:rsid w:val="001A2B6D"/>
    <w:rsid w:val="001A2BA8"/>
    <w:rsid w:val="001A2BC8"/>
    <w:rsid w:val="001A2C4C"/>
    <w:rsid w:val="001A2C5A"/>
    <w:rsid w:val="001A2C77"/>
    <w:rsid w:val="001A2C7A"/>
    <w:rsid w:val="001A2D60"/>
    <w:rsid w:val="001A2EF5"/>
    <w:rsid w:val="001A2F2D"/>
    <w:rsid w:val="001A2F47"/>
    <w:rsid w:val="001A2F86"/>
    <w:rsid w:val="001A2F93"/>
    <w:rsid w:val="001A2FA4"/>
    <w:rsid w:val="001A3074"/>
    <w:rsid w:val="001A309C"/>
    <w:rsid w:val="001A3151"/>
    <w:rsid w:val="001A315F"/>
    <w:rsid w:val="001A3184"/>
    <w:rsid w:val="001A3192"/>
    <w:rsid w:val="001A324C"/>
    <w:rsid w:val="001A32D3"/>
    <w:rsid w:val="001A32EF"/>
    <w:rsid w:val="001A32FB"/>
    <w:rsid w:val="001A331D"/>
    <w:rsid w:val="001A3378"/>
    <w:rsid w:val="001A339E"/>
    <w:rsid w:val="001A33B7"/>
    <w:rsid w:val="001A33BA"/>
    <w:rsid w:val="001A33E8"/>
    <w:rsid w:val="001A33FB"/>
    <w:rsid w:val="001A341C"/>
    <w:rsid w:val="001A344A"/>
    <w:rsid w:val="001A34FA"/>
    <w:rsid w:val="001A3588"/>
    <w:rsid w:val="001A3590"/>
    <w:rsid w:val="001A35A9"/>
    <w:rsid w:val="001A35AB"/>
    <w:rsid w:val="001A35C1"/>
    <w:rsid w:val="001A35CF"/>
    <w:rsid w:val="001A370D"/>
    <w:rsid w:val="001A3758"/>
    <w:rsid w:val="001A375B"/>
    <w:rsid w:val="001A377E"/>
    <w:rsid w:val="001A398C"/>
    <w:rsid w:val="001A39E1"/>
    <w:rsid w:val="001A3A60"/>
    <w:rsid w:val="001A3A9A"/>
    <w:rsid w:val="001A3AB9"/>
    <w:rsid w:val="001A3B73"/>
    <w:rsid w:val="001A3CB6"/>
    <w:rsid w:val="001A3CFF"/>
    <w:rsid w:val="001A3D48"/>
    <w:rsid w:val="001A3D61"/>
    <w:rsid w:val="001A3D62"/>
    <w:rsid w:val="001A3D77"/>
    <w:rsid w:val="001A3D7F"/>
    <w:rsid w:val="001A3E4B"/>
    <w:rsid w:val="001A3F08"/>
    <w:rsid w:val="001A3F57"/>
    <w:rsid w:val="001A4029"/>
    <w:rsid w:val="001A402D"/>
    <w:rsid w:val="001A4079"/>
    <w:rsid w:val="001A40B8"/>
    <w:rsid w:val="001A40E9"/>
    <w:rsid w:val="001A40F5"/>
    <w:rsid w:val="001A413D"/>
    <w:rsid w:val="001A4171"/>
    <w:rsid w:val="001A41BF"/>
    <w:rsid w:val="001A4201"/>
    <w:rsid w:val="001A4225"/>
    <w:rsid w:val="001A4264"/>
    <w:rsid w:val="001A4278"/>
    <w:rsid w:val="001A42C0"/>
    <w:rsid w:val="001A42E4"/>
    <w:rsid w:val="001A4305"/>
    <w:rsid w:val="001A4310"/>
    <w:rsid w:val="001A4338"/>
    <w:rsid w:val="001A443C"/>
    <w:rsid w:val="001A4480"/>
    <w:rsid w:val="001A44AC"/>
    <w:rsid w:val="001A44B2"/>
    <w:rsid w:val="001A4509"/>
    <w:rsid w:val="001A4545"/>
    <w:rsid w:val="001A45B2"/>
    <w:rsid w:val="001A45B6"/>
    <w:rsid w:val="001A464B"/>
    <w:rsid w:val="001A476E"/>
    <w:rsid w:val="001A47AF"/>
    <w:rsid w:val="001A47C8"/>
    <w:rsid w:val="001A48BA"/>
    <w:rsid w:val="001A490E"/>
    <w:rsid w:val="001A4973"/>
    <w:rsid w:val="001A49B0"/>
    <w:rsid w:val="001A4A3E"/>
    <w:rsid w:val="001A4A9E"/>
    <w:rsid w:val="001A4AE8"/>
    <w:rsid w:val="001A4B22"/>
    <w:rsid w:val="001A4B42"/>
    <w:rsid w:val="001A4B44"/>
    <w:rsid w:val="001A4B56"/>
    <w:rsid w:val="001A4CE1"/>
    <w:rsid w:val="001A4CFE"/>
    <w:rsid w:val="001A4E27"/>
    <w:rsid w:val="001A4E29"/>
    <w:rsid w:val="001A4E32"/>
    <w:rsid w:val="001A4ED6"/>
    <w:rsid w:val="001A4FC4"/>
    <w:rsid w:val="001A504D"/>
    <w:rsid w:val="001A510C"/>
    <w:rsid w:val="001A517D"/>
    <w:rsid w:val="001A5210"/>
    <w:rsid w:val="001A5217"/>
    <w:rsid w:val="001A5285"/>
    <w:rsid w:val="001A5479"/>
    <w:rsid w:val="001A54D0"/>
    <w:rsid w:val="001A559B"/>
    <w:rsid w:val="001A55F6"/>
    <w:rsid w:val="001A5634"/>
    <w:rsid w:val="001A5635"/>
    <w:rsid w:val="001A56BF"/>
    <w:rsid w:val="001A575E"/>
    <w:rsid w:val="001A5797"/>
    <w:rsid w:val="001A5823"/>
    <w:rsid w:val="001A583A"/>
    <w:rsid w:val="001A583F"/>
    <w:rsid w:val="001A58D3"/>
    <w:rsid w:val="001A59CF"/>
    <w:rsid w:val="001A5A15"/>
    <w:rsid w:val="001A5A27"/>
    <w:rsid w:val="001A5A51"/>
    <w:rsid w:val="001A5AA1"/>
    <w:rsid w:val="001A5AB7"/>
    <w:rsid w:val="001A5B2C"/>
    <w:rsid w:val="001A5B32"/>
    <w:rsid w:val="001A5B56"/>
    <w:rsid w:val="001A5B8B"/>
    <w:rsid w:val="001A5BA9"/>
    <w:rsid w:val="001A5BD7"/>
    <w:rsid w:val="001A5BFA"/>
    <w:rsid w:val="001A5C28"/>
    <w:rsid w:val="001A5C35"/>
    <w:rsid w:val="001A5C4D"/>
    <w:rsid w:val="001A5C71"/>
    <w:rsid w:val="001A5D6E"/>
    <w:rsid w:val="001A5D9B"/>
    <w:rsid w:val="001A5E68"/>
    <w:rsid w:val="001A5E90"/>
    <w:rsid w:val="001A5F02"/>
    <w:rsid w:val="001A5F16"/>
    <w:rsid w:val="001A5F1E"/>
    <w:rsid w:val="001A5FB4"/>
    <w:rsid w:val="001A605A"/>
    <w:rsid w:val="001A605C"/>
    <w:rsid w:val="001A60E4"/>
    <w:rsid w:val="001A6148"/>
    <w:rsid w:val="001A6171"/>
    <w:rsid w:val="001A619D"/>
    <w:rsid w:val="001A61AC"/>
    <w:rsid w:val="001A61C1"/>
    <w:rsid w:val="001A6348"/>
    <w:rsid w:val="001A63EA"/>
    <w:rsid w:val="001A6522"/>
    <w:rsid w:val="001A655E"/>
    <w:rsid w:val="001A65C8"/>
    <w:rsid w:val="001A6610"/>
    <w:rsid w:val="001A665F"/>
    <w:rsid w:val="001A6676"/>
    <w:rsid w:val="001A669B"/>
    <w:rsid w:val="001A673B"/>
    <w:rsid w:val="001A673E"/>
    <w:rsid w:val="001A6806"/>
    <w:rsid w:val="001A68CD"/>
    <w:rsid w:val="001A6917"/>
    <w:rsid w:val="001A6940"/>
    <w:rsid w:val="001A69BB"/>
    <w:rsid w:val="001A69DC"/>
    <w:rsid w:val="001A6A4C"/>
    <w:rsid w:val="001A6A65"/>
    <w:rsid w:val="001A6AA7"/>
    <w:rsid w:val="001A6AAA"/>
    <w:rsid w:val="001A6AEE"/>
    <w:rsid w:val="001A6AFD"/>
    <w:rsid w:val="001A6B57"/>
    <w:rsid w:val="001A6B5D"/>
    <w:rsid w:val="001A6C14"/>
    <w:rsid w:val="001A6CD4"/>
    <w:rsid w:val="001A6D31"/>
    <w:rsid w:val="001A6D73"/>
    <w:rsid w:val="001A6DC6"/>
    <w:rsid w:val="001A6E3A"/>
    <w:rsid w:val="001A6E51"/>
    <w:rsid w:val="001A6E67"/>
    <w:rsid w:val="001A6E76"/>
    <w:rsid w:val="001A6EEA"/>
    <w:rsid w:val="001A6F74"/>
    <w:rsid w:val="001A6F96"/>
    <w:rsid w:val="001A6FAD"/>
    <w:rsid w:val="001A7004"/>
    <w:rsid w:val="001A7026"/>
    <w:rsid w:val="001A7043"/>
    <w:rsid w:val="001A7065"/>
    <w:rsid w:val="001A70B6"/>
    <w:rsid w:val="001A70C6"/>
    <w:rsid w:val="001A7137"/>
    <w:rsid w:val="001A7201"/>
    <w:rsid w:val="001A7257"/>
    <w:rsid w:val="001A7284"/>
    <w:rsid w:val="001A72D6"/>
    <w:rsid w:val="001A742A"/>
    <w:rsid w:val="001A74EA"/>
    <w:rsid w:val="001A753A"/>
    <w:rsid w:val="001A75BC"/>
    <w:rsid w:val="001A75CD"/>
    <w:rsid w:val="001A75CF"/>
    <w:rsid w:val="001A7684"/>
    <w:rsid w:val="001A7687"/>
    <w:rsid w:val="001A76B6"/>
    <w:rsid w:val="001A7734"/>
    <w:rsid w:val="001A7746"/>
    <w:rsid w:val="001A77AD"/>
    <w:rsid w:val="001A7885"/>
    <w:rsid w:val="001A788F"/>
    <w:rsid w:val="001A78E5"/>
    <w:rsid w:val="001A7910"/>
    <w:rsid w:val="001A7993"/>
    <w:rsid w:val="001A79DA"/>
    <w:rsid w:val="001A79F7"/>
    <w:rsid w:val="001A7A05"/>
    <w:rsid w:val="001A7A3C"/>
    <w:rsid w:val="001A7A83"/>
    <w:rsid w:val="001A7B38"/>
    <w:rsid w:val="001A7B78"/>
    <w:rsid w:val="001A7B83"/>
    <w:rsid w:val="001A7BBF"/>
    <w:rsid w:val="001A7C28"/>
    <w:rsid w:val="001A7CD8"/>
    <w:rsid w:val="001A7CF0"/>
    <w:rsid w:val="001A7D4F"/>
    <w:rsid w:val="001A7D52"/>
    <w:rsid w:val="001A7DED"/>
    <w:rsid w:val="001A7E24"/>
    <w:rsid w:val="001A7E51"/>
    <w:rsid w:val="001A7F27"/>
    <w:rsid w:val="001B0028"/>
    <w:rsid w:val="001B0048"/>
    <w:rsid w:val="001B0054"/>
    <w:rsid w:val="001B00E6"/>
    <w:rsid w:val="001B0115"/>
    <w:rsid w:val="001B011B"/>
    <w:rsid w:val="001B0129"/>
    <w:rsid w:val="001B0185"/>
    <w:rsid w:val="001B0187"/>
    <w:rsid w:val="001B02AA"/>
    <w:rsid w:val="001B02F7"/>
    <w:rsid w:val="001B044E"/>
    <w:rsid w:val="001B0455"/>
    <w:rsid w:val="001B0548"/>
    <w:rsid w:val="001B0588"/>
    <w:rsid w:val="001B05B1"/>
    <w:rsid w:val="001B05BC"/>
    <w:rsid w:val="001B05D2"/>
    <w:rsid w:val="001B05EF"/>
    <w:rsid w:val="001B0622"/>
    <w:rsid w:val="001B0656"/>
    <w:rsid w:val="001B0659"/>
    <w:rsid w:val="001B066D"/>
    <w:rsid w:val="001B0698"/>
    <w:rsid w:val="001B06F2"/>
    <w:rsid w:val="001B06FF"/>
    <w:rsid w:val="001B071F"/>
    <w:rsid w:val="001B077F"/>
    <w:rsid w:val="001B0886"/>
    <w:rsid w:val="001B08F8"/>
    <w:rsid w:val="001B0995"/>
    <w:rsid w:val="001B09A4"/>
    <w:rsid w:val="001B09B2"/>
    <w:rsid w:val="001B0A28"/>
    <w:rsid w:val="001B0A43"/>
    <w:rsid w:val="001B0A94"/>
    <w:rsid w:val="001B0AC8"/>
    <w:rsid w:val="001B0AE5"/>
    <w:rsid w:val="001B0B00"/>
    <w:rsid w:val="001B0B5D"/>
    <w:rsid w:val="001B0B63"/>
    <w:rsid w:val="001B0BB1"/>
    <w:rsid w:val="001B0BB4"/>
    <w:rsid w:val="001B0BBB"/>
    <w:rsid w:val="001B0C1D"/>
    <w:rsid w:val="001B0D5C"/>
    <w:rsid w:val="001B0D72"/>
    <w:rsid w:val="001B0D84"/>
    <w:rsid w:val="001B0D9E"/>
    <w:rsid w:val="001B0E92"/>
    <w:rsid w:val="001B0E9E"/>
    <w:rsid w:val="001B0EC9"/>
    <w:rsid w:val="001B0EFB"/>
    <w:rsid w:val="001B0F28"/>
    <w:rsid w:val="001B0F2A"/>
    <w:rsid w:val="001B0F6D"/>
    <w:rsid w:val="001B0FA7"/>
    <w:rsid w:val="001B0FD7"/>
    <w:rsid w:val="001B10D2"/>
    <w:rsid w:val="001B1166"/>
    <w:rsid w:val="001B1191"/>
    <w:rsid w:val="001B11FC"/>
    <w:rsid w:val="001B1201"/>
    <w:rsid w:val="001B125D"/>
    <w:rsid w:val="001B12B1"/>
    <w:rsid w:val="001B1318"/>
    <w:rsid w:val="001B1321"/>
    <w:rsid w:val="001B1380"/>
    <w:rsid w:val="001B142D"/>
    <w:rsid w:val="001B1453"/>
    <w:rsid w:val="001B14D1"/>
    <w:rsid w:val="001B1503"/>
    <w:rsid w:val="001B1575"/>
    <w:rsid w:val="001B15C8"/>
    <w:rsid w:val="001B1605"/>
    <w:rsid w:val="001B160D"/>
    <w:rsid w:val="001B1673"/>
    <w:rsid w:val="001B1676"/>
    <w:rsid w:val="001B16BA"/>
    <w:rsid w:val="001B16E0"/>
    <w:rsid w:val="001B16E1"/>
    <w:rsid w:val="001B16F4"/>
    <w:rsid w:val="001B17CD"/>
    <w:rsid w:val="001B1911"/>
    <w:rsid w:val="001B197B"/>
    <w:rsid w:val="001B198D"/>
    <w:rsid w:val="001B19C8"/>
    <w:rsid w:val="001B1A0B"/>
    <w:rsid w:val="001B1A53"/>
    <w:rsid w:val="001B1A66"/>
    <w:rsid w:val="001B1A87"/>
    <w:rsid w:val="001B1ABE"/>
    <w:rsid w:val="001B1ABF"/>
    <w:rsid w:val="001B1B00"/>
    <w:rsid w:val="001B1B0E"/>
    <w:rsid w:val="001B1B3D"/>
    <w:rsid w:val="001B1B45"/>
    <w:rsid w:val="001B1C12"/>
    <w:rsid w:val="001B1D4F"/>
    <w:rsid w:val="001B1DBE"/>
    <w:rsid w:val="001B1DF1"/>
    <w:rsid w:val="001B1F05"/>
    <w:rsid w:val="001B1F5E"/>
    <w:rsid w:val="001B1F69"/>
    <w:rsid w:val="001B1FDA"/>
    <w:rsid w:val="001B1FDC"/>
    <w:rsid w:val="001B20FC"/>
    <w:rsid w:val="001B210F"/>
    <w:rsid w:val="001B217D"/>
    <w:rsid w:val="001B21CA"/>
    <w:rsid w:val="001B22BD"/>
    <w:rsid w:val="001B22C6"/>
    <w:rsid w:val="001B22E3"/>
    <w:rsid w:val="001B2306"/>
    <w:rsid w:val="001B23A5"/>
    <w:rsid w:val="001B23E8"/>
    <w:rsid w:val="001B2413"/>
    <w:rsid w:val="001B2419"/>
    <w:rsid w:val="001B2478"/>
    <w:rsid w:val="001B24BD"/>
    <w:rsid w:val="001B252C"/>
    <w:rsid w:val="001B25AE"/>
    <w:rsid w:val="001B25F8"/>
    <w:rsid w:val="001B263A"/>
    <w:rsid w:val="001B263B"/>
    <w:rsid w:val="001B2642"/>
    <w:rsid w:val="001B2650"/>
    <w:rsid w:val="001B26C9"/>
    <w:rsid w:val="001B27F4"/>
    <w:rsid w:val="001B288B"/>
    <w:rsid w:val="001B2937"/>
    <w:rsid w:val="001B29D4"/>
    <w:rsid w:val="001B2A43"/>
    <w:rsid w:val="001B2AA7"/>
    <w:rsid w:val="001B2B2D"/>
    <w:rsid w:val="001B2B4B"/>
    <w:rsid w:val="001B2B5B"/>
    <w:rsid w:val="001B2B68"/>
    <w:rsid w:val="001B2BA6"/>
    <w:rsid w:val="001B2C23"/>
    <w:rsid w:val="001B2CC4"/>
    <w:rsid w:val="001B2CDA"/>
    <w:rsid w:val="001B2DB1"/>
    <w:rsid w:val="001B2DB5"/>
    <w:rsid w:val="001B2EA3"/>
    <w:rsid w:val="001B2F0D"/>
    <w:rsid w:val="001B2F31"/>
    <w:rsid w:val="001B2F3F"/>
    <w:rsid w:val="001B3009"/>
    <w:rsid w:val="001B303A"/>
    <w:rsid w:val="001B30DD"/>
    <w:rsid w:val="001B31B7"/>
    <w:rsid w:val="001B324F"/>
    <w:rsid w:val="001B3272"/>
    <w:rsid w:val="001B3273"/>
    <w:rsid w:val="001B329E"/>
    <w:rsid w:val="001B32A4"/>
    <w:rsid w:val="001B32BA"/>
    <w:rsid w:val="001B32EC"/>
    <w:rsid w:val="001B3356"/>
    <w:rsid w:val="001B33FC"/>
    <w:rsid w:val="001B3418"/>
    <w:rsid w:val="001B3455"/>
    <w:rsid w:val="001B354E"/>
    <w:rsid w:val="001B3551"/>
    <w:rsid w:val="001B3558"/>
    <w:rsid w:val="001B363F"/>
    <w:rsid w:val="001B3644"/>
    <w:rsid w:val="001B368B"/>
    <w:rsid w:val="001B3696"/>
    <w:rsid w:val="001B36BE"/>
    <w:rsid w:val="001B36F6"/>
    <w:rsid w:val="001B3835"/>
    <w:rsid w:val="001B383B"/>
    <w:rsid w:val="001B38B2"/>
    <w:rsid w:val="001B3965"/>
    <w:rsid w:val="001B39AC"/>
    <w:rsid w:val="001B39F4"/>
    <w:rsid w:val="001B3A4A"/>
    <w:rsid w:val="001B3ABA"/>
    <w:rsid w:val="001B3B5D"/>
    <w:rsid w:val="001B3B6F"/>
    <w:rsid w:val="001B3BA6"/>
    <w:rsid w:val="001B3C72"/>
    <w:rsid w:val="001B3C7D"/>
    <w:rsid w:val="001B3C97"/>
    <w:rsid w:val="001B3D37"/>
    <w:rsid w:val="001B3D3C"/>
    <w:rsid w:val="001B3D5E"/>
    <w:rsid w:val="001B3D85"/>
    <w:rsid w:val="001B3DD0"/>
    <w:rsid w:val="001B3DE0"/>
    <w:rsid w:val="001B3E51"/>
    <w:rsid w:val="001B3EE0"/>
    <w:rsid w:val="001B3F0F"/>
    <w:rsid w:val="001B3FA9"/>
    <w:rsid w:val="001B4010"/>
    <w:rsid w:val="001B404D"/>
    <w:rsid w:val="001B4080"/>
    <w:rsid w:val="001B40DF"/>
    <w:rsid w:val="001B419B"/>
    <w:rsid w:val="001B41DB"/>
    <w:rsid w:val="001B41ED"/>
    <w:rsid w:val="001B438F"/>
    <w:rsid w:val="001B43AE"/>
    <w:rsid w:val="001B4410"/>
    <w:rsid w:val="001B441D"/>
    <w:rsid w:val="001B4440"/>
    <w:rsid w:val="001B44AA"/>
    <w:rsid w:val="001B452F"/>
    <w:rsid w:val="001B45EB"/>
    <w:rsid w:val="001B45EF"/>
    <w:rsid w:val="001B4679"/>
    <w:rsid w:val="001B46F0"/>
    <w:rsid w:val="001B471D"/>
    <w:rsid w:val="001B490D"/>
    <w:rsid w:val="001B4914"/>
    <w:rsid w:val="001B4924"/>
    <w:rsid w:val="001B4956"/>
    <w:rsid w:val="001B4AD7"/>
    <w:rsid w:val="001B4B03"/>
    <w:rsid w:val="001B4B75"/>
    <w:rsid w:val="001B4C18"/>
    <w:rsid w:val="001B4CEA"/>
    <w:rsid w:val="001B4D9E"/>
    <w:rsid w:val="001B4E12"/>
    <w:rsid w:val="001B4F0C"/>
    <w:rsid w:val="001B4F7B"/>
    <w:rsid w:val="001B4FA5"/>
    <w:rsid w:val="001B4FE3"/>
    <w:rsid w:val="001B5074"/>
    <w:rsid w:val="001B5081"/>
    <w:rsid w:val="001B5094"/>
    <w:rsid w:val="001B50D2"/>
    <w:rsid w:val="001B5128"/>
    <w:rsid w:val="001B5135"/>
    <w:rsid w:val="001B517C"/>
    <w:rsid w:val="001B517E"/>
    <w:rsid w:val="001B5286"/>
    <w:rsid w:val="001B5381"/>
    <w:rsid w:val="001B53CB"/>
    <w:rsid w:val="001B542C"/>
    <w:rsid w:val="001B5462"/>
    <w:rsid w:val="001B54ED"/>
    <w:rsid w:val="001B54EF"/>
    <w:rsid w:val="001B54FA"/>
    <w:rsid w:val="001B552F"/>
    <w:rsid w:val="001B5564"/>
    <w:rsid w:val="001B5570"/>
    <w:rsid w:val="001B558A"/>
    <w:rsid w:val="001B5697"/>
    <w:rsid w:val="001B56A9"/>
    <w:rsid w:val="001B56D1"/>
    <w:rsid w:val="001B5728"/>
    <w:rsid w:val="001B57B8"/>
    <w:rsid w:val="001B5896"/>
    <w:rsid w:val="001B58B2"/>
    <w:rsid w:val="001B58E2"/>
    <w:rsid w:val="001B5A76"/>
    <w:rsid w:val="001B5A7D"/>
    <w:rsid w:val="001B5AA8"/>
    <w:rsid w:val="001B5AFE"/>
    <w:rsid w:val="001B5B8C"/>
    <w:rsid w:val="001B5BA7"/>
    <w:rsid w:val="001B5BCE"/>
    <w:rsid w:val="001B5C09"/>
    <w:rsid w:val="001B5CC4"/>
    <w:rsid w:val="001B5DD1"/>
    <w:rsid w:val="001B5E1B"/>
    <w:rsid w:val="001B5E71"/>
    <w:rsid w:val="001B5FC5"/>
    <w:rsid w:val="001B6030"/>
    <w:rsid w:val="001B60A1"/>
    <w:rsid w:val="001B615B"/>
    <w:rsid w:val="001B61CC"/>
    <w:rsid w:val="001B61DD"/>
    <w:rsid w:val="001B628D"/>
    <w:rsid w:val="001B62A5"/>
    <w:rsid w:val="001B62CA"/>
    <w:rsid w:val="001B630E"/>
    <w:rsid w:val="001B635C"/>
    <w:rsid w:val="001B6368"/>
    <w:rsid w:val="001B63C5"/>
    <w:rsid w:val="001B63C6"/>
    <w:rsid w:val="001B63D2"/>
    <w:rsid w:val="001B641A"/>
    <w:rsid w:val="001B6429"/>
    <w:rsid w:val="001B6451"/>
    <w:rsid w:val="001B64DB"/>
    <w:rsid w:val="001B64DD"/>
    <w:rsid w:val="001B64E2"/>
    <w:rsid w:val="001B6549"/>
    <w:rsid w:val="001B6554"/>
    <w:rsid w:val="001B659D"/>
    <w:rsid w:val="001B6602"/>
    <w:rsid w:val="001B664C"/>
    <w:rsid w:val="001B665E"/>
    <w:rsid w:val="001B667D"/>
    <w:rsid w:val="001B676C"/>
    <w:rsid w:val="001B67A8"/>
    <w:rsid w:val="001B67D1"/>
    <w:rsid w:val="001B67F7"/>
    <w:rsid w:val="001B683D"/>
    <w:rsid w:val="001B683E"/>
    <w:rsid w:val="001B6874"/>
    <w:rsid w:val="001B68A9"/>
    <w:rsid w:val="001B696E"/>
    <w:rsid w:val="001B697B"/>
    <w:rsid w:val="001B69FE"/>
    <w:rsid w:val="001B6AAE"/>
    <w:rsid w:val="001B6B18"/>
    <w:rsid w:val="001B6B7E"/>
    <w:rsid w:val="001B6B94"/>
    <w:rsid w:val="001B6BC8"/>
    <w:rsid w:val="001B6BCE"/>
    <w:rsid w:val="001B6D71"/>
    <w:rsid w:val="001B6DC2"/>
    <w:rsid w:val="001B6E3E"/>
    <w:rsid w:val="001B6E40"/>
    <w:rsid w:val="001B6E42"/>
    <w:rsid w:val="001B6FD6"/>
    <w:rsid w:val="001B6FFD"/>
    <w:rsid w:val="001B704E"/>
    <w:rsid w:val="001B7065"/>
    <w:rsid w:val="001B70A2"/>
    <w:rsid w:val="001B7132"/>
    <w:rsid w:val="001B715C"/>
    <w:rsid w:val="001B71A5"/>
    <w:rsid w:val="001B71B2"/>
    <w:rsid w:val="001B71E0"/>
    <w:rsid w:val="001B71FA"/>
    <w:rsid w:val="001B721A"/>
    <w:rsid w:val="001B72C1"/>
    <w:rsid w:val="001B7378"/>
    <w:rsid w:val="001B7384"/>
    <w:rsid w:val="001B7447"/>
    <w:rsid w:val="001B7488"/>
    <w:rsid w:val="001B74F7"/>
    <w:rsid w:val="001B75D3"/>
    <w:rsid w:val="001B75D9"/>
    <w:rsid w:val="001B7661"/>
    <w:rsid w:val="001B7683"/>
    <w:rsid w:val="001B7688"/>
    <w:rsid w:val="001B7703"/>
    <w:rsid w:val="001B773A"/>
    <w:rsid w:val="001B774D"/>
    <w:rsid w:val="001B77CF"/>
    <w:rsid w:val="001B7804"/>
    <w:rsid w:val="001B7844"/>
    <w:rsid w:val="001B796F"/>
    <w:rsid w:val="001B79B1"/>
    <w:rsid w:val="001B79B9"/>
    <w:rsid w:val="001B7A03"/>
    <w:rsid w:val="001B7A05"/>
    <w:rsid w:val="001B7A6B"/>
    <w:rsid w:val="001B7B0B"/>
    <w:rsid w:val="001B7C2B"/>
    <w:rsid w:val="001B7C40"/>
    <w:rsid w:val="001B7C90"/>
    <w:rsid w:val="001B7C92"/>
    <w:rsid w:val="001B7CCB"/>
    <w:rsid w:val="001B7D7B"/>
    <w:rsid w:val="001B7DD8"/>
    <w:rsid w:val="001B7EA5"/>
    <w:rsid w:val="001B7F38"/>
    <w:rsid w:val="001B7F7B"/>
    <w:rsid w:val="001B7F8A"/>
    <w:rsid w:val="001B7F91"/>
    <w:rsid w:val="001C001A"/>
    <w:rsid w:val="001C0028"/>
    <w:rsid w:val="001C0032"/>
    <w:rsid w:val="001C006A"/>
    <w:rsid w:val="001C0081"/>
    <w:rsid w:val="001C008C"/>
    <w:rsid w:val="001C009C"/>
    <w:rsid w:val="001C00C8"/>
    <w:rsid w:val="001C00D2"/>
    <w:rsid w:val="001C00F5"/>
    <w:rsid w:val="001C019A"/>
    <w:rsid w:val="001C01A3"/>
    <w:rsid w:val="001C01DF"/>
    <w:rsid w:val="001C0209"/>
    <w:rsid w:val="001C023D"/>
    <w:rsid w:val="001C02FB"/>
    <w:rsid w:val="001C031E"/>
    <w:rsid w:val="001C0363"/>
    <w:rsid w:val="001C03B5"/>
    <w:rsid w:val="001C03D3"/>
    <w:rsid w:val="001C03F8"/>
    <w:rsid w:val="001C04CB"/>
    <w:rsid w:val="001C04F7"/>
    <w:rsid w:val="001C0540"/>
    <w:rsid w:val="001C0568"/>
    <w:rsid w:val="001C056A"/>
    <w:rsid w:val="001C059E"/>
    <w:rsid w:val="001C05BA"/>
    <w:rsid w:val="001C05F6"/>
    <w:rsid w:val="001C0634"/>
    <w:rsid w:val="001C0639"/>
    <w:rsid w:val="001C070B"/>
    <w:rsid w:val="001C070D"/>
    <w:rsid w:val="001C0729"/>
    <w:rsid w:val="001C0770"/>
    <w:rsid w:val="001C07D9"/>
    <w:rsid w:val="001C0971"/>
    <w:rsid w:val="001C09D9"/>
    <w:rsid w:val="001C0A1F"/>
    <w:rsid w:val="001C0A2C"/>
    <w:rsid w:val="001C0A44"/>
    <w:rsid w:val="001C0AB5"/>
    <w:rsid w:val="001C0AE8"/>
    <w:rsid w:val="001C0AE9"/>
    <w:rsid w:val="001C0B06"/>
    <w:rsid w:val="001C0B11"/>
    <w:rsid w:val="001C0B49"/>
    <w:rsid w:val="001C0B54"/>
    <w:rsid w:val="001C0BE4"/>
    <w:rsid w:val="001C0BF1"/>
    <w:rsid w:val="001C0C16"/>
    <w:rsid w:val="001C0C6B"/>
    <w:rsid w:val="001C0C71"/>
    <w:rsid w:val="001C0C79"/>
    <w:rsid w:val="001C0C89"/>
    <w:rsid w:val="001C0CDB"/>
    <w:rsid w:val="001C0D65"/>
    <w:rsid w:val="001C0D6E"/>
    <w:rsid w:val="001C0DA0"/>
    <w:rsid w:val="001C0E02"/>
    <w:rsid w:val="001C0E11"/>
    <w:rsid w:val="001C0EF4"/>
    <w:rsid w:val="001C0F38"/>
    <w:rsid w:val="001C0F57"/>
    <w:rsid w:val="001C10C8"/>
    <w:rsid w:val="001C1145"/>
    <w:rsid w:val="001C1205"/>
    <w:rsid w:val="001C1220"/>
    <w:rsid w:val="001C1241"/>
    <w:rsid w:val="001C125B"/>
    <w:rsid w:val="001C12FB"/>
    <w:rsid w:val="001C134B"/>
    <w:rsid w:val="001C134C"/>
    <w:rsid w:val="001C14B7"/>
    <w:rsid w:val="001C1657"/>
    <w:rsid w:val="001C1661"/>
    <w:rsid w:val="001C176D"/>
    <w:rsid w:val="001C177A"/>
    <w:rsid w:val="001C17C4"/>
    <w:rsid w:val="001C17F5"/>
    <w:rsid w:val="001C1811"/>
    <w:rsid w:val="001C185F"/>
    <w:rsid w:val="001C1893"/>
    <w:rsid w:val="001C19DC"/>
    <w:rsid w:val="001C1A7C"/>
    <w:rsid w:val="001C1A91"/>
    <w:rsid w:val="001C1ABA"/>
    <w:rsid w:val="001C1ACE"/>
    <w:rsid w:val="001C1AE0"/>
    <w:rsid w:val="001C1B5B"/>
    <w:rsid w:val="001C1BA3"/>
    <w:rsid w:val="001C1D03"/>
    <w:rsid w:val="001C1D60"/>
    <w:rsid w:val="001C1D71"/>
    <w:rsid w:val="001C1D83"/>
    <w:rsid w:val="001C1E07"/>
    <w:rsid w:val="001C1E46"/>
    <w:rsid w:val="001C1E47"/>
    <w:rsid w:val="001C1E5D"/>
    <w:rsid w:val="001C1E9B"/>
    <w:rsid w:val="001C1F72"/>
    <w:rsid w:val="001C2033"/>
    <w:rsid w:val="001C2034"/>
    <w:rsid w:val="001C203D"/>
    <w:rsid w:val="001C207C"/>
    <w:rsid w:val="001C20FF"/>
    <w:rsid w:val="001C212A"/>
    <w:rsid w:val="001C2132"/>
    <w:rsid w:val="001C2193"/>
    <w:rsid w:val="001C2212"/>
    <w:rsid w:val="001C2239"/>
    <w:rsid w:val="001C2254"/>
    <w:rsid w:val="001C22D7"/>
    <w:rsid w:val="001C231C"/>
    <w:rsid w:val="001C2356"/>
    <w:rsid w:val="001C235C"/>
    <w:rsid w:val="001C2368"/>
    <w:rsid w:val="001C238B"/>
    <w:rsid w:val="001C2484"/>
    <w:rsid w:val="001C248C"/>
    <w:rsid w:val="001C24B3"/>
    <w:rsid w:val="001C2551"/>
    <w:rsid w:val="001C25A7"/>
    <w:rsid w:val="001C25CE"/>
    <w:rsid w:val="001C25E1"/>
    <w:rsid w:val="001C2620"/>
    <w:rsid w:val="001C2633"/>
    <w:rsid w:val="001C266B"/>
    <w:rsid w:val="001C26CA"/>
    <w:rsid w:val="001C26D1"/>
    <w:rsid w:val="001C273C"/>
    <w:rsid w:val="001C276E"/>
    <w:rsid w:val="001C2816"/>
    <w:rsid w:val="001C2890"/>
    <w:rsid w:val="001C289B"/>
    <w:rsid w:val="001C28D1"/>
    <w:rsid w:val="001C29F5"/>
    <w:rsid w:val="001C2A0E"/>
    <w:rsid w:val="001C2ACF"/>
    <w:rsid w:val="001C2B10"/>
    <w:rsid w:val="001C2B35"/>
    <w:rsid w:val="001C2B74"/>
    <w:rsid w:val="001C2B88"/>
    <w:rsid w:val="001C2BB1"/>
    <w:rsid w:val="001C2C2D"/>
    <w:rsid w:val="001C2C44"/>
    <w:rsid w:val="001C2D05"/>
    <w:rsid w:val="001C2D83"/>
    <w:rsid w:val="001C2DFE"/>
    <w:rsid w:val="001C2E60"/>
    <w:rsid w:val="001C2ECC"/>
    <w:rsid w:val="001C2F37"/>
    <w:rsid w:val="001C2F7C"/>
    <w:rsid w:val="001C3039"/>
    <w:rsid w:val="001C3042"/>
    <w:rsid w:val="001C306F"/>
    <w:rsid w:val="001C30C0"/>
    <w:rsid w:val="001C30EE"/>
    <w:rsid w:val="001C30EF"/>
    <w:rsid w:val="001C314E"/>
    <w:rsid w:val="001C319D"/>
    <w:rsid w:val="001C31B0"/>
    <w:rsid w:val="001C31CC"/>
    <w:rsid w:val="001C31DD"/>
    <w:rsid w:val="001C3243"/>
    <w:rsid w:val="001C3247"/>
    <w:rsid w:val="001C3260"/>
    <w:rsid w:val="001C32FD"/>
    <w:rsid w:val="001C3368"/>
    <w:rsid w:val="001C337B"/>
    <w:rsid w:val="001C3385"/>
    <w:rsid w:val="001C340D"/>
    <w:rsid w:val="001C3485"/>
    <w:rsid w:val="001C34B0"/>
    <w:rsid w:val="001C3537"/>
    <w:rsid w:val="001C3546"/>
    <w:rsid w:val="001C3595"/>
    <w:rsid w:val="001C35FE"/>
    <w:rsid w:val="001C3628"/>
    <w:rsid w:val="001C3681"/>
    <w:rsid w:val="001C369C"/>
    <w:rsid w:val="001C36FC"/>
    <w:rsid w:val="001C3727"/>
    <w:rsid w:val="001C3746"/>
    <w:rsid w:val="001C374D"/>
    <w:rsid w:val="001C388B"/>
    <w:rsid w:val="001C38A0"/>
    <w:rsid w:val="001C3922"/>
    <w:rsid w:val="001C3930"/>
    <w:rsid w:val="001C39F1"/>
    <w:rsid w:val="001C3A40"/>
    <w:rsid w:val="001C3A9D"/>
    <w:rsid w:val="001C3AC9"/>
    <w:rsid w:val="001C3B57"/>
    <w:rsid w:val="001C3B64"/>
    <w:rsid w:val="001C3B6D"/>
    <w:rsid w:val="001C3B92"/>
    <w:rsid w:val="001C3BED"/>
    <w:rsid w:val="001C3C30"/>
    <w:rsid w:val="001C3C3B"/>
    <w:rsid w:val="001C3C4E"/>
    <w:rsid w:val="001C3C5C"/>
    <w:rsid w:val="001C3D23"/>
    <w:rsid w:val="001C3D8B"/>
    <w:rsid w:val="001C3DDD"/>
    <w:rsid w:val="001C3DE3"/>
    <w:rsid w:val="001C3E7A"/>
    <w:rsid w:val="001C3EA4"/>
    <w:rsid w:val="001C3F1E"/>
    <w:rsid w:val="001C3F5B"/>
    <w:rsid w:val="001C3F5E"/>
    <w:rsid w:val="001C3F86"/>
    <w:rsid w:val="001C4019"/>
    <w:rsid w:val="001C4074"/>
    <w:rsid w:val="001C4076"/>
    <w:rsid w:val="001C4148"/>
    <w:rsid w:val="001C4181"/>
    <w:rsid w:val="001C421C"/>
    <w:rsid w:val="001C4227"/>
    <w:rsid w:val="001C4293"/>
    <w:rsid w:val="001C4302"/>
    <w:rsid w:val="001C441A"/>
    <w:rsid w:val="001C4422"/>
    <w:rsid w:val="001C4426"/>
    <w:rsid w:val="001C4449"/>
    <w:rsid w:val="001C44B6"/>
    <w:rsid w:val="001C44C7"/>
    <w:rsid w:val="001C455A"/>
    <w:rsid w:val="001C462A"/>
    <w:rsid w:val="001C465F"/>
    <w:rsid w:val="001C46B9"/>
    <w:rsid w:val="001C46CE"/>
    <w:rsid w:val="001C47BE"/>
    <w:rsid w:val="001C47C1"/>
    <w:rsid w:val="001C47DE"/>
    <w:rsid w:val="001C48E3"/>
    <w:rsid w:val="001C4AD6"/>
    <w:rsid w:val="001C4D1D"/>
    <w:rsid w:val="001C4E79"/>
    <w:rsid w:val="001C4F37"/>
    <w:rsid w:val="001C4F61"/>
    <w:rsid w:val="001C4F90"/>
    <w:rsid w:val="001C4FDB"/>
    <w:rsid w:val="001C4FF2"/>
    <w:rsid w:val="001C5046"/>
    <w:rsid w:val="001C508E"/>
    <w:rsid w:val="001C513C"/>
    <w:rsid w:val="001C51F1"/>
    <w:rsid w:val="001C5350"/>
    <w:rsid w:val="001C53CF"/>
    <w:rsid w:val="001C5421"/>
    <w:rsid w:val="001C54B1"/>
    <w:rsid w:val="001C54EA"/>
    <w:rsid w:val="001C54EC"/>
    <w:rsid w:val="001C5599"/>
    <w:rsid w:val="001C55A1"/>
    <w:rsid w:val="001C55AD"/>
    <w:rsid w:val="001C5605"/>
    <w:rsid w:val="001C5624"/>
    <w:rsid w:val="001C56BE"/>
    <w:rsid w:val="001C5732"/>
    <w:rsid w:val="001C5819"/>
    <w:rsid w:val="001C58EE"/>
    <w:rsid w:val="001C5920"/>
    <w:rsid w:val="001C595C"/>
    <w:rsid w:val="001C5989"/>
    <w:rsid w:val="001C5A8D"/>
    <w:rsid w:val="001C5B22"/>
    <w:rsid w:val="001C5B38"/>
    <w:rsid w:val="001C5BFF"/>
    <w:rsid w:val="001C5D11"/>
    <w:rsid w:val="001C5D5D"/>
    <w:rsid w:val="001C5E1D"/>
    <w:rsid w:val="001C5E42"/>
    <w:rsid w:val="001C5EB9"/>
    <w:rsid w:val="001C5F95"/>
    <w:rsid w:val="001C5FCE"/>
    <w:rsid w:val="001C5FFD"/>
    <w:rsid w:val="001C6022"/>
    <w:rsid w:val="001C6082"/>
    <w:rsid w:val="001C60D0"/>
    <w:rsid w:val="001C6106"/>
    <w:rsid w:val="001C61AA"/>
    <w:rsid w:val="001C621A"/>
    <w:rsid w:val="001C6271"/>
    <w:rsid w:val="001C627A"/>
    <w:rsid w:val="001C6287"/>
    <w:rsid w:val="001C6291"/>
    <w:rsid w:val="001C62C6"/>
    <w:rsid w:val="001C62DB"/>
    <w:rsid w:val="001C6374"/>
    <w:rsid w:val="001C6569"/>
    <w:rsid w:val="001C65F5"/>
    <w:rsid w:val="001C65FD"/>
    <w:rsid w:val="001C6663"/>
    <w:rsid w:val="001C666C"/>
    <w:rsid w:val="001C66D5"/>
    <w:rsid w:val="001C6718"/>
    <w:rsid w:val="001C6735"/>
    <w:rsid w:val="001C6757"/>
    <w:rsid w:val="001C67AE"/>
    <w:rsid w:val="001C68B4"/>
    <w:rsid w:val="001C6913"/>
    <w:rsid w:val="001C6983"/>
    <w:rsid w:val="001C69BF"/>
    <w:rsid w:val="001C69FB"/>
    <w:rsid w:val="001C6A30"/>
    <w:rsid w:val="001C6AC8"/>
    <w:rsid w:val="001C6B4B"/>
    <w:rsid w:val="001C6B68"/>
    <w:rsid w:val="001C6BE6"/>
    <w:rsid w:val="001C6C45"/>
    <w:rsid w:val="001C6C7E"/>
    <w:rsid w:val="001C6CA0"/>
    <w:rsid w:val="001C6D09"/>
    <w:rsid w:val="001C6D3D"/>
    <w:rsid w:val="001C6D60"/>
    <w:rsid w:val="001C6D6A"/>
    <w:rsid w:val="001C6DD1"/>
    <w:rsid w:val="001C6DE8"/>
    <w:rsid w:val="001C6EF1"/>
    <w:rsid w:val="001C6F51"/>
    <w:rsid w:val="001C6FEB"/>
    <w:rsid w:val="001C7031"/>
    <w:rsid w:val="001C7045"/>
    <w:rsid w:val="001C7078"/>
    <w:rsid w:val="001C70FD"/>
    <w:rsid w:val="001C7126"/>
    <w:rsid w:val="001C720E"/>
    <w:rsid w:val="001C7262"/>
    <w:rsid w:val="001C7313"/>
    <w:rsid w:val="001C7384"/>
    <w:rsid w:val="001C7395"/>
    <w:rsid w:val="001C7397"/>
    <w:rsid w:val="001C7399"/>
    <w:rsid w:val="001C73E2"/>
    <w:rsid w:val="001C745C"/>
    <w:rsid w:val="001C74FB"/>
    <w:rsid w:val="001C74FC"/>
    <w:rsid w:val="001C7513"/>
    <w:rsid w:val="001C75A8"/>
    <w:rsid w:val="001C75BD"/>
    <w:rsid w:val="001C75F2"/>
    <w:rsid w:val="001C7663"/>
    <w:rsid w:val="001C76E3"/>
    <w:rsid w:val="001C7760"/>
    <w:rsid w:val="001C777C"/>
    <w:rsid w:val="001C778B"/>
    <w:rsid w:val="001C77BA"/>
    <w:rsid w:val="001C7847"/>
    <w:rsid w:val="001C7911"/>
    <w:rsid w:val="001C7938"/>
    <w:rsid w:val="001C7960"/>
    <w:rsid w:val="001C79CE"/>
    <w:rsid w:val="001C7A0F"/>
    <w:rsid w:val="001C7A45"/>
    <w:rsid w:val="001C7A53"/>
    <w:rsid w:val="001C7AB8"/>
    <w:rsid w:val="001C7AF1"/>
    <w:rsid w:val="001C7B29"/>
    <w:rsid w:val="001C7B98"/>
    <w:rsid w:val="001C7CB5"/>
    <w:rsid w:val="001C7D01"/>
    <w:rsid w:val="001C7D98"/>
    <w:rsid w:val="001C7E61"/>
    <w:rsid w:val="001C7E87"/>
    <w:rsid w:val="001C7E8A"/>
    <w:rsid w:val="001C7EB8"/>
    <w:rsid w:val="001C7EF1"/>
    <w:rsid w:val="001C7F6C"/>
    <w:rsid w:val="001C7F8D"/>
    <w:rsid w:val="001D005F"/>
    <w:rsid w:val="001D006A"/>
    <w:rsid w:val="001D00BD"/>
    <w:rsid w:val="001D00DE"/>
    <w:rsid w:val="001D0105"/>
    <w:rsid w:val="001D0144"/>
    <w:rsid w:val="001D0150"/>
    <w:rsid w:val="001D015D"/>
    <w:rsid w:val="001D01E0"/>
    <w:rsid w:val="001D01E6"/>
    <w:rsid w:val="001D0216"/>
    <w:rsid w:val="001D0217"/>
    <w:rsid w:val="001D03C8"/>
    <w:rsid w:val="001D0416"/>
    <w:rsid w:val="001D047A"/>
    <w:rsid w:val="001D04B7"/>
    <w:rsid w:val="001D04BE"/>
    <w:rsid w:val="001D04C6"/>
    <w:rsid w:val="001D0517"/>
    <w:rsid w:val="001D0540"/>
    <w:rsid w:val="001D0554"/>
    <w:rsid w:val="001D059F"/>
    <w:rsid w:val="001D063D"/>
    <w:rsid w:val="001D0660"/>
    <w:rsid w:val="001D066F"/>
    <w:rsid w:val="001D067E"/>
    <w:rsid w:val="001D067F"/>
    <w:rsid w:val="001D0687"/>
    <w:rsid w:val="001D06D5"/>
    <w:rsid w:val="001D078D"/>
    <w:rsid w:val="001D07D0"/>
    <w:rsid w:val="001D07EB"/>
    <w:rsid w:val="001D089D"/>
    <w:rsid w:val="001D08C6"/>
    <w:rsid w:val="001D0923"/>
    <w:rsid w:val="001D095C"/>
    <w:rsid w:val="001D0963"/>
    <w:rsid w:val="001D0970"/>
    <w:rsid w:val="001D0996"/>
    <w:rsid w:val="001D0A00"/>
    <w:rsid w:val="001D0A4B"/>
    <w:rsid w:val="001D0A4D"/>
    <w:rsid w:val="001D0A50"/>
    <w:rsid w:val="001D0A51"/>
    <w:rsid w:val="001D0A84"/>
    <w:rsid w:val="001D0B21"/>
    <w:rsid w:val="001D0B74"/>
    <w:rsid w:val="001D0B75"/>
    <w:rsid w:val="001D0BF9"/>
    <w:rsid w:val="001D0C6F"/>
    <w:rsid w:val="001D0D00"/>
    <w:rsid w:val="001D0D0A"/>
    <w:rsid w:val="001D0D79"/>
    <w:rsid w:val="001D0D8B"/>
    <w:rsid w:val="001D0D9A"/>
    <w:rsid w:val="001D0DB8"/>
    <w:rsid w:val="001D0E37"/>
    <w:rsid w:val="001D0E60"/>
    <w:rsid w:val="001D0F07"/>
    <w:rsid w:val="001D0F22"/>
    <w:rsid w:val="001D106F"/>
    <w:rsid w:val="001D1083"/>
    <w:rsid w:val="001D10E3"/>
    <w:rsid w:val="001D1237"/>
    <w:rsid w:val="001D12BA"/>
    <w:rsid w:val="001D1303"/>
    <w:rsid w:val="001D147D"/>
    <w:rsid w:val="001D1501"/>
    <w:rsid w:val="001D1549"/>
    <w:rsid w:val="001D1558"/>
    <w:rsid w:val="001D1560"/>
    <w:rsid w:val="001D15AC"/>
    <w:rsid w:val="001D15CF"/>
    <w:rsid w:val="001D15EB"/>
    <w:rsid w:val="001D1632"/>
    <w:rsid w:val="001D1733"/>
    <w:rsid w:val="001D180B"/>
    <w:rsid w:val="001D1813"/>
    <w:rsid w:val="001D185A"/>
    <w:rsid w:val="001D18A6"/>
    <w:rsid w:val="001D19A0"/>
    <w:rsid w:val="001D19FD"/>
    <w:rsid w:val="001D1A66"/>
    <w:rsid w:val="001D1A73"/>
    <w:rsid w:val="001D1A75"/>
    <w:rsid w:val="001D1B2F"/>
    <w:rsid w:val="001D1BFD"/>
    <w:rsid w:val="001D1C0B"/>
    <w:rsid w:val="001D1C9A"/>
    <w:rsid w:val="001D1CEF"/>
    <w:rsid w:val="001D1E13"/>
    <w:rsid w:val="001D1E2D"/>
    <w:rsid w:val="001D1E3E"/>
    <w:rsid w:val="001D1E46"/>
    <w:rsid w:val="001D1E86"/>
    <w:rsid w:val="001D1EC8"/>
    <w:rsid w:val="001D1ED8"/>
    <w:rsid w:val="001D1EE4"/>
    <w:rsid w:val="001D1F44"/>
    <w:rsid w:val="001D1F8A"/>
    <w:rsid w:val="001D1FCF"/>
    <w:rsid w:val="001D1FD4"/>
    <w:rsid w:val="001D1FF8"/>
    <w:rsid w:val="001D203F"/>
    <w:rsid w:val="001D2050"/>
    <w:rsid w:val="001D208D"/>
    <w:rsid w:val="001D20C2"/>
    <w:rsid w:val="001D212F"/>
    <w:rsid w:val="001D2143"/>
    <w:rsid w:val="001D218F"/>
    <w:rsid w:val="001D2193"/>
    <w:rsid w:val="001D21BF"/>
    <w:rsid w:val="001D2207"/>
    <w:rsid w:val="001D2211"/>
    <w:rsid w:val="001D221D"/>
    <w:rsid w:val="001D22E6"/>
    <w:rsid w:val="001D2349"/>
    <w:rsid w:val="001D23B2"/>
    <w:rsid w:val="001D23BF"/>
    <w:rsid w:val="001D23E9"/>
    <w:rsid w:val="001D2410"/>
    <w:rsid w:val="001D248E"/>
    <w:rsid w:val="001D24F8"/>
    <w:rsid w:val="001D2539"/>
    <w:rsid w:val="001D2558"/>
    <w:rsid w:val="001D2585"/>
    <w:rsid w:val="001D2606"/>
    <w:rsid w:val="001D2611"/>
    <w:rsid w:val="001D2620"/>
    <w:rsid w:val="001D26D7"/>
    <w:rsid w:val="001D26DC"/>
    <w:rsid w:val="001D2708"/>
    <w:rsid w:val="001D2731"/>
    <w:rsid w:val="001D2898"/>
    <w:rsid w:val="001D28D4"/>
    <w:rsid w:val="001D29AC"/>
    <w:rsid w:val="001D29B0"/>
    <w:rsid w:val="001D29D8"/>
    <w:rsid w:val="001D2A03"/>
    <w:rsid w:val="001D2A34"/>
    <w:rsid w:val="001D2A77"/>
    <w:rsid w:val="001D2A9C"/>
    <w:rsid w:val="001D2B60"/>
    <w:rsid w:val="001D2B61"/>
    <w:rsid w:val="001D2C1D"/>
    <w:rsid w:val="001D2CBC"/>
    <w:rsid w:val="001D2D45"/>
    <w:rsid w:val="001D2D6B"/>
    <w:rsid w:val="001D2D85"/>
    <w:rsid w:val="001D2EC8"/>
    <w:rsid w:val="001D2FA3"/>
    <w:rsid w:val="001D3000"/>
    <w:rsid w:val="001D300D"/>
    <w:rsid w:val="001D3022"/>
    <w:rsid w:val="001D314E"/>
    <w:rsid w:val="001D31D3"/>
    <w:rsid w:val="001D31D7"/>
    <w:rsid w:val="001D32C5"/>
    <w:rsid w:val="001D32DF"/>
    <w:rsid w:val="001D32ED"/>
    <w:rsid w:val="001D3317"/>
    <w:rsid w:val="001D3355"/>
    <w:rsid w:val="001D3394"/>
    <w:rsid w:val="001D341B"/>
    <w:rsid w:val="001D3425"/>
    <w:rsid w:val="001D3449"/>
    <w:rsid w:val="001D3507"/>
    <w:rsid w:val="001D3508"/>
    <w:rsid w:val="001D3569"/>
    <w:rsid w:val="001D369C"/>
    <w:rsid w:val="001D36EC"/>
    <w:rsid w:val="001D36F8"/>
    <w:rsid w:val="001D36FB"/>
    <w:rsid w:val="001D38AE"/>
    <w:rsid w:val="001D38C0"/>
    <w:rsid w:val="001D3907"/>
    <w:rsid w:val="001D3914"/>
    <w:rsid w:val="001D3917"/>
    <w:rsid w:val="001D398D"/>
    <w:rsid w:val="001D39BF"/>
    <w:rsid w:val="001D3A0B"/>
    <w:rsid w:val="001D3A7E"/>
    <w:rsid w:val="001D3B42"/>
    <w:rsid w:val="001D3B9E"/>
    <w:rsid w:val="001D3C0A"/>
    <w:rsid w:val="001D3CA7"/>
    <w:rsid w:val="001D3D22"/>
    <w:rsid w:val="001D3D3A"/>
    <w:rsid w:val="001D3DD6"/>
    <w:rsid w:val="001D3F1A"/>
    <w:rsid w:val="001D3F1B"/>
    <w:rsid w:val="001D3F45"/>
    <w:rsid w:val="001D3FAC"/>
    <w:rsid w:val="001D4033"/>
    <w:rsid w:val="001D4087"/>
    <w:rsid w:val="001D4113"/>
    <w:rsid w:val="001D4155"/>
    <w:rsid w:val="001D415D"/>
    <w:rsid w:val="001D4174"/>
    <w:rsid w:val="001D4179"/>
    <w:rsid w:val="001D4182"/>
    <w:rsid w:val="001D41E0"/>
    <w:rsid w:val="001D424E"/>
    <w:rsid w:val="001D42F9"/>
    <w:rsid w:val="001D432F"/>
    <w:rsid w:val="001D4331"/>
    <w:rsid w:val="001D4335"/>
    <w:rsid w:val="001D43A5"/>
    <w:rsid w:val="001D43BC"/>
    <w:rsid w:val="001D43DF"/>
    <w:rsid w:val="001D44E4"/>
    <w:rsid w:val="001D450C"/>
    <w:rsid w:val="001D4564"/>
    <w:rsid w:val="001D456D"/>
    <w:rsid w:val="001D45A2"/>
    <w:rsid w:val="001D45E8"/>
    <w:rsid w:val="001D4670"/>
    <w:rsid w:val="001D46A1"/>
    <w:rsid w:val="001D46D7"/>
    <w:rsid w:val="001D47D6"/>
    <w:rsid w:val="001D4803"/>
    <w:rsid w:val="001D4966"/>
    <w:rsid w:val="001D4A61"/>
    <w:rsid w:val="001D4A68"/>
    <w:rsid w:val="001D4B4C"/>
    <w:rsid w:val="001D4B58"/>
    <w:rsid w:val="001D4BAC"/>
    <w:rsid w:val="001D4BE1"/>
    <w:rsid w:val="001D4BF5"/>
    <w:rsid w:val="001D4BFA"/>
    <w:rsid w:val="001D4C5C"/>
    <w:rsid w:val="001D4C67"/>
    <w:rsid w:val="001D4CEB"/>
    <w:rsid w:val="001D4D2E"/>
    <w:rsid w:val="001D4DD7"/>
    <w:rsid w:val="001D4E48"/>
    <w:rsid w:val="001D4E68"/>
    <w:rsid w:val="001D4E99"/>
    <w:rsid w:val="001D4F0B"/>
    <w:rsid w:val="001D4F86"/>
    <w:rsid w:val="001D4F94"/>
    <w:rsid w:val="001D4FC4"/>
    <w:rsid w:val="001D4FE6"/>
    <w:rsid w:val="001D5008"/>
    <w:rsid w:val="001D5062"/>
    <w:rsid w:val="001D5066"/>
    <w:rsid w:val="001D50D4"/>
    <w:rsid w:val="001D50FE"/>
    <w:rsid w:val="001D519A"/>
    <w:rsid w:val="001D5208"/>
    <w:rsid w:val="001D5213"/>
    <w:rsid w:val="001D523F"/>
    <w:rsid w:val="001D525A"/>
    <w:rsid w:val="001D52D5"/>
    <w:rsid w:val="001D5300"/>
    <w:rsid w:val="001D5384"/>
    <w:rsid w:val="001D53A1"/>
    <w:rsid w:val="001D53F7"/>
    <w:rsid w:val="001D5411"/>
    <w:rsid w:val="001D5449"/>
    <w:rsid w:val="001D5475"/>
    <w:rsid w:val="001D5546"/>
    <w:rsid w:val="001D5573"/>
    <w:rsid w:val="001D559C"/>
    <w:rsid w:val="001D55B2"/>
    <w:rsid w:val="001D5616"/>
    <w:rsid w:val="001D566D"/>
    <w:rsid w:val="001D57DD"/>
    <w:rsid w:val="001D581F"/>
    <w:rsid w:val="001D5890"/>
    <w:rsid w:val="001D5911"/>
    <w:rsid w:val="001D5914"/>
    <w:rsid w:val="001D5916"/>
    <w:rsid w:val="001D5922"/>
    <w:rsid w:val="001D5996"/>
    <w:rsid w:val="001D5A19"/>
    <w:rsid w:val="001D5A6A"/>
    <w:rsid w:val="001D5AD9"/>
    <w:rsid w:val="001D5AF1"/>
    <w:rsid w:val="001D5BA8"/>
    <w:rsid w:val="001D5BD9"/>
    <w:rsid w:val="001D5C61"/>
    <w:rsid w:val="001D5C95"/>
    <w:rsid w:val="001D5C99"/>
    <w:rsid w:val="001D5D18"/>
    <w:rsid w:val="001D5D4B"/>
    <w:rsid w:val="001D5D74"/>
    <w:rsid w:val="001D5D83"/>
    <w:rsid w:val="001D5D87"/>
    <w:rsid w:val="001D5DC7"/>
    <w:rsid w:val="001D5E22"/>
    <w:rsid w:val="001D5E67"/>
    <w:rsid w:val="001D5E69"/>
    <w:rsid w:val="001D5E99"/>
    <w:rsid w:val="001D601D"/>
    <w:rsid w:val="001D6024"/>
    <w:rsid w:val="001D604A"/>
    <w:rsid w:val="001D605F"/>
    <w:rsid w:val="001D60D8"/>
    <w:rsid w:val="001D6176"/>
    <w:rsid w:val="001D61BC"/>
    <w:rsid w:val="001D61D8"/>
    <w:rsid w:val="001D626B"/>
    <w:rsid w:val="001D6281"/>
    <w:rsid w:val="001D62D9"/>
    <w:rsid w:val="001D62FD"/>
    <w:rsid w:val="001D640E"/>
    <w:rsid w:val="001D6436"/>
    <w:rsid w:val="001D6472"/>
    <w:rsid w:val="001D6488"/>
    <w:rsid w:val="001D6594"/>
    <w:rsid w:val="001D66A6"/>
    <w:rsid w:val="001D67BC"/>
    <w:rsid w:val="001D68AA"/>
    <w:rsid w:val="001D6968"/>
    <w:rsid w:val="001D6A0C"/>
    <w:rsid w:val="001D6A3C"/>
    <w:rsid w:val="001D6AEA"/>
    <w:rsid w:val="001D6B77"/>
    <w:rsid w:val="001D6BA4"/>
    <w:rsid w:val="001D6BF1"/>
    <w:rsid w:val="001D6C16"/>
    <w:rsid w:val="001D6C78"/>
    <w:rsid w:val="001D6C8F"/>
    <w:rsid w:val="001D6CFF"/>
    <w:rsid w:val="001D6D04"/>
    <w:rsid w:val="001D6D1C"/>
    <w:rsid w:val="001D6D4F"/>
    <w:rsid w:val="001D6D8C"/>
    <w:rsid w:val="001D6D8D"/>
    <w:rsid w:val="001D6EC8"/>
    <w:rsid w:val="001D6ECA"/>
    <w:rsid w:val="001D6F36"/>
    <w:rsid w:val="001D6FAE"/>
    <w:rsid w:val="001D7020"/>
    <w:rsid w:val="001D7030"/>
    <w:rsid w:val="001D7073"/>
    <w:rsid w:val="001D7085"/>
    <w:rsid w:val="001D7116"/>
    <w:rsid w:val="001D7122"/>
    <w:rsid w:val="001D716E"/>
    <w:rsid w:val="001D71A4"/>
    <w:rsid w:val="001D71B4"/>
    <w:rsid w:val="001D71D3"/>
    <w:rsid w:val="001D7211"/>
    <w:rsid w:val="001D7212"/>
    <w:rsid w:val="001D7213"/>
    <w:rsid w:val="001D72D4"/>
    <w:rsid w:val="001D7316"/>
    <w:rsid w:val="001D738A"/>
    <w:rsid w:val="001D7390"/>
    <w:rsid w:val="001D73CB"/>
    <w:rsid w:val="001D7450"/>
    <w:rsid w:val="001D7473"/>
    <w:rsid w:val="001D7483"/>
    <w:rsid w:val="001D74BC"/>
    <w:rsid w:val="001D751E"/>
    <w:rsid w:val="001D760A"/>
    <w:rsid w:val="001D7734"/>
    <w:rsid w:val="001D7783"/>
    <w:rsid w:val="001D77D9"/>
    <w:rsid w:val="001D77FF"/>
    <w:rsid w:val="001D7852"/>
    <w:rsid w:val="001D7857"/>
    <w:rsid w:val="001D7884"/>
    <w:rsid w:val="001D791E"/>
    <w:rsid w:val="001D7933"/>
    <w:rsid w:val="001D793B"/>
    <w:rsid w:val="001D795C"/>
    <w:rsid w:val="001D79DF"/>
    <w:rsid w:val="001D79F9"/>
    <w:rsid w:val="001D7A19"/>
    <w:rsid w:val="001D7A79"/>
    <w:rsid w:val="001D7B1B"/>
    <w:rsid w:val="001D7CD9"/>
    <w:rsid w:val="001D7D64"/>
    <w:rsid w:val="001D7D78"/>
    <w:rsid w:val="001D7D7E"/>
    <w:rsid w:val="001D7DA5"/>
    <w:rsid w:val="001D7DB5"/>
    <w:rsid w:val="001D7DCB"/>
    <w:rsid w:val="001D7DE6"/>
    <w:rsid w:val="001D7EDF"/>
    <w:rsid w:val="001E0013"/>
    <w:rsid w:val="001E019D"/>
    <w:rsid w:val="001E01C1"/>
    <w:rsid w:val="001E01C8"/>
    <w:rsid w:val="001E028B"/>
    <w:rsid w:val="001E038A"/>
    <w:rsid w:val="001E038B"/>
    <w:rsid w:val="001E0414"/>
    <w:rsid w:val="001E0429"/>
    <w:rsid w:val="001E0449"/>
    <w:rsid w:val="001E0487"/>
    <w:rsid w:val="001E048E"/>
    <w:rsid w:val="001E04CC"/>
    <w:rsid w:val="001E0510"/>
    <w:rsid w:val="001E0552"/>
    <w:rsid w:val="001E0595"/>
    <w:rsid w:val="001E05BA"/>
    <w:rsid w:val="001E0688"/>
    <w:rsid w:val="001E0754"/>
    <w:rsid w:val="001E0776"/>
    <w:rsid w:val="001E07AA"/>
    <w:rsid w:val="001E0884"/>
    <w:rsid w:val="001E08B2"/>
    <w:rsid w:val="001E09E6"/>
    <w:rsid w:val="001E09FF"/>
    <w:rsid w:val="001E0AA0"/>
    <w:rsid w:val="001E0AAB"/>
    <w:rsid w:val="001E0B02"/>
    <w:rsid w:val="001E0B2F"/>
    <w:rsid w:val="001E0BFB"/>
    <w:rsid w:val="001E0C00"/>
    <w:rsid w:val="001E0C82"/>
    <w:rsid w:val="001E0CA2"/>
    <w:rsid w:val="001E0CB5"/>
    <w:rsid w:val="001E0CCB"/>
    <w:rsid w:val="001E0D16"/>
    <w:rsid w:val="001E0D64"/>
    <w:rsid w:val="001E0D76"/>
    <w:rsid w:val="001E0D97"/>
    <w:rsid w:val="001E0D9F"/>
    <w:rsid w:val="001E0DB0"/>
    <w:rsid w:val="001E0DE9"/>
    <w:rsid w:val="001E0E19"/>
    <w:rsid w:val="001E0E70"/>
    <w:rsid w:val="001E0FA4"/>
    <w:rsid w:val="001E1198"/>
    <w:rsid w:val="001E11B2"/>
    <w:rsid w:val="001E11CD"/>
    <w:rsid w:val="001E11EC"/>
    <w:rsid w:val="001E11F3"/>
    <w:rsid w:val="001E123C"/>
    <w:rsid w:val="001E1268"/>
    <w:rsid w:val="001E1282"/>
    <w:rsid w:val="001E12B9"/>
    <w:rsid w:val="001E12C2"/>
    <w:rsid w:val="001E130D"/>
    <w:rsid w:val="001E1355"/>
    <w:rsid w:val="001E13FD"/>
    <w:rsid w:val="001E142A"/>
    <w:rsid w:val="001E14AB"/>
    <w:rsid w:val="001E14C9"/>
    <w:rsid w:val="001E1551"/>
    <w:rsid w:val="001E157A"/>
    <w:rsid w:val="001E15B9"/>
    <w:rsid w:val="001E164D"/>
    <w:rsid w:val="001E1657"/>
    <w:rsid w:val="001E1706"/>
    <w:rsid w:val="001E1758"/>
    <w:rsid w:val="001E176E"/>
    <w:rsid w:val="001E1772"/>
    <w:rsid w:val="001E183A"/>
    <w:rsid w:val="001E18A8"/>
    <w:rsid w:val="001E18AE"/>
    <w:rsid w:val="001E18EA"/>
    <w:rsid w:val="001E190D"/>
    <w:rsid w:val="001E193C"/>
    <w:rsid w:val="001E1941"/>
    <w:rsid w:val="001E195C"/>
    <w:rsid w:val="001E1A66"/>
    <w:rsid w:val="001E1B40"/>
    <w:rsid w:val="001E1B56"/>
    <w:rsid w:val="001E1B97"/>
    <w:rsid w:val="001E1BB7"/>
    <w:rsid w:val="001E1C4B"/>
    <w:rsid w:val="001E1CDB"/>
    <w:rsid w:val="001E1CDC"/>
    <w:rsid w:val="001E1CF8"/>
    <w:rsid w:val="001E1D9C"/>
    <w:rsid w:val="001E1DB8"/>
    <w:rsid w:val="001E1DEE"/>
    <w:rsid w:val="001E1E08"/>
    <w:rsid w:val="001E1E82"/>
    <w:rsid w:val="001E1E99"/>
    <w:rsid w:val="001E1EAA"/>
    <w:rsid w:val="001E1F72"/>
    <w:rsid w:val="001E2083"/>
    <w:rsid w:val="001E20B7"/>
    <w:rsid w:val="001E2185"/>
    <w:rsid w:val="001E21AA"/>
    <w:rsid w:val="001E21BB"/>
    <w:rsid w:val="001E2200"/>
    <w:rsid w:val="001E225C"/>
    <w:rsid w:val="001E2313"/>
    <w:rsid w:val="001E2328"/>
    <w:rsid w:val="001E2435"/>
    <w:rsid w:val="001E249B"/>
    <w:rsid w:val="001E24FA"/>
    <w:rsid w:val="001E252B"/>
    <w:rsid w:val="001E259F"/>
    <w:rsid w:val="001E25B7"/>
    <w:rsid w:val="001E2627"/>
    <w:rsid w:val="001E262C"/>
    <w:rsid w:val="001E2637"/>
    <w:rsid w:val="001E2652"/>
    <w:rsid w:val="001E266D"/>
    <w:rsid w:val="001E268E"/>
    <w:rsid w:val="001E26BB"/>
    <w:rsid w:val="001E26EE"/>
    <w:rsid w:val="001E26F0"/>
    <w:rsid w:val="001E278E"/>
    <w:rsid w:val="001E2857"/>
    <w:rsid w:val="001E2889"/>
    <w:rsid w:val="001E288E"/>
    <w:rsid w:val="001E2892"/>
    <w:rsid w:val="001E28AB"/>
    <w:rsid w:val="001E2909"/>
    <w:rsid w:val="001E2961"/>
    <w:rsid w:val="001E2A08"/>
    <w:rsid w:val="001E2A2F"/>
    <w:rsid w:val="001E2A31"/>
    <w:rsid w:val="001E2A36"/>
    <w:rsid w:val="001E2AA2"/>
    <w:rsid w:val="001E2B2B"/>
    <w:rsid w:val="001E2C3C"/>
    <w:rsid w:val="001E2C48"/>
    <w:rsid w:val="001E2CB0"/>
    <w:rsid w:val="001E2CD0"/>
    <w:rsid w:val="001E2D4E"/>
    <w:rsid w:val="001E2D55"/>
    <w:rsid w:val="001E2DCB"/>
    <w:rsid w:val="001E2E9D"/>
    <w:rsid w:val="001E2F18"/>
    <w:rsid w:val="001E2F69"/>
    <w:rsid w:val="001E3113"/>
    <w:rsid w:val="001E3119"/>
    <w:rsid w:val="001E311A"/>
    <w:rsid w:val="001E320D"/>
    <w:rsid w:val="001E322D"/>
    <w:rsid w:val="001E3255"/>
    <w:rsid w:val="001E3295"/>
    <w:rsid w:val="001E32F7"/>
    <w:rsid w:val="001E3319"/>
    <w:rsid w:val="001E3344"/>
    <w:rsid w:val="001E3429"/>
    <w:rsid w:val="001E34B0"/>
    <w:rsid w:val="001E3519"/>
    <w:rsid w:val="001E3540"/>
    <w:rsid w:val="001E356F"/>
    <w:rsid w:val="001E358C"/>
    <w:rsid w:val="001E35CF"/>
    <w:rsid w:val="001E35D3"/>
    <w:rsid w:val="001E35DA"/>
    <w:rsid w:val="001E3617"/>
    <w:rsid w:val="001E367F"/>
    <w:rsid w:val="001E36F0"/>
    <w:rsid w:val="001E37E1"/>
    <w:rsid w:val="001E38F5"/>
    <w:rsid w:val="001E39DB"/>
    <w:rsid w:val="001E39F6"/>
    <w:rsid w:val="001E3AAC"/>
    <w:rsid w:val="001E3AB0"/>
    <w:rsid w:val="001E3ABE"/>
    <w:rsid w:val="001E3B0E"/>
    <w:rsid w:val="001E3BC5"/>
    <w:rsid w:val="001E3CB9"/>
    <w:rsid w:val="001E3D14"/>
    <w:rsid w:val="001E3DD1"/>
    <w:rsid w:val="001E3E30"/>
    <w:rsid w:val="001E3E72"/>
    <w:rsid w:val="001E3EBD"/>
    <w:rsid w:val="001E3F0B"/>
    <w:rsid w:val="001E3F24"/>
    <w:rsid w:val="001E3F25"/>
    <w:rsid w:val="001E3F4A"/>
    <w:rsid w:val="001E3F5F"/>
    <w:rsid w:val="001E4017"/>
    <w:rsid w:val="001E40FB"/>
    <w:rsid w:val="001E411C"/>
    <w:rsid w:val="001E4123"/>
    <w:rsid w:val="001E413B"/>
    <w:rsid w:val="001E41A9"/>
    <w:rsid w:val="001E41C3"/>
    <w:rsid w:val="001E4203"/>
    <w:rsid w:val="001E423B"/>
    <w:rsid w:val="001E4352"/>
    <w:rsid w:val="001E43E0"/>
    <w:rsid w:val="001E43EA"/>
    <w:rsid w:val="001E43F6"/>
    <w:rsid w:val="001E4697"/>
    <w:rsid w:val="001E4738"/>
    <w:rsid w:val="001E4954"/>
    <w:rsid w:val="001E4A81"/>
    <w:rsid w:val="001E4AD8"/>
    <w:rsid w:val="001E4ADF"/>
    <w:rsid w:val="001E4BC1"/>
    <w:rsid w:val="001E4C07"/>
    <w:rsid w:val="001E4C0B"/>
    <w:rsid w:val="001E4C17"/>
    <w:rsid w:val="001E4D18"/>
    <w:rsid w:val="001E4D58"/>
    <w:rsid w:val="001E4D96"/>
    <w:rsid w:val="001E4DF5"/>
    <w:rsid w:val="001E4ED8"/>
    <w:rsid w:val="001E4EEB"/>
    <w:rsid w:val="001E4F7C"/>
    <w:rsid w:val="001E50A3"/>
    <w:rsid w:val="001E50D3"/>
    <w:rsid w:val="001E50E1"/>
    <w:rsid w:val="001E5192"/>
    <w:rsid w:val="001E51FD"/>
    <w:rsid w:val="001E5277"/>
    <w:rsid w:val="001E5336"/>
    <w:rsid w:val="001E5358"/>
    <w:rsid w:val="001E53E6"/>
    <w:rsid w:val="001E55FD"/>
    <w:rsid w:val="001E56CE"/>
    <w:rsid w:val="001E571D"/>
    <w:rsid w:val="001E574D"/>
    <w:rsid w:val="001E588A"/>
    <w:rsid w:val="001E589C"/>
    <w:rsid w:val="001E58D1"/>
    <w:rsid w:val="001E5933"/>
    <w:rsid w:val="001E5939"/>
    <w:rsid w:val="001E59BC"/>
    <w:rsid w:val="001E5A02"/>
    <w:rsid w:val="001E5AD0"/>
    <w:rsid w:val="001E5BD7"/>
    <w:rsid w:val="001E5C04"/>
    <w:rsid w:val="001E5C62"/>
    <w:rsid w:val="001E5C73"/>
    <w:rsid w:val="001E5C76"/>
    <w:rsid w:val="001E5CAD"/>
    <w:rsid w:val="001E5CE5"/>
    <w:rsid w:val="001E5DC9"/>
    <w:rsid w:val="001E5E09"/>
    <w:rsid w:val="001E5E4E"/>
    <w:rsid w:val="001E5F23"/>
    <w:rsid w:val="001E5F4C"/>
    <w:rsid w:val="001E60B3"/>
    <w:rsid w:val="001E60C1"/>
    <w:rsid w:val="001E6171"/>
    <w:rsid w:val="001E61E0"/>
    <w:rsid w:val="001E6242"/>
    <w:rsid w:val="001E627E"/>
    <w:rsid w:val="001E629C"/>
    <w:rsid w:val="001E629E"/>
    <w:rsid w:val="001E6349"/>
    <w:rsid w:val="001E6487"/>
    <w:rsid w:val="001E648E"/>
    <w:rsid w:val="001E64A0"/>
    <w:rsid w:val="001E64B4"/>
    <w:rsid w:val="001E64CE"/>
    <w:rsid w:val="001E65DE"/>
    <w:rsid w:val="001E66B7"/>
    <w:rsid w:val="001E6731"/>
    <w:rsid w:val="001E6744"/>
    <w:rsid w:val="001E6786"/>
    <w:rsid w:val="001E679E"/>
    <w:rsid w:val="001E67AA"/>
    <w:rsid w:val="001E67CC"/>
    <w:rsid w:val="001E67D9"/>
    <w:rsid w:val="001E6881"/>
    <w:rsid w:val="001E68D5"/>
    <w:rsid w:val="001E6907"/>
    <w:rsid w:val="001E6914"/>
    <w:rsid w:val="001E6962"/>
    <w:rsid w:val="001E69EC"/>
    <w:rsid w:val="001E6A3E"/>
    <w:rsid w:val="001E6AAF"/>
    <w:rsid w:val="001E6B92"/>
    <w:rsid w:val="001E6CAF"/>
    <w:rsid w:val="001E6D15"/>
    <w:rsid w:val="001E6DB9"/>
    <w:rsid w:val="001E6E2A"/>
    <w:rsid w:val="001E6EBD"/>
    <w:rsid w:val="001E6EFF"/>
    <w:rsid w:val="001E6F27"/>
    <w:rsid w:val="001E6F29"/>
    <w:rsid w:val="001E705B"/>
    <w:rsid w:val="001E708B"/>
    <w:rsid w:val="001E70BD"/>
    <w:rsid w:val="001E7141"/>
    <w:rsid w:val="001E717E"/>
    <w:rsid w:val="001E71D8"/>
    <w:rsid w:val="001E71F5"/>
    <w:rsid w:val="001E72EA"/>
    <w:rsid w:val="001E7326"/>
    <w:rsid w:val="001E7366"/>
    <w:rsid w:val="001E7382"/>
    <w:rsid w:val="001E73D4"/>
    <w:rsid w:val="001E73FA"/>
    <w:rsid w:val="001E756B"/>
    <w:rsid w:val="001E7664"/>
    <w:rsid w:val="001E7793"/>
    <w:rsid w:val="001E7794"/>
    <w:rsid w:val="001E7799"/>
    <w:rsid w:val="001E77A9"/>
    <w:rsid w:val="001E7818"/>
    <w:rsid w:val="001E78C6"/>
    <w:rsid w:val="001E79CE"/>
    <w:rsid w:val="001E79EF"/>
    <w:rsid w:val="001E7ACD"/>
    <w:rsid w:val="001E7B35"/>
    <w:rsid w:val="001E7B49"/>
    <w:rsid w:val="001E7CCE"/>
    <w:rsid w:val="001E7CE2"/>
    <w:rsid w:val="001E7DB0"/>
    <w:rsid w:val="001E7DFD"/>
    <w:rsid w:val="001E7ECC"/>
    <w:rsid w:val="001E7F34"/>
    <w:rsid w:val="001E7F59"/>
    <w:rsid w:val="001F0055"/>
    <w:rsid w:val="001F0180"/>
    <w:rsid w:val="001F0191"/>
    <w:rsid w:val="001F01D4"/>
    <w:rsid w:val="001F01D9"/>
    <w:rsid w:val="001F01E0"/>
    <w:rsid w:val="001F025E"/>
    <w:rsid w:val="001F027F"/>
    <w:rsid w:val="001F02BD"/>
    <w:rsid w:val="001F02F2"/>
    <w:rsid w:val="001F03F4"/>
    <w:rsid w:val="001F0463"/>
    <w:rsid w:val="001F04C6"/>
    <w:rsid w:val="001F04DA"/>
    <w:rsid w:val="001F0508"/>
    <w:rsid w:val="001F0532"/>
    <w:rsid w:val="001F0565"/>
    <w:rsid w:val="001F0643"/>
    <w:rsid w:val="001F070F"/>
    <w:rsid w:val="001F073A"/>
    <w:rsid w:val="001F0747"/>
    <w:rsid w:val="001F074C"/>
    <w:rsid w:val="001F0776"/>
    <w:rsid w:val="001F0832"/>
    <w:rsid w:val="001F088D"/>
    <w:rsid w:val="001F0970"/>
    <w:rsid w:val="001F09C0"/>
    <w:rsid w:val="001F09E1"/>
    <w:rsid w:val="001F09F0"/>
    <w:rsid w:val="001F0A00"/>
    <w:rsid w:val="001F0A28"/>
    <w:rsid w:val="001F0AA9"/>
    <w:rsid w:val="001F0ACC"/>
    <w:rsid w:val="001F0BAD"/>
    <w:rsid w:val="001F0C1E"/>
    <w:rsid w:val="001F0CB4"/>
    <w:rsid w:val="001F0CDD"/>
    <w:rsid w:val="001F0CE5"/>
    <w:rsid w:val="001F0D0B"/>
    <w:rsid w:val="001F0D80"/>
    <w:rsid w:val="001F0D8C"/>
    <w:rsid w:val="001F0DCD"/>
    <w:rsid w:val="001F0E02"/>
    <w:rsid w:val="001F0E72"/>
    <w:rsid w:val="001F0E81"/>
    <w:rsid w:val="001F0EA2"/>
    <w:rsid w:val="001F0EB2"/>
    <w:rsid w:val="001F0F18"/>
    <w:rsid w:val="001F0F1B"/>
    <w:rsid w:val="001F0F4C"/>
    <w:rsid w:val="001F104A"/>
    <w:rsid w:val="001F1088"/>
    <w:rsid w:val="001F10E2"/>
    <w:rsid w:val="001F1189"/>
    <w:rsid w:val="001F11EB"/>
    <w:rsid w:val="001F126C"/>
    <w:rsid w:val="001F12BD"/>
    <w:rsid w:val="001F12EA"/>
    <w:rsid w:val="001F130C"/>
    <w:rsid w:val="001F1371"/>
    <w:rsid w:val="001F1396"/>
    <w:rsid w:val="001F1417"/>
    <w:rsid w:val="001F1459"/>
    <w:rsid w:val="001F14A3"/>
    <w:rsid w:val="001F14A4"/>
    <w:rsid w:val="001F14A9"/>
    <w:rsid w:val="001F14C1"/>
    <w:rsid w:val="001F1531"/>
    <w:rsid w:val="001F1536"/>
    <w:rsid w:val="001F1598"/>
    <w:rsid w:val="001F15AD"/>
    <w:rsid w:val="001F15C3"/>
    <w:rsid w:val="001F15CD"/>
    <w:rsid w:val="001F15D8"/>
    <w:rsid w:val="001F15F5"/>
    <w:rsid w:val="001F1725"/>
    <w:rsid w:val="001F1761"/>
    <w:rsid w:val="001F17F7"/>
    <w:rsid w:val="001F18B7"/>
    <w:rsid w:val="001F18C7"/>
    <w:rsid w:val="001F1928"/>
    <w:rsid w:val="001F192A"/>
    <w:rsid w:val="001F19AB"/>
    <w:rsid w:val="001F19AF"/>
    <w:rsid w:val="001F1A8C"/>
    <w:rsid w:val="001F1AAA"/>
    <w:rsid w:val="001F1AEC"/>
    <w:rsid w:val="001F1AEE"/>
    <w:rsid w:val="001F1AF1"/>
    <w:rsid w:val="001F1AFE"/>
    <w:rsid w:val="001F1B2C"/>
    <w:rsid w:val="001F1B6F"/>
    <w:rsid w:val="001F1B77"/>
    <w:rsid w:val="001F1BA0"/>
    <w:rsid w:val="001F1BE7"/>
    <w:rsid w:val="001F1CE0"/>
    <w:rsid w:val="001F1D06"/>
    <w:rsid w:val="001F1D3A"/>
    <w:rsid w:val="001F1DCA"/>
    <w:rsid w:val="001F1E42"/>
    <w:rsid w:val="001F1F2E"/>
    <w:rsid w:val="001F1F34"/>
    <w:rsid w:val="001F1F3E"/>
    <w:rsid w:val="001F1F5F"/>
    <w:rsid w:val="001F2014"/>
    <w:rsid w:val="001F2022"/>
    <w:rsid w:val="001F203E"/>
    <w:rsid w:val="001F2041"/>
    <w:rsid w:val="001F2060"/>
    <w:rsid w:val="001F2064"/>
    <w:rsid w:val="001F2069"/>
    <w:rsid w:val="001F206F"/>
    <w:rsid w:val="001F20C9"/>
    <w:rsid w:val="001F20E0"/>
    <w:rsid w:val="001F212B"/>
    <w:rsid w:val="001F2147"/>
    <w:rsid w:val="001F21B3"/>
    <w:rsid w:val="001F2204"/>
    <w:rsid w:val="001F2266"/>
    <w:rsid w:val="001F228F"/>
    <w:rsid w:val="001F22A2"/>
    <w:rsid w:val="001F22BC"/>
    <w:rsid w:val="001F22C8"/>
    <w:rsid w:val="001F2346"/>
    <w:rsid w:val="001F2449"/>
    <w:rsid w:val="001F2479"/>
    <w:rsid w:val="001F247B"/>
    <w:rsid w:val="001F2642"/>
    <w:rsid w:val="001F264D"/>
    <w:rsid w:val="001F2672"/>
    <w:rsid w:val="001F26BC"/>
    <w:rsid w:val="001F2768"/>
    <w:rsid w:val="001F276F"/>
    <w:rsid w:val="001F27DE"/>
    <w:rsid w:val="001F288C"/>
    <w:rsid w:val="001F28DC"/>
    <w:rsid w:val="001F2947"/>
    <w:rsid w:val="001F29DF"/>
    <w:rsid w:val="001F2A2F"/>
    <w:rsid w:val="001F2A4A"/>
    <w:rsid w:val="001F2B23"/>
    <w:rsid w:val="001F2B53"/>
    <w:rsid w:val="001F2B6E"/>
    <w:rsid w:val="001F2BE9"/>
    <w:rsid w:val="001F2C04"/>
    <w:rsid w:val="001F2C32"/>
    <w:rsid w:val="001F2D10"/>
    <w:rsid w:val="001F2E1B"/>
    <w:rsid w:val="001F2E4B"/>
    <w:rsid w:val="001F2E6F"/>
    <w:rsid w:val="001F2EC8"/>
    <w:rsid w:val="001F2EDB"/>
    <w:rsid w:val="001F2EE2"/>
    <w:rsid w:val="001F2F03"/>
    <w:rsid w:val="001F2FC7"/>
    <w:rsid w:val="001F300F"/>
    <w:rsid w:val="001F3019"/>
    <w:rsid w:val="001F31C7"/>
    <w:rsid w:val="001F31FC"/>
    <w:rsid w:val="001F323F"/>
    <w:rsid w:val="001F325F"/>
    <w:rsid w:val="001F33EB"/>
    <w:rsid w:val="001F3429"/>
    <w:rsid w:val="001F34ED"/>
    <w:rsid w:val="001F3508"/>
    <w:rsid w:val="001F35A8"/>
    <w:rsid w:val="001F35C0"/>
    <w:rsid w:val="001F3625"/>
    <w:rsid w:val="001F3654"/>
    <w:rsid w:val="001F3686"/>
    <w:rsid w:val="001F369F"/>
    <w:rsid w:val="001F36AB"/>
    <w:rsid w:val="001F36DD"/>
    <w:rsid w:val="001F36FD"/>
    <w:rsid w:val="001F3771"/>
    <w:rsid w:val="001F377E"/>
    <w:rsid w:val="001F37AE"/>
    <w:rsid w:val="001F37CF"/>
    <w:rsid w:val="001F37EB"/>
    <w:rsid w:val="001F37F1"/>
    <w:rsid w:val="001F3806"/>
    <w:rsid w:val="001F381E"/>
    <w:rsid w:val="001F3879"/>
    <w:rsid w:val="001F3923"/>
    <w:rsid w:val="001F3938"/>
    <w:rsid w:val="001F39DC"/>
    <w:rsid w:val="001F39E2"/>
    <w:rsid w:val="001F3A0B"/>
    <w:rsid w:val="001F3A18"/>
    <w:rsid w:val="001F3A26"/>
    <w:rsid w:val="001F3AC0"/>
    <w:rsid w:val="001F3AF9"/>
    <w:rsid w:val="001F3AFD"/>
    <w:rsid w:val="001F3B6A"/>
    <w:rsid w:val="001F3B6E"/>
    <w:rsid w:val="001F3BB0"/>
    <w:rsid w:val="001F3BC5"/>
    <w:rsid w:val="001F3C25"/>
    <w:rsid w:val="001F3C3B"/>
    <w:rsid w:val="001F3C61"/>
    <w:rsid w:val="001F3C82"/>
    <w:rsid w:val="001F3C88"/>
    <w:rsid w:val="001F3CA3"/>
    <w:rsid w:val="001F3CA9"/>
    <w:rsid w:val="001F3CCD"/>
    <w:rsid w:val="001F3D3A"/>
    <w:rsid w:val="001F3D60"/>
    <w:rsid w:val="001F3D70"/>
    <w:rsid w:val="001F3EB3"/>
    <w:rsid w:val="001F3EC3"/>
    <w:rsid w:val="001F3F4C"/>
    <w:rsid w:val="001F3FBF"/>
    <w:rsid w:val="001F4001"/>
    <w:rsid w:val="001F4062"/>
    <w:rsid w:val="001F4113"/>
    <w:rsid w:val="001F415A"/>
    <w:rsid w:val="001F419C"/>
    <w:rsid w:val="001F41D6"/>
    <w:rsid w:val="001F4211"/>
    <w:rsid w:val="001F4226"/>
    <w:rsid w:val="001F42C0"/>
    <w:rsid w:val="001F42D0"/>
    <w:rsid w:val="001F436A"/>
    <w:rsid w:val="001F449A"/>
    <w:rsid w:val="001F44C4"/>
    <w:rsid w:val="001F459A"/>
    <w:rsid w:val="001F45E1"/>
    <w:rsid w:val="001F4626"/>
    <w:rsid w:val="001F4633"/>
    <w:rsid w:val="001F466F"/>
    <w:rsid w:val="001F4694"/>
    <w:rsid w:val="001F471B"/>
    <w:rsid w:val="001F47EA"/>
    <w:rsid w:val="001F48BA"/>
    <w:rsid w:val="001F48D1"/>
    <w:rsid w:val="001F48DB"/>
    <w:rsid w:val="001F4922"/>
    <w:rsid w:val="001F49AB"/>
    <w:rsid w:val="001F49B8"/>
    <w:rsid w:val="001F4A57"/>
    <w:rsid w:val="001F4A5B"/>
    <w:rsid w:val="001F4B8A"/>
    <w:rsid w:val="001F4BCC"/>
    <w:rsid w:val="001F4C2F"/>
    <w:rsid w:val="001F4C98"/>
    <w:rsid w:val="001F4CB2"/>
    <w:rsid w:val="001F4E39"/>
    <w:rsid w:val="001F4EED"/>
    <w:rsid w:val="001F4F48"/>
    <w:rsid w:val="001F4FD2"/>
    <w:rsid w:val="001F504E"/>
    <w:rsid w:val="001F50BC"/>
    <w:rsid w:val="001F50EA"/>
    <w:rsid w:val="001F50EF"/>
    <w:rsid w:val="001F5170"/>
    <w:rsid w:val="001F51B3"/>
    <w:rsid w:val="001F51EB"/>
    <w:rsid w:val="001F5217"/>
    <w:rsid w:val="001F54E9"/>
    <w:rsid w:val="001F54EB"/>
    <w:rsid w:val="001F556F"/>
    <w:rsid w:val="001F557B"/>
    <w:rsid w:val="001F55DE"/>
    <w:rsid w:val="001F56A1"/>
    <w:rsid w:val="001F570E"/>
    <w:rsid w:val="001F5726"/>
    <w:rsid w:val="001F57AE"/>
    <w:rsid w:val="001F57F6"/>
    <w:rsid w:val="001F58DA"/>
    <w:rsid w:val="001F5914"/>
    <w:rsid w:val="001F591D"/>
    <w:rsid w:val="001F5A2D"/>
    <w:rsid w:val="001F5A60"/>
    <w:rsid w:val="001F5ABA"/>
    <w:rsid w:val="001F5AC6"/>
    <w:rsid w:val="001F5AF0"/>
    <w:rsid w:val="001F5B12"/>
    <w:rsid w:val="001F5BAC"/>
    <w:rsid w:val="001F5BD0"/>
    <w:rsid w:val="001F5BE6"/>
    <w:rsid w:val="001F5BF7"/>
    <w:rsid w:val="001F5C42"/>
    <w:rsid w:val="001F5CDC"/>
    <w:rsid w:val="001F5CF3"/>
    <w:rsid w:val="001F5D7E"/>
    <w:rsid w:val="001F5DC0"/>
    <w:rsid w:val="001F5DEF"/>
    <w:rsid w:val="001F5DF4"/>
    <w:rsid w:val="001F5E68"/>
    <w:rsid w:val="001F5EA9"/>
    <w:rsid w:val="001F5F3F"/>
    <w:rsid w:val="001F5F68"/>
    <w:rsid w:val="001F5FA6"/>
    <w:rsid w:val="001F604C"/>
    <w:rsid w:val="001F60E1"/>
    <w:rsid w:val="001F612B"/>
    <w:rsid w:val="001F61BB"/>
    <w:rsid w:val="001F626C"/>
    <w:rsid w:val="001F62F0"/>
    <w:rsid w:val="001F637F"/>
    <w:rsid w:val="001F6393"/>
    <w:rsid w:val="001F63AB"/>
    <w:rsid w:val="001F646B"/>
    <w:rsid w:val="001F6483"/>
    <w:rsid w:val="001F64C4"/>
    <w:rsid w:val="001F6503"/>
    <w:rsid w:val="001F651B"/>
    <w:rsid w:val="001F657C"/>
    <w:rsid w:val="001F66CA"/>
    <w:rsid w:val="001F6700"/>
    <w:rsid w:val="001F6781"/>
    <w:rsid w:val="001F6791"/>
    <w:rsid w:val="001F683C"/>
    <w:rsid w:val="001F6879"/>
    <w:rsid w:val="001F68B8"/>
    <w:rsid w:val="001F6917"/>
    <w:rsid w:val="001F6927"/>
    <w:rsid w:val="001F693A"/>
    <w:rsid w:val="001F6A50"/>
    <w:rsid w:val="001F6A5A"/>
    <w:rsid w:val="001F6AA3"/>
    <w:rsid w:val="001F6ABB"/>
    <w:rsid w:val="001F6BC1"/>
    <w:rsid w:val="001F6C94"/>
    <w:rsid w:val="001F6CCE"/>
    <w:rsid w:val="001F6D66"/>
    <w:rsid w:val="001F6E60"/>
    <w:rsid w:val="001F6ECF"/>
    <w:rsid w:val="001F6EEC"/>
    <w:rsid w:val="001F6EEF"/>
    <w:rsid w:val="001F6FD8"/>
    <w:rsid w:val="001F6FEE"/>
    <w:rsid w:val="001F7037"/>
    <w:rsid w:val="001F70A6"/>
    <w:rsid w:val="001F70D7"/>
    <w:rsid w:val="001F70F5"/>
    <w:rsid w:val="001F711C"/>
    <w:rsid w:val="001F7212"/>
    <w:rsid w:val="001F7223"/>
    <w:rsid w:val="001F727B"/>
    <w:rsid w:val="001F72A0"/>
    <w:rsid w:val="001F737C"/>
    <w:rsid w:val="001F757B"/>
    <w:rsid w:val="001F75BD"/>
    <w:rsid w:val="001F75C7"/>
    <w:rsid w:val="001F765B"/>
    <w:rsid w:val="001F7699"/>
    <w:rsid w:val="001F76D0"/>
    <w:rsid w:val="001F7705"/>
    <w:rsid w:val="001F7733"/>
    <w:rsid w:val="001F7773"/>
    <w:rsid w:val="001F7779"/>
    <w:rsid w:val="001F777E"/>
    <w:rsid w:val="001F77C8"/>
    <w:rsid w:val="001F7848"/>
    <w:rsid w:val="001F788E"/>
    <w:rsid w:val="001F78A6"/>
    <w:rsid w:val="001F797B"/>
    <w:rsid w:val="001F7A45"/>
    <w:rsid w:val="001F7A94"/>
    <w:rsid w:val="001F7A9F"/>
    <w:rsid w:val="001F7AAE"/>
    <w:rsid w:val="001F7B22"/>
    <w:rsid w:val="001F7B9C"/>
    <w:rsid w:val="001F7BDC"/>
    <w:rsid w:val="001F7CDD"/>
    <w:rsid w:val="001F7CE1"/>
    <w:rsid w:val="001F7D52"/>
    <w:rsid w:val="001F7DBC"/>
    <w:rsid w:val="001F7DBF"/>
    <w:rsid w:val="001F7DC9"/>
    <w:rsid w:val="001F7E18"/>
    <w:rsid w:val="001F7E26"/>
    <w:rsid w:val="001F7E2A"/>
    <w:rsid w:val="001F7E2F"/>
    <w:rsid w:val="00200005"/>
    <w:rsid w:val="0020005E"/>
    <w:rsid w:val="00200146"/>
    <w:rsid w:val="00200171"/>
    <w:rsid w:val="002002F6"/>
    <w:rsid w:val="00200379"/>
    <w:rsid w:val="0020037C"/>
    <w:rsid w:val="002003D2"/>
    <w:rsid w:val="002003D9"/>
    <w:rsid w:val="00200421"/>
    <w:rsid w:val="00200436"/>
    <w:rsid w:val="0020043F"/>
    <w:rsid w:val="002004A4"/>
    <w:rsid w:val="002004B5"/>
    <w:rsid w:val="002004DE"/>
    <w:rsid w:val="00200581"/>
    <w:rsid w:val="002006D3"/>
    <w:rsid w:val="0020070F"/>
    <w:rsid w:val="00200738"/>
    <w:rsid w:val="00200781"/>
    <w:rsid w:val="002007C5"/>
    <w:rsid w:val="002007EF"/>
    <w:rsid w:val="0020083E"/>
    <w:rsid w:val="00200863"/>
    <w:rsid w:val="0020087B"/>
    <w:rsid w:val="002008DD"/>
    <w:rsid w:val="002008FB"/>
    <w:rsid w:val="0020093C"/>
    <w:rsid w:val="002009CB"/>
    <w:rsid w:val="00200A2F"/>
    <w:rsid w:val="00200A37"/>
    <w:rsid w:val="00200A3E"/>
    <w:rsid w:val="00200A82"/>
    <w:rsid w:val="00200B12"/>
    <w:rsid w:val="00200B54"/>
    <w:rsid w:val="00200BC5"/>
    <w:rsid w:val="00200BEA"/>
    <w:rsid w:val="00200BF4"/>
    <w:rsid w:val="00200CE4"/>
    <w:rsid w:val="00200DC2"/>
    <w:rsid w:val="00200DDE"/>
    <w:rsid w:val="00200DDF"/>
    <w:rsid w:val="00200DF7"/>
    <w:rsid w:val="00200E5F"/>
    <w:rsid w:val="00200EBE"/>
    <w:rsid w:val="00200F89"/>
    <w:rsid w:val="00200FE9"/>
    <w:rsid w:val="0020106D"/>
    <w:rsid w:val="002010A3"/>
    <w:rsid w:val="0020111E"/>
    <w:rsid w:val="00201172"/>
    <w:rsid w:val="002011B9"/>
    <w:rsid w:val="002011F3"/>
    <w:rsid w:val="002012D6"/>
    <w:rsid w:val="00201355"/>
    <w:rsid w:val="0020137A"/>
    <w:rsid w:val="00201391"/>
    <w:rsid w:val="002013A1"/>
    <w:rsid w:val="002014E4"/>
    <w:rsid w:val="0020159F"/>
    <w:rsid w:val="0020167B"/>
    <w:rsid w:val="002016B1"/>
    <w:rsid w:val="0020171B"/>
    <w:rsid w:val="00201765"/>
    <w:rsid w:val="00201842"/>
    <w:rsid w:val="002018FF"/>
    <w:rsid w:val="00201900"/>
    <w:rsid w:val="0020194B"/>
    <w:rsid w:val="00201981"/>
    <w:rsid w:val="002019C1"/>
    <w:rsid w:val="002019EF"/>
    <w:rsid w:val="00201A25"/>
    <w:rsid w:val="00201A4F"/>
    <w:rsid w:val="00201A88"/>
    <w:rsid w:val="00201AAB"/>
    <w:rsid w:val="00201AD2"/>
    <w:rsid w:val="00201B46"/>
    <w:rsid w:val="00201B7B"/>
    <w:rsid w:val="00201BE2"/>
    <w:rsid w:val="00201C75"/>
    <w:rsid w:val="00201C76"/>
    <w:rsid w:val="00201CA0"/>
    <w:rsid w:val="00201CE5"/>
    <w:rsid w:val="00201CF0"/>
    <w:rsid w:val="00201D43"/>
    <w:rsid w:val="00201D8A"/>
    <w:rsid w:val="00201DAE"/>
    <w:rsid w:val="00201DBC"/>
    <w:rsid w:val="00201DF8"/>
    <w:rsid w:val="00201E72"/>
    <w:rsid w:val="00201EE4"/>
    <w:rsid w:val="00201EF1"/>
    <w:rsid w:val="00201F38"/>
    <w:rsid w:val="00201F7C"/>
    <w:rsid w:val="00201FAF"/>
    <w:rsid w:val="00201FC9"/>
    <w:rsid w:val="00201FCD"/>
    <w:rsid w:val="002021A4"/>
    <w:rsid w:val="00202236"/>
    <w:rsid w:val="00202253"/>
    <w:rsid w:val="0020229A"/>
    <w:rsid w:val="002022B4"/>
    <w:rsid w:val="002022F1"/>
    <w:rsid w:val="0020235C"/>
    <w:rsid w:val="0020237C"/>
    <w:rsid w:val="00202426"/>
    <w:rsid w:val="00202473"/>
    <w:rsid w:val="0020247D"/>
    <w:rsid w:val="0020249A"/>
    <w:rsid w:val="002024BB"/>
    <w:rsid w:val="002024E0"/>
    <w:rsid w:val="002024FF"/>
    <w:rsid w:val="0020254E"/>
    <w:rsid w:val="0020259C"/>
    <w:rsid w:val="00202658"/>
    <w:rsid w:val="00202684"/>
    <w:rsid w:val="002026D9"/>
    <w:rsid w:val="002026F5"/>
    <w:rsid w:val="00202713"/>
    <w:rsid w:val="00202752"/>
    <w:rsid w:val="00202770"/>
    <w:rsid w:val="00202802"/>
    <w:rsid w:val="0020289D"/>
    <w:rsid w:val="0020295A"/>
    <w:rsid w:val="002029B4"/>
    <w:rsid w:val="002029F3"/>
    <w:rsid w:val="002029FE"/>
    <w:rsid w:val="00202A5C"/>
    <w:rsid w:val="00202A8E"/>
    <w:rsid w:val="00202ACD"/>
    <w:rsid w:val="00202AD1"/>
    <w:rsid w:val="00202AED"/>
    <w:rsid w:val="00202B92"/>
    <w:rsid w:val="00202C7A"/>
    <w:rsid w:val="00202C89"/>
    <w:rsid w:val="00202C9B"/>
    <w:rsid w:val="00202D47"/>
    <w:rsid w:val="00202DBA"/>
    <w:rsid w:val="00202E11"/>
    <w:rsid w:val="00202E16"/>
    <w:rsid w:val="00202F00"/>
    <w:rsid w:val="00202FEA"/>
    <w:rsid w:val="0020300B"/>
    <w:rsid w:val="002030F3"/>
    <w:rsid w:val="00203183"/>
    <w:rsid w:val="00203212"/>
    <w:rsid w:val="00203255"/>
    <w:rsid w:val="0020325D"/>
    <w:rsid w:val="0020338E"/>
    <w:rsid w:val="00203395"/>
    <w:rsid w:val="0020342E"/>
    <w:rsid w:val="00203459"/>
    <w:rsid w:val="0020346B"/>
    <w:rsid w:val="002034F0"/>
    <w:rsid w:val="002035FF"/>
    <w:rsid w:val="00203601"/>
    <w:rsid w:val="0020366F"/>
    <w:rsid w:val="002036AD"/>
    <w:rsid w:val="0020370A"/>
    <w:rsid w:val="00203858"/>
    <w:rsid w:val="0020386E"/>
    <w:rsid w:val="00203894"/>
    <w:rsid w:val="002038A9"/>
    <w:rsid w:val="00203926"/>
    <w:rsid w:val="00203952"/>
    <w:rsid w:val="002039A3"/>
    <w:rsid w:val="00203A52"/>
    <w:rsid w:val="00203A77"/>
    <w:rsid w:val="00203A92"/>
    <w:rsid w:val="00203ACC"/>
    <w:rsid w:val="00203CA3"/>
    <w:rsid w:val="00203CD8"/>
    <w:rsid w:val="00203D43"/>
    <w:rsid w:val="00203DD0"/>
    <w:rsid w:val="00203E06"/>
    <w:rsid w:val="00203E17"/>
    <w:rsid w:val="00203E55"/>
    <w:rsid w:val="00203E6F"/>
    <w:rsid w:val="00203EAC"/>
    <w:rsid w:val="00203EC0"/>
    <w:rsid w:val="00203EF0"/>
    <w:rsid w:val="00203F71"/>
    <w:rsid w:val="00203FD5"/>
    <w:rsid w:val="002040AB"/>
    <w:rsid w:val="002040D0"/>
    <w:rsid w:val="0020410B"/>
    <w:rsid w:val="0020411F"/>
    <w:rsid w:val="00204158"/>
    <w:rsid w:val="00204190"/>
    <w:rsid w:val="002041A4"/>
    <w:rsid w:val="002041FE"/>
    <w:rsid w:val="00204214"/>
    <w:rsid w:val="00204232"/>
    <w:rsid w:val="002042C3"/>
    <w:rsid w:val="0020432C"/>
    <w:rsid w:val="0020434E"/>
    <w:rsid w:val="00204384"/>
    <w:rsid w:val="002043BA"/>
    <w:rsid w:val="00204678"/>
    <w:rsid w:val="00204736"/>
    <w:rsid w:val="00204754"/>
    <w:rsid w:val="002047A9"/>
    <w:rsid w:val="002047B3"/>
    <w:rsid w:val="00204857"/>
    <w:rsid w:val="0020489F"/>
    <w:rsid w:val="002048EF"/>
    <w:rsid w:val="0020490D"/>
    <w:rsid w:val="0020492C"/>
    <w:rsid w:val="00204939"/>
    <w:rsid w:val="00204A08"/>
    <w:rsid w:val="00204A29"/>
    <w:rsid w:val="00204A5C"/>
    <w:rsid w:val="00204AD4"/>
    <w:rsid w:val="00204B45"/>
    <w:rsid w:val="00204B97"/>
    <w:rsid w:val="00204BFA"/>
    <w:rsid w:val="00204C2B"/>
    <w:rsid w:val="00204C7B"/>
    <w:rsid w:val="00204CCC"/>
    <w:rsid w:val="00204D56"/>
    <w:rsid w:val="00204D6D"/>
    <w:rsid w:val="00204DB6"/>
    <w:rsid w:val="00204DC8"/>
    <w:rsid w:val="00204DE4"/>
    <w:rsid w:val="00204DFE"/>
    <w:rsid w:val="00204E12"/>
    <w:rsid w:val="00204E1B"/>
    <w:rsid w:val="00204EF7"/>
    <w:rsid w:val="00204FB3"/>
    <w:rsid w:val="00204FB5"/>
    <w:rsid w:val="00204FBB"/>
    <w:rsid w:val="00204FCB"/>
    <w:rsid w:val="0020506A"/>
    <w:rsid w:val="002050AF"/>
    <w:rsid w:val="002052B2"/>
    <w:rsid w:val="002052C2"/>
    <w:rsid w:val="002053C3"/>
    <w:rsid w:val="00205438"/>
    <w:rsid w:val="0020557B"/>
    <w:rsid w:val="00205607"/>
    <w:rsid w:val="00205628"/>
    <w:rsid w:val="0020569B"/>
    <w:rsid w:val="002056FA"/>
    <w:rsid w:val="002057BC"/>
    <w:rsid w:val="002058A4"/>
    <w:rsid w:val="002058B6"/>
    <w:rsid w:val="002058CA"/>
    <w:rsid w:val="00205942"/>
    <w:rsid w:val="002059D1"/>
    <w:rsid w:val="00205B56"/>
    <w:rsid w:val="00205B9D"/>
    <w:rsid w:val="00205BB1"/>
    <w:rsid w:val="00205BD8"/>
    <w:rsid w:val="00205C7D"/>
    <w:rsid w:val="00205CC1"/>
    <w:rsid w:val="00205CDC"/>
    <w:rsid w:val="00205CF5"/>
    <w:rsid w:val="00205D84"/>
    <w:rsid w:val="00205DC8"/>
    <w:rsid w:val="00205E07"/>
    <w:rsid w:val="00205E65"/>
    <w:rsid w:val="00205EB3"/>
    <w:rsid w:val="00205FAD"/>
    <w:rsid w:val="00205FC3"/>
    <w:rsid w:val="00206009"/>
    <w:rsid w:val="00206136"/>
    <w:rsid w:val="00206142"/>
    <w:rsid w:val="002061D6"/>
    <w:rsid w:val="0020621B"/>
    <w:rsid w:val="0020625B"/>
    <w:rsid w:val="00206388"/>
    <w:rsid w:val="002063BD"/>
    <w:rsid w:val="002063DD"/>
    <w:rsid w:val="0020645F"/>
    <w:rsid w:val="0020648E"/>
    <w:rsid w:val="0020656A"/>
    <w:rsid w:val="002065A9"/>
    <w:rsid w:val="002065E4"/>
    <w:rsid w:val="00206632"/>
    <w:rsid w:val="00206656"/>
    <w:rsid w:val="00206712"/>
    <w:rsid w:val="00206713"/>
    <w:rsid w:val="002067BE"/>
    <w:rsid w:val="002067FA"/>
    <w:rsid w:val="0020682B"/>
    <w:rsid w:val="002068A5"/>
    <w:rsid w:val="002068E5"/>
    <w:rsid w:val="00206917"/>
    <w:rsid w:val="00206934"/>
    <w:rsid w:val="0020693C"/>
    <w:rsid w:val="0020694C"/>
    <w:rsid w:val="00206A20"/>
    <w:rsid w:val="00206A33"/>
    <w:rsid w:val="00206A9E"/>
    <w:rsid w:val="00206AED"/>
    <w:rsid w:val="00206AF8"/>
    <w:rsid w:val="00206B37"/>
    <w:rsid w:val="00206B49"/>
    <w:rsid w:val="00206B83"/>
    <w:rsid w:val="00206B9C"/>
    <w:rsid w:val="00206BF2"/>
    <w:rsid w:val="00206CA0"/>
    <w:rsid w:val="00206CB4"/>
    <w:rsid w:val="00206CCB"/>
    <w:rsid w:val="00206D99"/>
    <w:rsid w:val="00206DAA"/>
    <w:rsid w:val="00206E03"/>
    <w:rsid w:val="00206E04"/>
    <w:rsid w:val="00206E42"/>
    <w:rsid w:val="00206ECF"/>
    <w:rsid w:val="00206EEB"/>
    <w:rsid w:val="00206EFD"/>
    <w:rsid w:val="0020701B"/>
    <w:rsid w:val="002070C4"/>
    <w:rsid w:val="0020717B"/>
    <w:rsid w:val="002071AE"/>
    <w:rsid w:val="002071D6"/>
    <w:rsid w:val="002071EA"/>
    <w:rsid w:val="00207208"/>
    <w:rsid w:val="00207261"/>
    <w:rsid w:val="00207314"/>
    <w:rsid w:val="00207343"/>
    <w:rsid w:val="00207374"/>
    <w:rsid w:val="0020739C"/>
    <w:rsid w:val="002073D6"/>
    <w:rsid w:val="0020748E"/>
    <w:rsid w:val="002074FA"/>
    <w:rsid w:val="00207508"/>
    <w:rsid w:val="00207527"/>
    <w:rsid w:val="00207572"/>
    <w:rsid w:val="00207638"/>
    <w:rsid w:val="002076C6"/>
    <w:rsid w:val="00207719"/>
    <w:rsid w:val="0020772C"/>
    <w:rsid w:val="002077DA"/>
    <w:rsid w:val="0020781B"/>
    <w:rsid w:val="0020782D"/>
    <w:rsid w:val="0020784D"/>
    <w:rsid w:val="0020785F"/>
    <w:rsid w:val="002078A8"/>
    <w:rsid w:val="002078B8"/>
    <w:rsid w:val="002078FA"/>
    <w:rsid w:val="00207930"/>
    <w:rsid w:val="00207992"/>
    <w:rsid w:val="00207A5A"/>
    <w:rsid w:val="00207A61"/>
    <w:rsid w:val="00207AA2"/>
    <w:rsid w:val="00207ACC"/>
    <w:rsid w:val="00207AD5"/>
    <w:rsid w:val="00207B0D"/>
    <w:rsid w:val="00207B1F"/>
    <w:rsid w:val="00207B26"/>
    <w:rsid w:val="00207B95"/>
    <w:rsid w:val="00207BAC"/>
    <w:rsid w:val="00207C4B"/>
    <w:rsid w:val="00207DE4"/>
    <w:rsid w:val="00207E1B"/>
    <w:rsid w:val="00207E3C"/>
    <w:rsid w:val="00207EAF"/>
    <w:rsid w:val="00207EB3"/>
    <w:rsid w:val="00207EC4"/>
    <w:rsid w:val="00207EE3"/>
    <w:rsid w:val="00207F95"/>
    <w:rsid w:val="00207F9F"/>
    <w:rsid w:val="00207FBF"/>
    <w:rsid w:val="00210032"/>
    <w:rsid w:val="0021003C"/>
    <w:rsid w:val="00210058"/>
    <w:rsid w:val="00210062"/>
    <w:rsid w:val="00210077"/>
    <w:rsid w:val="002100D0"/>
    <w:rsid w:val="00210105"/>
    <w:rsid w:val="00210189"/>
    <w:rsid w:val="0021024A"/>
    <w:rsid w:val="00210299"/>
    <w:rsid w:val="002102A7"/>
    <w:rsid w:val="002103D1"/>
    <w:rsid w:val="002103D5"/>
    <w:rsid w:val="002103D9"/>
    <w:rsid w:val="00210412"/>
    <w:rsid w:val="00210424"/>
    <w:rsid w:val="00210463"/>
    <w:rsid w:val="00210491"/>
    <w:rsid w:val="00210565"/>
    <w:rsid w:val="0021057B"/>
    <w:rsid w:val="0021058A"/>
    <w:rsid w:val="002105B4"/>
    <w:rsid w:val="002105F3"/>
    <w:rsid w:val="002106B7"/>
    <w:rsid w:val="00210721"/>
    <w:rsid w:val="00210733"/>
    <w:rsid w:val="00210752"/>
    <w:rsid w:val="0021082C"/>
    <w:rsid w:val="0021083C"/>
    <w:rsid w:val="0021086D"/>
    <w:rsid w:val="0021095A"/>
    <w:rsid w:val="0021095D"/>
    <w:rsid w:val="002109A2"/>
    <w:rsid w:val="002109C9"/>
    <w:rsid w:val="002109EE"/>
    <w:rsid w:val="00210A59"/>
    <w:rsid w:val="00210AD1"/>
    <w:rsid w:val="00210ADA"/>
    <w:rsid w:val="00210B78"/>
    <w:rsid w:val="00210C47"/>
    <w:rsid w:val="00210C4D"/>
    <w:rsid w:val="00210CAC"/>
    <w:rsid w:val="00210CBF"/>
    <w:rsid w:val="00210D78"/>
    <w:rsid w:val="00210DBE"/>
    <w:rsid w:val="00210E0E"/>
    <w:rsid w:val="00210E5A"/>
    <w:rsid w:val="00210F8E"/>
    <w:rsid w:val="00210FB9"/>
    <w:rsid w:val="00211057"/>
    <w:rsid w:val="00211063"/>
    <w:rsid w:val="002110DD"/>
    <w:rsid w:val="002110ED"/>
    <w:rsid w:val="00211126"/>
    <w:rsid w:val="00211229"/>
    <w:rsid w:val="0021123B"/>
    <w:rsid w:val="002112DC"/>
    <w:rsid w:val="00211305"/>
    <w:rsid w:val="00211394"/>
    <w:rsid w:val="002113CE"/>
    <w:rsid w:val="002113DC"/>
    <w:rsid w:val="00211477"/>
    <w:rsid w:val="002114F4"/>
    <w:rsid w:val="00211567"/>
    <w:rsid w:val="002115E0"/>
    <w:rsid w:val="002115F4"/>
    <w:rsid w:val="002116C3"/>
    <w:rsid w:val="00211729"/>
    <w:rsid w:val="0021177B"/>
    <w:rsid w:val="002117B6"/>
    <w:rsid w:val="002117E6"/>
    <w:rsid w:val="00211845"/>
    <w:rsid w:val="002118CB"/>
    <w:rsid w:val="002118E3"/>
    <w:rsid w:val="002118F3"/>
    <w:rsid w:val="00211975"/>
    <w:rsid w:val="002119B7"/>
    <w:rsid w:val="00211A41"/>
    <w:rsid w:val="00211A8B"/>
    <w:rsid w:val="00211B50"/>
    <w:rsid w:val="00211B58"/>
    <w:rsid w:val="00211B65"/>
    <w:rsid w:val="00211B8C"/>
    <w:rsid w:val="00211B9F"/>
    <w:rsid w:val="00211C5F"/>
    <w:rsid w:val="00211CE1"/>
    <w:rsid w:val="00211D29"/>
    <w:rsid w:val="00211D59"/>
    <w:rsid w:val="00211DE6"/>
    <w:rsid w:val="00211E5E"/>
    <w:rsid w:val="00211E7B"/>
    <w:rsid w:val="00211EDB"/>
    <w:rsid w:val="00211F15"/>
    <w:rsid w:val="00211F25"/>
    <w:rsid w:val="00212074"/>
    <w:rsid w:val="00212099"/>
    <w:rsid w:val="002120AB"/>
    <w:rsid w:val="002120BC"/>
    <w:rsid w:val="002120C5"/>
    <w:rsid w:val="002120D6"/>
    <w:rsid w:val="00212105"/>
    <w:rsid w:val="00212175"/>
    <w:rsid w:val="0021220B"/>
    <w:rsid w:val="0021221A"/>
    <w:rsid w:val="00212222"/>
    <w:rsid w:val="0021229C"/>
    <w:rsid w:val="002122CC"/>
    <w:rsid w:val="002123C5"/>
    <w:rsid w:val="002123D3"/>
    <w:rsid w:val="00212439"/>
    <w:rsid w:val="00212518"/>
    <w:rsid w:val="00212521"/>
    <w:rsid w:val="00212579"/>
    <w:rsid w:val="002125CD"/>
    <w:rsid w:val="002125FA"/>
    <w:rsid w:val="0021262D"/>
    <w:rsid w:val="0021265A"/>
    <w:rsid w:val="00212686"/>
    <w:rsid w:val="002126DC"/>
    <w:rsid w:val="0021274B"/>
    <w:rsid w:val="00212777"/>
    <w:rsid w:val="002127CD"/>
    <w:rsid w:val="002128BB"/>
    <w:rsid w:val="002128D5"/>
    <w:rsid w:val="002128D8"/>
    <w:rsid w:val="00212929"/>
    <w:rsid w:val="00212949"/>
    <w:rsid w:val="00212995"/>
    <w:rsid w:val="002129BB"/>
    <w:rsid w:val="00212A11"/>
    <w:rsid w:val="00212A2D"/>
    <w:rsid w:val="00212A42"/>
    <w:rsid w:val="00212A6B"/>
    <w:rsid w:val="00212A70"/>
    <w:rsid w:val="00212AD6"/>
    <w:rsid w:val="00212BC9"/>
    <w:rsid w:val="00212BFE"/>
    <w:rsid w:val="00212C07"/>
    <w:rsid w:val="00212C23"/>
    <w:rsid w:val="00212C3F"/>
    <w:rsid w:val="00212E26"/>
    <w:rsid w:val="00212E8D"/>
    <w:rsid w:val="00212F53"/>
    <w:rsid w:val="00212FB9"/>
    <w:rsid w:val="00212FE2"/>
    <w:rsid w:val="0021308F"/>
    <w:rsid w:val="002130AE"/>
    <w:rsid w:val="00213115"/>
    <w:rsid w:val="0021318E"/>
    <w:rsid w:val="002132B6"/>
    <w:rsid w:val="002132E4"/>
    <w:rsid w:val="00213324"/>
    <w:rsid w:val="0021332A"/>
    <w:rsid w:val="00213342"/>
    <w:rsid w:val="002133E5"/>
    <w:rsid w:val="002133F9"/>
    <w:rsid w:val="002134A1"/>
    <w:rsid w:val="002134E0"/>
    <w:rsid w:val="002135EF"/>
    <w:rsid w:val="00213658"/>
    <w:rsid w:val="00213695"/>
    <w:rsid w:val="002136C2"/>
    <w:rsid w:val="002137E5"/>
    <w:rsid w:val="002137E6"/>
    <w:rsid w:val="00213897"/>
    <w:rsid w:val="0021390D"/>
    <w:rsid w:val="00213945"/>
    <w:rsid w:val="00213953"/>
    <w:rsid w:val="00213967"/>
    <w:rsid w:val="0021399C"/>
    <w:rsid w:val="00213A37"/>
    <w:rsid w:val="00213A9C"/>
    <w:rsid w:val="00213AA6"/>
    <w:rsid w:val="00213AE2"/>
    <w:rsid w:val="00213B5B"/>
    <w:rsid w:val="00213B5E"/>
    <w:rsid w:val="00213B8D"/>
    <w:rsid w:val="00213BA7"/>
    <w:rsid w:val="00213BCD"/>
    <w:rsid w:val="00213BF4"/>
    <w:rsid w:val="00213C67"/>
    <w:rsid w:val="00213C6D"/>
    <w:rsid w:val="00213DD4"/>
    <w:rsid w:val="00213DDD"/>
    <w:rsid w:val="00213E4B"/>
    <w:rsid w:val="00213E96"/>
    <w:rsid w:val="00213F6A"/>
    <w:rsid w:val="00214018"/>
    <w:rsid w:val="0021404D"/>
    <w:rsid w:val="0021409A"/>
    <w:rsid w:val="002140DA"/>
    <w:rsid w:val="002140E0"/>
    <w:rsid w:val="002140EF"/>
    <w:rsid w:val="00214139"/>
    <w:rsid w:val="0021416F"/>
    <w:rsid w:val="002141BA"/>
    <w:rsid w:val="00214275"/>
    <w:rsid w:val="0021427E"/>
    <w:rsid w:val="002142AC"/>
    <w:rsid w:val="0021431D"/>
    <w:rsid w:val="002143A0"/>
    <w:rsid w:val="002143A8"/>
    <w:rsid w:val="002143C5"/>
    <w:rsid w:val="002143DF"/>
    <w:rsid w:val="002143F1"/>
    <w:rsid w:val="002143FC"/>
    <w:rsid w:val="002144A6"/>
    <w:rsid w:val="002144C9"/>
    <w:rsid w:val="00214578"/>
    <w:rsid w:val="002145CA"/>
    <w:rsid w:val="002145DF"/>
    <w:rsid w:val="00214608"/>
    <w:rsid w:val="00214683"/>
    <w:rsid w:val="0021469A"/>
    <w:rsid w:val="002146FA"/>
    <w:rsid w:val="0021471A"/>
    <w:rsid w:val="002147A8"/>
    <w:rsid w:val="002147DD"/>
    <w:rsid w:val="002147FF"/>
    <w:rsid w:val="00214824"/>
    <w:rsid w:val="00214927"/>
    <w:rsid w:val="0021497B"/>
    <w:rsid w:val="00214AC3"/>
    <w:rsid w:val="00214ACB"/>
    <w:rsid w:val="00214B2E"/>
    <w:rsid w:val="00214BAE"/>
    <w:rsid w:val="00214C65"/>
    <w:rsid w:val="00214CB0"/>
    <w:rsid w:val="00214D73"/>
    <w:rsid w:val="00214DA5"/>
    <w:rsid w:val="00214E62"/>
    <w:rsid w:val="00214E85"/>
    <w:rsid w:val="00214F0E"/>
    <w:rsid w:val="00214F45"/>
    <w:rsid w:val="00214F93"/>
    <w:rsid w:val="00214F94"/>
    <w:rsid w:val="00214FE2"/>
    <w:rsid w:val="0021500F"/>
    <w:rsid w:val="00215052"/>
    <w:rsid w:val="00215111"/>
    <w:rsid w:val="00215137"/>
    <w:rsid w:val="0021513E"/>
    <w:rsid w:val="00215143"/>
    <w:rsid w:val="00215197"/>
    <w:rsid w:val="00215198"/>
    <w:rsid w:val="00215199"/>
    <w:rsid w:val="002151AD"/>
    <w:rsid w:val="00215201"/>
    <w:rsid w:val="002152BD"/>
    <w:rsid w:val="00215384"/>
    <w:rsid w:val="002153E3"/>
    <w:rsid w:val="00215421"/>
    <w:rsid w:val="00215443"/>
    <w:rsid w:val="00215484"/>
    <w:rsid w:val="00215499"/>
    <w:rsid w:val="002154E5"/>
    <w:rsid w:val="00215574"/>
    <w:rsid w:val="0021560A"/>
    <w:rsid w:val="0021563A"/>
    <w:rsid w:val="002156C7"/>
    <w:rsid w:val="00215759"/>
    <w:rsid w:val="0021578D"/>
    <w:rsid w:val="0021581B"/>
    <w:rsid w:val="00215886"/>
    <w:rsid w:val="00215913"/>
    <w:rsid w:val="00215981"/>
    <w:rsid w:val="00215A13"/>
    <w:rsid w:val="00215A3E"/>
    <w:rsid w:val="00215A69"/>
    <w:rsid w:val="00215A96"/>
    <w:rsid w:val="00215B68"/>
    <w:rsid w:val="00215C1A"/>
    <w:rsid w:val="00215C2E"/>
    <w:rsid w:val="00215C45"/>
    <w:rsid w:val="00215C7F"/>
    <w:rsid w:val="00215CA2"/>
    <w:rsid w:val="00215CB5"/>
    <w:rsid w:val="00215CF4"/>
    <w:rsid w:val="00215E19"/>
    <w:rsid w:val="00215E47"/>
    <w:rsid w:val="00215E9D"/>
    <w:rsid w:val="00215F22"/>
    <w:rsid w:val="00215F90"/>
    <w:rsid w:val="00215F95"/>
    <w:rsid w:val="00215FBE"/>
    <w:rsid w:val="0021600F"/>
    <w:rsid w:val="00216033"/>
    <w:rsid w:val="002160C2"/>
    <w:rsid w:val="002161C1"/>
    <w:rsid w:val="002161DC"/>
    <w:rsid w:val="00216208"/>
    <w:rsid w:val="0021621F"/>
    <w:rsid w:val="00216230"/>
    <w:rsid w:val="00216255"/>
    <w:rsid w:val="00216262"/>
    <w:rsid w:val="002162D0"/>
    <w:rsid w:val="002162F3"/>
    <w:rsid w:val="00216303"/>
    <w:rsid w:val="00216331"/>
    <w:rsid w:val="0021635B"/>
    <w:rsid w:val="002163D7"/>
    <w:rsid w:val="00216401"/>
    <w:rsid w:val="00216475"/>
    <w:rsid w:val="00216481"/>
    <w:rsid w:val="00216496"/>
    <w:rsid w:val="0021649E"/>
    <w:rsid w:val="00216571"/>
    <w:rsid w:val="002165A5"/>
    <w:rsid w:val="002165E9"/>
    <w:rsid w:val="0021663E"/>
    <w:rsid w:val="00216652"/>
    <w:rsid w:val="00216714"/>
    <w:rsid w:val="0021672F"/>
    <w:rsid w:val="00216768"/>
    <w:rsid w:val="00216771"/>
    <w:rsid w:val="00216775"/>
    <w:rsid w:val="00216779"/>
    <w:rsid w:val="002167AC"/>
    <w:rsid w:val="00216AE3"/>
    <w:rsid w:val="00216B18"/>
    <w:rsid w:val="00216BB4"/>
    <w:rsid w:val="00216BF7"/>
    <w:rsid w:val="00216CC7"/>
    <w:rsid w:val="00216CCD"/>
    <w:rsid w:val="00216D6D"/>
    <w:rsid w:val="00216D76"/>
    <w:rsid w:val="00216D7B"/>
    <w:rsid w:val="00216DDC"/>
    <w:rsid w:val="00216E20"/>
    <w:rsid w:val="00216EB1"/>
    <w:rsid w:val="00216EFB"/>
    <w:rsid w:val="00216F07"/>
    <w:rsid w:val="00216F2C"/>
    <w:rsid w:val="00216F5B"/>
    <w:rsid w:val="00217093"/>
    <w:rsid w:val="002170AC"/>
    <w:rsid w:val="002170D2"/>
    <w:rsid w:val="002170F3"/>
    <w:rsid w:val="00217104"/>
    <w:rsid w:val="00217137"/>
    <w:rsid w:val="0021718D"/>
    <w:rsid w:val="0021726D"/>
    <w:rsid w:val="0021727B"/>
    <w:rsid w:val="002172A9"/>
    <w:rsid w:val="002172C3"/>
    <w:rsid w:val="002172F8"/>
    <w:rsid w:val="0021744A"/>
    <w:rsid w:val="00217455"/>
    <w:rsid w:val="00217502"/>
    <w:rsid w:val="00217541"/>
    <w:rsid w:val="002175C0"/>
    <w:rsid w:val="002175E9"/>
    <w:rsid w:val="002175EE"/>
    <w:rsid w:val="00217697"/>
    <w:rsid w:val="0021769D"/>
    <w:rsid w:val="002176A7"/>
    <w:rsid w:val="002176C6"/>
    <w:rsid w:val="0021771D"/>
    <w:rsid w:val="00217724"/>
    <w:rsid w:val="00217772"/>
    <w:rsid w:val="00217792"/>
    <w:rsid w:val="002177F8"/>
    <w:rsid w:val="0021791B"/>
    <w:rsid w:val="0021792C"/>
    <w:rsid w:val="00217954"/>
    <w:rsid w:val="00217A10"/>
    <w:rsid w:val="00217A3E"/>
    <w:rsid w:val="00217A7E"/>
    <w:rsid w:val="00217B16"/>
    <w:rsid w:val="00217B1E"/>
    <w:rsid w:val="00217B25"/>
    <w:rsid w:val="00217B40"/>
    <w:rsid w:val="00217C1D"/>
    <w:rsid w:val="00217D24"/>
    <w:rsid w:val="00217D9B"/>
    <w:rsid w:val="00217DAC"/>
    <w:rsid w:val="00217DCF"/>
    <w:rsid w:val="00217ECE"/>
    <w:rsid w:val="00217F04"/>
    <w:rsid w:val="00217F49"/>
    <w:rsid w:val="00217F61"/>
    <w:rsid w:val="002200C5"/>
    <w:rsid w:val="002201DD"/>
    <w:rsid w:val="00220230"/>
    <w:rsid w:val="00220266"/>
    <w:rsid w:val="0022027E"/>
    <w:rsid w:val="00220327"/>
    <w:rsid w:val="00220333"/>
    <w:rsid w:val="0022033B"/>
    <w:rsid w:val="00220393"/>
    <w:rsid w:val="002203FF"/>
    <w:rsid w:val="00220409"/>
    <w:rsid w:val="00220422"/>
    <w:rsid w:val="00220536"/>
    <w:rsid w:val="00220541"/>
    <w:rsid w:val="0022054A"/>
    <w:rsid w:val="00220560"/>
    <w:rsid w:val="00220563"/>
    <w:rsid w:val="002205E1"/>
    <w:rsid w:val="002205F4"/>
    <w:rsid w:val="002206B9"/>
    <w:rsid w:val="0022070B"/>
    <w:rsid w:val="0022072D"/>
    <w:rsid w:val="0022086E"/>
    <w:rsid w:val="00220924"/>
    <w:rsid w:val="002209DF"/>
    <w:rsid w:val="00220A0E"/>
    <w:rsid w:val="00220AB5"/>
    <w:rsid w:val="00220C37"/>
    <w:rsid w:val="00220CC8"/>
    <w:rsid w:val="00220CD7"/>
    <w:rsid w:val="00220DA2"/>
    <w:rsid w:val="00220E27"/>
    <w:rsid w:val="00220E44"/>
    <w:rsid w:val="00220E59"/>
    <w:rsid w:val="00220E77"/>
    <w:rsid w:val="00220E78"/>
    <w:rsid w:val="00220F28"/>
    <w:rsid w:val="00220FC4"/>
    <w:rsid w:val="00220FE4"/>
    <w:rsid w:val="00220FFE"/>
    <w:rsid w:val="0022119B"/>
    <w:rsid w:val="002211AA"/>
    <w:rsid w:val="002211F6"/>
    <w:rsid w:val="0022124C"/>
    <w:rsid w:val="00221262"/>
    <w:rsid w:val="002212C1"/>
    <w:rsid w:val="00221325"/>
    <w:rsid w:val="00221368"/>
    <w:rsid w:val="00221417"/>
    <w:rsid w:val="0022148A"/>
    <w:rsid w:val="0022151D"/>
    <w:rsid w:val="0022155B"/>
    <w:rsid w:val="00221582"/>
    <w:rsid w:val="00221636"/>
    <w:rsid w:val="002216BA"/>
    <w:rsid w:val="00221706"/>
    <w:rsid w:val="002217F5"/>
    <w:rsid w:val="0022183A"/>
    <w:rsid w:val="00221899"/>
    <w:rsid w:val="002218A7"/>
    <w:rsid w:val="00221963"/>
    <w:rsid w:val="0022199F"/>
    <w:rsid w:val="002219A9"/>
    <w:rsid w:val="00221A99"/>
    <w:rsid w:val="00221B5D"/>
    <w:rsid w:val="00221BD7"/>
    <w:rsid w:val="00221C1C"/>
    <w:rsid w:val="00221C22"/>
    <w:rsid w:val="00221C57"/>
    <w:rsid w:val="00221C97"/>
    <w:rsid w:val="00221DCD"/>
    <w:rsid w:val="00221DD9"/>
    <w:rsid w:val="00221DE7"/>
    <w:rsid w:val="00221DF8"/>
    <w:rsid w:val="00221E69"/>
    <w:rsid w:val="00221E74"/>
    <w:rsid w:val="00221F64"/>
    <w:rsid w:val="00221F6E"/>
    <w:rsid w:val="00221F8B"/>
    <w:rsid w:val="00221FE0"/>
    <w:rsid w:val="00222135"/>
    <w:rsid w:val="00222146"/>
    <w:rsid w:val="00222195"/>
    <w:rsid w:val="002221D2"/>
    <w:rsid w:val="002221E0"/>
    <w:rsid w:val="00222209"/>
    <w:rsid w:val="00222243"/>
    <w:rsid w:val="00222264"/>
    <w:rsid w:val="002222FE"/>
    <w:rsid w:val="00222302"/>
    <w:rsid w:val="00222317"/>
    <w:rsid w:val="00222379"/>
    <w:rsid w:val="00222381"/>
    <w:rsid w:val="0022238E"/>
    <w:rsid w:val="002223B9"/>
    <w:rsid w:val="002223CB"/>
    <w:rsid w:val="002223E7"/>
    <w:rsid w:val="002223F6"/>
    <w:rsid w:val="002223FE"/>
    <w:rsid w:val="0022244B"/>
    <w:rsid w:val="002225C3"/>
    <w:rsid w:val="002225F4"/>
    <w:rsid w:val="00222626"/>
    <w:rsid w:val="002226A0"/>
    <w:rsid w:val="002226E0"/>
    <w:rsid w:val="0022276B"/>
    <w:rsid w:val="002227AB"/>
    <w:rsid w:val="002227D8"/>
    <w:rsid w:val="00222808"/>
    <w:rsid w:val="00222811"/>
    <w:rsid w:val="00222892"/>
    <w:rsid w:val="00222908"/>
    <w:rsid w:val="0022292C"/>
    <w:rsid w:val="00222998"/>
    <w:rsid w:val="00222A4C"/>
    <w:rsid w:val="00222A5D"/>
    <w:rsid w:val="00222A70"/>
    <w:rsid w:val="00222AB6"/>
    <w:rsid w:val="00222B0B"/>
    <w:rsid w:val="00222B11"/>
    <w:rsid w:val="00222B56"/>
    <w:rsid w:val="00222B7D"/>
    <w:rsid w:val="00222BA2"/>
    <w:rsid w:val="00222BF8"/>
    <w:rsid w:val="00222BFA"/>
    <w:rsid w:val="00222C00"/>
    <w:rsid w:val="00222D1A"/>
    <w:rsid w:val="00222E4D"/>
    <w:rsid w:val="00222F35"/>
    <w:rsid w:val="00222F46"/>
    <w:rsid w:val="0022300D"/>
    <w:rsid w:val="0022302E"/>
    <w:rsid w:val="002230A1"/>
    <w:rsid w:val="002230FA"/>
    <w:rsid w:val="0022314C"/>
    <w:rsid w:val="002231BC"/>
    <w:rsid w:val="0022320F"/>
    <w:rsid w:val="0022325D"/>
    <w:rsid w:val="00223324"/>
    <w:rsid w:val="00223373"/>
    <w:rsid w:val="00223392"/>
    <w:rsid w:val="002233C7"/>
    <w:rsid w:val="00223487"/>
    <w:rsid w:val="00223513"/>
    <w:rsid w:val="0022352E"/>
    <w:rsid w:val="00223544"/>
    <w:rsid w:val="00223549"/>
    <w:rsid w:val="002235DF"/>
    <w:rsid w:val="002235EA"/>
    <w:rsid w:val="00223608"/>
    <w:rsid w:val="00223623"/>
    <w:rsid w:val="002236C6"/>
    <w:rsid w:val="002236DD"/>
    <w:rsid w:val="0022375D"/>
    <w:rsid w:val="0022378F"/>
    <w:rsid w:val="002237F0"/>
    <w:rsid w:val="002237F7"/>
    <w:rsid w:val="002238BB"/>
    <w:rsid w:val="002238BD"/>
    <w:rsid w:val="002238C1"/>
    <w:rsid w:val="0022393F"/>
    <w:rsid w:val="0022397E"/>
    <w:rsid w:val="00223989"/>
    <w:rsid w:val="00223993"/>
    <w:rsid w:val="002239D9"/>
    <w:rsid w:val="002239F3"/>
    <w:rsid w:val="00223A42"/>
    <w:rsid w:val="00223A44"/>
    <w:rsid w:val="00223ACA"/>
    <w:rsid w:val="00223AD3"/>
    <w:rsid w:val="00223BD0"/>
    <w:rsid w:val="00223CF8"/>
    <w:rsid w:val="00223DFB"/>
    <w:rsid w:val="00223E12"/>
    <w:rsid w:val="00223E20"/>
    <w:rsid w:val="00223F14"/>
    <w:rsid w:val="00223F9F"/>
    <w:rsid w:val="0022404C"/>
    <w:rsid w:val="002240AA"/>
    <w:rsid w:val="00224103"/>
    <w:rsid w:val="002241BF"/>
    <w:rsid w:val="002242AC"/>
    <w:rsid w:val="00224324"/>
    <w:rsid w:val="002243E8"/>
    <w:rsid w:val="00224412"/>
    <w:rsid w:val="00224469"/>
    <w:rsid w:val="00224482"/>
    <w:rsid w:val="00224505"/>
    <w:rsid w:val="0022451D"/>
    <w:rsid w:val="0022458C"/>
    <w:rsid w:val="002245B8"/>
    <w:rsid w:val="002245DE"/>
    <w:rsid w:val="002247B8"/>
    <w:rsid w:val="002247D8"/>
    <w:rsid w:val="00224861"/>
    <w:rsid w:val="00224896"/>
    <w:rsid w:val="00224903"/>
    <w:rsid w:val="0022493C"/>
    <w:rsid w:val="00224963"/>
    <w:rsid w:val="00224A0D"/>
    <w:rsid w:val="00224A6B"/>
    <w:rsid w:val="00224A7B"/>
    <w:rsid w:val="00224A86"/>
    <w:rsid w:val="00224B0A"/>
    <w:rsid w:val="00224B14"/>
    <w:rsid w:val="00224B68"/>
    <w:rsid w:val="00224BEA"/>
    <w:rsid w:val="00224C2D"/>
    <w:rsid w:val="00224C3F"/>
    <w:rsid w:val="00224C55"/>
    <w:rsid w:val="00224C94"/>
    <w:rsid w:val="00224C9E"/>
    <w:rsid w:val="00224CC5"/>
    <w:rsid w:val="00224D53"/>
    <w:rsid w:val="00224D8E"/>
    <w:rsid w:val="00224E4B"/>
    <w:rsid w:val="00224E71"/>
    <w:rsid w:val="00224EA9"/>
    <w:rsid w:val="00224EAD"/>
    <w:rsid w:val="00224EE6"/>
    <w:rsid w:val="00224F34"/>
    <w:rsid w:val="00224F76"/>
    <w:rsid w:val="00224F7C"/>
    <w:rsid w:val="00224FFD"/>
    <w:rsid w:val="002250AB"/>
    <w:rsid w:val="002250FD"/>
    <w:rsid w:val="00225288"/>
    <w:rsid w:val="00225336"/>
    <w:rsid w:val="0022533B"/>
    <w:rsid w:val="0022533D"/>
    <w:rsid w:val="00225344"/>
    <w:rsid w:val="00225364"/>
    <w:rsid w:val="00225372"/>
    <w:rsid w:val="0022539B"/>
    <w:rsid w:val="002253CD"/>
    <w:rsid w:val="002253DD"/>
    <w:rsid w:val="00225420"/>
    <w:rsid w:val="0022542E"/>
    <w:rsid w:val="00225469"/>
    <w:rsid w:val="00225541"/>
    <w:rsid w:val="0022554B"/>
    <w:rsid w:val="0022556C"/>
    <w:rsid w:val="00225627"/>
    <w:rsid w:val="002256C5"/>
    <w:rsid w:val="00225728"/>
    <w:rsid w:val="0022583D"/>
    <w:rsid w:val="00225865"/>
    <w:rsid w:val="002258CC"/>
    <w:rsid w:val="00225901"/>
    <w:rsid w:val="00225950"/>
    <w:rsid w:val="002259CB"/>
    <w:rsid w:val="002259FB"/>
    <w:rsid w:val="00225A48"/>
    <w:rsid w:val="00225A97"/>
    <w:rsid w:val="00225AAB"/>
    <w:rsid w:val="00225B22"/>
    <w:rsid w:val="00225B94"/>
    <w:rsid w:val="00225BA8"/>
    <w:rsid w:val="00225C04"/>
    <w:rsid w:val="00225C7D"/>
    <w:rsid w:val="00225CD3"/>
    <w:rsid w:val="00225D04"/>
    <w:rsid w:val="00225DA0"/>
    <w:rsid w:val="00225DF7"/>
    <w:rsid w:val="00225EB6"/>
    <w:rsid w:val="00225EE2"/>
    <w:rsid w:val="00225F00"/>
    <w:rsid w:val="00225F02"/>
    <w:rsid w:val="00225FE5"/>
    <w:rsid w:val="00226037"/>
    <w:rsid w:val="00226103"/>
    <w:rsid w:val="00226104"/>
    <w:rsid w:val="00226115"/>
    <w:rsid w:val="00226218"/>
    <w:rsid w:val="00226250"/>
    <w:rsid w:val="00226257"/>
    <w:rsid w:val="0022629F"/>
    <w:rsid w:val="00226341"/>
    <w:rsid w:val="00226358"/>
    <w:rsid w:val="00226393"/>
    <w:rsid w:val="002263B6"/>
    <w:rsid w:val="002263FF"/>
    <w:rsid w:val="00226408"/>
    <w:rsid w:val="00226537"/>
    <w:rsid w:val="00226542"/>
    <w:rsid w:val="00226629"/>
    <w:rsid w:val="0022665C"/>
    <w:rsid w:val="00226674"/>
    <w:rsid w:val="00226696"/>
    <w:rsid w:val="00226729"/>
    <w:rsid w:val="002268B3"/>
    <w:rsid w:val="002268B4"/>
    <w:rsid w:val="002268B6"/>
    <w:rsid w:val="002268F1"/>
    <w:rsid w:val="00226947"/>
    <w:rsid w:val="002269A9"/>
    <w:rsid w:val="002269D2"/>
    <w:rsid w:val="002269E1"/>
    <w:rsid w:val="002269EB"/>
    <w:rsid w:val="00226A92"/>
    <w:rsid w:val="00226B14"/>
    <w:rsid w:val="00226B4C"/>
    <w:rsid w:val="00226B66"/>
    <w:rsid w:val="00226BB4"/>
    <w:rsid w:val="00226BF6"/>
    <w:rsid w:val="00226C56"/>
    <w:rsid w:val="00226C62"/>
    <w:rsid w:val="00226CE6"/>
    <w:rsid w:val="00226DCE"/>
    <w:rsid w:val="00226DD9"/>
    <w:rsid w:val="00226E99"/>
    <w:rsid w:val="00226EBB"/>
    <w:rsid w:val="00226ECC"/>
    <w:rsid w:val="00226ED4"/>
    <w:rsid w:val="00226F08"/>
    <w:rsid w:val="00226F19"/>
    <w:rsid w:val="00226F30"/>
    <w:rsid w:val="00226F42"/>
    <w:rsid w:val="00226F49"/>
    <w:rsid w:val="00226F70"/>
    <w:rsid w:val="00226FCA"/>
    <w:rsid w:val="00226FCD"/>
    <w:rsid w:val="00226FD8"/>
    <w:rsid w:val="00227021"/>
    <w:rsid w:val="00227087"/>
    <w:rsid w:val="0022708A"/>
    <w:rsid w:val="002270D5"/>
    <w:rsid w:val="002270E3"/>
    <w:rsid w:val="002270E6"/>
    <w:rsid w:val="002270F8"/>
    <w:rsid w:val="0022711E"/>
    <w:rsid w:val="00227160"/>
    <w:rsid w:val="002271B5"/>
    <w:rsid w:val="002271BC"/>
    <w:rsid w:val="002271EE"/>
    <w:rsid w:val="00227218"/>
    <w:rsid w:val="0022723C"/>
    <w:rsid w:val="00227258"/>
    <w:rsid w:val="0022728C"/>
    <w:rsid w:val="002272CD"/>
    <w:rsid w:val="002272EC"/>
    <w:rsid w:val="00227384"/>
    <w:rsid w:val="002273AF"/>
    <w:rsid w:val="002273C4"/>
    <w:rsid w:val="002273CE"/>
    <w:rsid w:val="0022743F"/>
    <w:rsid w:val="00227504"/>
    <w:rsid w:val="0022750B"/>
    <w:rsid w:val="002275A6"/>
    <w:rsid w:val="00227628"/>
    <w:rsid w:val="0022762D"/>
    <w:rsid w:val="00227674"/>
    <w:rsid w:val="002276C1"/>
    <w:rsid w:val="002276D2"/>
    <w:rsid w:val="002276EE"/>
    <w:rsid w:val="00227704"/>
    <w:rsid w:val="0022770F"/>
    <w:rsid w:val="0022776D"/>
    <w:rsid w:val="00227794"/>
    <w:rsid w:val="002277D2"/>
    <w:rsid w:val="002277F3"/>
    <w:rsid w:val="002277F5"/>
    <w:rsid w:val="002277F8"/>
    <w:rsid w:val="00227810"/>
    <w:rsid w:val="00227881"/>
    <w:rsid w:val="002278C3"/>
    <w:rsid w:val="00227A13"/>
    <w:rsid w:val="00227A36"/>
    <w:rsid w:val="00227A59"/>
    <w:rsid w:val="00227A5D"/>
    <w:rsid w:val="00227A85"/>
    <w:rsid w:val="00227A9E"/>
    <w:rsid w:val="00227B0F"/>
    <w:rsid w:val="00227B1A"/>
    <w:rsid w:val="00227C02"/>
    <w:rsid w:val="00227DA8"/>
    <w:rsid w:val="00227DB1"/>
    <w:rsid w:val="00227DBC"/>
    <w:rsid w:val="00227DC0"/>
    <w:rsid w:val="00227DC5"/>
    <w:rsid w:val="00227DC7"/>
    <w:rsid w:val="00227DD0"/>
    <w:rsid w:val="00227E21"/>
    <w:rsid w:val="00227E5C"/>
    <w:rsid w:val="00227EAB"/>
    <w:rsid w:val="00227F44"/>
    <w:rsid w:val="00227FC6"/>
    <w:rsid w:val="0023001C"/>
    <w:rsid w:val="0023002D"/>
    <w:rsid w:val="00230067"/>
    <w:rsid w:val="00230091"/>
    <w:rsid w:val="002300AD"/>
    <w:rsid w:val="002300D1"/>
    <w:rsid w:val="0023011E"/>
    <w:rsid w:val="002301AD"/>
    <w:rsid w:val="0023025B"/>
    <w:rsid w:val="002302FD"/>
    <w:rsid w:val="00230495"/>
    <w:rsid w:val="00230496"/>
    <w:rsid w:val="002305C8"/>
    <w:rsid w:val="002305D7"/>
    <w:rsid w:val="0023060E"/>
    <w:rsid w:val="0023061F"/>
    <w:rsid w:val="00230633"/>
    <w:rsid w:val="0023065E"/>
    <w:rsid w:val="0023068E"/>
    <w:rsid w:val="00230698"/>
    <w:rsid w:val="002306AC"/>
    <w:rsid w:val="002306AD"/>
    <w:rsid w:val="002306E2"/>
    <w:rsid w:val="0023074A"/>
    <w:rsid w:val="00230782"/>
    <w:rsid w:val="00230859"/>
    <w:rsid w:val="00230A5C"/>
    <w:rsid w:val="00230A84"/>
    <w:rsid w:val="00230AEC"/>
    <w:rsid w:val="00230AF0"/>
    <w:rsid w:val="00230B0F"/>
    <w:rsid w:val="00230B9A"/>
    <w:rsid w:val="00230C44"/>
    <w:rsid w:val="00230D6C"/>
    <w:rsid w:val="00230DDB"/>
    <w:rsid w:val="00230E10"/>
    <w:rsid w:val="00230E13"/>
    <w:rsid w:val="00230E3D"/>
    <w:rsid w:val="00230EBE"/>
    <w:rsid w:val="00230F02"/>
    <w:rsid w:val="00230F78"/>
    <w:rsid w:val="00230FBA"/>
    <w:rsid w:val="00231040"/>
    <w:rsid w:val="0023111D"/>
    <w:rsid w:val="00231124"/>
    <w:rsid w:val="00231187"/>
    <w:rsid w:val="00231259"/>
    <w:rsid w:val="0023125D"/>
    <w:rsid w:val="0023125F"/>
    <w:rsid w:val="00231279"/>
    <w:rsid w:val="0023129E"/>
    <w:rsid w:val="00231382"/>
    <w:rsid w:val="002313E0"/>
    <w:rsid w:val="0023146C"/>
    <w:rsid w:val="00231477"/>
    <w:rsid w:val="0023148D"/>
    <w:rsid w:val="0023150D"/>
    <w:rsid w:val="00231550"/>
    <w:rsid w:val="0023155A"/>
    <w:rsid w:val="0023156A"/>
    <w:rsid w:val="002315C5"/>
    <w:rsid w:val="002315E5"/>
    <w:rsid w:val="0023164B"/>
    <w:rsid w:val="0023173F"/>
    <w:rsid w:val="002317AA"/>
    <w:rsid w:val="002317AF"/>
    <w:rsid w:val="002317F7"/>
    <w:rsid w:val="00231876"/>
    <w:rsid w:val="0023189F"/>
    <w:rsid w:val="002318B9"/>
    <w:rsid w:val="002319C5"/>
    <w:rsid w:val="00231A37"/>
    <w:rsid w:val="00231BE1"/>
    <w:rsid w:val="00231C60"/>
    <w:rsid w:val="00231C98"/>
    <w:rsid w:val="00231C99"/>
    <w:rsid w:val="00231D0B"/>
    <w:rsid w:val="00231D2A"/>
    <w:rsid w:val="00231D58"/>
    <w:rsid w:val="00231F47"/>
    <w:rsid w:val="00231F87"/>
    <w:rsid w:val="00231FAE"/>
    <w:rsid w:val="00231FC4"/>
    <w:rsid w:val="00231FCA"/>
    <w:rsid w:val="00232082"/>
    <w:rsid w:val="00232091"/>
    <w:rsid w:val="002320D7"/>
    <w:rsid w:val="00232109"/>
    <w:rsid w:val="002321BC"/>
    <w:rsid w:val="00232239"/>
    <w:rsid w:val="002322C4"/>
    <w:rsid w:val="002322FD"/>
    <w:rsid w:val="0023231A"/>
    <w:rsid w:val="00232320"/>
    <w:rsid w:val="002323DF"/>
    <w:rsid w:val="00232428"/>
    <w:rsid w:val="0023249D"/>
    <w:rsid w:val="00232540"/>
    <w:rsid w:val="0023265E"/>
    <w:rsid w:val="00232735"/>
    <w:rsid w:val="00232769"/>
    <w:rsid w:val="002328D6"/>
    <w:rsid w:val="002328FC"/>
    <w:rsid w:val="00232A08"/>
    <w:rsid w:val="00232A41"/>
    <w:rsid w:val="00232AE9"/>
    <w:rsid w:val="00232B77"/>
    <w:rsid w:val="00232B92"/>
    <w:rsid w:val="00232C10"/>
    <w:rsid w:val="00232C19"/>
    <w:rsid w:val="00232C60"/>
    <w:rsid w:val="00232C7F"/>
    <w:rsid w:val="00232CDA"/>
    <w:rsid w:val="00232CF9"/>
    <w:rsid w:val="00232D60"/>
    <w:rsid w:val="002330AF"/>
    <w:rsid w:val="002330CA"/>
    <w:rsid w:val="0023310A"/>
    <w:rsid w:val="0023312E"/>
    <w:rsid w:val="00233223"/>
    <w:rsid w:val="0023333A"/>
    <w:rsid w:val="00233347"/>
    <w:rsid w:val="00233375"/>
    <w:rsid w:val="002333E7"/>
    <w:rsid w:val="00233400"/>
    <w:rsid w:val="0023350C"/>
    <w:rsid w:val="00233555"/>
    <w:rsid w:val="0023356E"/>
    <w:rsid w:val="00233585"/>
    <w:rsid w:val="0023358B"/>
    <w:rsid w:val="002335A5"/>
    <w:rsid w:val="002335B8"/>
    <w:rsid w:val="002335DD"/>
    <w:rsid w:val="00233605"/>
    <w:rsid w:val="002336BA"/>
    <w:rsid w:val="002336DF"/>
    <w:rsid w:val="00233749"/>
    <w:rsid w:val="0023375C"/>
    <w:rsid w:val="002337A8"/>
    <w:rsid w:val="00233854"/>
    <w:rsid w:val="0023388A"/>
    <w:rsid w:val="0023388D"/>
    <w:rsid w:val="0023389F"/>
    <w:rsid w:val="002338BC"/>
    <w:rsid w:val="0023391E"/>
    <w:rsid w:val="00233920"/>
    <w:rsid w:val="00233943"/>
    <w:rsid w:val="002339D2"/>
    <w:rsid w:val="002339EA"/>
    <w:rsid w:val="002339F9"/>
    <w:rsid w:val="002339FA"/>
    <w:rsid w:val="002339FC"/>
    <w:rsid w:val="00233A2E"/>
    <w:rsid w:val="00233AE9"/>
    <w:rsid w:val="00233B0A"/>
    <w:rsid w:val="00233B2A"/>
    <w:rsid w:val="00233B2C"/>
    <w:rsid w:val="00233B42"/>
    <w:rsid w:val="00233B4E"/>
    <w:rsid w:val="00233B51"/>
    <w:rsid w:val="00233B83"/>
    <w:rsid w:val="00233C13"/>
    <w:rsid w:val="00233C2C"/>
    <w:rsid w:val="00233C4A"/>
    <w:rsid w:val="00233C67"/>
    <w:rsid w:val="00233C7E"/>
    <w:rsid w:val="00233CCB"/>
    <w:rsid w:val="00233CCF"/>
    <w:rsid w:val="00233DAA"/>
    <w:rsid w:val="00233E07"/>
    <w:rsid w:val="00233E64"/>
    <w:rsid w:val="00233F4F"/>
    <w:rsid w:val="00233F51"/>
    <w:rsid w:val="00233F78"/>
    <w:rsid w:val="00233F88"/>
    <w:rsid w:val="00234059"/>
    <w:rsid w:val="0023406C"/>
    <w:rsid w:val="002340C6"/>
    <w:rsid w:val="002340D4"/>
    <w:rsid w:val="0023414E"/>
    <w:rsid w:val="002341E1"/>
    <w:rsid w:val="0023423A"/>
    <w:rsid w:val="002342A3"/>
    <w:rsid w:val="002342F0"/>
    <w:rsid w:val="00234307"/>
    <w:rsid w:val="0023432D"/>
    <w:rsid w:val="00234332"/>
    <w:rsid w:val="002343C7"/>
    <w:rsid w:val="002343D2"/>
    <w:rsid w:val="00234403"/>
    <w:rsid w:val="00234417"/>
    <w:rsid w:val="0023448A"/>
    <w:rsid w:val="0023462E"/>
    <w:rsid w:val="0023464E"/>
    <w:rsid w:val="00234667"/>
    <w:rsid w:val="00234685"/>
    <w:rsid w:val="002346AF"/>
    <w:rsid w:val="00234704"/>
    <w:rsid w:val="00234805"/>
    <w:rsid w:val="0023482B"/>
    <w:rsid w:val="0023487E"/>
    <w:rsid w:val="00234884"/>
    <w:rsid w:val="0023490D"/>
    <w:rsid w:val="00234913"/>
    <w:rsid w:val="00234949"/>
    <w:rsid w:val="0023494A"/>
    <w:rsid w:val="0023499D"/>
    <w:rsid w:val="002349EE"/>
    <w:rsid w:val="00234ADD"/>
    <w:rsid w:val="00234B66"/>
    <w:rsid w:val="00234BB1"/>
    <w:rsid w:val="00234BE5"/>
    <w:rsid w:val="00234C95"/>
    <w:rsid w:val="00234CDB"/>
    <w:rsid w:val="00234D1E"/>
    <w:rsid w:val="00234D6E"/>
    <w:rsid w:val="00234DD0"/>
    <w:rsid w:val="00234DF6"/>
    <w:rsid w:val="00234E2F"/>
    <w:rsid w:val="00234E43"/>
    <w:rsid w:val="00234E5A"/>
    <w:rsid w:val="00234F32"/>
    <w:rsid w:val="00234F6E"/>
    <w:rsid w:val="00234FFA"/>
    <w:rsid w:val="00235079"/>
    <w:rsid w:val="0023511F"/>
    <w:rsid w:val="00235152"/>
    <w:rsid w:val="002351C4"/>
    <w:rsid w:val="002351C9"/>
    <w:rsid w:val="002351E1"/>
    <w:rsid w:val="002351F1"/>
    <w:rsid w:val="002351FF"/>
    <w:rsid w:val="0023524B"/>
    <w:rsid w:val="002352C6"/>
    <w:rsid w:val="002353B8"/>
    <w:rsid w:val="002353BF"/>
    <w:rsid w:val="002353D0"/>
    <w:rsid w:val="002354CF"/>
    <w:rsid w:val="002355E8"/>
    <w:rsid w:val="002356A4"/>
    <w:rsid w:val="00235716"/>
    <w:rsid w:val="00235717"/>
    <w:rsid w:val="0023573E"/>
    <w:rsid w:val="00235769"/>
    <w:rsid w:val="002357A9"/>
    <w:rsid w:val="002357AD"/>
    <w:rsid w:val="002357D6"/>
    <w:rsid w:val="002357DE"/>
    <w:rsid w:val="0023589E"/>
    <w:rsid w:val="002358A7"/>
    <w:rsid w:val="00235909"/>
    <w:rsid w:val="00235925"/>
    <w:rsid w:val="002359E7"/>
    <w:rsid w:val="00235A49"/>
    <w:rsid w:val="00235A4E"/>
    <w:rsid w:val="00235B3F"/>
    <w:rsid w:val="00235BD1"/>
    <w:rsid w:val="00235BFD"/>
    <w:rsid w:val="00235C0C"/>
    <w:rsid w:val="00235C34"/>
    <w:rsid w:val="00235C6F"/>
    <w:rsid w:val="00235CC5"/>
    <w:rsid w:val="00235D1E"/>
    <w:rsid w:val="00235D84"/>
    <w:rsid w:val="00235E2D"/>
    <w:rsid w:val="00235E5D"/>
    <w:rsid w:val="00235E8E"/>
    <w:rsid w:val="00235EA7"/>
    <w:rsid w:val="00235EE4"/>
    <w:rsid w:val="00235F92"/>
    <w:rsid w:val="00235FA0"/>
    <w:rsid w:val="00236103"/>
    <w:rsid w:val="00236114"/>
    <w:rsid w:val="00236136"/>
    <w:rsid w:val="00236139"/>
    <w:rsid w:val="00236145"/>
    <w:rsid w:val="00236175"/>
    <w:rsid w:val="0023617F"/>
    <w:rsid w:val="002361B7"/>
    <w:rsid w:val="002361C0"/>
    <w:rsid w:val="002361EC"/>
    <w:rsid w:val="002362AF"/>
    <w:rsid w:val="002362D9"/>
    <w:rsid w:val="002362F4"/>
    <w:rsid w:val="00236302"/>
    <w:rsid w:val="00236336"/>
    <w:rsid w:val="00236381"/>
    <w:rsid w:val="002363AC"/>
    <w:rsid w:val="002363B4"/>
    <w:rsid w:val="002363DF"/>
    <w:rsid w:val="0023649F"/>
    <w:rsid w:val="002364D5"/>
    <w:rsid w:val="002364EB"/>
    <w:rsid w:val="0023650B"/>
    <w:rsid w:val="00236566"/>
    <w:rsid w:val="00236658"/>
    <w:rsid w:val="002366C9"/>
    <w:rsid w:val="002366E1"/>
    <w:rsid w:val="0023681E"/>
    <w:rsid w:val="00236959"/>
    <w:rsid w:val="00236A5C"/>
    <w:rsid w:val="00236A92"/>
    <w:rsid w:val="00236AA1"/>
    <w:rsid w:val="00236BCE"/>
    <w:rsid w:val="00236C26"/>
    <w:rsid w:val="00236CFB"/>
    <w:rsid w:val="00236D18"/>
    <w:rsid w:val="00236D19"/>
    <w:rsid w:val="00236DF7"/>
    <w:rsid w:val="00236E02"/>
    <w:rsid w:val="00236E10"/>
    <w:rsid w:val="00236EE2"/>
    <w:rsid w:val="00236F9B"/>
    <w:rsid w:val="00236FFA"/>
    <w:rsid w:val="00236FFE"/>
    <w:rsid w:val="00237028"/>
    <w:rsid w:val="00237037"/>
    <w:rsid w:val="00237048"/>
    <w:rsid w:val="002370D9"/>
    <w:rsid w:val="002370F4"/>
    <w:rsid w:val="0023711E"/>
    <w:rsid w:val="00237148"/>
    <w:rsid w:val="00237173"/>
    <w:rsid w:val="002371D7"/>
    <w:rsid w:val="00237217"/>
    <w:rsid w:val="0023727B"/>
    <w:rsid w:val="0023728C"/>
    <w:rsid w:val="002372C0"/>
    <w:rsid w:val="00237305"/>
    <w:rsid w:val="00237349"/>
    <w:rsid w:val="0023737D"/>
    <w:rsid w:val="002373DB"/>
    <w:rsid w:val="0023740F"/>
    <w:rsid w:val="00237457"/>
    <w:rsid w:val="002374FC"/>
    <w:rsid w:val="0023756A"/>
    <w:rsid w:val="0023759A"/>
    <w:rsid w:val="002375A9"/>
    <w:rsid w:val="002375CD"/>
    <w:rsid w:val="002375D0"/>
    <w:rsid w:val="002375D7"/>
    <w:rsid w:val="002375F0"/>
    <w:rsid w:val="00237605"/>
    <w:rsid w:val="002376B1"/>
    <w:rsid w:val="0023770E"/>
    <w:rsid w:val="00237773"/>
    <w:rsid w:val="002377B9"/>
    <w:rsid w:val="002377FB"/>
    <w:rsid w:val="00237813"/>
    <w:rsid w:val="00237816"/>
    <w:rsid w:val="002378DB"/>
    <w:rsid w:val="002378FB"/>
    <w:rsid w:val="0023790E"/>
    <w:rsid w:val="00237973"/>
    <w:rsid w:val="00237A77"/>
    <w:rsid w:val="00237AC0"/>
    <w:rsid w:val="00237CA1"/>
    <w:rsid w:val="00237CAA"/>
    <w:rsid w:val="00237CB3"/>
    <w:rsid w:val="00237CB5"/>
    <w:rsid w:val="00237D05"/>
    <w:rsid w:val="00237D2C"/>
    <w:rsid w:val="00237D83"/>
    <w:rsid w:val="00237DDC"/>
    <w:rsid w:val="00237E75"/>
    <w:rsid w:val="00237ED0"/>
    <w:rsid w:val="00237EFA"/>
    <w:rsid w:val="00237F12"/>
    <w:rsid w:val="00237FAD"/>
    <w:rsid w:val="00237FFA"/>
    <w:rsid w:val="0023AAC0"/>
    <w:rsid w:val="00240021"/>
    <w:rsid w:val="0024005C"/>
    <w:rsid w:val="002400C7"/>
    <w:rsid w:val="002400EA"/>
    <w:rsid w:val="00240183"/>
    <w:rsid w:val="00240187"/>
    <w:rsid w:val="00240197"/>
    <w:rsid w:val="00240268"/>
    <w:rsid w:val="002402CA"/>
    <w:rsid w:val="00240315"/>
    <w:rsid w:val="00240375"/>
    <w:rsid w:val="002403B9"/>
    <w:rsid w:val="002403C4"/>
    <w:rsid w:val="00240556"/>
    <w:rsid w:val="00240592"/>
    <w:rsid w:val="002405C0"/>
    <w:rsid w:val="002405FE"/>
    <w:rsid w:val="0024063B"/>
    <w:rsid w:val="00240640"/>
    <w:rsid w:val="00240654"/>
    <w:rsid w:val="002406F8"/>
    <w:rsid w:val="002407F9"/>
    <w:rsid w:val="0024084B"/>
    <w:rsid w:val="00240936"/>
    <w:rsid w:val="00240983"/>
    <w:rsid w:val="00240B94"/>
    <w:rsid w:val="00240C13"/>
    <w:rsid w:val="00240CFF"/>
    <w:rsid w:val="00240DDD"/>
    <w:rsid w:val="00240DEE"/>
    <w:rsid w:val="00240E82"/>
    <w:rsid w:val="00240EE8"/>
    <w:rsid w:val="002410C2"/>
    <w:rsid w:val="002410D3"/>
    <w:rsid w:val="002410FA"/>
    <w:rsid w:val="002410FF"/>
    <w:rsid w:val="00241107"/>
    <w:rsid w:val="00241144"/>
    <w:rsid w:val="00241148"/>
    <w:rsid w:val="002411BB"/>
    <w:rsid w:val="002411EF"/>
    <w:rsid w:val="00241202"/>
    <w:rsid w:val="00241213"/>
    <w:rsid w:val="00241248"/>
    <w:rsid w:val="002412C7"/>
    <w:rsid w:val="002412FD"/>
    <w:rsid w:val="00241368"/>
    <w:rsid w:val="002413BB"/>
    <w:rsid w:val="002414BE"/>
    <w:rsid w:val="002414DE"/>
    <w:rsid w:val="00241526"/>
    <w:rsid w:val="00241547"/>
    <w:rsid w:val="002415E5"/>
    <w:rsid w:val="002415F1"/>
    <w:rsid w:val="0024166B"/>
    <w:rsid w:val="002416F0"/>
    <w:rsid w:val="00241703"/>
    <w:rsid w:val="0024177A"/>
    <w:rsid w:val="002417FC"/>
    <w:rsid w:val="00241810"/>
    <w:rsid w:val="0024186B"/>
    <w:rsid w:val="00241879"/>
    <w:rsid w:val="00241883"/>
    <w:rsid w:val="00241912"/>
    <w:rsid w:val="0024192F"/>
    <w:rsid w:val="00241935"/>
    <w:rsid w:val="002419C0"/>
    <w:rsid w:val="002419D1"/>
    <w:rsid w:val="00241A46"/>
    <w:rsid w:val="00241A62"/>
    <w:rsid w:val="00241A82"/>
    <w:rsid w:val="00241A88"/>
    <w:rsid w:val="00241A99"/>
    <w:rsid w:val="00241AB1"/>
    <w:rsid w:val="00241AC5"/>
    <w:rsid w:val="00241AF6"/>
    <w:rsid w:val="00241AF7"/>
    <w:rsid w:val="00241AFE"/>
    <w:rsid w:val="00241B3A"/>
    <w:rsid w:val="00241B42"/>
    <w:rsid w:val="00241BCD"/>
    <w:rsid w:val="00241C6D"/>
    <w:rsid w:val="00241C8B"/>
    <w:rsid w:val="00241C93"/>
    <w:rsid w:val="00241D11"/>
    <w:rsid w:val="00241DA5"/>
    <w:rsid w:val="00241E4F"/>
    <w:rsid w:val="00241EEB"/>
    <w:rsid w:val="00241F11"/>
    <w:rsid w:val="00241F3E"/>
    <w:rsid w:val="00241F85"/>
    <w:rsid w:val="00241FF0"/>
    <w:rsid w:val="00241FF9"/>
    <w:rsid w:val="00242133"/>
    <w:rsid w:val="00242144"/>
    <w:rsid w:val="0024216B"/>
    <w:rsid w:val="00242216"/>
    <w:rsid w:val="0024234B"/>
    <w:rsid w:val="00242399"/>
    <w:rsid w:val="002423B3"/>
    <w:rsid w:val="002423FF"/>
    <w:rsid w:val="00242460"/>
    <w:rsid w:val="00242483"/>
    <w:rsid w:val="002424A6"/>
    <w:rsid w:val="002424EE"/>
    <w:rsid w:val="00242526"/>
    <w:rsid w:val="0024261B"/>
    <w:rsid w:val="00242677"/>
    <w:rsid w:val="002426D9"/>
    <w:rsid w:val="002426E8"/>
    <w:rsid w:val="00242701"/>
    <w:rsid w:val="002427BD"/>
    <w:rsid w:val="0024280B"/>
    <w:rsid w:val="00242815"/>
    <w:rsid w:val="0024282A"/>
    <w:rsid w:val="002428FC"/>
    <w:rsid w:val="00242967"/>
    <w:rsid w:val="002429E1"/>
    <w:rsid w:val="00242A11"/>
    <w:rsid w:val="00242A83"/>
    <w:rsid w:val="00242A97"/>
    <w:rsid w:val="00242AED"/>
    <w:rsid w:val="00242BA2"/>
    <w:rsid w:val="00242BBD"/>
    <w:rsid w:val="00242BE7"/>
    <w:rsid w:val="00242C05"/>
    <w:rsid w:val="00242C17"/>
    <w:rsid w:val="00242C19"/>
    <w:rsid w:val="00242C1D"/>
    <w:rsid w:val="00242D88"/>
    <w:rsid w:val="00242DB0"/>
    <w:rsid w:val="00242DC3"/>
    <w:rsid w:val="00242DF2"/>
    <w:rsid w:val="00242E33"/>
    <w:rsid w:val="00242F0D"/>
    <w:rsid w:val="00242F42"/>
    <w:rsid w:val="00242F61"/>
    <w:rsid w:val="00242FFD"/>
    <w:rsid w:val="0024303D"/>
    <w:rsid w:val="002430B3"/>
    <w:rsid w:val="00243117"/>
    <w:rsid w:val="00243126"/>
    <w:rsid w:val="0024312B"/>
    <w:rsid w:val="0024315D"/>
    <w:rsid w:val="00243162"/>
    <w:rsid w:val="00243168"/>
    <w:rsid w:val="002431C1"/>
    <w:rsid w:val="0024321D"/>
    <w:rsid w:val="00243279"/>
    <w:rsid w:val="002432E1"/>
    <w:rsid w:val="00243311"/>
    <w:rsid w:val="00243313"/>
    <w:rsid w:val="00243324"/>
    <w:rsid w:val="0024332D"/>
    <w:rsid w:val="00243386"/>
    <w:rsid w:val="00243391"/>
    <w:rsid w:val="0024340A"/>
    <w:rsid w:val="0024344F"/>
    <w:rsid w:val="0024348E"/>
    <w:rsid w:val="002434AD"/>
    <w:rsid w:val="002434CB"/>
    <w:rsid w:val="00243545"/>
    <w:rsid w:val="0024358C"/>
    <w:rsid w:val="00243596"/>
    <w:rsid w:val="0024365F"/>
    <w:rsid w:val="00243748"/>
    <w:rsid w:val="00243784"/>
    <w:rsid w:val="00243793"/>
    <w:rsid w:val="0024382F"/>
    <w:rsid w:val="00243872"/>
    <w:rsid w:val="0024388E"/>
    <w:rsid w:val="002438B3"/>
    <w:rsid w:val="00243944"/>
    <w:rsid w:val="00243966"/>
    <w:rsid w:val="00243974"/>
    <w:rsid w:val="00243ACB"/>
    <w:rsid w:val="00243B7E"/>
    <w:rsid w:val="00243BA5"/>
    <w:rsid w:val="00243C27"/>
    <w:rsid w:val="00243C49"/>
    <w:rsid w:val="00243C5C"/>
    <w:rsid w:val="00243C60"/>
    <w:rsid w:val="00243C97"/>
    <w:rsid w:val="00243D31"/>
    <w:rsid w:val="00243D8A"/>
    <w:rsid w:val="00243DC8"/>
    <w:rsid w:val="00243DD5"/>
    <w:rsid w:val="00243E95"/>
    <w:rsid w:val="00243EC5"/>
    <w:rsid w:val="00243EE5"/>
    <w:rsid w:val="00243F3E"/>
    <w:rsid w:val="00243F58"/>
    <w:rsid w:val="00243F6C"/>
    <w:rsid w:val="00243FA7"/>
    <w:rsid w:val="00243FC2"/>
    <w:rsid w:val="00243FE2"/>
    <w:rsid w:val="002441CB"/>
    <w:rsid w:val="002441D1"/>
    <w:rsid w:val="002441D9"/>
    <w:rsid w:val="002441DE"/>
    <w:rsid w:val="00244240"/>
    <w:rsid w:val="00244291"/>
    <w:rsid w:val="00244497"/>
    <w:rsid w:val="002444CF"/>
    <w:rsid w:val="0024465A"/>
    <w:rsid w:val="00244691"/>
    <w:rsid w:val="00244753"/>
    <w:rsid w:val="002447A5"/>
    <w:rsid w:val="002447CE"/>
    <w:rsid w:val="00244810"/>
    <w:rsid w:val="0024483E"/>
    <w:rsid w:val="0024486F"/>
    <w:rsid w:val="00244876"/>
    <w:rsid w:val="002448D7"/>
    <w:rsid w:val="00244984"/>
    <w:rsid w:val="00244A1B"/>
    <w:rsid w:val="00244AB4"/>
    <w:rsid w:val="00244AD8"/>
    <w:rsid w:val="00244B01"/>
    <w:rsid w:val="00244B44"/>
    <w:rsid w:val="00244B58"/>
    <w:rsid w:val="00244B87"/>
    <w:rsid w:val="00244B9D"/>
    <w:rsid w:val="00244BEA"/>
    <w:rsid w:val="00244C67"/>
    <w:rsid w:val="00244CD2"/>
    <w:rsid w:val="00244CF9"/>
    <w:rsid w:val="00244D2E"/>
    <w:rsid w:val="00244D3F"/>
    <w:rsid w:val="00244D7C"/>
    <w:rsid w:val="00244DC1"/>
    <w:rsid w:val="00244EE7"/>
    <w:rsid w:val="00244FBF"/>
    <w:rsid w:val="00245042"/>
    <w:rsid w:val="002450D9"/>
    <w:rsid w:val="00245107"/>
    <w:rsid w:val="00245210"/>
    <w:rsid w:val="0024523A"/>
    <w:rsid w:val="00245283"/>
    <w:rsid w:val="002452C0"/>
    <w:rsid w:val="00245392"/>
    <w:rsid w:val="00245399"/>
    <w:rsid w:val="002453F0"/>
    <w:rsid w:val="00245406"/>
    <w:rsid w:val="00245469"/>
    <w:rsid w:val="002454CD"/>
    <w:rsid w:val="00245512"/>
    <w:rsid w:val="00245537"/>
    <w:rsid w:val="0024558B"/>
    <w:rsid w:val="002456C3"/>
    <w:rsid w:val="002456C4"/>
    <w:rsid w:val="00245725"/>
    <w:rsid w:val="00245737"/>
    <w:rsid w:val="002457B9"/>
    <w:rsid w:val="00245811"/>
    <w:rsid w:val="0024582A"/>
    <w:rsid w:val="002458BA"/>
    <w:rsid w:val="002458D2"/>
    <w:rsid w:val="00245991"/>
    <w:rsid w:val="00245A80"/>
    <w:rsid w:val="00245AC3"/>
    <w:rsid w:val="00245ACA"/>
    <w:rsid w:val="00245AE3"/>
    <w:rsid w:val="00245B64"/>
    <w:rsid w:val="00245B7D"/>
    <w:rsid w:val="00245B80"/>
    <w:rsid w:val="00245C3B"/>
    <w:rsid w:val="00245C64"/>
    <w:rsid w:val="00245CF5"/>
    <w:rsid w:val="00245D3C"/>
    <w:rsid w:val="00245D9B"/>
    <w:rsid w:val="00245E10"/>
    <w:rsid w:val="00245E1B"/>
    <w:rsid w:val="00245EA8"/>
    <w:rsid w:val="00245EB0"/>
    <w:rsid w:val="00245F38"/>
    <w:rsid w:val="00245F3F"/>
    <w:rsid w:val="00245F6E"/>
    <w:rsid w:val="00245F98"/>
    <w:rsid w:val="00245FF6"/>
    <w:rsid w:val="00246069"/>
    <w:rsid w:val="00246073"/>
    <w:rsid w:val="00246074"/>
    <w:rsid w:val="002460B4"/>
    <w:rsid w:val="0024610A"/>
    <w:rsid w:val="00246162"/>
    <w:rsid w:val="002461AB"/>
    <w:rsid w:val="002461C9"/>
    <w:rsid w:val="00246204"/>
    <w:rsid w:val="00246241"/>
    <w:rsid w:val="00246359"/>
    <w:rsid w:val="0024637E"/>
    <w:rsid w:val="002463D4"/>
    <w:rsid w:val="002463EA"/>
    <w:rsid w:val="00246534"/>
    <w:rsid w:val="00246588"/>
    <w:rsid w:val="0024658A"/>
    <w:rsid w:val="002465D4"/>
    <w:rsid w:val="002465D8"/>
    <w:rsid w:val="00246662"/>
    <w:rsid w:val="00246688"/>
    <w:rsid w:val="00246696"/>
    <w:rsid w:val="002466B4"/>
    <w:rsid w:val="00246727"/>
    <w:rsid w:val="00246729"/>
    <w:rsid w:val="00246752"/>
    <w:rsid w:val="00246776"/>
    <w:rsid w:val="00246820"/>
    <w:rsid w:val="00246846"/>
    <w:rsid w:val="00246890"/>
    <w:rsid w:val="00246899"/>
    <w:rsid w:val="002468CB"/>
    <w:rsid w:val="0024691D"/>
    <w:rsid w:val="0024694C"/>
    <w:rsid w:val="00246A69"/>
    <w:rsid w:val="00246A73"/>
    <w:rsid w:val="00246B01"/>
    <w:rsid w:val="00246B1C"/>
    <w:rsid w:val="00246B26"/>
    <w:rsid w:val="00246B2A"/>
    <w:rsid w:val="00246B46"/>
    <w:rsid w:val="00246BAA"/>
    <w:rsid w:val="00246BCE"/>
    <w:rsid w:val="00246BD1"/>
    <w:rsid w:val="00246C2E"/>
    <w:rsid w:val="00246C4D"/>
    <w:rsid w:val="00246CC2"/>
    <w:rsid w:val="00246CFA"/>
    <w:rsid w:val="00246D0B"/>
    <w:rsid w:val="00246D4E"/>
    <w:rsid w:val="00246DD4"/>
    <w:rsid w:val="00246E9B"/>
    <w:rsid w:val="00246EA6"/>
    <w:rsid w:val="00246EBE"/>
    <w:rsid w:val="00246FB5"/>
    <w:rsid w:val="00246FBA"/>
    <w:rsid w:val="00246FC4"/>
    <w:rsid w:val="00246FDD"/>
    <w:rsid w:val="00246FEB"/>
    <w:rsid w:val="0024706B"/>
    <w:rsid w:val="0024720C"/>
    <w:rsid w:val="0024738B"/>
    <w:rsid w:val="002473F6"/>
    <w:rsid w:val="00247428"/>
    <w:rsid w:val="00247475"/>
    <w:rsid w:val="002474C4"/>
    <w:rsid w:val="002474E5"/>
    <w:rsid w:val="002475A5"/>
    <w:rsid w:val="0024768A"/>
    <w:rsid w:val="00247695"/>
    <w:rsid w:val="002476C4"/>
    <w:rsid w:val="002477D8"/>
    <w:rsid w:val="00247863"/>
    <w:rsid w:val="00247871"/>
    <w:rsid w:val="002478B5"/>
    <w:rsid w:val="002478BB"/>
    <w:rsid w:val="002478EB"/>
    <w:rsid w:val="0024791A"/>
    <w:rsid w:val="00247943"/>
    <w:rsid w:val="002479DB"/>
    <w:rsid w:val="00247A5E"/>
    <w:rsid w:val="00247AB5"/>
    <w:rsid w:val="00247AB8"/>
    <w:rsid w:val="00247B18"/>
    <w:rsid w:val="00247B69"/>
    <w:rsid w:val="00247C5C"/>
    <w:rsid w:val="00247C5D"/>
    <w:rsid w:val="00247CA2"/>
    <w:rsid w:val="00247CB1"/>
    <w:rsid w:val="00247CBB"/>
    <w:rsid w:val="00247D21"/>
    <w:rsid w:val="00247D69"/>
    <w:rsid w:val="00247D76"/>
    <w:rsid w:val="00247DDE"/>
    <w:rsid w:val="00247E0B"/>
    <w:rsid w:val="00247E1B"/>
    <w:rsid w:val="00247E35"/>
    <w:rsid w:val="00247EFC"/>
    <w:rsid w:val="00247F17"/>
    <w:rsid w:val="00247FAA"/>
    <w:rsid w:val="00250004"/>
    <w:rsid w:val="00250005"/>
    <w:rsid w:val="0025002C"/>
    <w:rsid w:val="002500AC"/>
    <w:rsid w:val="002501BD"/>
    <w:rsid w:val="002501D0"/>
    <w:rsid w:val="002501FD"/>
    <w:rsid w:val="00250252"/>
    <w:rsid w:val="0025029C"/>
    <w:rsid w:val="002502C1"/>
    <w:rsid w:val="00250329"/>
    <w:rsid w:val="0025035A"/>
    <w:rsid w:val="0025037B"/>
    <w:rsid w:val="0025048D"/>
    <w:rsid w:val="002505C6"/>
    <w:rsid w:val="002505FC"/>
    <w:rsid w:val="002505FF"/>
    <w:rsid w:val="0025066F"/>
    <w:rsid w:val="0025067A"/>
    <w:rsid w:val="00250688"/>
    <w:rsid w:val="002506CB"/>
    <w:rsid w:val="0025072D"/>
    <w:rsid w:val="00250810"/>
    <w:rsid w:val="00250864"/>
    <w:rsid w:val="00250890"/>
    <w:rsid w:val="0025090D"/>
    <w:rsid w:val="00250913"/>
    <w:rsid w:val="00250945"/>
    <w:rsid w:val="002509B6"/>
    <w:rsid w:val="002509CF"/>
    <w:rsid w:val="002509F0"/>
    <w:rsid w:val="00250A02"/>
    <w:rsid w:val="00250A7A"/>
    <w:rsid w:val="00250A7E"/>
    <w:rsid w:val="00250AE9"/>
    <w:rsid w:val="00250B18"/>
    <w:rsid w:val="00250C19"/>
    <w:rsid w:val="00250C95"/>
    <w:rsid w:val="00250CFB"/>
    <w:rsid w:val="00250D19"/>
    <w:rsid w:val="00250D42"/>
    <w:rsid w:val="00250D65"/>
    <w:rsid w:val="00250D7F"/>
    <w:rsid w:val="00250D8E"/>
    <w:rsid w:val="00250DA9"/>
    <w:rsid w:val="00250E50"/>
    <w:rsid w:val="00250EFD"/>
    <w:rsid w:val="00250F70"/>
    <w:rsid w:val="002510DD"/>
    <w:rsid w:val="002510E9"/>
    <w:rsid w:val="0025111C"/>
    <w:rsid w:val="00251171"/>
    <w:rsid w:val="0025120B"/>
    <w:rsid w:val="002512B7"/>
    <w:rsid w:val="002512B9"/>
    <w:rsid w:val="002512CF"/>
    <w:rsid w:val="002512F4"/>
    <w:rsid w:val="00251345"/>
    <w:rsid w:val="0025137D"/>
    <w:rsid w:val="00251397"/>
    <w:rsid w:val="0025140C"/>
    <w:rsid w:val="00251420"/>
    <w:rsid w:val="00251433"/>
    <w:rsid w:val="0025144D"/>
    <w:rsid w:val="0025147A"/>
    <w:rsid w:val="002514A3"/>
    <w:rsid w:val="002514E9"/>
    <w:rsid w:val="00251520"/>
    <w:rsid w:val="002515DF"/>
    <w:rsid w:val="002516AF"/>
    <w:rsid w:val="0025185C"/>
    <w:rsid w:val="00251A60"/>
    <w:rsid w:val="00251B11"/>
    <w:rsid w:val="00251C51"/>
    <w:rsid w:val="00251CA7"/>
    <w:rsid w:val="00251CBB"/>
    <w:rsid w:val="00251D30"/>
    <w:rsid w:val="00251E2D"/>
    <w:rsid w:val="00251E32"/>
    <w:rsid w:val="00251E35"/>
    <w:rsid w:val="00251EA1"/>
    <w:rsid w:val="00251F51"/>
    <w:rsid w:val="00251FA3"/>
    <w:rsid w:val="00252026"/>
    <w:rsid w:val="0025204C"/>
    <w:rsid w:val="002520CD"/>
    <w:rsid w:val="0025213A"/>
    <w:rsid w:val="002521A7"/>
    <w:rsid w:val="002523D2"/>
    <w:rsid w:val="002523F7"/>
    <w:rsid w:val="0025243E"/>
    <w:rsid w:val="0025247B"/>
    <w:rsid w:val="002524EE"/>
    <w:rsid w:val="00252534"/>
    <w:rsid w:val="002525AB"/>
    <w:rsid w:val="00252624"/>
    <w:rsid w:val="0025263E"/>
    <w:rsid w:val="00252684"/>
    <w:rsid w:val="0025269A"/>
    <w:rsid w:val="00252728"/>
    <w:rsid w:val="00252767"/>
    <w:rsid w:val="002527B4"/>
    <w:rsid w:val="00252835"/>
    <w:rsid w:val="0025288E"/>
    <w:rsid w:val="002528C2"/>
    <w:rsid w:val="002528E0"/>
    <w:rsid w:val="002528FF"/>
    <w:rsid w:val="00252921"/>
    <w:rsid w:val="00252941"/>
    <w:rsid w:val="002529EF"/>
    <w:rsid w:val="00252A3E"/>
    <w:rsid w:val="00252A5F"/>
    <w:rsid w:val="00252A82"/>
    <w:rsid w:val="00252A86"/>
    <w:rsid w:val="00252B3E"/>
    <w:rsid w:val="00252B8F"/>
    <w:rsid w:val="00252BC8"/>
    <w:rsid w:val="00252CC1"/>
    <w:rsid w:val="00252D55"/>
    <w:rsid w:val="00252DCE"/>
    <w:rsid w:val="00252F5C"/>
    <w:rsid w:val="00252F97"/>
    <w:rsid w:val="00252FB7"/>
    <w:rsid w:val="00252FCD"/>
    <w:rsid w:val="00253103"/>
    <w:rsid w:val="00253107"/>
    <w:rsid w:val="00253168"/>
    <w:rsid w:val="0025319E"/>
    <w:rsid w:val="002531EB"/>
    <w:rsid w:val="002531F9"/>
    <w:rsid w:val="00253220"/>
    <w:rsid w:val="00253264"/>
    <w:rsid w:val="00253327"/>
    <w:rsid w:val="00253444"/>
    <w:rsid w:val="002534E0"/>
    <w:rsid w:val="002534E8"/>
    <w:rsid w:val="0025354C"/>
    <w:rsid w:val="00253556"/>
    <w:rsid w:val="0025356D"/>
    <w:rsid w:val="00253589"/>
    <w:rsid w:val="002535CF"/>
    <w:rsid w:val="002535FE"/>
    <w:rsid w:val="0025366C"/>
    <w:rsid w:val="0025367B"/>
    <w:rsid w:val="0025377F"/>
    <w:rsid w:val="002537AE"/>
    <w:rsid w:val="0025380C"/>
    <w:rsid w:val="00253827"/>
    <w:rsid w:val="0025384B"/>
    <w:rsid w:val="00253875"/>
    <w:rsid w:val="002538D6"/>
    <w:rsid w:val="002538E4"/>
    <w:rsid w:val="002538F5"/>
    <w:rsid w:val="0025396F"/>
    <w:rsid w:val="00253993"/>
    <w:rsid w:val="002539D7"/>
    <w:rsid w:val="00253A21"/>
    <w:rsid w:val="00253A2D"/>
    <w:rsid w:val="00253A5F"/>
    <w:rsid w:val="00253ADB"/>
    <w:rsid w:val="00253AE5"/>
    <w:rsid w:val="00253AEB"/>
    <w:rsid w:val="00253B0F"/>
    <w:rsid w:val="00253B7B"/>
    <w:rsid w:val="00253BC1"/>
    <w:rsid w:val="00253BD4"/>
    <w:rsid w:val="00253C10"/>
    <w:rsid w:val="00253CE2"/>
    <w:rsid w:val="00253D60"/>
    <w:rsid w:val="00253E43"/>
    <w:rsid w:val="00253EC1"/>
    <w:rsid w:val="00253F46"/>
    <w:rsid w:val="00253FE7"/>
    <w:rsid w:val="002540AC"/>
    <w:rsid w:val="002540BD"/>
    <w:rsid w:val="0025414B"/>
    <w:rsid w:val="00254193"/>
    <w:rsid w:val="002541D2"/>
    <w:rsid w:val="002541E6"/>
    <w:rsid w:val="0025423A"/>
    <w:rsid w:val="00254367"/>
    <w:rsid w:val="002543AF"/>
    <w:rsid w:val="002543B1"/>
    <w:rsid w:val="002543E5"/>
    <w:rsid w:val="002543F6"/>
    <w:rsid w:val="0025440D"/>
    <w:rsid w:val="0025444B"/>
    <w:rsid w:val="0025448A"/>
    <w:rsid w:val="00254537"/>
    <w:rsid w:val="00254557"/>
    <w:rsid w:val="0025456D"/>
    <w:rsid w:val="002545FB"/>
    <w:rsid w:val="00254663"/>
    <w:rsid w:val="0025466E"/>
    <w:rsid w:val="00254678"/>
    <w:rsid w:val="002546E4"/>
    <w:rsid w:val="00254713"/>
    <w:rsid w:val="0025479F"/>
    <w:rsid w:val="002548DA"/>
    <w:rsid w:val="00254A21"/>
    <w:rsid w:val="00254A2A"/>
    <w:rsid w:val="00254A32"/>
    <w:rsid w:val="00254A37"/>
    <w:rsid w:val="00254AB2"/>
    <w:rsid w:val="00254AD1"/>
    <w:rsid w:val="00254AD8"/>
    <w:rsid w:val="00254AF1"/>
    <w:rsid w:val="00254B00"/>
    <w:rsid w:val="00254B2C"/>
    <w:rsid w:val="00254B4C"/>
    <w:rsid w:val="00254B62"/>
    <w:rsid w:val="00254B7D"/>
    <w:rsid w:val="00254B84"/>
    <w:rsid w:val="00254C74"/>
    <w:rsid w:val="00254C8A"/>
    <w:rsid w:val="00254CB0"/>
    <w:rsid w:val="00254CF3"/>
    <w:rsid w:val="00254D34"/>
    <w:rsid w:val="00254D6E"/>
    <w:rsid w:val="00254D98"/>
    <w:rsid w:val="00254E07"/>
    <w:rsid w:val="00254E22"/>
    <w:rsid w:val="00254EC3"/>
    <w:rsid w:val="00254FDD"/>
    <w:rsid w:val="00255121"/>
    <w:rsid w:val="0025518A"/>
    <w:rsid w:val="00255275"/>
    <w:rsid w:val="00255293"/>
    <w:rsid w:val="002552D5"/>
    <w:rsid w:val="00255454"/>
    <w:rsid w:val="002554DF"/>
    <w:rsid w:val="002554F7"/>
    <w:rsid w:val="00255561"/>
    <w:rsid w:val="00255631"/>
    <w:rsid w:val="0025566A"/>
    <w:rsid w:val="002556DD"/>
    <w:rsid w:val="002556F9"/>
    <w:rsid w:val="00255708"/>
    <w:rsid w:val="00255961"/>
    <w:rsid w:val="0025598D"/>
    <w:rsid w:val="002559C4"/>
    <w:rsid w:val="002559FF"/>
    <w:rsid w:val="00255A04"/>
    <w:rsid w:val="00255A1D"/>
    <w:rsid w:val="00255A3D"/>
    <w:rsid w:val="00255A4A"/>
    <w:rsid w:val="00255A64"/>
    <w:rsid w:val="00255A96"/>
    <w:rsid w:val="00255A9A"/>
    <w:rsid w:val="00255AA8"/>
    <w:rsid w:val="00255B40"/>
    <w:rsid w:val="00255B53"/>
    <w:rsid w:val="00255B58"/>
    <w:rsid w:val="00255B70"/>
    <w:rsid w:val="00255BB8"/>
    <w:rsid w:val="00255C01"/>
    <w:rsid w:val="00255C73"/>
    <w:rsid w:val="00255D34"/>
    <w:rsid w:val="00255DCD"/>
    <w:rsid w:val="00255E41"/>
    <w:rsid w:val="00255E89"/>
    <w:rsid w:val="00255F09"/>
    <w:rsid w:val="00255FFD"/>
    <w:rsid w:val="00256039"/>
    <w:rsid w:val="002560A6"/>
    <w:rsid w:val="00256175"/>
    <w:rsid w:val="00256201"/>
    <w:rsid w:val="0025629F"/>
    <w:rsid w:val="002562DE"/>
    <w:rsid w:val="00256342"/>
    <w:rsid w:val="00256425"/>
    <w:rsid w:val="00256475"/>
    <w:rsid w:val="002564E9"/>
    <w:rsid w:val="002564F4"/>
    <w:rsid w:val="00256502"/>
    <w:rsid w:val="00256504"/>
    <w:rsid w:val="00256531"/>
    <w:rsid w:val="002566CD"/>
    <w:rsid w:val="002566E7"/>
    <w:rsid w:val="0025676D"/>
    <w:rsid w:val="002567A7"/>
    <w:rsid w:val="002567BD"/>
    <w:rsid w:val="002567BE"/>
    <w:rsid w:val="002567C3"/>
    <w:rsid w:val="002567DA"/>
    <w:rsid w:val="00256843"/>
    <w:rsid w:val="00256854"/>
    <w:rsid w:val="0025690C"/>
    <w:rsid w:val="002569B7"/>
    <w:rsid w:val="00256A4D"/>
    <w:rsid w:val="00256ABB"/>
    <w:rsid w:val="00256ABD"/>
    <w:rsid w:val="00256ACE"/>
    <w:rsid w:val="00256B48"/>
    <w:rsid w:val="00256B55"/>
    <w:rsid w:val="00256BCE"/>
    <w:rsid w:val="00256C5F"/>
    <w:rsid w:val="00256C7D"/>
    <w:rsid w:val="00256CE9"/>
    <w:rsid w:val="00256D16"/>
    <w:rsid w:val="00256D18"/>
    <w:rsid w:val="00256D46"/>
    <w:rsid w:val="00256D50"/>
    <w:rsid w:val="00256E1E"/>
    <w:rsid w:val="00256F77"/>
    <w:rsid w:val="00256FE7"/>
    <w:rsid w:val="00257018"/>
    <w:rsid w:val="0025705C"/>
    <w:rsid w:val="00257095"/>
    <w:rsid w:val="002570CC"/>
    <w:rsid w:val="002571A3"/>
    <w:rsid w:val="002571B8"/>
    <w:rsid w:val="002571F4"/>
    <w:rsid w:val="00257256"/>
    <w:rsid w:val="00257265"/>
    <w:rsid w:val="002572B4"/>
    <w:rsid w:val="002572D3"/>
    <w:rsid w:val="002572F2"/>
    <w:rsid w:val="00257316"/>
    <w:rsid w:val="00257351"/>
    <w:rsid w:val="00257370"/>
    <w:rsid w:val="002573CF"/>
    <w:rsid w:val="002574D8"/>
    <w:rsid w:val="002574EC"/>
    <w:rsid w:val="002575B8"/>
    <w:rsid w:val="002575CF"/>
    <w:rsid w:val="00257629"/>
    <w:rsid w:val="00257681"/>
    <w:rsid w:val="00257706"/>
    <w:rsid w:val="0025775B"/>
    <w:rsid w:val="002577B2"/>
    <w:rsid w:val="002578EE"/>
    <w:rsid w:val="00257927"/>
    <w:rsid w:val="0025799F"/>
    <w:rsid w:val="002579DC"/>
    <w:rsid w:val="00257A64"/>
    <w:rsid w:val="00257A6D"/>
    <w:rsid w:val="00257AC8"/>
    <w:rsid w:val="00257AE5"/>
    <w:rsid w:val="00257B4A"/>
    <w:rsid w:val="00257BCB"/>
    <w:rsid w:val="00257C8C"/>
    <w:rsid w:val="00257CA4"/>
    <w:rsid w:val="00257CAB"/>
    <w:rsid w:val="00257CD8"/>
    <w:rsid w:val="00257D13"/>
    <w:rsid w:val="00257D16"/>
    <w:rsid w:val="00257D20"/>
    <w:rsid w:val="00257DD1"/>
    <w:rsid w:val="00257EEB"/>
    <w:rsid w:val="00260049"/>
    <w:rsid w:val="002600C9"/>
    <w:rsid w:val="00260115"/>
    <w:rsid w:val="00260165"/>
    <w:rsid w:val="00260183"/>
    <w:rsid w:val="002601D5"/>
    <w:rsid w:val="00260227"/>
    <w:rsid w:val="0026029C"/>
    <w:rsid w:val="002602BF"/>
    <w:rsid w:val="00260327"/>
    <w:rsid w:val="0026033E"/>
    <w:rsid w:val="0026043F"/>
    <w:rsid w:val="0026052B"/>
    <w:rsid w:val="0026053F"/>
    <w:rsid w:val="00260635"/>
    <w:rsid w:val="002606E3"/>
    <w:rsid w:val="00260726"/>
    <w:rsid w:val="0026072F"/>
    <w:rsid w:val="00260749"/>
    <w:rsid w:val="00260770"/>
    <w:rsid w:val="002607A9"/>
    <w:rsid w:val="002607E2"/>
    <w:rsid w:val="002607EA"/>
    <w:rsid w:val="00260817"/>
    <w:rsid w:val="0026081A"/>
    <w:rsid w:val="00260865"/>
    <w:rsid w:val="00260871"/>
    <w:rsid w:val="00260872"/>
    <w:rsid w:val="00260958"/>
    <w:rsid w:val="00260983"/>
    <w:rsid w:val="0026098B"/>
    <w:rsid w:val="00260AE4"/>
    <w:rsid w:val="00260B32"/>
    <w:rsid w:val="00260B3B"/>
    <w:rsid w:val="00260B91"/>
    <w:rsid w:val="00260BA1"/>
    <w:rsid w:val="00260BC2"/>
    <w:rsid w:val="00260C16"/>
    <w:rsid w:val="00260CDE"/>
    <w:rsid w:val="00260D54"/>
    <w:rsid w:val="00260E10"/>
    <w:rsid w:val="00260E6F"/>
    <w:rsid w:val="00260EFE"/>
    <w:rsid w:val="00260F38"/>
    <w:rsid w:val="00260F74"/>
    <w:rsid w:val="00260F94"/>
    <w:rsid w:val="00260FE7"/>
    <w:rsid w:val="00261010"/>
    <w:rsid w:val="00261033"/>
    <w:rsid w:val="0026103B"/>
    <w:rsid w:val="0026107D"/>
    <w:rsid w:val="002610C7"/>
    <w:rsid w:val="002610E1"/>
    <w:rsid w:val="00261128"/>
    <w:rsid w:val="00261147"/>
    <w:rsid w:val="0026117F"/>
    <w:rsid w:val="002611B9"/>
    <w:rsid w:val="00261284"/>
    <w:rsid w:val="00261286"/>
    <w:rsid w:val="002612D6"/>
    <w:rsid w:val="00261307"/>
    <w:rsid w:val="00261317"/>
    <w:rsid w:val="002613B5"/>
    <w:rsid w:val="00261564"/>
    <w:rsid w:val="00261600"/>
    <w:rsid w:val="00261656"/>
    <w:rsid w:val="00261724"/>
    <w:rsid w:val="00261727"/>
    <w:rsid w:val="0026177C"/>
    <w:rsid w:val="00261792"/>
    <w:rsid w:val="002617F9"/>
    <w:rsid w:val="00261808"/>
    <w:rsid w:val="0026189E"/>
    <w:rsid w:val="002618BF"/>
    <w:rsid w:val="002618D7"/>
    <w:rsid w:val="002618EA"/>
    <w:rsid w:val="00261907"/>
    <w:rsid w:val="00261940"/>
    <w:rsid w:val="00261956"/>
    <w:rsid w:val="0026196A"/>
    <w:rsid w:val="0026197A"/>
    <w:rsid w:val="00261987"/>
    <w:rsid w:val="00261998"/>
    <w:rsid w:val="002619F0"/>
    <w:rsid w:val="00261A78"/>
    <w:rsid w:val="00261A7D"/>
    <w:rsid w:val="00261B1A"/>
    <w:rsid w:val="00261B48"/>
    <w:rsid w:val="00261BAD"/>
    <w:rsid w:val="00261BBE"/>
    <w:rsid w:val="00261C09"/>
    <w:rsid w:val="00261CFF"/>
    <w:rsid w:val="00261DEE"/>
    <w:rsid w:val="00261E0D"/>
    <w:rsid w:val="00261E22"/>
    <w:rsid w:val="00261F73"/>
    <w:rsid w:val="00261F97"/>
    <w:rsid w:val="00261FA3"/>
    <w:rsid w:val="00261FDB"/>
    <w:rsid w:val="00262019"/>
    <w:rsid w:val="0026203B"/>
    <w:rsid w:val="00262060"/>
    <w:rsid w:val="002620C7"/>
    <w:rsid w:val="0026211B"/>
    <w:rsid w:val="0026212C"/>
    <w:rsid w:val="00262187"/>
    <w:rsid w:val="002621CB"/>
    <w:rsid w:val="0026230F"/>
    <w:rsid w:val="00262318"/>
    <w:rsid w:val="00262348"/>
    <w:rsid w:val="002623BF"/>
    <w:rsid w:val="002623CA"/>
    <w:rsid w:val="002623E8"/>
    <w:rsid w:val="002624AF"/>
    <w:rsid w:val="00262620"/>
    <w:rsid w:val="0026262B"/>
    <w:rsid w:val="0026266B"/>
    <w:rsid w:val="00262793"/>
    <w:rsid w:val="002627B0"/>
    <w:rsid w:val="00262819"/>
    <w:rsid w:val="0026283F"/>
    <w:rsid w:val="002628CF"/>
    <w:rsid w:val="0026299D"/>
    <w:rsid w:val="002629BD"/>
    <w:rsid w:val="002629CA"/>
    <w:rsid w:val="002629DD"/>
    <w:rsid w:val="00262A97"/>
    <w:rsid w:val="00262ACA"/>
    <w:rsid w:val="00262ADC"/>
    <w:rsid w:val="00262ADD"/>
    <w:rsid w:val="00262AF0"/>
    <w:rsid w:val="00262B04"/>
    <w:rsid w:val="00262B1D"/>
    <w:rsid w:val="00262B52"/>
    <w:rsid w:val="00262BB0"/>
    <w:rsid w:val="00262BDA"/>
    <w:rsid w:val="00262BF4"/>
    <w:rsid w:val="00262D68"/>
    <w:rsid w:val="00262D7D"/>
    <w:rsid w:val="00262D8D"/>
    <w:rsid w:val="00262DDE"/>
    <w:rsid w:val="00262E22"/>
    <w:rsid w:val="00262E71"/>
    <w:rsid w:val="00262E9C"/>
    <w:rsid w:val="00262F3D"/>
    <w:rsid w:val="00262F83"/>
    <w:rsid w:val="00262F8D"/>
    <w:rsid w:val="00262FFA"/>
    <w:rsid w:val="00263008"/>
    <w:rsid w:val="00263057"/>
    <w:rsid w:val="00263097"/>
    <w:rsid w:val="002630D4"/>
    <w:rsid w:val="002630D9"/>
    <w:rsid w:val="0026315A"/>
    <w:rsid w:val="002631F3"/>
    <w:rsid w:val="0026326A"/>
    <w:rsid w:val="0026329F"/>
    <w:rsid w:val="002632AF"/>
    <w:rsid w:val="0026330C"/>
    <w:rsid w:val="002633B4"/>
    <w:rsid w:val="002633D1"/>
    <w:rsid w:val="002633D8"/>
    <w:rsid w:val="00263461"/>
    <w:rsid w:val="002634BA"/>
    <w:rsid w:val="0026352C"/>
    <w:rsid w:val="0026363E"/>
    <w:rsid w:val="00263667"/>
    <w:rsid w:val="002636BA"/>
    <w:rsid w:val="002636C1"/>
    <w:rsid w:val="002636C2"/>
    <w:rsid w:val="002636F8"/>
    <w:rsid w:val="0026373B"/>
    <w:rsid w:val="0026377C"/>
    <w:rsid w:val="0026381C"/>
    <w:rsid w:val="002638AD"/>
    <w:rsid w:val="00263A05"/>
    <w:rsid w:val="00263A38"/>
    <w:rsid w:val="00263AA5"/>
    <w:rsid w:val="00263B81"/>
    <w:rsid w:val="00263C61"/>
    <w:rsid w:val="00263C72"/>
    <w:rsid w:val="00263C7A"/>
    <w:rsid w:val="00263CB7"/>
    <w:rsid w:val="00263DC4"/>
    <w:rsid w:val="00263DCA"/>
    <w:rsid w:val="00263E3B"/>
    <w:rsid w:val="00263F5D"/>
    <w:rsid w:val="00263F67"/>
    <w:rsid w:val="00263FB7"/>
    <w:rsid w:val="00263FC7"/>
    <w:rsid w:val="00264034"/>
    <w:rsid w:val="00264100"/>
    <w:rsid w:val="0026412B"/>
    <w:rsid w:val="0026422B"/>
    <w:rsid w:val="00264246"/>
    <w:rsid w:val="0026424A"/>
    <w:rsid w:val="002642DD"/>
    <w:rsid w:val="00264301"/>
    <w:rsid w:val="00264336"/>
    <w:rsid w:val="002643A0"/>
    <w:rsid w:val="002643A4"/>
    <w:rsid w:val="002643A5"/>
    <w:rsid w:val="002643A7"/>
    <w:rsid w:val="002643AB"/>
    <w:rsid w:val="002644E9"/>
    <w:rsid w:val="00264654"/>
    <w:rsid w:val="00264668"/>
    <w:rsid w:val="00264758"/>
    <w:rsid w:val="00264778"/>
    <w:rsid w:val="00264867"/>
    <w:rsid w:val="00264875"/>
    <w:rsid w:val="00264876"/>
    <w:rsid w:val="002648CC"/>
    <w:rsid w:val="002648D6"/>
    <w:rsid w:val="002648DC"/>
    <w:rsid w:val="00264901"/>
    <w:rsid w:val="00264909"/>
    <w:rsid w:val="0026491A"/>
    <w:rsid w:val="00264972"/>
    <w:rsid w:val="00264A91"/>
    <w:rsid w:val="00264A94"/>
    <w:rsid w:val="00264AB3"/>
    <w:rsid w:val="00264ABB"/>
    <w:rsid w:val="00264B06"/>
    <w:rsid w:val="00264B0B"/>
    <w:rsid w:val="00264B17"/>
    <w:rsid w:val="00264B33"/>
    <w:rsid w:val="00264B3C"/>
    <w:rsid w:val="00264CAA"/>
    <w:rsid w:val="00264CF2"/>
    <w:rsid w:val="00264D35"/>
    <w:rsid w:val="00264D38"/>
    <w:rsid w:val="00264D59"/>
    <w:rsid w:val="00264DA9"/>
    <w:rsid w:val="00264DEC"/>
    <w:rsid w:val="00264E3B"/>
    <w:rsid w:val="00264EE1"/>
    <w:rsid w:val="00264F1F"/>
    <w:rsid w:val="00265054"/>
    <w:rsid w:val="0026506A"/>
    <w:rsid w:val="002650AF"/>
    <w:rsid w:val="002650E3"/>
    <w:rsid w:val="002650F0"/>
    <w:rsid w:val="002651A0"/>
    <w:rsid w:val="002651A9"/>
    <w:rsid w:val="002651CF"/>
    <w:rsid w:val="002651E3"/>
    <w:rsid w:val="00265225"/>
    <w:rsid w:val="002652BA"/>
    <w:rsid w:val="00265326"/>
    <w:rsid w:val="0026536A"/>
    <w:rsid w:val="0026544A"/>
    <w:rsid w:val="00265451"/>
    <w:rsid w:val="00265469"/>
    <w:rsid w:val="00265500"/>
    <w:rsid w:val="002655CD"/>
    <w:rsid w:val="00265626"/>
    <w:rsid w:val="002656CF"/>
    <w:rsid w:val="00265711"/>
    <w:rsid w:val="00265714"/>
    <w:rsid w:val="00265782"/>
    <w:rsid w:val="002657B7"/>
    <w:rsid w:val="002657F7"/>
    <w:rsid w:val="00265810"/>
    <w:rsid w:val="0026592D"/>
    <w:rsid w:val="00265936"/>
    <w:rsid w:val="0026594A"/>
    <w:rsid w:val="00265984"/>
    <w:rsid w:val="00265A55"/>
    <w:rsid w:val="00265A96"/>
    <w:rsid w:val="00265AA1"/>
    <w:rsid w:val="00265B29"/>
    <w:rsid w:val="00265B83"/>
    <w:rsid w:val="00265BC8"/>
    <w:rsid w:val="00265C48"/>
    <w:rsid w:val="00265CB3"/>
    <w:rsid w:val="00265CBF"/>
    <w:rsid w:val="00265CCE"/>
    <w:rsid w:val="00265D11"/>
    <w:rsid w:val="00265D3B"/>
    <w:rsid w:val="00265DA4"/>
    <w:rsid w:val="00265DCD"/>
    <w:rsid w:val="00265E06"/>
    <w:rsid w:val="00265E94"/>
    <w:rsid w:val="00265F08"/>
    <w:rsid w:val="00265FBF"/>
    <w:rsid w:val="00266015"/>
    <w:rsid w:val="00266023"/>
    <w:rsid w:val="00266091"/>
    <w:rsid w:val="002661E0"/>
    <w:rsid w:val="0026626B"/>
    <w:rsid w:val="00266273"/>
    <w:rsid w:val="0026628F"/>
    <w:rsid w:val="002662DF"/>
    <w:rsid w:val="00266333"/>
    <w:rsid w:val="00266390"/>
    <w:rsid w:val="00266404"/>
    <w:rsid w:val="00266408"/>
    <w:rsid w:val="0026640B"/>
    <w:rsid w:val="0026644C"/>
    <w:rsid w:val="00266482"/>
    <w:rsid w:val="0026655A"/>
    <w:rsid w:val="00266596"/>
    <w:rsid w:val="0026667E"/>
    <w:rsid w:val="00266732"/>
    <w:rsid w:val="0026675A"/>
    <w:rsid w:val="0026676B"/>
    <w:rsid w:val="00266807"/>
    <w:rsid w:val="00266809"/>
    <w:rsid w:val="0026680F"/>
    <w:rsid w:val="0026682F"/>
    <w:rsid w:val="0026689F"/>
    <w:rsid w:val="002668DA"/>
    <w:rsid w:val="00266990"/>
    <w:rsid w:val="00266A4B"/>
    <w:rsid w:val="00266AA3"/>
    <w:rsid w:val="00266AD0"/>
    <w:rsid w:val="00266AD9"/>
    <w:rsid w:val="00266B17"/>
    <w:rsid w:val="00266BE6"/>
    <w:rsid w:val="00266C29"/>
    <w:rsid w:val="00266CAE"/>
    <w:rsid w:val="00266D00"/>
    <w:rsid w:val="00266D90"/>
    <w:rsid w:val="00266EF1"/>
    <w:rsid w:val="0026702D"/>
    <w:rsid w:val="002670AC"/>
    <w:rsid w:val="002670C2"/>
    <w:rsid w:val="002671F2"/>
    <w:rsid w:val="0026728B"/>
    <w:rsid w:val="002672A5"/>
    <w:rsid w:val="00267304"/>
    <w:rsid w:val="00267379"/>
    <w:rsid w:val="002673C9"/>
    <w:rsid w:val="00267416"/>
    <w:rsid w:val="00267470"/>
    <w:rsid w:val="002674B5"/>
    <w:rsid w:val="002674CE"/>
    <w:rsid w:val="002674D5"/>
    <w:rsid w:val="002675B8"/>
    <w:rsid w:val="00267604"/>
    <w:rsid w:val="0026762A"/>
    <w:rsid w:val="00267641"/>
    <w:rsid w:val="0026764B"/>
    <w:rsid w:val="0026767C"/>
    <w:rsid w:val="002676B1"/>
    <w:rsid w:val="002676BD"/>
    <w:rsid w:val="002677EE"/>
    <w:rsid w:val="00267832"/>
    <w:rsid w:val="00267838"/>
    <w:rsid w:val="0026785F"/>
    <w:rsid w:val="00267884"/>
    <w:rsid w:val="0026789B"/>
    <w:rsid w:val="002678E3"/>
    <w:rsid w:val="00267901"/>
    <w:rsid w:val="0026791C"/>
    <w:rsid w:val="0026793B"/>
    <w:rsid w:val="002679BA"/>
    <w:rsid w:val="002679D4"/>
    <w:rsid w:val="00267A7D"/>
    <w:rsid w:val="00267B4C"/>
    <w:rsid w:val="00267BD2"/>
    <w:rsid w:val="00267C2A"/>
    <w:rsid w:val="00267C32"/>
    <w:rsid w:val="00267DC8"/>
    <w:rsid w:val="00267DC9"/>
    <w:rsid w:val="00267E20"/>
    <w:rsid w:val="00267E73"/>
    <w:rsid w:val="00267E7A"/>
    <w:rsid w:val="00267EA5"/>
    <w:rsid w:val="00267F4D"/>
    <w:rsid w:val="0026E892"/>
    <w:rsid w:val="00270005"/>
    <w:rsid w:val="00270024"/>
    <w:rsid w:val="00270032"/>
    <w:rsid w:val="00270095"/>
    <w:rsid w:val="002700A0"/>
    <w:rsid w:val="0027010F"/>
    <w:rsid w:val="00270113"/>
    <w:rsid w:val="0027011E"/>
    <w:rsid w:val="0027016F"/>
    <w:rsid w:val="0027017B"/>
    <w:rsid w:val="0027020D"/>
    <w:rsid w:val="0027023E"/>
    <w:rsid w:val="00270263"/>
    <w:rsid w:val="0027028D"/>
    <w:rsid w:val="0027034D"/>
    <w:rsid w:val="00270379"/>
    <w:rsid w:val="00270401"/>
    <w:rsid w:val="0027041C"/>
    <w:rsid w:val="002704B7"/>
    <w:rsid w:val="002705CF"/>
    <w:rsid w:val="0027064E"/>
    <w:rsid w:val="002706A9"/>
    <w:rsid w:val="002706B0"/>
    <w:rsid w:val="002706EF"/>
    <w:rsid w:val="00270745"/>
    <w:rsid w:val="00270755"/>
    <w:rsid w:val="002707CC"/>
    <w:rsid w:val="0027082A"/>
    <w:rsid w:val="002708F4"/>
    <w:rsid w:val="00270946"/>
    <w:rsid w:val="0027094C"/>
    <w:rsid w:val="00270959"/>
    <w:rsid w:val="00270ABA"/>
    <w:rsid w:val="00270AEB"/>
    <w:rsid w:val="00270B7D"/>
    <w:rsid w:val="00270BAE"/>
    <w:rsid w:val="00270BCA"/>
    <w:rsid w:val="00270BF9"/>
    <w:rsid w:val="00270C0B"/>
    <w:rsid w:val="00270C25"/>
    <w:rsid w:val="00270C3C"/>
    <w:rsid w:val="00270C3F"/>
    <w:rsid w:val="00270C99"/>
    <w:rsid w:val="00270CA5"/>
    <w:rsid w:val="00270CB8"/>
    <w:rsid w:val="00270D81"/>
    <w:rsid w:val="00270DC6"/>
    <w:rsid w:val="00270E46"/>
    <w:rsid w:val="00270E56"/>
    <w:rsid w:val="00270F58"/>
    <w:rsid w:val="00270FE9"/>
    <w:rsid w:val="00271026"/>
    <w:rsid w:val="0027104F"/>
    <w:rsid w:val="00271066"/>
    <w:rsid w:val="002710FA"/>
    <w:rsid w:val="0027116B"/>
    <w:rsid w:val="0027133A"/>
    <w:rsid w:val="00271358"/>
    <w:rsid w:val="00271363"/>
    <w:rsid w:val="0027137D"/>
    <w:rsid w:val="002714F3"/>
    <w:rsid w:val="002714FE"/>
    <w:rsid w:val="0027156A"/>
    <w:rsid w:val="0027156E"/>
    <w:rsid w:val="002715BB"/>
    <w:rsid w:val="0027163A"/>
    <w:rsid w:val="002716D7"/>
    <w:rsid w:val="002716D8"/>
    <w:rsid w:val="002717CC"/>
    <w:rsid w:val="00271820"/>
    <w:rsid w:val="0027186D"/>
    <w:rsid w:val="002718D4"/>
    <w:rsid w:val="0027192D"/>
    <w:rsid w:val="0027199B"/>
    <w:rsid w:val="002719A0"/>
    <w:rsid w:val="002719D0"/>
    <w:rsid w:val="00271A21"/>
    <w:rsid w:val="00271A47"/>
    <w:rsid w:val="00271A4C"/>
    <w:rsid w:val="00271AC7"/>
    <w:rsid w:val="00271AFD"/>
    <w:rsid w:val="00271B1F"/>
    <w:rsid w:val="00271B4F"/>
    <w:rsid w:val="00271BD9"/>
    <w:rsid w:val="00271C07"/>
    <w:rsid w:val="00271C29"/>
    <w:rsid w:val="00271D52"/>
    <w:rsid w:val="00271DA9"/>
    <w:rsid w:val="00271EAF"/>
    <w:rsid w:val="00271F0B"/>
    <w:rsid w:val="00271FB4"/>
    <w:rsid w:val="0027200C"/>
    <w:rsid w:val="00272037"/>
    <w:rsid w:val="00272066"/>
    <w:rsid w:val="0027216B"/>
    <w:rsid w:val="00272175"/>
    <w:rsid w:val="002721DC"/>
    <w:rsid w:val="002721F6"/>
    <w:rsid w:val="002721F7"/>
    <w:rsid w:val="00272267"/>
    <w:rsid w:val="00272281"/>
    <w:rsid w:val="00272284"/>
    <w:rsid w:val="002722C1"/>
    <w:rsid w:val="002722EE"/>
    <w:rsid w:val="002722FC"/>
    <w:rsid w:val="0027245C"/>
    <w:rsid w:val="002724A9"/>
    <w:rsid w:val="002724BB"/>
    <w:rsid w:val="002724BF"/>
    <w:rsid w:val="002724DC"/>
    <w:rsid w:val="002725E2"/>
    <w:rsid w:val="00272644"/>
    <w:rsid w:val="0027264A"/>
    <w:rsid w:val="0027265D"/>
    <w:rsid w:val="00272755"/>
    <w:rsid w:val="002727D4"/>
    <w:rsid w:val="0027288F"/>
    <w:rsid w:val="002728C5"/>
    <w:rsid w:val="002728D5"/>
    <w:rsid w:val="00272921"/>
    <w:rsid w:val="00272970"/>
    <w:rsid w:val="002729CC"/>
    <w:rsid w:val="00272A31"/>
    <w:rsid w:val="00272BAA"/>
    <w:rsid w:val="00272BEF"/>
    <w:rsid w:val="00272BF5"/>
    <w:rsid w:val="00272C1F"/>
    <w:rsid w:val="00272C22"/>
    <w:rsid w:val="00272CFF"/>
    <w:rsid w:val="00272DAD"/>
    <w:rsid w:val="00272E28"/>
    <w:rsid w:val="00272EE4"/>
    <w:rsid w:val="00272F8B"/>
    <w:rsid w:val="00272F96"/>
    <w:rsid w:val="00273050"/>
    <w:rsid w:val="00273092"/>
    <w:rsid w:val="002730CA"/>
    <w:rsid w:val="002731C1"/>
    <w:rsid w:val="002731C8"/>
    <w:rsid w:val="002732D7"/>
    <w:rsid w:val="002732F9"/>
    <w:rsid w:val="002734F3"/>
    <w:rsid w:val="00273563"/>
    <w:rsid w:val="0027368F"/>
    <w:rsid w:val="002736EA"/>
    <w:rsid w:val="00273768"/>
    <w:rsid w:val="0027378C"/>
    <w:rsid w:val="0027384D"/>
    <w:rsid w:val="00273871"/>
    <w:rsid w:val="002738FA"/>
    <w:rsid w:val="0027390C"/>
    <w:rsid w:val="0027394A"/>
    <w:rsid w:val="00273A16"/>
    <w:rsid w:val="00273A1D"/>
    <w:rsid w:val="00273ADF"/>
    <w:rsid w:val="00273AEC"/>
    <w:rsid w:val="00273B10"/>
    <w:rsid w:val="00273B1B"/>
    <w:rsid w:val="00273B58"/>
    <w:rsid w:val="00273BE0"/>
    <w:rsid w:val="00273BF4"/>
    <w:rsid w:val="00273D9B"/>
    <w:rsid w:val="00273DA7"/>
    <w:rsid w:val="00273DD7"/>
    <w:rsid w:val="00273DD8"/>
    <w:rsid w:val="00273E05"/>
    <w:rsid w:val="00273E6C"/>
    <w:rsid w:val="00273E6E"/>
    <w:rsid w:val="00273E9C"/>
    <w:rsid w:val="00273F16"/>
    <w:rsid w:val="00273FB7"/>
    <w:rsid w:val="00274015"/>
    <w:rsid w:val="00274094"/>
    <w:rsid w:val="002740A1"/>
    <w:rsid w:val="002740C7"/>
    <w:rsid w:val="00274111"/>
    <w:rsid w:val="0027412A"/>
    <w:rsid w:val="0027415C"/>
    <w:rsid w:val="00274230"/>
    <w:rsid w:val="002742BF"/>
    <w:rsid w:val="002742DA"/>
    <w:rsid w:val="00274369"/>
    <w:rsid w:val="0027439E"/>
    <w:rsid w:val="002743A6"/>
    <w:rsid w:val="002743DC"/>
    <w:rsid w:val="00274445"/>
    <w:rsid w:val="00274452"/>
    <w:rsid w:val="002744B1"/>
    <w:rsid w:val="00274525"/>
    <w:rsid w:val="00274550"/>
    <w:rsid w:val="002745B4"/>
    <w:rsid w:val="002745F3"/>
    <w:rsid w:val="00274604"/>
    <w:rsid w:val="00274622"/>
    <w:rsid w:val="0027464B"/>
    <w:rsid w:val="00274696"/>
    <w:rsid w:val="002746AD"/>
    <w:rsid w:val="002746E0"/>
    <w:rsid w:val="00274801"/>
    <w:rsid w:val="0027485D"/>
    <w:rsid w:val="00274969"/>
    <w:rsid w:val="0027499A"/>
    <w:rsid w:val="002749C9"/>
    <w:rsid w:val="00274A4F"/>
    <w:rsid w:val="00274A7C"/>
    <w:rsid w:val="00274A89"/>
    <w:rsid w:val="00274AB6"/>
    <w:rsid w:val="00274AF4"/>
    <w:rsid w:val="00274B0D"/>
    <w:rsid w:val="00274B2C"/>
    <w:rsid w:val="00274BCA"/>
    <w:rsid w:val="00274C49"/>
    <w:rsid w:val="00274DA7"/>
    <w:rsid w:val="00274DB7"/>
    <w:rsid w:val="00274DC7"/>
    <w:rsid w:val="00274DDC"/>
    <w:rsid w:val="00274E15"/>
    <w:rsid w:val="00274E4E"/>
    <w:rsid w:val="00274F28"/>
    <w:rsid w:val="00274F63"/>
    <w:rsid w:val="00274F8F"/>
    <w:rsid w:val="00274FA5"/>
    <w:rsid w:val="00274FAA"/>
    <w:rsid w:val="0027509A"/>
    <w:rsid w:val="002750D4"/>
    <w:rsid w:val="002750F8"/>
    <w:rsid w:val="00275240"/>
    <w:rsid w:val="0027536D"/>
    <w:rsid w:val="002753C7"/>
    <w:rsid w:val="002753D4"/>
    <w:rsid w:val="002753F8"/>
    <w:rsid w:val="00275437"/>
    <w:rsid w:val="0027545E"/>
    <w:rsid w:val="00275466"/>
    <w:rsid w:val="0027546A"/>
    <w:rsid w:val="002754AE"/>
    <w:rsid w:val="002754BD"/>
    <w:rsid w:val="00275621"/>
    <w:rsid w:val="002756BB"/>
    <w:rsid w:val="00275781"/>
    <w:rsid w:val="002757F9"/>
    <w:rsid w:val="0027582F"/>
    <w:rsid w:val="00275869"/>
    <w:rsid w:val="00275984"/>
    <w:rsid w:val="002759A2"/>
    <w:rsid w:val="002759A8"/>
    <w:rsid w:val="00275A37"/>
    <w:rsid w:val="00275A7C"/>
    <w:rsid w:val="00275AE2"/>
    <w:rsid w:val="00275C0C"/>
    <w:rsid w:val="00275C37"/>
    <w:rsid w:val="00275CC8"/>
    <w:rsid w:val="00275D73"/>
    <w:rsid w:val="00275D7C"/>
    <w:rsid w:val="00275E2C"/>
    <w:rsid w:val="00275F59"/>
    <w:rsid w:val="00276002"/>
    <w:rsid w:val="00276040"/>
    <w:rsid w:val="0027606D"/>
    <w:rsid w:val="00276087"/>
    <w:rsid w:val="0027608B"/>
    <w:rsid w:val="002760AA"/>
    <w:rsid w:val="00276144"/>
    <w:rsid w:val="00276156"/>
    <w:rsid w:val="002761E3"/>
    <w:rsid w:val="00276228"/>
    <w:rsid w:val="002762E1"/>
    <w:rsid w:val="0027637B"/>
    <w:rsid w:val="002763F8"/>
    <w:rsid w:val="0027642B"/>
    <w:rsid w:val="00276474"/>
    <w:rsid w:val="002764F1"/>
    <w:rsid w:val="00276583"/>
    <w:rsid w:val="002765E6"/>
    <w:rsid w:val="0027665D"/>
    <w:rsid w:val="002766D5"/>
    <w:rsid w:val="00276733"/>
    <w:rsid w:val="00276794"/>
    <w:rsid w:val="002767AD"/>
    <w:rsid w:val="0027682D"/>
    <w:rsid w:val="0027684F"/>
    <w:rsid w:val="002768B0"/>
    <w:rsid w:val="002768C8"/>
    <w:rsid w:val="002768FE"/>
    <w:rsid w:val="00276935"/>
    <w:rsid w:val="002769CD"/>
    <w:rsid w:val="00276A30"/>
    <w:rsid w:val="00276A8E"/>
    <w:rsid w:val="00276A8F"/>
    <w:rsid w:val="00276A95"/>
    <w:rsid w:val="00276ABF"/>
    <w:rsid w:val="00276AE5"/>
    <w:rsid w:val="00276AFA"/>
    <w:rsid w:val="00276AFB"/>
    <w:rsid w:val="00276B09"/>
    <w:rsid w:val="00276B36"/>
    <w:rsid w:val="00276B52"/>
    <w:rsid w:val="00276B70"/>
    <w:rsid w:val="00276B7D"/>
    <w:rsid w:val="00276BB5"/>
    <w:rsid w:val="00276BB9"/>
    <w:rsid w:val="00276CC8"/>
    <w:rsid w:val="00276D0B"/>
    <w:rsid w:val="00276D9E"/>
    <w:rsid w:val="00276DB2"/>
    <w:rsid w:val="00276E3E"/>
    <w:rsid w:val="00276E3F"/>
    <w:rsid w:val="00276E44"/>
    <w:rsid w:val="00276E4D"/>
    <w:rsid w:val="00276F55"/>
    <w:rsid w:val="00276F7F"/>
    <w:rsid w:val="00276F84"/>
    <w:rsid w:val="00276FD9"/>
    <w:rsid w:val="00276FFC"/>
    <w:rsid w:val="002770D8"/>
    <w:rsid w:val="002770DB"/>
    <w:rsid w:val="00277102"/>
    <w:rsid w:val="00277120"/>
    <w:rsid w:val="00277178"/>
    <w:rsid w:val="002771D0"/>
    <w:rsid w:val="002771D4"/>
    <w:rsid w:val="0027723C"/>
    <w:rsid w:val="002772DA"/>
    <w:rsid w:val="00277314"/>
    <w:rsid w:val="002773D5"/>
    <w:rsid w:val="002773EA"/>
    <w:rsid w:val="00277418"/>
    <w:rsid w:val="0027741C"/>
    <w:rsid w:val="002774F0"/>
    <w:rsid w:val="00277531"/>
    <w:rsid w:val="00277545"/>
    <w:rsid w:val="00277577"/>
    <w:rsid w:val="002775E0"/>
    <w:rsid w:val="00277612"/>
    <w:rsid w:val="002776EC"/>
    <w:rsid w:val="00277710"/>
    <w:rsid w:val="0027775E"/>
    <w:rsid w:val="002777AE"/>
    <w:rsid w:val="002777FC"/>
    <w:rsid w:val="00277854"/>
    <w:rsid w:val="002778DD"/>
    <w:rsid w:val="0027795E"/>
    <w:rsid w:val="00277987"/>
    <w:rsid w:val="002779A9"/>
    <w:rsid w:val="002779D2"/>
    <w:rsid w:val="00277B29"/>
    <w:rsid w:val="00277B91"/>
    <w:rsid w:val="00277B9B"/>
    <w:rsid w:val="00277BB1"/>
    <w:rsid w:val="00277BBC"/>
    <w:rsid w:val="00277BE8"/>
    <w:rsid w:val="00277C38"/>
    <w:rsid w:val="00277CE4"/>
    <w:rsid w:val="00277DA3"/>
    <w:rsid w:val="00277E04"/>
    <w:rsid w:val="00277E0C"/>
    <w:rsid w:val="00277E59"/>
    <w:rsid w:val="00277E60"/>
    <w:rsid w:val="00277ED5"/>
    <w:rsid w:val="00277F53"/>
    <w:rsid w:val="00280017"/>
    <w:rsid w:val="002800AA"/>
    <w:rsid w:val="0028011C"/>
    <w:rsid w:val="0028014B"/>
    <w:rsid w:val="00280165"/>
    <w:rsid w:val="0028016A"/>
    <w:rsid w:val="00280177"/>
    <w:rsid w:val="002801BB"/>
    <w:rsid w:val="002801E7"/>
    <w:rsid w:val="0028025C"/>
    <w:rsid w:val="00280272"/>
    <w:rsid w:val="002802A4"/>
    <w:rsid w:val="00280347"/>
    <w:rsid w:val="0028041A"/>
    <w:rsid w:val="002804BE"/>
    <w:rsid w:val="00280514"/>
    <w:rsid w:val="00280530"/>
    <w:rsid w:val="00280540"/>
    <w:rsid w:val="00280571"/>
    <w:rsid w:val="0028059C"/>
    <w:rsid w:val="002805AB"/>
    <w:rsid w:val="002805F1"/>
    <w:rsid w:val="002805F3"/>
    <w:rsid w:val="00280601"/>
    <w:rsid w:val="0028065D"/>
    <w:rsid w:val="00280681"/>
    <w:rsid w:val="00280692"/>
    <w:rsid w:val="002806CF"/>
    <w:rsid w:val="00280727"/>
    <w:rsid w:val="0028073B"/>
    <w:rsid w:val="0028073D"/>
    <w:rsid w:val="0028077A"/>
    <w:rsid w:val="002807D0"/>
    <w:rsid w:val="0028081A"/>
    <w:rsid w:val="0028081D"/>
    <w:rsid w:val="00280861"/>
    <w:rsid w:val="002808F3"/>
    <w:rsid w:val="002809D2"/>
    <w:rsid w:val="002809F7"/>
    <w:rsid w:val="00280A4C"/>
    <w:rsid w:val="00280A6E"/>
    <w:rsid w:val="00280AD9"/>
    <w:rsid w:val="00280B3E"/>
    <w:rsid w:val="00280B56"/>
    <w:rsid w:val="00280B61"/>
    <w:rsid w:val="00280BEB"/>
    <w:rsid w:val="00280C44"/>
    <w:rsid w:val="00280CA2"/>
    <w:rsid w:val="00280CDA"/>
    <w:rsid w:val="00280DD7"/>
    <w:rsid w:val="00280DEA"/>
    <w:rsid w:val="00280E19"/>
    <w:rsid w:val="00280E64"/>
    <w:rsid w:val="00280EDB"/>
    <w:rsid w:val="00280F0F"/>
    <w:rsid w:val="00280F56"/>
    <w:rsid w:val="00280FD6"/>
    <w:rsid w:val="00280FEB"/>
    <w:rsid w:val="002810F7"/>
    <w:rsid w:val="00281114"/>
    <w:rsid w:val="00281165"/>
    <w:rsid w:val="0028116D"/>
    <w:rsid w:val="002811A1"/>
    <w:rsid w:val="00281237"/>
    <w:rsid w:val="00281238"/>
    <w:rsid w:val="002812AC"/>
    <w:rsid w:val="002812C0"/>
    <w:rsid w:val="0028132D"/>
    <w:rsid w:val="002813C6"/>
    <w:rsid w:val="0028140A"/>
    <w:rsid w:val="00281428"/>
    <w:rsid w:val="002814D3"/>
    <w:rsid w:val="00281518"/>
    <w:rsid w:val="00281536"/>
    <w:rsid w:val="00281539"/>
    <w:rsid w:val="002815BC"/>
    <w:rsid w:val="002815BF"/>
    <w:rsid w:val="0028162B"/>
    <w:rsid w:val="0028167E"/>
    <w:rsid w:val="00281692"/>
    <w:rsid w:val="002816B9"/>
    <w:rsid w:val="00281743"/>
    <w:rsid w:val="00281747"/>
    <w:rsid w:val="00281767"/>
    <w:rsid w:val="00281779"/>
    <w:rsid w:val="00281805"/>
    <w:rsid w:val="0028183C"/>
    <w:rsid w:val="00281861"/>
    <w:rsid w:val="002819D0"/>
    <w:rsid w:val="00281AB4"/>
    <w:rsid w:val="00281AD7"/>
    <w:rsid w:val="00281AF0"/>
    <w:rsid w:val="00281B1E"/>
    <w:rsid w:val="00281B2A"/>
    <w:rsid w:val="00281D02"/>
    <w:rsid w:val="00281D74"/>
    <w:rsid w:val="00281DCF"/>
    <w:rsid w:val="00281DD4"/>
    <w:rsid w:val="00281F8E"/>
    <w:rsid w:val="00281FFC"/>
    <w:rsid w:val="002820A9"/>
    <w:rsid w:val="002820C6"/>
    <w:rsid w:val="002820D2"/>
    <w:rsid w:val="0028214A"/>
    <w:rsid w:val="0028217A"/>
    <w:rsid w:val="00282183"/>
    <w:rsid w:val="00282186"/>
    <w:rsid w:val="002821B8"/>
    <w:rsid w:val="002821EB"/>
    <w:rsid w:val="00282256"/>
    <w:rsid w:val="002822D0"/>
    <w:rsid w:val="0028234A"/>
    <w:rsid w:val="00282402"/>
    <w:rsid w:val="00282419"/>
    <w:rsid w:val="0028242A"/>
    <w:rsid w:val="002825E2"/>
    <w:rsid w:val="0028262B"/>
    <w:rsid w:val="00282648"/>
    <w:rsid w:val="00282670"/>
    <w:rsid w:val="002826EF"/>
    <w:rsid w:val="0028270B"/>
    <w:rsid w:val="0028270F"/>
    <w:rsid w:val="0028271F"/>
    <w:rsid w:val="002827A4"/>
    <w:rsid w:val="00282823"/>
    <w:rsid w:val="002828DD"/>
    <w:rsid w:val="002829AB"/>
    <w:rsid w:val="002829DF"/>
    <w:rsid w:val="002829E6"/>
    <w:rsid w:val="002829EB"/>
    <w:rsid w:val="00282A42"/>
    <w:rsid w:val="00282BFE"/>
    <w:rsid w:val="00282C72"/>
    <w:rsid w:val="00282D13"/>
    <w:rsid w:val="00282E0D"/>
    <w:rsid w:val="00282E2C"/>
    <w:rsid w:val="00282EB1"/>
    <w:rsid w:val="00282FA4"/>
    <w:rsid w:val="00282FC5"/>
    <w:rsid w:val="00282FDD"/>
    <w:rsid w:val="00283048"/>
    <w:rsid w:val="00283134"/>
    <w:rsid w:val="00283194"/>
    <w:rsid w:val="00283269"/>
    <w:rsid w:val="0028327A"/>
    <w:rsid w:val="002832A0"/>
    <w:rsid w:val="0028336C"/>
    <w:rsid w:val="002833D6"/>
    <w:rsid w:val="002834A1"/>
    <w:rsid w:val="0028355B"/>
    <w:rsid w:val="00283586"/>
    <w:rsid w:val="0028361F"/>
    <w:rsid w:val="00283633"/>
    <w:rsid w:val="0028364E"/>
    <w:rsid w:val="00283658"/>
    <w:rsid w:val="002836F0"/>
    <w:rsid w:val="00283718"/>
    <w:rsid w:val="00283823"/>
    <w:rsid w:val="00283848"/>
    <w:rsid w:val="00283854"/>
    <w:rsid w:val="00283952"/>
    <w:rsid w:val="00283A0C"/>
    <w:rsid w:val="00283A25"/>
    <w:rsid w:val="00283A69"/>
    <w:rsid w:val="00283AAD"/>
    <w:rsid w:val="00283B3D"/>
    <w:rsid w:val="00283B59"/>
    <w:rsid w:val="00283BAA"/>
    <w:rsid w:val="00283BAF"/>
    <w:rsid w:val="00283BB7"/>
    <w:rsid w:val="00283BDE"/>
    <w:rsid w:val="00283BF4"/>
    <w:rsid w:val="00283C87"/>
    <w:rsid w:val="00283C93"/>
    <w:rsid w:val="00283C9C"/>
    <w:rsid w:val="00283CAA"/>
    <w:rsid w:val="00283DA3"/>
    <w:rsid w:val="00283DD1"/>
    <w:rsid w:val="00283E11"/>
    <w:rsid w:val="00283FB3"/>
    <w:rsid w:val="002840A0"/>
    <w:rsid w:val="0028410E"/>
    <w:rsid w:val="0028416D"/>
    <w:rsid w:val="00284179"/>
    <w:rsid w:val="002841C8"/>
    <w:rsid w:val="002841F2"/>
    <w:rsid w:val="002841FD"/>
    <w:rsid w:val="00284215"/>
    <w:rsid w:val="00284255"/>
    <w:rsid w:val="0028425A"/>
    <w:rsid w:val="002842C7"/>
    <w:rsid w:val="002842C8"/>
    <w:rsid w:val="0028436C"/>
    <w:rsid w:val="00284388"/>
    <w:rsid w:val="002843C8"/>
    <w:rsid w:val="00284419"/>
    <w:rsid w:val="00284469"/>
    <w:rsid w:val="0028446A"/>
    <w:rsid w:val="00284485"/>
    <w:rsid w:val="00284490"/>
    <w:rsid w:val="002844A6"/>
    <w:rsid w:val="002844B3"/>
    <w:rsid w:val="0028457B"/>
    <w:rsid w:val="0028459B"/>
    <w:rsid w:val="002845DC"/>
    <w:rsid w:val="00284637"/>
    <w:rsid w:val="00284672"/>
    <w:rsid w:val="00284795"/>
    <w:rsid w:val="00284940"/>
    <w:rsid w:val="00284A4A"/>
    <w:rsid w:val="00284A9A"/>
    <w:rsid w:val="00284AA5"/>
    <w:rsid w:val="00284B20"/>
    <w:rsid w:val="00284B35"/>
    <w:rsid w:val="00284B8D"/>
    <w:rsid w:val="00284BEF"/>
    <w:rsid w:val="00284C1F"/>
    <w:rsid w:val="00284C39"/>
    <w:rsid w:val="00284CAC"/>
    <w:rsid w:val="00284CD0"/>
    <w:rsid w:val="00284D3D"/>
    <w:rsid w:val="00284D62"/>
    <w:rsid w:val="00284DB0"/>
    <w:rsid w:val="00284DBD"/>
    <w:rsid w:val="00284E0C"/>
    <w:rsid w:val="00284E21"/>
    <w:rsid w:val="00284EB1"/>
    <w:rsid w:val="00284EF8"/>
    <w:rsid w:val="00284F86"/>
    <w:rsid w:val="00284FD8"/>
    <w:rsid w:val="0028502B"/>
    <w:rsid w:val="002850DE"/>
    <w:rsid w:val="00285154"/>
    <w:rsid w:val="0028517E"/>
    <w:rsid w:val="002851BD"/>
    <w:rsid w:val="002851C3"/>
    <w:rsid w:val="0028525C"/>
    <w:rsid w:val="00285288"/>
    <w:rsid w:val="002852A5"/>
    <w:rsid w:val="00285342"/>
    <w:rsid w:val="0028536B"/>
    <w:rsid w:val="0028538F"/>
    <w:rsid w:val="00285532"/>
    <w:rsid w:val="0028556F"/>
    <w:rsid w:val="002855F5"/>
    <w:rsid w:val="00285601"/>
    <w:rsid w:val="0028562C"/>
    <w:rsid w:val="002856AD"/>
    <w:rsid w:val="0028573C"/>
    <w:rsid w:val="0028581C"/>
    <w:rsid w:val="002858BF"/>
    <w:rsid w:val="002858C4"/>
    <w:rsid w:val="002858E7"/>
    <w:rsid w:val="002858FC"/>
    <w:rsid w:val="002858FE"/>
    <w:rsid w:val="00285994"/>
    <w:rsid w:val="00285A67"/>
    <w:rsid w:val="00285AA5"/>
    <w:rsid w:val="00285AB9"/>
    <w:rsid w:val="00285B17"/>
    <w:rsid w:val="00285B59"/>
    <w:rsid w:val="00285B68"/>
    <w:rsid w:val="00285C32"/>
    <w:rsid w:val="00285CA0"/>
    <w:rsid w:val="00285CB2"/>
    <w:rsid w:val="00285CC6"/>
    <w:rsid w:val="00285D03"/>
    <w:rsid w:val="00285DEC"/>
    <w:rsid w:val="00285E2F"/>
    <w:rsid w:val="00285ED6"/>
    <w:rsid w:val="00285EF6"/>
    <w:rsid w:val="00285F08"/>
    <w:rsid w:val="00285F1C"/>
    <w:rsid w:val="00285FAC"/>
    <w:rsid w:val="00285FB3"/>
    <w:rsid w:val="00285FF5"/>
    <w:rsid w:val="0028601A"/>
    <w:rsid w:val="002860DD"/>
    <w:rsid w:val="00286128"/>
    <w:rsid w:val="0028612C"/>
    <w:rsid w:val="00286172"/>
    <w:rsid w:val="00286189"/>
    <w:rsid w:val="0028619E"/>
    <w:rsid w:val="002861A4"/>
    <w:rsid w:val="002861F5"/>
    <w:rsid w:val="00286243"/>
    <w:rsid w:val="00286270"/>
    <w:rsid w:val="002862DB"/>
    <w:rsid w:val="00286300"/>
    <w:rsid w:val="00286398"/>
    <w:rsid w:val="00286401"/>
    <w:rsid w:val="00286421"/>
    <w:rsid w:val="002864FE"/>
    <w:rsid w:val="00286508"/>
    <w:rsid w:val="00286521"/>
    <w:rsid w:val="002865C6"/>
    <w:rsid w:val="002865D6"/>
    <w:rsid w:val="00286694"/>
    <w:rsid w:val="00286854"/>
    <w:rsid w:val="002868DB"/>
    <w:rsid w:val="002869DE"/>
    <w:rsid w:val="00286A85"/>
    <w:rsid w:val="00286A99"/>
    <w:rsid w:val="00286AAF"/>
    <w:rsid w:val="00286AC0"/>
    <w:rsid w:val="00286B9B"/>
    <w:rsid w:val="00286C19"/>
    <w:rsid w:val="00286C45"/>
    <w:rsid w:val="00286C93"/>
    <w:rsid w:val="00286CAD"/>
    <w:rsid w:val="00286CBF"/>
    <w:rsid w:val="00286D0E"/>
    <w:rsid w:val="00286D2F"/>
    <w:rsid w:val="00286D6D"/>
    <w:rsid w:val="00286E2E"/>
    <w:rsid w:val="00286E50"/>
    <w:rsid w:val="00286FC8"/>
    <w:rsid w:val="00286FC9"/>
    <w:rsid w:val="00287039"/>
    <w:rsid w:val="0028719E"/>
    <w:rsid w:val="002871B2"/>
    <w:rsid w:val="0028720A"/>
    <w:rsid w:val="00287292"/>
    <w:rsid w:val="00287362"/>
    <w:rsid w:val="002873F2"/>
    <w:rsid w:val="00287422"/>
    <w:rsid w:val="0028745A"/>
    <w:rsid w:val="0028745D"/>
    <w:rsid w:val="002874A5"/>
    <w:rsid w:val="002874FE"/>
    <w:rsid w:val="00287581"/>
    <w:rsid w:val="002875BE"/>
    <w:rsid w:val="002875DD"/>
    <w:rsid w:val="002875E3"/>
    <w:rsid w:val="0028761A"/>
    <w:rsid w:val="00287659"/>
    <w:rsid w:val="002876E0"/>
    <w:rsid w:val="002876F1"/>
    <w:rsid w:val="00287792"/>
    <w:rsid w:val="002877E2"/>
    <w:rsid w:val="0028785C"/>
    <w:rsid w:val="00287887"/>
    <w:rsid w:val="0028792D"/>
    <w:rsid w:val="00287941"/>
    <w:rsid w:val="00287996"/>
    <w:rsid w:val="002879EC"/>
    <w:rsid w:val="00287A0E"/>
    <w:rsid w:val="00287A1F"/>
    <w:rsid w:val="00287A28"/>
    <w:rsid w:val="00287A64"/>
    <w:rsid w:val="00287A65"/>
    <w:rsid w:val="00287AF3"/>
    <w:rsid w:val="00287B48"/>
    <w:rsid w:val="00287B4D"/>
    <w:rsid w:val="00287BAF"/>
    <w:rsid w:val="00287BB0"/>
    <w:rsid w:val="00287CC7"/>
    <w:rsid w:val="00287D11"/>
    <w:rsid w:val="00287D37"/>
    <w:rsid w:val="00287DC6"/>
    <w:rsid w:val="00287E23"/>
    <w:rsid w:val="00287E53"/>
    <w:rsid w:val="00287F36"/>
    <w:rsid w:val="00287FCA"/>
    <w:rsid w:val="00287FF7"/>
    <w:rsid w:val="00290000"/>
    <w:rsid w:val="002900A3"/>
    <w:rsid w:val="002900F6"/>
    <w:rsid w:val="00290108"/>
    <w:rsid w:val="0029027D"/>
    <w:rsid w:val="0029031C"/>
    <w:rsid w:val="0029032D"/>
    <w:rsid w:val="00290333"/>
    <w:rsid w:val="00290374"/>
    <w:rsid w:val="002903CA"/>
    <w:rsid w:val="00290483"/>
    <w:rsid w:val="002904D7"/>
    <w:rsid w:val="002905C9"/>
    <w:rsid w:val="0029066A"/>
    <w:rsid w:val="002906B7"/>
    <w:rsid w:val="002906BF"/>
    <w:rsid w:val="00290713"/>
    <w:rsid w:val="00290745"/>
    <w:rsid w:val="002907BD"/>
    <w:rsid w:val="002907E1"/>
    <w:rsid w:val="00290851"/>
    <w:rsid w:val="0029085A"/>
    <w:rsid w:val="002908FE"/>
    <w:rsid w:val="0029090A"/>
    <w:rsid w:val="00290951"/>
    <w:rsid w:val="00290975"/>
    <w:rsid w:val="002909EC"/>
    <w:rsid w:val="002909F5"/>
    <w:rsid w:val="002909FF"/>
    <w:rsid w:val="00290A32"/>
    <w:rsid w:val="00290A57"/>
    <w:rsid w:val="00290A73"/>
    <w:rsid w:val="00290AC3"/>
    <w:rsid w:val="00290AC6"/>
    <w:rsid w:val="00290B31"/>
    <w:rsid w:val="00290BC2"/>
    <w:rsid w:val="00290C77"/>
    <w:rsid w:val="00290C8B"/>
    <w:rsid w:val="00290D8C"/>
    <w:rsid w:val="00290D8D"/>
    <w:rsid w:val="00290D96"/>
    <w:rsid w:val="00290EE4"/>
    <w:rsid w:val="00290F98"/>
    <w:rsid w:val="00290FFC"/>
    <w:rsid w:val="00291069"/>
    <w:rsid w:val="00291092"/>
    <w:rsid w:val="002910F4"/>
    <w:rsid w:val="0029115A"/>
    <w:rsid w:val="0029117F"/>
    <w:rsid w:val="002911AE"/>
    <w:rsid w:val="0029121E"/>
    <w:rsid w:val="00291276"/>
    <w:rsid w:val="00291323"/>
    <w:rsid w:val="00291326"/>
    <w:rsid w:val="00291333"/>
    <w:rsid w:val="00291406"/>
    <w:rsid w:val="00291417"/>
    <w:rsid w:val="00291471"/>
    <w:rsid w:val="002914F2"/>
    <w:rsid w:val="00291527"/>
    <w:rsid w:val="002915BA"/>
    <w:rsid w:val="002915C2"/>
    <w:rsid w:val="002915F3"/>
    <w:rsid w:val="002916B5"/>
    <w:rsid w:val="00291755"/>
    <w:rsid w:val="00291785"/>
    <w:rsid w:val="002917C1"/>
    <w:rsid w:val="00291810"/>
    <w:rsid w:val="002918AB"/>
    <w:rsid w:val="00291900"/>
    <w:rsid w:val="00291934"/>
    <w:rsid w:val="00291A3A"/>
    <w:rsid w:val="00291A64"/>
    <w:rsid w:val="00291B48"/>
    <w:rsid w:val="00291B5F"/>
    <w:rsid w:val="00291B97"/>
    <w:rsid w:val="00291BD5"/>
    <w:rsid w:val="00291C9E"/>
    <w:rsid w:val="00291D4A"/>
    <w:rsid w:val="00291DBE"/>
    <w:rsid w:val="00291DEC"/>
    <w:rsid w:val="00291F3F"/>
    <w:rsid w:val="00291F96"/>
    <w:rsid w:val="00291FEC"/>
    <w:rsid w:val="00292146"/>
    <w:rsid w:val="00292175"/>
    <w:rsid w:val="0029225B"/>
    <w:rsid w:val="002922EB"/>
    <w:rsid w:val="002923ED"/>
    <w:rsid w:val="00292438"/>
    <w:rsid w:val="0029248E"/>
    <w:rsid w:val="00292552"/>
    <w:rsid w:val="0029260B"/>
    <w:rsid w:val="0029260F"/>
    <w:rsid w:val="00292614"/>
    <w:rsid w:val="00292659"/>
    <w:rsid w:val="0029272C"/>
    <w:rsid w:val="0029279A"/>
    <w:rsid w:val="002927F6"/>
    <w:rsid w:val="00292813"/>
    <w:rsid w:val="00292829"/>
    <w:rsid w:val="002928CF"/>
    <w:rsid w:val="002928E2"/>
    <w:rsid w:val="00292958"/>
    <w:rsid w:val="00292972"/>
    <w:rsid w:val="00292990"/>
    <w:rsid w:val="002929A4"/>
    <w:rsid w:val="002929D1"/>
    <w:rsid w:val="00292A00"/>
    <w:rsid w:val="00292B8D"/>
    <w:rsid w:val="00292B92"/>
    <w:rsid w:val="00292C76"/>
    <w:rsid w:val="00292D27"/>
    <w:rsid w:val="00292D2A"/>
    <w:rsid w:val="00292D47"/>
    <w:rsid w:val="00292D4B"/>
    <w:rsid w:val="00292EB2"/>
    <w:rsid w:val="00292F80"/>
    <w:rsid w:val="0029303E"/>
    <w:rsid w:val="0029306E"/>
    <w:rsid w:val="00293083"/>
    <w:rsid w:val="002931E2"/>
    <w:rsid w:val="002931FA"/>
    <w:rsid w:val="00293214"/>
    <w:rsid w:val="0029332C"/>
    <w:rsid w:val="00293356"/>
    <w:rsid w:val="0029337C"/>
    <w:rsid w:val="002933CB"/>
    <w:rsid w:val="0029343C"/>
    <w:rsid w:val="0029344D"/>
    <w:rsid w:val="00293456"/>
    <w:rsid w:val="0029349D"/>
    <w:rsid w:val="002934F3"/>
    <w:rsid w:val="0029351E"/>
    <w:rsid w:val="00293537"/>
    <w:rsid w:val="0029359B"/>
    <w:rsid w:val="002935AC"/>
    <w:rsid w:val="002935EA"/>
    <w:rsid w:val="0029364D"/>
    <w:rsid w:val="00293837"/>
    <w:rsid w:val="00293898"/>
    <w:rsid w:val="002938A2"/>
    <w:rsid w:val="0029390F"/>
    <w:rsid w:val="00293991"/>
    <w:rsid w:val="002939D8"/>
    <w:rsid w:val="00293A75"/>
    <w:rsid w:val="00293AE4"/>
    <w:rsid w:val="00293B3A"/>
    <w:rsid w:val="00293C0F"/>
    <w:rsid w:val="00293C29"/>
    <w:rsid w:val="00293C2B"/>
    <w:rsid w:val="00293C3C"/>
    <w:rsid w:val="00293C7A"/>
    <w:rsid w:val="00293C9B"/>
    <w:rsid w:val="00293CD9"/>
    <w:rsid w:val="00293D18"/>
    <w:rsid w:val="00293D1A"/>
    <w:rsid w:val="00293D3E"/>
    <w:rsid w:val="00293D5F"/>
    <w:rsid w:val="00293D90"/>
    <w:rsid w:val="00293E6E"/>
    <w:rsid w:val="00293F54"/>
    <w:rsid w:val="00293F9D"/>
    <w:rsid w:val="00293FC6"/>
    <w:rsid w:val="00293FE1"/>
    <w:rsid w:val="00293FE3"/>
    <w:rsid w:val="00294015"/>
    <w:rsid w:val="0029403B"/>
    <w:rsid w:val="0029406C"/>
    <w:rsid w:val="0029410F"/>
    <w:rsid w:val="002941F1"/>
    <w:rsid w:val="0029423F"/>
    <w:rsid w:val="00294257"/>
    <w:rsid w:val="0029426A"/>
    <w:rsid w:val="00294284"/>
    <w:rsid w:val="002942F1"/>
    <w:rsid w:val="0029437F"/>
    <w:rsid w:val="00294492"/>
    <w:rsid w:val="00294518"/>
    <w:rsid w:val="0029451D"/>
    <w:rsid w:val="00294579"/>
    <w:rsid w:val="00294580"/>
    <w:rsid w:val="00294650"/>
    <w:rsid w:val="0029466B"/>
    <w:rsid w:val="0029467A"/>
    <w:rsid w:val="002946F6"/>
    <w:rsid w:val="0029479D"/>
    <w:rsid w:val="0029479E"/>
    <w:rsid w:val="00294876"/>
    <w:rsid w:val="002948BA"/>
    <w:rsid w:val="002948C3"/>
    <w:rsid w:val="002948C4"/>
    <w:rsid w:val="002948F0"/>
    <w:rsid w:val="002949E7"/>
    <w:rsid w:val="00294A44"/>
    <w:rsid w:val="00294A7E"/>
    <w:rsid w:val="00294A8B"/>
    <w:rsid w:val="00294ABA"/>
    <w:rsid w:val="00294B4B"/>
    <w:rsid w:val="00294B5B"/>
    <w:rsid w:val="00294B98"/>
    <w:rsid w:val="00294C3A"/>
    <w:rsid w:val="00294C3F"/>
    <w:rsid w:val="00294C80"/>
    <w:rsid w:val="00294C9F"/>
    <w:rsid w:val="00294CFC"/>
    <w:rsid w:val="00294E46"/>
    <w:rsid w:val="00294E6F"/>
    <w:rsid w:val="00294E77"/>
    <w:rsid w:val="00294EBB"/>
    <w:rsid w:val="00294EDE"/>
    <w:rsid w:val="00294EE3"/>
    <w:rsid w:val="00294F56"/>
    <w:rsid w:val="00294F6D"/>
    <w:rsid w:val="00294F8A"/>
    <w:rsid w:val="00294F98"/>
    <w:rsid w:val="0029501D"/>
    <w:rsid w:val="0029510C"/>
    <w:rsid w:val="0029511F"/>
    <w:rsid w:val="00295165"/>
    <w:rsid w:val="00295168"/>
    <w:rsid w:val="0029522D"/>
    <w:rsid w:val="00295306"/>
    <w:rsid w:val="00295346"/>
    <w:rsid w:val="0029537E"/>
    <w:rsid w:val="002953AA"/>
    <w:rsid w:val="002953C0"/>
    <w:rsid w:val="0029541D"/>
    <w:rsid w:val="0029544F"/>
    <w:rsid w:val="00295486"/>
    <w:rsid w:val="00295492"/>
    <w:rsid w:val="00295521"/>
    <w:rsid w:val="00295530"/>
    <w:rsid w:val="00295531"/>
    <w:rsid w:val="0029557C"/>
    <w:rsid w:val="002955C4"/>
    <w:rsid w:val="00295691"/>
    <w:rsid w:val="002956B1"/>
    <w:rsid w:val="002956C9"/>
    <w:rsid w:val="002957BC"/>
    <w:rsid w:val="0029582F"/>
    <w:rsid w:val="002958FF"/>
    <w:rsid w:val="00295947"/>
    <w:rsid w:val="0029596C"/>
    <w:rsid w:val="00295985"/>
    <w:rsid w:val="002959FF"/>
    <w:rsid w:val="00295A0C"/>
    <w:rsid w:val="00295A1C"/>
    <w:rsid w:val="00295BB0"/>
    <w:rsid w:val="00295BB8"/>
    <w:rsid w:val="00295C63"/>
    <w:rsid w:val="00295C70"/>
    <w:rsid w:val="00295CAE"/>
    <w:rsid w:val="00295CD1"/>
    <w:rsid w:val="00295CD3"/>
    <w:rsid w:val="00295CD4"/>
    <w:rsid w:val="00295D3F"/>
    <w:rsid w:val="00295F52"/>
    <w:rsid w:val="00295F7E"/>
    <w:rsid w:val="00295F95"/>
    <w:rsid w:val="00295FB0"/>
    <w:rsid w:val="00296045"/>
    <w:rsid w:val="0029609F"/>
    <w:rsid w:val="00296165"/>
    <w:rsid w:val="002961CA"/>
    <w:rsid w:val="002961F7"/>
    <w:rsid w:val="00296242"/>
    <w:rsid w:val="002962D5"/>
    <w:rsid w:val="002962E8"/>
    <w:rsid w:val="00296303"/>
    <w:rsid w:val="0029646E"/>
    <w:rsid w:val="002964EB"/>
    <w:rsid w:val="00296503"/>
    <w:rsid w:val="00296549"/>
    <w:rsid w:val="00296564"/>
    <w:rsid w:val="0029657D"/>
    <w:rsid w:val="00296609"/>
    <w:rsid w:val="002966D1"/>
    <w:rsid w:val="002966F5"/>
    <w:rsid w:val="002967B9"/>
    <w:rsid w:val="0029693B"/>
    <w:rsid w:val="002969C5"/>
    <w:rsid w:val="00296A3F"/>
    <w:rsid w:val="00296AB8"/>
    <w:rsid w:val="00296AFF"/>
    <w:rsid w:val="00296B28"/>
    <w:rsid w:val="00296B35"/>
    <w:rsid w:val="00296BB4"/>
    <w:rsid w:val="00296C32"/>
    <w:rsid w:val="00296D34"/>
    <w:rsid w:val="00296D61"/>
    <w:rsid w:val="00296D8E"/>
    <w:rsid w:val="00296DDE"/>
    <w:rsid w:val="00296DE2"/>
    <w:rsid w:val="00296E1B"/>
    <w:rsid w:val="00296FBD"/>
    <w:rsid w:val="00296FCE"/>
    <w:rsid w:val="0029704F"/>
    <w:rsid w:val="002970AE"/>
    <w:rsid w:val="00297155"/>
    <w:rsid w:val="00297163"/>
    <w:rsid w:val="00297171"/>
    <w:rsid w:val="002971B8"/>
    <w:rsid w:val="0029724B"/>
    <w:rsid w:val="00297252"/>
    <w:rsid w:val="002972BF"/>
    <w:rsid w:val="002973A8"/>
    <w:rsid w:val="002973FB"/>
    <w:rsid w:val="0029745B"/>
    <w:rsid w:val="0029748C"/>
    <w:rsid w:val="002974BE"/>
    <w:rsid w:val="00297537"/>
    <w:rsid w:val="00297670"/>
    <w:rsid w:val="00297672"/>
    <w:rsid w:val="00297838"/>
    <w:rsid w:val="0029784D"/>
    <w:rsid w:val="00297875"/>
    <w:rsid w:val="002978D8"/>
    <w:rsid w:val="00297986"/>
    <w:rsid w:val="00297A11"/>
    <w:rsid w:val="00297A14"/>
    <w:rsid w:val="00297A3E"/>
    <w:rsid w:val="00297B36"/>
    <w:rsid w:val="00297B73"/>
    <w:rsid w:val="00297BDB"/>
    <w:rsid w:val="00297C86"/>
    <w:rsid w:val="00297CAA"/>
    <w:rsid w:val="00297CAF"/>
    <w:rsid w:val="00297CF9"/>
    <w:rsid w:val="00297D51"/>
    <w:rsid w:val="00297DB8"/>
    <w:rsid w:val="00297DDB"/>
    <w:rsid w:val="00297E8A"/>
    <w:rsid w:val="00297EDA"/>
    <w:rsid w:val="00297EED"/>
    <w:rsid w:val="00297EFD"/>
    <w:rsid w:val="00297F26"/>
    <w:rsid w:val="002A0022"/>
    <w:rsid w:val="002A0028"/>
    <w:rsid w:val="002A007C"/>
    <w:rsid w:val="002A015B"/>
    <w:rsid w:val="002A01CF"/>
    <w:rsid w:val="002A01EF"/>
    <w:rsid w:val="002A029E"/>
    <w:rsid w:val="002A02C1"/>
    <w:rsid w:val="002A02E6"/>
    <w:rsid w:val="002A02FA"/>
    <w:rsid w:val="002A035E"/>
    <w:rsid w:val="002A0471"/>
    <w:rsid w:val="002A04AD"/>
    <w:rsid w:val="002A04E4"/>
    <w:rsid w:val="002A0505"/>
    <w:rsid w:val="002A05A5"/>
    <w:rsid w:val="002A05A7"/>
    <w:rsid w:val="002A05CD"/>
    <w:rsid w:val="002A063B"/>
    <w:rsid w:val="002A0646"/>
    <w:rsid w:val="002A067D"/>
    <w:rsid w:val="002A069C"/>
    <w:rsid w:val="002A069E"/>
    <w:rsid w:val="002A06ED"/>
    <w:rsid w:val="002A0799"/>
    <w:rsid w:val="002A084C"/>
    <w:rsid w:val="002A0851"/>
    <w:rsid w:val="002A08E6"/>
    <w:rsid w:val="002A0975"/>
    <w:rsid w:val="002A0987"/>
    <w:rsid w:val="002A0A30"/>
    <w:rsid w:val="002A0AB2"/>
    <w:rsid w:val="002A0AD7"/>
    <w:rsid w:val="002A0B44"/>
    <w:rsid w:val="002A0B8D"/>
    <w:rsid w:val="002A0C17"/>
    <w:rsid w:val="002A0C1E"/>
    <w:rsid w:val="002A0C22"/>
    <w:rsid w:val="002A0C80"/>
    <w:rsid w:val="002A0C9F"/>
    <w:rsid w:val="002A0D3C"/>
    <w:rsid w:val="002A0D63"/>
    <w:rsid w:val="002A0D7C"/>
    <w:rsid w:val="002A0E45"/>
    <w:rsid w:val="002A0E5A"/>
    <w:rsid w:val="002A0E98"/>
    <w:rsid w:val="002A0EEC"/>
    <w:rsid w:val="002A1018"/>
    <w:rsid w:val="002A10AE"/>
    <w:rsid w:val="002A11C0"/>
    <w:rsid w:val="002A1254"/>
    <w:rsid w:val="002A13CE"/>
    <w:rsid w:val="002A13F6"/>
    <w:rsid w:val="002A147A"/>
    <w:rsid w:val="002A1493"/>
    <w:rsid w:val="002A14EA"/>
    <w:rsid w:val="002A14F9"/>
    <w:rsid w:val="002A1513"/>
    <w:rsid w:val="002A15A0"/>
    <w:rsid w:val="002A163F"/>
    <w:rsid w:val="002A1656"/>
    <w:rsid w:val="002A172A"/>
    <w:rsid w:val="002A17BF"/>
    <w:rsid w:val="002A1880"/>
    <w:rsid w:val="002A1897"/>
    <w:rsid w:val="002A18EC"/>
    <w:rsid w:val="002A193F"/>
    <w:rsid w:val="002A19DC"/>
    <w:rsid w:val="002A19F1"/>
    <w:rsid w:val="002A1A2E"/>
    <w:rsid w:val="002A1AD0"/>
    <w:rsid w:val="002A1B65"/>
    <w:rsid w:val="002A1BEA"/>
    <w:rsid w:val="002A1C07"/>
    <w:rsid w:val="002A1C53"/>
    <w:rsid w:val="002A1CA1"/>
    <w:rsid w:val="002A1CC5"/>
    <w:rsid w:val="002A1DB2"/>
    <w:rsid w:val="002A1DE7"/>
    <w:rsid w:val="002A1E84"/>
    <w:rsid w:val="002A1F3E"/>
    <w:rsid w:val="002A1F5E"/>
    <w:rsid w:val="002A1F6E"/>
    <w:rsid w:val="002A1FF4"/>
    <w:rsid w:val="002A203A"/>
    <w:rsid w:val="002A2099"/>
    <w:rsid w:val="002A20A0"/>
    <w:rsid w:val="002A20E1"/>
    <w:rsid w:val="002A20E8"/>
    <w:rsid w:val="002A21BA"/>
    <w:rsid w:val="002A21D6"/>
    <w:rsid w:val="002A2237"/>
    <w:rsid w:val="002A227D"/>
    <w:rsid w:val="002A22A2"/>
    <w:rsid w:val="002A22A5"/>
    <w:rsid w:val="002A2415"/>
    <w:rsid w:val="002A248B"/>
    <w:rsid w:val="002A24A4"/>
    <w:rsid w:val="002A254C"/>
    <w:rsid w:val="002A256C"/>
    <w:rsid w:val="002A259D"/>
    <w:rsid w:val="002A2620"/>
    <w:rsid w:val="002A26AA"/>
    <w:rsid w:val="002A26F6"/>
    <w:rsid w:val="002A27DA"/>
    <w:rsid w:val="002A27E1"/>
    <w:rsid w:val="002A28BC"/>
    <w:rsid w:val="002A28DE"/>
    <w:rsid w:val="002A28E3"/>
    <w:rsid w:val="002A2A5B"/>
    <w:rsid w:val="002A2A7C"/>
    <w:rsid w:val="002A2AAD"/>
    <w:rsid w:val="002A2B77"/>
    <w:rsid w:val="002A2BA1"/>
    <w:rsid w:val="002A2C71"/>
    <w:rsid w:val="002A2CAB"/>
    <w:rsid w:val="002A2D4E"/>
    <w:rsid w:val="002A2E34"/>
    <w:rsid w:val="002A2E50"/>
    <w:rsid w:val="002A2E67"/>
    <w:rsid w:val="002A2EEB"/>
    <w:rsid w:val="002A2F09"/>
    <w:rsid w:val="002A2F51"/>
    <w:rsid w:val="002A300E"/>
    <w:rsid w:val="002A3014"/>
    <w:rsid w:val="002A3029"/>
    <w:rsid w:val="002A3050"/>
    <w:rsid w:val="002A305A"/>
    <w:rsid w:val="002A30A8"/>
    <w:rsid w:val="002A30C3"/>
    <w:rsid w:val="002A30E9"/>
    <w:rsid w:val="002A3192"/>
    <w:rsid w:val="002A31F7"/>
    <w:rsid w:val="002A32EE"/>
    <w:rsid w:val="002A332A"/>
    <w:rsid w:val="002A337A"/>
    <w:rsid w:val="002A338B"/>
    <w:rsid w:val="002A33A4"/>
    <w:rsid w:val="002A342B"/>
    <w:rsid w:val="002A34B5"/>
    <w:rsid w:val="002A34C8"/>
    <w:rsid w:val="002A352C"/>
    <w:rsid w:val="002A355C"/>
    <w:rsid w:val="002A3560"/>
    <w:rsid w:val="002A3577"/>
    <w:rsid w:val="002A362C"/>
    <w:rsid w:val="002A3633"/>
    <w:rsid w:val="002A3707"/>
    <w:rsid w:val="002A371B"/>
    <w:rsid w:val="002A372C"/>
    <w:rsid w:val="002A3757"/>
    <w:rsid w:val="002A375A"/>
    <w:rsid w:val="002A37D7"/>
    <w:rsid w:val="002A37F8"/>
    <w:rsid w:val="002A3877"/>
    <w:rsid w:val="002A38DC"/>
    <w:rsid w:val="002A3ADF"/>
    <w:rsid w:val="002A3B3B"/>
    <w:rsid w:val="002A3B40"/>
    <w:rsid w:val="002A3B4D"/>
    <w:rsid w:val="002A3B67"/>
    <w:rsid w:val="002A3B99"/>
    <w:rsid w:val="002A3C35"/>
    <w:rsid w:val="002A3C56"/>
    <w:rsid w:val="002A3C57"/>
    <w:rsid w:val="002A3CB8"/>
    <w:rsid w:val="002A3D65"/>
    <w:rsid w:val="002A3D96"/>
    <w:rsid w:val="002A3DBA"/>
    <w:rsid w:val="002A3E3C"/>
    <w:rsid w:val="002A3E6C"/>
    <w:rsid w:val="002A3E83"/>
    <w:rsid w:val="002A3F34"/>
    <w:rsid w:val="002A3F49"/>
    <w:rsid w:val="002A3FCA"/>
    <w:rsid w:val="002A4001"/>
    <w:rsid w:val="002A404D"/>
    <w:rsid w:val="002A40B3"/>
    <w:rsid w:val="002A40E4"/>
    <w:rsid w:val="002A410E"/>
    <w:rsid w:val="002A4199"/>
    <w:rsid w:val="002A41E5"/>
    <w:rsid w:val="002A422D"/>
    <w:rsid w:val="002A4254"/>
    <w:rsid w:val="002A42A7"/>
    <w:rsid w:val="002A434E"/>
    <w:rsid w:val="002A43A1"/>
    <w:rsid w:val="002A43CD"/>
    <w:rsid w:val="002A443C"/>
    <w:rsid w:val="002A4507"/>
    <w:rsid w:val="002A4528"/>
    <w:rsid w:val="002A452F"/>
    <w:rsid w:val="002A4530"/>
    <w:rsid w:val="002A453A"/>
    <w:rsid w:val="002A453D"/>
    <w:rsid w:val="002A467D"/>
    <w:rsid w:val="002A46B0"/>
    <w:rsid w:val="002A46C0"/>
    <w:rsid w:val="002A46C9"/>
    <w:rsid w:val="002A479B"/>
    <w:rsid w:val="002A47BF"/>
    <w:rsid w:val="002A47E5"/>
    <w:rsid w:val="002A487D"/>
    <w:rsid w:val="002A487E"/>
    <w:rsid w:val="002A4890"/>
    <w:rsid w:val="002A48DC"/>
    <w:rsid w:val="002A48E8"/>
    <w:rsid w:val="002A495A"/>
    <w:rsid w:val="002A4960"/>
    <w:rsid w:val="002A4998"/>
    <w:rsid w:val="002A49C7"/>
    <w:rsid w:val="002A49D0"/>
    <w:rsid w:val="002A49E8"/>
    <w:rsid w:val="002A4A89"/>
    <w:rsid w:val="002A4A8B"/>
    <w:rsid w:val="002A4AD0"/>
    <w:rsid w:val="002A4C0A"/>
    <w:rsid w:val="002A4C90"/>
    <w:rsid w:val="002A4C91"/>
    <w:rsid w:val="002A4D15"/>
    <w:rsid w:val="002A4D33"/>
    <w:rsid w:val="002A4D91"/>
    <w:rsid w:val="002A4E13"/>
    <w:rsid w:val="002A4E16"/>
    <w:rsid w:val="002A4EC9"/>
    <w:rsid w:val="002A4EEF"/>
    <w:rsid w:val="002A4F8B"/>
    <w:rsid w:val="002A4FB8"/>
    <w:rsid w:val="002A4FD6"/>
    <w:rsid w:val="002A5044"/>
    <w:rsid w:val="002A5051"/>
    <w:rsid w:val="002A505C"/>
    <w:rsid w:val="002A508E"/>
    <w:rsid w:val="002A509F"/>
    <w:rsid w:val="002A50F1"/>
    <w:rsid w:val="002A5124"/>
    <w:rsid w:val="002A51EB"/>
    <w:rsid w:val="002A51F2"/>
    <w:rsid w:val="002A5309"/>
    <w:rsid w:val="002A531C"/>
    <w:rsid w:val="002A5371"/>
    <w:rsid w:val="002A5404"/>
    <w:rsid w:val="002A544E"/>
    <w:rsid w:val="002A5452"/>
    <w:rsid w:val="002A547B"/>
    <w:rsid w:val="002A54BE"/>
    <w:rsid w:val="002A54DE"/>
    <w:rsid w:val="002A5515"/>
    <w:rsid w:val="002A555C"/>
    <w:rsid w:val="002A559D"/>
    <w:rsid w:val="002A55A2"/>
    <w:rsid w:val="002A55FD"/>
    <w:rsid w:val="002A5667"/>
    <w:rsid w:val="002A5670"/>
    <w:rsid w:val="002A56BE"/>
    <w:rsid w:val="002A56F0"/>
    <w:rsid w:val="002A56F4"/>
    <w:rsid w:val="002A5732"/>
    <w:rsid w:val="002A5747"/>
    <w:rsid w:val="002A583C"/>
    <w:rsid w:val="002A58C5"/>
    <w:rsid w:val="002A59CA"/>
    <w:rsid w:val="002A5A9E"/>
    <w:rsid w:val="002A5B04"/>
    <w:rsid w:val="002A5B66"/>
    <w:rsid w:val="002A5B93"/>
    <w:rsid w:val="002A5BDB"/>
    <w:rsid w:val="002A5BE7"/>
    <w:rsid w:val="002A5C0E"/>
    <w:rsid w:val="002A5C29"/>
    <w:rsid w:val="002A5C3E"/>
    <w:rsid w:val="002A5CFB"/>
    <w:rsid w:val="002A5E27"/>
    <w:rsid w:val="002A5E57"/>
    <w:rsid w:val="002A5E59"/>
    <w:rsid w:val="002A5FE5"/>
    <w:rsid w:val="002A6041"/>
    <w:rsid w:val="002A605F"/>
    <w:rsid w:val="002A611F"/>
    <w:rsid w:val="002A612A"/>
    <w:rsid w:val="002A6190"/>
    <w:rsid w:val="002A620C"/>
    <w:rsid w:val="002A6226"/>
    <w:rsid w:val="002A6231"/>
    <w:rsid w:val="002A629D"/>
    <w:rsid w:val="002A629E"/>
    <w:rsid w:val="002A62C9"/>
    <w:rsid w:val="002A62E7"/>
    <w:rsid w:val="002A63AB"/>
    <w:rsid w:val="002A6518"/>
    <w:rsid w:val="002A6537"/>
    <w:rsid w:val="002A653B"/>
    <w:rsid w:val="002A6573"/>
    <w:rsid w:val="002A65B1"/>
    <w:rsid w:val="002A6803"/>
    <w:rsid w:val="002A6805"/>
    <w:rsid w:val="002A682D"/>
    <w:rsid w:val="002A685E"/>
    <w:rsid w:val="002A68E1"/>
    <w:rsid w:val="002A69B9"/>
    <w:rsid w:val="002A69C0"/>
    <w:rsid w:val="002A6A01"/>
    <w:rsid w:val="002A6A3D"/>
    <w:rsid w:val="002A6A42"/>
    <w:rsid w:val="002A6A7E"/>
    <w:rsid w:val="002A6AAD"/>
    <w:rsid w:val="002A6AEF"/>
    <w:rsid w:val="002A6AF6"/>
    <w:rsid w:val="002A6B13"/>
    <w:rsid w:val="002A6B73"/>
    <w:rsid w:val="002A6B7B"/>
    <w:rsid w:val="002A6B89"/>
    <w:rsid w:val="002A6BB4"/>
    <w:rsid w:val="002A6C68"/>
    <w:rsid w:val="002A6CB4"/>
    <w:rsid w:val="002A6CBF"/>
    <w:rsid w:val="002A6CF2"/>
    <w:rsid w:val="002A6D20"/>
    <w:rsid w:val="002A6D2D"/>
    <w:rsid w:val="002A6DD9"/>
    <w:rsid w:val="002A6ED4"/>
    <w:rsid w:val="002A6EDF"/>
    <w:rsid w:val="002A6EE0"/>
    <w:rsid w:val="002A6EE4"/>
    <w:rsid w:val="002A6F64"/>
    <w:rsid w:val="002A6F99"/>
    <w:rsid w:val="002A6FCB"/>
    <w:rsid w:val="002A6FD5"/>
    <w:rsid w:val="002A7018"/>
    <w:rsid w:val="002A70FE"/>
    <w:rsid w:val="002A713E"/>
    <w:rsid w:val="002A718B"/>
    <w:rsid w:val="002A7206"/>
    <w:rsid w:val="002A7227"/>
    <w:rsid w:val="002A725D"/>
    <w:rsid w:val="002A7294"/>
    <w:rsid w:val="002A72B0"/>
    <w:rsid w:val="002A72B8"/>
    <w:rsid w:val="002A7321"/>
    <w:rsid w:val="002A736B"/>
    <w:rsid w:val="002A7427"/>
    <w:rsid w:val="002A747A"/>
    <w:rsid w:val="002A750A"/>
    <w:rsid w:val="002A75FB"/>
    <w:rsid w:val="002A766B"/>
    <w:rsid w:val="002A767A"/>
    <w:rsid w:val="002A76B4"/>
    <w:rsid w:val="002A7796"/>
    <w:rsid w:val="002A7798"/>
    <w:rsid w:val="002A77DC"/>
    <w:rsid w:val="002A7850"/>
    <w:rsid w:val="002A7868"/>
    <w:rsid w:val="002A7873"/>
    <w:rsid w:val="002A78BB"/>
    <w:rsid w:val="002A794C"/>
    <w:rsid w:val="002A7958"/>
    <w:rsid w:val="002A7A75"/>
    <w:rsid w:val="002A7ACC"/>
    <w:rsid w:val="002A7B5F"/>
    <w:rsid w:val="002A7B7D"/>
    <w:rsid w:val="002A7CE4"/>
    <w:rsid w:val="002A7D95"/>
    <w:rsid w:val="002A7DCC"/>
    <w:rsid w:val="002A7E22"/>
    <w:rsid w:val="002A7E2F"/>
    <w:rsid w:val="002A7E5D"/>
    <w:rsid w:val="002A7EC8"/>
    <w:rsid w:val="002A7F02"/>
    <w:rsid w:val="002A7F7E"/>
    <w:rsid w:val="002A7FA7"/>
    <w:rsid w:val="002A7FB0"/>
    <w:rsid w:val="002A7FF5"/>
    <w:rsid w:val="002B0043"/>
    <w:rsid w:val="002B0131"/>
    <w:rsid w:val="002B0237"/>
    <w:rsid w:val="002B02E1"/>
    <w:rsid w:val="002B034E"/>
    <w:rsid w:val="002B0399"/>
    <w:rsid w:val="002B03D5"/>
    <w:rsid w:val="002B03D9"/>
    <w:rsid w:val="002B041F"/>
    <w:rsid w:val="002B042D"/>
    <w:rsid w:val="002B046C"/>
    <w:rsid w:val="002B04D0"/>
    <w:rsid w:val="002B0515"/>
    <w:rsid w:val="002B052A"/>
    <w:rsid w:val="002B0591"/>
    <w:rsid w:val="002B05A2"/>
    <w:rsid w:val="002B061A"/>
    <w:rsid w:val="002B062C"/>
    <w:rsid w:val="002B0632"/>
    <w:rsid w:val="002B0750"/>
    <w:rsid w:val="002B07AF"/>
    <w:rsid w:val="002B07C8"/>
    <w:rsid w:val="002B0814"/>
    <w:rsid w:val="002B08F1"/>
    <w:rsid w:val="002B091F"/>
    <w:rsid w:val="002B094C"/>
    <w:rsid w:val="002B0951"/>
    <w:rsid w:val="002B0A22"/>
    <w:rsid w:val="002B0A27"/>
    <w:rsid w:val="002B0A98"/>
    <w:rsid w:val="002B0ACD"/>
    <w:rsid w:val="002B0BA7"/>
    <w:rsid w:val="002B0BE1"/>
    <w:rsid w:val="002B0BE5"/>
    <w:rsid w:val="002B0BED"/>
    <w:rsid w:val="002B0C60"/>
    <w:rsid w:val="002B0C7E"/>
    <w:rsid w:val="002B0CBE"/>
    <w:rsid w:val="002B0D15"/>
    <w:rsid w:val="002B0E3A"/>
    <w:rsid w:val="002B0EA5"/>
    <w:rsid w:val="002B0EBF"/>
    <w:rsid w:val="002B0F2E"/>
    <w:rsid w:val="002B0F37"/>
    <w:rsid w:val="002B0F6B"/>
    <w:rsid w:val="002B0F9F"/>
    <w:rsid w:val="002B100C"/>
    <w:rsid w:val="002B100D"/>
    <w:rsid w:val="002B102C"/>
    <w:rsid w:val="002B1030"/>
    <w:rsid w:val="002B1173"/>
    <w:rsid w:val="002B11C9"/>
    <w:rsid w:val="002B1291"/>
    <w:rsid w:val="002B1373"/>
    <w:rsid w:val="002B1392"/>
    <w:rsid w:val="002B13AB"/>
    <w:rsid w:val="002B13AF"/>
    <w:rsid w:val="002B146F"/>
    <w:rsid w:val="002B1474"/>
    <w:rsid w:val="002B1502"/>
    <w:rsid w:val="002B15D5"/>
    <w:rsid w:val="002B160A"/>
    <w:rsid w:val="002B161E"/>
    <w:rsid w:val="002B162A"/>
    <w:rsid w:val="002B175C"/>
    <w:rsid w:val="002B176E"/>
    <w:rsid w:val="002B17D0"/>
    <w:rsid w:val="002B17E1"/>
    <w:rsid w:val="002B1832"/>
    <w:rsid w:val="002B188A"/>
    <w:rsid w:val="002B18E4"/>
    <w:rsid w:val="002B1920"/>
    <w:rsid w:val="002B19C2"/>
    <w:rsid w:val="002B19DF"/>
    <w:rsid w:val="002B1A0E"/>
    <w:rsid w:val="002B1A96"/>
    <w:rsid w:val="002B1A9C"/>
    <w:rsid w:val="002B1AA2"/>
    <w:rsid w:val="002B1AD4"/>
    <w:rsid w:val="002B1AE8"/>
    <w:rsid w:val="002B1B2A"/>
    <w:rsid w:val="002B1B4D"/>
    <w:rsid w:val="002B1C33"/>
    <w:rsid w:val="002B1C6E"/>
    <w:rsid w:val="002B1C96"/>
    <w:rsid w:val="002B1CD6"/>
    <w:rsid w:val="002B1D3B"/>
    <w:rsid w:val="002B1D4B"/>
    <w:rsid w:val="002B1D9C"/>
    <w:rsid w:val="002B1DC2"/>
    <w:rsid w:val="002B1DC7"/>
    <w:rsid w:val="002B1DD5"/>
    <w:rsid w:val="002B1E3A"/>
    <w:rsid w:val="002B1EF1"/>
    <w:rsid w:val="002B1F05"/>
    <w:rsid w:val="002B1FB7"/>
    <w:rsid w:val="002B20DC"/>
    <w:rsid w:val="002B212A"/>
    <w:rsid w:val="002B2182"/>
    <w:rsid w:val="002B2186"/>
    <w:rsid w:val="002B2197"/>
    <w:rsid w:val="002B21C8"/>
    <w:rsid w:val="002B21CF"/>
    <w:rsid w:val="002B2285"/>
    <w:rsid w:val="002B22FA"/>
    <w:rsid w:val="002B232A"/>
    <w:rsid w:val="002B2332"/>
    <w:rsid w:val="002B2391"/>
    <w:rsid w:val="002B23EF"/>
    <w:rsid w:val="002B2499"/>
    <w:rsid w:val="002B24CE"/>
    <w:rsid w:val="002B258F"/>
    <w:rsid w:val="002B2613"/>
    <w:rsid w:val="002B26E9"/>
    <w:rsid w:val="002B270D"/>
    <w:rsid w:val="002B2716"/>
    <w:rsid w:val="002B274E"/>
    <w:rsid w:val="002B2839"/>
    <w:rsid w:val="002B2912"/>
    <w:rsid w:val="002B293D"/>
    <w:rsid w:val="002B2955"/>
    <w:rsid w:val="002B29D3"/>
    <w:rsid w:val="002B29E9"/>
    <w:rsid w:val="002B2B2C"/>
    <w:rsid w:val="002B2B59"/>
    <w:rsid w:val="002B2C58"/>
    <w:rsid w:val="002B2CCF"/>
    <w:rsid w:val="002B2D41"/>
    <w:rsid w:val="002B2D4A"/>
    <w:rsid w:val="002B2DA1"/>
    <w:rsid w:val="002B2DE3"/>
    <w:rsid w:val="002B2E74"/>
    <w:rsid w:val="002B3051"/>
    <w:rsid w:val="002B30AB"/>
    <w:rsid w:val="002B3141"/>
    <w:rsid w:val="002B317B"/>
    <w:rsid w:val="002B31D4"/>
    <w:rsid w:val="002B321B"/>
    <w:rsid w:val="002B3270"/>
    <w:rsid w:val="002B3273"/>
    <w:rsid w:val="002B328C"/>
    <w:rsid w:val="002B32AE"/>
    <w:rsid w:val="002B3309"/>
    <w:rsid w:val="002B3358"/>
    <w:rsid w:val="002B337C"/>
    <w:rsid w:val="002B344E"/>
    <w:rsid w:val="002B345A"/>
    <w:rsid w:val="002B34B7"/>
    <w:rsid w:val="002B357E"/>
    <w:rsid w:val="002B35DB"/>
    <w:rsid w:val="002B361A"/>
    <w:rsid w:val="002B3633"/>
    <w:rsid w:val="002B369F"/>
    <w:rsid w:val="002B36DC"/>
    <w:rsid w:val="002B36E8"/>
    <w:rsid w:val="002B372E"/>
    <w:rsid w:val="002B37C6"/>
    <w:rsid w:val="002B384B"/>
    <w:rsid w:val="002B3949"/>
    <w:rsid w:val="002B3A21"/>
    <w:rsid w:val="002B3B6B"/>
    <w:rsid w:val="002B3BC1"/>
    <w:rsid w:val="002B3BE2"/>
    <w:rsid w:val="002B3C7E"/>
    <w:rsid w:val="002B3CDC"/>
    <w:rsid w:val="002B3D41"/>
    <w:rsid w:val="002B3DE7"/>
    <w:rsid w:val="002B3DEE"/>
    <w:rsid w:val="002B3E6A"/>
    <w:rsid w:val="002B3F2A"/>
    <w:rsid w:val="002B40DE"/>
    <w:rsid w:val="002B418A"/>
    <w:rsid w:val="002B41CA"/>
    <w:rsid w:val="002B4208"/>
    <w:rsid w:val="002B4217"/>
    <w:rsid w:val="002B4293"/>
    <w:rsid w:val="002B42AC"/>
    <w:rsid w:val="002B42B1"/>
    <w:rsid w:val="002B4332"/>
    <w:rsid w:val="002B4364"/>
    <w:rsid w:val="002B43E6"/>
    <w:rsid w:val="002B4407"/>
    <w:rsid w:val="002B4410"/>
    <w:rsid w:val="002B4427"/>
    <w:rsid w:val="002B447F"/>
    <w:rsid w:val="002B449C"/>
    <w:rsid w:val="002B44DF"/>
    <w:rsid w:val="002B4536"/>
    <w:rsid w:val="002B4628"/>
    <w:rsid w:val="002B4636"/>
    <w:rsid w:val="002B466A"/>
    <w:rsid w:val="002B467C"/>
    <w:rsid w:val="002B46B1"/>
    <w:rsid w:val="002B479A"/>
    <w:rsid w:val="002B489B"/>
    <w:rsid w:val="002B4978"/>
    <w:rsid w:val="002B4995"/>
    <w:rsid w:val="002B499B"/>
    <w:rsid w:val="002B49C8"/>
    <w:rsid w:val="002B49FE"/>
    <w:rsid w:val="002B4A02"/>
    <w:rsid w:val="002B4A19"/>
    <w:rsid w:val="002B4B4B"/>
    <w:rsid w:val="002B4B74"/>
    <w:rsid w:val="002B4BC5"/>
    <w:rsid w:val="002B4BDA"/>
    <w:rsid w:val="002B4C6C"/>
    <w:rsid w:val="002B4C97"/>
    <w:rsid w:val="002B4CBC"/>
    <w:rsid w:val="002B4D5B"/>
    <w:rsid w:val="002B4DD3"/>
    <w:rsid w:val="002B4E1A"/>
    <w:rsid w:val="002B4EB5"/>
    <w:rsid w:val="002B4EDE"/>
    <w:rsid w:val="002B4F3D"/>
    <w:rsid w:val="002B4F71"/>
    <w:rsid w:val="002B5000"/>
    <w:rsid w:val="002B5037"/>
    <w:rsid w:val="002B505E"/>
    <w:rsid w:val="002B50A9"/>
    <w:rsid w:val="002B50E9"/>
    <w:rsid w:val="002B5172"/>
    <w:rsid w:val="002B51C0"/>
    <w:rsid w:val="002B51D3"/>
    <w:rsid w:val="002B526C"/>
    <w:rsid w:val="002B52E3"/>
    <w:rsid w:val="002B530F"/>
    <w:rsid w:val="002B5319"/>
    <w:rsid w:val="002B5361"/>
    <w:rsid w:val="002B53E3"/>
    <w:rsid w:val="002B5537"/>
    <w:rsid w:val="002B5574"/>
    <w:rsid w:val="002B5611"/>
    <w:rsid w:val="002B5653"/>
    <w:rsid w:val="002B566D"/>
    <w:rsid w:val="002B5695"/>
    <w:rsid w:val="002B56E9"/>
    <w:rsid w:val="002B573B"/>
    <w:rsid w:val="002B5780"/>
    <w:rsid w:val="002B5812"/>
    <w:rsid w:val="002B585F"/>
    <w:rsid w:val="002B588A"/>
    <w:rsid w:val="002B59F4"/>
    <w:rsid w:val="002B5A8D"/>
    <w:rsid w:val="002B5A93"/>
    <w:rsid w:val="002B5ABA"/>
    <w:rsid w:val="002B5B88"/>
    <w:rsid w:val="002B5B9F"/>
    <w:rsid w:val="002B5C0E"/>
    <w:rsid w:val="002B5C33"/>
    <w:rsid w:val="002B5D2C"/>
    <w:rsid w:val="002B5DA7"/>
    <w:rsid w:val="002B5E04"/>
    <w:rsid w:val="002B5E20"/>
    <w:rsid w:val="002B5EC8"/>
    <w:rsid w:val="002B5F2C"/>
    <w:rsid w:val="002B5F2D"/>
    <w:rsid w:val="002B5F47"/>
    <w:rsid w:val="002B5F7B"/>
    <w:rsid w:val="002B603F"/>
    <w:rsid w:val="002B609D"/>
    <w:rsid w:val="002B61C2"/>
    <w:rsid w:val="002B61F1"/>
    <w:rsid w:val="002B61FD"/>
    <w:rsid w:val="002B63D9"/>
    <w:rsid w:val="002B63EB"/>
    <w:rsid w:val="002B642F"/>
    <w:rsid w:val="002B6482"/>
    <w:rsid w:val="002B6504"/>
    <w:rsid w:val="002B657D"/>
    <w:rsid w:val="002B659F"/>
    <w:rsid w:val="002B65B5"/>
    <w:rsid w:val="002B6647"/>
    <w:rsid w:val="002B66BF"/>
    <w:rsid w:val="002B66FD"/>
    <w:rsid w:val="002B6748"/>
    <w:rsid w:val="002B6782"/>
    <w:rsid w:val="002B678E"/>
    <w:rsid w:val="002B67AE"/>
    <w:rsid w:val="002B681A"/>
    <w:rsid w:val="002B6860"/>
    <w:rsid w:val="002B6895"/>
    <w:rsid w:val="002B6943"/>
    <w:rsid w:val="002B695C"/>
    <w:rsid w:val="002B69FE"/>
    <w:rsid w:val="002B6A5A"/>
    <w:rsid w:val="002B6A76"/>
    <w:rsid w:val="002B6A7A"/>
    <w:rsid w:val="002B6AD1"/>
    <w:rsid w:val="002B6B41"/>
    <w:rsid w:val="002B6B7B"/>
    <w:rsid w:val="002B6BBA"/>
    <w:rsid w:val="002B6C00"/>
    <w:rsid w:val="002B6D43"/>
    <w:rsid w:val="002B6D7C"/>
    <w:rsid w:val="002B6DBD"/>
    <w:rsid w:val="002B6DC0"/>
    <w:rsid w:val="002B6E1E"/>
    <w:rsid w:val="002B6E65"/>
    <w:rsid w:val="002B6E73"/>
    <w:rsid w:val="002B6EA6"/>
    <w:rsid w:val="002B6EB3"/>
    <w:rsid w:val="002B6EE1"/>
    <w:rsid w:val="002B6F64"/>
    <w:rsid w:val="002B6F9A"/>
    <w:rsid w:val="002B701B"/>
    <w:rsid w:val="002B70AC"/>
    <w:rsid w:val="002B70C5"/>
    <w:rsid w:val="002B70D3"/>
    <w:rsid w:val="002B7244"/>
    <w:rsid w:val="002B7254"/>
    <w:rsid w:val="002B725B"/>
    <w:rsid w:val="002B727D"/>
    <w:rsid w:val="002B72BD"/>
    <w:rsid w:val="002B72D2"/>
    <w:rsid w:val="002B72E3"/>
    <w:rsid w:val="002B72EE"/>
    <w:rsid w:val="002B734D"/>
    <w:rsid w:val="002B73E7"/>
    <w:rsid w:val="002B73F4"/>
    <w:rsid w:val="002B74FF"/>
    <w:rsid w:val="002B7638"/>
    <w:rsid w:val="002B76C4"/>
    <w:rsid w:val="002B7754"/>
    <w:rsid w:val="002B7762"/>
    <w:rsid w:val="002B7792"/>
    <w:rsid w:val="002B77C5"/>
    <w:rsid w:val="002B7811"/>
    <w:rsid w:val="002B797F"/>
    <w:rsid w:val="002B79FB"/>
    <w:rsid w:val="002B7A3A"/>
    <w:rsid w:val="002B7AB4"/>
    <w:rsid w:val="002B7AF5"/>
    <w:rsid w:val="002B7B67"/>
    <w:rsid w:val="002B7B70"/>
    <w:rsid w:val="002B7C37"/>
    <w:rsid w:val="002B7C3B"/>
    <w:rsid w:val="002B7C4C"/>
    <w:rsid w:val="002B7E08"/>
    <w:rsid w:val="002B7E10"/>
    <w:rsid w:val="002B7E34"/>
    <w:rsid w:val="002B7E4F"/>
    <w:rsid w:val="002B7E9C"/>
    <w:rsid w:val="002B7E9E"/>
    <w:rsid w:val="002B7F54"/>
    <w:rsid w:val="002B7F5F"/>
    <w:rsid w:val="002C001D"/>
    <w:rsid w:val="002C001F"/>
    <w:rsid w:val="002C0082"/>
    <w:rsid w:val="002C00D5"/>
    <w:rsid w:val="002C0120"/>
    <w:rsid w:val="002C0183"/>
    <w:rsid w:val="002C01A8"/>
    <w:rsid w:val="002C01F7"/>
    <w:rsid w:val="002C021A"/>
    <w:rsid w:val="002C029D"/>
    <w:rsid w:val="002C02CD"/>
    <w:rsid w:val="002C0369"/>
    <w:rsid w:val="002C03A9"/>
    <w:rsid w:val="002C03AB"/>
    <w:rsid w:val="002C03C9"/>
    <w:rsid w:val="002C042B"/>
    <w:rsid w:val="002C042D"/>
    <w:rsid w:val="002C0436"/>
    <w:rsid w:val="002C0572"/>
    <w:rsid w:val="002C058C"/>
    <w:rsid w:val="002C05A0"/>
    <w:rsid w:val="002C0639"/>
    <w:rsid w:val="002C065A"/>
    <w:rsid w:val="002C0672"/>
    <w:rsid w:val="002C06DC"/>
    <w:rsid w:val="002C0718"/>
    <w:rsid w:val="002C075A"/>
    <w:rsid w:val="002C0768"/>
    <w:rsid w:val="002C07A2"/>
    <w:rsid w:val="002C07E1"/>
    <w:rsid w:val="002C087A"/>
    <w:rsid w:val="002C0885"/>
    <w:rsid w:val="002C088F"/>
    <w:rsid w:val="002C08EC"/>
    <w:rsid w:val="002C08FB"/>
    <w:rsid w:val="002C0973"/>
    <w:rsid w:val="002C09B0"/>
    <w:rsid w:val="002C0A72"/>
    <w:rsid w:val="002C0ACA"/>
    <w:rsid w:val="002C0AFC"/>
    <w:rsid w:val="002C0B4A"/>
    <w:rsid w:val="002C0B9E"/>
    <w:rsid w:val="002C0BD2"/>
    <w:rsid w:val="002C0C31"/>
    <w:rsid w:val="002C0C5C"/>
    <w:rsid w:val="002C0C74"/>
    <w:rsid w:val="002C0C8B"/>
    <w:rsid w:val="002C0D06"/>
    <w:rsid w:val="002C0D8E"/>
    <w:rsid w:val="002C0E29"/>
    <w:rsid w:val="002C0E38"/>
    <w:rsid w:val="002C0E95"/>
    <w:rsid w:val="002C0ED3"/>
    <w:rsid w:val="002C0EFD"/>
    <w:rsid w:val="002C0F59"/>
    <w:rsid w:val="002C10B5"/>
    <w:rsid w:val="002C1101"/>
    <w:rsid w:val="002C11CD"/>
    <w:rsid w:val="002C11D0"/>
    <w:rsid w:val="002C124D"/>
    <w:rsid w:val="002C124F"/>
    <w:rsid w:val="002C127E"/>
    <w:rsid w:val="002C131E"/>
    <w:rsid w:val="002C138A"/>
    <w:rsid w:val="002C1439"/>
    <w:rsid w:val="002C1528"/>
    <w:rsid w:val="002C1552"/>
    <w:rsid w:val="002C15F0"/>
    <w:rsid w:val="002C16AA"/>
    <w:rsid w:val="002C16BA"/>
    <w:rsid w:val="002C174F"/>
    <w:rsid w:val="002C179F"/>
    <w:rsid w:val="002C1933"/>
    <w:rsid w:val="002C1A2E"/>
    <w:rsid w:val="002C1A57"/>
    <w:rsid w:val="002C1B7B"/>
    <w:rsid w:val="002C1B85"/>
    <w:rsid w:val="002C1BAF"/>
    <w:rsid w:val="002C1BF6"/>
    <w:rsid w:val="002C1C27"/>
    <w:rsid w:val="002C1CAC"/>
    <w:rsid w:val="002C1D61"/>
    <w:rsid w:val="002C1E7D"/>
    <w:rsid w:val="002C1E95"/>
    <w:rsid w:val="002C1EFC"/>
    <w:rsid w:val="002C1F69"/>
    <w:rsid w:val="002C1FC0"/>
    <w:rsid w:val="002C1FDD"/>
    <w:rsid w:val="002C2045"/>
    <w:rsid w:val="002C20E2"/>
    <w:rsid w:val="002C21D4"/>
    <w:rsid w:val="002C2216"/>
    <w:rsid w:val="002C2264"/>
    <w:rsid w:val="002C23AD"/>
    <w:rsid w:val="002C23C9"/>
    <w:rsid w:val="002C23E8"/>
    <w:rsid w:val="002C23EA"/>
    <w:rsid w:val="002C2424"/>
    <w:rsid w:val="002C249A"/>
    <w:rsid w:val="002C24B1"/>
    <w:rsid w:val="002C24F3"/>
    <w:rsid w:val="002C2515"/>
    <w:rsid w:val="002C252B"/>
    <w:rsid w:val="002C255D"/>
    <w:rsid w:val="002C2613"/>
    <w:rsid w:val="002C2722"/>
    <w:rsid w:val="002C275A"/>
    <w:rsid w:val="002C2762"/>
    <w:rsid w:val="002C27D9"/>
    <w:rsid w:val="002C2871"/>
    <w:rsid w:val="002C28B7"/>
    <w:rsid w:val="002C28E3"/>
    <w:rsid w:val="002C28F9"/>
    <w:rsid w:val="002C290B"/>
    <w:rsid w:val="002C2911"/>
    <w:rsid w:val="002C2930"/>
    <w:rsid w:val="002C2978"/>
    <w:rsid w:val="002C29B6"/>
    <w:rsid w:val="002C2A0C"/>
    <w:rsid w:val="002C2A34"/>
    <w:rsid w:val="002C2A6F"/>
    <w:rsid w:val="002C2AB2"/>
    <w:rsid w:val="002C2AC6"/>
    <w:rsid w:val="002C2AEE"/>
    <w:rsid w:val="002C2B07"/>
    <w:rsid w:val="002C2B57"/>
    <w:rsid w:val="002C2C4D"/>
    <w:rsid w:val="002C2D4E"/>
    <w:rsid w:val="002C2D52"/>
    <w:rsid w:val="002C2DA8"/>
    <w:rsid w:val="002C2DB4"/>
    <w:rsid w:val="002C3042"/>
    <w:rsid w:val="002C30FD"/>
    <w:rsid w:val="002C3120"/>
    <w:rsid w:val="002C31B2"/>
    <w:rsid w:val="002C31DF"/>
    <w:rsid w:val="002C3281"/>
    <w:rsid w:val="002C3297"/>
    <w:rsid w:val="002C34AB"/>
    <w:rsid w:val="002C34DC"/>
    <w:rsid w:val="002C35D1"/>
    <w:rsid w:val="002C3607"/>
    <w:rsid w:val="002C360C"/>
    <w:rsid w:val="002C362D"/>
    <w:rsid w:val="002C3769"/>
    <w:rsid w:val="002C3774"/>
    <w:rsid w:val="002C3811"/>
    <w:rsid w:val="002C3844"/>
    <w:rsid w:val="002C3876"/>
    <w:rsid w:val="002C3877"/>
    <w:rsid w:val="002C3899"/>
    <w:rsid w:val="002C392A"/>
    <w:rsid w:val="002C3975"/>
    <w:rsid w:val="002C39D0"/>
    <w:rsid w:val="002C3A04"/>
    <w:rsid w:val="002C3A49"/>
    <w:rsid w:val="002C3A73"/>
    <w:rsid w:val="002C3C37"/>
    <w:rsid w:val="002C3C5C"/>
    <w:rsid w:val="002C3D17"/>
    <w:rsid w:val="002C3D5B"/>
    <w:rsid w:val="002C3D9F"/>
    <w:rsid w:val="002C3DAD"/>
    <w:rsid w:val="002C3DB5"/>
    <w:rsid w:val="002C3DC6"/>
    <w:rsid w:val="002C3DFB"/>
    <w:rsid w:val="002C3E0A"/>
    <w:rsid w:val="002C3EBD"/>
    <w:rsid w:val="002C3ECC"/>
    <w:rsid w:val="002C3F27"/>
    <w:rsid w:val="002C3F68"/>
    <w:rsid w:val="002C3FDD"/>
    <w:rsid w:val="002C4099"/>
    <w:rsid w:val="002C40C1"/>
    <w:rsid w:val="002C4123"/>
    <w:rsid w:val="002C4185"/>
    <w:rsid w:val="002C41B9"/>
    <w:rsid w:val="002C41C0"/>
    <w:rsid w:val="002C41DA"/>
    <w:rsid w:val="002C4270"/>
    <w:rsid w:val="002C428C"/>
    <w:rsid w:val="002C42E9"/>
    <w:rsid w:val="002C42FA"/>
    <w:rsid w:val="002C439D"/>
    <w:rsid w:val="002C4465"/>
    <w:rsid w:val="002C44B2"/>
    <w:rsid w:val="002C45E2"/>
    <w:rsid w:val="002C4625"/>
    <w:rsid w:val="002C477B"/>
    <w:rsid w:val="002C47D2"/>
    <w:rsid w:val="002C4815"/>
    <w:rsid w:val="002C4820"/>
    <w:rsid w:val="002C484A"/>
    <w:rsid w:val="002C485B"/>
    <w:rsid w:val="002C48B9"/>
    <w:rsid w:val="002C497E"/>
    <w:rsid w:val="002C49C0"/>
    <w:rsid w:val="002C49FE"/>
    <w:rsid w:val="002C4B56"/>
    <w:rsid w:val="002C4B6C"/>
    <w:rsid w:val="002C4BE2"/>
    <w:rsid w:val="002C4C25"/>
    <w:rsid w:val="002C4CCB"/>
    <w:rsid w:val="002C4D06"/>
    <w:rsid w:val="002C4D41"/>
    <w:rsid w:val="002C4D68"/>
    <w:rsid w:val="002C4D8B"/>
    <w:rsid w:val="002C4E17"/>
    <w:rsid w:val="002C4F0A"/>
    <w:rsid w:val="002C5031"/>
    <w:rsid w:val="002C5063"/>
    <w:rsid w:val="002C50D3"/>
    <w:rsid w:val="002C512E"/>
    <w:rsid w:val="002C5137"/>
    <w:rsid w:val="002C513C"/>
    <w:rsid w:val="002C516B"/>
    <w:rsid w:val="002C5178"/>
    <w:rsid w:val="002C517C"/>
    <w:rsid w:val="002C51A9"/>
    <w:rsid w:val="002C51EE"/>
    <w:rsid w:val="002C5393"/>
    <w:rsid w:val="002C539D"/>
    <w:rsid w:val="002C5403"/>
    <w:rsid w:val="002C5408"/>
    <w:rsid w:val="002C542E"/>
    <w:rsid w:val="002C543B"/>
    <w:rsid w:val="002C5467"/>
    <w:rsid w:val="002C54BD"/>
    <w:rsid w:val="002C54EA"/>
    <w:rsid w:val="002C5547"/>
    <w:rsid w:val="002C5550"/>
    <w:rsid w:val="002C55B7"/>
    <w:rsid w:val="002C55C6"/>
    <w:rsid w:val="002C5677"/>
    <w:rsid w:val="002C56C1"/>
    <w:rsid w:val="002C5703"/>
    <w:rsid w:val="002C579C"/>
    <w:rsid w:val="002C57E2"/>
    <w:rsid w:val="002C586A"/>
    <w:rsid w:val="002C587C"/>
    <w:rsid w:val="002C587D"/>
    <w:rsid w:val="002C587E"/>
    <w:rsid w:val="002C5884"/>
    <w:rsid w:val="002C58D0"/>
    <w:rsid w:val="002C58EB"/>
    <w:rsid w:val="002C58F5"/>
    <w:rsid w:val="002C5A82"/>
    <w:rsid w:val="002C5BA2"/>
    <w:rsid w:val="002C5C64"/>
    <w:rsid w:val="002C5CA5"/>
    <w:rsid w:val="002C5E03"/>
    <w:rsid w:val="002C5E4C"/>
    <w:rsid w:val="002C5E71"/>
    <w:rsid w:val="002C5FAF"/>
    <w:rsid w:val="002C5FE2"/>
    <w:rsid w:val="002C601D"/>
    <w:rsid w:val="002C6048"/>
    <w:rsid w:val="002C610E"/>
    <w:rsid w:val="002C6182"/>
    <w:rsid w:val="002C61DC"/>
    <w:rsid w:val="002C61DD"/>
    <w:rsid w:val="002C61E2"/>
    <w:rsid w:val="002C623F"/>
    <w:rsid w:val="002C62D0"/>
    <w:rsid w:val="002C63B0"/>
    <w:rsid w:val="002C63E8"/>
    <w:rsid w:val="002C63F6"/>
    <w:rsid w:val="002C64DB"/>
    <w:rsid w:val="002C6588"/>
    <w:rsid w:val="002C66CD"/>
    <w:rsid w:val="002C66FF"/>
    <w:rsid w:val="002C695D"/>
    <w:rsid w:val="002C6988"/>
    <w:rsid w:val="002C6A09"/>
    <w:rsid w:val="002C6A15"/>
    <w:rsid w:val="002C6B2F"/>
    <w:rsid w:val="002C6B57"/>
    <w:rsid w:val="002C6B7C"/>
    <w:rsid w:val="002C6B9C"/>
    <w:rsid w:val="002C6C75"/>
    <w:rsid w:val="002C6C79"/>
    <w:rsid w:val="002C6DCC"/>
    <w:rsid w:val="002C6DE7"/>
    <w:rsid w:val="002C6E2F"/>
    <w:rsid w:val="002C6E77"/>
    <w:rsid w:val="002C6EBA"/>
    <w:rsid w:val="002C6EF3"/>
    <w:rsid w:val="002C6F07"/>
    <w:rsid w:val="002C6F1D"/>
    <w:rsid w:val="002C6F9E"/>
    <w:rsid w:val="002C6FC2"/>
    <w:rsid w:val="002C6FCF"/>
    <w:rsid w:val="002C7045"/>
    <w:rsid w:val="002C7080"/>
    <w:rsid w:val="002C7083"/>
    <w:rsid w:val="002C7147"/>
    <w:rsid w:val="002C71A8"/>
    <w:rsid w:val="002C71F7"/>
    <w:rsid w:val="002C720A"/>
    <w:rsid w:val="002C720C"/>
    <w:rsid w:val="002C72FA"/>
    <w:rsid w:val="002C7371"/>
    <w:rsid w:val="002C739A"/>
    <w:rsid w:val="002C73A3"/>
    <w:rsid w:val="002C73B7"/>
    <w:rsid w:val="002C73BB"/>
    <w:rsid w:val="002C73C5"/>
    <w:rsid w:val="002C744B"/>
    <w:rsid w:val="002C74B5"/>
    <w:rsid w:val="002C74C4"/>
    <w:rsid w:val="002C74D1"/>
    <w:rsid w:val="002C7525"/>
    <w:rsid w:val="002C7580"/>
    <w:rsid w:val="002C7607"/>
    <w:rsid w:val="002C7651"/>
    <w:rsid w:val="002C769F"/>
    <w:rsid w:val="002C76E8"/>
    <w:rsid w:val="002C77B0"/>
    <w:rsid w:val="002C77C5"/>
    <w:rsid w:val="002C77D3"/>
    <w:rsid w:val="002C77F7"/>
    <w:rsid w:val="002C7887"/>
    <w:rsid w:val="002C793F"/>
    <w:rsid w:val="002C7965"/>
    <w:rsid w:val="002C79C3"/>
    <w:rsid w:val="002C79D5"/>
    <w:rsid w:val="002C79FD"/>
    <w:rsid w:val="002C7A2F"/>
    <w:rsid w:val="002C7A30"/>
    <w:rsid w:val="002C7A64"/>
    <w:rsid w:val="002C7ABE"/>
    <w:rsid w:val="002C7AE2"/>
    <w:rsid w:val="002C7B13"/>
    <w:rsid w:val="002C7B2E"/>
    <w:rsid w:val="002C7B74"/>
    <w:rsid w:val="002C7C21"/>
    <w:rsid w:val="002C7C26"/>
    <w:rsid w:val="002C7CD2"/>
    <w:rsid w:val="002C7D47"/>
    <w:rsid w:val="002C7D72"/>
    <w:rsid w:val="002C7D8C"/>
    <w:rsid w:val="002C7D9D"/>
    <w:rsid w:val="002C7E8B"/>
    <w:rsid w:val="002C7ECE"/>
    <w:rsid w:val="002C7F25"/>
    <w:rsid w:val="002C7F36"/>
    <w:rsid w:val="002C7F43"/>
    <w:rsid w:val="002C7F6F"/>
    <w:rsid w:val="002C7FE3"/>
    <w:rsid w:val="002D0005"/>
    <w:rsid w:val="002D0037"/>
    <w:rsid w:val="002D0078"/>
    <w:rsid w:val="002D00AE"/>
    <w:rsid w:val="002D01B5"/>
    <w:rsid w:val="002D01E9"/>
    <w:rsid w:val="002D024A"/>
    <w:rsid w:val="002D03A8"/>
    <w:rsid w:val="002D03C5"/>
    <w:rsid w:val="002D03D1"/>
    <w:rsid w:val="002D0441"/>
    <w:rsid w:val="002D0447"/>
    <w:rsid w:val="002D0458"/>
    <w:rsid w:val="002D0472"/>
    <w:rsid w:val="002D0620"/>
    <w:rsid w:val="002D0665"/>
    <w:rsid w:val="002D067D"/>
    <w:rsid w:val="002D0709"/>
    <w:rsid w:val="002D070C"/>
    <w:rsid w:val="002D0715"/>
    <w:rsid w:val="002D09C1"/>
    <w:rsid w:val="002D09DA"/>
    <w:rsid w:val="002D0ADB"/>
    <w:rsid w:val="002D0AFB"/>
    <w:rsid w:val="002D0BDA"/>
    <w:rsid w:val="002D0CC4"/>
    <w:rsid w:val="002D0D63"/>
    <w:rsid w:val="002D0E3D"/>
    <w:rsid w:val="002D0E3F"/>
    <w:rsid w:val="002D0E80"/>
    <w:rsid w:val="002D0E8C"/>
    <w:rsid w:val="002D0EA3"/>
    <w:rsid w:val="002D0F3A"/>
    <w:rsid w:val="002D0F64"/>
    <w:rsid w:val="002D0FC6"/>
    <w:rsid w:val="002D0FF1"/>
    <w:rsid w:val="002D11DD"/>
    <w:rsid w:val="002D122F"/>
    <w:rsid w:val="002D129E"/>
    <w:rsid w:val="002D1322"/>
    <w:rsid w:val="002D1367"/>
    <w:rsid w:val="002D13EA"/>
    <w:rsid w:val="002D1443"/>
    <w:rsid w:val="002D149C"/>
    <w:rsid w:val="002D1539"/>
    <w:rsid w:val="002D1610"/>
    <w:rsid w:val="002D16A5"/>
    <w:rsid w:val="002D16BF"/>
    <w:rsid w:val="002D16DB"/>
    <w:rsid w:val="002D16E2"/>
    <w:rsid w:val="002D1748"/>
    <w:rsid w:val="002D176A"/>
    <w:rsid w:val="002D17D7"/>
    <w:rsid w:val="002D1839"/>
    <w:rsid w:val="002D184D"/>
    <w:rsid w:val="002D1954"/>
    <w:rsid w:val="002D1977"/>
    <w:rsid w:val="002D19AA"/>
    <w:rsid w:val="002D1A4A"/>
    <w:rsid w:val="002D1B5D"/>
    <w:rsid w:val="002D1BEA"/>
    <w:rsid w:val="002D1BEC"/>
    <w:rsid w:val="002D1C11"/>
    <w:rsid w:val="002D1D64"/>
    <w:rsid w:val="002D1D85"/>
    <w:rsid w:val="002D1DF1"/>
    <w:rsid w:val="002D1EEF"/>
    <w:rsid w:val="002D1EF2"/>
    <w:rsid w:val="002D1F1C"/>
    <w:rsid w:val="002D1F35"/>
    <w:rsid w:val="002D2057"/>
    <w:rsid w:val="002D209F"/>
    <w:rsid w:val="002D2106"/>
    <w:rsid w:val="002D2130"/>
    <w:rsid w:val="002D2190"/>
    <w:rsid w:val="002D21C8"/>
    <w:rsid w:val="002D226C"/>
    <w:rsid w:val="002D22B4"/>
    <w:rsid w:val="002D22FE"/>
    <w:rsid w:val="002D23FC"/>
    <w:rsid w:val="002D242F"/>
    <w:rsid w:val="002D245C"/>
    <w:rsid w:val="002D24B0"/>
    <w:rsid w:val="002D24B2"/>
    <w:rsid w:val="002D2513"/>
    <w:rsid w:val="002D25EF"/>
    <w:rsid w:val="002D26AE"/>
    <w:rsid w:val="002D2700"/>
    <w:rsid w:val="002D2733"/>
    <w:rsid w:val="002D2783"/>
    <w:rsid w:val="002D27B8"/>
    <w:rsid w:val="002D27C0"/>
    <w:rsid w:val="002D27E8"/>
    <w:rsid w:val="002D2878"/>
    <w:rsid w:val="002D28B4"/>
    <w:rsid w:val="002D28BC"/>
    <w:rsid w:val="002D2957"/>
    <w:rsid w:val="002D295B"/>
    <w:rsid w:val="002D29B7"/>
    <w:rsid w:val="002D2AF0"/>
    <w:rsid w:val="002D2C19"/>
    <w:rsid w:val="002D2DD8"/>
    <w:rsid w:val="002D2E4F"/>
    <w:rsid w:val="002D2EB9"/>
    <w:rsid w:val="002D2F3A"/>
    <w:rsid w:val="002D2F79"/>
    <w:rsid w:val="002D2FBF"/>
    <w:rsid w:val="002D2FCE"/>
    <w:rsid w:val="002D2FF6"/>
    <w:rsid w:val="002D3029"/>
    <w:rsid w:val="002D307C"/>
    <w:rsid w:val="002D30DE"/>
    <w:rsid w:val="002D3158"/>
    <w:rsid w:val="002D31B7"/>
    <w:rsid w:val="002D32DB"/>
    <w:rsid w:val="002D33F4"/>
    <w:rsid w:val="002D340C"/>
    <w:rsid w:val="002D346C"/>
    <w:rsid w:val="002D34A7"/>
    <w:rsid w:val="002D34A9"/>
    <w:rsid w:val="002D35A7"/>
    <w:rsid w:val="002D361B"/>
    <w:rsid w:val="002D3683"/>
    <w:rsid w:val="002D36F3"/>
    <w:rsid w:val="002D3708"/>
    <w:rsid w:val="002D372A"/>
    <w:rsid w:val="002D3735"/>
    <w:rsid w:val="002D3757"/>
    <w:rsid w:val="002D384D"/>
    <w:rsid w:val="002D3855"/>
    <w:rsid w:val="002D3857"/>
    <w:rsid w:val="002D3878"/>
    <w:rsid w:val="002D388A"/>
    <w:rsid w:val="002D388C"/>
    <w:rsid w:val="002D38E1"/>
    <w:rsid w:val="002D395E"/>
    <w:rsid w:val="002D39AD"/>
    <w:rsid w:val="002D39BB"/>
    <w:rsid w:val="002D3A18"/>
    <w:rsid w:val="002D3A32"/>
    <w:rsid w:val="002D3A93"/>
    <w:rsid w:val="002D3ABC"/>
    <w:rsid w:val="002D3B19"/>
    <w:rsid w:val="002D3C90"/>
    <w:rsid w:val="002D3CBE"/>
    <w:rsid w:val="002D3CF0"/>
    <w:rsid w:val="002D3D1D"/>
    <w:rsid w:val="002D3D84"/>
    <w:rsid w:val="002D3EE9"/>
    <w:rsid w:val="002D3FBB"/>
    <w:rsid w:val="002D3FC6"/>
    <w:rsid w:val="002D3FD7"/>
    <w:rsid w:val="002D401A"/>
    <w:rsid w:val="002D4026"/>
    <w:rsid w:val="002D4095"/>
    <w:rsid w:val="002D4113"/>
    <w:rsid w:val="002D41CC"/>
    <w:rsid w:val="002D4239"/>
    <w:rsid w:val="002D423B"/>
    <w:rsid w:val="002D429A"/>
    <w:rsid w:val="002D4307"/>
    <w:rsid w:val="002D430D"/>
    <w:rsid w:val="002D447B"/>
    <w:rsid w:val="002D44CE"/>
    <w:rsid w:val="002D44DD"/>
    <w:rsid w:val="002D456F"/>
    <w:rsid w:val="002D4574"/>
    <w:rsid w:val="002D4578"/>
    <w:rsid w:val="002D45C6"/>
    <w:rsid w:val="002D4610"/>
    <w:rsid w:val="002D4666"/>
    <w:rsid w:val="002D4682"/>
    <w:rsid w:val="002D4707"/>
    <w:rsid w:val="002D4789"/>
    <w:rsid w:val="002D47F6"/>
    <w:rsid w:val="002D485F"/>
    <w:rsid w:val="002D487D"/>
    <w:rsid w:val="002D48D9"/>
    <w:rsid w:val="002D494F"/>
    <w:rsid w:val="002D49DD"/>
    <w:rsid w:val="002D4A35"/>
    <w:rsid w:val="002D4A48"/>
    <w:rsid w:val="002D4A98"/>
    <w:rsid w:val="002D4B2A"/>
    <w:rsid w:val="002D4B47"/>
    <w:rsid w:val="002D4B59"/>
    <w:rsid w:val="002D4B86"/>
    <w:rsid w:val="002D4BAC"/>
    <w:rsid w:val="002D4CED"/>
    <w:rsid w:val="002D4D66"/>
    <w:rsid w:val="002D4DAF"/>
    <w:rsid w:val="002D4DB1"/>
    <w:rsid w:val="002D4E1E"/>
    <w:rsid w:val="002D4E79"/>
    <w:rsid w:val="002D4F4A"/>
    <w:rsid w:val="002D4F7C"/>
    <w:rsid w:val="002D50B1"/>
    <w:rsid w:val="002D50B4"/>
    <w:rsid w:val="002D512F"/>
    <w:rsid w:val="002D5305"/>
    <w:rsid w:val="002D53AA"/>
    <w:rsid w:val="002D549F"/>
    <w:rsid w:val="002D54C6"/>
    <w:rsid w:val="002D54F4"/>
    <w:rsid w:val="002D557A"/>
    <w:rsid w:val="002D55B9"/>
    <w:rsid w:val="002D5655"/>
    <w:rsid w:val="002D5683"/>
    <w:rsid w:val="002D5686"/>
    <w:rsid w:val="002D568D"/>
    <w:rsid w:val="002D56E3"/>
    <w:rsid w:val="002D573A"/>
    <w:rsid w:val="002D580A"/>
    <w:rsid w:val="002D5849"/>
    <w:rsid w:val="002D58EA"/>
    <w:rsid w:val="002D59AE"/>
    <w:rsid w:val="002D59B2"/>
    <w:rsid w:val="002D5A35"/>
    <w:rsid w:val="002D5B53"/>
    <w:rsid w:val="002D5B78"/>
    <w:rsid w:val="002D5C0E"/>
    <w:rsid w:val="002D5C31"/>
    <w:rsid w:val="002D5C33"/>
    <w:rsid w:val="002D5C85"/>
    <w:rsid w:val="002D5C9A"/>
    <w:rsid w:val="002D5CC4"/>
    <w:rsid w:val="002D5CE0"/>
    <w:rsid w:val="002D5D02"/>
    <w:rsid w:val="002D5D2B"/>
    <w:rsid w:val="002D5D2D"/>
    <w:rsid w:val="002D5D30"/>
    <w:rsid w:val="002D5D50"/>
    <w:rsid w:val="002D5D79"/>
    <w:rsid w:val="002D5DF9"/>
    <w:rsid w:val="002D5E66"/>
    <w:rsid w:val="002D5EC4"/>
    <w:rsid w:val="002D5F47"/>
    <w:rsid w:val="002D5F9A"/>
    <w:rsid w:val="002D5FEE"/>
    <w:rsid w:val="002D6049"/>
    <w:rsid w:val="002D605A"/>
    <w:rsid w:val="002D6066"/>
    <w:rsid w:val="002D6165"/>
    <w:rsid w:val="002D63EE"/>
    <w:rsid w:val="002D6422"/>
    <w:rsid w:val="002D6500"/>
    <w:rsid w:val="002D655E"/>
    <w:rsid w:val="002D6578"/>
    <w:rsid w:val="002D65D0"/>
    <w:rsid w:val="002D65D7"/>
    <w:rsid w:val="002D6644"/>
    <w:rsid w:val="002D6678"/>
    <w:rsid w:val="002D66FF"/>
    <w:rsid w:val="002D6713"/>
    <w:rsid w:val="002D6714"/>
    <w:rsid w:val="002D677D"/>
    <w:rsid w:val="002D680B"/>
    <w:rsid w:val="002D68D9"/>
    <w:rsid w:val="002D6916"/>
    <w:rsid w:val="002D6996"/>
    <w:rsid w:val="002D6A15"/>
    <w:rsid w:val="002D6A8F"/>
    <w:rsid w:val="002D6AB6"/>
    <w:rsid w:val="002D6AC1"/>
    <w:rsid w:val="002D6ADB"/>
    <w:rsid w:val="002D6AF7"/>
    <w:rsid w:val="002D6C6F"/>
    <w:rsid w:val="002D6CA0"/>
    <w:rsid w:val="002D6CD9"/>
    <w:rsid w:val="002D6D08"/>
    <w:rsid w:val="002D6D68"/>
    <w:rsid w:val="002D6DF0"/>
    <w:rsid w:val="002D6E15"/>
    <w:rsid w:val="002D6E41"/>
    <w:rsid w:val="002D6EBD"/>
    <w:rsid w:val="002D6ECB"/>
    <w:rsid w:val="002D6EE2"/>
    <w:rsid w:val="002D6F2A"/>
    <w:rsid w:val="002D6F5E"/>
    <w:rsid w:val="002D6FA3"/>
    <w:rsid w:val="002D6FA5"/>
    <w:rsid w:val="002D7009"/>
    <w:rsid w:val="002D7039"/>
    <w:rsid w:val="002D7110"/>
    <w:rsid w:val="002D71D0"/>
    <w:rsid w:val="002D7202"/>
    <w:rsid w:val="002D7289"/>
    <w:rsid w:val="002D72CF"/>
    <w:rsid w:val="002D72F7"/>
    <w:rsid w:val="002D733F"/>
    <w:rsid w:val="002D73B3"/>
    <w:rsid w:val="002D742D"/>
    <w:rsid w:val="002D7430"/>
    <w:rsid w:val="002D7441"/>
    <w:rsid w:val="002D7512"/>
    <w:rsid w:val="002D7578"/>
    <w:rsid w:val="002D7585"/>
    <w:rsid w:val="002D759C"/>
    <w:rsid w:val="002D7612"/>
    <w:rsid w:val="002D764A"/>
    <w:rsid w:val="002D76B9"/>
    <w:rsid w:val="002D76C5"/>
    <w:rsid w:val="002D7788"/>
    <w:rsid w:val="002D778A"/>
    <w:rsid w:val="002D7865"/>
    <w:rsid w:val="002D792A"/>
    <w:rsid w:val="002D79AB"/>
    <w:rsid w:val="002D7A82"/>
    <w:rsid w:val="002D7B32"/>
    <w:rsid w:val="002D7BAB"/>
    <w:rsid w:val="002D7C2B"/>
    <w:rsid w:val="002D7C98"/>
    <w:rsid w:val="002D7CC9"/>
    <w:rsid w:val="002D7D32"/>
    <w:rsid w:val="002D7DED"/>
    <w:rsid w:val="002D7E0C"/>
    <w:rsid w:val="002D7E22"/>
    <w:rsid w:val="002D7E6F"/>
    <w:rsid w:val="002D7EAF"/>
    <w:rsid w:val="002D7ED9"/>
    <w:rsid w:val="002D7F2F"/>
    <w:rsid w:val="002D7F57"/>
    <w:rsid w:val="002D7FA7"/>
    <w:rsid w:val="002E0051"/>
    <w:rsid w:val="002E00E3"/>
    <w:rsid w:val="002E010C"/>
    <w:rsid w:val="002E011D"/>
    <w:rsid w:val="002E01A9"/>
    <w:rsid w:val="002E0233"/>
    <w:rsid w:val="002E0280"/>
    <w:rsid w:val="002E031C"/>
    <w:rsid w:val="002E032E"/>
    <w:rsid w:val="002E034A"/>
    <w:rsid w:val="002E0359"/>
    <w:rsid w:val="002E03E5"/>
    <w:rsid w:val="002E0402"/>
    <w:rsid w:val="002E0433"/>
    <w:rsid w:val="002E04F2"/>
    <w:rsid w:val="002E054A"/>
    <w:rsid w:val="002E056E"/>
    <w:rsid w:val="002E05A8"/>
    <w:rsid w:val="002E05AB"/>
    <w:rsid w:val="002E0609"/>
    <w:rsid w:val="002E060B"/>
    <w:rsid w:val="002E061A"/>
    <w:rsid w:val="002E0651"/>
    <w:rsid w:val="002E06C1"/>
    <w:rsid w:val="002E06CC"/>
    <w:rsid w:val="002E0708"/>
    <w:rsid w:val="002E070D"/>
    <w:rsid w:val="002E0721"/>
    <w:rsid w:val="002E072A"/>
    <w:rsid w:val="002E072D"/>
    <w:rsid w:val="002E07A1"/>
    <w:rsid w:val="002E07C8"/>
    <w:rsid w:val="002E07DD"/>
    <w:rsid w:val="002E0843"/>
    <w:rsid w:val="002E085C"/>
    <w:rsid w:val="002E08B8"/>
    <w:rsid w:val="002E08EE"/>
    <w:rsid w:val="002E08F5"/>
    <w:rsid w:val="002E0935"/>
    <w:rsid w:val="002E099D"/>
    <w:rsid w:val="002E09BA"/>
    <w:rsid w:val="002E0A15"/>
    <w:rsid w:val="002E0A6D"/>
    <w:rsid w:val="002E0A81"/>
    <w:rsid w:val="002E0AAC"/>
    <w:rsid w:val="002E0AAD"/>
    <w:rsid w:val="002E0B13"/>
    <w:rsid w:val="002E0B33"/>
    <w:rsid w:val="002E0B3C"/>
    <w:rsid w:val="002E0B3D"/>
    <w:rsid w:val="002E0B94"/>
    <w:rsid w:val="002E0C48"/>
    <w:rsid w:val="002E0C98"/>
    <w:rsid w:val="002E0CA3"/>
    <w:rsid w:val="002E0CE5"/>
    <w:rsid w:val="002E0D66"/>
    <w:rsid w:val="002E0E4C"/>
    <w:rsid w:val="002E0E57"/>
    <w:rsid w:val="002E0EFC"/>
    <w:rsid w:val="002E0F32"/>
    <w:rsid w:val="002E0F7B"/>
    <w:rsid w:val="002E1054"/>
    <w:rsid w:val="002E105B"/>
    <w:rsid w:val="002E11E1"/>
    <w:rsid w:val="002E122B"/>
    <w:rsid w:val="002E1272"/>
    <w:rsid w:val="002E131E"/>
    <w:rsid w:val="002E1427"/>
    <w:rsid w:val="002E1446"/>
    <w:rsid w:val="002E146A"/>
    <w:rsid w:val="002E14AE"/>
    <w:rsid w:val="002E15AA"/>
    <w:rsid w:val="002E1651"/>
    <w:rsid w:val="002E167B"/>
    <w:rsid w:val="002E1735"/>
    <w:rsid w:val="002E175B"/>
    <w:rsid w:val="002E178D"/>
    <w:rsid w:val="002E184E"/>
    <w:rsid w:val="002E1909"/>
    <w:rsid w:val="002E1A65"/>
    <w:rsid w:val="002E1AA0"/>
    <w:rsid w:val="002E1AAD"/>
    <w:rsid w:val="002E1AEF"/>
    <w:rsid w:val="002E1B57"/>
    <w:rsid w:val="002E1B93"/>
    <w:rsid w:val="002E1BE5"/>
    <w:rsid w:val="002E1C28"/>
    <w:rsid w:val="002E1D1F"/>
    <w:rsid w:val="002E1D3D"/>
    <w:rsid w:val="002E1EB9"/>
    <w:rsid w:val="002E1EE3"/>
    <w:rsid w:val="002E1F54"/>
    <w:rsid w:val="002E1FF2"/>
    <w:rsid w:val="002E2043"/>
    <w:rsid w:val="002E205B"/>
    <w:rsid w:val="002E20D8"/>
    <w:rsid w:val="002E210E"/>
    <w:rsid w:val="002E218F"/>
    <w:rsid w:val="002E22CD"/>
    <w:rsid w:val="002E22F8"/>
    <w:rsid w:val="002E2305"/>
    <w:rsid w:val="002E2318"/>
    <w:rsid w:val="002E232D"/>
    <w:rsid w:val="002E236A"/>
    <w:rsid w:val="002E2379"/>
    <w:rsid w:val="002E2387"/>
    <w:rsid w:val="002E2446"/>
    <w:rsid w:val="002E2447"/>
    <w:rsid w:val="002E251C"/>
    <w:rsid w:val="002E2582"/>
    <w:rsid w:val="002E25A6"/>
    <w:rsid w:val="002E2609"/>
    <w:rsid w:val="002E260D"/>
    <w:rsid w:val="002E2684"/>
    <w:rsid w:val="002E274D"/>
    <w:rsid w:val="002E289B"/>
    <w:rsid w:val="002E28E5"/>
    <w:rsid w:val="002E2908"/>
    <w:rsid w:val="002E2967"/>
    <w:rsid w:val="002E298B"/>
    <w:rsid w:val="002E29C4"/>
    <w:rsid w:val="002E29DD"/>
    <w:rsid w:val="002E2AFD"/>
    <w:rsid w:val="002E2B16"/>
    <w:rsid w:val="002E2B4E"/>
    <w:rsid w:val="002E2B69"/>
    <w:rsid w:val="002E2BBB"/>
    <w:rsid w:val="002E2BED"/>
    <w:rsid w:val="002E2C12"/>
    <w:rsid w:val="002E2C3D"/>
    <w:rsid w:val="002E2C4B"/>
    <w:rsid w:val="002E2CA7"/>
    <w:rsid w:val="002E2CF7"/>
    <w:rsid w:val="002E2D6E"/>
    <w:rsid w:val="002E2D9B"/>
    <w:rsid w:val="002E2E0B"/>
    <w:rsid w:val="002E2EA9"/>
    <w:rsid w:val="002E2ED2"/>
    <w:rsid w:val="002E2F08"/>
    <w:rsid w:val="002E2F78"/>
    <w:rsid w:val="002E2F94"/>
    <w:rsid w:val="002E30C7"/>
    <w:rsid w:val="002E310F"/>
    <w:rsid w:val="002E3110"/>
    <w:rsid w:val="002E3163"/>
    <w:rsid w:val="002E3166"/>
    <w:rsid w:val="002E3203"/>
    <w:rsid w:val="002E3342"/>
    <w:rsid w:val="002E3349"/>
    <w:rsid w:val="002E3407"/>
    <w:rsid w:val="002E34FE"/>
    <w:rsid w:val="002E35BB"/>
    <w:rsid w:val="002E3648"/>
    <w:rsid w:val="002E3664"/>
    <w:rsid w:val="002E36A3"/>
    <w:rsid w:val="002E3701"/>
    <w:rsid w:val="002E3716"/>
    <w:rsid w:val="002E3717"/>
    <w:rsid w:val="002E3749"/>
    <w:rsid w:val="002E37AF"/>
    <w:rsid w:val="002E3808"/>
    <w:rsid w:val="002E3917"/>
    <w:rsid w:val="002E392A"/>
    <w:rsid w:val="002E3968"/>
    <w:rsid w:val="002E3A77"/>
    <w:rsid w:val="002E3AC3"/>
    <w:rsid w:val="002E3C22"/>
    <w:rsid w:val="002E3C3A"/>
    <w:rsid w:val="002E3C7A"/>
    <w:rsid w:val="002E3CA0"/>
    <w:rsid w:val="002E3D66"/>
    <w:rsid w:val="002E3DA2"/>
    <w:rsid w:val="002E3DC5"/>
    <w:rsid w:val="002E3DD9"/>
    <w:rsid w:val="002E3E09"/>
    <w:rsid w:val="002E3E38"/>
    <w:rsid w:val="002E3E67"/>
    <w:rsid w:val="002E3ED2"/>
    <w:rsid w:val="002E3F41"/>
    <w:rsid w:val="002E3F4D"/>
    <w:rsid w:val="002E3F83"/>
    <w:rsid w:val="002E3FA6"/>
    <w:rsid w:val="002E3FAF"/>
    <w:rsid w:val="002E3FB5"/>
    <w:rsid w:val="002E4051"/>
    <w:rsid w:val="002E4064"/>
    <w:rsid w:val="002E40E5"/>
    <w:rsid w:val="002E412A"/>
    <w:rsid w:val="002E4141"/>
    <w:rsid w:val="002E4151"/>
    <w:rsid w:val="002E415C"/>
    <w:rsid w:val="002E4192"/>
    <w:rsid w:val="002E422E"/>
    <w:rsid w:val="002E4247"/>
    <w:rsid w:val="002E425C"/>
    <w:rsid w:val="002E425E"/>
    <w:rsid w:val="002E42A9"/>
    <w:rsid w:val="002E42AE"/>
    <w:rsid w:val="002E437E"/>
    <w:rsid w:val="002E4395"/>
    <w:rsid w:val="002E4400"/>
    <w:rsid w:val="002E444F"/>
    <w:rsid w:val="002E4450"/>
    <w:rsid w:val="002E44D4"/>
    <w:rsid w:val="002E45AE"/>
    <w:rsid w:val="002E45B3"/>
    <w:rsid w:val="002E4657"/>
    <w:rsid w:val="002E4684"/>
    <w:rsid w:val="002E4842"/>
    <w:rsid w:val="002E4847"/>
    <w:rsid w:val="002E48B1"/>
    <w:rsid w:val="002E48C2"/>
    <w:rsid w:val="002E48E0"/>
    <w:rsid w:val="002E4904"/>
    <w:rsid w:val="002E4978"/>
    <w:rsid w:val="002E4A70"/>
    <w:rsid w:val="002E4ACB"/>
    <w:rsid w:val="002E4C35"/>
    <w:rsid w:val="002E4C69"/>
    <w:rsid w:val="002E4CE8"/>
    <w:rsid w:val="002E4D14"/>
    <w:rsid w:val="002E4D8E"/>
    <w:rsid w:val="002E4E11"/>
    <w:rsid w:val="002E4E7F"/>
    <w:rsid w:val="002E4EC9"/>
    <w:rsid w:val="002E4FD3"/>
    <w:rsid w:val="002E5014"/>
    <w:rsid w:val="002E50B9"/>
    <w:rsid w:val="002E50C6"/>
    <w:rsid w:val="002E50DD"/>
    <w:rsid w:val="002E5135"/>
    <w:rsid w:val="002E5139"/>
    <w:rsid w:val="002E5142"/>
    <w:rsid w:val="002E5144"/>
    <w:rsid w:val="002E515C"/>
    <w:rsid w:val="002E517A"/>
    <w:rsid w:val="002E51FE"/>
    <w:rsid w:val="002E523C"/>
    <w:rsid w:val="002E5294"/>
    <w:rsid w:val="002E529E"/>
    <w:rsid w:val="002E52E3"/>
    <w:rsid w:val="002E52FE"/>
    <w:rsid w:val="002E5335"/>
    <w:rsid w:val="002E5389"/>
    <w:rsid w:val="002E5489"/>
    <w:rsid w:val="002E549A"/>
    <w:rsid w:val="002E54EE"/>
    <w:rsid w:val="002E559C"/>
    <w:rsid w:val="002E5674"/>
    <w:rsid w:val="002E569E"/>
    <w:rsid w:val="002E5702"/>
    <w:rsid w:val="002E575F"/>
    <w:rsid w:val="002E5838"/>
    <w:rsid w:val="002E59AB"/>
    <w:rsid w:val="002E59DE"/>
    <w:rsid w:val="002E5A0A"/>
    <w:rsid w:val="002E5A0E"/>
    <w:rsid w:val="002E5A1C"/>
    <w:rsid w:val="002E5A54"/>
    <w:rsid w:val="002E5C0B"/>
    <w:rsid w:val="002E5C71"/>
    <w:rsid w:val="002E5C7D"/>
    <w:rsid w:val="002E5C8B"/>
    <w:rsid w:val="002E5CD0"/>
    <w:rsid w:val="002E5D24"/>
    <w:rsid w:val="002E5D34"/>
    <w:rsid w:val="002E5D76"/>
    <w:rsid w:val="002E5E80"/>
    <w:rsid w:val="002E5F4F"/>
    <w:rsid w:val="002E5FAD"/>
    <w:rsid w:val="002E5FBA"/>
    <w:rsid w:val="002E5FBE"/>
    <w:rsid w:val="002E5FCC"/>
    <w:rsid w:val="002E5FDC"/>
    <w:rsid w:val="002E608C"/>
    <w:rsid w:val="002E60B0"/>
    <w:rsid w:val="002E61C6"/>
    <w:rsid w:val="002E61D6"/>
    <w:rsid w:val="002E6237"/>
    <w:rsid w:val="002E6266"/>
    <w:rsid w:val="002E6277"/>
    <w:rsid w:val="002E628B"/>
    <w:rsid w:val="002E634F"/>
    <w:rsid w:val="002E6355"/>
    <w:rsid w:val="002E638C"/>
    <w:rsid w:val="002E63DD"/>
    <w:rsid w:val="002E6408"/>
    <w:rsid w:val="002E651A"/>
    <w:rsid w:val="002E653F"/>
    <w:rsid w:val="002E656C"/>
    <w:rsid w:val="002E6571"/>
    <w:rsid w:val="002E65A1"/>
    <w:rsid w:val="002E6613"/>
    <w:rsid w:val="002E6666"/>
    <w:rsid w:val="002E66A1"/>
    <w:rsid w:val="002E66B9"/>
    <w:rsid w:val="002E6713"/>
    <w:rsid w:val="002E67B3"/>
    <w:rsid w:val="002E67D6"/>
    <w:rsid w:val="002E6888"/>
    <w:rsid w:val="002E68AB"/>
    <w:rsid w:val="002E68E6"/>
    <w:rsid w:val="002E691B"/>
    <w:rsid w:val="002E6930"/>
    <w:rsid w:val="002E69B9"/>
    <w:rsid w:val="002E69EF"/>
    <w:rsid w:val="002E6A4D"/>
    <w:rsid w:val="002E6AD9"/>
    <w:rsid w:val="002E6AEB"/>
    <w:rsid w:val="002E6B49"/>
    <w:rsid w:val="002E6B92"/>
    <w:rsid w:val="002E6BF5"/>
    <w:rsid w:val="002E6C1D"/>
    <w:rsid w:val="002E6C99"/>
    <w:rsid w:val="002E6CA1"/>
    <w:rsid w:val="002E6CB0"/>
    <w:rsid w:val="002E6CB7"/>
    <w:rsid w:val="002E6D79"/>
    <w:rsid w:val="002E6D95"/>
    <w:rsid w:val="002E6E37"/>
    <w:rsid w:val="002E6F91"/>
    <w:rsid w:val="002E70B1"/>
    <w:rsid w:val="002E712D"/>
    <w:rsid w:val="002E721C"/>
    <w:rsid w:val="002E730B"/>
    <w:rsid w:val="002E7366"/>
    <w:rsid w:val="002E73CE"/>
    <w:rsid w:val="002E73D3"/>
    <w:rsid w:val="002E7454"/>
    <w:rsid w:val="002E7479"/>
    <w:rsid w:val="002E7491"/>
    <w:rsid w:val="002E74B8"/>
    <w:rsid w:val="002E74BE"/>
    <w:rsid w:val="002E74EF"/>
    <w:rsid w:val="002E7519"/>
    <w:rsid w:val="002E7559"/>
    <w:rsid w:val="002E7567"/>
    <w:rsid w:val="002E757E"/>
    <w:rsid w:val="002E7581"/>
    <w:rsid w:val="002E758F"/>
    <w:rsid w:val="002E75AE"/>
    <w:rsid w:val="002E75F0"/>
    <w:rsid w:val="002E7616"/>
    <w:rsid w:val="002E7768"/>
    <w:rsid w:val="002E77B6"/>
    <w:rsid w:val="002E77BF"/>
    <w:rsid w:val="002E7885"/>
    <w:rsid w:val="002E7901"/>
    <w:rsid w:val="002E7912"/>
    <w:rsid w:val="002E7952"/>
    <w:rsid w:val="002E7992"/>
    <w:rsid w:val="002E7995"/>
    <w:rsid w:val="002E79C9"/>
    <w:rsid w:val="002E79E9"/>
    <w:rsid w:val="002E7A7F"/>
    <w:rsid w:val="002E7B00"/>
    <w:rsid w:val="002E7B56"/>
    <w:rsid w:val="002E7BAB"/>
    <w:rsid w:val="002E7BC8"/>
    <w:rsid w:val="002E7BEF"/>
    <w:rsid w:val="002E7C47"/>
    <w:rsid w:val="002E7D03"/>
    <w:rsid w:val="002E7D20"/>
    <w:rsid w:val="002E7D33"/>
    <w:rsid w:val="002E7D88"/>
    <w:rsid w:val="002E7DFD"/>
    <w:rsid w:val="002E7E0B"/>
    <w:rsid w:val="002E7E12"/>
    <w:rsid w:val="002E7E50"/>
    <w:rsid w:val="002E7E76"/>
    <w:rsid w:val="002E7F54"/>
    <w:rsid w:val="002E7F92"/>
    <w:rsid w:val="002E7FBA"/>
    <w:rsid w:val="002E7FE3"/>
    <w:rsid w:val="002E7FFC"/>
    <w:rsid w:val="002F0035"/>
    <w:rsid w:val="002F0082"/>
    <w:rsid w:val="002F00D5"/>
    <w:rsid w:val="002F00E0"/>
    <w:rsid w:val="002F0139"/>
    <w:rsid w:val="002F01FF"/>
    <w:rsid w:val="002F0321"/>
    <w:rsid w:val="002F03AC"/>
    <w:rsid w:val="002F03E0"/>
    <w:rsid w:val="002F03F0"/>
    <w:rsid w:val="002F03F4"/>
    <w:rsid w:val="002F0421"/>
    <w:rsid w:val="002F0423"/>
    <w:rsid w:val="002F0457"/>
    <w:rsid w:val="002F0493"/>
    <w:rsid w:val="002F04D8"/>
    <w:rsid w:val="002F04EA"/>
    <w:rsid w:val="002F0547"/>
    <w:rsid w:val="002F057C"/>
    <w:rsid w:val="002F0629"/>
    <w:rsid w:val="002F0630"/>
    <w:rsid w:val="002F0651"/>
    <w:rsid w:val="002F065D"/>
    <w:rsid w:val="002F0663"/>
    <w:rsid w:val="002F067E"/>
    <w:rsid w:val="002F06E0"/>
    <w:rsid w:val="002F072C"/>
    <w:rsid w:val="002F0740"/>
    <w:rsid w:val="002F0759"/>
    <w:rsid w:val="002F076D"/>
    <w:rsid w:val="002F081D"/>
    <w:rsid w:val="002F08D7"/>
    <w:rsid w:val="002F08E5"/>
    <w:rsid w:val="002F0942"/>
    <w:rsid w:val="002F09DE"/>
    <w:rsid w:val="002F09F8"/>
    <w:rsid w:val="002F0A55"/>
    <w:rsid w:val="002F0A6E"/>
    <w:rsid w:val="002F0ACA"/>
    <w:rsid w:val="002F0ACE"/>
    <w:rsid w:val="002F0B44"/>
    <w:rsid w:val="002F0BAE"/>
    <w:rsid w:val="002F0BCB"/>
    <w:rsid w:val="002F0BD5"/>
    <w:rsid w:val="002F0CF8"/>
    <w:rsid w:val="002F0DE0"/>
    <w:rsid w:val="002F0E76"/>
    <w:rsid w:val="002F0E9B"/>
    <w:rsid w:val="002F0ECE"/>
    <w:rsid w:val="002F0F85"/>
    <w:rsid w:val="002F0F92"/>
    <w:rsid w:val="002F10DE"/>
    <w:rsid w:val="002F10F1"/>
    <w:rsid w:val="002F11B9"/>
    <w:rsid w:val="002F1217"/>
    <w:rsid w:val="002F121A"/>
    <w:rsid w:val="002F121C"/>
    <w:rsid w:val="002F13CC"/>
    <w:rsid w:val="002F13DB"/>
    <w:rsid w:val="002F142E"/>
    <w:rsid w:val="002F145A"/>
    <w:rsid w:val="002F146C"/>
    <w:rsid w:val="002F15A3"/>
    <w:rsid w:val="002F15E2"/>
    <w:rsid w:val="002F1630"/>
    <w:rsid w:val="002F16A3"/>
    <w:rsid w:val="002F176A"/>
    <w:rsid w:val="002F17D6"/>
    <w:rsid w:val="002F1817"/>
    <w:rsid w:val="002F181D"/>
    <w:rsid w:val="002F18A7"/>
    <w:rsid w:val="002F1968"/>
    <w:rsid w:val="002F198B"/>
    <w:rsid w:val="002F19AA"/>
    <w:rsid w:val="002F1A0E"/>
    <w:rsid w:val="002F1A66"/>
    <w:rsid w:val="002F1B60"/>
    <w:rsid w:val="002F1BF0"/>
    <w:rsid w:val="002F1BF8"/>
    <w:rsid w:val="002F1BFB"/>
    <w:rsid w:val="002F1C1C"/>
    <w:rsid w:val="002F1C20"/>
    <w:rsid w:val="002F1C95"/>
    <w:rsid w:val="002F1CC3"/>
    <w:rsid w:val="002F1D40"/>
    <w:rsid w:val="002F1D6E"/>
    <w:rsid w:val="002F1D99"/>
    <w:rsid w:val="002F1DBD"/>
    <w:rsid w:val="002F1E52"/>
    <w:rsid w:val="002F1E86"/>
    <w:rsid w:val="002F1EE1"/>
    <w:rsid w:val="002F1F10"/>
    <w:rsid w:val="002F1F11"/>
    <w:rsid w:val="002F1F60"/>
    <w:rsid w:val="002F201E"/>
    <w:rsid w:val="002F2092"/>
    <w:rsid w:val="002F209F"/>
    <w:rsid w:val="002F2182"/>
    <w:rsid w:val="002F2251"/>
    <w:rsid w:val="002F22A1"/>
    <w:rsid w:val="002F22E7"/>
    <w:rsid w:val="002F238E"/>
    <w:rsid w:val="002F23A5"/>
    <w:rsid w:val="002F2438"/>
    <w:rsid w:val="002F24A4"/>
    <w:rsid w:val="002F2527"/>
    <w:rsid w:val="002F2536"/>
    <w:rsid w:val="002F254D"/>
    <w:rsid w:val="002F255E"/>
    <w:rsid w:val="002F2590"/>
    <w:rsid w:val="002F25FF"/>
    <w:rsid w:val="002F2634"/>
    <w:rsid w:val="002F2668"/>
    <w:rsid w:val="002F26CC"/>
    <w:rsid w:val="002F26D2"/>
    <w:rsid w:val="002F26E7"/>
    <w:rsid w:val="002F280B"/>
    <w:rsid w:val="002F2876"/>
    <w:rsid w:val="002F28A3"/>
    <w:rsid w:val="002F28C5"/>
    <w:rsid w:val="002F28D9"/>
    <w:rsid w:val="002F28FD"/>
    <w:rsid w:val="002F2968"/>
    <w:rsid w:val="002F296C"/>
    <w:rsid w:val="002F296D"/>
    <w:rsid w:val="002F2AC7"/>
    <w:rsid w:val="002F2AFC"/>
    <w:rsid w:val="002F2B1C"/>
    <w:rsid w:val="002F2B50"/>
    <w:rsid w:val="002F2B66"/>
    <w:rsid w:val="002F2BED"/>
    <w:rsid w:val="002F2C54"/>
    <w:rsid w:val="002F2CD8"/>
    <w:rsid w:val="002F2D05"/>
    <w:rsid w:val="002F2D24"/>
    <w:rsid w:val="002F2D32"/>
    <w:rsid w:val="002F2D4F"/>
    <w:rsid w:val="002F2D6C"/>
    <w:rsid w:val="002F2D89"/>
    <w:rsid w:val="002F2E77"/>
    <w:rsid w:val="002F2EEF"/>
    <w:rsid w:val="002F2F53"/>
    <w:rsid w:val="002F2F54"/>
    <w:rsid w:val="002F2FB5"/>
    <w:rsid w:val="002F30A1"/>
    <w:rsid w:val="002F313A"/>
    <w:rsid w:val="002F31E9"/>
    <w:rsid w:val="002F3280"/>
    <w:rsid w:val="002F32E9"/>
    <w:rsid w:val="002F3344"/>
    <w:rsid w:val="002F33CD"/>
    <w:rsid w:val="002F33D7"/>
    <w:rsid w:val="002F33D9"/>
    <w:rsid w:val="002F340C"/>
    <w:rsid w:val="002F34F2"/>
    <w:rsid w:val="002F3500"/>
    <w:rsid w:val="002F36AD"/>
    <w:rsid w:val="002F3732"/>
    <w:rsid w:val="002F3752"/>
    <w:rsid w:val="002F3782"/>
    <w:rsid w:val="002F3838"/>
    <w:rsid w:val="002F386F"/>
    <w:rsid w:val="002F3958"/>
    <w:rsid w:val="002F39CF"/>
    <w:rsid w:val="002F3A34"/>
    <w:rsid w:val="002F3A3B"/>
    <w:rsid w:val="002F3A62"/>
    <w:rsid w:val="002F3A7A"/>
    <w:rsid w:val="002F3AA6"/>
    <w:rsid w:val="002F3AC8"/>
    <w:rsid w:val="002F3B67"/>
    <w:rsid w:val="002F3B87"/>
    <w:rsid w:val="002F3BA4"/>
    <w:rsid w:val="002F3BAB"/>
    <w:rsid w:val="002F3C7E"/>
    <w:rsid w:val="002F3C97"/>
    <w:rsid w:val="002F3CE3"/>
    <w:rsid w:val="002F3D19"/>
    <w:rsid w:val="002F3D56"/>
    <w:rsid w:val="002F3EBD"/>
    <w:rsid w:val="002F3EFB"/>
    <w:rsid w:val="002F3F0E"/>
    <w:rsid w:val="002F3FAC"/>
    <w:rsid w:val="002F3FBC"/>
    <w:rsid w:val="002F3FF2"/>
    <w:rsid w:val="002F4016"/>
    <w:rsid w:val="002F4046"/>
    <w:rsid w:val="002F4108"/>
    <w:rsid w:val="002F417F"/>
    <w:rsid w:val="002F41EB"/>
    <w:rsid w:val="002F423E"/>
    <w:rsid w:val="002F4252"/>
    <w:rsid w:val="002F42AA"/>
    <w:rsid w:val="002F42F7"/>
    <w:rsid w:val="002F430F"/>
    <w:rsid w:val="002F4333"/>
    <w:rsid w:val="002F435F"/>
    <w:rsid w:val="002F43FD"/>
    <w:rsid w:val="002F448A"/>
    <w:rsid w:val="002F448F"/>
    <w:rsid w:val="002F44DD"/>
    <w:rsid w:val="002F4592"/>
    <w:rsid w:val="002F4623"/>
    <w:rsid w:val="002F462E"/>
    <w:rsid w:val="002F4712"/>
    <w:rsid w:val="002F4727"/>
    <w:rsid w:val="002F4797"/>
    <w:rsid w:val="002F47B8"/>
    <w:rsid w:val="002F47F8"/>
    <w:rsid w:val="002F4878"/>
    <w:rsid w:val="002F487C"/>
    <w:rsid w:val="002F4909"/>
    <w:rsid w:val="002F4978"/>
    <w:rsid w:val="002F49AE"/>
    <w:rsid w:val="002F49D1"/>
    <w:rsid w:val="002F49D4"/>
    <w:rsid w:val="002F4A3A"/>
    <w:rsid w:val="002F4A6E"/>
    <w:rsid w:val="002F4B12"/>
    <w:rsid w:val="002F4B17"/>
    <w:rsid w:val="002F4B18"/>
    <w:rsid w:val="002F4BC2"/>
    <w:rsid w:val="002F4BCE"/>
    <w:rsid w:val="002F4C3C"/>
    <w:rsid w:val="002F4C8B"/>
    <w:rsid w:val="002F4C92"/>
    <w:rsid w:val="002F4CD1"/>
    <w:rsid w:val="002F4DFD"/>
    <w:rsid w:val="002F4E0C"/>
    <w:rsid w:val="002F4E37"/>
    <w:rsid w:val="002F4E85"/>
    <w:rsid w:val="002F4EC6"/>
    <w:rsid w:val="002F4F02"/>
    <w:rsid w:val="002F5007"/>
    <w:rsid w:val="002F50AA"/>
    <w:rsid w:val="002F5104"/>
    <w:rsid w:val="002F5133"/>
    <w:rsid w:val="002F513C"/>
    <w:rsid w:val="002F51BF"/>
    <w:rsid w:val="002F525F"/>
    <w:rsid w:val="002F52C4"/>
    <w:rsid w:val="002F52D1"/>
    <w:rsid w:val="002F538A"/>
    <w:rsid w:val="002F53B8"/>
    <w:rsid w:val="002F5419"/>
    <w:rsid w:val="002F5460"/>
    <w:rsid w:val="002F54B5"/>
    <w:rsid w:val="002F54EA"/>
    <w:rsid w:val="002F54F4"/>
    <w:rsid w:val="002F5522"/>
    <w:rsid w:val="002F55AE"/>
    <w:rsid w:val="002F5612"/>
    <w:rsid w:val="002F565A"/>
    <w:rsid w:val="002F57CA"/>
    <w:rsid w:val="002F580D"/>
    <w:rsid w:val="002F59DC"/>
    <w:rsid w:val="002F5AD4"/>
    <w:rsid w:val="002F5B6C"/>
    <w:rsid w:val="002F5B80"/>
    <w:rsid w:val="002F5B9F"/>
    <w:rsid w:val="002F5BD6"/>
    <w:rsid w:val="002F5CB3"/>
    <w:rsid w:val="002F5CDD"/>
    <w:rsid w:val="002F5CE2"/>
    <w:rsid w:val="002F5CE3"/>
    <w:rsid w:val="002F5CF3"/>
    <w:rsid w:val="002F5D13"/>
    <w:rsid w:val="002F5D24"/>
    <w:rsid w:val="002F5D72"/>
    <w:rsid w:val="002F5D81"/>
    <w:rsid w:val="002F5DA5"/>
    <w:rsid w:val="002F5DC8"/>
    <w:rsid w:val="002F5E2A"/>
    <w:rsid w:val="002F5E38"/>
    <w:rsid w:val="002F5E4E"/>
    <w:rsid w:val="002F5E62"/>
    <w:rsid w:val="002F5F07"/>
    <w:rsid w:val="002F5F1F"/>
    <w:rsid w:val="002F5F4C"/>
    <w:rsid w:val="002F5F67"/>
    <w:rsid w:val="002F5FE2"/>
    <w:rsid w:val="002F6051"/>
    <w:rsid w:val="002F61AF"/>
    <w:rsid w:val="002F6215"/>
    <w:rsid w:val="002F6231"/>
    <w:rsid w:val="002F6232"/>
    <w:rsid w:val="002F626A"/>
    <w:rsid w:val="002F6271"/>
    <w:rsid w:val="002F632E"/>
    <w:rsid w:val="002F634B"/>
    <w:rsid w:val="002F6352"/>
    <w:rsid w:val="002F63A9"/>
    <w:rsid w:val="002F63C1"/>
    <w:rsid w:val="002F63E0"/>
    <w:rsid w:val="002F6565"/>
    <w:rsid w:val="002F656D"/>
    <w:rsid w:val="002F65D2"/>
    <w:rsid w:val="002F66C8"/>
    <w:rsid w:val="002F675F"/>
    <w:rsid w:val="002F6821"/>
    <w:rsid w:val="002F6873"/>
    <w:rsid w:val="002F6890"/>
    <w:rsid w:val="002F6A8E"/>
    <w:rsid w:val="002F6AD2"/>
    <w:rsid w:val="002F6B12"/>
    <w:rsid w:val="002F6B3D"/>
    <w:rsid w:val="002F6C2B"/>
    <w:rsid w:val="002F6C8E"/>
    <w:rsid w:val="002F6D24"/>
    <w:rsid w:val="002F6D5D"/>
    <w:rsid w:val="002F6D66"/>
    <w:rsid w:val="002F6DC6"/>
    <w:rsid w:val="002F6DF7"/>
    <w:rsid w:val="002F6E2C"/>
    <w:rsid w:val="002F6E8E"/>
    <w:rsid w:val="002F6F29"/>
    <w:rsid w:val="002F6F62"/>
    <w:rsid w:val="002F6F95"/>
    <w:rsid w:val="002F70E1"/>
    <w:rsid w:val="002F7300"/>
    <w:rsid w:val="002F734E"/>
    <w:rsid w:val="002F73CD"/>
    <w:rsid w:val="002F73DE"/>
    <w:rsid w:val="002F744B"/>
    <w:rsid w:val="002F74C2"/>
    <w:rsid w:val="002F74D4"/>
    <w:rsid w:val="002F750E"/>
    <w:rsid w:val="002F752E"/>
    <w:rsid w:val="002F7597"/>
    <w:rsid w:val="002F7607"/>
    <w:rsid w:val="002F7608"/>
    <w:rsid w:val="002F76D3"/>
    <w:rsid w:val="002F7762"/>
    <w:rsid w:val="002F780A"/>
    <w:rsid w:val="002F7865"/>
    <w:rsid w:val="002F7889"/>
    <w:rsid w:val="002F78B5"/>
    <w:rsid w:val="002F797D"/>
    <w:rsid w:val="002F79EA"/>
    <w:rsid w:val="002F7A4E"/>
    <w:rsid w:val="002F7A64"/>
    <w:rsid w:val="002F7AA7"/>
    <w:rsid w:val="002F7C03"/>
    <w:rsid w:val="002F7D40"/>
    <w:rsid w:val="002F7D4C"/>
    <w:rsid w:val="002F7D69"/>
    <w:rsid w:val="002F7D74"/>
    <w:rsid w:val="002F7D82"/>
    <w:rsid w:val="002F7DD3"/>
    <w:rsid w:val="002F7DDD"/>
    <w:rsid w:val="002F7DFC"/>
    <w:rsid w:val="002F7E43"/>
    <w:rsid w:val="002F7E67"/>
    <w:rsid w:val="002F7EC6"/>
    <w:rsid w:val="002F7ECC"/>
    <w:rsid w:val="002F7F4C"/>
    <w:rsid w:val="002F7FA8"/>
    <w:rsid w:val="003000BD"/>
    <w:rsid w:val="00300340"/>
    <w:rsid w:val="003003BC"/>
    <w:rsid w:val="003003D6"/>
    <w:rsid w:val="0030043A"/>
    <w:rsid w:val="0030055A"/>
    <w:rsid w:val="00300567"/>
    <w:rsid w:val="003005CC"/>
    <w:rsid w:val="003005F7"/>
    <w:rsid w:val="003007BC"/>
    <w:rsid w:val="003007F1"/>
    <w:rsid w:val="003007F3"/>
    <w:rsid w:val="00300816"/>
    <w:rsid w:val="00300845"/>
    <w:rsid w:val="00300896"/>
    <w:rsid w:val="0030091C"/>
    <w:rsid w:val="003009A2"/>
    <w:rsid w:val="003009C7"/>
    <w:rsid w:val="00300A09"/>
    <w:rsid w:val="00300A84"/>
    <w:rsid w:val="00300AAC"/>
    <w:rsid w:val="00300AC1"/>
    <w:rsid w:val="00300ACF"/>
    <w:rsid w:val="00300B32"/>
    <w:rsid w:val="00300BBE"/>
    <w:rsid w:val="00300C9A"/>
    <w:rsid w:val="00300CCA"/>
    <w:rsid w:val="00300D2C"/>
    <w:rsid w:val="00300DBF"/>
    <w:rsid w:val="00300E6A"/>
    <w:rsid w:val="00300F2C"/>
    <w:rsid w:val="00300F93"/>
    <w:rsid w:val="00300F9D"/>
    <w:rsid w:val="003010F8"/>
    <w:rsid w:val="00301172"/>
    <w:rsid w:val="0030117A"/>
    <w:rsid w:val="0030117C"/>
    <w:rsid w:val="0030119D"/>
    <w:rsid w:val="003011ED"/>
    <w:rsid w:val="003012B2"/>
    <w:rsid w:val="003012F6"/>
    <w:rsid w:val="00301379"/>
    <w:rsid w:val="00301386"/>
    <w:rsid w:val="00301392"/>
    <w:rsid w:val="003013FD"/>
    <w:rsid w:val="00301456"/>
    <w:rsid w:val="00301554"/>
    <w:rsid w:val="003015D8"/>
    <w:rsid w:val="003015F5"/>
    <w:rsid w:val="00301642"/>
    <w:rsid w:val="00301667"/>
    <w:rsid w:val="003016A6"/>
    <w:rsid w:val="00301752"/>
    <w:rsid w:val="003017F4"/>
    <w:rsid w:val="00301904"/>
    <w:rsid w:val="003019A8"/>
    <w:rsid w:val="00301A40"/>
    <w:rsid w:val="00301A8C"/>
    <w:rsid w:val="00301C17"/>
    <w:rsid w:val="00301C25"/>
    <w:rsid w:val="00301C2E"/>
    <w:rsid w:val="00301C86"/>
    <w:rsid w:val="00301CE1"/>
    <w:rsid w:val="00301CF7"/>
    <w:rsid w:val="00301D2A"/>
    <w:rsid w:val="00301DD1"/>
    <w:rsid w:val="00301EAC"/>
    <w:rsid w:val="00301EC9"/>
    <w:rsid w:val="00301F1C"/>
    <w:rsid w:val="00301F1E"/>
    <w:rsid w:val="00302005"/>
    <w:rsid w:val="00302008"/>
    <w:rsid w:val="00302036"/>
    <w:rsid w:val="0030206B"/>
    <w:rsid w:val="003020FA"/>
    <w:rsid w:val="0030211A"/>
    <w:rsid w:val="00302164"/>
    <w:rsid w:val="003021CC"/>
    <w:rsid w:val="00302256"/>
    <w:rsid w:val="003022B8"/>
    <w:rsid w:val="00302348"/>
    <w:rsid w:val="00302404"/>
    <w:rsid w:val="0030249D"/>
    <w:rsid w:val="003024D2"/>
    <w:rsid w:val="0030250B"/>
    <w:rsid w:val="00302511"/>
    <w:rsid w:val="00302536"/>
    <w:rsid w:val="003025E9"/>
    <w:rsid w:val="003025F3"/>
    <w:rsid w:val="0030263B"/>
    <w:rsid w:val="00302689"/>
    <w:rsid w:val="00302698"/>
    <w:rsid w:val="003026C2"/>
    <w:rsid w:val="003026F1"/>
    <w:rsid w:val="00302713"/>
    <w:rsid w:val="00302723"/>
    <w:rsid w:val="00302859"/>
    <w:rsid w:val="0030289F"/>
    <w:rsid w:val="003028BC"/>
    <w:rsid w:val="003028F4"/>
    <w:rsid w:val="003028F7"/>
    <w:rsid w:val="003028FC"/>
    <w:rsid w:val="003029AE"/>
    <w:rsid w:val="003029D9"/>
    <w:rsid w:val="00302A76"/>
    <w:rsid w:val="00302A98"/>
    <w:rsid w:val="00302B39"/>
    <w:rsid w:val="00302B90"/>
    <w:rsid w:val="00302C11"/>
    <w:rsid w:val="00302C2D"/>
    <w:rsid w:val="00302D03"/>
    <w:rsid w:val="00302D49"/>
    <w:rsid w:val="00302E0D"/>
    <w:rsid w:val="00302ED5"/>
    <w:rsid w:val="00302F2B"/>
    <w:rsid w:val="00302F76"/>
    <w:rsid w:val="00302FF9"/>
    <w:rsid w:val="00303021"/>
    <w:rsid w:val="0030304D"/>
    <w:rsid w:val="003030E1"/>
    <w:rsid w:val="003030E3"/>
    <w:rsid w:val="003031B1"/>
    <w:rsid w:val="003031D6"/>
    <w:rsid w:val="003031E2"/>
    <w:rsid w:val="00303244"/>
    <w:rsid w:val="00303251"/>
    <w:rsid w:val="00303375"/>
    <w:rsid w:val="003033EA"/>
    <w:rsid w:val="0030346A"/>
    <w:rsid w:val="00303494"/>
    <w:rsid w:val="0030349B"/>
    <w:rsid w:val="003034BC"/>
    <w:rsid w:val="003034C6"/>
    <w:rsid w:val="003034F8"/>
    <w:rsid w:val="00303558"/>
    <w:rsid w:val="003035B9"/>
    <w:rsid w:val="003035CA"/>
    <w:rsid w:val="00303629"/>
    <w:rsid w:val="0030362F"/>
    <w:rsid w:val="0030368A"/>
    <w:rsid w:val="00303767"/>
    <w:rsid w:val="0030380B"/>
    <w:rsid w:val="0030384D"/>
    <w:rsid w:val="00303865"/>
    <w:rsid w:val="00303A49"/>
    <w:rsid w:val="00303A53"/>
    <w:rsid w:val="00303AF0"/>
    <w:rsid w:val="00303B6A"/>
    <w:rsid w:val="00303C5B"/>
    <w:rsid w:val="00303D8C"/>
    <w:rsid w:val="00303E30"/>
    <w:rsid w:val="00303EB5"/>
    <w:rsid w:val="00303EB7"/>
    <w:rsid w:val="00303ECE"/>
    <w:rsid w:val="00303F21"/>
    <w:rsid w:val="00303F46"/>
    <w:rsid w:val="00303F76"/>
    <w:rsid w:val="00303FEE"/>
    <w:rsid w:val="003040B7"/>
    <w:rsid w:val="003040E9"/>
    <w:rsid w:val="003043D5"/>
    <w:rsid w:val="00304410"/>
    <w:rsid w:val="003044D7"/>
    <w:rsid w:val="00304584"/>
    <w:rsid w:val="00304594"/>
    <w:rsid w:val="003045E8"/>
    <w:rsid w:val="0030462E"/>
    <w:rsid w:val="00304632"/>
    <w:rsid w:val="0030464D"/>
    <w:rsid w:val="00304707"/>
    <w:rsid w:val="00304709"/>
    <w:rsid w:val="00304739"/>
    <w:rsid w:val="003047BE"/>
    <w:rsid w:val="003048B6"/>
    <w:rsid w:val="00304933"/>
    <w:rsid w:val="0030493F"/>
    <w:rsid w:val="0030496A"/>
    <w:rsid w:val="003049CC"/>
    <w:rsid w:val="00304A0B"/>
    <w:rsid w:val="00304A5E"/>
    <w:rsid w:val="00304AC4"/>
    <w:rsid w:val="00304AF1"/>
    <w:rsid w:val="00304B19"/>
    <w:rsid w:val="00304B37"/>
    <w:rsid w:val="00304B7F"/>
    <w:rsid w:val="00304BCD"/>
    <w:rsid w:val="00304CD9"/>
    <w:rsid w:val="00304CDC"/>
    <w:rsid w:val="00304D46"/>
    <w:rsid w:val="00304DD2"/>
    <w:rsid w:val="00304E05"/>
    <w:rsid w:val="00304ECC"/>
    <w:rsid w:val="00304EE3"/>
    <w:rsid w:val="00304FC9"/>
    <w:rsid w:val="0030500C"/>
    <w:rsid w:val="00305020"/>
    <w:rsid w:val="00305097"/>
    <w:rsid w:val="003050E5"/>
    <w:rsid w:val="00305113"/>
    <w:rsid w:val="00305121"/>
    <w:rsid w:val="00305149"/>
    <w:rsid w:val="003051C5"/>
    <w:rsid w:val="00305298"/>
    <w:rsid w:val="003052C6"/>
    <w:rsid w:val="003052ED"/>
    <w:rsid w:val="00305423"/>
    <w:rsid w:val="0030546D"/>
    <w:rsid w:val="00305507"/>
    <w:rsid w:val="0030551B"/>
    <w:rsid w:val="00305552"/>
    <w:rsid w:val="003055E3"/>
    <w:rsid w:val="0030560B"/>
    <w:rsid w:val="00305672"/>
    <w:rsid w:val="0030571F"/>
    <w:rsid w:val="00305826"/>
    <w:rsid w:val="00305886"/>
    <w:rsid w:val="003058B6"/>
    <w:rsid w:val="003058F6"/>
    <w:rsid w:val="0030598F"/>
    <w:rsid w:val="003059ED"/>
    <w:rsid w:val="00305A52"/>
    <w:rsid w:val="00305A92"/>
    <w:rsid w:val="00305ADF"/>
    <w:rsid w:val="00305B93"/>
    <w:rsid w:val="00305C11"/>
    <w:rsid w:val="00305D83"/>
    <w:rsid w:val="00305DC2"/>
    <w:rsid w:val="00305E55"/>
    <w:rsid w:val="00305E7E"/>
    <w:rsid w:val="00305E81"/>
    <w:rsid w:val="00305F24"/>
    <w:rsid w:val="00305F2B"/>
    <w:rsid w:val="00305F2C"/>
    <w:rsid w:val="00305FDB"/>
    <w:rsid w:val="0030616D"/>
    <w:rsid w:val="003061DD"/>
    <w:rsid w:val="003062CB"/>
    <w:rsid w:val="003062E2"/>
    <w:rsid w:val="003062FD"/>
    <w:rsid w:val="0030633E"/>
    <w:rsid w:val="003063FC"/>
    <w:rsid w:val="0030642A"/>
    <w:rsid w:val="003064D1"/>
    <w:rsid w:val="00306560"/>
    <w:rsid w:val="00306625"/>
    <w:rsid w:val="00306633"/>
    <w:rsid w:val="003066B3"/>
    <w:rsid w:val="003066CE"/>
    <w:rsid w:val="00306774"/>
    <w:rsid w:val="003067E1"/>
    <w:rsid w:val="0030682F"/>
    <w:rsid w:val="0030689F"/>
    <w:rsid w:val="003068BC"/>
    <w:rsid w:val="003068C5"/>
    <w:rsid w:val="00306937"/>
    <w:rsid w:val="0030698C"/>
    <w:rsid w:val="003069AC"/>
    <w:rsid w:val="003069EC"/>
    <w:rsid w:val="00306A09"/>
    <w:rsid w:val="00306A36"/>
    <w:rsid w:val="00306AA7"/>
    <w:rsid w:val="00306AB5"/>
    <w:rsid w:val="00306ABC"/>
    <w:rsid w:val="00306B08"/>
    <w:rsid w:val="00306C31"/>
    <w:rsid w:val="00306C55"/>
    <w:rsid w:val="00306CA9"/>
    <w:rsid w:val="00306CB4"/>
    <w:rsid w:val="00306CFA"/>
    <w:rsid w:val="00306D1A"/>
    <w:rsid w:val="00306DA9"/>
    <w:rsid w:val="00306E7F"/>
    <w:rsid w:val="00306EB6"/>
    <w:rsid w:val="00306EC7"/>
    <w:rsid w:val="00306EDD"/>
    <w:rsid w:val="00306F1A"/>
    <w:rsid w:val="00306F22"/>
    <w:rsid w:val="00306F79"/>
    <w:rsid w:val="00306F8C"/>
    <w:rsid w:val="003070EB"/>
    <w:rsid w:val="0030718B"/>
    <w:rsid w:val="003071DE"/>
    <w:rsid w:val="0030721F"/>
    <w:rsid w:val="0030724B"/>
    <w:rsid w:val="003072CD"/>
    <w:rsid w:val="0030740B"/>
    <w:rsid w:val="00307475"/>
    <w:rsid w:val="00307593"/>
    <w:rsid w:val="003075BD"/>
    <w:rsid w:val="003075D4"/>
    <w:rsid w:val="00307670"/>
    <w:rsid w:val="0030768D"/>
    <w:rsid w:val="00307700"/>
    <w:rsid w:val="00307715"/>
    <w:rsid w:val="0030773C"/>
    <w:rsid w:val="00307844"/>
    <w:rsid w:val="003078C1"/>
    <w:rsid w:val="003078EF"/>
    <w:rsid w:val="00307953"/>
    <w:rsid w:val="00307991"/>
    <w:rsid w:val="003079A0"/>
    <w:rsid w:val="003079DC"/>
    <w:rsid w:val="00307A82"/>
    <w:rsid w:val="00307A8E"/>
    <w:rsid w:val="00307AA9"/>
    <w:rsid w:val="00307ABD"/>
    <w:rsid w:val="00307B34"/>
    <w:rsid w:val="00307B4B"/>
    <w:rsid w:val="00307B95"/>
    <w:rsid w:val="00307BA4"/>
    <w:rsid w:val="00307BB1"/>
    <w:rsid w:val="00307BF5"/>
    <w:rsid w:val="00307C23"/>
    <w:rsid w:val="00307C67"/>
    <w:rsid w:val="00307CA5"/>
    <w:rsid w:val="00307CD8"/>
    <w:rsid w:val="00307D0C"/>
    <w:rsid w:val="00307D16"/>
    <w:rsid w:val="00307D3F"/>
    <w:rsid w:val="00307D8D"/>
    <w:rsid w:val="00307DD5"/>
    <w:rsid w:val="00307DFD"/>
    <w:rsid w:val="00307E7E"/>
    <w:rsid w:val="00307F10"/>
    <w:rsid w:val="00307F1C"/>
    <w:rsid w:val="00307F45"/>
    <w:rsid w:val="00307F74"/>
    <w:rsid w:val="003100CE"/>
    <w:rsid w:val="003100F8"/>
    <w:rsid w:val="00310144"/>
    <w:rsid w:val="00310156"/>
    <w:rsid w:val="00310157"/>
    <w:rsid w:val="003102FF"/>
    <w:rsid w:val="00310344"/>
    <w:rsid w:val="00310365"/>
    <w:rsid w:val="00310438"/>
    <w:rsid w:val="0031044C"/>
    <w:rsid w:val="0031047B"/>
    <w:rsid w:val="003106E9"/>
    <w:rsid w:val="00310742"/>
    <w:rsid w:val="003107EE"/>
    <w:rsid w:val="00310848"/>
    <w:rsid w:val="00310882"/>
    <w:rsid w:val="003108F6"/>
    <w:rsid w:val="0031090D"/>
    <w:rsid w:val="003109F2"/>
    <w:rsid w:val="00310A2C"/>
    <w:rsid w:val="00310A2D"/>
    <w:rsid w:val="00310A93"/>
    <w:rsid w:val="00310BDE"/>
    <w:rsid w:val="00310C15"/>
    <w:rsid w:val="00310C33"/>
    <w:rsid w:val="00310CA1"/>
    <w:rsid w:val="00310CBE"/>
    <w:rsid w:val="00310D03"/>
    <w:rsid w:val="00310DA7"/>
    <w:rsid w:val="00310DAA"/>
    <w:rsid w:val="00310E06"/>
    <w:rsid w:val="00310E26"/>
    <w:rsid w:val="00310E87"/>
    <w:rsid w:val="00310F91"/>
    <w:rsid w:val="00310F93"/>
    <w:rsid w:val="00311054"/>
    <w:rsid w:val="00311106"/>
    <w:rsid w:val="00311113"/>
    <w:rsid w:val="003111AE"/>
    <w:rsid w:val="003111C0"/>
    <w:rsid w:val="0031123F"/>
    <w:rsid w:val="00311279"/>
    <w:rsid w:val="003112DB"/>
    <w:rsid w:val="00311321"/>
    <w:rsid w:val="003113A8"/>
    <w:rsid w:val="00311412"/>
    <w:rsid w:val="00311529"/>
    <w:rsid w:val="003115DB"/>
    <w:rsid w:val="0031161C"/>
    <w:rsid w:val="0031161F"/>
    <w:rsid w:val="0031167B"/>
    <w:rsid w:val="0031174D"/>
    <w:rsid w:val="0031175C"/>
    <w:rsid w:val="0031179D"/>
    <w:rsid w:val="0031189D"/>
    <w:rsid w:val="003118C6"/>
    <w:rsid w:val="00311978"/>
    <w:rsid w:val="003119DD"/>
    <w:rsid w:val="00311A8C"/>
    <w:rsid w:val="00311A99"/>
    <w:rsid w:val="00311B96"/>
    <w:rsid w:val="00311C62"/>
    <w:rsid w:val="00311CDE"/>
    <w:rsid w:val="00311D63"/>
    <w:rsid w:val="00311DAA"/>
    <w:rsid w:val="00311DEF"/>
    <w:rsid w:val="00311E01"/>
    <w:rsid w:val="00311E63"/>
    <w:rsid w:val="00311F56"/>
    <w:rsid w:val="00311F89"/>
    <w:rsid w:val="00312032"/>
    <w:rsid w:val="00312041"/>
    <w:rsid w:val="0031204A"/>
    <w:rsid w:val="003120AC"/>
    <w:rsid w:val="0031211B"/>
    <w:rsid w:val="00312141"/>
    <w:rsid w:val="0031218D"/>
    <w:rsid w:val="00312198"/>
    <w:rsid w:val="003121A8"/>
    <w:rsid w:val="003121BA"/>
    <w:rsid w:val="003122AF"/>
    <w:rsid w:val="003122BA"/>
    <w:rsid w:val="003122DE"/>
    <w:rsid w:val="0031233A"/>
    <w:rsid w:val="003123BB"/>
    <w:rsid w:val="00312432"/>
    <w:rsid w:val="00312433"/>
    <w:rsid w:val="0031248D"/>
    <w:rsid w:val="003124F6"/>
    <w:rsid w:val="00312513"/>
    <w:rsid w:val="00312547"/>
    <w:rsid w:val="00312556"/>
    <w:rsid w:val="003125A6"/>
    <w:rsid w:val="0031261F"/>
    <w:rsid w:val="0031267B"/>
    <w:rsid w:val="003126B1"/>
    <w:rsid w:val="003126E1"/>
    <w:rsid w:val="00312777"/>
    <w:rsid w:val="003127B0"/>
    <w:rsid w:val="003127CF"/>
    <w:rsid w:val="003127D9"/>
    <w:rsid w:val="003127EF"/>
    <w:rsid w:val="003127FB"/>
    <w:rsid w:val="0031283A"/>
    <w:rsid w:val="00312854"/>
    <w:rsid w:val="00312939"/>
    <w:rsid w:val="0031294B"/>
    <w:rsid w:val="00312A2B"/>
    <w:rsid w:val="00312A2E"/>
    <w:rsid w:val="00312A2F"/>
    <w:rsid w:val="00312AE3"/>
    <w:rsid w:val="00312BDE"/>
    <w:rsid w:val="00312C58"/>
    <w:rsid w:val="00312C7C"/>
    <w:rsid w:val="00312C93"/>
    <w:rsid w:val="00312CD0"/>
    <w:rsid w:val="00312CF9"/>
    <w:rsid w:val="00312D42"/>
    <w:rsid w:val="00312D93"/>
    <w:rsid w:val="00312DDA"/>
    <w:rsid w:val="00312DE7"/>
    <w:rsid w:val="00312E8C"/>
    <w:rsid w:val="00312F15"/>
    <w:rsid w:val="00312F74"/>
    <w:rsid w:val="00312F82"/>
    <w:rsid w:val="00312F8D"/>
    <w:rsid w:val="00312FC8"/>
    <w:rsid w:val="00313014"/>
    <w:rsid w:val="00313037"/>
    <w:rsid w:val="0031306B"/>
    <w:rsid w:val="003130F1"/>
    <w:rsid w:val="00313102"/>
    <w:rsid w:val="003131A8"/>
    <w:rsid w:val="003131AF"/>
    <w:rsid w:val="00313261"/>
    <w:rsid w:val="0031327C"/>
    <w:rsid w:val="0031329A"/>
    <w:rsid w:val="003132F4"/>
    <w:rsid w:val="00313340"/>
    <w:rsid w:val="00313376"/>
    <w:rsid w:val="00313384"/>
    <w:rsid w:val="003133DF"/>
    <w:rsid w:val="00313571"/>
    <w:rsid w:val="00313630"/>
    <w:rsid w:val="0031370B"/>
    <w:rsid w:val="00313717"/>
    <w:rsid w:val="00313839"/>
    <w:rsid w:val="00313843"/>
    <w:rsid w:val="00313AA6"/>
    <w:rsid w:val="00313B16"/>
    <w:rsid w:val="00313B77"/>
    <w:rsid w:val="00313BB2"/>
    <w:rsid w:val="00313BEE"/>
    <w:rsid w:val="00313BFD"/>
    <w:rsid w:val="00313C2A"/>
    <w:rsid w:val="00313C2C"/>
    <w:rsid w:val="00313CA2"/>
    <w:rsid w:val="00313D37"/>
    <w:rsid w:val="00313D6D"/>
    <w:rsid w:val="00313DD8"/>
    <w:rsid w:val="00313E4E"/>
    <w:rsid w:val="00313E5B"/>
    <w:rsid w:val="00313E95"/>
    <w:rsid w:val="00313EFC"/>
    <w:rsid w:val="00313FC5"/>
    <w:rsid w:val="0031404F"/>
    <w:rsid w:val="00314070"/>
    <w:rsid w:val="003140ED"/>
    <w:rsid w:val="00314103"/>
    <w:rsid w:val="00314108"/>
    <w:rsid w:val="00314155"/>
    <w:rsid w:val="0031422B"/>
    <w:rsid w:val="00314241"/>
    <w:rsid w:val="00314258"/>
    <w:rsid w:val="003142D8"/>
    <w:rsid w:val="00314322"/>
    <w:rsid w:val="00314375"/>
    <w:rsid w:val="003143AA"/>
    <w:rsid w:val="00314402"/>
    <w:rsid w:val="00314488"/>
    <w:rsid w:val="00314530"/>
    <w:rsid w:val="0031454F"/>
    <w:rsid w:val="00314584"/>
    <w:rsid w:val="003145DF"/>
    <w:rsid w:val="0031463B"/>
    <w:rsid w:val="0031464D"/>
    <w:rsid w:val="0031465F"/>
    <w:rsid w:val="00314693"/>
    <w:rsid w:val="003146E1"/>
    <w:rsid w:val="003146FA"/>
    <w:rsid w:val="00314841"/>
    <w:rsid w:val="00314848"/>
    <w:rsid w:val="003148A4"/>
    <w:rsid w:val="003148DB"/>
    <w:rsid w:val="0031490D"/>
    <w:rsid w:val="00314972"/>
    <w:rsid w:val="0031497D"/>
    <w:rsid w:val="0031497E"/>
    <w:rsid w:val="0031499A"/>
    <w:rsid w:val="003149DE"/>
    <w:rsid w:val="00314A89"/>
    <w:rsid w:val="00314B12"/>
    <w:rsid w:val="00314B13"/>
    <w:rsid w:val="00314BAC"/>
    <w:rsid w:val="00314BD2"/>
    <w:rsid w:val="00314D34"/>
    <w:rsid w:val="00314D71"/>
    <w:rsid w:val="00314DF4"/>
    <w:rsid w:val="00314E39"/>
    <w:rsid w:val="00314EA1"/>
    <w:rsid w:val="00314F24"/>
    <w:rsid w:val="00314F29"/>
    <w:rsid w:val="00314F66"/>
    <w:rsid w:val="00315023"/>
    <w:rsid w:val="00315088"/>
    <w:rsid w:val="003150D1"/>
    <w:rsid w:val="003150D4"/>
    <w:rsid w:val="003150FE"/>
    <w:rsid w:val="0031516F"/>
    <w:rsid w:val="0031524D"/>
    <w:rsid w:val="0031528F"/>
    <w:rsid w:val="003152DB"/>
    <w:rsid w:val="0031532A"/>
    <w:rsid w:val="0031532F"/>
    <w:rsid w:val="00315373"/>
    <w:rsid w:val="00315432"/>
    <w:rsid w:val="00315493"/>
    <w:rsid w:val="003154A8"/>
    <w:rsid w:val="00315567"/>
    <w:rsid w:val="0031558A"/>
    <w:rsid w:val="003155A6"/>
    <w:rsid w:val="003155AA"/>
    <w:rsid w:val="003155F1"/>
    <w:rsid w:val="0031563D"/>
    <w:rsid w:val="00315673"/>
    <w:rsid w:val="003156E3"/>
    <w:rsid w:val="0031577C"/>
    <w:rsid w:val="003157BB"/>
    <w:rsid w:val="003157E7"/>
    <w:rsid w:val="0031586E"/>
    <w:rsid w:val="003158D0"/>
    <w:rsid w:val="00315971"/>
    <w:rsid w:val="00315A0A"/>
    <w:rsid w:val="00315A5D"/>
    <w:rsid w:val="00315A88"/>
    <w:rsid w:val="00315B0F"/>
    <w:rsid w:val="00315BD3"/>
    <w:rsid w:val="00315BF9"/>
    <w:rsid w:val="00315C18"/>
    <w:rsid w:val="00315C6F"/>
    <w:rsid w:val="00315C8D"/>
    <w:rsid w:val="00315CD8"/>
    <w:rsid w:val="00315D1A"/>
    <w:rsid w:val="00315D68"/>
    <w:rsid w:val="00315D80"/>
    <w:rsid w:val="00315E9B"/>
    <w:rsid w:val="00315E9C"/>
    <w:rsid w:val="00315EA8"/>
    <w:rsid w:val="00315EB7"/>
    <w:rsid w:val="00315EC3"/>
    <w:rsid w:val="00315ECD"/>
    <w:rsid w:val="00315F46"/>
    <w:rsid w:val="00315F8B"/>
    <w:rsid w:val="00315F8F"/>
    <w:rsid w:val="00315FD0"/>
    <w:rsid w:val="00316125"/>
    <w:rsid w:val="003161E1"/>
    <w:rsid w:val="00316206"/>
    <w:rsid w:val="0031623D"/>
    <w:rsid w:val="003162D2"/>
    <w:rsid w:val="00316333"/>
    <w:rsid w:val="00316393"/>
    <w:rsid w:val="003163CE"/>
    <w:rsid w:val="0031643A"/>
    <w:rsid w:val="0031644C"/>
    <w:rsid w:val="003164AE"/>
    <w:rsid w:val="00316569"/>
    <w:rsid w:val="00316576"/>
    <w:rsid w:val="00316666"/>
    <w:rsid w:val="003166D4"/>
    <w:rsid w:val="003166ED"/>
    <w:rsid w:val="00316715"/>
    <w:rsid w:val="00316744"/>
    <w:rsid w:val="00316759"/>
    <w:rsid w:val="003167EA"/>
    <w:rsid w:val="0031682C"/>
    <w:rsid w:val="0031682E"/>
    <w:rsid w:val="00316835"/>
    <w:rsid w:val="003168AD"/>
    <w:rsid w:val="003168D6"/>
    <w:rsid w:val="003168D8"/>
    <w:rsid w:val="003169AB"/>
    <w:rsid w:val="003169DA"/>
    <w:rsid w:val="003169E0"/>
    <w:rsid w:val="00316A35"/>
    <w:rsid w:val="00316A92"/>
    <w:rsid w:val="00316AA9"/>
    <w:rsid w:val="00316C22"/>
    <w:rsid w:val="00316C24"/>
    <w:rsid w:val="00316C74"/>
    <w:rsid w:val="00316C8E"/>
    <w:rsid w:val="00316C8F"/>
    <w:rsid w:val="00316CCD"/>
    <w:rsid w:val="00316CFC"/>
    <w:rsid w:val="00316DC8"/>
    <w:rsid w:val="00316E3B"/>
    <w:rsid w:val="00316E9C"/>
    <w:rsid w:val="00316F5C"/>
    <w:rsid w:val="00316FC7"/>
    <w:rsid w:val="00316FE2"/>
    <w:rsid w:val="00317163"/>
    <w:rsid w:val="003171B9"/>
    <w:rsid w:val="003171DF"/>
    <w:rsid w:val="0031720C"/>
    <w:rsid w:val="003172B4"/>
    <w:rsid w:val="003173DB"/>
    <w:rsid w:val="00317490"/>
    <w:rsid w:val="00317544"/>
    <w:rsid w:val="003175BB"/>
    <w:rsid w:val="003176A9"/>
    <w:rsid w:val="003176D6"/>
    <w:rsid w:val="00317741"/>
    <w:rsid w:val="0031774F"/>
    <w:rsid w:val="003177C3"/>
    <w:rsid w:val="003177F7"/>
    <w:rsid w:val="0031785A"/>
    <w:rsid w:val="00317863"/>
    <w:rsid w:val="0031787A"/>
    <w:rsid w:val="00317907"/>
    <w:rsid w:val="00317996"/>
    <w:rsid w:val="00317A03"/>
    <w:rsid w:val="00317B04"/>
    <w:rsid w:val="00317B6E"/>
    <w:rsid w:val="00317BD2"/>
    <w:rsid w:val="00317BD3"/>
    <w:rsid w:val="00317C1D"/>
    <w:rsid w:val="00317C91"/>
    <w:rsid w:val="00317C98"/>
    <w:rsid w:val="00317CFB"/>
    <w:rsid w:val="00317DA7"/>
    <w:rsid w:val="00317DE9"/>
    <w:rsid w:val="00317E48"/>
    <w:rsid w:val="00317E70"/>
    <w:rsid w:val="00317E8C"/>
    <w:rsid w:val="00317F22"/>
    <w:rsid w:val="00317F70"/>
    <w:rsid w:val="00317FBF"/>
    <w:rsid w:val="003201D1"/>
    <w:rsid w:val="003201F0"/>
    <w:rsid w:val="00320230"/>
    <w:rsid w:val="00320237"/>
    <w:rsid w:val="00320275"/>
    <w:rsid w:val="0032028A"/>
    <w:rsid w:val="00320315"/>
    <w:rsid w:val="00320338"/>
    <w:rsid w:val="003203DC"/>
    <w:rsid w:val="0032044B"/>
    <w:rsid w:val="00320466"/>
    <w:rsid w:val="003204E1"/>
    <w:rsid w:val="003204FE"/>
    <w:rsid w:val="00320510"/>
    <w:rsid w:val="0032051C"/>
    <w:rsid w:val="003205C9"/>
    <w:rsid w:val="003205D6"/>
    <w:rsid w:val="003206B4"/>
    <w:rsid w:val="00320731"/>
    <w:rsid w:val="00320740"/>
    <w:rsid w:val="0032080B"/>
    <w:rsid w:val="0032091E"/>
    <w:rsid w:val="003209A0"/>
    <w:rsid w:val="003209E3"/>
    <w:rsid w:val="00320A76"/>
    <w:rsid w:val="00320B50"/>
    <w:rsid w:val="00320B5F"/>
    <w:rsid w:val="00320C20"/>
    <w:rsid w:val="00320C2C"/>
    <w:rsid w:val="00320D50"/>
    <w:rsid w:val="00320D65"/>
    <w:rsid w:val="00320D69"/>
    <w:rsid w:val="00320E38"/>
    <w:rsid w:val="00320F91"/>
    <w:rsid w:val="00320FA5"/>
    <w:rsid w:val="00320FDD"/>
    <w:rsid w:val="00320FF4"/>
    <w:rsid w:val="00321062"/>
    <w:rsid w:val="003211C8"/>
    <w:rsid w:val="003211DC"/>
    <w:rsid w:val="0032124F"/>
    <w:rsid w:val="0032125C"/>
    <w:rsid w:val="003212D7"/>
    <w:rsid w:val="00321371"/>
    <w:rsid w:val="003213CC"/>
    <w:rsid w:val="003213FC"/>
    <w:rsid w:val="0032142B"/>
    <w:rsid w:val="00321441"/>
    <w:rsid w:val="0032146B"/>
    <w:rsid w:val="003214E4"/>
    <w:rsid w:val="003214F3"/>
    <w:rsid w:val="00321505"/>
    <w:rsid w:val="00321519"/>
    <w:rsid w:val="00321523"/>
    <w:rsid w:val="0032155E"/>
    <w:rsid w:val="003215D2"/>
    <w:rsid w:val="00321721"/>
    <w:rsid w:val="003217EB"/>
    <w:rsid w:val="003218DE"/>
    <w:rsid w:val="0032194C"/>
    <w:rsid w:val="0032197C"/>
    <w:rsid w:val="00321994"/>
    <w:rsid w:val="003219AE"/>
    <w:rsid w:val="003219C0"/>
    <w:rsid w:val="00321A4D"/>
    <w:rsid w:val="00321B33"/>
    <w:rsid w:val="00321BDD"/>
    <w:rsid w:val="00321BF8"/>
    <w:rsid w:val="00321C11"/>
    <w:rsid w:val="00321C13"/>
    <w:rsid w:val="00321C58"/>
    <w:rsid w:val="00321C96"/>
    <w:rsid w:val="00321CB0"/>
    <w:rsid w:val="00321CBE"/>
    <w:rsid w:val="00321CEA"/>
    <w:rsid w:val="00321D20"/>
    <w:rsid w:val="00321D36"/>
    <w:rsid w:val="00321E65"/>
    <w:rsid w:val="00321E84"/>
    <w:rsid w:val="00321E9F"/>
    <w:rsid w:val="00321EBB"/>
    <w:rsid w:val="00321F2F"/>
    <w:rsid w:val="00321F5A"/>
    <w:rsid w:val="00322005"/>
    <w:rsid w:val="00322009"/>
    <w:rsid w:val="003220AA"/>
    <w:rsid w:val="003220D3"/>
    <w:rsid w:val="00322120"/>
    <w:rsid w:val="0032216B"/>
    <w:rsid w:val="003221D3"/>
    <w:rsid w:val="00322265"/>
    <w:rsid w:val="003222EF"/>
    <w:rsid w:val="00322316"/>
    <w:rsid w:val="00322336"/>
    <w:rsid w:val="0032238A"/>
    <w:rsid w:val="003223DA"/>
    <w:rsid w:val="0032244E"/>
    <w:rsid w:val="0032258A"/>
    <w:rsid w:val="0032258C"/>
    <w:rsid w:val="003225DC"/>
    <w:rsid w:val="003225FE"/>
    <w:rsid w:val="0032269B"/>
    <w:rsid w:val="00322775"/>
    <w:rsid w:val="0032282F"/>
    <w:rsid w:val="00322833"/>
    <w:rsid w:val="00322859"/>
    <w:rsid w:val="003228A0"/>
    <w:rsid w:val="003228BD"/>
    <w:rsid w:val="003229A9"/>
    <w:rsid w:val="00322A1F"/>
    <w:rsid w:val="00322A7B"/>
    <w:rsid w:val="00322AB3"/>
    <w:rsid w:val="00322AD7"/>
    <w:rsid w:val="00322AEB"/>
    <w:rsid w:val="00322B30"/>
    <w:rsid w:val="00322B71"/>
    <w:rsid w:val="00322BDA"/>
    <w:rsid w:val="00322BFD"/>
    <w:rsid w:val="00322C33"/>
    <w:rsid w:val="00322CF1"/>
    <w:rsid w:val="00322E08"/>
    <w:rsid w:val="00322EB4"/>
    <w:rsid w:val="00322EBB"/>
    <w:rsid w:val="00322EBD"/>
    <w:rsid w:val="00322F3D"/>
    <w:rsid w:val="00322F45"/>
    <w:rsid w:val="0032309E"/>
    <w:rsid w:val="003230AF"/>
    <w:rsid w:val="00323168"/>
    <w:rsid w:val="0032318A"/>
    <w:rsid w:val="00323192"/>
    <w:rsid w:val="003231D3"/>
    <w:rsid w:val="00323217"/>
    <w:rsid w:val="00323243"/>
    <w:rsid w:val="00323255"/>
    <w:rsid w:val="0032325D"/>
    <w:rsid w:val="00323272"/>
    <w:rsid w:val="00323276"/>
    <w:rsid w:val="003232E4"/>
    <w:rsid w:val="003234A0"/>
    <w:rsid w:val="003234B9"/>
    <w:rsid w:val="003234D7"/>
    <w:rsid w:val="0032357C"/>
    <w:rsid w:val="0032358B"/>
    <w:rsid w:val="00323596"/>
    <w:rsid w:val="0032359E"/>
    <w:rsid w:val="003235EB"/>
    <w:rsid w:val="003235F6"/>
    <w:rsid w:val="00323600"/>
    <w:rsid w:val="00323797"/>
    <w:rsid w:val="0032381A"/>
    <w:rsid w:val="003238A2"/>
    <w:rsid w:val="003238F3"/>
    <w:rsid w:val="0032390A"/>
    <w:rsid w:val="00323929"/>
    <w:rsid w:val="00323A32"/>
    <w:rsid w:val="00323A5B"/>
    <w:rsid w:val="00323ABC"/>
    <w:rsid w:val="00323AED"/>
    <w:rsid w:val="00323C61"/>
    <w:rsid w:val="00323C7E"/>
    <w:rsid w:val="00323CB7"/>
    <w:rsid w:val="00323D24"/>
    <w:rsid w:val="00323D70"/>
    <w:rsid w:val="00323D90"/>
    <w:rsid w:val="00323DD1"/>
    <w:rsid w:val="00323DE3"/>
    <w:rsid w:val="00323E2D"/>
    <w:rsid w:val="00323E2E"/>
    <w:rsid w:val="00323EC7"/>
    <w:rsid w:val="00323FC5"/>
    <w:rsid w:val="0032402B"/>
    <w:rsid w:val="00324039"/>
    <w:rsid w:val="00324066"/>
    <w:rsid w:val="00324074"/>
    <w:rsid w:val="003240B8"/>
    <w:rsid w:val="003240FA"/>
    <w:rsid w:val="00324114"/>
    <w:rsid w:val="00324182"/>
    <w:rsid w:val="00324190"/>
    <w:rsid w:val="00324214"/>
    <w:rsid w:val="00324288"/>
    <w:rsid w:val="003242AD"/>
    <w:rsid w:val="00324307"/>
    <w:rsid w:val="00324369"/>
    <w:rsid w:val="0032436F"/>
    <w:rsid w:val="003243F9"/>
    <w:rsid w:val="0032447B"/>
    <w:rsid w:val="00324496"/>
    <w:rsid w:val="003244D8"/>
    <w:rsid w:val="00324518"/>
    <w:rsid w:val="00324551"/>
    <w:rsid w:val="003245ED"/>
    <w:rsid w:val="003245FF"/>
    <w:rsid w:val="0032464D"/>
    <w:rsid w:val="00324657"/>
    <w:rsid w:val="003246FA"/>
    <w:rsid w:val="00324730"/>
    <w:rsid w:val="00324742"/>
    <w:rsid w:val="00324770"/>
    <w:rsid w:val="00324810"/>
    <w:rsid w:val="00324820"/>
    <w:rsid w:val="00324874"/>
    <w:rsid w:val="00324A63"/>
    <w:rsid w:val="00324AA2"/>
    <w:rsid w:val="00324AC1"/>
    <w:rsid w:val="00324AFB"/>
    <w:rsid w:val="00324B15"/>
    <w:rsid w:val="00324B7C"/>
    <w:rsid w:val="00324BDD"/>
    <w:rsid w:val="00324BF4"/>
    <w:rsid w:val="00324C24"/>
    <w:rsid w:val="00324C27"/>
    <w:rsid w:val="00324D1D"/>
    <w:rsid w:val="00324D20"/>
    <w:rsid w:val="00324D74"/>
    <w:rsid w:val="00324E1B"/>
    <w:rsid w:val="00324EDB"/>
    <w:rsid w:val="00324EFA"/>
    <w:rsid w:val="00324F1A"/>
    <w:rsid w:val="00324F38"/>
    <w:rsid w:val="00324FC8"/>
    <w:rsid w:val="00325085"/>
    <w:rsid w:val="0032509F"/>
    <w:rsid w:val="003250D0"/>
    <w:rsid w:val="00325108"/>
    <w:rsid w:val="0032514A"/>
    <w:rsid w:val="003251B7"/>
    <w:rsid w:val="00325350"/>
    <w:rsid w:val="003253DA"/>
    <w:rsid w:val="003253E8"/>
    <w:rsid w:val="0032541C"/>
    <w:rsid w:val="00325488"/>
    <w:rsid w:val="003254B1"/>
    <w:rsid w:val="00325636"/>
    <w:rsid w:val="00325699"/>
    <w:rsid w:val="0032572D"/>
    <w:rsid w:val="003257CB"/>
    <w:rsid w:val="0032582A"/>
    <w:rsid w:val="00325899"/>
    <w:rsid w:val="0032595A"/>
    <w:rsid w:val="0032595F"/>
    <w:rsid w:val="0032597F"/>
    <w:rsid w:val="003259F2"/>
    <w:rsid w:val="00325A02"/>
    <w:rsid w:val="00325A09"/>
    <w:rsid w:val="00325A0C"/>
    <w:rsid w:val="00325A25"/>
    <w:rsid w:val="00325A35"/>
    <w:rsid w:val="00325B38"/>
    <w:rsid w:val="00325B9F"/>
    <w:rsid w:val="00325BAF"/>
    <w:rsid w:val="00325BDF"/>
    <w:rsid w:val="00325C22"/>
    <w:rsid w:val="00325D35"/>
    <w:rsid w:val="00325D9F"/>
    <w:rsid w:val="00325E30"/>
    <w:rsid w:val="00325E4A"/>
    <w:rsid w:val="00325E92"/>
    <w:rsid w:val="00326036"/>
    <w:rsid w:val="00326037"/>
    <w:rsid w:val="00326074"/>
    <w:rsid w:val="00326086"/>
    <w:rsid w:val="003260DA"/>
    <w:rsid w:val="00326111"/>
    <w:rsid w:val="0032614E"/>
    <w:rsid w:val="00326185"/>
    <w:rsid w:val="00326224"/>
    <w:rsid w:val="0032636D"/>
    <w:rsid w:val="003263A9"/>
    <w:rsid w:val="003264A3"/>
    <w:rsid w:val="003264A6"/>
    <w:rsid w:val="0032650A"/>
    <w:rsid w:val="00326524"/>
    <w:rsid w:val="00326582"/>
    <w:rsid w:val="003265C3"/>
    <w:rsid w:val="0032668D"/>
    <w:rsid w:val="003266E0"/>
    <w:rsid w:val="0032678A"/>
    <w:rsid w:val="003267C2"/>
    <w:rsid w:val="0032683A"/>
    <w:rsid w:val="0032684F"/>
    <w:rsid w:val="00326877"/>
    <w:rsid w:val="003268B7"/>
    <w:rsid w:val="003268D4"/>
    <w:rsid w:val="00326910"/>
    <w:rsid w:val="00326983"/>
    <w:rsid w:val="003269D4"/>
    <w:rsid w:val="003269EC"/>
    <w:rsid w:val="00326AA3"/>
    <w:rsid w:val="00326B11"/>
    <w:rsid w:val="00326B2D"/>
    <w:rsid w:val="00326C7E"/>
    <w:rsid w:val="00326CAD"/>
    <w:rsid w:val="00326CBD"/>
    <w:rsid w:val="00326D75"/>
    <w:rsid w:val="00326D89"/>
    <w:rsid w:val="00326DF5"/>
    <w:rsid w:val="00326E5E"/>
    <w:rsid w:val="00326EB8"/>
    <w:rsid w:val="00326EC3"/>
    <w:rsid w:val="00326FA3"/>
    <w:rsid w:val="00326FB6"/>
    <w:rsid w:val="00326FEF"/>
    <w:rsid w:val="003271E7"/>
    <w:rsid w:val="003271F1"/>
    <w:rsid w:val="0032721F"/>
    <w:rsid w:val="0032722C"/>
    <w:rsid w:val="00327241"/>
    <w:rsid w:val="00327293"/>
    <w:rsid w:val="003272C5"/>
    <w:rsid w:val="003272F6"/>
    <w:rsid w:val="00327324"/>
    <w:rsid w:val="003273B8"/>
    <w:rsid w:val="0032740F"/>
    <w:rsid w:val="00327425"/>
    <w:rsid w:val="00327691"/>
    <w:rsid w:val="003276A1"/>
    <w:rsid w:val="003276DD"/>
    <w:rsid w:val="003276E6"/>
    <w:rsid w:val="003276F7"/>
    <w:rsid w:val="003277CC"/>
    <w:rsid w:val="00327975"/>
    <w:rsid w:val="003279D0"/>
    <w:rsid w:val="003279FF"/>
    <w:rsid w:val="00327A0B"/>
    <w:rsid w:val="00327A3E"/>
    <w:rsid w:val="00327A4E"/>
    <w:rsid w:val="00327A7F"/>
    <w:rsid w:val="00327A8D"/>
    <w:rsid w:val="00327AFF"/>
    <w:rsid w:val="00327BF6"/>
    <w:rsid w:val="00327C71"/>
    <w:rsid w:val="00327CFB"/>
    <w:rsid w:val="00327D14"/>
    <w:rsid w:val="00327D26"/>
    <w:rsid w:val="00327D79"/>
    <w:rsid w:val="00327F2A"/>
    <w:rsid w:val="00327F6E"/>
    <w:rsid w:val="00327FE5"/>
    <w:rsid w:val="00327FFB"/>
    <w:rsid w:val="00330056"/>
    <w:rsid w:val="003300D9"/>
    <w:rsid w:val="00330104"/>
    <w:rsid w:val="00330179"/>
    <w:rsid w:val="003301A2"/>
    <w:rsid w:val="003301B6"/>
    <w:rsid w:val="003301CF"/>
    <w:rsid w:val="003302E7"/>
    <w:rsid w:val="00330300"/>
    <w:rsid w:val="003303C2"/>
    <w:rsid w:val="003303C3"/>
    <w:rsid w:val="003303C9"/>
    <w:rsid w:val="003303D8"/>
    <w:rsid w:val="003303E3"/>
    <w:rsid w:val="003303F7"/>
    <w:rsid w:val="00330410"/>
    <w:rsid w:val="0033049D"/>
    <w:rsid w:val="0033050C"/>
    <w:rsid w:val="0033054B"/>
    <w:rsid w:val="00330564"/>
    <w:rsid w:val="00330581"/>
    <w:rsid w:val="00330657"/>
    <w:rsid w:val="0033068F"/>
    <w:rsid w:val="003306ED"/>
    <w:rsid w:val="0033073B"/>
    <w:rsid w:val="00330893"/>
    <w:rsid w:val="00330925"/>
    <w:rsid w:val="00330927"/>
    <w:rsid w:val="0033092C"/>
    <w:rsid w:val="00330953"/>
    <w:rsid w:val="0033095E"/>
    <w:rsid w:val="00330A10"/>
    <w:rsid w:val="00330A23"/>
    <w:rsid w:val="00330A52"/>
    <w:rsid w:val="00330B44"/>
    <w:rsid w:val="00330BA8"/>
    <w:rsid w:val="00330BC4"/>
    <w:rsid w:val="00330BCF"/>
    <w:rsid w:val="00330C0A"/>
    <w:rsid w:val="00330C2F"/>
    <w:rsid w:val="00330C39"/>
    <w:rsid w:val="00330C59"/>
    <w:rsid w:val="00330C84"/>
    <w:rsid w:val="00330CB4"/>
    <w:rsid w:val="00330CDD"/>
    <w:rsid w:val="00330CE8"/>
    <w:rsid w:val="00330D06"/>
    <w:rsid w:val="00330D36"/>
    <w:rsid w:val="00330D76"/>
    <w:rsid w:val="00330D90"/>
    <w:rsid w:val="00330D9C"/>
    <w:rsid w:val="00330DCF"/>
    <w:rsid w:val="00330DFE"/>
    <w:rsid w:val="00330E36"/>
    <w:rsid w:val="00330E53"/>
    <w:rsid w:val="00330E75"/>
    <w:rsid w:val="00330E85"/>
    <w:rsid w:val="00330F5B"/>
    <w:rsid w:val="00330F93"/>
    <w:rsid w:val="00330FEB"/>
    <w:rsid w:val="0033106C"/>
    <w:rsid w:val="0033107D"/>
    <w:rsid w:val="00331092"/>
    <w:rsid w:val="003310C7"/>
    <w:rsid w:val="00331125"/>
    <w:rsid w:val="00331148"/>
    <w:rsid w:val="0033114E"/>
    <w:rsid w:val="00331236"/>
    <w:rsid w:val="003313EB"/>
    <w:rsid w:val="00331446"/>
    <w:rsid w:val="003314A7"/>
    <w:rsid w:val="0033157D"/>
    <w:rsid w:val="003315A0"/>
    <w:rsid w:val="003315C5"/>
    <w:rsid w:val="0033170E"/>
    <w:rsid w:val="00331759"/>
    <w:rsid w:val="003317AF"/>
    <w:rsid w:val="003317EF"/>
    <w:rsid w:val="00331826"/>
    <w:rsid w:val="00331912"/>
    <w:rsid w:val="00331972"/>
    <w:rsid w:val="00331A93"/>
    <w:rsid w:val="00331B9F"/>
    <w:rsid w:val="00331BD4"/>
    <w:rsid w:val="00331C59"/>
    <w:rsid w:val="00331C73"/>
    <w:rsid w:val="00331CCF"/>
    <w:rsid w:val="00331CD5"/>
    <w:rsid w:val="00331D02"/>
    <w:rsid w:val="00331EE2"/>
    <w:rsid w:val="00331F56"/>
    <w:rsid w:val="00331FD3"/>
    <w:rsid w:val="00331FDB"/>
    <w:rsid w:val="00331FDC"/>
    <w:rsid w:val="003320EA"/>
    <w:rsid w:val="00332137"/>
    <w:rsid w:val="0033214F"/>
    <w:rsid w:val="003321A3"/>
    <w:rsid w:val="00332242"/>
    <w:rsid w:val="003322DF"/>
    <w:rsid w:val="00332390"/>
    <w:rsid w:val="00332393"/>
    <w:rsid w:val="003323C0"/>
    <w:rsid w:val="00332439"/>
    <w:rsid w:val="003325A3"/>
    <w:rsid w:val="00332601"/>
    <w:rsid w:val="0033268C"/>
    <w:rsid w:val="003326CC"/>
    <w:rsid w:val="0033279D"/>
    <w:rsid w:val="00332808"/>
    <w:rsid w:val="003328F7"/>
    <w:rsid w:val="0033294F"/>
    <w:rsid w:val="0033298D"/>
    <w:rsid w:val="003329C8"/>
    <w:rsid w:val="00332A22"/>
    <w:rsid w:val="00332A51"/>
    <w:rsid w:val="00332AC2"/>
    <w:rsid w:val="00332AC8"/>
    <w:rsid w:val="00332B3E"/>
    <w:rsid w:val="00332B57"/>
    <w:rsid w:val="00332B6F"/>
    <w:rsid w:val="00332B88"/>
    <w:rsid w:val="00332BE6"/>
    <w:rsid w:val="00332CC5"/>
    <w:rsid w:val="00332D37"/>
    <w:rsid w:val="00332DDF"/>
    <w:rsid w:val="00332DEE"/>
    <w:rsid w:val="00332E1D"/>
    <w:rsid w:val="00332E86"/>
    <w:rsid w:val="00332E8E"/>
    <w:rsid w:val="00332E8F"/>
    <w:rsid w:val="00332EA3"/>
    <w:rsid w:val="00332EBE"/>
    <w:rsid w:val="00332EEB"/>
    <w:rsid w:val="00332F00"/>
    <w:rsid w:val="00332F25"/>
    <w:rsid w:val="00332F63"/>
    <w:rsid w:val="00332F71"/>
    <w:rsid w:val="00332F7D"/>
    <w:rsid w:val="00332FAD"/>
    <w:rsid w:val="00333046"/>
    <w:rsid w:val="003330B8"/>
    <w:rsid w:val="003330E1"/>
    <w:rsid w:val="00333142"/>
    <w:rsid w:val="00333163"/>
    <w:rsid w:val="00333245"/>
    <w:rsid w:val="00333286"/>
    <w:rsid w:val="003332D1"/>
    <w:rsid w:val="003332DA"/>
    <w:rsid w:val="0033334C"/>
    <w:rsid w:val="0033339B"/>
    <w:rsid w:val="003333BB"/>
    <w:rsid w:val="00333434"/>
    <w:rsid w:val="00333487"/>
    <w:rsid w:val="00333530"/>
    <w:rsid w:val="0033353C"/>
    <w:rsid w:val="00333578"/>
    <w:rsid w:val="003336CC"/>
    <w:rsid w:val="003336DE"/>
    <w:rsid w:val="00333719"/>
    <w:rsid w:val="0033382D"/>
    <w:rsid w:val="0033389F"/>
    <w:rsid w:val="003338FE"/>
    <w:rsid w:val="00333923"/>
    <w:rsid w:val="0033394B"/>
    <w:rsid w:val="00333983"/>
    <w:rsid w:val="00333A73"/>
    <w:rsid w:val="00333AD3"/>
    <w:rsid w:val="00333B7B"/>
    <w:rsid w:val="00333C41"/>
    <w:rsid w:val="00333C57"/>
    <w:rsid w:val="00333C78"/>
    <w:rsid w:val="00333CAA"/>
    <w:rsid w:val="00333CED"/>
    <w:rsid w:val="00333D1E"/>
    <w:rsid w:val="00333D53"/>
    <w:rsid w:val="00333DA0"/>
    <w:rsid w:val="00333DD1"/>
    <w:rsid w:val="00333E74"/>
    <w:rsid w:val="00333EE2"/>
    <w:rsid w:val="00333F5B"/>
    <w:rsid w:val="0033414C"/>
    <w:rsid w:val="00334200"/>
    <w:rsid w:val="00334233"/>
    <w:rsid w:val="00334241"/>
    <w:rsid w:val="00334276"/>
    <w:rsid w:val="00334279"/>
    <w:rsid w:val="0033429B"/>
    <w:rsid w:val="003342C4"/>
    <w:rsid w:val="003342E1"/>
    <w:rsid w:val="003343B3"/>
    <w:rsid w:val="0033442A"/>
    <w:rsid w:val="00334460"/>
    <w:rsid w:val="003344A5"/>
    <w:rsid w:val="00334512"/>
    <w:rsid w:val="0033458F"/>
    <w:rsid w:val="003345A0"/>
    <w:rsid w:val="00334604"/>
    <w:rsid w:val="00334606"/>
    <w:rsid w:val="0033468A"/>
    <w:rsid w:val="003346E1"/>
    <w:rsid w:val="0033471E"/>
    <w:rsid w:val="0033479C"/>
    <w:rsid w:val="003347CC"/>
    <w:rsid w:val="003347FC"/>
    <w:rsid w:val="0033489E"/>
    <w:rsid w:val="00334926"/>
    <w:rsid w:val="00334986"/>
    <w:rsid w:val="0033499D"/>
    <w:rsid w:val="003349C3"/>
    <w:rsid w:val="00334A04"/>
    <w:rsid w:val="00334A1E"/>
    <w:rsid w:val="00334A29"/>
    <w:rsid w:val="00334B08"/>
    <w:rsid w:val="00334B1A"/>
    <w:rsid w:val="00334B3A"/>
    <w:rsid w:val="00334B50"/>
    <w:rsid w:val="00334BF4"/>
    <w:rsid w:val="00334C2C"/>
    <w:rsid w:val="00334C42"/>
    <w:rsid w:val="00334CA4"/>
    <w:rsid w:val="00334CE6"/>
    <w:rsid w:val="00334CF2"/>
    <w:rsid w:val="00334D7B"/>
    <w:rsid w:val="00334DAD"/>
    <w:rsid w:val="00334E61"/>
    <w:rsid w:val="00334EA9"/>
    <w:rsid w:val="00334F74"/>
    <w:rsid w:val="00334FDA"/>
    <w:rsid w:val="00335016"/>
    <w:rsid w:val="00335049"/>
    <w:rsid w:val="0033504F"/>
    <w:rsid w:val="0033507B"/>
    <w:rsid w:val="0033511C"/>
    <w:rsid w:val="0033512D"/>
    <w:rsid w:val="003353EB"/>
    <w:rsid w:val="003353F3"/>
    <w:rsid w:val="00335407"/>
    <w:rsid w:val="003354AA"/>
    <w:rsid w:val="00335622"/>
    <w:rsid w:val="00335771"/>
    <w:rsid w:val="003357C9"/>
    <w:rsid w:val="003357CB"/>
    <w:rsid w:val="00335800"/>
    <w:rsid w:val="00335803"/>
    <w:rsid w:val="00335863"/>
    <w:rsid w:val="003358F5"/>
    <w:rsid w:val="0033591C"/>
    <w:rsid w:val="00335953"/>
    <w:rsid w:val="0033595E"/>
    <w:rsid w:val="00335971"/>
    <w:rsid w:val="00335A21"/>
    <w:rsid w:val="00335A80"/>
    <w:rsid w:val="00335A99"/>
    <w:rsid w:val="00335B2A"/>
    <w:rsid w:val="00335B70"/>
    <w:rsid w:val="00335BC8"/>
    <w:rsid w:val="00335BF6"/>
    <w:rsid w:val="00335C00"/>
    <w:rsid w:val="00335C08"/>
    <w:rsid w:val="00335D24"/>
    <w:rsid w:val="00335D2B"/>
    <w:rsid w:val="00335D53"/>
    <w:rsid w:val="00335E40"/>
    <w:rsid w:val="00335E6D"/>
    <w:rsid w:val="00335E77"/>
    <w:rsid w:val="00335EAC"/>
    <w:rsid w:val="00335EE5"/>
    <w:rsid w:val="00335F13"/>
    <w:rsid w:val="00335F4A"/>
    <w:rsid w:val="00335FAA"/>
    <w:rsid w:val="00335FC9"/>
    <w:rsid w:val="00336013"/>
    <w:rsid w:val="003360AB"/>
    <w:rsid w:val="003360E1"/>
    <w:rsid w:val="003361B9"/>
    <w:rsid w:val="003362D0"/>
    <w:rsid w:val="0033630B"/>
    <w:rsid w:val="00336385"/>
    <w:rsid w:val="003363DC"/>
    <w:rsid w:val="00336421"/>
    <w:rsid w:val="00336430"/>
    <w:rsid w:val="00336440"/>
    <w:rsid w:val="003364C0"/>
    <w:rsid w:val="003364C2"/>
    <w:rsid w:val="003364D1"/>
    <w:rsid w:val="003364E4"/>
    <w:rsid w:val="00336521"/>
    <w:rsid w:val="00336617"/>
    <w:rsid w:val="003366D4"/>
    <w:rsid w:val="00336707"/>
    <w:rsid w:val="0033680D"/>
    <w:rsid w:val="00336835"/>
    <w:rsid w:val="00336839"/>
    <w:rsid w:val="00336903"/>
    <w:rsid w:val="00336906"/>
    <w:rsid w:val="00336986"/>
    <w:rsid w:val="00336A37"/>
    <w:rsid w:val="00336A57"/>
    <w:rsid w:val="00336A65"/>
    <w:rsid w:val="00336A9A"/>
    <w:rsid w:val="00336ABB"/>
    <w:rsid w:val="00336AD0"/>
    <w:rsid w:val="00336C32"/>
    <w:rsid w:val="00336C44"/>
    <w:rsid w:val="00336D4B"/>
    <w:rsid w:val="00336DA9"/>
    <w:rsid w:val="00336DE5"/>
    <w:rsid w:val="00336DE8"/>
    <w:rsid w:val="00336E34"/>
    <w:rsid w:val="00336E6E"/>
    <w:rsid w:val="00336F82"/>
    <w:rsid w:val="00336F92"/>
    <w:rsid w:val="0033708F"/>
    <w:rsid w:val="00337098"/>
    <w:rsid w:val="0033709F"/>
    <w:rsid w:val="003370FE"/>
    <w:rsid w:val="0033710F"/>
    <w:rsid w:val="00337112"/>
    <w:rsid w:val="0033714E"/>
    <w:rsid w:val="00337158"/>
    <w:rsid w:val="003371C1"/>
    <w:rsid w:val="0033723A"/>
    <w:rsid w:val="0033724A"/>
    <w:rsid w:val="003372AC"/>
    <w:rsid w:val="003372B7"/>
    <w:rsid w:val="003372DC"/>
    <w:rsid w:val="003372ED"/>
    <w:rsid w:val="00337315"/>
    <w:rsid w:val="00337354"/>
    <w:rsid w:val="00337395"/>
    <w:rsid w:val="0033743F"/>
    <w:rsid w:val="003374A5"/>
    <w:rsid w:val="003374DD"/>
    <w:rsid w:val="00337526"/>
    <w:rsid w:val="0033754C"/>
    <w:rsid w:val="00337572"/>
    <w:rsid w:val="00337578"/>
    <w:rsid w:val="00337594"/>
    <w:rsid w:val="003375B0"/>
    <w:rsid w:val="003375E5"/>
    <w:rsid w:val="00337600"/>
    <w:rsid w:val="00337667"/>
    <w:rsid w:val="00337767"/>
    <w:rsid w:val="00337885"/>
    <w:rsid w:val="003379D7"/>
    <w:rsid w:val="00337BED"/>
    <w:rsid w:val="00337C76"/>
    <w:rsid w:val="00337CC8"/>
    <w:rsid w:val="00337CD7"/>
    <w:rsid w:val="00337D6A"/>
    <w:rsid w:val="00337DBB"/>
    <w:rsid w:val="00337E1B"/>
    <w:rsid w:val="00337E66"/>
    <w:rsid w:val="00337F76"/>
    <w:rsid w:val="00337FEA"/>
    <w:rsid w:val="00337FF5"/>
    <w:rsid w:val="00340004"/>
    <w:rsid w:val="00340005"/>
    <w:rsid w:val="0034002E"/>
    <w:rsid w:val="00340035"/>
    <w:rsid w:val="0034005D"/>
    <w:rsid w:val="00340072"/>
    <w:rsid w:val="003400EE"/>
    <w:rsid w:val="00340149"/>
    <w:rsid w:val="003401DB"/>
    <w:rsid w:val="003401F9"/>
    <w:rsid w:val="0034029C"/>
    <w:rsid w:val="0034033B"/>
    <w:rsid w:val="0034036E"/>
    <w:rsid w:val="0034038B"/>
    <w:rsid w:val="003403F9"/>
    <w:rsid w:val="00340443"/>
    <w:rsid w:val="0034050C"/>
    <w:rsid w:val="00340566"/>
    <w:rsid w:val="00340583"/>
    <w:rsid w:val="0034060B"/>
    <w:rsid w:val="0034061A"/>
    <w:rsid w:val="0034061C"/>
    <w:rsid w:val="00340625"/>
    <w:rsid w:val="0034062D"/>
    <w:rsid w:val="00340645"/>
    <w:rsid w:val="0034065A"/>
    <w:rsid w:val="003407ED"/>
    <w:rsid w:val="00340835"/>
    <w:rsid w:val="003408E8"/>
    <w:rsid w:val="003408ED"/>
    <w:rsid w:val="00340985"/>
    <w:rsid w:val="0034099F"/>
    <w:rsid w:val="003409DE"/>
    <w:rsid w:val="00340A43"/>
    <w:rsid w:val="00340A58"/>
    <w:rsid w:val="00340AB4"/>
    <w:rsid w:val="00340AC6"/>
    <w:rsid w:val="00340B3D"/>
    <w:rsid w:val="00340B40"/>
    <w:rsid w:val="00340B5B"/>
    <w:rsid w:val="00340B72"/>
    <w:rsid w:val="00340CCE"/>
    <w:rsid w:val="00340CF9"/>
    <w:rsid w:val="00340D49"/>
    <w:rsid w:val="00340D7D"/>
    <w:rsid w:val="00340DB6"/>
    <w:rsid w:val="00340DE5"/>
    <w:rsid w:val="00340EAD"/>
    <w:rsid w:val="00340EB1"/>
    <w:rsid w:val="00340F00"/>
    <w:rsid w:val="00340F72"/>
    <w:rsid w:val="0034106E"/>
    <w:rsid w:val="00341079"/>
    <w:rsid w:val="003410A5"/>
    <w:rsid w:val="00341104"/>
    <w:rsid w:val="00341160"/>
    <w:rsid w:val="00341212"/>
    <w:rsid w:val="0034122F"/>
    <w:rsid w:val="003412F4"/>
    <w:rsid w:val="0034139E"/>
    <w:rsid w:val="00341432"/>
    <w:rsid w:val="0034148E"/>
    <w:rsid w:val="003414C2"/>
    <w:rsid w:val="00341500"/>
    <w:rsid w:val="0034162C"/>
    <w:rsid w:val="003416B9"/>
    <w:rsid w:val="003417AD"/>
    <w:rsid w:val="00341897"/>
    <w:rsid w:val="003418BD"/>
    <w:rsid w:val="0034190B"/>
    <w:rsid w:val="00341911"/>
    <w:rsid w:val="00341929"/>
    <w:rsid w:val="0034192F"/>
    <w:rsid w:val="00341931"/>
    <w:rsid w:val="003419DC"/>
    <w:rsid w:val="00341ADB"/>
    <w:rsid w:val="00341B04"/>
    <w:rsid w:val="00341B31"/>
    <w:rsid w:val="00341BB7"/>
    <w:rsid w:val="00341C04"/>
    <w:rsid w:val="00341C4F"/>
    <w:rsid w:val="00341CA3"/>
    <w:rsid w:val="00341D4C"/>
    <w:rsid w:val="00341D59"/>
    <w:rsid w:val="00341DF3"/>
    <w:rsid w:val="00341E49"/>
    <w:rsid w:val="00341E88"/>
    <w:rsid w:val="00341EA4"/>
    <w:rsid w:val="00341EAD"/>
    <w:rsid w:val="00341EE2"/>
    <w:rsid w:val="00341F24"/>
    <w:rsid w:val="00341F2D"/>
    <w:rsid w:val="00341F48"/>
    <w:rsid w:val="00341FE1"/>
    <w:rsid w:val="00341FFD"/>
    <w:rsid w:val="00342011"/>
    <w:rsid w:val="00342083"/>
    <w:rsid w:val="0034211C"/>
    <w:rsid w:val="00342148"/>
    <w:rsid w:val="003421A0"/>
    <w:rsid w:val="00342202"/>
    <w:rsid w:val="00342223"/>
    <w:rsid w:val="0034225C"/>
    <w:rsid w:val="00342302"/>
    <w:rsid w:val="0034237F"/>
    <w:rsid w:val="00342385"/>
    <w:rsid w:val="003423ED"/>
    <w:rsid w:val="00342470"/>
    <w:rsid w:val="0034248B"/>
    <w:rsid w:val="003424C3"/>
    <w:rsid w:val="003424EB"/>
    <w:rsid w:val="0034254C"/>
    <w:rsid w:val="003425F3"/>
    <w:rsid w:val="00342609"/>
    <w:rsid w:val="0034263B"/>
    <w:rsid w:val="0034265D"/>
    <w:rsid w:val="003426D4"/>
    <w:rsid w:val="0034273C"/>
    <w:rsid w:val="003427E1"/>
    <w:rsid w:val="0034281E"/>
    <w:rsid w:val="00342828"/>
    <w:rsid w:val="00342839"/>
    <w:rsid w:val="003428DE"/>
    <w:rsid w:val="00342904"/>
    <w:rsid w:val="0034295A"/>
    <w:rsid w:val="003429E4"/>
    <w:rsid w:val="003429E9"/>
    <w:rsid w:val="00342A3F"/>
    <w:rsid w:val="00342AEE"/>
    <w:rsid w:val="00342B22"/>
    <w:rsid w:val="00342B30"/>
    <w:rsid w:val="00342BEC"/>
    <w:rsid w:val="00342BF1"/>
    <w:rsid w:val="00342C0D"/>
    <w:rsid w:val="00342D2C"/>
    <w:rsid w:val="00342D3D"/>
    <w:rsid w:val="00342DE3"/>
    <w:rsid w:val="00342DE5"/>
    <w:rsid w:val="00342EE9"/>
    <w:rsid w:val="00342F22"/>
    <w:rsid w:val="00342FC4"/>
    <w:rsid w:val="00343034"/>
    <w:rsid w:val="003430FD"/>
    <w:rsid w:val="003431C4"/>
    <w:rsid w:val="003431C9"/>
    <w:rsid w:val="003432FA"/>
    <w:rsid w:val="003432FF"/>
    <w:rsid w:val="00343413"/>
    <w:rsid w:val="0034342A"/>
    <w:rsid w:val="00343437"/>
    <w:rsid w:val="0034346D"/>
    <w:rsid w:val="00343479"/>
    <w:rsid w:val="00343495"/>
    <w:rsid w:val="003434EA"/>
    <w:rsid w:val="003435B9"/>
    <w:rsid w:val="0034368F"/>
    <w:rsid w:val="00343763"/>
    <w:rsid w:val="003437AD"/>
    <w:rsid w:val="00343937"/>
    <w:rsid w:val="00343945"/>
    <w:rsid w:val="00343960"/>
    <w:rsid w:val="003439F5"/>
    <w:rsid w:val="00343A96"/>
    <w:rsid w:val="00343ADB"/>
    <w:rsid w:val="00343ADD"/>
    <w:rsid w:val="00343AEF"/>
    <w:rsid w:val="00343B19"/>
    <w:rsid w:val="00343B98"/>
    <w:rsid w:val="00343BA9"/>
    <w:rsid w:val="00343BBC"/>
    <w:rsid w:val="00343BBD"/>
    <w:rsid w:val="00343BFB"/>
    <w:rsid w:val="00343C0E"/>
    <w:rsid w:val="00343D3D"/>
    <w:rsid w:val="00343D63"/>
    <w:rsid w:val="00343D7A"/>
    <w:rsid w:val="00343D9D"/>
    <w:rsid w:val="00343DC2"/>
    <w:rsid w:val="00343E33"/>
    <w:rsid w:val="00343E3B"/>
    <w:rsid w:val="00343E9E"/>
    <w:rsid w:val="00343EA1"/>
    <w:rsid w:val="00343FD7"/>
    <w:rsid w:val="00343FF0"/>
    <w:rsid w:val="00344047"/>
    <w:rsid w:val="00344049"/>
    <w:rsid w:val="00344054"/>
    <w:rsid w:val="00344129"/>
    <w:rsid w:val="003441A5"/>
    <w:rsid w:val="00344235"/>
    <w:rsid w:val="0034427B"/>
    <w:rsid w:val="00344280"/>
    <w:rsid w:val="003442B0"/>
    <w:rsid w:val="003442C3"/>
    <w:rsid w:val="003442F1"/>
    <w:rsid w:val="0034431B"/>
    <w:rsid w:val="003443B1"/>
    <w:rsid w:val="003443B6"/>
    <w:rsid w:val="003443C7"/>
    <w:rsid w:val="003443F5"/>
    <w:rsid w:val="00344481"/>
    <w:rsid w:val="00344515"/>
    <w:rsid w:val="0034451F"/>
    <w:rsid w:val="00344558"/>
    <w:rsid w:val="0034456B"/>
    <w:rsid w:val="003445FB"/>
    <w:rsid w:val="00344641"/>
    <w:rsid w:val="003446DB"/>
    <w:rsid w:val="0034473C"/>
    <w:rsid w:val="00344789"/>
    <w:rsid w:val="00344793"/>
    <w:rsid w:val="003447A2"/>
    <w:rsid w:val="003447BD"/>
    <w:rsid w:val="003447F0"/>
    <w:rsid w:val="00344872"/>
    <w:rsid w:val="0034493E"/>
    <w:rsid w:val="00344A12"/>
    <w:rsid w:val="00344AE6"/>
    <w:rsid w:val="00344B30"/>
    <w:rsid w:val="00344C64"/>
    <w:rsid w:val="00344C67"/>
    <w:rsid w:val="00344C6D"/>
    <w:rsid w:val="00344CE1"/>
    <w:rsid w:val="00344D10"/>
    <w:rsid w:val="00344D33"/>
    <w:rsid w:val="00344DA0"/>
    <w:rsid w:val="00344DA7"/>
    <w:rsid w:val="00344E7D"/>
    <w:rsid w:val="00344F15"/>
    <w:rsid w:val="00344F32"/>
    <w:rsid w:val="00344F5F"/>
    <w:rsid w:val="00344F80"/>
    <w:rsid w:val="0034500C"/>
    <w:rsid w:val="00345010"/>
    <w:rsid w:val="0034505C"/>
    <w:rsid w:val="0034508A"/>
    <w:rsid w:val="003450CB"/>
    <w:rsid w:val="00345120"/>
    <w:rsid w:val="00345133"/>
    <w:rsid w:val="00345158"/>
    <w:rsid w:val="0034515E"/>
    <w:rsid w:val="00345185"/>
    <w:rsid w:val="003451C9"/>
    <w:rsid w:val="003451E4"/>
    <w:rsid w:val="003451EF"/>
    <w:rsid w:val="00345308"/>
    <w:rsid w:val="00345356"/>
    <w:rsid w:val="00345408"/>
    <w:rsid w:val="0034544C"/>
    <w:rsid w:val="003454AC"/>
    <w:rsid w:val="003454B4"/>
    <w:rsid w:val="003454EA"/>
    <w:rsid w:val="003454F5"/>
    <w:rsid w:val="0034552E"/>
    <w:rsid w:val="0034558F"/>
    <w:rsid w:val="003455AB"/>
    <w:rsid w:val="003455CE"/>
    <w:rsid w:val="00345622"/>
    <w:rsid w:val="00345623"/>
    <w:rsid w:val="00345680"/>
    <w:rsid w:val="003456B2"/>
    <w:rsid w:val="003456B7"/>
    <w:rsid w:val="003456C5"/>
    <w:rsid w:val="0034573A"/>
    <w:rsid w:val="0034579F"/>
    <w:rsid w:val="003457A3"/>
    <w:rsid w:val="003457C5"/>
    <w:rsid w:val="003457E1"/>
    <w:rsid w:val="00345862"/>
    <w:rsid w:val="00345978"/>
    <w:rsid w:val="00345BFD"/>
    <w:rsid w:val="00345C37"/>
    <w:rsid w:val="00345C4C"/>
    <w:rsid w:val="00345C90"/>
    <w:rsid w:val="00345C9D"/>
    <w:rsid w:val="00345CB9"/>
    <w:rsid w:val="00345D0D"/>
    <w:rsid w:val="00345DF4"/>
    <w:rsid w:val="00345E2F"/>
    <w:rsid w:val="00345ED8"/>
    <w:rsid w:val="00345EFC"/>
    <w:rsid w:val="00345F04"/>
    <w:rsid w:val="00345F06"/>
    <w:rsid w:val="00345F49"/>
    <w:rsid w:val="00345F78"/>
    <w:rsid w:val="00345FE7"/>
    <w:rsid w:val="003460B7"/>
    <w:rsid w:val="00346100"/>
    <w:rsid w:val="00346144"/>
    <w:rsid w:val="00346150"/>
    <w:rsid w:val="00346159"/>
    <w:rsid w:val="00346179"/>
    <w:rsid w:val="0034619E"/>
    <w:rsid w:val="0034620A"/>
    <w:rsid w:val="0034623B"/>
    <w:rsid w:val="0034624C"/>
    <w:rsid w:val="003462F2"/>
    <w:rsid w:val="00346307"/>
    <w:rsid w:val="0034630F"/>
    <w:rsid w:val="00346334"/>
    <w:rsid w:val="003463F0"/>
    <w:rsid w:val="0034644B"/>
    <w:rsid w:val="00346456"/>
    <w:rsid w:val="003464C6"/>
    <w:rsid w:val="003464C9"/>
    <w:rsid w:val="00346550"/>
    <w:rsid w:val="00346558"/>
    <w:rsid w:val="0034655B"/>
    <w:rsid w:val="003465C1"/>
    <w:rsid w:val="003465F6"/>
    <w:rsid w:val="003466B6"/>
    <w:rsid w:val="003466E7"/>
    <w:rsid w:val="00346771"/>
    <w:rsid w:val="003467FC"/>
    <w:rsid w:val="0034685C"/>
    <w:rsid w:val="00346902"/>
    <w:rsid w:val="003469D9"/>
    <w:rsid w:val="003469F8"/>
    <w:rsid w:val="00346A47"/>
    <w:rsid w:val="00346B28"/>
    <w:rsid w:val="00346C32"/>
    <w:rsid w:val="00346CF2"/>
    <w:rsid w:val="00346D33"/>
    <w:rsid w:val="00346DDA"/>
    <w:rsid w:val="00346E75"/>
    <w:rsid w:val="00346E93"/>
    <w:rsid w:val="00346EA8"/>
    <w:rsid w:val="00346EEE"/>
    <w:rsid w:val="00346F5F"/>
    <w:rsid w:val="00346F8E"/>
    <w:rsid w:val="00347045"/>
    <w:rsid w:val="00347061"/>
    <w:rsid w:val="00347067"/>
    <w:rsid w:val="0034708E"/>
    <w:rsid w:val="0034713A"/>
    <w:rsid w:val="00347180"/>
    <w:rsid w:val="003471F3"/>
    <w:rsid w:val="00347218"/>
    <w:rsid w:val="00347275"/>
    <w:rsid w:val="00347307"/>
    <w:rsid w:val="00347319"/>
    <w:rsid w:val="0034737B"/>
    <w:rsid w:val="003473B5"/>
    <w:rsid w:val="003473B7"/>
    <w:rsid w:val="00347490"/>
    <w:rsid w:val="00347495"/>
    <w:rsid w:val="00347512"/>
    <w:rsid w:val="0034758A"/>
    <w:rsid w:val="003475C2"/>
    <w:rsid w:val="003475DA"/>
    <w:rsid w:val="0034761A"/>
    <w:rsid w:val="0034767B"/>
    <w:rsid w:val="0034767D"/>
    <w:rsid w:val="0034768F"/>
    <w:rsid w:val="0034770D"/>
    <w:rsid w:val="0034770E"/>
    <w:rsid w:val="00347724"/>
    <w:rsid w:val="00347898"/>
    <w:rsid w:val="0034789E"/>
    <w:rsid w:val="003478D3"/>
    <w:rsid w:val="00347904"/>
    <w:rsid w:val="00347974"/>
    <w:rsid w:val="0034798D"/>
    <w:rsid w:val="0034799E"/>
    <w:rsid w:val="00347A18"/>
    <w:rsid w:val="00347A38"/>
    <w:rsid w:val="00347A6C"/>
    <w:rsid w:val="00347A7E"/>
    <w:rsid w:val="00347AB8"/>
    <w:rsid w:val="00347B9D"/>
    <w:rsid w:val="00347BC3"/>
    <w:rsid w:val="00347BD5"/>
    <w:rsid w:val="00347BD8"/>
    <w:rsid w:val="00347BED"/>
    <w:rsid w:val="00347C42"/>
    <w:rsid w:val="00347C4C"/>
    <w:rsid w:val="00347D1A"/>
    <w:rsid w:val="00347D69"/>
    <w:rsid w:val="00347E5D"/>
    <w:rsid w:val="00347E78"/>
    <w:rsid w:val="00347EB4"/>
    <w:rsid w:val="00347EE7"/>
    <w:rsid w:val="00347EFF"/>
    <w:rsid w:val="00347F75"/>
    <w:rsid w:val="00347F9A"/>
    <w:rsid w:val="00350029"/>
    <w:rsid w:val="0035003F"/>
    <w:rsid w:val="003501D7"/>
    <w:rsid w:val="003501F8"/>
    <w:rsid w:val="00350299"/>
    <w:rsid w:val="003502BB"/>
    <w:rsid w:val="00350360"/>
    <w:rsid w:val="0035036D"/>
    <w:rsid w:val="0035038E"/>
    <w:rsid w:val="0035039E"/>
    <w:rsid w:val="003503D7"/>
    <w:rsid w:val="003503E5"/>
    <w:rsid w:val="00350449"/>
    <w:rsid w:val="00350488"/>
    <w:rsid w:val="003504F3"/>
    <w:rsid w:val="0035052F"/>
    <w:rsid w:val="00350587"/>
    <w:rsid w:val="0035060F"/>
    <w:rsid w:val="00350659"/>
    <w:rsid w:val="0035073F"/>
    <w:rsid w:val="0035076D"/>
    <w:rsid w:val="0035077C"/>
    <w:rsid w:val="0035079C"/>
    <w:rsid w:val="003507D4"/>
    <w:rsid w:val="003508A2"/>
    <w:rsid w:val="00350913"/>
    <w:rsid w:val="003509C3"/>
    <w:rsid w:val="00350B61"/>
    <w:rsid w:val="00350C51"/>
    <w:rsid w:val="00350CC1"/>
    <w:rsid w:val="00350D76"/>
    <w:rsid w:val="00350E11"/>
    <w:rsid w:val="00350E14"/>
    <w:rsid w:val="00350E1C"/>
    <w:rsid w:val="00350E8F"/>
    <w:rsid w:val="00350F94"/>
    <w:rsid w:val="00350FD5"/>
    <w:rsid w:val="0035103F"/>
    <w:rsid w:val="003510AC"/>
    <w:rsid w:val="003510DD"/>
    <w:rsid w:val="00351136"/>
    <w:rsid w:val="0035118F"/>
    <w:rsid w:val="003511AD"/>
    <w:rsid w:val="00351313"/>
    <w:rsid w:val="00351356"/>
    <w:rsid w:val="0035137D"/>
    <w:rsid w:val="00351387"/>
    <w:rsid w:val="003513AE"/>
    <w:rsid w:val="003513C7"/>
    <w:rsid w:val="0035142D"/>
    <w:rsid w:val="00351465"/>
    <w:rsid w:val="0035155E"/>
    <w:rsid w:val="00351574"/>
    <w:rsid w:val="003515AF"/>
    <w:rsid w:val="0035161D"/>
    <w:rsid w:val="00351650"/>
    <w:rsid w:val="003517E8"/>
    <w:rsid w:val="0035183C"/>
    <w:rsid w:val="003518CA"/>
    <w:rsid w:val="003519C0"/>
    <w:rsid w:val="00351A48"/>
    <w:rsid w:val="00351C9B"/>
    <w:rsid w:val="00351D4C"/>
    <w:rsid w:val="00351D4E"/>
    <w:rsid w:val="00351D56"/>
    <w:rsid w:val="00351D65"/>
    <w:rsid w:val="00351DD9"/>
    <w:rsid w:val="00351E4E"/>
    <w:rsid w:val="00351EE9"/>
    <w:rsid w:val="00351EF8"/>
    <w:rsid w:val="00351FE3"/>
    <w:rsid w:val="00351FEA"/>
    <w:rsid w:val="00352020"/>
    <w:rsid w:val="003520EE"/>
    <w:rsid w:val="0035215F"/>
    <w:rsid w:val="0035218D"/>
    <w:rsid w:val="003521AC"/>
    <w:rsid w:val="003521C6"/>
    <w:rsid w:val="003521D6"/>
    <w:rsid w:val="003521ED"/>
    <w:rsid w:val="00352209"/>
    <w:rsid w:val="00352225"/>
    <w:rsid w:val="00352232"/>
    <w:rsid w:val="003522C2"/>
    <w:rsid w:val="00352304"/>
    <w:rsid w:val="00352326"/>
    <w:rsid w:val="003523A8"/>
    <w:rsid w:val="003523E4"/>
    <w:rsid w:val="0035240B"/>
    <w:rsid w:val="00352434"/>
    <w:rsid w:val="00352441"/>
    <w:rsid w:val="00352479"/>
    <w:rsid w:val="003524F3"/>
    <w:rsid w:val="00352523"/>
    <w:rsid w:val="00352751"/>
    <w:rsid w:val="00352815"/>
    <w:rsid w:val="00352838"/>
    <w:rsid w:val="003528CE"/>
    <w:rsid w:val="0035296F"/>
    <w:rsid w:val="003529A5"/>
    <w:rsid w:val="003529D4"/>
    <w:rsid w:val="003529DD"/>
    <w:rsid w:val="003529EA"/>
    <w:rsid w:val="00352A8F"/>
    <w:rsid w:val="00352A9C"/>
    <w:rsid w:val="00352ABB"/>
    <w:rsid w:val="00352AC6"/>
    <w:rsid w:val="00352B17"/>
    <w:rsid w:val="00352B43"/>
    <w:rsid w:val="00352C1C"/>
    <w:rsid w:val="00352C20"/>
    <w:rsid w:val="00352C63"/>
    <w:rsid w:val="00352CB5"/>
    <w:rsid w:val="00352CF8"/>
    <w:rsid w:val="00352CFA"/>
    <w:rsid w:val="00352D37"/>
    <w:rsid w:val="00352D68"/>
    <w:rsid w:val="00352D8A"/>
    <w:rsid w:val="00352E0D"/>
    <w:rsid w:val="00352E37"/>
    <w:rsid w:val="00352E56"/>
    <w:rsid w:val="00352E64"/>
    <w:rsid w:val="00352E6A"/>
    <w:rsid w:val="00352ED2"/>
    <w:rsid w:val="00352F23"/>
    <w:rsid w:val="0035301D"/>
    <w:rsid w:val="0035308D"/>
    <w:rsid w:val="003530D2"/>
    <w:rsid w:val="003530D7"/>
    <w:rsid w:val="003530DD"/>
    <w:rsid w:val="00353103"/>
    <w:rsid w:val="00353172"/>
    <w:rsid w:val="003531E8"/>
    <w:rsid w:val="003531F7"/>
    <w:rsid w:val="00353281"/>
    <w:rsid w:val="003532C2"/>
    <w:rsid w:val="003533B0"/>
    <w:rsid w:val="003533E5"/>
    <w:rsid w:val="0035345C"/>
    <w:rsid w:val="0035347F"/>
    <w:rsid w:val="00353483"/>
    <w:rsid w:val="0035348E"/>
    <w:rsid w:val="00353557"/>
    <w:rsid w:val="0035355F"/>
    <w:rsid w:val="0035369E"/>
    <w:rsid w:val="003536D2"/>
    <w:rsid w:val="0035370C"/>
    <w:rsid w:val="00353744"/>
    <w:rsid w:val="00353795"/>
    <w:rsid w:val="003537C0"/>
    <w:rsid w:val="00353803"/>
    <w:rsid w:val="003538A9"/>
    <w:rsid w:val="003538CD"/>
    <w:rsid w:val="0035397A"/>
    <w:rsid w:val="00353A2D"/>
    <w:rsid w:val="00353B7F"/>
    <w:rsid w:val="00353B96"/>
    <w:rsid w:val="00353BC0"/>
    <w:rsid w:val="00353BDE"/>
    <w:rsid w:val="00353C24"/>
    <w:rsid w:val="00353C44"/>
    <w:rsid w:val="00353CAE"/>
    <w:rsid w:val="00353D04"/>
    <w:rsid w:val="00353D22"/>
    <w:rsid w:val="00353E24"/>
    <w:rsid w:val="00353E2B"/>
    <w:rsid w:val="00353E63"/>
    <w:rsid w:val="00353ED2"/>
    <w:rsid w:val="00353ED3"/>
    <w:rsid w:val="00353EF2"/>
    <w:rsid w:val="00353F0C"/>
    <w:rsid w:val="00353F9C"/>
    <w:rsid w:val="00353FFF"/>
    <w:rsid w:val="00354004"/>
    <w:rsid w:val="00354065"/>
    <w:rsid w:val="0035407F"/>
    <w:rsid w:val="00354087"/>
    <w:rsid w:val="00354103"/>
    <w:rsid w:val="00354129"/>
    <w:rsid w:val="00354147"/>
    <w:rsid w:val="0035416D"/>
    <w:rsid w:val="00354177"/>
    <w:rsid w:val="003541A7"/>
    <w:rsid w:val="003542C3"/>
    <w:rsid w:val="00354305"/>
    <w:rsid w:val="0035432A"/>
    <w:rsid w:val="0035433B"/>
    <w:rsid w:val="0035436D"/>
    <w:rsid w:val="0035438A"/>
    <w:rsid w:val="00354405"/>
    <w:rsid w:val="0035452D"/>
    <w:rsid w:val="0035454E"/>
    <w:rsid w:val="00354579"/>
    <w:rsid w:val="00354644"/>
    <w:rsid w:val="0035464D"/>
    <w:rsid w:val="00354692"/>
    <w:rsid w:val="0035469B"/>
    <w:rsid w:val="003546A3"/>
    <w:rsid w:val="003546C1"/>
    <w:rsid w:val="003546D0"/>
    <w:rsid w:val="00354726"/>
    <w:rsid w:val="003547A0"/>
    <w:rsid w:val="003547BE"/>
    <w:rsid w:val="0035482C"/>
    <w:rsid w:val="003548C5"/>
    <w:rsid w:val="003548CF"/>
    <w:rsid w:val="00354906"/>
    <w:rsid w:val="0035492D"/>
    <w:rsid w:val="00354A06"/>
    <w:rsid w:val="00354A0C"/>
    <w:rsid w:val="00354A91"/>
    <w:rsid w:val="00354AA9"/>
    <w:rsid w:val="00354B30"/>
    <w:rsid w:val="00354B96"/>
    <w:rsid w:val="00354BBA"/>
    <w:rsid w:val="00354CDD"/>
    <w:rsid w:val="00354CEA"/>
    <w:rsid w:val="00354D6A"/>
    <w:rsid w:val="00354DEA"/>
    <w:rsid w:val="00354DFF"/>
    <w:rsid w:val="00354E07"/>
    <w:rsid w:val="00354E8E"/>
    <w:rsid w:val="00354EA7"/>
    <w:rsid w:val="00354EB3"/>
    <w:rsid w:val="00354EBB"/>
    <w:rsid w:val="00354EFE"/>
    <w:rsid w:val="00354F03"/>
    <w:rsid w:val="00354F11"/>
    <w:rsid w:val="00354F67"/>
    <w:rsid w:val="00354FCA"/>
    <w:rsid w:val="00355004"/>
    <w:rsid w:val="003550C4"/>
    <w:rsid w:val="003550D3"/>
    <w:rsid w:val="0035517A"/>
    <w:rsid w:val="003551C9"/>
    <w:rsid w:val="00355267"/>
    <w:rsid w:val="003552D1"/>
    <w:rsid w:val="003552FE"/>
    <w:rsid w:val="00355372"/>
    <w:rsid w:val="0035538F"/>
    <w:rsid w:val="003553BC"/>
    <w:rsid w:val="003553FB"/>
    <w:rsid w:val="00355465"/>
    <w:rsid w:val="00355492"/>
    <w:rsid w:val="00355603"/>
    <w:rsid w:val="0035560E"/>
    <w:rsid w:val="003556E3"/>
    <w:rsid w:val="003556E4"/>
    <w:rsid w:val="00355700"/>
    <w:rsid w:val="00355765"/>
    <w:rsid w:val="003557FB"/>
    <w:rsid w:val="0035580D"/>
    <w:rsid w:val="00355821"/>
    <w:rsid w:val="003559BF"/>
    <w:rsid w:val="00355A37"/>
    <w:rsid w:val="00355A62"/>
    <w:rsid w:val="00355A6F"/>
    <w:rsid w:val="00355A81"/>
    <w:rsid w:val="00355A9C"/>
    <w:rsid w:val="00355AE9"/>
    <w:rsid w:val="00355B90"/>
    <w:rsid w:val="00355C04"/>
    <w:rsid w:val="00355C5D"/>
    <w:rsid w:val="00355C78"/>
    <w:rsid w:val="00355D1F"/>
    <w:rsid w:val="00355D58"/>
    <w:rsid w:val="00355D82"/>
    <w:rsid w:val="00355D99"/>
    <w:rsid w:val="00355DA6"/>
    <w:rsid w:val="00355DCC"/>
    <w:rsid w:val="00355E23"/>
    <w:rsid w:val="00355F67"/>
    <w:rsid w:val="00355FC9"/>
    <w:rsid w:val="00356038"/>
    <w:rsid w:val="003560B0"/>
    <w:rsid w:val="0035610B"/>
    <w:rsid w:val="00356146"/>
    <w:rsid w:val="0035636A"/>
    <w:rsid w:val="003563ED"/>
    <w:rsid w:val="003564A3"/>
    <w:rsid w:val="003565AF"/>
    <w:rsid w:val="003565BB"/>
    <w:rsid w:val="00356688"/>
    <w:rsid w:val="003566A3"/>
    <w:rsid w:val="003566AD"/>
    <w:rsid w:val="003566AE"/>
    <w:rsid w:val="003566CA"/>
    <w:rsid w:val="003566EC"/>
    <w:rsid w:val="00356793"/>
    <w:rsid w:val="003567A5"/>
    <w:rsid w:val="003567C2"/>
    <w:rsid w:val="003567D9"/>
    <w:rsid w:val="003567DE"/>
    <w:rsid w:val="003568C1"/>
    <w:rsid w:val="003568E3"/>
    <w:rsid w:val="00356981"/>
    <w:rsid w:val="003569B5"/>
    <w:rsid w:val="003569F6"/>
    <w:rsid w:val="00356A0C"/>
    <w:rsid w:val="00356A25"/>
    <w:rsid w:val="00356A40"/>
    <w:rsid w:val="00356ADA"/>
    <w:rsid w:val="00356B0F"/>
    <w:rsid w:val="00356B55"/>
    <w:rsid w:val="00356BB2"/>
    <w:rsid w:val="00356C1A"/>
    <w:rsid w:val="00356C7A"/>
    <w:rsid w:val="00356CFF"/>
    <w:rsid w:val="00356D2C"/>
    <w:rsid w:val="00356E32"/>
    <w:rsid w:val="00356E55"/>
    <w:rsid w:val="00356EA0"/>
    <w:rsid w:val="00356EC6"/>
    <w:rsid w:val="00356EDE"/>
    <w:rsid w:val="00356EF8"/>
    <w:rsid w:val="00356F27"/>
    <w:rsid w:val="00356F90"/>
    <w:rsid w:val="00357084"/>
    <w:rsid w:val="003570BB"/>
    <w:rsid w:val="003570C6"/>
    <w:rsid w:val="00357179"/>
    <w:rsid w:val="003571A0"/>
    <w:rsid w:val="003571A3"/>
    <w:rsid w:val="00357244"/>
    <w:rsid w:val="0035725B"/>
    <w:rsid w:val="003572B3"/>
    <w:rsid w:val="0035732A"/>
    <w:rsid w:val="0035741E"/>
    <w:rsid w:val="0035752B"/>
    <w:rsid w:val="0035754A"/>
    <w:rsid w:val="0035754C"/>
    <w:rsid w:val="003575D6"/>
    <w:rsid w:val="00357607"/>
    <w:rsid w:val="00357619"/>
    <w:rsid w:val="00357636"/>
    <w:rsid w:val="00357686"/>
    <w:rsid w:val="0035778A"/>
    <w:rsid w:val="00357812"/>
    <w:rsid w:val="003578B8"/>
    <w:rsid w:val="003578BC"/>
    <w:rsid w:val="003578DE"/>
    <w:rsid w:val="00357933"/>
    <w:rsid w:val="00357942"/>
    <w:rsid w:val="00357947"/>
    <w:rsid w:val="003579D8"/>
    <w:rsid w:val="003579FD"/>
    <w:rsid w:val="00357B00"/>
    <w:rsid w:val="00357B99"/>
    <w:rsid w:val="00357BB6"/>
    <w:rsid w:val="00357C17"/>
    <w:rsid w:val="00357C52"/>
    <w:rsid w:val="00357CC7"/>
    <w:rsid w:val="00357D2B"/>
    <w:rsid w:val="00357EAF"/>
    <w:rsid w:val="00357F91"/>
    <w:rsid w:val="00357FDB"/>
    <w:rsid w:val="00357FE8"/>
    <w:rsid w:val="0036000C"/>
    <w:rsid w:val="00360034"/>
    <w:rsid w:val="00360062"/>
    <w:rsid w:val="003601DB"/>
    <w:rsid w:val="00360238"/>
    <w:rsid w:val="0036027D"/>
    <w:rsid w:val="00360288"/>
    <w:rsid w:val="003602CD"/>
    <w:rsid w:val="003602F3"/>
    <w:rsid w:val="003602FB"/>
    <w:rsid w:val="00360377"/>
    <w:rsid w:val="003603AC"/>
    <w:rsid w:val="003603D3"/>
    <w:rsid w:val="003603E2"/>
    <w:rsid w:val="003603EC"/>
    <w:rsid w:val="00360415"/>
    <w:rsid w:val="0036046C"/>
    <w:rsid w:val="00360496"/>
    <w:rsid w:val="003604C0"/>
    <w:rsid w:val="00360543"/>
    <w:rsid w:val="00360559"/>
    <w:rsid w:val="00360571"/>
    <w:rsid w:val="00360575"/>
    <w:rsid w:val="0036059F"/>
    <w:rsid w:val="003605C2"/>
    <w:rsid w:val="003605E9"/>
    <w:rsid w:val="0036066F"/>
    <w:rsid w:val="00360670"/>
    <w:rsid w:val="0036070D"/>
    <w:rsid w:val="00360790"/>
    <w:rsid w:val="003607C5"/>
    <w:rsid w:val="00360893"/>
    <w:rsid w:val="00360925"/>
    <w:rsid w:val="003609A5"/>
    <w:rsid w:val="003609D7"/>
    <w:rsid w:val="00360AA9"/>
    <w:rsid w:val="00360AAA"/>
    <w:rsid w:val="00360AB6"/>
    <w:rsid w:val="00360ADB"/>
    <w:rsid w:val="00360B0C"/>
    <w:rsid w:val="00360B4C"/>
    <w:rsid w:val="00360B68"/>
    <w:rsid w:val="00360BDC"/>
    <w:rsid w:val="00360C1F"/>
    <w:rsid w:val="00360C4C"/>
    <w:rsid w:val="00360CA2"/>
    <w:rsid w:val="00360D9A"/>
    <w:rsid w:val="00360DD9"/>
    <w:rsid w:val="00360DE1"/>
    <w:rsid w:val="00360E34"/>
    <w:rsid w:val="00360E53"/>
    <w:rsid w:val="00360EA6"/>
    <w:rsid w:val="00360EEC"/>
    <w:rsid w:val="00360EF1"/>
    <w:rsid w:val="00360F7C"/>
    <w:rsid w:val="00360FC7"/>
    <w:rsid w:val="00360FCA"/>
    <w:rsid w:val="00360FFC"/>
    <w:rsid w:val="0036109F"/>
    <w:rsid w:val="003610B3"/>
    <w:rsid w:val="00361140"/>
    <w:rsid w:val="00361175"/>
    <w:rsid w:val="00361178"/>
    <w:rsid w:val="003611DC"/>
    <w:rsid w:val="0036129B"/>
    <w:rsid w:val="003612E8"/>
    <w:rsid w:val="003612EC"/>
    <w:rsid w:val="003612F3"/>
    <w:rsid w:val="00361362"/>
    <w:rsid w:val="0036136A"/>
    <w:rsid w:val="0036139C"/>
    <w:rsid w:val="00361473"/>
    <w:rsid w:val="0036148B"/>
    <w:rsid w:val="003614C6"/>
    <w:rsid w:val="003614EE"/>
    <w:rsid w:val="0036154B"/>
    <w:rsid w:val="00361647"/>
    <w:rsid w:val="003616FE"/>
    <w:rsid w:val="0036177A"/>
    <w:rsid w:val="003617C7"/>
    <w:rsid w:val="0036186C"/>
    <w:rsid w:val="00361878"/>
    <w:rsid w:val="003618A5"/>
    <w:rsid w:val="003618BE"/>
    <w:rsid w:val="003618F4"/>
    <w:rsid w:val="0036195F"/>
    <w:rsid w:val="0036199B"/>
    <w:rsid w:val="003619D0"/>
    <w:rsid w:val="003619F1"/>
    <w:rsid w:val="00361A17"/>
    <w:rsid w:val="00361A3D"/>
    <w:rsid w:val="00361A52"/>
    <w:rsid w:val="00361A9B"/>
    <w:rsid w:val="00361AF1"/>
    <w:rsid w:val="00361AF2"/>
    <w:rsid w:val="00361AF3"/>
    <w:rsid w:val="00361B41"/>
    <w:rsid w:val="00361B5D"/>
    <w:rsid w:val="00361B92"/>
    <w:rsid w:val="00361C31"/>
    <w:rsid w:val="00361C68"/>
    <w:rsid w:val="00361C97"/>
    <w:rsid w:val="00361CF0"/>
    <w:rsid w:val="00361E59"/>
    <w:rsid w:val="00361E6F"/>
    <w:rsid w:val="00361E86"/>
    <w:rsid w:val="00361E9A"/>
    <w:rsid w:val="00361F23"/>
    <w:rsid w:val="00361F4B"/>
    <w:rsid w:val="00361FA0"/>
    <w:rsid w:val="00361FB4"/>
    <w:rsid w:val="00361FB9"/>
    <w:rsid w:val="00361FCD"/>
    <w:rsid w:val="003620FE"/>
    <w:rsid w:val="00362106"/>
    <w:rsid w:val="0036217D"/>
    <w:rsid w:val="0036219A"/>
    <w:rsid w:val="0036224C"/>
    <w:rsid w:val="0036228B"/>
    <w:rsid w:val="003622CC"/>
    <w:rsid w:val="0036235A"/>
    <w:rsid w:val="003623B0"/>
    <w:rsid w:val="003623FE"/>
    <w:rsid w:val="0036246C"/>
    <w:rsid w:val="003625D3"/>
    <w:rsid w:val="003625D6"/>
    <w:rsid w:val="0036260C"/>
    <w:rsid w:val="00362692"/>
    <w:rsid w:val="003626B7"/>
    <w:rsid w:val="00362773"/>
    <w:rsid w:val="00362780"/>
    <w:rsid w:val="003628A0"/>
    <w:rsid w:val="003628DC"/>
    <w:rsid w:val="003628E4"/>
    <w:rsid w:val="003628F0"/>
    <w:rsid w:val="00362964"/>
    <w:rsid w:val="00362967"/>
    <w:rsid w:val="003629B0"/>
    <w:rsid w:val="00362A15"/>
    <w:rsid w:val="00362A3F"/>
    <w:rsid w:val="00362A53"/>
    <w:rsid w:val="00362A77"/>
    <w:rsid w:val="00362ADF"/>
    <w:rsid w:val="00362AF4"/>
    <w:rsid w:val="00362B06"/>
    <w:rsid w:val="00362B7D"/>
    <w:rsid w:val="00362D56"/>
    <w:rsid w:val="00362D86"/>
    <w:rsid w:val="00362DA8"/>
    <w:rsid w:val="00362DDC"/>
    <w:rsid w:val="00362E10"/>
    <w:rsid w:val="00362E38"/>
    <w:rsid w:val="00362E5B"/>
    <w:rsid w:val="00362EAA"/>
    <w:rsid w:val="00362EC1"/>
    <w:rsid w:val="00362ED7"/>
    <w:rsid w:val="00362FA3"/>
    <w:rsid w:val="00362FE4"/>
    <w:rsid w:val="0036301E"/>
    <w:rsid w:val="00363042"/>
    <w:rsid w:val="00363062"/>
    <w:rsid w:val="0036318C"/>
    <w:rsid w:val="0036328C"/>
    <w:rsid w:val="00363301"/>
    <w:rsid w:val="0036334A"/>
    <w:rsid w:val="00363361"/>
    <w:rsid w:val="00363391"/>
    <w:rsid w:val="003633BD"/>
    <w:rsid w:val="003633EA"/>
    <w:rsid w:val="0036342E"/>
    <w:rsid w:val="003634BA"/>
    <w:rsid w:val="00363508"/>
    <w:rsid w:val="00363587"/>
    <w:rsid w:val="00363598"/>
    <w:rsid w:val="003635C6"/>
    <w:rsid w:val="003635FC"/>
    <w:rsid w:val="0036365C"/>
    <w:rsid w:val="003636CD"/>
    <w:rsid w:val="003637B9"/>
    <w:rsid w:val="003637C7"/>
    <w:rsid w:val="0036396E"/>
    <w:rsid w:val="00363AB8"/>
    <w:rsid w:val="00363AEF"/>
    <w:rsid w:val="00363AF6"/>
    <w:rsid w:val="00363B67"/>
    <w:rsid w:val="00363BA8"/>
    <w:rsid w:val="00363C2D"/>
    <w:rsid w:val="00363C7C"/>
    <w:rsid w:val="00363C97"/>
    <w:rsid w:val="00363CB4"/>
    <w:rsid w:val="00363D01"/>
    <w:rsid w:val="00363DC0"/>
    <w:rsid w:val="00363E4F"/>
    <w:rsid w:val="00363E79"/>
    <w:rsid w:val="00363E7F"/>
    <w:rsid w:val="00363ECA"/>
    <w:rsid w:val="00363EDF"/>
    <w:rsid w:val="00363F64"/>
    <w:rsid w:val="00364072"/>
    <w:rsid w:val="003640E4"/>
    <w:rsid w:val="003640FD"/>
    <w:rsid w:val="00364179"/>
    <w:rsid w:val="0036417D"/>
    <w:rsid w:val="003641D1"/>
    <w:rsid w:val="00364233"/>
    <w:rsid w:val="00364294"/>
    <w:rsid w:val="003642C9"/>
    <w:rsid w:val="0036439E"/>
    <w:rsid w:val="0036445C"/>
    <w:rsid w:val="0036445D"/>
    <w:rsid w:val="00364498"/>
    <w:rsid w:val="003644D1"/>
    <w:rsid w:val="003644D5"/>
    <w:rsid w:val="00364566"/>
    <w:rsid w:val="00364597"/>
    <w:rsid w:val="003645BE"/>
    <w:rsid w:val="003645EB"/>
    <w:rsid w:val="0036463D"/>
    <w:rsid w:val="003646B1"/>
    <w:rsid w:val="003646D4"/>
    <w:rsid w:val="003647E0"/>
    <w:rsid w:val="003648A4"/>
    <w:rsid w:val="003649A7"/>
    <w:rsid w:val="003649C0"/>
    <w:rsid w:val="00364A8C"/>
    <w:rsid w:val="00364AD0"/>
    <w:rsid w:val="00364B42"/>
    <w:rsid w:val="00364C4C"/>
    <w:rsid w:val="00364C6A"/>
    <w:rsid w:val="00364CDF"/>
    <w:rsid w:val="00364D10"/>
    <w:rsid w:val="00364D16"/>
    <w:rsid w:val="00364D66"/>
    <w:rsid w:val="00364E7A"/>
    <w:rsid w:val="00364E90"/>
    <w:rsid w:val="00364F4C"/>
    <w:rsid w:val="00364F61"/>
    <w:rsid w:val="00364F7C"/>
    <w:rsid w:val="00364F9F"/>
    <w:rsid w:val="00364FA3"/>
    <w:rsid w:val="0036504A"/>
    <w:rsid w:val="00365065"/>
    <w:rsid w:val="00365132"/>
    <w:rsid w:val="0036516E"/>
    <w:rsid w:val="0036520B"/>
    <w:rsid w:val="00365218"/>
    <w:rsid w:val="00365257"/>
    <w:rsid w:val="0036528E"/>
    <w:rsid w:val="003652A4"/>
    <w:rsid w:val="003653D0"/>
    <w:rsid w:val="003653DF"/>
    <w:rsid w:val="003654B2"/>
    <w:rsid w:val="003654CC"/>
    <w:rsid w:val="003654EB"/>
    <w:rsid w:val="003654F5"/>
    <w:rsid w:val="0036551B"/>
    <w:rsid w:val="00365532"/>
    <w:rsid w:val="00365579"/>
    <w:rsid w:val="003655A2"/>
    <w:rsid w:val="003655AE"/>
    <w:rsid w:val="00365641"/>
    <w:rsid w:val="00365652"/>
    <w:rsid w:val="00365662"/>
    <w:rsid w:val="0036573D"/>
    <w:rsid w:val="003657A3"/>
    <w:rsid w:val="003657FC"/>
    <w:rsid w:val="0036589F"/>
    <w:rsid w:val="0036594A"/>
    <w:rsid w:val="00365974"/>
    <w:rsid w:val="00365998"/>
    <w:rsid w:val="0036599F"/>
    <w:rsid w:val="003659FF"/>
    <w:rsid w:val="00365A23"/>
    <w:rsid w:val="00365C0B"/>
    <w:rsid w:val="00365CD9"/>
    <w:rsid w:val="00365D1B"/>
    <w:rsid w:val="00365DB7"/>
    <w:rsid w:val="00365DF4"/>
    <w:rsid w:val="00365F8D"/>
    <w:rsid w:val="00365FC2"/>
    <w:rsid w:val="00365FF5"/>
    <w:rsid w:val="003660EB"/>
    <w:rsid w:val="0036619E"/>
    <w:rsid w:val="003661B5"/>
    <w:rsid w:val="003661F8"/>
    <w:rsid w:val="00366235"/>
    <w:rsid w:val="00366332"/>
    <w:rsid w:val="003664A9"/>
    <w:rsid w:val="003664C0"/>
    <w:rsid w:val="00366513"/>
    <w:rsid w:val="00366558"/>
    <w:rsid w:val="0036655A"/>
    <w:rsid w:val="0036659D"/>
    <w:rsid w:val="003665D8"/>
    <w:rsid w:val="0036667E"/>
    <w:rsid w:val="003666CF"/>
    <w:rsid w:val="00366765"/>
    <w:rsid w:val="0036678F"/>
    <w:rsid w:val="00366813"/>
    <w:rsid w:val="0036681D"/>
    <w:rsid w:val="00366845"/>
    <w:rsid w:val="003668A6"/>
    <w:rsid w:val="003669FE"/>
    <w:rsid w:val="00366A12"/>
    <w:rsid w:val="00366ACB"/>
    <w:rsid w:val="00366B35"/>
    <w:rsid w:val="00366BA6"/>
    <w:rsid w:val="00366BD5"/>
    <w:rsid w:val="00366C03"/>
    <w:rsid w:val="00366C5A"/>
    <w:rsid w:val="00366C66"/>
    <w:rsid w:val="00366C8F"/>
    <w:rsid w:val="00366E1A"/>
    <w:rsid w:val="00366EDC"/>
    <w:rsid w:val="00366F38"/>
    <w:rsid w:val="00366F99"/>
    <w:rsid w:val="00367048"/>
    <w:rsid w:val="003670C6"/>
    <w:rsid w:val="003670D0"/>
    <w:rsid w:val="00367158"/>
    <w:rsid w:val="003671DA"/>
    <w:rsid w:val="003671F1"/>
    <w:rsid w:val="003671F8"/>
    <w:rsid w:val="003672AA"/>
    <w:rsid w:val="00367356"/>
    <w:rsid w:val="003673C0"/>
    <w:rsid w:val="00367433"/>
    <w:rsid w:val="0036743C"/>
    <w:rsid w:val="0036749B"/>
    <w:rsid w:val="003674E9"/>
    <w:rsid w:val="003674F5"/>
    <w:rsid w:val="0036754F"/>
    <w:rsid w:val="00367552"/>
    <w:rsid w:val="0036762F"/>
    <w:rsid w:val="0036764F"/>
    <w:rsid w:val="00367651"/>
    <w:rsid w:val="0036766F"/>
    <w:rsid w:val="00367769"/>
    <w:rsid w:val="00367791"/>
    <w:rsid w:val="003677AE"/>
    <w:rsid w:val="003677E8"/>
    <w:rsid w:val="0036781B"/>
    <w:rsid w:val="00367A42"/>
    <w:rsid w:val="00367A96"/>
    <w:rsid w:val="00367B00"/>
    <w:rsid w:val="00367B4E"/>
    <w:rsid w:val="00367B54"/>
    <w:rsid w:val="00367BA2"/>
    <w:rsid w:val="00367C00"/>
    <w:rsid w:val="00367C24"/>
    <w:rsid w:val="00367C3D"/>
    <w:rsid w:val="00367D02"/>
    <w:rsid w:val="00367D35"/>
    <w:rsid w:val="00367DA0"/>
    <w:rsid w:val="00367DC1"/>
    <w:rsid w:val="00367E4A"/>
    <w:rsid w:val="00367E67"/>
    <w:rsid w:val="00367ED6"/>
    <w:rsid w:val="00367EDD"/>
    <w:rsid w:val="00367F0B"/>
    <w:rsid w:val="00367F48"/>
    <w:rsid w:val="00367F6D"/>
    <w:rsid w:val="003700B4"/>
    <w:rsid w:val="003700BE"/>
    <w:rsid w:val="00370194"/>
    <w:rsid w:val="003701D5"/>
    <w:rsid w:val="003701E7"/>
    <w:rsid w:val="00370201"/>
    <w:rsid w:val="0037044C"/>
    <w:rsid w:val="0037044D"/>
    <w:rsid w:val="003704D7"/>
    <w:rsid w:val="00370554"/>
    <w:rsid w:val="003705CA"/>
    <w:rsid w:val="00370604"/>
    <w:rsid w:val="0037060D"/>
    <w:rsid w:val="00370685"/>
    <w:rsid w:val="00370694"/>
    <w:rsid w:val="0037073B"/>
    <w:rsid w:val="00370748"/>
    <w:rsid w:val="003709ED"/>
    <w:rsid w:val="00370A67"/>
    <w:rsid w:val="00370AB6"/>
    <w:rsid w:val="00370AE5"/>
    <w:rsid w:val="00370B5E"/>
    <w:rsid w:val="00370C21"/>
    <w:rsid w:val="00370C50"/>
    <w:rsid w:val="00370D54"/>
    <w:rsid w:val="00370E0E"/>
    <w:rsid w:val="00370E10"/>
    <w:rsid w:val="00370E40"/>
    <w:rsid w:val="00370E92"/>
    <w:rsid w:val="00370EB9"/>
    <w:rsid w:val="00370EBB"/>
    <w:rsid w:val="00370F88"/>
    <w:rsid w:val="00371026"/>
    <w:rsid w:val="00371057"/>
    <w:rsid w:val="003710A2"/>
    <w:rsid w:val="003710AF"/>
    <w:rsid w:val="003710DC"/>
    <w:rsid w:val="0037111C"/>
    <w:rsid w:val="00371156"/>
    <w:rsid w:val="003711C0"/>
    <w:rsid w:val="003711F2"/>
    <w:rsid w:val="0037125B"/>
    <w:rsid w:val="0037126F"/>
    <w:rsid w:val="003712A8"/>
    <w:rsid w:val="003712C1"/>
    <w:rsid w:val="0037131D"/>
    <w:rsid w:val="003713CA"/>
    <w:rsid w:val="00371409"/>
    <w:rsid w:val="0037142A"/>
    <w:rsid w:val="00371440"/>
    <w:rsid w:val="00371462"/>
    <w:rsid w:val="0037147C"/>
    <w:rsid w:val="0037148A"/>
    <w:rsid w:val="003714DD"/>
    <w:rsid w:val="003715A6"/>
    <w:rsid w:val="003715B7"/>
    <w:rsid w:val="00371691"/>
    <w:rsid w:val="003716AF"/>
    <w:rsid w:val="00371777"/>
    <w:rsid w:val="0037180B"/>
    <w:rsid w:val="00371900"/>
    <w:rsid w:val="003719C5"/>
    <w:rsid w:val="003719D2"/>
    <w:rsid w:val="00371A7B"/>
    <w:rsid w:val="00371B07"/>
    <w:rsid w:val="00371B8D"/>
    <w:rsid w:val="00371BAB"/>
    <w:rsid w:val="00371BCA"/>
    <w:rsid w:val="00371C06"/>
    <w:rsid w:val="00371C30"/>
    <w:rsid w:val="00371CB4"/>
    <w:rsid w:val="00371D00"/>
    <w:rsid w:val="00371E9D"/>
    <w:rsid w:val="00371EBB"/>
    <w:rsid w:val="00371ECA"/>
    <w:rsid w:val="00371EFB"/>
    <w:rsid w:val="00371F17"/>
    <w:rsid w:val="00371F6A"/>
    <w:rsid w:val="00371F85"/>
    <w:rsid w:val="00371FB4"/>
    <w:rsid w:val="0037201A"/>
    <w:rsid w:val="0037212C"/>
    <w:rsid w:val="00372167"/>
    <w:rsid w:val="003721AF"/>
    <w:rsid w:val="0037221C"/>
    <w:rsid w:val="003722BE"/>
    <w:rsid w:val="0037231B"/>
    <w:rsid w:val="0037232C"/>
    <w:rsid w:val="00372373"/>
    <w:rsid w:val="00372425"/>
    <w:rsid w:val="0037245B"/>
    <w:rsid w:val="003724AB"/>
    <w:rsid w:val="003724CD"/>
    <w:rsid w:val="003725E6"/>
    <w:rsid w:val="0037268C"/>
    <w:rsid w:val="0037269A"/>
    <w:rsid w:val="003726F7"/>
    <w:rsid w:val="00372790"/>
    <w:rsid w:val="003727B5"/>
    <w:rsid w:val="00372820"/>
    <w:rsid w:val="00372821"/>
    <w:rsid w:val="003728A0"/>
    <w:rsid w:val="003728BE"/>
    <w:rsid w:val="003728CF"/>
    <w:rsid w:val="0037299E"/>
    <w:rsid w:val="003729A6"/>
    <w:rsid w:val="003729AC"/>
    <w:rsid w:val="003729E3"/>
    <w:rsid w:val="003729E6"/>
    <w:rsid w:val="00372A62"/>
    <w:rsid w:val="00372B01"/>
    <w:rsid w:val="00372C22"/>
    <w:rsid w:val="00372C99"/>
    <w:rsid w:val="00372D9B"/>
    <w:rsid w:val="00372E23"/>
    <w:rsid w:val="00372E2C"/>
    <w:rsid w:val="00372E3C"/>
    <w:rsid w:val="00372E4C"/>
    <w:rsid w:val="00372EA6"/>
    <w:rsid w:val="00372ED0"/>
    <w:rsid w:val="00372F0A"/>
    <w:rsid w:val="00372F38"/>
    <w:rsid w:val="00372FFB"/>
    <w:rsid w:val="0037301D"/>
    <w:rsid w:val="0037307C"/>
    <w:rsid w:val="003730AF"/>
    <w:rsid w:val="00373175"/>
    <w:rsid w:val="00373184"/>
    <w:rsid w:val="003731D5"/>
    <w:rsid w:val="00373207"/>
    <w:rsid w:val="0037325D"/>
    <w:rsid w:val="0037335B"/>
    <w:rsid w:val="0037348E"/>
    <w:rsid w:val="003734CB"/>
    <w:rsid w:val="003734E4"/>
    <w:rsid w:val="0037356F"/>
    <w:rsid w:val="003735FD"/>
    <w:rsid w:val="00373661"/>
    <w:rsid w:val="003736C1"/>
    <w:rsid w:val="0037371E"/>
    <w:rsid w:val="0037373A"/>
    <w:rsid w:val="003737A5"/>
    <w:rsid w:val="003737E2"/>
    <w:rsid w:val="003737F4"/>
    <w:rsid w:val="00373802"/>
    <w:rsid w:val="00373865"/>
    <w:rsid w:val="0037387B"/>
    <w:rsid w:val="00373983"/>
    <w:rsid w:val="00373A1D"/>
    <w:rsid w:val="00373A3F"/>
    <w:rsid w:val="00373A9E"/>
    <w:rsid w:val="00373AEC"/>
    <w:rsid w:val="00373B52"/>
    <w:rsid w:val="00373C20"/>
    <w:rsid w:val="00373C25"/>
    <w:rsid w:val="00373D40"/>
    <w:rsid w:val="00373D6C"/>
    <w:rsid w:val="00373DF5"/>
    <w:rsid w:val="00373E51"/>
    <w:rsid w:val="00373E6B"/>
    <w:rsid w:val="00373F55"/>
    <w:rsid w:val="00374035"/>
    <w:rsid w:val="00374050"/>
    <w:rsid w:val="00374081"/>
    <w:rsid w:val="0037414F"/>
    <w:rsid w:val="003741A3"/>
    <w:rsid w:val="00374220"/>
    <w:rsid w:val="0037426B"/>
    <w:rsid w:val="00374307"/>
    <w:rsid w:val="0037435E"/>
    <w:rsid w:val="003743BB"/>
    <w:rsid w:val="003743C3"/>
    <w:rsid w:val="003743F9"/>
    <w:rsid w:val="0037441C"/>
    <w:rsid w:val="00374440"/>
    <w:rsid w:val="003744F9"/>
    <w:rsid w:val="00374527"/>
    <w:rsid w:val="00374536"/>
    <w:rsid w:val="0037456F"/>
    <w:rsid w:val="003745E7"/>
    <w:rsid w:val="0037461B"/>
    <w:rsid w:val="00374647"/>
    <w:rsid w:val="00374697"/>
    <w:rsid w:val="003746B2"/>
    <w:rsid w:val="003746F2"/>
    <w:rsid w:val="00374756"/>
    <w:rsid w:val="00374882"/>
    <w:rsid w:val="00374927"/>
    <w:rsid w:val="0037496E"/>
    <w:rsid w:val="0037498B"/>
    <w:rsid w:val="0037499E"/>
    <w:rsid w:val="00374A30"/>
    <w:rsid w:val="00374A75"/>
    <w:rsid w:val="00374AB6"/>
    <w:rsid w:val="00374AEF"/>
    <w:rsid w:val="00374BC0"/>
    <w:rsid w:val="00374BFF"/>
    <w:rsid w:val="00374C01"/>
    <w:rsid w:val="00374C84"/>
    <w:rsid w:val="00374CB2"/>
    <w:rsid w:val="00374D38"/>
    <w:rsid w:val="00374DAD"/>
    <w:rsid w:val="00374EAC"/>
    <w:rsid w:val="00374F02"/>
    <w:rsid w:val="00375006"/>
    <w:rsid w:val="00375015"/>
    <w:rsid w:val="0037520A"/>
    <w:rsid w:val="00375212"/>
    <w:rsid w:val="00375253"/>
    <w:rsid w:val="003752CA"/>
    <w:rsid w:val="00375302"/>
    <w:rsid w:val="00375307"/>
    <w:rsid w:val="0037530F"/>
    <w:rsid w:val="0037532C"/>
    <w:rsid w:val="00375402"/>
    <w:rsid w:val="0037548A"/>
    <w:rsid w:val="0037549E"/>
    <w:rsid w:val="003754AE"/>
    <w:rsid w:val="003754B6"/>
    <w:rsid w:val="003754E4"/>
    <w:rsid w:val="00375555"/>
    <w:rsid w:val="00375557"/>
    <w:rsid w:val="00375573"/>
    <w:rsid w:val="00375586"/>
    <w:rsid w:val="003755CE"/>
    <w:rsid w:val="00375600"/>
    <w:rsid w:val="0037561E"/>
    <w:rsid w:val="00375654"/>
    <w:rsid w:val="0037567B"/>
    <w:rsid w:val="003756A4"/>
    <w:rsid w:val="003756A9"/>
    <w:rsid w:val="003757CD"/>
    <w:rsid w:val="003757E2"/>
    <w:rsid w:val="003757EA"/>
    <w:rsid w:val="00375828"/>
    <w:rsid w:val="003758AF"/>
    <w:rsid w:val="003758BB"/>
    <w:rsid w:val="0037596F"/>
    <w:rsid w:val="003759FC"/>
    <w:rsid w:val="00375A29"/>
    <w:rsid w:val="00375A45"/>
    <w:rsid w:val="00375A97"/>
    <w:rsid w:val="00375B43"/>
    <w:rsid w:val="00375B90"/>
    <w:rsid w:val="00375CD9"/>
    <w:rsid w:val="00375D06"/>
    <w:rsid w:val="00375D1A"/>
    <w:rsid w:val="00375D33"/>
    <w:rsid w:val="00375D8C"/>
    <w:rsid w:val="00375DB7"/>
    <w:rsid w:val="00375EBD"/>
    <w:rsid w:val="00375EED"/>
    <w:rsid w:val="00375EF1"/>
    <w:rsid w:val="00375F0B"/>
    <w:rsid w:val="00375F7E"/>
    <w:rsid w:val="00375FB7"/>
    <w:rsid w:val="00376002"/>
    <w:rsid w:val="003760C4"/>
    <w:rsid w:val="003760E7"/>
    <w:rsid w:val="003761DB"/>
    <w:rsid w:val="00376218"/>
    <w:rsid w:val="00376267"/>
    <w:rsid w:val="003762F7"/>
    <w:rsid w:val="0037631E"/>
    <w:rsid w:val="00376376"/>
    <w:rsid w:val="003763A7"/>
    <w:rsid w:val="003763E7"/>
    <w:rsid w:val="0037642F"/>
    <w:rsid w:val="0037651D"/>
    <w:rsid w:val="0037652D"/>
    <w:rsid w:val="00376586"/>
    <w:rsid w:val="003765EE"/>
    <w:rsid w:val="00376658"/>
    <w:rsid w:val="003766C9"/>
    <w:rsid w:val="00376702"/>
    <w:rsid w:val="003767C6"/>
    <w:rsid w:val="003767E1"/>
    <w:rsid w:val="00376841"/>
    <w:rsid w:val="00376867"/>
    <w:rsid w:val="0037686A"/>
    <w:rsid w:val="003768AA"/>
    <w:rsid w:val="003768C8"/>
    <w:rsid w:val="003768E9"/>
    <w:rsid w:val="003768ED"/>
    <w:rsid w:val="00376916"/>
    <w:rsid w:val="0037696D"/>
    <w:rsid w:val="003769DC"/>
    <w:rsid w:val="003769FA"/>
    <w:rsid w:val="00376A4B"/>
    <w:rsid w:val="00376A84"/>
    <w:rsid w:val="00376B0E"/>
    <w:rsid w:val="00376B33"/>
    <w:rsid w:val="00376B40"/>
    <w:rsid w:val="00376BAA"/>
    <w:rsid w:val="00376C10"/>
    <w:rsid w:val="00376C5A"/>
    <w:rsid w:val="00376C5F"/>
    <w:rsid w:val="00376CDE"/>
    <w:rsid w:val="00376CFF"/>
    <w:rsid w:val="00376DA2"/>
    <w:rsid w:val="00376DA3"/>
    <w:rsid w:val="00376DF7"/>
    <w:rsid w:val="00376E2E"/>
    <w:rsid w:val="00376E5B"/>
    <w:rsid w:val="00376EC6"/>
    <w:rsid w:val="00376F03"/>
    <w:rsid w:val="00376F76"/>
    <w:rsid w:val="00376FDB"/>
    <w:rsid w:val="00376FDF"/>
    <w:rsid w:val="00377006"/>
    <w:rsid w:val="003770A5"/>
    <w:rsid w:val="003771B3"/>
    <w:rsid w:val="003771D3"/>
    <w:rsid w:val="00377211"/>
    <w:rsid w:val="00377214"/>
    <w:rsid w:val="00377219"/>
    <w:rsid w:val="0037724C"/>
    <w:rsid w:val="0037724D"/>
    <w:rsid w:val="00377260"/>
    <w:rsid w:val="0037735E"/>
    <w:rsid w:val="00377417"/>
    <w:rsid w:val="0037748C"/>
    <w:rsid w:val="003774BF"/>
    <w:rsid w:val="00377522"/>
    <w:rsid w:val="003775C3"/>
    <w:rsid w:val="0037761E"/>
    <w:rsid w:val="00377664"/>
    <w:rsid w:val="00377683"/>
    <w:rsid w:val="003777A2"/>
    <w:rsid w:val="003777AF"/>
    <w:rsid w:val="003777D6"/>
    <w:rsid w:val="003777EF"/>
    <w:rsid w:val="00377820"/>
    <w:rsid w:val="00377903"/>
    <w:rsid w:val="00377962"/>
    <w:rsid w:val="003779AA"/>
    <w:rsid w:val="00377A20"/>
    <w:rsid w:val="00377A49"/>
    <w:rsid w:val="00377A99"/>
    <w:rsid w:val="00377AC1"/>
    <w:rsid w:val="00377B2C"/>
    <w:rsid w:val="00377B80"/>
    <w:rsid w:val="00377C6C"/>
    <w:rsid w:val="00377CA8"/>
    <w:rsid w:val="00377D6C"/>
    <w:rsid w:val="00377D7D"/>
    <w:rsid w:val="00377DAA"/>
    <w:rsid w:val="00377E21"/>
    <w:rsid w:val="00377E3A"/>
    <w:rsid w:val="00377E3D"/>
    <w:rsid w:val="00377F17"/>
    <w:rsid w:val="00377F35"/>
    <w:rsid w:val="00377FB7"/>
    <w:rsid w:val="00380022"/>
    <w:rsid w:val="00380052"/>
    <w:rsid w:val="00380142"/>
    <w:rsid w:val="00380172"/>
    <w:rsid w:val="003801A2"/>
    <w:rsid w:val="003801F6"/>
    <w:rsid w:val="0038038C"/>
    <w:rsid w:val="00380419"/>
    <w:rsid w:val="0038044F"/>
    <w:rsid w:val="003804AD"/>
    <w:rsid w:val="003804F0"/>
    <w:rsid w:val="00380628"/>
    <w:rsid w:val="0038065A"/>
    <w:rsid w:val="00380739"/>
    <w:rsid w:val="0038073D"/>
    <w:rsid w:val="003807DF"/>
    <w:rsid w:val="003807F8"/>
    <w:rsid w:val="0038080B"/>
    <w:rsid w:val="00380820"/>
    <w:rsid w:val="00380878"/>
    <w:rsid w:val="003809CC"/>
    <w:rsid w:val="003809DE"/>
    <w:rsid w:val="00380B04"/>
    <w:rsid w:val="00380B49"/>
    <w:rsid w:val="00380C35"/>
    <w:rsid w:val="00380D17"/>
    <w:rsid w:val="00380D40"/>
    <w:rsid w:val="00380DB4"/>
    <w:rsid w:val="00380E0B"/>
    <w:rsid w:val="00380F49"/>
    <w:rsid w:val="00380F6C"/>
    <w:rsid w:val="00380FB8"/>
    <w:rsid w:val="0038104D"/>
    <w:rsid w:val="003810E0"/>
    <w:rsid w:val="00381147"/>
    <w:rsid w:val="0038114B"/>
    <w:rsid w:val="003811A9"/>
    <w:rsid w:val="003811DD"/>
    <w:rsid w:val="003811F9"/>
    <w:rsid w:val="003811FF"/>
    <w:rsid w:val="003812A9"/>
    <w:rsid w:val="0038135A"/>
    <w:rsid w:val="0038144A"/>
    <w:rsid w:val="00381483"/>
    <w:rsid w:val="003814A0"/>
    <w:rsid w:val="003814FA"/>
    <w:rsid w:val="0038152A"/>
    <w:rsid w:val="003815DB"/>
    <w:rsid w:val="003815DD"/>
    <w:rsid w:val="0038162B"/>
    <w:rsid w:val="0038163C"/>
    <w:rsid w:val="0038165C"/>
    <w:rsid w:val="003816F7"/>
    <w:rsid w:val="00381701"/>
    <w:rsid w:val="0038178C"/>
    <w:rsid w:val="003817A9"/>
    <w:rsid w:val="003817F6"/>
    <w:rsid w:val="003818FF"/>
    <w:rsid w:val="00381903"/>
    <w:rsid w:val="00381905"/>
    <w:rsid w:val="003819E8"/>
    <w:rsid w:val="00381A5B"/>
    <w:rsid w:val="00381A84"/>
    <w:rsid w:val="00381AD8"/>
    <w:rsid w:val="00381B3F"/>
    <w:rsid w:val="00381BE2"/>
    <w:rsid w:val="00381CD6"/>
    <w:rsid w:val="00381D16"/>
    <w:rsid w:val="00381D63"/>
    <w:rsid w:val="00381DA9"/>
    <w:rsid w:val="00381E04"/>
    <w:rsid w:val="00381F62"/>
    <w:rsid w:val="0038206C"/>
    <w:rsid w:val="003820B5"/>
    <w:rsid w:val="003820B6"/>
    <w:rsid w:val="00382135"/>
    <w:rsid w:val="003821F3"/>
    <w:rsid w:val="00382210"/>
    <w:rsid w:val="003822C4"/>
    <w:rsid w:val="00382315"/>
    <w:rsid w:val="00382338"/>
    <w:rsid w:val="00382361"/>
    <w:rsid w:val="00382398"/>
    <w:rsid w:val="0038242B"/>
    <w:rsid w:val="00382433"/>
    <w:rsid w:val="0038246B"/>
    <w:rsid w:val="003824C9"/>
    <w:rsid w:val="0038264B"/>
    <w:rsid w:val="003826FC"/>
    <w:rsid w:val="00382748"/>
    <w:rsid w:val="003827AF"/>
    <w:rsid w:val="00382809"/>
    <w:rsid w:val="0038281B"/>
    <w:rsid w:val="00382856"/>
    <w:rsid w:val="003828C1"/>
    <w:rsid w:val="0038290A"/>
    <w:rsid w:val="0038292B"/>
    <w:rsid w:val="0038293B"/>
    <w:rsid w:val="00382979"/>
    <w:rsid w:val="0038298E"/>
    <w:rsid w:val="003829DE"/>
    <w:rsid w:val="00382A61"/>
    <w:rsid w:val="00382A7B"/>
    <w:rsid w:val="00382A80"/>
    <w:rsid w:val="00382AE1"/>
    <w:rsid w:val="00382B1F"/>
    <w:rsid w:val="00382C3F"/>
    <w:rsid w:val="00382C88"/>
    <w:rsid w:val="00382CD1"/>
    <w:rsid w:val="00382D3B"/>
    <w:rsid w:val="00382D68"/>
    <w:rsid w:val="00382E08"/>
    <w:rsid w:val="00382EAF"/>
    <w:rsid w:val="00382EEF"/>
    <w:rsid w:val="00382F54"/>
    <w:rsid w:val="00382F63"/>
    <w:rsid w:val="00382F6F"/>
    <w:rsid w:val="00382FC0"/>
    <w:rsid w:val="0038301C"/>
    <w:rsid w:val="0038306F"/>
    <w:rsid w:val="00383089"/>
    <w:rsid w:val="00383105"/>
    <w:rsid w:val="00383153"/>
    <w:rsid w:val="00383167"/>
    <w:rsid w:val="003831A6"/>
    <w:rsid w:val="003831AA"/>
    <w:rsid w:val="003831B3"/>
    <w:rsid w:val="003831E6"/>
    <w:rsid w:val="0038320A"/>
    <w:rsid w:val="00383313"/>
    <w:rsid w:val="003833CA"/>
    <w:rsid w:val="00383408"/>
    <w:rsid w:val="00383440"/>
    <w:rsid w:val="0038345C"/>
    <w:rsid w:val="00383467"/>
    <w:rsid w:val="00383477"/>
    <w:rsid w:val="0038347D"/>
    <w:rsid w:val="0038355E"/>
    <w:rsid w:val="00383563"/>
    <w:rsid w:val="003835AC"/>
    <w:rsid w:val="003835C7"/>
    <w:rsid w:val="0038362D"/>
    <w:rsid w:val="0038362E"/>
    <w:rsid w:val="003836F6"/>
    <w:rsid w:val="00383713"/>
    <w:rsid w:val="00383719"/>
    <w:rsid w:val="00383734"/>
    <w:rsid w:val="00383801"/>
    <w:rsid w:val="00383834"/>
    <w:rsid w:val="0038384C"/>
    <w:rsid w:val="00383854"/>
    <w:rsid w:val="00383873"/>
    <w:rsid w:val="00383905"/>
    <w:rsid w:val="00383AD2"/>
    <w:rsid w:val="00383AD7"/>
    <w:rsid w:val="00383CAF"/>
    <w:rsid w:val="00383CCA"/>
    <w:rsid w:val="00383CE8"/>
    <w:rsid w:val="00383DF2"/>
    <w:rsid w:val="00383E49"/>
    <w:rsid w:val="00383E5D"/>
    <w:rsid w:val="00383E9C"/>
    <w:rsid w:val="00383EF4"/>
    <w:rsid w:val="00383F64"/>
    <w:rsid w:val="00384027"/>
    <w:rsid w:val="00384073"/>
    <w:rsid w:val="00384087"/>
    <w:rsid w:val="0038409B"/>
    <w:rsid w:val="003841C6"/>
    <w:rsid w:val="00384235"/>
    <w:rsid w:val="00384307"/>
    <w:rsid w:val="0038432F"/>
    <w:rsid w:val="0038439D"/>
    <w:rsid w:val="003843A8"/>
    <w:rsid w:val="003843F4"/>
    <w:rsid w:val="0038441E"/>
    <w:rsid w:val="003844B9"/>
    <w:rsid w:val="00384551"/>
    <w:rsid w:val="003845BD"/>
    <w:rsid w:val="003845D7"/>
    <w:rsid w:val="003846ED"/>
    <w:rsid w:val="00384704"/>
    <w:rsid w:val="00384779"/>
    <w:rsid w:val="00384862"/>
    <w:rsid w:val="003848C2"/>
    <w:rsid w:val="0038499F"/>
    <w:rsid w:val="003849FF"/>
    <w:rsid w:val="00384A81"/>
    <w:rsid w:val="00384B7D"/>
    <w:rsid w:val="00384B93"/>
    <w:rsid w:val="00384B98"/>
    <w:rsid w:val="00384CA8"/>
    <w:rsid w:val="00384CCC"/>
    <w:rsid w:val="00384D02"/>
    <w:rsid w:val="00384D3F"/>
    <w:rsid w:val="00384DBD"/>
    <w:rsid w:val="00384DC2"/>
    <w:rsid w:val="00384DC9"/>
    <w:rsid w:val="00384E1F"/>
    <w:rsid w:val="00384E3F"/>
    <w:rsid w:val="00384EC0"/>
    <w:rsid w:val="00384FEB"/>
    <w:rsid w:val="003850C1"/>
    <w:rsid w:val="00385131"/>
    <w:rsid w:val="00385162"/>
    <w:rsid w:val="00385319"/>
    <w:rsid w:val="0038531B"/>
    <w:rsid w:val="00385335"/>
    <w:rsid w:val="003853D7"/>
    <w:rsid w:val="0038543B"/>
    <w:rsid w:val="00385481"/>
    <w:rsid w:val="003854CD"/>
    <w:rsid w:val="003854F5"/>
    <w:rsid w:val="00385520"/>
    <w:rsid w:val="003855F2"/>
    <w:rsid w:val="00385665"/>
    <w:rsid w:val="00385699"/>
    <w:rsid w:val="003857A5"/>
    <w:rsid w:val="003858A3"/>
    <w:rsid w:val="003858A9"/>
    <w:rsid w:val="003858E5"/>
    <w:rsid w:val="00385945"/>
    <w:rsid w:val="003859C6"/>
    <w:rsid w:val="003859D2"/>
    <w:rsid w:val="00385A34"/>
    <w:rsid w:val="00385AD6"/>
    <w:rsid w:val="00385BAB"/>
    <w:rsid w:val="00385BF9"/>
    <w:rsid w:val="00385C06"/>
    <w:rsid w:val="00385CCB"/>
    <w:rsid w:val="00385CDC"/>
    <w:rsid w:val="00385D16"/>
    <w:rsid w:val="00385D3D"/>
    <w:rsid w:val="00385D4B"/>
    <w:rsid w:val="00385DAA"/>
    <w:rsid w:val="00385DCF"/>
    <w:rsid w:val="00385F21"/>
    <w:rsid w:val="00385F90"/>
    <w:rsid w:val="00385FC9"/>
    <w:rsid w:val="00386024"/>
    <w:rsid w:val="003860A8"/>
    <w:rsid w:val="003860BB"/>
    <w:rsid w:val="003860C1"/>
    <w:rsid w:val="0038615B"/>
    <w:rsid w:val="0038625C"/>
    <w:rsid w:val="0038631A"/>
    <w:rsid w:val="0038637A"/>
    <w:rsid w:val="00386429"/>
    <w:rsid w:val="003864D9"/>
    <w:rsid w:val="0038656A"/>
    <w:rsid w:val="00386641"/>
    <w:rsid w:val="00386747"/>
    <w:rsid w:val="00386754"/>
    <w:rsid w:val="00386779"/>
    <w:rsid w:val="003867DB"/>
    <w:rsid w:val="003867ED"/>
    <w:rsid w:val="00386890"/>
    <w:rsid w:val="00386917"/>
    <w:rsid w:val="003869A6"/>
    <w:rsid w:val="003869D5"/>
    <w:rsid w:val="00386A2C"/>
    <w:rsid w:val="00386AB7"/>
    <w:rsid w:val="00386ACF"/>
    <w:rsid w:val="00386B03"/>
    <w:rsid w:val="00386B3A"/>
    <w:rsid w:val="00386B40"/>
    <w:rsid w:val="00386C0C"/>
    <w:rsid w:val="00386CA0"/>
    <w:rsid w:val="00386CB1"/>
    <w:rsid w:val="00386DB5"/>
    <w:rsid w:val="00386DE0"/>
    <w:rsid w:val="00386E10"/>
    <w:rsid w:val="00386E28"/>
    <w:rsid w:val="00386EAB"/>
    <w:rsid w:val="00386F46"/>
    <w:rsid w:val="00386FA0"/>
    <w:rsid w:val="0038703D"/>
    <w:rsid w:val="003870C8"/>
    <w:rsid w:val="003870D6"/>
    <w:rsid w:val="003870E2"/>
    <w:rsid w:val="00387114"/>
    <w:rsid w:val="003871CA"/>
    <w:rsid w:val="00387277"/>
    <w:rsid w:val="003872E0"/>
    <w:rsid w:val="003872E3"/>
    <w:rsid w:val="003872E8"/>
    <w:rsid w:val="0038737C"/>
    <w:rsid w:val="00387380"/>
    <w:rsid w:val="00387403"/>
    <w:rsid w:val="00387408"/>
    <w:rsid w:val="00387450"/>
    <w:rsid w:val="00387451"/>
    <w:rsid w:val="0038745D"/>
    <w:rsid w:val="003874B4"/>
    <w:rsid w:val="003874DC"/>
    <w:rsid w:val="0038750A"/>
    <w:rsid w:val="0038754B"/>
    <w:rsid w:val="00387556"/>
    <w:rsid w:val="00387577"/>
    <w:rsid w:val="00387654"/>
    <w:rsid w:val="003876CA"/>
    <w:rsid w:val="0038776A"/>
    <w:rsid w:val="003877C6"/>
    <w:rsid w:val="00387809"/>
    <w:rsid w:val="0038783D"/>
    <w:rsid w:val="00387842"/>
    <w:rsid w:val="0038785F"/>
    <w:rsid w:val="003879BB"/>
    <w:rsid w:val="003879DE"/>
    <w:rsid w:val="00387A34"/>
    <w:rsid w:val="00387A66"/>
    <w:rsid w:val="00387A86"/>
    <w:rsid w:val="00387AC9"/>
    <w:rsid w:val="00387AE9"/>
    <w:rsid w:val="00387C0F"/>
    <w:rsid w:val="00387C3A"/>
    <w:rsid w:val="00387C85"/>
    <w:rsid w:val="00387C8D"/>
    <w:rsid w:val="00387C95"/>
    <w:rsid w:val="00387CE3"/>
    <w:rsid w:val="00387D8D"/>
    <w:rsid w:val="00387DCD"/>
    <w:rsid w:val="00387E4F"/>
    <w:rsid w:val="00387E85"/>
    <w:rsid w:val="00387E99"/>
    <w:rsid w:val="00387EB7"/>
    <w:rsid w:val="00387F83"/>
    <w:rsid w:val="00387FC2"/>
    <w:rsid w:val="00387FC9"/>
    <w:rsid w:val="00390125"/>
    <w:rsid w:val="00390177"/>
    <w:rsid w:val="003901DF"/>
    <w:rsid w:val="00390200"/>
    <w:rsid w:val="00390216"/>
    <w:rsid w:val="00390228"/>
    <w:rsid w:val="0039037F"/>
    <w:rsid w:val="003903F3"/>
    <w:rsid w:val="0039049B"/>
    <w:rsid w:val="00390517"/>
    <w:rsid w:val="0039051F"/>
    <w:rsid w:val="003905F9"/>
    <w:rsid w:val="0039060D"/>
    <w:rsid w:val="00390675"/>
    <w:rsid w:val="00390690"/>
    <w:rsid w:val="0039069A"/>
    <w:rsid w:val="00390730"/>
    <w:rsid w:val="00390756"/>
    <w:rsid w:val="00390818"/>
    <w:rsid w:val="0039082D"/>
    <w:rsid w:val="00390899"/>
    <w:rsid w:val="003908AE"/>
    <w:rsid w:val="003909A2"/>
    <w:rsid w:val="00390A02"/>
    <w:rsid w:val="00390A23"/>
    <w:rsid w:val="00390A3B"/>
    <w:rsid w:val="00390A7F"/>
    <w:rsid w:val="00390AE3"/>
    <w:rsid w:val="00390AFA"/>
    <w:rsid w:val="00390B7A"/>
    <w:rsid w:val="00390BA2"/>
    <w:rsid w:val="00390BA6"/>
    <w:rsid w:val="00390CB7"/>
    <w:rsid w:val="00390CDB"/>
    <w:rsid w:val="00390E1A"/>
    <w:rsid w:val="00390E1D"/>
    <w:rsid w:val="00390EAA"/>
    <w:rsid w:val="00390ECD"/>
    <w:rsid w:val="00390EDF"/>
    <w:rsid w:val="00390F22"/>
    <w:rsid w:val="00390FAC"/>
    <w:rsid w:val="00391082"/>
    <w:rsid w:val="003910BC"/>
    <w:rsid w:val="003910EC"/>
    <w:rsid w:val="00391101"/>
    <w:rsid w:val="003911B6"/>
    <w:rsid w:val="003911CA"/>
    <w:rsid w:val="00391208"/>
    <w:rsid w:val="0039122F"/>
    <w:rsid w:val="0039123C"/>
    <w:rsid w:val="0039126F"/>
    <w:rsid w:val="00391275"/>
    <w:rsid w:val="003912C9"/>
    <w:rsid w:val="003912D6"/>
    <w:rsid w:val="003912F1"/>
    <w:rsid w:val="003912F9"/>
    <w:rsid w:val="00391309"/>
    <w:rsid w:val="00391366"/>
    <w:rsid w:val="003913A3"/>
    <w:rsid w:val="003913BD"/>
    <w:rsid w:val="0039147C"/>
    <w:rsid w:val="003914C2"/>
    <w:rsid w:val="003914E7"/>
    <w:rsid w:val="0039156A"/>
    <w:rsid w:val="00391602"/>
    <w:rsid w:val="00391606"/>
    <w:rsid w:val="0039171D"/>
    <w:rsid w:val="00391872"/>
    <w:rsid w:val="00391873"/>
    <w:rsid w:val="003918DA"/>
    <w:rsid w:val="0039191E"/>
    <w:rsid w:val="00391928"/>
    <w:rsid w:val="0039194F"/>
    <w:rsid w:val="00391972"/>
    <w:rsid w:val="003919AF"/>
    <w:rsid w:val="003919B4"/>
    <w:rsid w:val="003919B7"/>
    <w:rsid w:val="00391A23"/>
    <w:rsid w:val="00391AC4"/>
    <w:rsid w:val="00391B30"/>
    <w:rsid w:val="00391B48"/>
    <w:rsid w:val="00391B99"/>
    <w:rsid w:val="00391BBC"/>
    <w:rsid w:val="00391C1F"/>
    <w:rsid w:val="00391CE9"/>
    <w:rsid w:val="00391DA6"/>
    <w:rsid w:val="00391DBD"/>
    <w:rsid w:val="00391DC0"/>
    <w:rsid w:val="00391DDD"/>
    <w:rsid w:val="00391DFA"/>
    <w:rsid w:val="00391E45"/>
    <w:rsid w:val="00391E54"/>
    <w:rsid w:val="00391F0F"/>
    <w:rsid w:val="00391FD2"/>
    <w:rsid w:val="00392086"/>
    <w:rsid w:val="0039208F"/>
    <w:rsid w:val="003920AB"/>
    <w:rsid w:val="003920B7"/>
    <w:rsid w:val="00392129"/>
    <w:rsid w:val="003921CE"/>
    <w:rsid w:val="003921F8"/>
    <w:rsid w:val="003922EA"/>
    <w:rsid w:val="003922F9"/>
    <w:rsid w:val="00392326"/>
    <w:rsid w:val="0039232B"/>
    <w:rsid w:val="00392337"/>
    <w:rsid w:val="00392348"/>
    <w:rsid w:val="00392377"/>
    <w:rsid w:val="003923B9"/>
    <w:rsid w:val="0039241C"/>
    <w:rsid w:val="003925E2"/>
    <w:rsid w:val="00392609"/>
    <w:rsid w:val="00392624"/>
    <w:rsid w:val="0039263E"/>
    <w:rsid w:val="0039263F"/>
    <w:rsid w:val="00392680"/>
    <w:rsid w:val="00392713"/>
    <w:rsid w:val="003927B3"/>
    <w:rsid w:val="003927E0"/>
    <w:rsid w:val="0039288A"/>
    <w:rsid w:val="003928DE"/>
    <w:rsid w:val="00392944"/>
    <w:rsid w:val="00392A0F"/>
    <w:rsid w:val="00392A82"/>
    <w:rsid w:val="00392B69"/>
    <w:rsid w:val="00392B7C"/>
    <w:rsid w:val="00392CAB"/>
    <w:rsid w:val="00392CC6"/>
    <w:rsid w:val="00392EB6"/>
    <w:rsid w:val="00392F7F"/>
    <w:rsid w:val="00392F88"/>
    <w:rsid w:val="00392F9A"/>
    <w:rsid w:val="00392FAF"/>
    <w:rsid w:val="00392FB4"/>
    <w:rsid w:val="00393020"/>
    <w:rsid w:val="003931E5"/>
    <w:rsid w:val="003931EF"/>
    <w:rsid w:val="003931FA"/>
    <w:rsid w:val="0039326C"/>
    <w:rsid w:val="00393289"/>
    <w:rsid w:val="003933AF"/>
    <w:rsid w:val="003933D9"/>
    <w:rsid w:val="003934BC"/>
    <w:rsid w:val="00393521"/>
    <w:rsid w:val="003935BD"/>
    <w:rsid w:val="003935CD"/>
    <w:rsid w:val="00393628"/>
    <w:rsid w:val="00393659"/>
    <w:rsid w:val="00393698"/>
    <w:rsid w:val="0039377B"/>
    <w:rsid w:val="00393890"/>
    <w:rsid w:val="003938A5"/>
    <w:rsid w:val="0039394F"/>
    <w:rsid w:val="003939B1"/>
    <w:rsid w:val="00393ABA"/>
    <w:rsid w:val="00393AF7"/>
    <w:rsid w:val="00393B0F"/>
    <w:rsid w:val="00393B18"/>
    <w:rsid w:val="00393C52"/>
    <w:rsid w:val="00393CF1"/>
    <w:rsid w:val="00393D16"/>
    <w:rsid w:val="00393D37"/>
    <w:rsid w:val="00393D94"/>
    <w:rsid w:val="00393DD3"/>
    <w:rsid w:val="00393DDE"/>
    <w:rsid w:val="00393E02"/>
    <w:rsid w:val="00393E0E"/>
    <w:rsid w:val="00393E4A"/>
    <w:rsid w:val="00393E7F"/>
    <w:rsid w:val="00393E87"/>
    <w:rsid w:val="00393F7C"/>
    <w:rsid w:val="00394022"/>
    <w:rsid w:val="003940B8"/>
    <w:rsid w:val="0039416A"/>
    <w:rsid w:val="003941E3"/>
    <w:rsid w:val="003941EC"/>
    <w:rsid w:val="0039420C"/>
    <w:rsid w:val="003942A2"/>
    <w:rsid w:val="003942CC"/>
    <w:rsid w:val="003942EF"/>
    <w:rsid w:val="0039438B"/>
    <w:rsid w:val="003943FB"/>
    <w:rsid w:val="00394401"/>
    <w:rsid w:val="0039445D"/>
    <w:rsid w:val="003944CA"/>
    <w:rsid w:val="003944CC"/>
    <w:rsid w:val="0039456A"/>
    <w:rsid w:val="00394806"/>
    <w:rsid w:val="0039493A"/>
    <w:rsid w:val="00394943"/>
    <w:rsid w:val="0039494A"/>
    <w:rsid w:val="0039494F"/>
    <w:rsid w:val="00394A08"/>
    <w:rsid w:val="00394A2F"/>
    <w:rsid w:val="00394ABD"/>
    <w:rsid w:val="00394AF7"/>
    <w:rsid w:val="00394B2D"/>
    <w:rsid w:val="00394B55"/>
    <w:rsid w:val="00394B98"/>
    <w:rsid w:val="00394C3C"/>
    <w:rsid w:val="00394C49"/>
    <w:rsid w:val="00394C7A"/>
    <w:rsid w:val="00394CA0"/>
    <w:rsid w:val="00394CB3"/>
    <w:rsid w:val="00394CC2"/>
    <w:rsid w:val="00394D05"/>
    <w:rsid w:val="00394DA3"/>
    <w:rsid w:val="00394E01"/>
    <w:rsid w:val="00394E92"/>
    <w:rsid w:val="00394E94"/>
    <w:rsid w:val="00394EA9"/>
    <w:rsid w:val="00395032"/>
    <w:rsid w:val="00395038"/>
    <w:rsid w:val="0039506D"/>
    <w:rsid w:val="00395142"/>
    <w:rsid w:val="003951A2"/>
    <w:rsid w:val="003951F3"/>
    <w:rsid w:val="0039520B"/>
    <w:rsid w:val="00395229"/>
    <w:rsid w:val="00395262"/>
    <w:rsid w:val="0039529A"/>
    <w:rsid w:val="003952B7"/>
    <w:rsid w:val="00395302"/>
    <w:rsid w:val="00395308"/>
    <w:rsid w:val="00395354"/>
    <w:rsid w:val="003953D7"/>
    <w:rsid w:val="00395463"/>
    <w:rsid w:val="00395476"/>
    <w:rsid w:val="003954D8"/>
    <w:rsid w:val="00395514"/>
    <w:rsid w:val="00395580"/>
    <w:rsid w:val="003955A8"/>
    <w:rsid w:val="003955B5"/>
    <w:rsid w:val="00395652"/>
    <w:rsid w:val="0039566E"/>
    <w:rsid w:val="0039568E"/>
    <w:rsid w:val="003956C9"/>
    <w:rsid w:val="0039570B"/>
    <w:rsid w:val="0039577A"/>
    <w:rsid w:val="00395781"/>
    <w:rsid w:val="00395825"/>
    <w:rsid w:val="00395961"/>
    <w:rsid w:val="00395963"/>
    <w:rsid w:val="00395ADA"/>
    <w:rsid w:val="00395C00"/>
    <w:rsid w:val="00395C13"/>
    <w:rsid w:val="00395C65"/>
    <w:rsid w:val="00395D6D"/>
    <w:rsid w:val="00395E08"/>
    <w:rsid w:val="00395EF8"/>
    <w:rsid w:val="00395FA4"/>
    <w:rsid w:val="00395FB9"/>
    <w:rsid w:val="00396100"/>
    <w:rsid w:val="00396131"/>
    <w:rsid w:val="003961EE"/>
    <w:rsid w:val="003962D3"/>
    <w:rsid w:val="0039635E"/>
    <w:rsid w:val="00396375"/>
    <w:rsid w:val="00396483"/>
    <w:rsid w:val="0039648E"/>
    <w:rsid w:val="00396540"/>
    <w:rsid w:val="003965A2"/>
    <w:rsid w:val="003965E3"/>
    <w:rsid w:val="00396627"/>
    <w:rsid w:val="00396727"/>
    <w:rsid w:val="0039675C"/>
    <w:rsid w:val="0039676B"/>
    <w:rsid w:val="003968F5"/>
    <w:rsid w:val="00396907"/>
    <w:rsid w:val="00396970"/>
    <w:rsid w:val="003969D1"/>
    <w:rsid w:val="00396A43"/>
    <w:rsid w:val="00396AD3"/>
    <w:rsid w:val="00396AE0"/>
    <w:rsid w:val="00396B2C"/>
    <w:rsid w:val="00396B3F"/>
    <w:rsid w:val="00396B42"/>
    <w:rsid w:val="00396B45"/>
    <w:rsid w:val="00396B66"/>
    <w:rsid w:val="00396BE1"/>
    <w:rsid w:val="00396C1C"/>
    <w:rsid w:val="00396CA0"/>
    <w:rsid w:val="00396CAC"/>
    <w:rsid w:val="00396D50"/>
    <w:rsid w:val="00396D9A"/>
    <w:rsid w:val="00396DAC"/>
    <w:rsid w:val="00396DD9"/>
    <w:rsid w:val="00396DE0"/>
    <w:rsid w:val="00396E81"/>
    <w:rsid w:val="00396E8B"/>
    <w:rsid w:val="00396EA3"/>
    <w:rsid w:val="00396ECB"/>
    <w:rsid w:val="00396EDF"/>
    <w:rsid w:val="00397076"/>
    <w:rsid w:val="003970E6"/>
    <w:rsid w:val="0039710A"/>
    <w:rsid w:val="00397291"/>
    <w:rsid w:val="0039730D"/>
    <w:rsid w:val="00397348"/>
    <w:rsid w:val="00397355"/>
    <w:rsid w:val="00397397"/>
    <w:rsid w:val="00397398"/>
    <w:rsid w:val="003973BF"/>
    <w:rsid w:val="0039744A"/>
    <w:rsid w:val="003974A2"/>
    <w:rsid w:val="0039750D"/>
    <w:rsid w:val="00397576"/>
    <w:rsid w:val="003975B4"/>
    <w:rsid w:val="003975C0"/>
    <w:rsid w:val="003975FA"/>
    <w:rsid w:val="00397617"/>
    <w:rsid w:val="0039764E"/>
    <w:rsid w:val="00397657"/>
    <w:rsid w:val="00397667"/>
    <w:rsid w:val="00397715"/>
    <w:rsid w:val="00397758"/>
    <w:rsid w:val="0039777A"/>
    <w:rsid w:val="00397781"/>
    <w:rsid w:val="00397799"/>
    <w:rsid w:val="00397859"/>
    <w:rsid w:val="00397884"/>
    <w:rsid w:val="00397885"/>
    <w:rsid w:val="00397895"/>
    <w:rsid w:val="00397954"/>
    <w:rsid w:val="003979D6"/>
    <w:rsid w:val="003979E4"/>
    <w:rsid w:val="00397A0D"/>
    <w:rsid w:val="00397A15"/>
    <w:rsid w:val="00397A94"/>
    <w:rsid w:val="00397B23"/>
    <w:rsid w:val="00397BA1"/>
    <w:rsid w:val="00397CEF"/>
    <w:rsid w:val="00397D77"/>
    <w:rsid w:val="00397DB8"/>
    <w:rsid w:val="00397DBD"/>
    <w:rsid w:val="00397DD2"/>
    <w:rsid w:val="00397E07"/>
    <w:rsid w:val="00397E6E"/>
    <w:rsid w:val="00397E8F"/>
    <w:rsid w:val="00397EBA"/>
    <w:rsid w:val="00397F03"/>
    <w:rsid w:val="00397F70"/>
    <w:rsid w:val="003A0118"/>
    <w:rsid w:val="003A0138"/>
    <w:rsid w:val="003A0145"/>
    <w:rsid w:val="003A014A"/>
    <w:rsid w:val="003A01FF"/>
    <w:rsid w:val="003A020D"/>
    <w:rsid w:val="003A02B5"/>
    <w:rsid w:val="003A02C2"/>
    <w:rsid w:val="003A0331"/>
    <w:rsid w:val="003A0343"/>
    <w:rsid w:val="003A03B4"/>
    <w:rsid w:val="003A03CB"/>
    <w:rsid w:val="003A043B"/>
    <w:rsid w:val="003A0443"/>
    <w:rsid w:val="003A04AF"/>
    <w:rsid w:val="003A04C8"/>
    <w:rsid w:val="003A056D"/>
    <w:rsid w:val="003A0573"/>
    <w:rsid w:val="003A0631"/>
    <w:rsid w:val="003A0669"/>
    <w:rsid w:val="003A0725"/>
    <w:rsid w:val="003A0763"/>
    <w:rsid w:val="003A07B3"/>
    <w:rsid w:val="003A07D6"/>
    <w:rsid w:val="003A07EC"/>
    <w:rsid w:val="003A086C"/>
    <w:rsid w:val="003A0937"/>
    <w:rsid w:val="003A09C3"/>
    <w:rsid w:val="003A09C5"/>
    <w:rsid w:val="003A09DE"/>
    <w:rsid w:val="003A0AD0"/>
    <w:rsid w:val="003A0AD1"/>
    <w:rsid w:val="003A0B4C"/>
    <w:rsid w:val="003A0BE4"/>
    <w:rsid w:val="003A0C62"/>
    <w:rsid w:val="003A0CA0"/>
    <w:rsid w:val="003A0CDA"/>
    <w:rsid w:val="003A0D22"/>
    <w:rsid w:val="003A0D5F"/>
    <w:rsid w:val="003A0D90"/>
    <w:rsid w:val="003A0DC5"/>
    <w:rsid w:val="003A0E6E"/>
    <w:rsid w:val="003A0EA0"/>
    <w:rsid w:val="003A0EE3"/>
    <w:rsid w:val="003A0F36"/>
    <w:rsid w:val="003A0F43"/>
    <w:rsid w:val="003A0F62"/>
    <w:rsid w:val="003A0FD0"/>
    <w:rsid w:val="003A1071"/>
    <w:rsid w:val="003A10CB"/>
    <w:rsid w:val="003A111F"/>
    <w:rsid w:val="003A1162"/>
    <w:rsid w:val="003A1192"/>
    <w:rsid w:val="003A1216"/>
    <w:rsid w:val="003A121F"/>
    <w:rsid w:val="003A12E8"/>
    <w:rsid w:val="003A132A"/>
    <w:rsid w:val="003A132D"/>
    <w:rsid w:val="003A1332"/>
    <w:rsid w:val="003A1366"/>
    <w:rsid w:val="003A1386"/>
    <w:rsid w:val="003A13F6"/>
    <w:rsid w:val="003A13FC"/>
    <w:rsid w:val="003A149E"/>
    <w:rsid w:val="003A14B7"/>
    <w:rsid w:val="003A14D3"/>
    <w:rsid w:val="003A156E"/>
    <w:rsid w:val="003A158D"/>
    <w:rsid w:val="003A15E8"/>
    <w:rsid w:val="003A1625"/>
    <w:rsid w:val="003A164E"/>
    <w:rsid w:val="003A16C8"/>
    <w:rsid w:val="003A16E1"/>
    <w:rsid w:val="003A1752"/>
    <w:rsid w:val="003A176B"/>
    <w:rsid w:val="003A177A"/>
    <w:rsid w:val="003A177B"/>
    <w:rsid w:val="003A1896"/>
    <w:rsid w:val="003A18B0"/>
    <w:rsid w:val="003A18C5"/>
    <w:rsid w:val="003A18FB"/>
    <w:rsid w:val="003A19BC"/>
    <w:rsid w:val="003A19E0"/>
    <w:rsid w:val="003A1A3D"/>
    <w:rsid w:val="003A1A98"/>
    <w:rsid w:val="003A1A9F"/>
    <w:rsid w:val="003A1ACA"/>
    <w:rsid w:val="003A1AEF"/>
    <w:rsid w:val="003A1B07"/>
    <w:rsid w:val="003A1B1E"/>
    <w:rsid w:val="003A1B49"/>
    <w:rsid w:val="003A1B74"/>
    <w:rsid w:val="003A1BA7"/>
    <w:rsid w:val="003A1BB5"/>
    <w:rsid w:val="003A1D04"/>
    <w:rsid w:val="003A1D50"/>
    <w:rsid w:val="003A1D9C"/>
    <w:rsid w:val="003A1DD7"/>
    <w:rsid w:val="003A1DDE"/>
    <w:rsid w:val="003A1E19"/>
    <w:rsid w:val="003A1FC0"/>
    <w:rsid w:val="003A1FFF"/>
    <w:rsid w:val="003A2069"/>
    <w:rsid w:val="003A20FD"/>
    <w:rsid w:val="003A21AA"/>
    <w:rsid w:val="003A21F5"/>
    <w:rsid w:val="003A220B"/>
    <w:rsid w:val="003A23F8"/>
    <w:rsid w:val="003A241F"/>
    <w:rsid w:val="003A2423"/>
    <w:rsid w:val="003A2495"/>
    <w:rsid w:val="003A24A2"/>
    <w:rsid w:val="003A24A3"/>
    <w:rsid w:val="003A2558"/>
    <w:rsid w:val="003A25A8"/>
    <w:rsid w:val="003A25B7"/>
    <w:rsid w:val="003A25C3"/>
    <w:rsid w:val="003A25FA"/>
    <w:rsid w:val="003A268D"/>
    <w:rsid w:val="003A26AD"/>
    <w:rsid w:val="003A26C6"/>
    <w:rsid w:val="003A26ED"/>
    <w:rsid w:val="003A2781"/>
    <w:rsid w:val="003A278F"/>
    <w:rsid w:val="003A2828"/>
    <w:rsid w:val="003A28AC"/>
    <w:rsid w:val="003A29AA"/>
    <w:rsid w:val="003A29AD"/>
    <w:rsid w:val="003A29AF"/>
    <w:rsid w:val="003A29E2"/>
    <w:rsid w:val="003A2A47"/>
    <w:rsid w:val="003A2A7C"/>
    <w:rsid w:val="003A2ADB"/>
    <w:rsid w:val="003A2AE7"/>
    <w:rsid w:val="003A2B01"/>
    <w:rsid w:val="003A2B18"/>
    <w:rsid w:val="003A2B7F"/>
    <w:rsid w:val="003A2C0B"/>
    <w:rsid w:val="003A2C7C"/>
    <w:rsid w:val="003A2C86"/>
    <w:rsid w:val="003A2C95"/>
    <w:rsid w:val="003A2CEA"/>
    <w:rsid w:val="003A2D79"/>
    <w:rsid w:val="003A2D7F"/>
    <w:rsid w:val="003A2DAA"/>
    <w:rsid w:val="003A2DBC"/>
    <w:rsid w:val="003A2E4F"/>
    <w:rsid w:val="003A2E61"/>
    <w:rsid w:val="003A2E6E"/>
    <w:rsid w:val="003A2ECC"/>
    <w:rsid w:val="003A2FC7"/>
    <w:rsid w:val="003A2FE4"/>
    <w:rsid w:val="003A3012"/>
    <w:rsid w:val="003A30F1"/>
    <w:rsid w:val="003A318F"/>
    <w:rsid w:val="003A31C5"/>
    <w:rsid w:val="003A322F"/>
    <w:rsid w:val="003A3233"/>
    <w:rsid w:val="003A329E"/>
    <w:rsid w:val="003A32BD"/>
    <w:rsid w:val="003A32FC"/>
    <w:rsid w:val="003A3316"/>
    <w:rsid w:val="003A338B"/>
    <w:rsid w:val="003A33BF"/>
    <w:rsid w:val="003A33CB"/>
    <w:rsid w:val="003A3414"/>
    <w:rsid w:val="003A349D"/>
    <w:rsid w:val="003A353C"/>
    <w:rsid w:val="003A35A9"/>
    <w:rsid w:val="003A35C1"/>
    <w:rsid w:val="003A35F0"/>
    <w:rsid w:val="003A36BF"/>
    <w:rsid w:val="003A36C1"/>
    <w:rsid w:val="003A371D"/>
    <w:rsid w:val="003A3783"/>
    <w:rsid w:val="003A37C0"/>
    <w:rsid w:val="003A37FA"/>
    <w:rsid w:val="003A387B"/>
    <w:rsid w:val="003A38CA"/>
    <w:rsid w:val="003A38D5"/>
    <w:rsid w:val="003A38F0"/>
    <w:rsid w:val="003A3922"/>
    <w:rsid w:val="003A39D3"/>
    <w:rsid w:val="003A3AC0"/>
    <w:rsid w:val="003A3B64"/>
    <w:rsid w:val="003A3B90"/>
    <w:rsid w:val="003A3B96"/>
    <w:rsid w:val="003A3BDD"/>
    <w:rsid w:val="003A3C09"/>
    <w:rsid w:val="003A3C34"/>
    <w:rsid w:val="003A3CDD"/>
    <w:rsid w:val="003A3D0A"/>
    <w:rsid w:val="003A3DF7"/>
    <w:rsid w:val="003A3E86"/>
    <w:rsid w:val="003A3EBF"/>
    <w:rsid w:val="003A3ED1"/>
    <w:rsid w:val="003A3EFA"/>
    <w:rsid w:val="003A4039"/>
    <w:rsid w:val="003A4041"/>
    <w:rsid w:val="003A4055"/>
    <w:rsid w:val="003A40C6"/>
    <w:rsid w:val="003A412C"/>
    <w:rsid w:val="003A4165"/>
    <w:rsid w:val="003A4181"/>
    <w:rsid w:val="003A428C"/>
    <w:rsid w:val="003A42A4"/>
    <w:rsid w:val="003A42FC"/>
    <w:rsid w:val="003A431A"/>
    <w:rsid w:val="003A433C"/>
    <w:rsid w:val="003A4346"/>
    <w:rsid w:val="003A44F6"/>
    <w:rsid w:val="003A4549"/>
    <w:rsid w:val="003A4736"/>
    <w:rsid w:val="003A4788"/>
    <w:rsid w:val="003A4798"/>
    <w:rsid w:val="003A47C8"/>
    <w:rsid w:val="003A47E3"/>
    <w:rsid w:val="003A483C"/>
    <w:rsid w:val="003A48CE"/>
    <w:rsid w:val="003A493B"/>
    <w:rsid w:val="003A49EB"/>
    <w:rsid w:val="003A4ACC"/>
    <w:rsid w:val="003A4B05"/>
    <w:rsid w:val="003A4B98"/>
    <w:rsid w:val="003A4BB4"/>
    <w:rsid w:val="003A4BC2"/>
    <w:rsid w:val="003A4BD3"/>
    <w:rsid w:val="003A4BD8"/>
    <w:rsid w:val="003A4C40"/>
    <w:rsid w:val="003A4D0C"/>
    <w:rsid w:val="003A4D10"/>
    <w:rsid w:val="003A4D49"/>
    <w:rsid w:val="003A4DB7"/>
    <w:rsid w:val="003A4DC5"/>
    <w:rsid w:val="003A4E05"/>
    <w:rsid w:val="003A4EC1"/>
    <w:rsid w:val="003A4EF7"/>
    <w:rsid w:val="003A4F07"/>
    <w:rsid w:val="003A4F61"/>
    <w:rsid w:val="003A4FD7"/>
    <w:rsid w:val="003A506A"/>
    <w:rsid w:val="003A50B4"/>
    <w:rsid w:val="003A50D9"/>
    <w:rsid w:val="003A517C"/>
    <w:rsid w:val="003A518B"/>
    <w:rsid w:val="003A51BF"/>
    <w:rsid w:val="003A51C7"/>
    <w:rsid w:val="003A51D2"/>
    <w:rsid w:val="003A5210"/>
    <w:rsid w:val="003A5233"/>
    <w:rsid w:val="003A52B8"/>
    <w:rsid w:val="003A5374"/>
    <w:rsid w:val="003A53B2"/>
    <w:rsid w:val="003A5488"/>
    <w:rsid w:val="003A5496"/>
    <w:rsid w:val="003A551D"/>
    <w:rsid w:val="003A55E8"/>
    <w:rsid w:val="003A560A"/>
    <w:rsid w:val="003A5638"/>
    <w:rsid w:val="003A567F"/>
    <w:rsid w:val="003A5680"/>
    <w:rsid w:val="003A569C"/>
    <w:rsid w:val="003A56DA"/>
    <w:rsid w:val="003A56F5"/>
    <w:rsid w:val="003A571A"/>
    <w:rsid w:val="003A572A"/>
    <w:rsid w:val="003A5779"/>
    <w:rsid w:val="003A57BF"/>
    <w:rsid w:val="003A57F7"/>
    <w:rsid w:val="003A5811"/>
    <w:rsid w:val="003A582F"/>
    <w:rsid w:val="003A5879"/>
    <w:rsid w:val="003A587C"/>
    <w:rsid w:val="003A590D"/>
    <w:rsid w:val="003A594E"/>
    <w:rsid w:val="003A59DE"/>
    <w:rsid w:val="003A59F3"/>
    <w:rsid w:val="003A5A4B"/>
    <w:rsid w:val="003A5B6A"/>
    <w:rsid w:val="003A5BEE"/>
    <w:rsid w:val="003A5C49"/>
    <w:rsid w:val="003A5CA5"/>
    <w:rsid w:val="003A5CE4"/>
    <w:rsid w:val="003A5CEC"/>
    <w:rsid w:val="003A5D1D"/>
    <w:rsid w:val="003A5D8E"/>
    <w:rsid w:val="003A5EA3"/>
    <w:rsid w:val="003A5EC1"/>
    <w:rsid w:val="003A5EC4"/>
    <w:rsid w:val="003A5EEB"/>
    <w:rsid w:val="003A5F39"/>
    <w:rsid w:val="003A5F42"/>
    <w:rsid w:val="003A5F9C"/>
    <w:rsid w:val="003A600E"/>
    <w:rsid w:val="003A60EB"/>
    <w:rsid w:val="003A60ED"/>
    <w:rsid w:val="003A6156"/>
    <w:rsid w:val="003A616A"/>
    <w:rsid w:val="003A618E"/>
    <w:rsid w:val="003A61F3"/>
    <w:rsid w:val="003A621E"/>
    <w:rsid w:val="003A6384"/>
    <w:rsid w:val="003A63C3"/>
    <w:rsid w:val="003A6403"/>
    <w:rsid w:val="003A64CD"/>
    <w:rsid w:val="003A652C"/>
    <w:rsid w:val="003A654A"/>
    <w:rsid w:val="003A65B6"/>
    <w:rsid w:val="003A65EC"/>
    <w:rsid w:val="003A668B"/>
    <w:rsid w:val="003A66C2"/>
    <w:rsid w:val="003A66DE"/>
    <w:rsid w:val="003A6741"/>
    <w:rsid w:val="003A677E"/>
    <w:rsid w:val="003A6800"/>
    <w:rsid w:val="003A6803"/>
    <w:rsid w:val="003A686E"/>
    <w:rsid w:val="003A6896"/>
    <w:rsid w:val="003A68B9"/>
    <w:rsid w:val="003A699D"/>
    <w:rsid w:val="003A6A0C"/>
    <w:rsid w:val="003A6ABB"/>
    <w:rsid w:val="003A6AE3"/>
    <w:rsid w:val="003A6B0B"/>
    <w:rsid w:val="003A6BAB"/>
    <w:rsid w:val="003A6BDD"/>
    <w:rsid w:val="003A6BFA"/>
    <w:rsid w:val="003A6C45"/>
    <w:rsid w:val="003A6C6C"/>
    <w:rsid w:val="003A6C76"/>
    <w:rsid w:val="003A6CAF"/>
    <w:rsid w:val="003A6CCA"/>
    <w:rsid w:val="003A6D36"/>
    <w:rsid w:val="003A6D64"/>
    <w:rsid w:val="003A6E4D"/>
    <w:rsid w:val="003A6E52"/>
    <w:rsid w:val="003A6E71"/>
    <w:rsid w:val="003A6F17"/>
    <w:rsid w:val="003A6F2E"/>
    <w:rsid w:val="003A6FE8"/>
    <w:rsid w:val="003A703A"/>
    <w:rsid w:val="003A704A"/>
    <w:rsid w:val="003A7060"/>
    <w:rsid w:val="003A7067"/>
    <w:rsid w:val="003A706F"/>
    <w:rsid w:val="003A70D1"/>
    <w:rsid w:val="003A711F"/>
    <w:rsid w:val="003A71BD"/>
    <w:rsid w:val="003A71C0"/>
    <w:rsid w:val="003A71F4"/>
    <w:rsid w:val="003A7220"/>
    <w:rsid w:val="003A723E"/>
    <w:rsid w:val="003A7282"/>
    <w:rsid w:val="003A7292"/>
    <w:rsid w:val="003A72DE"/>
    <w:rsid w:val="003A7337"/>
    <w:rsid w:val="003A7347"/>
    <w:rsid w:val="003A73AA"/>
    <w:rsid w:val="003A7422"/>
    <w:rsid w:val="003A7430"/>
    <w:rsid w:val="003A7459"/>
    <w:rsid w:val="003A7476"/>
    <w:rsid w:val="003A7509"/>
    <w:rsid w:val="003A7512"/>
    <w:rsid w:val="003A7577"/>
    <w:rsid w:val="003A757C"/>
    <w:rsid w:val="003A75E1"/>
    <w:rsid w:val="003A7608"/>
    <w:rsid w:val="003A7685"/>
    <w:rsid w:val="003A76A2"/>
    <w:rsid w:val="003A76C1"/>
    <w:rsid w:val="003A778D"/>
    <w:rsid w:val="003A7893"/>
    <w:rsid w:val="003A792B"/>
    <w:rsid w:val="003A79B6"/>
    <w:rsid w:val="003A79F6"/>
    <w:rsid w:val="003A7A0C"/>
    <w:rsid w:val="003A7A83"/>
    <w:rsid w:val="003A7A91"/>
    <w:rsid w:val="003A7ACF"/>
    <w:rsid w:val="003A7ADE"/>
    <w:rsid w:val="003A7B2C"/>
    <w:rsid w:val="003A7B58"/>
    <w:rsid w:val="003A7BC2"/>
    <w:rsid w:val="003A7BCB"/>
    <w:rsid w:val="003A7BEA"/>
    <w:rsid w:val="003A7D5A"/>
    <w:rsid w:val="003A7DEB"/>
    <w:rsid w:val="003A7DF3"/>
    <w:rsid w:val="003A7DFF"/>
    <w:rsid w:val="003A7E03"/>
    <w:rsid w:val="003A7E2A"/>
    <w:rsid w:val="003A7E50"/>
    <w:rsid w:val="003A7EFD"/>
    <w:rsid w:val="003A7F0C"/>
    <w:rsid w:val="003A7FEA"/>
    <w:rsid w:val="003B013C"/>
    <w:rsid w:val="003B016E"/>
    <w:rsid w:val="003B01D8"/>
    <w:rsid w:val="003B01E3"/>
    <w:rsid w:val="003B01EC"/>
    <w:rsid w:val="003B0253"/>
    <w:rsid w:val="003B02E2"/>
    <w:rsid w:val="003B031A"/>
    <w:rsid w:val="003B0363"/>
    <w:rsid w:val="003B03F6"/>
    <w:rsid w:val="003B04EB"/>
    <w:rsid w:val="003B052F"/>
    <w:rsid w:val="003B0554"/>
    <w:rsid w:val="003B0568"/>
    <w:rsid w:val="003B0569"/>
    <w:rsid w:val="003B06D3"/>
    <w:rsid w:val="003B0730"/>
    <w:rsid w:val="003B07BC"/>
    <w:rsid w:val="003B07DA"/>
    <w:rsid w:val="003B07ED"/>
    <w:rsid w:val="003B08C2"/>
    <w:rsid w:val="003B08C4"/>
    <w:rsid w:val="003B08CC"/>
    <w:rsid w:val="003B0902"/>
    <w:rsid w:val="003B091C"/>
    <w:rsid w:val="003B094F"/>
    <w:rsid w:val="003B09FE"/>
    <w:rsid w:val="003B0A15"/>
    <w:rsid w:val="003B0A2F"/>
    <w:rsid w:val="003B0A56"/>
    <w:rsid w:val="003B0A8B"/>
    <w:rsid w:val="003B0AD0"/>
    <w:rsid w:val="003B0BDB"/>
    <w:rsid w:val="003B0CA1"/>
    <w:rsid w:val="003B0D2B"/>
    <w:rsid w:val="003B0D3F"/>
    <w:rsid w:val="003B0D87"/>
    <w:rsid w:val="003B0E39"/>
    <w:rsid w:val="003B0E4D"/>
    <w:rsid w:val="003B0E6C"/>
    <w:rsid w:val="003B0E96"/>
    <w:rsid w:val="003B0E9A"/>
    <w:rsid w:val="003B0EE3"/>
    <w:rsid w:val="003B0F09"/>
    <w:rsid w:val="003B0F12"/>
    <w:rsid w:val="003B1014"/>
    <w:rsid w:val="003B1050"/>
    <w:rsid w:val="003B105C"/>
    <w:rsid w:val="003B1067"/>
    <w:rsid w:val="003B10CC"/>
    <w:rsid w:val="003B10D4"/>
    <w:rsid w:val="003B10ED"/>
    <w:rsid w:val="003B11AE"/>
    <w:rsid w:val="003B11BB"/>
    <w:rsid w:val="003B13FE"/>
    <w:rsid w:val="003B1465"/>
    <w:rsid w:val="003B14D3"/>
    <w:rsid w:val="003B14FF"/>
    <w:rsid w:val="003B1517"/>
    <w:rsid w:val="003B1524"/>
    <w:rsid w:val="003B156F"/>
    <w:rsid w:val="003B157D"/>
    <w:rsid w:val="003B1581"/>
    <w:rsid w:val="003B15BA"/>
    <w:rsid w:val="003B162F"/>
    <w:rsid w:val="003B1672"/>
    <w:rsid w:val="003B1699"/>
    <w:rsid w:val="003B16A5"/>
    <w:rsid w:val="003B1713"/>
    <w:rsid w:val="003B1750"/>
    <w:rsid w:val="003B1781"/>
    <w:rsid w:val="003B17B2"/>
    <w:rsid w:val="003B17E3"/>
    <w:rsid w:val="003B1899"/>
    <w:rsid w:val="003B18B7"/>
    <w:rsid w:val="003B18DF"/>
    <w:rsid w:val="003B18E1"/>
    <w:rsid w:val="003B190F"/>
    <w:rsid w:val="003B1956"/>
    <w:rsid w:val="003B1980"/>
    <w:rsid w:val="003B1A99"/>
    <w:rsid w:val="003B1AA9"/>
    <w:rsid w:val="003B1ACB"/>
    <w:rsid w:val="003B1B24"/>
    <w:rsid w:val="003B1B89"/>
    <w:rsid w:val="003B1BE7"/>
    <w:rsid w:val="003B1C10"/>
    <w:rsid w:val="003B1CE8"/>
    <w:rsid w:val="003B1CFD"/>
    <w:rsid w:val="003B1D4E"/>
    <w:rsid w:val="003B1E83"/>
    <w:rsid w:val="003B1EF2"/>
    <w:rsid w:val="003B1EF7"/>
    <w:rsid w:val="003B1F34"/>
    <w:rsid w:val="003B1F7B"/>
    <w:rsid w:val="003B1FAC"/>
    <w:rsid w:val="003B1FBE"/>
    <w:rsid w:val="003B2030"/>
    <w:rsid w:val="003B206C"/>
    <w:rsid w:val="003B2099"/>
    <w:rsid w:val="003B20E2"/>
    <w:rsid w:val="003B20F1"/>
    <w:rsid w:val="003B20FC"/>
    <w:rsid w:val="003B2100"/>
    <w:rsid w:val="003B21F2"/>
    <w:rsid w:val="003B2210"/>
    <w:rsid w:val="003B2260"/>
    <w:rsid w:val="003B229F"/>
    <w:rsid w:val="003B22AD"/>
    <w:rsid w:val="003B22C7"/>
    <w:rsid w:val="003B2300"/>
    <w:rsid w:val="003B2308"/>
    <w:rsid w:val="003B231E"/>
    <w:rsid w:val="003B233A"/>
    <w:rsid w:val="003B2440"/>
    <w:rsid w:val="003B2445"/>
    <w:rsid w:val="003B24BE"/>
    <w:rsid w:val="003B24D2"/>
    <w:rsid w:val="003B24EC"/>
    <w:rsid w:val="003B253E"/>
    <w:rsid w:val="003B2549"/>
    <w:rsid w:val="003B2563"/>
    <w:rsid w:val="003B260A"/>
    <w:rsid w:val="003B2620"/>
    <w:rsid w:val="003B273D"/>
    <w:rsid w:val="003B2774"/>
    <w:rsid w:val="003B27F1"/>
    <w:rsid w:val="003B286C"/>
    <w:rsid w:val="003B28E8"/>
    <w:rsid w:val="003B296F"/>
    <w:rsid w:val="003B2997"/>
    <w:rsid w:val="003B2A7A"/>
    <w:rsid w:val="003B2A7E"/>
    <w:rsid w:val="003B2AAA"/>
    <w:rsid w:val="003B2AFF"/>
    <w:rsid w:val="003B2B44"/>
    <w:rsid w:val="003B2B59"/>
    <w:rsid w:val="003B2B8A"/>
    <w:rsid w:val="003B2BAA"/>
    <w:rsid w:val="003B2BD1"/>
    <w:rsid w:val="003B2C12"/>
    <w:rsid w:val="003B2C39"/>
    <w:rsid w:val="003B2CD0"/>
    <w:rsid w:val="003B2CF6"/>
    <w:rsid w:val="003B2D27"/>
    <w:rsid w:val="003B2D53"/>
    <w:rsid w:val="003B2E28"/>
    <w:rsid w:val="003B2EF5"/>
    <w:rsid w:val="003B2F10"/>
    <w:rsid w:val="003B2F49"/>
    <w:rsid w:val="003B2F53"/>
    <w:rsid w:val="003B2FEC"/>
    <w:rsid w:val="003B2FF2"/>
    <w:rsid w:val="003B307E"/>
    <w:rsid w:val="003B3178"/>
    <w:rsid w:val="003B31B6"/>
    <w:rsid w:val="003B32BB"/>
    <w:rsid w:val="003B338F"/>
    <w:rsid w:val="003B3392"/>
    <w:rsid w:val="003B3413"/>
    <w:rsid w:val="003B3417"/>
    <w:rsid w:val="003B3419"/>
    <w:rsid w:val="003B347E"/>
    <w:rsid w:val="003B347F"/>
    <w:rsid w:val="003B3494"/>
    <w:rsid w:val="003B3498"/>
    <w:rsid w:val="003B3594"/>
    <w:rsid w:val="003B359E"/>
    <w:rsid w:val="003B364A"/>
    <w:rsid w:val="003B3727"/>
    <w:rsid w:val="003B373C"/>
    <w:rsid w:val="003B3755"/>
    <w:rsid w:val="003B3789"/>
    <w:rsid w:val="003B3795"/>
    <w:rsid w:val="003B37B0"/>
    <w:rsid w:val="003B389A"/>
    <w:rsid w:val="003B38C8"/>
    <w:rsid w:val="003B3929"/>
    <w:rsid w:val="003B3A39"/>
    <w:rsid w:val="003B3AB1"/>
    <w:rsid w:val="003B3BB2"/>
    <w:rsid w:val="003B3C1D"/>
    <w:rsid w:val="003B3CC6"/>
    <w:rsid w:val="003B3D7E"/>
    <w:rsid w:val="003B3D84"/>
    <w:rsid w:val="003B3D95"/>
    <w:rsid w:val="003B3E7A"/>
    <w:rsid w:val="003B3E92"/>
    <w:rsid w:val="003B3EC1"/>
    <w:rsid w:val="003B3ED3"/>
    <w:rsid w:val="003B3F04"/>
    <w:rsid w:val="003B3F91"/>
    <w:rsid w:val="003B3FC2"/>
    <w:rsid w:val="003B4061"/>
    <w:rsid w:val="003B40AC"/>
    <w:rsid w:val="003B40CC"/>
    <w:rsid w:val="003B4120"/>
    <w:rsid w:val="003B4134"/>
    <w:rsid w:val="003B4163"/>
    <w:rsid w:val="003B4181"/>
    <w:rsid w:val="003B41FF"/>
    <w:rsid w:val="003B42C4"/>
    <w:rsid w:val="003B433A"/>
    <w:rsid w:val="003B436D"/>
    <w:rsid w:val="003B438D"/>
    <w:rsid w:val="003B43B0"/>
    <w:rsid w:val="003B43F7"/>
    <w:rsid w:val="003B4414"/>
    <w:rsid w:val="003B4446"/>
    <w:rsid w:val="003B44C5"/>
    <w:rsid w:val="003B451C"/>
    <w:rsid w:val="003B45CD"/>
    <w:rsid w:val="003B4661"/>
    <w:rsid w:val="003B46FB"/>
    <w:rsid w:val="003B4709"/>
    <w:rsid w:val="003B4747"/>
    <w:rsid w:val="003B482B"/>
    <w:rsid w:val="003B4840"/>
    <w:rsid w:val="003B487D"/>
    <w:rsid w:val="003B49BD"/>
    <w:rsid w:val="003B49FF"/>
    <w:rsid w:val="003B4A39"/>
    <w:rsid w:val="003B4A52"/>
    <w:rsid w:val="003B4A8C"/>
    <w:rsid w:val="003B4AC8"/>
    <w:rsid w:val="003B4ACA"/>
    <w:rsid w:val="003B4AFE"/>
    <w:rsid w:val="003B4BA1"/>
    <w:rsid w:val="003B4BE2"/>
    <w:rsid w:val="003B4BEE"/>
    <w:rsid w:val="003B4C1B"/>
    <w:rsid w:val="003B4CA8"/>
    <w:rsid w:val="003B4D23"/>
    <w:rsid w:val="003B4D62"/>
    <w:rsid w:val="003B4DCC"/>
    <w:rsid w:val="003B4DD4"/>
    <w:rsid w:val="003B4EEA"/>
    <w:rsid w:val="003B4F4B"/>
    <w:rsid w:val="003B50E3"/>
    <w:rsid w:val="003B51CC"/>
    <w:rsid w:val="003B5244"/>
    <w:rsid w:val="003B536D"/>
    <w:rsid w:val="003B536F"/>
    <w:rsid w:val="003B53BC"/>
    <w:rsid w:val="003B53DD"/>
    <w:rsid w:val="003B5486"/>
    <w:rsid w:val="003B5566"/>
    <w:rsid w:val="003B5659"/>
    <w:rsid w:val="003B566F"/>
    <w:rsid w:val="003B56E3"/>
    <w:rsid w:val="003B5714"/>
    <w:rsid w:val="003B5739"/>
    <w:rsid w:val="003B574A"/>
    <w:rsid w:val="003B5780"/>
    <w:rsid w:val="003B57C2"/>
    <w:rsid w:val="003B5833"/>
    <w:rsid w:val="003B58C9"/>
    <w:rsid w:val="003B58E2"/>
    <w:rsid w:val="003B5908"/>
    <w:rsid w:val="003B59CF"/>
    <w:rsid w:val="003B59EC"/>
    <w:rsid w:val="003B5A2E"/>
    <w:rsid w:val="003B5AE0"/>
    <w:rsid w:val="003B5B22"/>
    <w:rsid w:val="003B5B3E"/>
    <w:rsid w:val="003B5BE1"/>
    <w:rsid w:val="003B5C22"/>
    <w:rsid w:val="003B5C32"/>
    <w:rsid w:val="003B5C50"/>
    <w:rsid w:val="003B5CA1"/>
    <w:rsid w:val="003B5D00"/>
    <w:rsid w:val="003B5D2E"/>
    <w:rsid w:val="003B5DBB"/>
    <w:rsid w:val="003B5DEB"/>
    <w:rsid w:val="003B5E82"/>
    <w:rsid w:val="003B5EB2"/>
    <w:rsid w:val="003B5EC8"/>
    <w:rsid w:val="003B5EF1"/>
    <w:rsid w:val="003B5F50"/>
    <w:rsid w:val="003B5F7B"/>
    <w:rsid w:val="003B601F"/>
    <w:rsid w:val="003B613D"/>
    <w:rsid w:val="003B6142"/>
    <w:rsid w:val="003B615F"/>
    <w:rsid w:val="003B618F"/>
    <w:rsid w:val="003B61BC"/>
    <w:rsid w:val="003B62E2"/>
    <w:rsid w:val="003B6386"/>
    <w:rsid w:val="003B63A9"/>
    <w:rsid w:val="003B63C9"/>
    <w:rsid w:val="003B649F"/>
    <w:rsid w:val="003B651C"/>
    <w:rsid w:val="003B6532"/>
    <w:rsid w:val="003B655B"/>
    <w:rsid w:val="003B65FF"/>
    <w:rsid w:val="003B6658"/>
    <w:rsid w:val="003B6667"/>
    <w:rsid w:val="003B6671"/>
    <w:rsid w:val="003B66C4"/>
    <w:rsid w:val="003B6708"/>
    <w:rsid w:val="003B6748"/>
    <w:rsid w:val="003B6814"/>
    <w:rsid w:val="003B6854"/>
    <w:rsid w:val="003B68DA"/>
    <w:rsid w:val="003B6917"/>
    <w:rsid w:val="003B6951"/>
    <w:rsid w:val="003B69E3"/>
    <w:rsid w:val="003B69EE"/>
    <w:rsid w:val="003B69F0"/>
    <w:rsid w:val="003B6A5D"/>
    <w:rsid w:val="003B6B0E"/>
    <w:rsid w:val="003B6B92"/>
    <w:rsid w:val="003B6BED"/>
    <w:rsid w:val="003B6C19"/>
    <w:rsid w:val="003B6CC4"/>
    <w:rsid w:val="003B6D3E"/>
    <w:rsid w:val="003B6D48"/>
    <w:rsid w:val="003B6D5D"/>
    <w:rsid w:val="003B6D8D"/>
    <w:rsid w:val="003B6E00"/>
    <w:rsid w:val="003B6E56"/>
    <w:rsid w:val="003B6E75"/>
    <w:rsid w:val="003B6E9C"/>
    <w:rsid w:val="003B6F14"/>
    <w:rsid w:val="003B6F18"/>
    <w:rsid w:val="003B6F2D"/>
    <w:rsid w:val="003B70D2"/>
    <w:rsid w:val="003B7190"/>
    <w:rsid w:val="003B71B5"/>
    <w:rsid w:val="003B71C3"/>
    <w:rsid w:val="003B725B"/>
    <w:rsid w:val="003B72D1"/>
    <w:rsid w:val="003B72F0"/>
    <w:rsid w:val="003B7390"/>
    <w:rsid w:val="003B741E"/>
    <w:rsid w:val="003B7461"/>
    <w:rsid w:val="003B752D"/>
    <w:rsid w:val="003B75E9"/>
    <w:rsid w:val="003B7699"/>
    <w:rsid w:val="003B76DC"/>
    <w:rsid w:val="003B76DF"/>
    <w:rsid w:val="003B76F1"/>
    <w:rsid w:val="003B7725"/>
    <w:rsid w:val="003B779A"/>
    <w:rsid w:val="003B77B2"/>
    <w:rsid w:val="003B780E"/>
    <w:rsid w:val="003B784A"/>
    <w:rsid w:val="003B7872"/>
    <w:rsid w:val="003B78F0"/>
    <w:rsid w:val="003B7979"/>
    <w:rsid w:val="003B79E3"/>
    <w:rsid w:val="003B7AD4"/>
    <w:rsid w:val="003B7B9A"/>
    <w:rsid w:val="003B7BF1"/>
    <w:rsid w:val="003B7C49"/>
    <w:rsid w:val="003B7CE1"/>
    <w:rsid w:val="003B7D3C"/>
    <w:rsid w:val="003B7D67"/>
    <w:rsid w:val="003B7D6F"/>
    <w:rsid w:val="003B7DD8"/>
    <w:rsid w:val="003B7DEE"/>
    <w:rsid w:val="003B7E14"/>
    <w:rsid w:val="003B7E7E"/>
    <w:rsid w:val="003B7EA5"/>
    <w:rsid w:val="003B7F5F"/>
    <w:rsid w:val="003B7F74"/>
    <w:rsid w:val="003B7F99"/>
    <w:rsid w:val="003B7FAF"/>
    <w:rsid w:val="003B7FCC"/>
    <w:rsid w:val="003C0033"/>
    <w:rsid w:val="003C00A1"/>
    <w:rsid w:val="003C00B4"/>
    <w:rsid w:val="003C00D9"/>
    <w:rsid w:val="003C010B"/>
    <w:rsid w:val="003C014C"/>
    <w:rsid w:val="003C0164"/>
    <w:rsid w:val="003C0195"/>
    <w:rsid w:val="003C019D"/>
    <w:rsid w:val="003C01CE"/>
    <w:rsid w:val="003C01DE"/>
    <w:rsid w:val="003C01F2"/>
    <w:rsid w:val="003C0243"/>
    <w:rsid w:val="003C025F"/>
    <w:rsid w:val="003C0265"/>
    <w:rsid w:val="003C0316"/>
    <w:rsid w:val="003C0319"/>
    <w:rsid w:val="003C031D"/>
    <w:rsid w:val="003C038D"/>
    <w:rsid w:val="003C0430"/>
    <w:rsid w:val="003C0471"/>
    <w:rsid w:val="003C0551"/>
    <w:rsid w:val="003C05AE"/>
    <w:rsid w:val="003C05CC"/>
    <w:rsid w:val="003C0634"/>
    <w:rsid w:val="003C071D"/>
    <w:rsid w:val="003C0877"/>
    <w:rsid w:val="003C08E2"/>
    <w:rsid w:val="003C09AD"/>
    <w:rsid w:val="003C09B0"/>
    <w:rsid w:val="003C09B8"/>
    <w:rsid w:val="003C0A1C"/>
    <w:rsid w:val="003C0A2A"/>
    <w:rsid w:val="003C0A78"/>
    <w:rsid w:val="003C0B02"/>
    <w:rsid w:val="003C0B19"/>
    <w:rsid w:val="003C0B4C"/>
    <w:rsid w:val="003C0B56"/>
    <w:rsid w:val="003C0B71"/>
    <w:rsid w:val="003C0B83"/>
    <w:rsid w:val="003C0BB0"/>
    <w:rsid w:val="003C0C36"/>
    <w:rsid w:val="003C0CB4"/>
    <w:rsid w:val="003C0CEE"/>
    <w:rsid w:val="003C0D46"/>
    <w:rsid w:val="003C0DD9"/>
    <w:rsid w:val="003C0E6E"/>
    <w:rsid w:val="003C0EB1"/>
    <w:rsid w:val="003C0EDB"/>
    <w:rsid w:val="003C0F01"/>
    <w:rsid w:val="003C1047"/>
    <w:rsid w:val="003C1064"/>
    <w:rsid w:val="003C10AB"/>
    <w:rsid w:val="003C10BB"/>
    <w:rsid w:val="003C1181"/>
    <w:rsid w:val="003C11FA"/>
    <w:rsid w:val="003C1237"/>
    <w:rsid w:val="003C135B"/>
    <w:rsid w:val="003C13A2"/>
    <w:rsid w:val="003C13DE"/>
    <w:rsid w:val="003C140F"/>
    <w:rsid w:val="003C145E"/>
    <w:rsid w:val="003C148D"/>
    <w:rsid w:val="003C155B"/>
    <w:rsid w:val="003C1582"/>
    <w:rsid w:val="003C15C0"/>
    <w:rsid w:val="003C165A"/>
    <w:rsid w:val="003C166E"/>
    <w:rsid w:val="003C170C"/>
    <w:rsid w:val="003C170E"/>
    <w:rsid w:val="003C17CC"/>
    <w:rsid w:val="003C17F7"/>
    <w:rsid w:val="003C1809"/>
    <w:rsid w:val="003C187C"/>
    <w:rsid w:val="003C1909"/>
    <w:rsid w:val="003C198F"/>
    <w:rsid w:val="003C19E9"/>
    <w:rsid w:val="003C1B3F"/>
    <w:rsid w:val="003C1BAC"/>
    <w:rsid w:val="003C1BB5"/>
    <w:rsid w:val="003C1BDD"/>
    <w:rsid w:val="003C1C11"/>
    <w:rsid w:val="003C1C98"/>
    <w:rsid w:val="003C1C9F"/>
    <w:rsid w:val="003C1DA8"/>
    <w:rsid w:val="003C1E22"/>
    <w:rsid w:val="003C1F37"/>
    <w:rsid w:val="003C1F83"/>
    <w:rsid w:val="003C1F91"/>
    <w:rsid w:val="003C204A"/>
    <w:rsid w:val="003C20EA"/>
    <w:rsid w:val="003C2229"/>
    <w:rsid w:val="003C227D"/>
    <w:rsid w:val="003C235C"/>
    <w:rsid w:val="003C242F"/>
    <w:rsid w:val="003C249A"/>
    <w:rsid w:val="003C2612"/>
    <w:rsid w:val="003C265C"/>
    <w:rsid w:val="003C2689"/>
    <w:rsid w:val="003C271A"/>
    <w:rsid w:val="003C2721"/>
    <w:rsid w:val="003C27AD"/>
    <w:rsid w:val="003C2824"/>
    <w:rsid w:val="003C296B"/>
    <w:rsid w:val="003C2A02"/>
    <w:rsid w:val="003C2A87"/>
    <w:rsid w:val="003C2A97"/>
    <w:rsid w:val="003C2AA0"/>
    <w:rsid w:val="003C2AC4"/>
    <w:rsid w:val="003C2B14"/>
    <w:rsid w:val="003C2B26"/>
    <w:rsid w:val="003C2BD3"/>
    <w:rsid w:val="003C2C6A"/>
    <w:rsid w:val="003C2C81"/>
    <w:rsid w:val="003C2CDE"/>
    <w:rsid w:val="003C2D63"/>
    <w:rsid w:val="003C2DB6"/>
    <w:rsid w:val="003C2F6E"/>
    <w:rsid w:val="003C2FCD"/>
    <w:rsid w:val="003C2FE2"/>
    <w:rsid w:val="003C302A"/>
    <w:rsid w:val="003C304D"/>
    <w:rsid w:val="003C30EF"/>
    <w:rsid w:val="003C3107"/>
    <w:rsid w:val="003C3167"/>
    <w:rsid w:val="003C321B"/>
    <w:rsid w:val="003C3274"/>
    <w:rsid w:val="003C32A9"/>
    <w:rsid w:val="003C32DD"/>
    <w:rsid w:val="003C335E"/>
    <w:rsid w:val="003C33ED"/>
    <w:rsid w:val="003C3423"/>
    <w:rsid w:val="003C3439"/>
    <w:rsid w:val="003C3493"/>
    <w:rsid w:val="003C34A5"/>
    <w:rsid w:val="003C3535"/>
    <w:rsid w:val="003C35DC"/>
    <w:rsid w:val="003C362E"/>
    <w:rsid w:val="003C3666"/>
    <w:rsid w:val="003C366F"/>
    <w:rsid w:val="003C367A"/>
    <w:rsid w:val="003C36A8"/>
    <w:rsid w:val="003C370A"/>
    <w:rsid w:val="003C3733"/>
    <w:rsid w:val="003C37FF"/>
    <w:rsid w:val="003C38F4"/>
    <w:rsid w:val="003C3902"/>
    <w:rsid w:val="003C394C"/>
    <w:rsid w:val="003C3960"/>
    <w:rsid w:val="003C3995"/>
    <w:rsid w:val="003C399A"/>
    <w:rsid w:val="003C3A07"/>
    <w:rsid w:val="003C3A4B"/>
    <w:rsid w:val="003C3A87"/>
    <w:rsid w:val="003C3A9B"/>
    <w:rsid w:val="003C3B14"/>
    <w:rsid w:val="003C3B55"/>
    <w:rsid w:val="003C3B91"/>
    <w:rsid w:val="003C3B96"/>
    <w:rsid w:val="003C3BE5"/>
    <w:rsid w:val="003C3C0C"/>
    <w:rsid w:val="003C3C51"/>
    <w:rsid w:val="003C3C74"/>
    <w:rsid w:val="003C3C7B"/>
    <w:rsid w:val="003C3CAD"/>
    <w:rsid w:val="003C3D91"/>
    <w:rsid w:val="003C3EE4"/>
    <w:rsid w:val="003C3FC4"/>
    <w:rsid w:val="003C3FEF"/>
    <w:rsid w:val="003C40B5"/>
    <w:rsid w:val="003C4148"/>
    <w:rsid w:val="003C415F"/>
    <w:rsid w:val="003C4189"/>
    <w:rsid w:val="003C42CE"/>
    <w:rsid w:val="003C4306"/>
    <w:rsid w:val="003C4348"/>
    <w:rsid w:val="003C43A7"/>
    <w:rsid w:val="003C4565"/>
    <w:rsid w:val="003C45CC"/>
    <w:rsid w:val="003C466A"/>
    <w:rsid w:val="003C4738"/>
    <w:rsid w:val="003C47CF"/>
    <w:rsid w:val="003C47FE"/>
    <w:rsid w:val="003C4813"/>
    <w:rsid w:val="003C486E"/>
    <w:rsid w:val="003C491B"/>
    <w:rsid w:val="003C49F5"/>
    <w:rsid w:val="003C4A03"/>
    <w:rsid w:val="003C4ACF"/>
    <w:rsid w:val="003C4BEE"/>
    <w:rsid w:val="003C4CC3"/>
    <w:rsid w:val="003C4CCC"/>
    <w:rsid w:val="003C4D36"/>
    <w:rsid w:val="003C4DAC"/>
    <w:rsid w:val="003C4EAE"/>
    <w:rsid w:val="003C4EAF"/>
    <w:rsid w:val="003C4EBA"/>
    <w:rsid w:val="003C4F56"/>
    <w:rsid w:val="003C4F81"/>
    <w:rsid w:val="003C4FA8"/>
    <w:rsid w:val="003C5010"/>
    <w:rsid w:val="003C504D"/>
    <w:rsid w:val="003C5087"/>
    <w:rsid w:val="003C50D9"/>
    <w:rsid w:val="003C50EC"/>
    <w:rsid w:val="003C512B"/>
    <w:rsid w:val="003C5149"/>
    <w:rsid w:val="003C517A"/>
    <w:rsid w:val="003C51D7"/>
    <w:rsid w:val="003C5226"/>
    <w:rsid w:val="003C5268"/>
    <w:rsid w:val="003C533C"/>
    <w:rsid w:val="003C5354"/>
    <w:rsid w:val="003C53CD"/>
    <w:rsid w:val="003C542E"/>
    <w:rsid w:val="003C5495"/>
    <w:rsid w:val="003C54A2"/>
    <w:rsid w:val="003C5532"/>
    <w:rsid w:val="003C558B"/>
    <w:rsid w:val="003C55AA"/>
    <w:rsid w:val="003C55B3"/>
    <w:rsid w:val="003C55BB"/>
    <w:rsid w:val="003C5656"/>
    <w:rsid w:val="003C56FC"/>
    <w:rsid w:val="003C57C4"/>
    <w:rsid w:val="003C57D5"/>
    <w:rsid w:val="003C5809"/>
    <w:rsid w:val="003C59B5"/>
    <w:rsid w:val="003C59C0"/>
    <w:rsid w:val="003C5A1A"/>
    <w:rsid w:val="003C5B4C"/>
    <w:rsid w:val="003C5B75"/>
    <w:rsid w:val="003C5BA1"/>
    <w:rsid w:val="003C5BA4"/>
    <w:rsid w:val="003C5D5D"/>
    <w:rsid w:val="003C5D8D"/>
    <w:rsid w:val="003C5E03"/>
    <w:rsid w:val="003C5E72"/>
    <w:rsid w:val="003C5F05"/>
    <w:rsid w:val="003C5F17"/>
    <w:rsid w:val="003C5FF3"/>
    <w:rsid w:val="003C6000"/>
    <w:rsid w:val="003C6143"/>
    <w:rsid w:val="003C616E"/>
    <w:rsid w:val="003C61A0"/>
    <w:rsid w:val="003C61E8"/>
    <w:rsid w:val="003C627D"/>
    <w:rsid w:val="003C62F4"/>
    <w:rsid w:val="003C63DD"/>
    <w:rsid w:val="003C6446"/>
    <w:rsid w:val="003C645B"/>
    <w:rsid w:val="003C657E"/>
    <w:rsid w:val="003C659F"/>
    <w:rsid w:val="003C65B2"/>
    <w:rsid w:val="003C65DB"/>
    <w:rsid w:val="003C65E4"/>
    <w:rsid w:val="003C65ED"/>
    <w:rsid w:val="003C6601"/>
    <w:rsid w:val="003C663C"/>
    <w:rsid w:val="003C663D"/>
    <w:rsid w:val="003C6692"/>
    <w:rsid w:val="003C67E5"/>
    <w:rsid w:val="003C6856"/>
    <w:rsid w:val="003C686A"/>
    <w:rsid w:val="003C695B"/>
    <w:rsid w:val="003C695D"/>
    <w:rsid w:val="003C6AB8"/>
    <w:rsid w:val="003C6AC6"/>
    <w:rsid w:val="003C6B0C"/>
    <w:rsid w:val="003C6B85"/>
    <w:rsid w:val="003C6C62"/>
    <w:rsid w:val="003C6CBE"/>
    <w:rsid w:val="003C6D19"/>
    <w:rsid w:val="003C6D8A"/>
    <w:rsid w:val="003C6DA2"/>
    <w:rsid w:val="003C6DEE"/>
    <w:rsid w:val="003C6EB1"/>
    <w:rsid w:val="003C6EC2"/>
    <w:rsid w:val="003C6EEA"/>
    <w:rsid w:val="003C6F26"/>
    <w:rsid w:val="003C6F2C"/>
    <w:rsid w:val="003C6F40"/>
    <w:rsid w:val="003C6F8F"/>
    <w:rsid w:val="003C6FA9"/>
    <w:rsid w:val="003C6FB5"/>
    <w:rsid w:val="003C70F2"/>
    <w:rsid w:val="003C7172"/>
    <w:rsid w:val="003C71C3"/>
    <w:rsid w:val="003C71D6"/>
    <w:rsid w:val="003C7219"/>
    <w:rsid w:val="003C7245"/>
    <w:rsid w:val="003C7258"/>
    <w:rsid w:val="003C7271"/>
    <w:rsid w:val="003C729B"/>
    <w:rsid w:val="003C729D"/>
    <w:rsid w:val="003C72D7"/>
    <w:rsid w:val="003C72E7"/>
    <w:rsid w:val="003C7344"/>
    <w:rsid w:val="003C73D8"/>
    <w:rsid w:val="003C73DF"/>
    <w:rsid w:val="003C7433"/>
    <w:rsid w:val="003C7446"/>
    <w:rsid w:val="003C746C"/>
    <w:rsid w:val="003C74B5"/>
    <w:rsid w:val="003C74EF"/>
    <w:rsid w:val="003C753D"/>
    <w:rsid w:val="003C760A"/>
    <w:rsid w:val="003C7689"/>
    <w:rsid w:val="003C768B"/>
    <w:rsid w:val="003C768F"/>
    <w:rsid w:val="003C76D8"/>
    <w:rsid w:val="003C76FF"/>
    <w:rsid w:val="003C7738"/>
    <w:rsid w:val="003C775A"/>
    <w:rsid w:val="003C7769"/>
    <w:rsid w:val="003C77AF"/>
    <w:rsid w:val="003C7805"/>
    <w:rsid w:val="003C7824"/>
    <w:rsid w:val="003C782B"/>
    <w:rsid w:val="003C7841"/>
    <w:rsid w:val="003C7847"/>
    <w:rsid w:val="003C785D"/>
    <w:rsid w:val="003C79EB"/>
    <w:rsid w:val="003C7A10"/>
    <w:rsid w:val="003C7A76"/>
    <w:rsid w:val="003C7AEC"/>
    <w:rsid w:val="003C7AFD"/>
    <w:rsid w:val="003C7B01"/>
    <w:rsid w:val="003C7B40"/>
    <w:rsid w:val="003C7BEB"/>
    <w:rsid w:val="003C7D1E"/>
    <w:rsid w:val="003C7D8C"/>
    <w:rsid w:val="003C7D92"/>
    <w:rsid w:val="003C7E2E"/>
    <w:rsid w:val="003C7E53"/>
    <w:rsid w:val="003C7E64"/>
    <w:rsid w:val="003C7EE1"/>
    <w:rsid w:val="003C7FDA"/>
    <w:rsid w:val="003D00FD"/>
    <w:rsid w:val="003D01D3"/>
    <w:rsid w:val="003D02C8"/>
    <w:rsid w:val="003D0302"/>
    <w:rsid w:val="003D0329"/>
    <w:rsid w:val="003D03BC"/>
    <w:rsid w:val="003D0443"/>
    <w:rsid w:val="003D04D7"/>
    <w:rsid w:val="003D0512"/>
    <w:rsid w:val="003D05BF"/>
    <w:rsid w:val="003D0650"/>
    <w:rsid w:val="003D0662"/>
    <w:rsid w:val="003D06ED"/>
    <w:rsid w:val="003D07FD"/>
    <w:rsid w:val="003D08FD"/>
    <w:rsid w:val="003D0A7F"/>
    <w:rsid w:val="003D0A8F"/>
    <w:rsid w:val="003D0C98"/>
    <w:rsid w:val="003D0CAE"/>
    <w:rsid w:val="003D0CE6"/>
    <w:rsid w:val="003D0CE7"/>
    <w:rsid w:val="003D0D05"/>
    <w:rsid w:val="003D0D17"/>
    <w:rsid w:val="003D0D51"/>
    <w:rsid w:val="003D0D59"/>
    <w:rsid w:val="003D0DBB"/>
    <w:rsid w:val="003D0DE2"/>
    <w:rsid w:val="003D0E37"/>
    <w:rsid w:val="003D0E70"/>
    <w:rsid w:val="003D0E7F"/>
    <w:rsid w:val="003D0E84"/>
    <w:rsid w:val="003D0E95"/>
    <w:rsid w:val="003D0ECA"/>
    <w:rsid w:val="003D0EE4"/>
    <w:rsid w:val="003D0F14"/>
    <w:rsid w:val="003D0FB4"/>
    <w:rsid w:val="003D105B"/>
    <w:rsid w:val="003D11FF"/>
    <w:rsid w:val="003D1293"/>
    <w:rsid w:val="003D12F2"/>
    <w:rsid w:val="003D12FD"/>
    <w:rsid w:val="003D1300"/>
    <w:rsid w:val="003D1304"/>
    <w:rsid w:val="003D1486"/>
    <w:rsid w:val="003D14FD"/>
    <w:rsid w:val="003D1501"/>
    <w:rsid w:val="003D157D"/>
    <w:rsid w:val="003D15E5"/>
    <w:rsid w:val="003D1602"/>
    <w:rsid w:val="003D160D"/>
    <w:rsid w:val="003D1698"/>
    <w:rsid w:val="003D16D0"/>
    <w:rsid w:val="003D16DB"/>
    <w:rsid w:val="003D16DD"/>
    <w:rsid w:val="003D16EA"/>
    <w:rsid w:val="003D1796"/>
    <w:rsid w:val="003D17B5"/>
    <w:rsid w:val="003D17D6"/>
    <w:rsid w:val="003D17F4"/>
    <w:rsid w:val="003D1869"/>
    <w:rsid w:val="003D1877"/>
    <w:rsid w:val="003D18AC"/>
    <w:rsid w:val="003D18B6"/>
    <w:rsid w:val="003D18F6"/>
    <w:rsid w:val="003D1909"/>
    <w:rsid w:val="003D193E"/>
    <w:rsid w:val="003D19BF"/>
    <w:rsid w:val="003D1A1E"/>
    <w:rsid w:val="003D1B02"/>
    <w:rsid w:val="003D1B4F"/>
    <w:rsid w:val="003D1BC5"/>
    <w:rsid w:val="003D1BE8"/>
    <w:rsid w:val="003D1C24"/>
    <w:rsid w:val="003D1C27"/>
    <w:rsid w:val="003D1C34"/>
    <w:rsid w:val="003D1C57"/>
    <w:rsid w:val="003D1C9D"/>
    <w:rsid w:val="003D1CC4"/>
    <w:rsid w:val="003D1D5D"/>
    <w:rsid w:val="003D1DCC"/>
    <w:rsid w:val="003D1DF4"/>
    <w:rsid w:val="003D1E09"/>
    <w:rsid w:val="003D1E0F"/>
    <w:rsid w:val="003D1E25"/>
    <w:rsid w:val="003D1E34"/>
    <w:rsid w:val="003D1E94"/>
    <w:rsid w:val="003D1F58"/>
    <w:rsid w:val="003D1F62"/>
    <w:rsid w:val="003D1F66"/>
    <w:rsid w:val="003D1FF0"/>
    <w:rsid w:val="003D1FFD"/>
    <w:rsid w:val="003D20A8"/>
    <w:rsid w:val="003D21C8"/>
    <w:rsid w:val="003D22A2"/>
    <w:rsid w:val="003D2374"/>
    <w:rsid w:val="003D2400"/>
    <w:rsid w:val="003D2475"/>
    <w:rsid w:val="003D24A6"/>
    <w:rsid w:val="003D24EA"/>
    <w:rsid w:val="003D2518"/>
    <w:rsid w:val="003D252F"/>
    <w:rsid w:val="003D2601"/>
    <w:rsid w:val="003D2654"/>
    <w:rsid w:val="003D269B"/>
    <w:rsid w:val="003D27D5"/>
    <w:rsid w:val="003D285F"/>
    <w:rsid w:val="003D286C"/>
    <w:rsid w:val="003D28C8"/>
    <w:rsid w:val="003D28DC"/>
    <w:rsid w:val="003D2929"/>
    <w:rsid w:val="003D29BD"/>
    <w:rsid w:val="003D29D3"/>
    <w:rsid w:val="003D2A4E"/>
    <w:rsid w:val="003D2A6D"/>
    <w:rsid w:val="003D2A98"/>
    <w:rsid w:val="003D2ADB"/>
    <w:rsid w:val="003D2AE6"/>
    <w:rsid w:val="003D2B10"/>
    <w:rsid w:val="003D2B55"/>
    <w:rsid w:val="003D2C1A"/>
    <w:rsid w:val="003D2CB5"/>
    <w:rsid w:val="003D2CC0"/>
    <w:rsid w:val="003D2D0D"/>
    <w:rsid w:val="003D2DCD"/>
    <w:rsid w:val="003D2E02"/>
    <w:rsid w:val="003D2E62"/>
    <w:rsid w:val="003D2EF9"/>
    <w:rsid w:val="003D2EFD"/>
    <w:rsid w:val="003D2F34"/>
    <w:rsid w:val="003D2F6D"/>
    <w:rsid w:val="003D2FD6"/>
    <w:rsid w:val="003D3027"/>
    <w:rsid w:val="003D303B"/>
    <w:rsid w:val="003D305F"/>
    <w:rsid w:val="003D30E8"/>
    <w:rsid w:val="003D30F3"/>
    <w:rsid w:val="003D3104"/>
    <w:rsid w:val="003D3108"/>
    <w:rsid w:val="003D31A8"/>
    <w:rsid w:val="003D31CC"/>
    <w:rsid w:val="003D320B"/>
    <w:rsid w:val="003D3290"/>
    <w:rsid w:val="003D329E"/>
    <w:rsid w:val="003D333D"/>
    <w:rsid w:val="003D3372"/>
    <w:rsid w:val="003D33C1"/>
    <w:rsid w:val="003D33D0"/>
    <w:rsid w:val="003D33DD"/>
    <w:rsid w:val="003D33E7"/>
    <w:rsid w:val="003D343D"/>
    <w:rsid w:val="003D3440"/>
    <w:rsid w:val="003D3448"/>
    <w:rsid w:val="003D3497"/>
    <w:rsid w:val="003D34B9"/>
    <w:rsid w:val="003D34FE"/>
    <w:rsid w:val="003D3532"/>
    <w:rsid w:val="003D3533"/>
    <w:rsid w:val="003D3567"/>
    <w:rsid w:val="003D3631"/>
    <w:rsid w:val="003D367F"/>
    <w:rsid w:val="003D36CA"/>
    <w:rsid w:val="003D3774"/>
    <w:rsid w:val="003D378C"/>
    <w:rsid w:val="003D37E2"/>
    <w:rsid w:val="003D37E9"/>
    <w:rsid w:val="003D381E"/>
    <w:rsid w:val="003D38A4"/>
    <w:rsid w:val="003D3945"/>
    <w:rsid w:val="003D39A1"/>
    <w:rsid w:val="003D39C1"/>
    <w:rsid w:val="003D3A8F"/>
    <w:rsid w:val="003D3AD2"/>
    <w:rsid w:val="003D3B63"/>
    <w:rsid w:val="003D3B8C"/>
    <w:rsid w:val="003D3BD1"/>
    <w:rsid w:val="003D3CA3"/>
    <w:rsid w:val="003D3CEF"/>
    <w:rsid w:val="003D3D69"/>
    <w:rsid w:val="003D3D7F"/>
    <w:rsid w:val="003D3E7A"/>
    <w:rsid w:val="003D3F4D"/>
    <w:rsid w:val="003D3F6B"/>
    <w:rsid w:val="003D3F77"/>
    <w:rsid w:val="003D4005"/>
    <w:rsid w:val="003D402E"/>
    <w:rsid w:val="003D406A"/>
    <w:rsid w:val="003D4080"/>
    <w:rsid w:val="003D40B9"/>
    <w:rsid w:val="003D40CE"/>
    <w:rsid w:val="003D41AC"/>
    <w:rsid w:val="003D41DE"/>
    <w:rsid w:val="003D4231"/>
    <w:rsid w:val="003D4242"/>
    <w:rsid w:val="003D4247"/>
    <w:rsid w:val="003D425E"/>
    <w:rsid w:val="003D43AE"/>
    <w:rsid w:val="003D43DB"/>
    <w:rsid w:val="003D43F1"/>
    <w:rsid w:val="003D43F7"/>
    <w:rsid w:val="003D4510"/>
    <w:rsid w:val="003D4624"/>
    <w:rsid w:val="003D462B"/>
    <w:rsid w:val="003D46C8"/>
    <w:rsid w:val="003D4705"/>
    <w:rsid w:val="003D474F"/>
    <w:rsid w:val="003D4768"/>
    <w:rsid w:val="003D4818"/>
    <w:rsid w:val="003D4865"/>
    <w:rsid w:val="003D4895"/>
    <w:rsid w:val="003D48D2"/>
    <w:rsid w:val="003D48E9"/>
    <w:rsid w:val="003D48F3"/>
    <w:rsid w:val="003D493E"/>
    <w:rsid w:val="003D4945"/>
    <w:rsid w:val="003D4956"/>
    <w:rsid w:val="003D495B"/>
    <w:rsid w:val="003D4983"/>
    <w:rsid w:val="003D49E6"/>
    <w:rsid w:val="003D4A0F"/>
    <w:rsid w:val="003D4A62"/>
    <w:rsid w:val="003D4B67"/>
    <w:rsid w:val="003D4BA2"/>
    <w:rsid w:val="003D4BD9"/>
    <w:rsid w:val="003D4BE7"/>
    <w:rsid w:val="003D4C4A"/>
    <w:rsid w:val="003D4CFA"/>
    <w:rsid w:val="003D4D34"/>
    <w:rsid w:val="003D4D35"/>
    <w:rsid w:val="003D4D57"/>
    <w:rsid w:val="003D4DC2"/>
    <w:rsid w:val="003D4DD2"/>
    <w:rsid w:val="003D4E00"/>
    <w:rsid w:val="003D4E3D"/>
    <w:rsid w:val="003D4F37"/>
    <w:rsid w:val="003D4F59"/>
    <w:rsid w:val="003D4FAF"/>
    <w:rsid w:val="003D502B"/>
    <w:rsid w:val="003D5054"/>
    <w:rsid w:val="003D508F"/>
    <w:rsid w:val="003D50AB"/>
    <w:rsid w:val="003D50BC"/>
    <w:rsid w:val="003D50BF"/>
    <w:rsid w:val="003D513C"/>
    <w:rsid w:val="003D517B"/>
    <w:rsid w:val="003D51E5"/>
    <w:rsid w:val="003D5375"/>
    <w:rsid w:val="003D53A9"/>
    <w:rsid w:val="003D53AF"/>
    <w:rsid w:val="003D541A"/>
    <w:rsid w:val="003D55E9"/>
    <w:rsid w:val="003D565A"/>
    <w:rsid w:val="003D56A6"/>
    <w:rsid w:val="003D56AF"/>
    <w:rsid w:val="003D570E"/>
    <w:rsid w:val="003D5771"/>
    <w:rsid w:val="003D57A1"/>
    <w:rsid w:val="003D57D6"/>
    <w:rsid w:val="003D57DF"/>
    <w:rsid w:val="003D5848"/>
    <w:rsid w:val="003D5871"/>
    <w:rsid w:val="003D5876"/>
    <w:rsid w:val="003D5909"/>
    <w:rsid w:val="003D5958"/>
    <w:rsid w:val="003D5959"/>
    <w:rsid w:val="003D596D"/>
    <w:rsid w:val="003D5A9D"/>
    <w:rsid w:val="003D5AAE"/>
    <w:rsid w:val="003D5AD0"/>
    <w:rsid w:val="003D5B14"/>
    <w:rsid w:val="003D5B9D"/>
    <w:rsid w:val="003D5BA4"/>
    <w:rsid w:val="003D5BAB"/>
    <w:rsid w:val="003D5BF5"/>
    <w:rsid w:val="003D5C2E"/>
    <w:rsid w:val="003D5C64"/>
    <w:rsid w:val="003D5CF0"/>
    <w:rsid w:val="003D5D0B"/>
    <w:rsid w:val="003D5D39"/>
    <w:rsid w:val="003D5DB1"/>
    <w:rsid w:val="003D5DC4"/>
    <w:rsid w:val="003D5DF5"/>
    <w:rsid w:val="003D5F4E"/>
    <w:rsid w:val="003D5F65"/>
    <w:rsid w:val="003D5F72"/>
    <w:rsid w:val="003D5F79"/>
    <w:rsid w:val="003D5F82"/>
    <w:rsid w:val="003D5FC5"/>
    <w:rsid w:val="003D600F"/>
    <w:rsid w:val="003D6024"/>
    <w:rsid w:val="003D603D"/>
    <w:rsid w:val="003D6081"/>
    <w:rsid w:val="003D611D"/>
    <w:rsid w:val="003D6120"/>
    <w:rsid w:val="003D626F"/>
    <w:rsid w:val="003D62FF"/>
    <w:rsid w:val="003D647C"/>
    <w:rsid w:val="003D65C9"/>
    <w:rsid w:val="003D65D4"/>
    <w:rsid w:val="003D665D"/>
    <w:rsid w:val="003D668F"/>
    <w:rsid w:val="003D6706"/>
    <w:rsid w:val="003D677A"/>
    <w:rsid w:val="003D686B"/>
    <w:rsid w:val="003D68A2"/>
    <w:rsid w:val="003D6932"/>
    <w:rsid w:val="003D6973"/>
    <w:rsid w:val="003D699E"/>
    <w:rsid w:val="003D69A4"/>
    <w:rsid w:val="003D6AC4"/>
    <w:rsid w:val="003D6B20"/>
    <w:rsid w:val="003D6B92"/>
    <w:rsid w:val="003D6B94"/>
    <w:rsid w:val="003D6BA1"/>
    <w:rsid w:val="003D6C06"/>
    <w:rsid w:val="003D6C27"/>
    <w:rsid w:val="003D6C34"/>
    <w:rsid w:val="003D6C58"/>
    <w:rsid w:val="003D6C78"/>
    <w:rsid w:val="003D6DD5"/>
    <w:rsid w:val="003D6DD6"/>
    <w:rsid w:val="003D6E13"/>
    <w:rsid w:val="003D6E31"/>
    <w:rsid w:val="003D6E5C"/>
    <w:rsid w:val="003D6E98"/>
    <w:rsid w:val="003D6EAB"/>
    <w:rsid w:val="003D6F07"/>
    <w:rsid w:val="003D6F1B"/>
    <w:rsid w:val="003D6FDA"/>
    <w:rsid w:val="003D7016"/>
    <w:rsid w:val="003D7119"/>
    <w:rsid w:val="003D7124"/>
    <w:rsid w:val="003D7194"/>
    <w:rsid w:val="003D71A4"/>
    <w:rsid w:val="003D7200"/>
    <w:rsid w:val="003D7226"/>
    <w:rsid w:val="003D725F"/>
    <w:rsid w:val="003D7286"/>
    <w:rsid w:val="003D72B6"/>
    <w:rsid w:val="003D7351"/>
    <w:rsid w:val="003D738A"/>
    <w:rsid w:val="003D73B8"/>
    <w:rsid w:val="003D741A"/>
    <w:rsid w:val="003D7442"/>
    <w:rsid w:val="003D7557"/>
    <w:rsid w:val="003D75A4"/>
    <w:rsid w:val="003D75B5"/>
    <w:rsid w:val="003D7603"/>
    <w:rsid w:val="003D7638"/>
    <w:rsid w:val="003D7684"/>
    <w:rsid w:val="003D7689"/>
    <w:rsid w:val="003D76ED"/>
    <w:rsid w:val="003D7755"/>
    <w:rsid w:val="003D776F"/>
    <w:rsid w:val="003D7790"/>
    <w:rsid w:val="003D780E"/>
    <w:rsid w:val="003D7881"/>
    <w:rsid w:val="003D78BB"/>
    <w:rsid w:val="003D7977"/>
    <w:rsid w:val="003D79B3"/>
    <w:rsid w:val="003D7A11"/>
    <w:rsid w:val="003D7A30"/>
    <w:rsid w:val="003D7A54"/>
    <w:rsid w:val="003D7A6C"/>
    <w:rsid w:val="003D7ACA"/>
    <w:rsid w:val="003D7AFD"/>
    <w:rsid w:val="003D7B0E"/>
    <w:rsid w:val="003D7B4D"/>
    <w:rsid w:val="003D7BB4"/>
    <w:rsid w:val="003D7BC8"/>
    <w:rsid w:val="003D7BEA"/>
    <w:rsid w:val="003D7BFA"/>
    <w:rsid w:val="003D7C2D"/>
    <w:rsid w:val="003D7C45"/>
    <w:rsid w:val="003D7C97"/>
    <w:rsid w:val="003D7D2A"/>
    <w:rsid w:val="003D7D31"/>
    <w:rsid w:val="003D7D5B"/>
    <w:rsid w:val="003D7DD3"/>
    <w:rsid w:val="003D7EDB"/>
    <w:rsid w:val="003D7F13"/>
    <w:rsid w:val="003D7F43"/>
    <w:rsid w:val="003D7FE1"/>
    <w:rsid w:val="003E001B"/>
    <w:rsid w:val="003E0062"/>
    <w:rsid w:val="003E00B2"/>
    <w:rsid w:val="003E0141"/>
    <w:rsid w:val="003E014B"/>
    <w:rsid w:val="003E0160"/>
    <w:rsid w:val="003E018C"/>
    <w:rsid w:val="003E01B5"/>
    <w:rsid w:val="003E0252"/>
    <w:rsid w:val="003E026A"/>
    <w:rsid w:val="003E02A6"/>
    <w:rsid w:val="003E02DA"/>
    <w:rsid w:val="003E032F"/>
    <w:rsid w:val="003E0348"/>
    <w:rsid w:val="003E0373"/>
    <w:rsid w:val="003E03D2"/>
    <w:rsid w:val="003E03DF"/>
    <w:rsid w:val="003E0457"/>
    <w:rsid w:val="003E0484"/>
    <w:rsid w:val="003E068C"/>
    <w:rsid w:val="003E070A"/>
    <w:rsid w:val="003E0727"/>
    <w:rsid w:val="003E0778"/>
    <w:rsid w:val="003E079E"/>
    <w:rsid w:val="003E07A0"/>
    <w:rsid w:val="003E07B5"/>
    <w:rsid w:val="003E07DB"/>
    <w:rsid w:val="003E0801"/>
    <w:rsid w:val="003E0833"/>
    <w:rsid w:val="003E0903"/>
    <w:rsid w:val="003E0B5D"/>
    <w:rsid w:val="003E0D1E"/>
    <w:rsid w:val="003E0D9D"/>
    <w:rsid w:val="003E0E03"/>
    <w:rsid w:val="003E0E0A"/>
    <w:rsid w:val="003E0E53"/>
    <w:rsid w:val="003E0FB4"/>
    <w:rsid w:val="003E102E"/>
    <w:rsid w:val="003E104A"/>
    <w:rsid w:val="003E104B"/>
    <w:rsid w:val="003E10BD"/>
    <w:rsid w:val="003E11C6"/>
    <w:rsid w:val="003E11E1"/>
    <w:rsid w:val="003E121C"/>
    <w:rsid w:val="003E12F3"/>
    <w:rsid w:val="003E1380"/>
    <w:rsid w:val="003E1391"/>
    <w:rsid w:val="003E13DF"/>
    <w:rsid w:val="003E13F4"/>
    <w:rsid w:val="003E1409"/>
    <w:rsid w:val="003E1427"/>
    <w:rsid w:val="003E1456"/>
    <w:rsid w:val="003E1477"/>
    <w:rsid w:val="003E14C8"/>
    <w:rsid w:val="003E1537"/>
    <w:rsid w:val="003E1556"/>
    <w:rsid w:val="003E1564"/>
    <w:rsid w:val="003E15A3"/>
    <w:rsid w:val="003E15D1"/>
    <w:rsid w:val="003E163B"/>
    <w:rsid w:val="003E169F"/>
    <w:rsid w:val="003E16B7"/>
    <w:rsid w:val="003E1702"/>
    <w:rsid w:val="003E1717"/>
    <w:rsid w:val="003E1776"/>
    <w:rsid w:val="003E179A"/>
    <w:rsid w:val="003E17F8"/>
    <w:rsid w:val="003E1803"/>
    <w:rsid w:val="003E1822"/>
    <w:rsid w:val="003E1843"/>
    <w:rsid w:val="003E184E"/>
    <w:rsid w:val="003E1861"/>
    <w:rsid w:val="003E1886"/>
    <w:rsid w:val="003E18B4"/>
    <w:rsid w:val="003E190A"/>
    <w:rsid w:val="003E197D"/>
    <w:rsid w:val="003E19DC"/>
    <w:rsid w:val="003E1A11"/>
    <w:rsid w:val="003E1A77"/>
    <w:rsid w:val="003E1AA6"/>
    <w:rsid w:val="003E1AB7"/>
    <w:rsid w:val="003E1B77"/>
    <w:rsid w:val="003E1B87"/>
    <w:rsid w:val="003E1BB4"/>
    <w:rsid w:val="003E1BC5"/>
    <w:rsid w:val="003E1BDC"/>
    <w:rsid w:val="003E1C00"/>
    <w:rsid w:val="003E1C38"/>
    <w:rsid w:val="003E1C60"/>
    <w:rsid w:val="003E1CDE"/>
    <w:rsid w:val="003E1D11"/>
    <w:rsid w:val="003E1D20"/>
    <w:rsid w:val="003E1F09"/>
    <w:rsid w:val="003E1F2D"/>
    <w:rsid w:val="003E1F62"/>
    <w:rsid w:val="003E1F96"/>
    <w:rsid w:val="003E1FB0"/>
    <w:rsid w:val="003E2010"/>
    <w:rsid w:val="003E20E5"/>
    <w:rsid w:val="003E218D"/>
    <w:rsid w:val="003E2204"/>
    <w:rsid w:val="003E226F"/>
    <w:rsid w:val="003E233B"/>
    <w:rsid w:val="003E236A"/>
    <w:rsid w:val="003E2388"/>
    <w:rsid w:val="003E23D3"/>
    <w:rsid w:val="003E23E2"/>
    <w:rsid w:val="003E2446"/>
    <w:rsid w:val="003E24FD"/>
    <w:rsid w:val="003E2528"/>
    <w:rsid w:val="003E258C"/>
    <w:rsid w:val="003E25FF"/>
    <w:rsid w:val="003E2606"/>
    <w:rsid w:val="003E264E"/>
    <w:rsid w:val="003E267D"/>
    <w:rsid w:val="003E268F"/>
    <w:rsid w:val="003E269C"/>
    <w:rsid w:val="003E26EB"/>
    <w:rsid w:val="003E271D"/>
    <w:rsid w:val="003E27D4"/>
    <w:rsid w:val="003E27D6"/>
    <w:rsid w:val="003E27EA"/>
    <w:rsid w:val="003E280C"/>
    <w:rsid w:val="003E285D"/>
    <w:rsid w:val="003E28D2"/>
    <w:rsid w:val="003E2937"/>
    <w:rsid w:val="003E293A"/>
    <w:rsid w:val="003E2AD1"/>
    <w:rsid w:val="003E2B14"/>
    <w:rsid w:val="003E2B6C"/>
    <w:rsid w:val="003E2BB9"/>
    <w:rsid w:val="003E2BC7"/>
    <w:rsid w:val="003E2BE6"/>
    <w:rsid w:val="003E2BF4"/>
    <w:rsid w:val="003E2C5E"/>
    <w:rsid w:val="003E2C6C"/>
    <w:rsid w:val="003E2CA2"/>
    <w:rsid w:val="003E2D52"/>
    <w:rsid w:val="003E2E31"/>
    <w:rsid w:val="003E2E8D"/>
    <w:rsid w:val="003E2F20"/>
    <w:rsid w:val="003E2F2C"/>
    <w:rsid w:val="003E2F5F"/>
    <w:rsid w:val="003E2F97"/>
    <w:rsid w:val="003E2FEF"/>
    <w:rsid w:val="003E2FFB"/>
    <w:rsid w:val="003E3018"/>
    <w:rsid w:val="003E3020"/>
    <w:rsid w:val="003E307C"/>
    <w:rsid w:val="003E3091"/>
    <w:rsid w:val="003E30BB"/>
    <w:rsid w:val="003E30CB"/>
    <w:rsid w:val="003E314A"/>
    <w:rsid w:val="003E319D"/>
    <w:rsid w:val="003E31BD"/>
    <w:rsid w:val="003E322E"/>
    <w:rsid w:val="003E323A"/>
    <w:rsid w:val="003E327C"/>
    <w:rsid w:val="003E32C9"/>
    <w:rsid w:val="003E3350"/>
    <w:rsid w:val="003E33EC"/>
    <w:rsid w:val="003E345E"/>
    <w:rsid w:val="003E3468"/>
    <w:rsid w:val="003E355C"/>
    <w:rsid w:val="003E3574"/>
    <w:rsid w:val="003E3582"/>
    <w:rsid w:val="003E3672"/>
    <w:rsid w:val="003E36A0"/>
    <w:rsid w:val="003E36E6"/>
    <w:rsid w:val="003E3737"/>
    <w:rsid w:val="003E375F"/>
    <w:rsid w:val="003E3780"/>
    <w:rsid w:val="003E380A"/>
    <w:rsid w:val="003E3841"/>
    <w:rsid w:val="003E38F1"/>
    <w:rsid w:val="003E3956"/>
    <w:rsid w:val="003E398C"/>
    <w:rsid w:val="003E39DD"/>
    <w:rsid w:val="003E39E1"/>
    <w:rsid w:val="003E39F6"/>
    <w:rsid w:val="003E3A8A"/>
    <w:rsid w:val="003E3AB0"/>
    <w:rsid w:val="003E3B57"/>
    <w:rsid w:val="003E3BD9"/>
    <w:rsid w:val="003E3C04"/>
    <w:rsid w:val="003E3D04"/>
    <w:rsid w:val="003E3D3F"/>
    <w:rsid w:val="003E3D69"/>
    <w:rsid w:val="003E3DDA"/>
    <w:rsid w:val="003E3DE0"/>
    <w:rsid w:val="003E3E04"/>
    <w:rsid w:val="003E3EEC"/>
    <w:rsid w:val="003E3F10"/>
    <w:rsid w:val="003E3FCA"/>
    <w:rsid w:val="003E40B0"/>
    <w:rsid w:val="003E4119"/>
    <w:rsid w:val="003E4169"/>
    <w:rsid w:val="003E4198"/>
    <w:rsid w:val="003E42DF"/>
    <w:rsid w:val="003E4358"/>
    <w:rsid w:val="003E43B5"/>
    <w:rsid w:val="003E442E"/>
    <w:rsid w:val="003E4437"/>
    <w:rsid w:val="003E449A"/>
    <w:rsid w:val="003E44CE"/>
    <w:rsid w:val="003E4551"/>
    <w:rsid w:val="003E458F"/>
    <w:rsid w:val="003E45E7"/>
    <w:rsid w:val="003E45F8"/>
    <w:rsid w:val="003E4603"/>
    <w:rsid w:val="003E464C"/>
    <w:rsid w:val="003E4658"/>
    <w:rsid w:val="003E469E"/>
    <w:rsid w:val="003E46AF"/>
    <w:rsid w:val="003E4707"/>
    <w:rsid w:val="003E4856"/>
    <w:rsid w:val="003E4867"/>
    <w:rsid w:val="003E486B"/>
    <w:rsid w:val="003E4891"/>
    <w:rsid w:val="003E489D"/>
    <w:rsid w:val="003E48D4"/>
    <w:rsid w:val="003E4992"/>
    <w:rsid w:val="003E49B2"/>
    <w:rsid w:val="003E49C7"/>
    <w:rsid w:val="003E4A42"/>
    <w:rsid w:val="003E4ABD"/>
    <w:rsid w:val="003E4BAE"/>
    <w:rsid w:val="003E4C10"/>
    <w:rsid w:val="003E4C4E"/>
    <w:rsid w:val="003E4C6A"/>
    <w:rsid w:val="003E4D00"/>
    <w:rsid w:val="003E4D3B"/>
    <w:rsid w:val="003E4D41"/>
    <w:rsid w:val="003E4E79"/>
    <w:rsid w:val="003E4E95"/>
    <w:rsid w:val="003E4ED0"/>
    <w:rsid w:val="003E4F12"/>
    <w:rsid w:val="003E4F46"/>
    <w:rsid w:val="003E4FB9"/>
    <w:rsid w:val="003E5024"/>
    <w:rsid w:val="003E5038"/>
    <w:rsid w:val="003E5099"/>
    <w:rsid w:val="003E50E7"/>
    <w:rsid w:val="003E5279"/>
    <w:rsid w:val="003E52DF"/>
    <w:rsid w:val="003E531D"/>
    <w:rsid w:val="003E533E"/>
    <w:rsid w:val="003E537F"/>
    <w:rsid w:val="003E53B7"/>
    <w:rsid w:val="003E547F"/>
    <w:rsid w:val="003E54F4"/>
    <w:rsid w:val="003E5500"/>
    <w:rsid w:val="003E55F7"/>
    <w:rsid w:val="003E5629"/>
    <w:rsid w:val="003E5662"/>
    <w:rsid w:val="003E5666"/>
    <w:rsid w:val="003E56A7"/>
    <w:rsid w:val="003E56D9"/>
    <w:rsid w:val="003E56DA"/>
    <w:rsid w:val="003E57BD"/>
    <w:rsid w:val="003E5861"/>
    <w:rsid w:val="003E5912"/>
    <w:rsid w:val="003E5930"/>
    <w:rsid w:val="003E5945"/>
    <w:rsid w:val="003E59A2"/>
    <w:rsid w:val="003E5A1E"/>
    <w:rsid w:val="003E5B78"/>
    <w:rsid w:val="003E5B7A"/>
    <w:rsid w:val="003E5BAA"/>
    <w:rsid w:val="003E5DBF"/>
    <w:rsid w:val="003E5DD8"/>
    <w:rsid w:val="003E5E67"/>
    <w:rsid w:val="003E5E73"/>
    <w:rsid w:val="003E5EF8"/>
    <w:rsid w:val="003E5F07"/>
    <w:rsid w:val="003E5F22"/>
    <w:rsid w:val="003E5FB5"/>
    <w:rsid w:val="003E6007"/>
    <w:rsid w:val="003E6023"/>
    <w:rsid w:val="003E602D"/>
    <w:rsid w:val="003E603F"/>
    <w:rsid w:val="003E6057"/>
    <w:rsid w:val="003E60DC"/>
    <w:rsid w:val="003E6150"/>
    <w:rsid w:val="003E6167"/>
    <w:rsid w:val="003E61AF"/>
    <w:rsid w:val="003E625F"/>
    <w:rsid w:val="003E62A8"/>
    <w:rsid w:val="003E638B"/>
    <w:rsid w:val="003E63A6"/>
    <w:rsid w:val="003E63E7"/>
    <w:rsid w:val="003E6433"/>
    <w:rsid w:val="003E646B"/>
    <w:rsid w:val="003E6481"/>
    <w:rsid w:val="003E64C9"/>
    <w:rsid w:val="003E64E0"/>
    <w:rsid w:val="003E64ED"/>
    <w:rsid w:val="003E64F7"/>
    <w:rsid w:val="003E6517"/>
    <w:rsid w:val="003E658A"/>
    <w:rsid w:val="003E6599"/>
    <w:rsid w:val="003E65D7"/>
    <w:rsid w:val="003E665D"/>
    <w:rsid w:val="003E66D1"/>
    <w:rsid w:val="003E6757"/>
    <w:rsid w:val="003E6760"/>
    <w:rsid w:val="003E6824"/>
    <w:rsid w:val="003E683F"/>
    <w:rsid w:val="003E685A"/>
    <w:rsid w:val="003E6889"/>
    <w:rsid w:val="003E68DD"/>
    <w:rsid w:val="003E6961"/>
    <w:rsid w:val="003E6A20"/>
    <w:rsid w:val="003E6A72"/>
    <w:rsid w:val="003E6CD1"/>
    <w:rsid w:val="003E6CF5"/>
    <w:rsid w:val="003E6D75"/>
    <w:rsid w:val="003E6E4F"/>
    <w:rsid w:val="003E6E5C"/>
    <w:rsid w:val="003E6E73"/>
    <w:rsid w:val="003E6E93"/>
    <w:rsid w:val="003E6EDF"/>
    <w:rsid w:val="003E6F18"/>
    <w:rsid w:val="003E6F38"/>
    <w:rsid w:val="003E7031"/>
    <w:rsid w:val="003E7073"/>
    <w:rsid w:val="003E707F"/>
    <w:rsid w:val="003E708D"/>
    <w:rsid w:val="003E71A6"/>
    <w:rsid w:val="003E71B7"/>
    <w:rsid w:val="003E7268"/>
    <w:rsid w:val="003E72EA"/>
    <w:rsid w:val="003E730F"/>
    <w:rsid w:val="003E731B"/>
    <w:rsid w:val="003E73AC"/>
    <w:rsid w:val="003E7452"/>
    <w:rsid w:val="003E74D0"/>
    <w:rsid w:val="003E74D2"/>
    <w:rsid w:val="003E7578"/>
    <w:rsid w:val="003E75B9"/>
    <w:rsid w:val="003E7603"/>
    <w:rsid w:val="003E760C"/>
    <w:rsid w:val="003E761D"/>
    <w:rsid w:val="003E7700"/>
    <w:rsid w:val="003E7763"/>
    <w:rsid w:val="003E7816"/>
    <w:rsid w:val="003E784A"/>
    <w:rsid w:val="003E7853"/>
    <w:rsid w:val="003E78A3"/>
    <w:rsid w:val="003E7909"/>
    <w:rsid w:val="003E791C"/>
    <w:rsid w:val="003E7A1B"/>
    <w:rsid w:val="003E7A4B"/>
    <w:rsid w:val="003E7A4D"/>
    <w:rsid w:val="003E7A58"/>
    <w:rsid w:val="003E7B08"/>
    <w:rsid w:val="003E7B47"/>
    <w:rsid w:val="003E7C4E"/>
    <w:rsid w:val="003E7CAB"/>
    <w:rsid w:val="003E7D65"/>
    <w:rsid w:val="003E7D76"/>
    <w:rsid w:val="003E7D84"/>
    <w:rsid w:val="003E7D9A"/>
    <w:rsid w:val="003E7F05"/>
    <w:rsid w:val="003E7FBA"/>
    <w:rsid w:val="003E7FD0"/>
    <w:rsid w:val="003E7FF5"/>
    <w:rsid w:val="003F00BF"/>
    <w:rsid w:val="003F00C6"/>
    <w:rsid w:val="003F00FD"/>
    <w:rsid w:val="003F015F"/>
    <w:rsid w:val="003F018E"/>
    <w:rsid w:val="003F01C1"/>
    <w:rsid w:val="003F0209"/>
    <w:rsid w:val="003F0214"/>
    <w:rsid w:val="003F0280"/>
    <w:rsid w:val="003F02CB"/>
    <w:rsid w:val="003F02DC"/>
    <w:rsid w:val="003F02EB"/>
    <w:rsid w:val="003F02F5"/>
    <w:rsid w:val="003F0368"/>
    <w:rsid w:val="003F03A6"/>
    <w:rsid w:val="003F03DE"/>
    <w:rsid w:val="003F0425"/>
    <w:rsid w:val="003F0435"/>
    <w:rsid w:val="003F0450"/>
    <w:rsid w:val="003F0473"/>
    <w:rsid w:val="003F0534"/>
    <w:rsid w:val="003F056C"/>
    <w:rsid w:val="003F0618"/>
    <w:rsid w:val="003F0646"/>
    <w:rsid w:val="003F066A"/>
    <w:rsid w:val="003F0671"/>
    <w:rsid w:val="003F0677"/>
    <w:rsid w:val="003F076E"/>
    <w:rsid w:val="003F07B0"/>
    <w:rsid w:val="003F07F1"/>
    <w:rsid w:val="003F0824"/>
    <w:rsid w:val="003F085A"/>
    <w:rsid w:val="003F08CC"/>
    <w:rsid w:val="003F0900"/>
    <w:rsid w:val="003F0920"/>
    <w:rsid w:val="003F093B"/>
    <w:rsid w:val="003F0995"/>
    <w:rsid w:val="003F09A5"/>
    <w:rsid w:val="003F09C8"/>
    <w:rsid w:val="003F09DE"/>
    <w:rsid w:val="003F09E1"/>
    <w:rsid w:val="003F09E2"/>
    <w:rsid w:val="003F0A2D"/>
    <w:rsid w:val="003F0AD6"/>
    <w:rsid w:val="003F0B26"/>
    <w:rsid w:val="003F0B66"/>
    <w:rsid w:val="003F0C31"/>
    <w:rsid w:val="003F0C6D"/>
    <w:rsid w:val="003F0D40"/>
    <w:rsid w:val="003F0DB5"/>
    <w:rsid w:val="003F0E31"/>
    <w:rsid w:val="003F0E60"/>
    <w:rsid w:val="003F0F18"/>
    <w:rsid w:val="003F0F1B"/>
    <w:rsid w:val="003F0F21"/>
    <w:rsid w:val="003F0F2A"/>
    <w:rsid w:val="003F0F3E"/>
    <w:rsid w:val="003F0F77"/>
    <w:rsid w:val="003F0F9C"/>
    <w:rsid w:val="003F0FB6"/>
    <w:rsid w:val="003F0FF5"/>
    <w:rsid w:val="003F100B"/>
    <w:rsid w:val="003F1019"/>
    <w:rsid w:val="003F1068"/>
    <w:rsid w:val="003F10E7"/>
    <w:rsid w:val="003F1126"/>
    <w:rsid w:val="003F1176"/>
    <w:rsid w:val="003F119D"/>
    <w:rsid w:val="003F11AE"/>
    <w:rsid w:val="003F11D9"/>
    <w:rsid w:val="003F126B"/>
    <w:rsid w:val="003F1339"/>
    <w:rsid w:val="003F1356"/>
    <w:rsid w:val="003F1361"/>
    <w:rsid w:val="003F13B5"/>
    <w:rsid w:val="003F1549"/>
    <w:rsid w:val="003F1566"/>
    <w:rsid w:val="003F166A"/>
    <w:rsid w:val="003F16C2"/>
    <w:rsid w:val="003F172A"/>
    <w:rsid w:val="003F1759"/>
    <w:rsid w:val="003F1789"/>
    <w:rsid w:val="003F17D2"/>
    <w:rsid w:val="003F17E3"/>
    <w:rsid w:val="003F182D"/>
    <w:rsid w:val="003F1865"/>
    <w:rsid w:val="003F1875"/>
    <w:rsid w:val="003F18D2"/>
    <w:rsid w:val="003F1959"/>
    <w:rsid w:val="003F1965"/>
    <w:rsid w:val="003F19B1"/>
    <w:rsid w:val="003F1A46"/>
    <w:rsid w:val="003F1A8F"/>
    <w:rsid w:val="003F1AD7"/>
    <w:rsid w:val="003F1B83"/>
    <w:rsid w:val="003F1BA1"/>
    <w:rsid w:val="003F1BDB"/>
    <w:rsid w:val="003F1BFB"/>
    <w:rsid w:val="003F1C5F"/>
    <w:rsid w:val="003F1CAA"/>
    <w:rsid w:val="003F1CFC"/>
    <w:rsid w:val="003F1D29"/>
    <w:rsid w:val="003F1DAB"/>
    <w:rsid w:val="003F1E8E"/>
    <w:rsid w:val="003F1EA9"/>
    <w:rsid w:val="003F1EAF"/>
    <w:rsid w:val="003F1ED2"/>
    <w:rsid w:val="003F1F51"/>
    <w:rsid w:val="003F1F81"/>
    <w:rsid w:val="003F1FA7"/>
    <w:rsid w:val="003F204A"/>
    <w:rsid w:val="003F2082"/>
    <w:rsid w:val="003F2105"/>
    <w:rsid w:val="003F2144"/>
    <w:rsid w:val="003F2194"/>
    <w:rsid w:val="003F224F"/>
    <w:rsid w:val="003F22F4"/>
    <w:rsid w:val="003F2447"/>
    <w:rsid w:val="003F24A9"/>
    <w:rsid w:val="003F24AE"/>
    <w:rsid w:val="003F252F"/>
    <w:rsid w:val="003F2531"/>
    <w:rsid w:val="003F2541"/>
    <w:rsid w:val="003F2564"/>
    <w:rsid w:val="003F26D8"/>
    <w:rsid w:val="003F26F6"/>
    <w:rsid w:val="003F2708"/>
    <w:rsid w:val="003F27BC"/>
    <w:rsid w:val="003F2818"/>
    <w:rsid w:val="003F2858"/>
    <w:rsid w:val="003F2901"/>
    <w:rsid w:val="003F292B"/>
    <w:rsid w:val="003F2975"/>
    <w:rsid w:val="003F298C"/>
    <w:rsid w:val="003F29A2"/>
    <w:rsid w:val="003F29C5"/>
    <w:rsid w:val="003F2A78"/>
    <w:rsid w:val="003F2A8D"/>
    <w:rsid w:val="003F2AA4"/>
    <w:rsid w:val="003F2BBA"/>
    <w:rsid w:val="003F2C35"/>
    <w:rsid w:val="003F2C3D"/>
    <w:rsid w:val="003F2CEB"/>
    <w:rsid w:val="003F2D1A"/>
    <w:rsid w:val="003F2DC1"/>
    <w:rsid w:val="003F2DCF"/>
    <w:rsid w:val="003F2DFB"/>
    <w:rsid w:val="003F2ED6"/>
    <w:rsid w:val="003F2EDA"/>
    <w:rsid w:val="003F2EF9"/>
    <w:rsid w:val="003F2F2E"/>
    <w:rsid w:val="003F2F4A"/>
    <w:rsid w:val="003F2F6B"/>
    <w:rsid w:val="003F3033"/>
    <w:rsid w:val="003F3086"/>
    <w:rsid w:val="003F3094"/>
    <w:rsid w:val="003F30E6"/>
    <w:rsid w:val="003F31BD"/>
    <w:rsid w:val="003F321E"/>
    <w:rsid w:val="003F32EF"/>
    <w:rsid w:val="003F3340"/>
    <w:rsid w:val="003F3374"/>
    <w:rsid w:val="003F3399"/>
    <w:rsid w:val="003F33A3"/>
    <w:rsid w:val="003F33C9"/>
    <w:rsid w:val="003F33EE"/>
    <w:rsid w:val="003F3411"/>
    <w:rsid w:val="003F3490"/>
    <w:rsid w:val="003F3497"/>
    <w:rsid w:val="003F34D8"/>
    <w:rsid w:val="003F3531"/>
    <w:rsid w:val="003F3532"/>
    <w:rsid w:val="003F35A0"/>
    <w:rsid w:val="003F35C4"/>
    <w:rsid w:val="003F35F3"/>
    <w:rsid w:val="003F3633"/>
    <w:rsid w:val="003F3639"/>
    <w:rsid w:val="003F3646"/>
    <w:rsid w:val="003F366F"/>
    <w:rsid w:val="003F3742"/>
    <w:rsid w:val="003F3793"/>
    <w:rsid w:val="003F37AE"/>
    <w:rsid w:val="003F3805"/>
    <w:rsid w:val="003F3887"/>
    <w:rsid w:val="003F38D0"/>
    <w:rsid w:val="003F393C"/>
    <w:rsid w:val="003F3960"/>
    <w:rsid w:val="003F3967"/>
    <w:rsid w:val="003F399C"/>
    <w:rsid w:val="003F3A1B"/>
    <w:rsid w:val="003F3A3B"/>
    <w:rsid w:val="003F3A8C"/>
    <w:rsid w:val="003F3AC7"/>
    <w:rsid w:val="003F3AE6"/>
    <w:rsid w:val="003F3B18"/>
    <w:rsid w:val="003F3B75"/>
    <w:rsid w:val="003F3C32"/>
    <w:rsid w:val="003F3C37"/>
    <w:rsid w:val="003F3CC7"/>
    <w:rsid w:val="003F3E3C"/>
    <w:rsid w:val="003F3E92"/>
    <w:rsid w:val="003F3E98"/>
    <w:rsid w:val="003F3F24"/>
    <w:rsid w:val="003F3FA9"/>
    <w:rsid w:val="003F4063"/>
    <w:rsid w:val="003F4137"/>
    <w:rsid w:val="003F41A4"/>
    <w:rsid w:val="003F41D3"/>
    <w:rsid w:val="003F420B"/>
    <w:rsid w:val="003F42BE"/>
    <w:rsid w:val="003F4309"/>
    <w:rsid w:val="003F4347"/>
    <w:rsid w:val="003F435D"/>
    <w:rsid w:val="003F438A"/>
    <w:rsid w:val="003F43F4"/>
    <w:rsid w:val="003F441E"/>
    <w:rsid w:val="003F4468"/>
    <w:rsid w:val="003F45A9"/>
    <w:rsid w:val="003F45C4"/>
    <w:rsid w:val="003F45C5"/>
    <w:rsid w:val="003F467C"/>
    <w:rsid w:val="003F467D"/>
    <w:rsid w:val="003F46A7"/>
    <w:rsid w:val="003F470C"/>
    <w:rsid w:val="003F473F"/>
    <w:rsid w:val="003F4796"/>
    <w:rsid w:val="003F4805"/>
    <w:rsid w:val="003F486E"/>
    <w:rsid w:val="003F487A"/>
    <w:rsid w:val="003F48F5"/>
    <w:rsid w:val="003F49B1"/>
    <w:rsid w:val="003F49B8"/>
    <w:rsid w:val="003F49BA"/>
    <w:rsid w:val="003F4A25"/>
    <w:rsid w:val="003F4AE6"/>
    <w:rsid w:val="003F4B14"/>
    <w:rsid w:val="003F4B4D"/>
    <w:rsid w:val="003F4B8F"/>
    <w:rsid w:val="003F4B94"/>
    <w:rsid w:val="003F4BDE"/>
    <w:rsid w:val="003F4C27"/>
    <w:rsid w:val="003F4C4C"/>
    <w:rsid w:val="003F4C57"/>
    <w:rsid w:val="003F4C94"/>
    <w:rsid w:val="003F4C98"/>
    <w:rsid w:val="003F4CF3"/>
    <w:rsid w:val="003F4D1B"/>
    <w:rsid w:val="003F4D39"/>
    <w:rsid w:val="003F4D8F"/>
    <w:rsid w:val="003F4D92"/>
    <w:rsid w:val="003F4DC7"/>
    <w:rsid w:val="003F4E75"/>
    <w:rsid w:val="003F4FF0"/>
    <w:rsid w:val="003F4FF1"/>
    <w:rsid w:val="003F508A"/>
    <w:rsid w:val="003F50AA"/>
    <w:rsid w:val="003F50AD"/>
    <w:rsid w:val="003F511B"/>
    <w:rsid w:val="003F5184"/>
    <w:rsid w:val="003F51F2"/>
    <w:rsid w:val="003F51FD"/>
    <w:rsid w:val="003F521E"/>
    <w:rsid w:val="003F522B"/>
    <w:rsid w:val="003F5261"/>
    <w:rsid w:val="003F530D"/>
    <w:rsid w:val="003F5340"/>
    <w:rsid w:val="003F5354"/>
    <w:rsid w:val="003F542C"/>
    <w:rsid w:val="003F5482"/>
    <w:rsid w:val="003F54E0"/>
    <w:rsid w:val="003F5572"/>
    <w:rsid w:val="003F55C2"/>
    <w:rsid w:val="003F5619"/>
    <w:rsid w:val="003F5629"/>
    <w:rsid w:val="003F56FF"/>
    <w:rsid w:val="003F5716"/>
    <w:rsid w:val="003F5777"/>
    <w:rsid w:val="003F5828"/>
    <w:rsid w:val="003F586C"/>
    <w:rsid w:val="003F5893"/>
    <w:rsid w:val="003F5911"/>
    <w:rsid w:val="003F5926"/>
    <w:rsid w:val="003F5945"/>
    <w:rsid w:val="003F5955"/>
    <w:rsid w:val="003F598F"/>
    <w:rsid w:val="003F5A1E"/>
    <w:rsid w:val="003F5AD4"/>
    <w:rsid w:val="003F5B48"/>
    <w:rsid w:val="003F5BA1"/>
    <w:rsid w:val="003F5BF6"/>
    <w:rsid w:val="003F5D1E"/>
    <w:rsid w:val="003F5DB2"/>
    <w:rsid w:val="003F5E04"/>
    <w:rsid w:val="003F5E35"/>
    <w:rsid w:val="003F5E46"/>
    <w:rsid w:val="003F5E4A"/>
    <w:rsid w:val="003F5EDA"/>
    <w:rsid w:val="003F5F29"/>
    <w:rsid w:val="003F6044"/>
    <w:rsid w:val="003F60D9"/>
    <w:rsid w:val="003F60E5"/>
    <w:rsid w:val="003F6138"/>
    <w:rsid w:val="003F61A1"/>
    <w:rsid w:val="003F6257"/>
    <w:rsid w:val="003F6321"/>
    <w:rsid w:val="003F6387"/>
    <w:rsid w:val="003F6397"/>
    <w:rsid w:val="003F63A2"/>
    <w:rsid w:val="003F63E6"/>
    <w:rsid w:val="003F63F1"/>
    <w:rsid w:val="003F6446"/>
    <w:rsid w:val="003F64B1"/>
    <w:rsid w:val="003F64F6"/>
    <w:rsid w:val="003F6553"/>
    <w:rsid w:val="003F6561"/>
    <w:rsid w:val="003F6598"/>
    <w:rsid w:val="003F65A5"/>
    <w:rsid w:val="003F65D5"/>
    <w:rsid w:val="003F65FF"/>
    <w:rsid w:val="003F66AF"/>
    <w:rsid w:val="003F66B3"/>
    <w:rsid w:val="003F671E"/>
    <w:rsid w:val="003F6734"/>
    <w:rsid w:val="003F6758"/>
    <w:rsid w:val="003F67B3"/>
    <w:rsid w:val="003F67BB"/>
    <w:rsid w:val="003F680A"/>
    <w:rsid w:val="003F6846"/>
    <w:rsid w:val="003F684F"/>
    <w:rsid w:val="003F68AD"/>
    <w:rsid w:val="003F699A"/>
    <w:rsid w:val="003F69DF"/>
    <w:rsid w:val="003F69F5"/>
    <w:rsid w:val="003F69F9"/>
    <w:rsid w:val="003F6A8E"/>
    <w:rsid w:val="003F6ADC"/>
    <w:rsid w:val="003F6B1B"/>
    <w:rsid w:val="003F6B31"/>
    <w:rsid w:val="003F6B82"/>
    <w:rsid w:val="003F6C15"/>
    <w:rsid w:val="003F6CB4"/>
    <w:rsid w:val="003F6D83"/>
    <w:rsid w:val="003F6E19"/>
    <w:rsid w:val="003F6EBD"/>
    <w:rsid w:val="003F6ECA"/>
    <w:rsid w:val="003F6EF0"/>
    <w:rsid w:val="003F6F3A"/>
    <w:rsid w:val="003F6FEE"/>
    <w:rsid w:val="003F705E"/>
    <w:rsid w:val="003F70E1"/>
    <w:rsid w:val="003F713B"/>
    <w:rsid w:val="003F715D"/>
    <w:rsid w:val="003F71F0"/>
    <w:rsid w:val="003F71F9"/>
    <w:rsid w:val="003F723B"/>
    <w:rsid w:val="003F72C0"/>
    <w:rsid w:val="003F7306"/>
    <w:rsid w:val="003F75B7"/>
    <w:rsid w:val="003F7652"/>
    <w:rsid w:val="003F76D6"/>
    <w:rsid w:val="003F7707"/>
    <w:rsid w:val="003F774F"/>
    <w:rsid w:val="003F77E3"/>
    <w:rsid w:val="003F7897"/>
    <w:rsid w:val="003F78C3"/>
    <w:rsid w:val="003F78CB"/>
    <w:rsid w:val="003F7979"/>
    <w:rsid w:val="003F7A3B"/>
    <w:rsid w:val="003F7A90"/>
    <w:rsid w:val="003F7AAC"/>
    <w:rsid w:val="003F7AF9"/>
    <w:rsid w:val="003F7B2A"/>
    <w:rsid w:val="003F7B35"/>
    <w:rsid w:val="003F7BE1"/>
    <w:rsid w:val="003F7CC2"/>
    <w:rsid w:val="003F7D7A"/>
    <w:rsid w:val="003F7D95"/>
    <w:rsid w:val="003F7EF4"/>
    <w:rsid w:val="003F7FA7"/>
    <w:rsid w:val="0040000E"/>
    <w:rsid w:val="00400037"/>
    <w:rsid w:val="00400094"/>
    <w:rsid w:val="00400263"/>
    <w:rsid w:val="004002EA"/>
    <w:rsid w:val="00400345"/>
    <w:rsid w:val="00400349"/>
    <w:rsid w:val="00400376"/>
    <w:rsid w:val="004003A2"/>
    <w:rsid w:val="004003E6"/>
    <w:rsid w:val="004003F9"/>
    <w:rsid w:val="00400526"/>
    <w:rsid w:val="0040052F"/>
    <w:rsid w:val="00400535"/>
    <w:rsid w:val="00400565"/>
    <w:rsid w:val="0040058E"/>
    <w:rsid w:val="004005B5"/>
    <w:rsid w:val="00400644"/>
    <w:rsid w:val="004006A8"/>
    <w:rsid w:val="004006B0"/>
    <w:rsid w:val="004006BB"/>
    <w:rsid w:val="004006FD"/>
    <w:rsid w:val="00400786"/>
    <w:rsid w:val="004007ED"/>
    <w:rsid w:val="00400898"/>
    <w:rsid w:val="00400969"/>
    <w:rsid w:val="004009CF"/>
    <w:rsid w:val="00400A1A"/>
    <w:rsid w:val="00400A44"/>
    <w:rsid w:val="00400A90"/>
    <w:rsid w:val="00400BC3"/>
    <w:rsid w:val="00400BFB"/>
    <w:rsid w:val="00400C11"/>
    <w:rsid w:val="00400C3E"/>
    <w:rsid w:val="00400C9B"/>
    <w:rsid w:val="00400D3E"/>
    <w:rsid w:val="00400D60"/>
    <w:rsid w:val="00400D65"/>
    <w:rsid w:val="00400DDB"/>
    <w:rsid w:val="00400E3E"/>
    <w:rsid w:val="00400EA9"/>
    <w:rsid w:val="00400F31"/>
    <w:rsid w:val="00400F56"/>
    <w:rsid w:val="00400F64"/>
    <w:rsid w:val="00400FC3"/>
    <w:rsid w:val="00401033"/>
    <w:rsid w:val="0040104C"/>
    <w:rsid w:val="004010FF"/>
    <w:rsid w:val="00401159"/>
    <w:rsid w:val="0040116A"/>
    <w:rsid w:val="0040117A"/>
    <w:rsid w:val="00401231"/>
    <w:rsid w:val="00401290"/>
    <w:rsid w:val="004012BF"/>
    <w:rsid w:val="004013AA"/>
    <w:rsid w:val="004013C5"/>
    <w:rsid w:val="00401454"/>
    <w:rsid w:val="00401499"/>
    <w:rsid w:val="004014F5"/>
    <w:rsid w:val="00401522"/>
    <w:rsid w:val="0040152C"/>
    <w:rsid w:val="00401579"/>
    <w:rsid w:val="004015F3"/>
    <w:rsid w:val="00401689"/>
    <w:rsid w:val="00401692"/>
    <w:rsid w:val="00401696"/>
    <w:rsid w:val="004016A8"/>
    <w:rsid w:val="004016D1"/>
    <w:rsid w:val="00401702"/>
    <w:rsid w:val="004017C9"/>
    <w:rsid w:val="004017D8"/>
    <w:rsid w:val="004017E4"/>
    <w:rsid w:val="0040183B"/>
    <w:rsid w:val="004018BD"/>
    <w:rsid w:val="00401900"/>
    <w:rsid w:val="00401931"/>
    <w:rsid w:val="004019AD"/>
    <w:rsid w:val="00401A75"/>
    <w:rsid w:val="00401AF0"/>
    <w:rsid w:val="00401B06"/>
    <w:rsid w:val="00401B5C"/>
    <w:rsid w:val="00401B86"/>
    <w:rsid w:val="00401BC4"/>
    <w:rsid w:val="00401C1D"/>
    <w:rsid w:val="00401C4C"/>
    <w:rsid w:val="00401CBE"/>
    <w:rsid w:val="00401D0B"/>
    <w:rsid w:val="00401D27"/>
    <w:rsid w:val="00401D5D"/>
    <w:rsid w:val="00401E16"/>
    <w:rsid w:val="00401E1B"/>
    <w:rsid w:val="00401E42"/>
    <w:rsid w:val="00401EA5"/>
    <w:rsid w:val="00401EA7"/>
    <w:rsid w:val="00401ED0"/>
    <w:rsid w:val="00401F26"/>
    <w:rsid w:val="00401F7C"/>
    <w:rsid w:val="00401FE4"/>
    <w:rsid w:val="0040204E"/>
    <w:rsid w:val="00402119"/>
    <w:rsid w:val="00402127"/>
    <w:rsid w:val="0040212D"/>
    <w:rsid w:val="00402130"/>
    <w:rsid w:val="00402139"/>
    <w:rsid w:val="0040215E"/>
    <w:rsid w:val="00402231"/>
    <w:rsid w:val="004022F3"/>
    <w:rsid w:val="0040253B"/>
    <w:rsid w:val="00402679"/>
    <w:rsid w:val="00402716"/>
    <w:rsid w:val="00402737"/>
    <w:rsid w:val="004027D1"/>
    <w:rsid w:val="00402818"/>
    <w:rsid w:val="00402866"/>
    <w:rsid w:val="004029C2"/>
    <w:rsid w:val="004029F8"/>
    <w:rsid w:val="00402A3E"/>
    <w:rsid w:val="00402A40"/>
    <w:rsid w:val="00402ACA"/>
    <w:rsid w:val="00402BA8"/>
    <w:rsid w:val="00402BD0"/>
    <w:rsid w:val="00402BE9"/>
    <w:rsid w:val="00402C57"/>
    <w:rsid w:val="00402CD6"/>
    <w:rsid w:val="00402D1D"/>
    <w:rsid w:val="00402D4E"/>
    <w:rsid w:val="00402D8F"/>
    <w:rsid w:val="00402DB2"/>
    <w:rsid w:val="00402E36"/>
    <w:rsid w:val="00402E3E"/>
    <w:rsid w:val="00402F0C"/>
    <w:rsid w:val="00402F77"/>
    <w:rsid w:val="00402FC7"/>
    <w:rsid w:val="00402FCA"/>
    <w:rsid w:val="00402FD2"/>
    <w:rsid w:val="004030A9"/>
    <w:rsid w:val="004031CE"/>
    <w:rsid w:val="00403207"/>
    <w:rsid w:val="004032DC"/>
    <w:rsid w:val="004032E2"/>
    <w:rsid w:val="004032EE"/>
    <w:rsid w:val="004033EA"/>
    <w:rsid w:val="004033F4"/>
    <w:rsid w:val="0040340C"/>
    <w:rsid w:val="0040341B"/>
    <w:rsid w:val="004034F8"/>
    <w:rsid w:val="00403536"/>
    <w:rsid w:val="004035C0"/>
    <w:rsid w:val="004035C5"/>
    <w:rsid w:val="004035DE"/>
    <w:rsid w:val="004035E1"/>
    <w:rsid w:val="0040364E"/>
    <w:rsid w:val="00403668"/>
    <w:rsid w:val="0040368B"/>
    <w:rsid w:val="00403698"/>
    <w:rsid w:val="004036CC"/>
    <w:rsid w:val="00403751"/>
    <w:rsid w:val="004037A4"/>
    <w:rsid w:val="00403899"/>
    <w:rsid w:val="0040389E"/>
    <w:rsid w:val="0040389F"/>
    <w:rsid w:val="00403939"/>
    <w:rsid w:val="0040397B"/>
    <w:rsid w:val="004039BF"/>
    <w:rsid w:val="004039C4"/>
    <w:rsid w:val="00403A0F"/>
    <w:rsid w:val="00403A61"/>
    <w:rsid w:val="00403ADE"/>
    <w:rsid w:val="00403AEB"/>
    <w:rsid w:val="00403B27"/>
    <w:rsid w:val="00403B86"/>
    <w:rsid w:val="00403C07"/>
    <w:rsid w:val="00403CB1"/>
    <w:rsid w:val="00403CD5"/>
    <w:rsid w:val="00403CEC"/>
    <w:rsid w:val="00403E0F"/>
    <w:rsid w:val="00403F0A"/>
    <w:rsid w:val="00403F1A"/>
    <w:rsid w:val="00403F66"/>
    <w:rsid w:val="00404094"/>
    <w:rsid w:val="004040D0"/>
    <w:rsid w:val="004040D2"/>
    <w:rsid w:val="004041D4"/>
    <w:rsid w:val="004041E7"/>
    <w:rsid w:val="00404312"/>
    <w:rsid w:val="0040435D"/>
    <w:rsid w:val="0040441D"/>
    <w:rsid w:val="0040443C"/>
    <w:rsid w:val="00404491"/>
    <w:rsid w:val="00404499"/>
    <w:rsid w:val="004044CD"/>
    <w:rsid w:val="00404502"/>
    <w:rsid w:val="004045A0"/>
    <w:rsid w:val="004045C5"/>
    <w:rsid w:val="00404634"/>
    <w:rsid w:val="004046CE"/>
    <w:rsid w:val="00404749"/>
    <w:rsid w:val="00404885"/>
    <w:rsid w:val="00404936"/>
    <w:rsid w:val="0040495D"/>
    <w:rsid w:val="0040496D"/>
    <w:rsid w:val="004049C3"/>
    <w:rsid w:val="00404A54"/>
    <w:rsid w:val="00404ACD"/>
    <w:rsid w:val="00404B08"/>
    <w:rsid w:val="00404B1F"/>
    <w:rsid w:val="00404B98"/>
    <w:rsid w:val="00404BAF"/>
    <w:rsid w:val="00404BBB"/>
    <w:rsid w:val="00404BEC"/>
    <w:rsid w:val="00404BFA"/>
    <w:rsid w:val="00404CC3"/>
    <w:rsid w:val="00404EBF"/>
    <w:rsid w:val="00404EC6"/>
    <w:rsid w:val="00404F8B"/>
    <w:rsid w:val="00404FED"/>
    <w:rsid w:val="0040501F"/>
    <w:rsid w:val="004050EB"/>
    <w:rsid w:val="00405145"/>
    <w:rsid w:val="00405234"/>
    <w:rsid w:val="0040523E"/>
    <w:rsid w:val="00405251"/>
    <w:rsid w:val="0040525F"/>
    <w:rsid w:val="00405268"/>
    <w:rsid w:val="00405320"/>
    <w:rsid w:val="0040536D"/>
    <w:rsid w:val="004053B6"/>
    <w:rsid w:val="004053E2"/>
    <w:rsid w:val="0040541E"/>
    <w:rsid w:val="0040547A"/>
    <w:rsid w:val="00405497"/>
    <w:rsid w:val="00405550"/>
    <w:rsid w:val="004055A2"/>
    <w:rsid w:val="004055A6"/>
    <w:rsid w:val="004055CD"/>
    <w:rsid w:val="0040562F"/>
    <w:rsid w:val="004056E8"/>
    <w:rsid w:val="00405902"/>
    <w:rsid w:val="00405948"/>
    <w:rsid w:val="0040595E"/>
    <w:rsid w:val="0040597F"/>
    <w:rsid w:val="0040599F"/>
    <w:rsid w:val="004059BA"/>
    <w:rsid w:val="00405A53"/>
    <w:rsid w:val="00405ABF"/>
    <w:rsid w:val="00405B3A"/>
    <w:rsid w:val="00405BE5"/>
    <w:rsid w:val="00405BF7"/>
    <w:rsid w:val="00405C07"/>
    <w:rsid w:val="00405C83"/>
    <w:rsid w:val="00405CB4"/>
    <w:rsid w:val="00405D50"/>
    <w:rsid w:val="00405DF2"/>
    <w:rsid w:val="00405E24"/>
    <w:rsid w:val="00405EB6"/>
    <w:rsid w:val="00405F48"/>
    <w:rsid w:val="00405F53"/>
    <w:rsid w:val="00405F8F"/>
    <w:rsid w:val="00405F96"/>
    <w:rsid w:val="00406015"/>
    <w:rsid w:val="00406020"/>
    <w:rsid w:val="0040606A"/>
    <w:rsid w:val="004060A9"/>
    <w:rsid w:val="0040626F"/>
    <w:rsid w:val="004062A7"/>
    <w:rsid w:val="00406314"/>
    <w:rsid w:val="00406381"/>
    <w:rsid w:val="004063C5"/>
    <w:rsid w:val="0040641D"/>
    <w:rsid w:val="0040643E"/>
    <w:rsid w:val="004064A1"/>
    <w:rsid w:val="004065D0"/>
    <w:rsid w:val="004065EF"/>
    <w:rsid w:val="004066C3"/>
    <w:rsid w:val="004066D2"/>
    <w:rsid w:val="0040671B"/>
    <w:rsid w:val="004067FD"/>
    <w:rsid w:val="0040683E"/>
    <w:rsid w:val="004069CA"/>
    <w:rsid w:val="004069CD"/>
    <w:rsid w:val="004069E3"/>
    <w:rsid w:val="00406B05"/>
    <w:rsid w:val="00406B83"/>
    <w:rsid w:val="00406BA8"/>
    <w:rsid w:val="00406BC8"/>
    <w:rsid w:val="00406C32"/>
    <w:rsid w:val="00406C52"/>
    <w:rsid w:val="00406CF3"/>
    <w:rsid w:val="00406DD5"/>
    <w:rsid w:val="00406DFE"/>
    <w:rsid w:val="00406E0B"/>
    <w:rsid w:val="00406E96"/>
    <w:rsid w:val="00406EA4"/>
    <w:rsid w:val="00406EAB"/>
    <w:rsid w:val="00406EFA"/>
    <w:rsid w:val="0040704A"/>
    <w:rsid w:val="00407084"/>
    <w:rsid w:val="004070BC"/>
    <w:rsid w:val="0040715D"/>
    <w:rsid w:val="00407185"/>
    <w:rsid w:val="00407195"/>
    <w:rsid w:val="004072F6"/>
    <w:rsid w:val="0040735E"/>
    <w:rsid w:val="004073AC"/>
    <w:rsid w:val="004073ED"/>
    <w:rsid w:val="0040742F"/>
    <w:rsid w:val="00407493"/>
    <w:rsid w:val="004074FE"/>
    <w:rsid w:val="0040754F"/>
    <w:rsid w:val="00407573"/>
    <w:rsid w:val="004075FC"/>
    <w:rsid w:val="004076BC"/>
    <w:rsid w:val="0040775A"/>
    <w:rsid w:val="004077F3"/>
    <w:rsid w:val="0040781E"/>
    <w:rsid w:val="0040787D"/>
    <w:rsid w:val="004078B1"/>
    <w:rsid w:val="00407968"/>
    <w:rsid w:val="004079A2"/>
    <w:rsid w:val="00407A06"/>
    <w:rsid w:val="00407A59"/>
    <w:rsid w:val="00407A6F"/>
    <w:rsid w:val="00407B7D"/>
    <w:rsid w:val="00407C07"/>
    <w:rsid w:val="00407C3A"/>
    <w:rsid w:val="00407CD2"/>
    <w:rsid w:val="00407CE8"/>
    <w:rsid w:val="00407D21"/>
    <w:rsid w:val="00407D79"/>
    <w:rsid w:val="00407DAB"/>
    <w:rsid w:val="00407E09"/>
    <w:rsid w:val="00407E1F"/>
    <w:rsid w:val="00407E22"/>
    <w:rsid w:val="00407F10"/>
    <w:rsid w:val="00407F39"/>
    <w:rsid w:val="00407FAF"/>
    <w:rsid w:val="00407FF2"/>
    <w:rsid w:val="00410059"/>
    <w:rsid w:val="00410096"/>
    <w:rsid w:val="004100BC"/>
    <w:rsid w:val="00410139"/>
    <w:rsid w:val="00410187"/>
    <w:rsid w:val="004101B6"/>
    <w:rsid w:val="004101CA"/>
    <w:rsid w:val="004101E2"/>
    <w:rsid w:val="004101E4"/>
    <w:rsid w:val="004101EE"/>
    <w:rsid w:val="00410223"/>
    <w:rsid w:val="0041022F"/>
    <w:rsid w:val="004102E0"/>
    <w:rsid w:val="0041030C"/>
    <w:rsid w:val="0041034F"/>
    <w:rsid w:val="0041039A"/>
    <w:rsid w:val="004103B4"/>
    <w:rsid w:val="00410446"/>
    <w:rsid w:val="00410456"/>
    <w:rsid w:val="004104E7"/>
    <w:rsid w:val="0041054F"/>
    <w:rsid w:val="00410585"/>
    <w:rsid w:val="004105D3"/>
    <w:rsid w:val="0041064C"/>
    <w:rsid w:val="00410693"/>
    <w:rsid w:val="0041078C"/>
    <w:rsid w:val="0041080A"/>
    <w:rsid w:val="00410859"/>
    <w:rsid w:val="0041089E"/>
    <w:rsid w:val="00410954"/>
    <w:rsid w:val="0041095C"/>
    <w:rsid w:val="004109D8"/>
    <w:rsid w:val="00410A2E"/>
    <w:rsid w:val="00410B48"/>
    <w:rsid w:val="00410B84"/>
    <w:rsid w:val="00410BAB"/>
    <w:rsid w:val="00410BE1"/>
    <w:rsid w:val="00410BF4"/>
    <w:rsid w:val="00410CCD"/>
    <w:rsid w:val="00410CD6"/>
    <w:rsid w:val="00410D35"/>
    <w:rsid w:val="00410EA7"/>
    <w:rsid w:val="00410EC0"/>
    <w:rsid w:val="00410ED5"/>
    <w:rsid w:val="00410ED9"/>
    <w:rsid w:val="00410F05"/>
    <w:rsid w:val="00410F21"/>
    <w:rsid w:val="00410F2A"/>
    <w:rsid w:val="004110EF"/>
    <w:rsid w:val="00411129"/>
    <w:rsid w:val="004111A9"/>
    <w:rsid w:val="004111D8"/>
    <w:rsid w:val="00411294"/>
    <w:rsid w:val="004112AB"/>
    <w:rsid w:val="004112C8"/>
    <w:rsid w:val="004112FE"/>
    <w:rsid w:val="00411353"/>
    <w:rsid w:val="004113A1"/>
    <w:rsid w:val="004113B9"/>
    <w:rsid w:val="004115A8"/>
    <w:rsid w:val="004116D0"/>
    <w:rsid w:val="0041182E"/>
    <w:rsid w:val="0041183C"/>
    <w:rsid w:val="00411866"/>
    <w:rsid w:val="004118B2"/>
    <w:rsid w:val="00411916"/>
    <w:rsid w:val="00411974"/>
    <w:rsid w:val="004119B2"/>
    <w:rsid w:val="004119E4"/>
    <w:rsid w:val="004119F1"/>
    <w:rsid w:val="00411A12"/>
    <w:rsid w:val="00411A5B"/>
    <w:rsid w:val="00411A71"/>
    <w:rsid w:val="00411A7B"/>
    <w:rsid w:val="00411AFC"/>
    <w:rsid w:val="00411BD1"/>
    <w:rsid w:val="00411C57"/>
    <w:rsid w:val="00411C82"/>
    <w:rsid w:val="00411C8B"/>
    <w:rsid w:val="00411D4C"/>
    <w:rsid w:val="00411D95"/>
    <w:rsid w:val="00411DBA"/>
    <w:rsid w:val="00411E19"/>
    <w:rsid w:val="00411F38"/>
    <w:rsid w:val="00411F4C"/>
    <w:rsid w:val="00411F7D"/>
    <w:rsid w:val="00411FC3"/>
    <w:rsid w:val="00412001"/>
    <w:rsid w:val="00412061"/>
    <w:rsid w:val="004120C7"/>
    <w:rsid w:val="004120F4"/>
    <w:rsid w:val="0041217A"/>
    <w:rsid w:val="00412181"/>
    <w:rsid w:val="00412194"/>
    <w:rsid w:val="004121E8"/>
    <w:rsid w:val="00412250"/>
    <w:rsid w:val="00412280"/>
    <w:rsid w:val="0041230B"/>
    <w:rsid w:val="0041236A"/>
    <w:rsid w:val="004123B2"/>
    <w:rsid w:val="0041248E"/>
    <w:rsid w:val="004124C7"/>
    <w:rsid w:val="00412575"/>
    <w:rsid w:val="004125BF"/>
    <w:rsid w:val="004125C2"/>
    <w:rsid w:val="004125F9"/>
    <w:rsid w:val="0041268F"/>
    <w:rsid w:val="004126AF"/>
    <w:rsid w:val="00412733"/>
    <w:rsid w:val="00412748"/>
    <w:rsid w:val="004127AF"/>
    <w:rsid w:val="0041280B"/>
    <w:rsid w:val="00412814"/>
    <w:rsid w:val="004128AD"/>
    <w:rsid w:val="00412958"/>
    <w:rsid w:val="00412972"/>
    <w:rsid w:val="0041297D"/>
    <w:rsid w:val="004129D8"/>
    <w:rsid w:val="004129DC"/>
    <w:rsid w:val="00412A0F"/>
    <w:rsid w:val="00412A39"/>
    <w:rsid w:val="00412A67"/>
    <w:rsid w:val="00412A8E"/>
    <w:rsid w:val="00412AF0"/>
    <w:rsid w:val="00412B78"/>
    <w:rsid w:val="00412B84"/>
    <w:rsid w:val="00412B8F"/>
    <w:rsid w:val="00412BBF"/>
    <w:rsid w:val="00412C62"/>
    <w:rsid w:val="00412D13"/>
    <w:rsid w:val="00412D82"/>
    <w:rsid w:val="00412DC3"/>
    <w:rsid w:val="00412E09"/>
    <w:rsid w:val="00412ED3"/>
    <w:rsid w:val="00412F30"/>
    <w:rsid w:val="00412F42"/>
    <w:rsid w:val="00412F43"/>
    <w:rsid w:val="00412F5A"/>
    <w:rsid w:val="00412F6B"/>
    <w:rsid w:val="00412FED"/>
    <w:rsid w:val="00413027"/>
    <w:rsid w:val="00413028"/>
    <w:rsid w:val="00413036"/>
    <w:rsid w:val="00413071"/>
    <w:rsid w:val="004130CE"/>
    <w:rsid w:val="004130E2"/>
    <w:rsid w:val="0041314B"/>
    <w:rsid w:val="004131A0"/>
    <w:rsid w:val="004131FA"/>
    <w:rsid w:val="0041323F"/>
    <w:rsid w:val="00413312"/>
    <w:rsid w:val="00413313"/>
    <w:rsid w:val="0041336C"/>
    <w:rsid w:val="004133C9"/>
    <w:rsid w:val="004133EE"/>
    <w:rsid w:val="00413496"/>
    <w:rsid w:val="004134D6"/>
    <w:rsid w:val="004134E3"/>
    <w:rsid w:val="0041351B"/>
    <w:rsid w:val="00413542"/>
    <w:rsid w:val="004135C3"/>
    <w:rsid w:val="0041362F"/>
    <w:rsid w:val="0041364A"/>
    <w:rsid w:val="004136DD"/>
    <w:rsid w:val="00413753"/>
    <w:rsid w:val="0041376E"/>
    <w:rsid w:val="00413794"/>
    <w:rsid w:val="004137FD"/>
    <w:rsid w:val="00413876"/>
    <w:rsid w:val="004138B4"/>
    <w:rsid w:val="0041392F"/>
    <w:rsid w:val="004139B4"/>
    <w:rsid w:val="004139F1"/>
    <w:rsid w:val="00413A65"/>
    <w:rsid w:val="00413AD2"/>
    <w:rsid w:val="00413B4A"/>
    <w:rsid w:val="00413C13"/>
    <w:rsid w:val="00413C6A"/>
    <w:rsid w:val="00413C7F"/>
    <w:rsid w:val="00413C89"/>
    <w:rsid w:val="00413DB7"/>
    <w:rsid w:val="00413E8A"/>
    <w:rsid w:val="00413EF2"/>
    <w:rsid w:val="00413F1C"/>
    <w:rsid w:val="00413F85"/>
    <w:rsid w:val="00413FC7"/>
    <w:rsid w:val="00414017"/>
    <w:rsid w:val="004140C9"/>
    <w:rsid w:val="004140FB"/>
    <w:rsid w:val="00414104"/>
    <w:rsid w:val="00414110"/>
    <w:rsid w:val="0041411F"/>
    <w:rsid w:val="00414136"/>
    <w:rsid w:val="00414190"/>
    <w:rsid w:val="00414218"/>
    <w:rsid w:val="00414245"/>
    <w:rsid w:val="00414252"/>
    <w:rsid w:val="004142D7"/>
    <w:rsid w:val="004142E7"/>
    <w:rsid w:val="00414300"/>
    <w:rsid w:val="00414303"/>
    <w:rsid w:val="00414304"/>
    <w:rsid w:val="00414347"/>
    <w:rsid w:val="004143FC"/>
    <w:rsid w:val="00414411"/>
    <w:rsid w:val="00414488"/>
    <w:rsid w:val="004145BA"/>
    <w:rsid w:val="00414606"/>
    <w:rsid w:val="00414674"/>
    <w:rsid w:val="004146A1"/>
    <w:rsid w:val="004146D6"/>
    <w:rsid w:val="0041478E"/>
    <w:rsid w:val="004147AE"/>
    <w:rsid w:val="004147B1"/>
    <w:rsid w:val="00414800"/>
    <w:rsid w:val="004148FD"/>
    <w:rsid w:val="00414955"/>
    <w:rsid w:val="00414B57"/>
    <w:rsid w:val="00414BFB"/>
    <w:rsid w:val="00414C2F"/>
    <w:rsid w:val="00414D6E"/>
    <w:rsid w:val="00414DA7"/>
    <w:rsid w:val="00414E6E"/>
    <w:rsid w:val="00414F00"/>
    <w:rsid w:val="00414F21"/>
    <w:rsid w:val="00415005"/>
    <w:rsid w:val="0041509C"/>
    <w:rsid w:val="00415209"/>
    <w:rsid w:val="00415221"/>
    <w:rsid w:val="00415282"/>
    <w:rsid w:val="00415295"/>
    <w:rsid w:val="004152EE"/>
    <w:rsid w:val="004152FA"/>
    <w:rsid w:val="004153A9"/>
    <w:rsid w:val="004153C3"/>
    <w:rsid w:val="00415407"/>
    <w:rsid w:val="00415446"/>
    <w:rsid w:val="00415486"/>
    <w:rsid w:val="004154ED"/>
    <w:rsid w:val="00415558"/>
    <w:rsid w:val="0041562D"/>
    <w:rsid w:val="004156B7"/>
    <w:rsid w:val="004156C9"/>
    <w:rsid w:val="00415768"/>
    <w:rsid w:val="00415824"/>
    <w:rsid w:val="0041582E"/>
    <w:rsid w:val="0041588D"/>
    <w:rsid w:val="004158C3"/>
    <w:rsid w:val="004158DE"/>
    <w:rsid w:val="004158ED"/>
    <w:rsid w:val="004159B9"/>
    <w:rsid w:val="004159C7"/>
    <w:rsid w:val="004159FD"/>
    <w:rsid w:val="00415A32"/>
    <w:rsid w:val="00415A68"/>
    <w:rsid w:val="00415A8F"/>
    <w:rsid w:val="00415B13"/>
    <w:rsid w:val="00415B3A"/>
    <w:rsid w:val="00415B97"/>
    <w:rsid w:val="00415BAB"/>
    <w:rsid w:val="00415BFF"/>
    <w:rsid w:val="00415CB3"/>
    <w:rsid w:val="00415D1B"/>
    <w:rsid w:val="00415E0B"/>
    <w:rsid w:val="00415E67"/>
    <w:rsid w:val="00416020"/>
    <w:rsid w:val="0041612B"/>
    <w:rsid w:val="0041614A"/>
    <w:rsid w:val="0041615F"/>
    <w:rsid w:val="0041626A"/>
    <w:rsid w:val="0041626E"/>
    <w:rsid w:val="00416320"/>
    <w:rsid w:val="004163CE"/>
    <w:rsid w:val="004163DF"/>
    <w:rsid w:val="004163FE"/>
    <w:rsid w:val="0041643D"/>
    <w:rsid w:val="0041651E"/>
    <w:rsid w:val="004165A3"/>
    <w:rsid w:val="004165B6"/>
    <w:rsid w:val="004165F2"/>
    <w:rsid w:val="0041664B"/>
    <w:rsid w:val="00416651"/>
    <w:rsid w:val="004166AE"/>
    <w:rsid w:val="004166EC"/>
    <w:rsid w:val="00416708"/>
    <w:rsid w:val="00416776"/>
    <w:rsid w:val="004167C9"/>
    <w:rsid w:val="0041683E"/>
    <w:rsid w:val="0041684C"/>
    <w:rsid w:val="00416853"/>
    <w:rsid w:val="0041685E"/>
    <w:rsid w:val="0041688D"/>
    <w:rsid w:val="004168D1"/>
    <w:rsid w:val="004168F5"/>
    <w:rsid w:val="0041692A"/>
    <w:rsid w:val="00416936"/>
    <w:rsid w:val="00416982"/>
    <w:rsid w:val="004169EA"/>
    <w:rsid w:val="00416A3B"/>
    <w:rsid w:val="00416B6B"/>
    <w:rsid w:val="00416C51"/>
    <w:rsid w:val="00416C62"/>
    <w:rsid w:val="00416CD7"/>
    <w:rsid w:val="00416CF0"/>
    <w:rsid w:val="00416D36"/>
    <w:rsid w:val="00416D68"/>
    <w:rsid w:val="00416DF5"/>
    <w:rsid w:val="00416E04"/>
    <w:rsid w:val="00416E2C"/>
    <w:rsid w:val="00416FA9"/>
    <w:rsid w:val="00416FFF"/>
    <w:rsid w:val="00417015"/>
    <w:rsid w:val="0041708C"/>
    <w:rsid w:val="004170DD"/>
    <w:rsid w:val="0041711A"/>
    <w:rsid w:val="00417150"/>
    <w:rsid w:val="00417177"/>
    <w:rsid w:val="004171CA"/>
    <w:rsid w:val="0041721B"/>
    <w:rsid w:val="004172A3"/>
    <w:rsid w:val="00417311"/>
    <w:rsid w:val="00417504"/>
    <w:rsid w:val="00417551"/>
    <w:rsid w:val="004175A6"/>
    <w:rsid w:val="004175B6"/>
    <w:rsid w:val="004175BB"/>
    <w:rsid w:val="00417601"/>
    <w:rsid w:val="0041764F"/>
    <w:rsid w:val="0041766D"/>
    <w:rsid w:val="00417687"/>
    <w:rsid w:val="004176A8"/>
    <w:rsid w:val="004177A7"/>
    <w:rsid w:val="00417830"/>
    <w:rsid w:val="0041784B"/>
    <w:rsid w:val="0041786B"/>
    <w:rsid w:val="004178C8"/>
    <w:rsid w:val="00417948"/>
    <w:rsid w:val="00417965"/>
    <w:rsid w:val="004179F3"/>
    <w:rsid w:val="00417A46"/>
    <w:rsid w:val="00417A7B"/>
    <w:rsid w:val="00417B46"/>
    <w:rsid w:val="00417B9D"/>
    <w:rsid w:val="00417BA3"/>
    <w:rsid w:val="00417C10"/>
    <w:rsid w:val="00417C3C"/>
    <w:rsid w:val="00417C45"/>
    <w:rsid w:val="00417C89"/>
    <w:rsid w:val="00417CFA"/>
    <w:rsid w:val="00417DBF"/>
    <w:rsid w:val="00417DCE"/>
    <w:rsid w:val="00417E4B"/>
    <w:rsid w:val="00417ECD"/>
    <w:rsid w:val="00417F40"/>
    <w:rsid w:val="00417F68"/>
    <w:rsid w:val="0041862B"/>
    <w:rsid w:val="00420052"/>
    <w:rsid w:val="00420090"/>
    <w:rsid w:val="00420099"/>
    <w:rsid w:val="0042010A"/>
    <w:rsid w:val="0042013A"/>
    <w:rsid w:val="00420192"/>
    <w:rsid w:val="004202B4"/>
    <w:rsid w:val="0042033C"/>
    <w:rsid w:val="00420345"/>
    <w:rsid w:val="00420357"/>
    <w:rsid w:val="00420369"/>
    <w:rsid w:val="004203D5"/>
    <w:rsid w:val="00420435"/>
    <w:rsid w:val="00420447"/>
    <w:rsid w:val="00420454"/>
    <w:rsid w:val="00420492"/>
    <w:rsid w:val="004204BD"/>
    <w:rsid w:val="004204C3"/>
    <w:rsid w:val="00420553"/>
    <w:rsid w:val="004205C5"/>
    <w:rsid w:val="004205C6"/>
    <w:rsid w:val="00420608"/>
    <w:rsid w:val="0042061C"/>
    <w:rsid w:val="0042065C"/>
    <w:rsid w:val="00420665"/>
    <w:rsid w:val="00420696"/>
    <w:rsid w:val="004206A1"/>
    <w:rsid w:val="0042070D"/>
    <w:rsid w:val="00420769"/>
    <w:rsid w:val="00420794"/>
    <w:rsid w:val="00420799"/>
    <w:rsid w:val="004207F3"/>
    <w:rsid w:val="00420816"/>
    <w:rsid w:val="00420830"/>
    <w:rsid w:val="0042084E"/>
    <w:rsid w:val="00420956"/>
    <w:rsid w:val="00420985"/>
    <w:rsid w:val="004209DA"/>
    <w:rsid w:val="00420A71"/>
    <w:rsid w:val="00420DD7"/>
    <w:rsid w:val="00420E24"/>
    <w:rsid w:val="00420E8C"/>
    <w:rsid w:val="00420EED"/>
    <w:rsid w:val="00420EF0"/>
    <w:rsid w:val="00420F09"/>
    <w:rsid w:val="00420F60"/>
    <w:rsid w:val="00420F85"/>
    <w:rsid w:val="00421075"/>
    <w:rsid w:val="004210B0"/>
    <w:rsid w:val="00421196"/>
    <w:rsid w:val="004211D9"/>
    <w:rsid w:val="004211FD"/>
    <w:rsid w:val="004212A7"/>
    <w:rsid w:val="004212BD"/>
    <w:rsid w:val="0042132A"/>
    <w:rsid w:val="00421391"/>
    <w:rsid w:val="004213AD"/>
    <w:rsid w:val="004213C7"/>
    <w:rsid w:val="004213F3"/>
    <w:rsid w:val="0042143A"/>
    <w:rsid w:val="004214B2"/>
    <w:rsid w:val="004214EF"/>
    <w:rsid w:val="00421543"/>
    <w:rsid w:val="004215D8"/>
    <w:rsid w:val="0042162C"/>
    <w:rsid w:val="00421647"/>
    <w:rsid w:val="00421682"/>
    <w:rsid w:val="004216B3"/>
    <w:rsid w:val="004217AC"/>
    <w:rsid w:val="004218B0"/>
    <w:rsid w:val="00421A15"/>
    <w:rsid w:val="00421AA9"/>
    <w:rsid w:val="00421ADB"/>
    <w:rsid w:val="00421C03"/>
    <w:rsid w:val="00421C0F"/>
    <w:rsid w:val="00421C6A"/>
    <w:rsid w:val="00421C9D"/>
    <w:rsid w:val="00421D73"/>
    <w:rsid w:val="00421DED"/>
    <w:rsid w:val="00421E5A"/>
    <w:rsid w:val="00421E95"/>
    <w:rsid w:val="00421EA1"/>
    <w:rsid w:val="0042200F"/>
    <w:rsid w:val="00422017"/>
    <w:rsid w:val="00422071"/>
    <w:rsid w:val="004220C0"/>
    <w:rsid w:val="00422289"/>
    <w:rsid w:val="004222A7"/>
    <w:rsid w:val="004222E7"/>
    <w:rsid w:val="0042245B"/>
    <w:rsid w:val="0042251D"/>
    <w:rsid w:val="004225BE"/>
    <w:rsid w:val="004225DF"/>
    <w:rsid w:val="004225F1"/>
    <w:rsid w:val="00422664"/>
    <w:rsid w:val="0042268D"/>
    <w:rsid w:val="0042269C"/>
    <w:rsid w:val="00422707"/>
    <w:rsid w:val="00422741"/>
    <w:rsid w:val="00422766"/>
    <w:rsid w:val="004227C1"/>
    <w:rsid w:val="004229FE"/>
    <w:rsid w:val="00422A30"/>
    <w:rsid w:val="00422AC0"/>
    <w:rsid w:val="00422C1F"/>
    <w:rsid w:val="00422C30"/>
    <w:rsid w:val="00422C3D"/>
    <w:rsid w:val="00422C58"/>
    <w:rsid w:val="00422C63"/>
    <w:rsid w:val="00422C6F"/>
    <w:rsid w:val="00422C81"/>
    <w:rsid w:val="00422C9B"/>
    <w:rsid w:val="00422CB1"/>
    <w:rsid w:val="00422D39"/>
    <w:rsid w:val="00422DC3"/>
    <w:rsid w:val="00422DE9"/>
    <w:rsid w:val="00422F13"/>
    <w:rsid w:val="00422F21"/>
    <w:rsid w:val="00422F62"/>
    <w:rsid w:val="00422FB5"/>
    <w:rsid w:val="00423001"/>
    <w:rsid w:val="004230E5"/>
    <w:rsid w:val="0042314D"/>
    <w:rsid w:val="004231BB"/>
    <w:rsid w:val="00423212"/>
    <w:rsid w:val="0042323E"/>
    <w:rsid w:val="00423278"/>
    <w:rsid w:val="00423325"/>
    <w:rsid w:val="00423363"/>
    <w:rsid w:val="00423435"/>
    <w:rsid w:val="00423478"/>
    <w:rsid w:val="004234CE"/>
    <w:rsid w:val="004234DF"/>
    <w:rsid w:val="00423510"/>
    <w:rsid w:val="00423568"/>
    <w:rsid w:val="00423596"/>
    <w:rsid w:val="004235A7"/>
    <w:rsid w:val="00423779"/>
    <w:rsid w:val="004237F7"/>
    <w:rsid w:val="00423821"/>
    <w:rsid w:val="00423896"/>
    <w:rsid w:val="0042389A"/>
    <w:rsid w:val="004238BE"/>
    <w:rsid w:val="004238E6"/>
    <w:rsid w:val="00423A6A"/>
    <w:rsid w:val="00423AC7"/>
    <w:rsid w:val="00423AF6"/>
    <w:rsid w:val="00423B1D"/>
    <w:rsid w:val="00423B66"/>
    <w:rsid w:val="00423B72"/>
    <w:rsid w:val="00423BC7"/>
    <w:rsid w:val="00423C43"/>
    <w:rsid w:val="00423D03"/>
    <w:rsid w:val="00423D48"/>
    <w:rsid w:val="00423DC9"/>
    <w:rsid w:val="00423DCA"/>
    <w:rsid w:val="00423DD3"/>
    <w:rsid w:val="00423E06"/>
    <w:rsid w:val="00423E0A"/>
    <w:rsid w:val="00423E88"/>
    <w:rsid w:val="00423EBD"/>
    <w:rsid w:val="00423F92"/>
    <w:rsid w:val="00423FB8"/>
    <w:rsid w:val="00423FBD"/>
    <w:rsid w:val="004240C1"/>
    <w:rsid w:val="004240E5"/>
    <w:rsid w:val="004240EF"/>
    <w:rsid w:val="00424146"/>
    <w:rsid w:val="004241DA"/>
    <w:rsid w:val="004241F3"/>
    <w:rsid w:val="00424240"/>
    <w:rsid w:val="00424243"/>
    <w:rsid w:val="0042428D"/>
    <w:rsid w:val="004242A9"/>
    <w:rsid w:val="0042432A"/>
    <w:rsid w:val="00424334"/>
    <w:rsid w:val="0042442B"/>
    <w:rsid w:val="0042447E"/>
    <w:rsid w:val="004244B3"/>
    <w:rsid w:val="0042462B"/>
    <w:rsid w:val="004246AF"/>
    <w:rsid w:val="004246C4"/>
    <w:rsid w:val="004246E6"/>
    <w:rsid w:val="00424747"/>
    <w:rsid w:val="004247CB"/>
    <w:rsid w:val="004247EB"/>
    <w:rsid w:val="00424809"/>
    <w:rsid w:val="004248CF"/>
    <w:rsid w:val="00424905"/>
    <w:rsid w:val="004249E1"/>
    <w:rsid w:val="00424A0A"/>
    <w:rsid w:val="00424B37"/>
    <w:rsid w:val="00424B42"/>
    <w:rsid w:val="00424B48"/>
    <w:rsid w:val="00424B6D"/>
    <w:rsid w:val="00424B7E"/>
    <w:rsid w:val="00424C01"/>
    <w:rsid w:val="00424C05"/>
    <w:rsid w:val="00424C60"/>
    <w:rsid w:val="00424C9D"/>
    <w:rsid w:val="00424CA2"/>
    <w:rsid w:val="00424D01"/>
    <w:rsid w:val="00424D5D"/>
    <w:rsid w:val="00424E2C"/>
    <w:rsid w:val="00424EE8"/>
    <w:rsid w:val="00424F94"/>
    <w:rsid w:val="00424F96"/>
    <w:rsid w:val="00424FAD"/>
    <w:rsid w:val="00424FB1"/>
    <w:rsid w:val="0042511B"/>
    <w:rsid w:val="004251E9"/>
    <w:rsid w:val="004251FF"/>
    <w:rsid w:val="00425214"/>
    <w:rsid w:val="0042521A"/>
    <w:rsid w:val="0042523A"/>
    <w:rsid w:val="0042523B"/>
    <w:rsid w:val="00425255"/>
    <w:rsid w:val="0042527F"/>
    <w:rsid w:val="00425296"/>
    <w:rsid w:val="0042529F"/>
    <w:rsid w:val="004252F4"/>
    <w:rsid w:val="00425355"/>
    <w:rsid w:val="00425377"/>
    <w:rsid w:val="004253AB"/>
    <w:rsid w:val="004253F7"/>
    <w:rsid w:val="00425534"/>
    <w:rsid w:val="0042558D"/>
    <w:rsid w:val="004255C7"/>
    <w:rsid w:val="004255E8"/>
    <w:rsid w:val="004255E9"/>
    <w:rsid w:val="00425614"/>
    <w:rsid w:val="00425620"/>
    <w:rsid w:val="00425628"/>
    <w:rsid w:val="00425636"/>
    <w:rsid w:val="0042563C"/>
    <w:rsid w:val="00425683"/>
    <w:rsid w:val="004256C9"/>
    <w:rsid w:val="004256D9"/>
    <w:rsid w:val="004256FB"/>
    <w:rsid w:val="00425753"/>
    <w:rsid w:val="00425839"/>
    <w:rsid w:val="00425871"/>
    <w:rsid w:val="0042588C"/>
    <w:rsid w:val="004258A8"/>
    <w:rsid w:val="004258E0"/>
    <w:rsid w:val="0042591A"/>
    <w:rsid w:val="00425944"/>
    <w:rsid w:val="0042598F"/>
    <w:rsid w:val="00425A99"/>
    <w:rsid w:val="00425B0D"/>
    <w:rsid w:val="00425B9B"/>
    <w:rsid w:val="00425BA7"/>
    <w:rsid w:val="00425BBC"/>
    <w:rsid w:val="00425C20"/>
    <w:rsid w:val="00425C27"/>
    <w:rsid w:val="00425CD5"/>
    <w:rsid w:val="00425CE1"/>
    <w:rsid w:val="00425D24"/>
    <w:rsid w:val="00425D39"/>
    <w:rsid w:val="00425D7C"/>
    <w:rsid w:val="00425DE0"/>
    <w:rsid w:val="00425DE1"/>
    <w:rsid w:val="00425E15"/>
    <w:rsid w:val="00425EEA"/>
    <w:rsid w:val="00425F00"/>
    <w:rsid w:val="00425F83"/>
    <w:rsid w:val="004260D4"/>
    <w:rsid w:val="004260E2"/>
    <w:rsid w:val="004260EB"/>
    <w:rsid w:val="00426122"/>
    <w:rsid w:val="00426147"/>
    <w:rsid w:val="00426190"/>
    <w:rsid w:val="0042621D"/>
    <w:rsid w:val="00426321"/>
    <w:rsid w:val="00426326"/>
    <w:rsid w:val="0042634A"/>
    <w:rsid w:val="004263C9"/>
    <w:rsid w:val="00426464"/>
    <w:rsid w:val="004264D0"/>
    <w:rsid w:val="00426673"/>
    <w:rsid w:val="0042667B"/>
    <w:rsid w:val="004266AC"/>
    <w:rsid w:val="00426707"/>
    <w:rsid w:val="0042672B"/>
    <w:rsid w:val="00426756"/>
    <w:rsid w:val="0042677A"/>
    <w:rsid w:val="004267D9"/>
    <w:rsid w:val="00426838"/>
    <w:rsid w:val="004268A9"/>
    <w:rsid w:val="004268EC"/>
    <w:rsid w:val="004268FB"/>
    <w:rsid w:val="0042695E"/>
    <w:rsid w:val="00426984"/>
    <w:rsid w:val="00426997"/>
    <w:rsid w:val="004269D8"/>
    <w:rsid w:val="00426A3C"/>
    <w:rsid w:val="00426A85"/>
    <w:rsid w:val="00426BD3"/>
    <w:rsid w:val="00426C13"/>
    <w:rsid w:val="00426C21"/>
    <w:rsid w:val="00426C92"/>
    <w:rsid w:val="00426CA8"/>
    <w:rsid w:val="00426CDB"/>
    <w:rsid w:val="00426D3B"/>
    <w:rsid w:val="00426D8B"/>
    <w:rsid w:val="00426E05"/>
    <w:rsid w:val="00426E50"/>
    <w:rsid w:val="00426E59"/>
    <w:rsid w:val="00426EBF"/>
    <w:rsid w:val="00426EE5"/>
    <w:rsid w:val="00426F18"/>
    <w:rsid w:val="00426F4A"/>
    <w:rsid w:val="00426F99"/>
    <w:rsid w:val="00426FD7"/>
    <w:rsid w:val="00426FF3"/>
    <w:rsid w:val="004270A0"/>
    <w:rsid w:val="004270D6"/>
    <w:rsid w:val="004270E3"/>
    <w:rsid w:val="00427117"/>
    <w:rsid w:val="0042711F"/>
    <w:rsid w:val="0042714B"/>
    <w:rsid w:val="004271BA"/>
    <w:rsid w:val="004271F3"/>
    <w:rsid w:val="00427319"/>
    <w:rsid w:val="00427324"/>
    <w:rsid w:val="00427329"/>
    <w:rsid w:val="0042732B"/>
    <w:rsid w:val="00427360"/>
    <w:rsid w:val="0042736A"/>
    <w:rsid w:val="004273DD"/>
    <w:rsid w:val="00427441"/>
    <w:rsid w:val="0042745B"/>
    <w:rsid w:val="0042753B"/>
    <w:rsid w:val="0042754B"/>
    <w:rsid w:val="0042754C"/>
    <w:rsid w:val="00427550"/>
    <w:rsid w:val="00427595"/>
    <w:rsid w:val="004275E2"/>
    <w:rsid w:val="00427635"/>
    <w:rsid w:val="004276AE"/>
    <w:rsid w:val="004276DF"/>
    <w:rsid w:val="0042777B"/>
    <w:rsid w:val="004277F8"/>
    <w:rsid w:val="004278B9"/>
    <w:rsid w:val="004278DC"/>
    <w:rsid w:val="004279A1"/>
    <w:rsid w:val="004279E8"/>
    <w:rsid w:val="00427A00"/>
    <w:rsid w:val="00427A32"/>
    <w:rsid w:val="00427AAB"/>
    <w:rsid w:val="00427B1D"/>
    <w:rsid w:val="00427B36"/>
    <w:rsid w:val="00427B8D"/>
    <w:rsid w:val="00427C4A"/>
    <w:rsid w:val="00427D3F"/>
    <w:rsid w:val="00427D92"/>
    <w:rsid w:val="00427DC1"/>
    <w:rsid w:val="00427DC5"/>
    <w:rsid w:val="00427DE7"/>
    <w:rsid w:val="00427E0D"/>
    <w:rsid w:val="00427E66"/>
    <w:rsid w:val="00427E94"/>
    <w:rsid w:val="00427EA0"/>
    <w:rsid w:val="00427F8B"/>
    <w:rsid w:val="00427FC1"/>
    <w:rsid w:val="00430070"/>
    <w:rsid w:val="00430099"/>
    <w:rsid w:val="004300E7"/>
    <w:rsid w:val="00430115"/>
    <w:rsid w:val="00430120"/>
    <w:rsid w:val="0043016B"/>
    <w:rsid w:val="004302B5"/>
    <w:rsid w:val="004302DB"/>
    <w:rsid w:val="0043030E"/>
    <w:rsid w:val="004303BC"/>
    <w:rsid w:val="00430419"/>
    <w:rsid w:val="0043052F"/>
    <w:rsid w:val="004305CC"/>
    <w:rsid w:val="00430627"/>
    <w:rsid w:val="004306CD"/>
    <w:rsid w:val="004307B9"/>
    <w:rsid w:val="004308BD"/>
    <w:rsid w:val="004308EB"/>
    <w:rsid w:val="004308F8"/>
    <w:rsid w:val="00430926"/>
    <w:rsid w:val="0043092F"/>
    <w:rsid w:val="00430950"/>
    <w:rsid w:val="00430987"/>
    <w:rsid w:val="00430989"/>
    <w:rsid w:val="00430A87"/>
    <w:rsid w:val="00430ACC"/>
    <w:rsid w:val="00430BB5"/>
    <w:rsid w:val="00430BD3"/>
    <w:rsid w:val="00430BE3"/>
    <w:rsid w:val="00430C2C"/>
    <w:rsid w:val="00430C30"/>
    <w:rsid w:val="00430C5E"/>
    <w:rsid w:val="00430C7A"/>
    <w:rsid w:val="00430CFD"/>
    <w:rsid w:val="00430D3B"/>
    <w:rsid w:val="00430D42"/>
    <w:rsid w:val="00430D63"/>
    <w:rsid w:val="00430E08"/>
    <w:rsid w:val="00430E33"/>
    <w:rsid w:val="00430E4C"/>
    <w:rsid w:val="00430E61"/>
    <w:rsid w:val="00430EC9"/>
    <w:rsid w:val="00430ECF"/>
    <w:rsid w:val="00430EFE"/>
    <w:rsid w:val="00430F50"/>
    <w:rsid w:val="00430F62"/>
    <w:rsid w:val="00430F70"/>
    <w:rsid w:val="00430F89"/>
    <w:rsid w:val="00430F9A"/>
    <w:rsid w:val="00430F9F"/>
    <w:rsid w:val="00430FF8"/>
    <w:rsid w:val="00431007"/>
    <w:rsid w:val="00431051"/>
    <w:rsid w:val="0043105C"/>
    <w:rsid w:val="0043105F"/>
    <w:rsid w:val="00431061"/>
    <w:rsid w:val="00431129"/>
    <w:rsid w:val="0043114D"/>
    <w:rsid w:val="004311A0"/>
    <w:rsid w:val="00431350"/>
    <w:rsid w:val="0043135C"/>
    <w:rsid w:val="0043137A"/>
    <w:rsid w:val="0043148C"/>
    <w:rsid w:val="00431492"/>
    <w:rsid w:val="004314BE"/>
    <w:rsid w:val="0043157F"/>
    <w:rsid w:val="00431616"/>
    <w:rsid w:val="0043163A"/>
    <w:rsid w:val="00431649"/>
    <w:rsid w:val="004316DE"/>
    <w:rsid w:val="0043174F"/>
    <w:rsid w:val="00431757"/>
    <w:rsid w:val="00431777"/>
    <w:rsid w:val="004317A4"/>
    <w:rsid w:val="004317BA"/>
    <w:rsid w:val="004318D5"/>
    <w:rsid w:val="004318E5"/>
    <w:rsid w:val="004319BD"/>
    <w:rsid w:val="00431A1D"/>
    <w:rsid w:val="00431AC4"/>
    <w:rsid w:val="00431B22"/>
    <w:rsid w:val="00431B5C"/>
    <w:rsid w:val="00431B6C"/>
    <w:rsid w:val="00431BCF"/>
    <w:rsid w:val="00431C37"/>
    <w:rsid w:val="00431C61"/>
    <w:rsid w:val="00431CBE"/>
    <w:rsid w:val="00431D40"/>
    <w:rsid w:val="00431D97"/>
    <w:rsid w:val="00431DA4"/>
    <w:rsid w:val="00431DF4"/>
    <w:rsid w:val="00431E4A"/>
    <w:rsid w:val="00431E60"/>
    <w:rsid w:val="00431E67"/>
    <w:rsid w:val="00431EB3"/>
    <w:rsid w:val="00431F34"/>
    <w:rsid w:val="00431FC6"/>
    <w:rsid w:val="00431FF6"/>
    <w:rsid w:val="004320B2"/>
    <w:rsid w:val="004320DC"/>
    <w:rsid w:val="00432233"/>
    <w:rsid w:val="00432378"/>
    <w:rsid w:val="00432389"/>
    <w:rsid w:val="004323AA"/>
    <w:rsid w:val="004323C3"/>
    <w:rsid w:val="004323C4"/>
    <w:rsid w:val="004323E9"/>
    <w:rsid w:val="004323F8"/>
    <w:rsid w:val="00432459"/>
    <w:rsid w:val="004324AD"/>
    <w:rsid w:val="004324B3"/>
    <w:rsid w:val="004324E0"/>
    <w:rsid w:val="004324F7"/>
    <w:rsid w:val="00432528"/>
    <w:rsid w:val="00432555"/>
    <w:rsid w:val="00432583"/>
    <w:rsid w:val="00432598"/>
    <w:rsid w:val="004325C3"/>
    <w:rsid w:val="004325CE"/>
    <w:rsid w:val="00432660"/>
    <w:rsid w:val="004326E4"/>
    <w:rsid w:val="0043284A"/>
    <w:rsid w:val="00432893"/>
    <w:rsid w:val="00432A4D"/>
    <w:rsid w:val="00432ACA"/>
    <w:rsid w:val="00432ADD"/>
    <w:rsid w:val="00432BE9"/>
    <w:rsid w:val="00432C69"/>
    <w:rsid w:val="00432D5A"/>
    <w:rsid w:val="00432D8D"/>
    <w:rsid w:val="00432DA8"/>
    <w:rsid w:val="00432E68"/>
    <w:rsid w:val="00432E81"/>
    <w:rsid w:val="00432F25"/>
    <w:rsid w:val="00432F34"/>
    <w:rsid w:val="00432F63"/>
    <w:rsid w:val="00432FF5"/>
    <w:rsid w:val="00433039"/>
    <w:rsid w:val="004330C7"/>
    <w:rsid w:val="0043316C"/>
    <w:rsid w:val="004332AB"/>
    <w:rsid w:val="004332AF"/>
    <w:rsid w:val="00433331"/>
    <w:rsid w:val="00433389"/>
    <w:rsid w:val="00433391"/>
    <w:rsid w:val="004333B3"/>
    <w:rsid w:val="00433413"/>
    <w:rsid w:val="00433416"/>
    <w:rsid w:val="0043343B"/>
    <w:rsid w:val="0043344B"/>
    <w:rsid w:val="004334AA"/>
    <w:rsid w:val="004334CD"/>
    <w:rsid w:val="004334E2"/>
    <w:rsid w:val="004334EF"/>
    <w:rsid w:val="004335A5"/>
    <w:rsid w:val="00433600"/>
    <w:rsid w:val="00433634"/>
    <w:rsid w:val="0043366D"/>
    <w:rsid w:val="00433689"/>
    <w:rsid w:val="0043385A"/>
    <w:rsid w:val="00433876"/>
    <w:rsid w:val="004338CA"/>
    <w:rsid w:val="00433958"/>
    <w:rsid w:val="00433A52"/>
    <w:rsid w:val="00433AC4"/>
    <w:rsid w:val="00433AE7"/>
    <w:rsid w:val="00433B32"/>
    <w:rsid w:val="00433B5D"/>
    <w:rsid w:val="00433B67"/>
    <w:rsid w:val="00433B9C"/>
    <w:rsid w:val="00433BA1"/>
    <w:rsid w:val="00433BBF"/>
    <w:rsid w:val="00433BC6"/>
    <w:rsid w:val="00433BCF"/>
    <w:rsid w:val="00433C20"/>
    <w:rsid w:val="00433CA2"/>
    <w:rsid w:val="00433CBF"/>
    <w:rsid w:val="00433D36"/>
    <w:rsid w:val="00433D60"/>
    <w:rsid w:val="00433D6F"/>
    <w:rsid w:val="00433DA4"/>
    <w:rsid w:val="00433DEA"/>
    <w:rsid w:val="00433EB6"/>
    <w:rsid w:val="00433ED8"/>
    <w:rsid w:val="00433F14"/>
    <w:rsid w:val="00433F65"/>
    <w:rsid w:val="00433FA4"/>
    <w:rsid w:val="00433FC6"/>
    <w:rsid w:val="00434009"/>
    <w:rsid w:val="00434077"/>
    <w:rsid w:val="00434086"/>
    <w:rsid w:val="004340C6"/>
    <w:rsid w:val="00434111"/>
    <w:rsid w:val="0043414D"/>
    <w:rsid w:val="00434150"/>
    <w:rsid w:val="004341BA"/>
    <w:rsid w:val="00434202"/>
    <w:rsid w:val="004342EE"/>
    <w:rsid w:val="00434302"/>
    <w:rsid w:val="00434328"/>
    <w:rsid w:val="00434375"/>
    <w:rsid w:val="004343BF"/>
    <w:rsid w:val="00434403"/>
    <w:rsid w:val="00434427"/>
    <w:rsid w:val="00434442"/>
    <w:rsid w:val="004344A3"/>
    <w:rsid w:val="004344D7"/>
    <w:rsid w:val="00434565"/>
    <w:rsid w:val="0043459E"/>
    <w:rsid w:val="004345BC"/>
    <w:rsid w:val="00434645"/>
    <w:rsid w:val="0043477A"/>
    <w:rsid w:val="004347C8"/>
    <w:rsid w:val="00434803"/>
    <w:rsid w:val="00434854"/>
    <w:rsid w:val="0043485A"/>
    <w:rsid w:val="004348A9"/>
    <w:rsid w:val="004348DD"/>
    <w:rsid w:val="0043492C"/>
    <w:rsid w:val="004349CF"/>
    <w:rsid w:val="004349DA"/>
    <w:rsid w:val="004349E2"/>
    <w:rsid w:val="00434A55"/>
    <w:rsid w:val="00434A6A"/>
    <w:rsid w:val="00434A91"/>
    <w:rsid w:val="00434AB7"/>
    <w:rsid w:val="00434AD2"/>
    <w:rsid w:val="00434B2B"/>
    <w:rsid w:val="00434B86"/>
    <w:rsid w:val="00434B95"/>
    <w:rsid w:val="00434C1A"/>
    <w:rsid w:val="00434C26"/>
    <w:rsid w:val="00434C5D"/>
    <w:rsid w:val="00434D45"/>
    <w:rsid w:val="00434D62"/>
    <w:rsid w:val="00434DA9"/>
    <w:rsid w:val="00434DCE"/>
    <w:rsid w:val="00434E0F"/>
    <w:rsid w:val="00434E4E"/>
    <w:rsid w:val="00434E4F"/>
    <w:rsid w:val="00434E75"/>
    <w:rsid w:val="00434E9F"/>
    <w:rsid w:val="00434EB3"/>
    <w:rsid w:val="00434ED3"/>
    <w:rsid w:val="00434F11"/>
    <w:rsid w:val="00434FB7"/>
    <w:rsid w:val="00434FDE"/>
    <w:rsid w:val="00435070"/>
    <w:rsid w:val="0043509E"/>
    <w:rsid w:val="004350BD"/>
    <w:rsid w:val="0043511D"/>
    <w:rsid w:val="00435151"/>
    <w:rsid w:val="004351AA"/>
    <w:rsid w:val="00435266"/>
    <w:rsid w:val="00435272"/>
    <w:rsid w:val="004352D4"/>
    <w:rsid w:val="004352DA"/>
    <w:rsid w:val="004353BD"/>
    <w:rsid w:val="004353C0"/>
    <w:rsid w:val="00435486"/>
    <w:rsid w:val="004354A6"/>
    <w:rsid w:val="004354AA"/>
    <w:rsid w:val="004355AA"/>
    <w:rsid w:val="004355C8"/>
    <w:rsid w:val="00435606"/>
    <w:rsid w:val="004356DA"/>
    <w:rsid w:val="004356F7"/>
    <w:rsid w:val="00435717"/>
    <w:rsid w:val="0043571E"/>
    <w:rsid w:val="0043571F"/>
    <w:rsid w:val="00435739"/>
    <w:rsid w:val="00435750"/>
    <w:rsid w:val="00435772"/>
    <w:rsid w:val="004357DF"/>
    <w:rsid w:val="00435804"/>
    <w:rsid w:val="0043580A"/>
    <w:rsid w:val="00435821"/>
    <w:rsid w:val="00435828"/>
    <w:rsid w:val="00435837"/>
    <w:rsid w:val="00435879"/>
    <w:rsid w:val="0043593B"/>
    <w:rsid w:val="00435996"/>
    <w:rsid w:val="004359B4"/>
    <w:rsid w:val="004359EC"/>
    <w:rsid w:val="00435A4E"/>
    <w:rsid w:val="00435A82"/>
    <w:rsid w:val="00435A89"/>
    <w:rsid w:val="00435BEB"/>
    <w:rsid w:val="00435C09"/>
    <w:rsid w:val="00435C56"/>
    <w:rsid w:val="00435D72"/>
    <w:rsid w:val="00435D7F"/>
    <w:rsid w:val="00435DE7"/>
    <w:rsid w:val="00435DF5"/>
    <w:rsid w:val="00435E56"/>
    <w:rsid w:val="00435E94"/>
    <w:rsid w:val="00435EB5"/>
    <w:rsid w:val="00435ED3"/>
    <w:rsid w:val="00435F32"/>
    <w:rsid w:val="00435F4D"/>
    <w:rsid w:val="00435FD0"/>
    <w:rsid w:val="0043603E"/>
    <w:rsid w:val="0043607A"/>
    <w:rsid w:val="004360C1"/>
    <w:rsid w:val="004360C2"/>
    <w:rsid w:val="00436107"/>
    <w:rsid w:val="00436129"/>
    <w:rsid w:val="004361B7"/>
    <w:rsid w:val="004361C2"/>
    <w:rsid w:val="00436216"/>
    <w:rsid w:val="0043626E"/>
    <w:rsid w:val="00436293"/>
    <w:rsid w:val="00436395"/>
    <w:rsid w:val="004363B1"/>
    <w:rsid w:val="0043642F"/>
    <w:rsid w:val="00436436"/>
    <w:rsid w:val="004364E8"/>
    <w:rsid w:val="004365B2"/>
    <w:rsid w:val="004365B3"/>
    <w:rsid w:val="00436666"/>
    <w:rsid w:val="0043668C"/>
    <w:rsid w:val="004366EB"/>
    <w:rsid w:val="004368B0"/>
    <w:rsid w:val="004369E3"/>
    <w:rsid w:val="00436A29"/>
    <w:rsid w:val="00436A9A"/>
    <w:rsid w:val="00436ACA"/>
    <w:rsid w:val="00436BE1"/>
    <w:rsid w:val="00436C36"/>
    <w:rsid w:val="00436C56"/>
    <w:rsid w:val="00436CC1"/>
    <w:rsid w:val="00436CD3"/>
    <w:rsid w:val="00436CF4"/>
    <w:rsid w:val="00436D28"/>
    <w:rsid w:val="00436DC4"/>
    <w:rsid w:val="00436DFB"/>
    <w:rsid w:val="00436E00"/>
    <w:rsid w:val="00436E03"/>
    <w:rsid w:val="00436EF9"/>
    <w:rsid w:val="00436F28"/>
    <w:rsid w:val="00436F38"/>
    <w:rsid w:val="00436F4B"/>
    <w:rsid w:val="00436F50"/>
    <w:rsid w:val="0043708C"/>
    <w:rsid w:val="00437109"/>
    <w:rsid w:val="00437163"/>
    <w:rsid w:val="0043718E"/>
    <w:rsid w:val="004371B8"/>
    <w:rsid w:val="004371F1"/>
    <w:rsid w:val="00437278"/>
    <w:rsid w:val="004373AB"/>
    <w:rsid w:val="0043740D"/>
    <w:rsid w:val="00437426"/>
    <w:rsid w:val="00437441"/>
    <w:rsid w:val="00437525"/>
    <w:rsid w:val="0043752D"/>
    <w:rsid w:val="00437582"/>
    <w:rsid w:val="00437661"/>
    <w:rsid w:val="00437717"/>
    <w:rsid w:val="0043774C"/>
    <w:rsid w:val="00437763"/>
    <w:rsid w:val="0043781D"/>
    <w:rsid w:val="0043795C"/>
    <w:rsid w:val="0043796B"/>
    <w:rsid w:val="00437976"/>
    <w:rsid w:val="004379AD"/>
    <w:rsid w:val="004379CC"/>
    <w:rsid w:val="004379E3"/>
    <w:rsid w:val="00437AA5"/>
    <w:rsid w:val="00437AD0"/>
    <w:rsid w:val="00437B5A"/>
    <w:rsid w:val="00437C11"/>
    <w:rsid w:val="00437D37"/>
    <w:rsid w:val="00437DAC"/>
    <w:rsid w:val="00437E26"/>
    <w:rsid w:val="00437F0A"/>
    <w:rsid w:val="00437F2C"/>
    <w:rsid w:val="00437F37"/>
    <w:rsid w:val="00437F42"/>
    <w:rsid w:val="00437F4F"/>
    <w:rsid w:val="00437FBB"/>
    <w:rsid w:val="00440020"/>
    <w:rsid w:val="00440078"/>
    <w:rsid w:val="0044015F"/>
    <w:rsid w:val="0044018B"/>
    <w:rsid w:val="004401A8"/>
    <w:rsid w:val="004401DD"/>
    <w:rsid w:val="00440239"/>
    <w:rsid w:val="00440291"/>
    <w:rsid w:val="004402D0"/>
    <w:rsid w:val="0044035F"/>
    <w:rsid w:val="004403C5"/>
    <w:rsid w:val="00440483"/>
    <w:rsid w:val="0044065B"/>
    <w:rsid w:val="00440690"/>
    <w:rsid w:val="004406E2"/>
    <w:rsid w:val="004407F5"/>
    <w:rsid w:val="0044083B"/>
    <w:rsid w:val="00440847"/>
    <w:rsid w:val="00440955"/>
    <w:rsid w:val="00440993"/>
    <w:rsid w:val="004409E4"/>
    <w:rsid w:val="00440A68"/>
    <w:rsid w:val="00440AAF"/>
    <w:rsid w:val="00440AD6"/>
    <w:rsid w:val="00440AF5"/>
    <w:rsid w:val="00440B86"/>
    <w:rsid w:val="00440BB1"/>
    <w:rsid w:val="00440BC3"/>
    <w:rsid w:val="00440D73"/>
    <w:rsid w:val="00440DE9"/>
    <w:rsid w:val="00440E29"/>
    <w:rsid w:val="00440E8A"/>
    <w:rsid w:val="00440E8D"/>
    <w:rsid w:val="00440E9C"/>
    <w:rsid w:val="00440F39"/>
    <w:rsid w:val="00441086"/>
    <w:rsid w:val="004410B4"/>
    <w:rsid w:val="0044110C"/>
    <w:rsid w:val="00441147"/>
    <w:rsid w:val="0044114C"/>
    <w:rsid w:val="0044117A"/>
    <w:rsid w:val="004411E7"/>
    <w:rsid w:val="00441263"/>
    <w:rsid w:val="0044133F"/>
    <w:rsid w:val="004413BA"/>
    <w:rsid w:val="004413E2"/>
    <w:rsid w:val="00441476"/>
    <w:rsid w:val="004414F8"/>
    <w:rsid w:val="00441524"/>
    <w:rsid w:val="00441574"/>
    <w:rsid w:val="00441635"/>
    <w:rsid w:val="00441689"/>
    <w:rsid w:val="00441723"/>
    <w:rsid w:val="00441763"/>
    <w:rsid w:val="00441799"/>
    <w:rsid w:val="004417D6"/>
    <w:rsid w:val="004417E7"/>
    <w:rsid w:val="00441828"/>
    <w:rsid w:val="00441829"/>
    <w:rsid w:val="0044184B"/>
    <w:rsid w:val="004418BD"/>
    <w:rsid w:val="0044190F"/>
    <w:rsid w:val="00441974"/>
    <w:rsid w:val="0044197E"/>
    <w:rsid w:val="004419C8"/>
    <w:rsid w:val="004419D0"/>
    <w:rsid w:val="00441A44"/>
    <w:rsid w:val="00441A6C"/>
    <w:rsid w:val="00441A9B"/>
    <w:rsid w:val="00441ADA"/>
    <w:rsid w:val="00441B10"/>
    <w:rsid w:val="00441B20"/>
    <w:rsid w:val="00441B8D"/>
    <w:rsid w:val="00441CA8"/>
    <w:rsid w:val="00441D0D"/>
    <w:rsid w:val="00441D92"/>
    <w:rsid w:val="00441E29"/>
    <w:rsid w:val="00441E73"/>
    <w:rsid w:val="00441F24"/>
    <w:rsid w:val="00441FB9"/>
    <w:rsid w:val="00441FC0"/>
    <w:rsid w:val="00442001"/>
    <w:rsid w:val="0044208F"/>
    <w:rsid w:val="004420A3"/>
    <w:rsid w:val="00442161"/>
    <w:rsid w:val="00442174"/>
    <w:rsid w:val="004421EF"/>
    <w:rsid w:val="00442209"/>
    <w:rsid w:val="004422E5"/>
    <w:rsid w:val="00442305"/>
    <w:rsid w:val="004423C0"/>
    <w:rsid w:val="00442403"/>
    <w:rsid w:val="00442408"/>
    <w:rsid w:val="00442485"/>
    <w:rsid w:val="00442495"/>
    <w:rsid w:val="0044254E"/>
    <w:rsid w:val="00442576"/>
    <w:rsid w:val="0044257C"/>
    <w:rsid w:val="0044259A"/>
    <w:rsid w:val="0044262F"/>
    <w:rsid w:val="004426EF"/>
    <w:rsid w:val="00442701"/>
    <w:rsid w:val="00442725"/>
    <w:rsid w:val="004427EF"/>
    <w:rsid w:val="00442875"/>
    <w:rsid w:val="00442895"/>
    <w:rsid w:val="004428CC"/>
    <w:rsid w:val="004429AA"/>
    <w:rsid w:val="00442A12"/>
    <w:rsid w:val="00442B4A"/>
    <w:rsid w:val="00442C29"/>
    <w:rsid w:val="00442C69"/>
    <w:rsid w:val="00442CC4"/>
    <w:rsid w:val="00442D0F"/>
    <w:rsid w:val="00442DB0"/>
    <w:rsid w:val="00442DB5"/>
    <w:rsid w:val="00442E54"/>
    <w:rsid w:val="00442E59"/>
    <w:rsid w:val="00442F32"/>
    <w:rsid w:val="00442F7C"/>
    <w:rsid w:val="00442F8B"/>
    <w:rsid w:val="00442FAA"/>
    <w:rsid w:val="00442FAE"/>
    <w:rsid w:val="0044307B"/>
    <w:rsid w:val="0044307E"/>
    <w:rsid w:val="004430A8"/>
    <w:rsid w:val="00443103"/>
    <w:rsid w:val="00443105"/>
    <w:rsid w:val="00443137"/>
    <w:rsid w:val="0044317F"/>
    <w:rsid w:val="004431A1"/>
    <w:rsid w:val="004431D0"/>
    <w:rsid w:val="0044323A"/>
    <w:rsid w:val="00443262"/>
    <w:rsid w:val="00443269"/>
    <w:rsid w:val="004432BF"/>
    <w:rsid w:val="004432EC"/>
    <w:rsid w:val="004432F3"/>
    <w:rsid w:val="0044331C"/>
    <w:rsid w:val="00443356"/>
    <w:rsid w:val="004433EA"/>
    <w:rsid w:val="004433F4"/>
    <w:rsid w:val="00443436"/>
    <w:rsid w:val="0044345D"/>
    <w:rsid w:val="004434F0"/>
    <w:rsid w:val="0044351B"/>
    <w:rsid w:val="0044359B"/>
    <w:rsid w:val="004437AA"/>
    <w:rsid w:val="004437B8"/>
    <w:rsid w:val="004437EF"/>
    <w:rsid w:val="004437FD"/>
    <w:rsid w:val="0044385E"/>
    <w:rsid w:val="00443915"/>
    <w:rsid w:val="00443983"/>
    <w:rsid w:val="00443996"/>
    <w:rsid w:val="004439D6"/>
    <w:rsid w:val="00443A1C"/>
    <w:rsid w:val="00443C77"/>
    <w:rsid w:val="00443D3D"/>
    <w:rsid w:val="00443D53"/>
    <w:rsid w:val="00443D8C"/>
    <w:rsid w:val="00443DED"/>
    <w:rsid w:val="00443E11"/>
    <w:rsid w:val="00443E4F"/>
    <w:rsid w:val="00443E78"/>
    <w:rsid w:val="00443E94"/>
    <w:rsid w:val="00443EDC"/>
    <w:rsid w:val="00443F8C"/>
    <w:rsid w:val="00444054"/>
    <w:rsid w:val="00444072"/>
    <w:rsid w:val="004440F3"/>
    <w:rsid w:val="0044411F"/>
    <w:rsid w:val="00444137"/>
    <w:rsid w:val="004441A0"/>
    <w:rsid w:val="004441D8"/>
    <w:rsid w:val="0044427B"/>
    <w:rsid w:val="00444319"/>
    <w:rsid w:val="00444328"/>
    <w:rsid w:val="0044440E"/>
    <w:rsid w:val="00444421"/>
    <w:rsid w:val="00444464"/>
    <w:rsid w:val="0044450F"/>
    <w:rsid w:val="0044457B"/>
    <w:rsid w:val="004445B6"/>
    <w:rsid w:val="004445C7"/>
    <w:rsid w:val="0044463B"/>
    <w:rsid w:val="00444665"/>
    <w:rsid w:val="004446F0"/>
    <w:rsid w:val="00444744"/>
    <w:rsid w:val="00444823"/>
    <w:rsid w:val="004449AB"/>
    <w:rsid w:val="00444A7B"/>
    <w:rsid w:val="00444AA0"/>
    <w:rsid w:val="00444AA7"/>
    <w:rsid w:val="00444B4D"/>
    <w:rsid w:val="00444C50"/>
    <w:rsid w:val="00444D99"/>
    <w:rsid w:val="00444DEE"/>
    <w:rsid w:val="00444E13"/>
    <w:rsid w:val="00444EA2"/>
    <w:rsid w:val="00444F2A"/>
    <w:rsid w:val="00444F47"/>
    <w:rsid w:val="00444FE6"/>
    <w:rsid w:val="00445071"/>
    <w:rsid w:val="00445175"/>
    <w:rsid w:val="004451E1"/>
    <w:rsid w:val="004452B2"/>
    <w:rsid w:val="00445303"/>
    <w:rsid w:val="0044531E"/>
    <w:rsid w:val="00445327"/>
    <w:rsid w:val="00445365"/>
    <w:rsid w:val="0044538B"/>
    <w:rsid w:val="00445406"/>
    <w:rsid w:val="00445422"/>
    <w:rsid w:val="00445542"/>
    <w:rsid w:val="004455C0"/>
    <w:rsid w:val="004455FF"/>
    <w:rsid w:val="00445634"/>
    <w:rsid w:val="00445702"/>
    <w:rsid w:val="00445717"/>
    <w:rsid w:val="00445743"/>
    <w:rsid w:val="0044574D"/>
    <w:rsid w:val="00445754"/>
    <w:rsid w:val="0044575E"/>
    <w:rsid w:val="004457AE"/>
    <w:rsid w:val="004457BD"/>
    <w:rsid w:val="004457C7"/>
    <w:rsid w:val="00445831"/>
    <w:rsid w:val="0044595D"/>
    <w:rsid w:val="0044598D"/>
    <w:rsid w:val="004459F2"/>
    <w:rsid w:val="00445A23"/>
    <w:rsid w:val="00445A49"/>
    <w:rsid w:val="00445A51"/>
    <w:rsid w:val="00445AA8"/>
    <w:rsid w:val="00445AD5"/>
    <w:rsid w:val="00445B55"/>
    <w:rsid w:val="00445B8A"/>
    <w:rsid w:val="00445BAB"/>
    <w:rsid w:val="00445C11"/>
    <w:rsid w:val="00445C35"/>
    <w:rsid w:val="00445C6C"/>
    <w:rsid w:val="00445C8B"/>
    <w:rsid w:val="00445C9D"/>
    <w:rsid w:val="00445CCF"/>
    <w:rsid w:val="00445CE7"/>
    <w:rsid w:val="00445D87"/>
    <w:rsid w:val="00445D88"/>
    <w:rsid w:val="00445DD8"/>
    <w:rsid w:val="00445DE7"/>
    <w:rsid w:val="00445EB3"/>
    <w:rsid w:val="00445EB5"/>
    <w:rsid w:val="00445ED5"/>
    <w:rsid w:val="00445EF7"/>
    <w:rsid w:val="00445F01"/>
    <w:rsid w:val="00445F58"/>
    <w:rsid w:val="00445FDE"/>
    <w:rsid w:val="004460A3"/>
    <w:rsid w:val="004460BE"/>
    <w:rsid w:val="00446169"/>
    <w:rsid w:val="004461BC"/>
    <w:rsid w:val="004461F1"/>
    <w:rsid w:val="00446209"/>
    <w:rsid w:val="00446225"/>
    <w:rsid w:val="00446231"/>
    <w:rsid w:val="00446293"/>
    <w:rsid w:val="004463AC"/>
    <w:rsid w:val="004463D5"/>
    <w:rsid w:val="004463E7"/>
    <w:rsid w:val="004463F1"/>
    <w:rsid w:val="004464B3"/>
    <w:rsid w:val="00446568"/>
    <w:rsid w:val="0044662D"/>
    <w:rsid w:val="00446632"/>
    <w:rsid w:val="00446751"/>
    <w:rsid w:val="00446755"/>
    <w:rsid w:val="004467C6"/>
    <w:rsid w:val="004467ED"/>
    <w:rsid w:val="00446889"/>
    <w:rsid w:val="0044699B"/>
    <w:rsid w:val="00446A0A"/>
    <w:rsid w:val="00446AD3"/>
    <w:rsid w:val="00446AD4"/>
    <w:rsid w:val="00446C23"/>
    <w:rsid w:val="00446C99"/>
    <w:rsid w:val="00446C9A"/>
    <w:rsid w:val="00446CAD"/>
    <w:rsid w:val="00446D2B"/>
    <w:rsid w:val="00446D35"/>
    <w:rsid w:val="00446D58"/>
    <w:rsid w:val="00446D84"/>
    <w:rsid w:val="00446D9C"/>
    <w:rsid w:val="00446DFD"/>
    <w:rsid w:val="00446EC1"/>
    <w:rsid w:val="00447012"/>
    <w:rsid w:val="00447016"/>
    <w:rsid w:val="004470F9"/>
    <w:rsid w:val="004470FB"/>
    <w:rsid w:val="00447154"/>
    <w:rsid w:val="00447185"/>
    <w:rsid w:val="004471CB"/>
    <w:rsid w:val="004471DA"/>
    <w:rsid w:val="004471EF"/>
    <w:rsid w:val="0044722A"/>
    <w:rsid w:val="004472B7"/>
    <w:rsid w:val="0044732F"/>
    <w:rsid w:val="00447445"/>
    <w:rsid w:val="0044747B"/>
    <w:rsid w:val="00447485"/>
    <w:rsid w:val="00447493"/>
    <w:rsid w:val="00447558"/>
    <w:rsid w:val="00447636"/>
    <w:rsid w:val="00447648"/>
    <w:rsid w:val="0044765E"/>
    <w:rsid w:val="0044765F"/>
    <w:rsid w:val="004476EC"/>
    <w:rsid w:val="00447797"/>
    <w:rsid w:val="00447840"/>
    <w:rsid w:val="00447913"/>
    <w:rsid w:val="00447927"/>
    <w:rsid w:val="004479E2"/>
    <w:rsid w:val="00447A00"/>
    <w:rsid w:val="00447A32"/>
    <w:rsid w:val="00447AD2"/>
    <w:rsid w:val="00447C09"/>
    <w:rsid w:val="00447C2C"/>
    <w:rsid w:val="00447CD9"/>
    <w:rsid w:val="00447D09"/>
    <w:rsid w:val="00447D1B"/>
    <w:rsid w:val="00447D85"/>
    <w:rsid w:val="00447DB8"/>
    <w:rsid w:val="00447E00"/>
    <w:rsid w:val="00447E60"/>
    <w:rsid w:val="00447E79"/>
    <w:rsid w:val="00447EB4"/>
    <w:rsid w:val="00447EDB"/>
    <w:rsid w:val="00447F60"/>
    <w:rsid w:val="00450097"/>
    <w:rsid w:val="004502BD"/>
    <w:rsid w:val="004502E0"/>
    <w:rsid w:val="00450377"/>
    <w:rsid w:val="004503CC"/>
    <w:rsid w:val="004504AC"/>
    <w:rsid w:val="004504C9"/>
    <w:rsid w:val="00450508"/>
    <w:rsid w:val="00450512"/>
    <w:rsid w:val="00450548"/>
    <w:rsid w:val="004505D1"/>
    <w:rsid w:val="004506A2"/>
    <w:rsid w:val="004506B7"/>
    <w:rsid w:val="004506F4"/>
    <w:rsid w:val="00450752"/>
    <w:rsid w:val="004507BA"/>
    <w:rsid w:val="004507C9"/>
    <w:rsid w:val="004508BC"/>
    <w:rsid w:val="004508EB"/>
    <w:rsid w:val="00450908"/>
    <w:rsid w:val="00450910"/>
    <w:rsid w:val="0045094C"/>
    <w:rsid w:val="00450985"/>
    <w:rsid w:val="00450A07"/>
    <w:rsid w:val="00450A21"/>
    <w:rsid w:val="00450A33"/>
    <w:rsid w:val="00450A96"/>
    <w:rsid w:val="00450AB7"/>
    <w:rsid w:val="00450AEF"/>
    <w:rsid w:val="00450B63"/>
    <w:rsid w:val="00450B9B"/>
    <w:rsid w:val="00450C5F"/>
    <w:rsid w:val="00450D4A"/>
    <w:rsid w:val="00450D89"/>
    <w:rsid w:val="00450DB5"/>
    <w:rsid w:val="00450DBD"/>
    <w:rsid w:val="00450DDA"/>
    <w:rsid w:val="00450DE1"/>
    <w:rsid w:val="00450F4E"/>
    <w:rsid w:val="0045100A"/>
    <w:rsid w:val="004510B8"/>
    <w:rsid w:val="00451184"/>
    <w:rsid w:val="00451201"/>
    <w:rsid w:val="004512A3"/>
    <w:rsid w:val="004512F6"/>
    <w:rsid w:val="0045134F"/>
    <w:rsid w:val="00451364"/>
    <w:rsid w:val="0045141D"/>
    <w:rsid w:val="00451443"/>
    <w:rsid w:val="0045156B"/>
    <w:rsid w:val="00451591"/>
    <w:rsid w:val="004515DD"/>
    <w:rsid w:val="0045174D"/>
    <w:rsid w:val="004517B9"/>
    <w:rsid w:val="0045186F"/>
    <w:rsid w:val="00451900"/>
    <w:rsid w:val="00451985"/>
    <w:rsid w:val="004519C1"/>
    <w:rsid w:val="00451A15"/>
    <w:rsid w:val="00451B7C"/>
    <w:rsid w:val="00451BBD"/>
    <w:rsid w:val="00451CC5"/>
    <w:rsid w:val="00451CD1"/>
    <w:rsid w:val="00451D7A"/>
    <w:rsid w:val="00451D93"/>
    <w:rsid w:val="00451DCA"/>
    <w:rsid w:val="00451DDE"/>
    <w:rsid w:val="00451E42"/>
    <w:rsid w:val="00451E61"/>
    <w:rsid w:val="00451E67"/>
    <w:rsid w:val="00451E78"/>
    <w:rsid w:val="00451EAB"/>
    <w:rsid w:val="00451EB4"/>
    <w:rsid w:val="00451F8E"/>
    <w:rsid w:val="0045204B"/>
    <w:rsid w:val="004520AC"/>
    <w:rsid w:val="0045214E"/>
    <w:rsid w:val="004521A4"/>
    <w:rsid w:val="004521DC"/>
    <w:rsid w:val="004521ED"/>
    <w:rsid w:val="004522DE"/>
    <w:rsid w:val="00452368"/>
    <w:rsid w:val="00452405"/>
    <w:rsid w:val="0045242B"/>
    <w:rsid w:val="004524B5"/>
    <w:rsid w:val="00452593"/>
    <w:rsid w:val="00452597"/>
    <w:rsid w:val="0045262B"/>
    <w:rsid w:val="004526BD"/>
    <w:rsid w:val="004526FB"/>
    <w:rsid w:val="004527F6"/>
    <w:rsid w:val="00452828"/>
    <w:rsid w:val="00452853"/>
    <w:rsid w:val="00452908"/>
    <w:rsid w:val="00452975"/>
    <w:rsid w:val="004529A4"/>
    <w:rsid w:val="004529EA"/>
    <w:rsid w:val="00452A64"/>
    <w:rsid w:val="00452A94"/>
    <w:rsid w:val="00452ABE"/>
    <w:rsid w:val="00452B54"/>
    <w:rsid w:val="00452B68"/>
    <w:rsid w:val="00452B8F"/>
    <w:rsid w:val="00452B9E"/>
    <w:rsid w:val="00452C06"/>
    <w:rsid w:val="00452C14"/>
    <w:rsid w:val="00452C63"/>
    <w:rsid w:val="00452C65"/>
    <w:rsid w:val="00452C79"/>
    <w:rsid w:val="00452CBD"/>
    <w:rsid w:val="00452D38"/>
    <w:rsid w:val="00452D48"/>
    <w:rsid w:val="00452D95"/>
    <w:rsid w:val="00452DA7"/>
    <w:rsid w:val="00452DF9"/>
    <w:rsid w:val="00452F43"/>
    <w:rsid w:val="00453045"/>
    <w:rsid w:val="0045306A"/>
    <w:rsid w:val="004530CF"/>
    <w:rsid w:val="00453127"/>
    <w:rsid w:val="0045317C"/>
    <w:rsid w:val="004531A2"/>
    <w:rsid w:val="004531C9"/>
    <w:rsid w:val="004531EF"/>
    <w:rsid w:val="00453292"/>
    <w:rsid w:val="004532BA"/>
    <w:rsid w:val="004532EE"/>
    <w:rsid w:val="004532FF"/>
    <w:rsid w:val="0045343A"/>
    <w:rsid w:val="004534BC"/>
    <w:rsid w:val="004534CC"/>
    <w:rsid w:val="004534DE"/>
    <w:rsid w:val="00453527"/>
    <w:rsid w:val="0045353A"/>
    <w:rsid w:val="0045354C"/>
    <w:rsid w:val="0045355E"/>
    <w:rsid w:val="0045360B"/>
    <w:rsid w:val="00453654"/>
    <w:rsid w:val="00453657"/>
    <w:rsid w:val="00453664"/>
    <w:rsid w:val="00453695"/>
    <w:rsid w:val="0045369B"/>
    <w:rsid w:val="004536D6"/>
    <w:rsid w:val="00453774"/>
    <w:rsid w:val="004537F6"/>
    <w:rsid w:val="00453862"/>
    <w:rsid w:val="0045386C"/>
    <w:rsid w:val="004538EB"/>
    <w:rsid w:val="00453937"/>
    <w:rsid w:val="004539C0"/>
    <w:rsid w:val="00453A75"/>
    <w:rsid w:val="00453A77"/>
    <w:rsid w:val="00453A9C"/>
    <w:rsid w:val="00453B01"/>
    <w:rsid w:val="00453B4B"/>
    <w:rsid w:val="00453B69"/>
    <w:rsid w:val="00453B96"/>
    <w:rsid w:val="00453BC4"/>
    <w:rsid w:val="00453BFE"/>
    <w:rsid w:val="00453CC9"/>
    <w:rsid w:val="00453DCA"/>
    <w:rsid w:val="00453DE1"/>
    <w:rsid w:val="00453DE8"/>
    <w:rsid w:val="00453EF2"/>
    <w:rsid w:val="00453EF8"/>
    <w:rsid w:val="00453FB5"/>
    <w:rsid w:val="00453FDF"/>
    <w:rsid w:val="0045400C"/>
    <w:rsid w:val="0045406D"/>
    <w:rsid w:val="004540C5"/>
    <w:rsid w:val="004540DC"/>
    <w:rsid w:val="004540E4"/>
    <w:rsid w:val="00454103"/>
    <w:rsid w:val="0045419E"/>
    <w:rsid w:val="00454217"/>
    <w:rsid w:val="004542C6"/>
    <w:rsid w:val="00454325"/>
    <w:rsid w:val="00454336"/>
    <w:rsid w:val="0045433C"/>
    <w:rsid w:val="0045438D"/>
    <w:rsid w:val="004543DA"/>
    <w:rsid w:val="00454443"/>
    <w:rsid w:val="00454449"/>
    <w:rsid w:val="00454560"/>
    <w:rsid w:val="00454586"/>
    <w:rsid w:val="00454591"/>
    <w:rsid w:val="00454653"/>
    <w:rsid w:val="0045465F"/>
    <w:rsid w:val="00454684"/>
    <w:rsid w:val="004546AD"/>
    <w:rsid w:val="004546C3"/>
    <w:rsid w:val="0045472C"/>
    <w:rsid w:val="0045475F"/>
    <w:rsid w:val="004547AB"/>
    <w:rsid w:val="0045485B"/>
    <w:rsid w:val="00454896"/>
    <w:rsid w:val="0045493F"/>
    <w:rsid w:val="00454996"/>
    <w:rsid w:val="004549A2"/>
    <w:rsid w:val="00454A1F"/>
    <w:rsid w:val="00454B16"/>
    <w:rsid w:val="00454C26"/>
    <w:rsid w:val="00454C7C"/>
    <w:rsid w:val="00454C7E"/>
    <w:rsid w:val="00454D0E"/>
    <w:rsid w:val="00454D2E"/>
    <w:rsid w:val="00454D82"/>
    <w:rsid w:val="00454D9A"/>
    <w:rsid w:val="00454DCC"/>
    <w:rsid w:val="00454DD3"/>
    <w:rsid w:val="00454DE7"/>
    <w:rsid w:val="00454E0C"/>
    <w:rsid w:val="00454E69"/>
    <w:rsid w:val="00454E73"/>
    <w:rsid w:val="00454FC3"/>
    <w:rsid w:val="00455085"/>
    <w:rsid w:val="00455160"/>
    <w:rsid w:val="004551E0"/>
    <w:rsid w:val="0045529D"/>
    <w:rsid w:val="004552FC"/>
    <w:rsid w:val="00455398"/>
    <w:rsid w:val="004553C7"/>
    <w:rsid w:val="004553F9"/>
    <w:rsid w:val="0045546A"/>
    <w:rsid w:val="00455493"/>
    <w:rsid w:val="00455554"/>
    <w:rsid w:val="00455562"/>
    <w:rsid w:val="0045557F"/>
    <w:rsid w:val="00455601"/>
    <w:rsid w:val="00455628"/>
    <w:rsid w:val="00455649"/>
    <w:rsid w:val="004556E1"/>
    <w:rsid w:val="0045577A"/>
    <w:rsid w:val="004557A0"/>
    <w:rsid w:val="004557CF"/>
    <w:rsid w:val="00455829"/>
    <w:rsid w:val="004558A7"/>
    <w:rsid w:val="004558C0"/>
    <w:rsid w:val="004558D1"/>
    <w:rsid w:val="00455913"/>
    <w:rsid w:val="00455961"/>
    <w:rsid w:val="0045597F"/>
    <w:rsid w:val="004559A4"/>
    <w:rsid w:val="00455A4C"/>
    <w:rsid w:val="00455A9C"/>
    <w:rsid w:val="00455ABF"/>
    <w:rsid w:val="00455AC9"/>
    <w:rsid w:val="00455ACB"/>
    <w:rsid w:val="00455AE6"/>
    <w:rsid w:val="00455AF4"/>
    <w:rsid w:val="00455B20"/>
    <w:rsid w:val="00455B57"/>
    <w:rsid w:val="00455BAB"/>
    <w:rsid w:val="00455BDC"/>
    <w:rsid w:val="00455CA3"/>
    <w:rsid w:val="00455D65"/>
    <w:rsid w:val="00455DF6"/>
    <w:rsid w:val="00455E5B"/>
    <w:rsid w:val="00455E81"/>
    <w:rsid w:val="00455EA3"/>
    <w:rsid w:val="00455EA4"/>
    <w:rsid w:val="00456087"/>
    <w:rsid w:val="004560D3"/>
    <w:rsid w:val="00456144"/>
    <w:rsid w:val="004561D2"/>
    <w:rsid w:val="0045622A"/>
    <w:rsid w:val="00456259"/>
    <w:rsid w:val="004562B0"/>
    <w:rsid w:val="004562EF"/>
    <w:rsid w:val="00456309"/>
    <w:rsid w:val="00456323"/>
    <w:rsid w:val="00456330"/>
    <w:rsid w:val="00456395"/>
    <w:rsid w:val="00456397"/>
    <w:rsid w:val="00456484"/>
    <w:rsid w:val="004564CD"/>
    <w:rsid w:val="00456513"/>
    <w:rsid w:val="00456586"/>
    <w:rsid w:val="004565FB"/>
    <w:rsid w:val="00456633"/>
    <w:rsid w:val="00456676"/>
    <w:rsid w:val="0045671E"/>
    <w:rsid w:val="00456735"/>
    <w:rsid w:val="0045673E"/>
    <w:rsid w:val="00456758"/>
    <w:rsid w:val="004567C0"/>
    <w:rsid w:val="00456876"/>
    <w:rsid w:val="00456913"/>
    <w:rsid w:val="00456938"/>
    <w:rsid w:val="00456965"/>
    <w:rsid w:val="00456990"/>
    <w:rsid w:val="004569FA"/>
    <w:rsid w:val="00456A09"/>
    <w:rsid w:val="00456A24"/>
    <w:rsid w:val="00456AA1"/>
    <w:rsid w:val="00456AC8"/>
    <w:rsid w:val="00456AE4"/>
    <w:rsid w:val="00456B02"/>
    <w:rsid w:val="00456B47"/>
    <w:rsid w:val="00456BB8"/>
    <w:rsid w:val="00456BC8"/>
    <w:rsid w:val="00456C3C"/>
    <w:rsid w:val="00456C66"/>
    <w:rsid w:val="00456C83"/>
    <w:rsid w:val="00456CA8"/>
    <w:rsid w:val="00456CB2"/>
    <w:rsid w:val="00456CC2"/>
    <w:rsid w:val="00456CF4"/>
    <w:rsid w:val="00456D1C"/>
    <w:rsid w:val="00456D39"/>
    <w:rsid w:val="00456D44"/>
    <w:rsid w:val="00456D5B"/>
    <w:rsid w:val="00456D9F"/>
    <w:rsid w:val="00456DAC"/>
    <w:rsid w:val="00456DB7"/>
    <w:rsid w:val="00456DC2"/>
    <w:rsid w:val="00456DED"/>
    <w:rsid w:val="00456E33"/>
    <w:rsid w:val="00456EAF"/>
    <w:rsid w:val="00456ED7"/>
    <w:rsid w:val="00456F3E"/>
    <w:rsid w:val="00456F79"/>
    <w:rsid w:val="0045705C"/>
    <w:rsid w:val="0045709D"/>
    <w:rsid w:val="0045711F"/>
    <w:rsid w:val="00457154"/>
    <w:rsid w:val="004571AD"/>
    <w:rsid w:val="004571F0"/>
    <w:rsid w:val="00457202"/>
    <w:rsid w:val="00457240"/>
    <w:rsid w:val="00457274"/>
    <w:rsid w:val="004572BC"/>
    <w:rsid w:val="00457359"/>
    <w:rsid w:val="004573B9"/>
    <w:rsid w:val="0045749D"/>
    <w:rsid w:val="00457501"/>
    <w:rsid w:val="00457579"/>
    <w:rsid w:val="00457607"/>
    <w:rsid w:val="00457617"/>
    <w:rsid w:val="00457679"/>
    <w:rsid w:val="0045770F"/>
    <w:rsid w:val="0045772A"/>
    <w:rsid w:val="0045787C"/>
    <w:rsid w:val="00457923"/>
    <w:rsid w:val="0045793A"/>
    <w:rsid w:val="00457AC0"/>
    <w:rsid w:val="00457AC3"/>
    <w:rsid w:val="00457B17"/>
    <w:rsid w:val="00457BA7"/>
    <w:rsid w:val="00457BF3"/>
    <w:rsid w:val="00457BFA"/>
    <w:rsid w:val="00457C6F"/>
    <w:rsid w:val="00457CFA"/>
    <w:rsid w:val="00457D26"/>
    <w:rsid w:val="00457D90"/>
    <w:rsid w:val="00457DC6"/>
    <w:rsid w:val="00457DE0"/>
    <w:rsid w:val="00457E10"/>
    <w:rsid w:val="00457E7C"/>
    <w:rsid w:val="00457E7E"/>
    <w:rsid w:val="00457EFF"/>
    <w:rsid w:val="00457F19"/>
    <w:rsid w:val="00457FFE"/>
    <w:rsid w:val="0046003D"/>
    <w:rsid w:val="00460064"/>
    <w:rsid w:val="0046006C"/>
    <w:rsid w:val="00460076"/>
    <w:rsid w:val="00460190"/>
    <w:rsid w:val="004601FC"/>
    <w:rsid w:val="004602D9"/>
    <w:rsid w:val="00460311"/>
    <w:rsid w:val="00460339"/>
    <w:rsid w:val="00460366"/>
    <w:rsid w:val="00460481"/>
    <w:rsid w:val="00460488"/>
    <w:rsid w:val="004604F6"/>
    <w:rsid w:val="00460503"/>
    <w:rsid w:val="00460562"/>
    <w:rsid w:val="0046058B"/>
    <w:rsid w:val="00460597"/>
    <w:rsid w:val="004605A1"/>
    <w:rsid w:val="00460646"/>
    <w:rsid w:val="00460755"/>
    <w:rsid w:val="004607C9"/>
    <w:rsid w:val="0046080B"/>
    <w:rsid w:val="00460820"/>
    <w:rsid w:val="0046087F"/>
    <w:rsid w:val="004608AA"/>
    <w:rsid w:val="00460901"/>
    <w:rsid w:val="0046092C"/>
    <w:rsid w:val="00460999"/>
    <w:rsid w:val="004609A8"/>
    <w:rsid w:val="004609B9"/>
    <w:rsid w:val="00460A05"/>
    <w:rsid w:val="00460A61"/>
    <w:rsid w:val="00460AE8"/>
    <w:rsid w:val="00460B40"/>
    <w:rsid w:val="00460B7D"/>
    <w:rsid w:val="00460BE8"/>
    <w:rsid w:val="00460BF7"/>
    <w:rsid w:val="00460C4C"/>
    <w:rsid w:val="00460CB1"/>
    <w:rsid w:val="00460CD1"/>
    <w:rsid w:val="00460DF6"/>
    <w:rsid w:val="00460E74"/>
    <w:rsid w:val="00460F28"/>
    <w:rsid w:val="00460F66"/>
    <w:rsid w:val="00460F89"/>
    <w:rsid w:val="00460FFF"/>
    <w:rsid w:val="004610E9"/>
    <w:rsid w:val="00461126"/>
    <w:rsid w:val="00461135"/>
    <w:rsid w:val="004611F6"/>
    <w:rsid w:val="00461256"/>
    <w:rsid w:val="00461296"/>
    <w:rsid w:val="004612F7"/>
    <w:rsid w:val="0046134A"/>
    <w:rsid w:val="00461367"/>
    <w:rsid w:val="004613A1"/>
    <w:rsid w:val="004613F9"/>
    <w:rsid w:val="0046145C"/>
    <w:rsid w:val="00461476"/>
    <w:rsid w:val="004614C6"/>
    <w:rsid w:val="00461533"/>
    <w:rsid w:val="0046159B"/>
    <w:rsid w:val="004615A9"/>
    <w:rsid w:val="004615BA"/>
    <w:rsid w:val="00461712"/>
    <w:rsid w:val="00461719"/>
    <w:rsid w:val="00461741"/>
    <w:rsid w:val="00461787"/>
    <w:rsid w:val="004617A7"/>
    <w:rsid w:val="004617ED"/>
    <w:rsid w:val="0046186E"/>
    <w:rsid w:val="00461892"/>
    <w:rsid w:val="004618D5"/>
    <w:rsid w:val="00461A16"/>
    <w:rsid w:val="00461A57"/>
    <w:rsid w:val="00461A8C"/>
    <w:rsid w:val="00461AA1"/>
    <w:rsid w:val="00461AA6"/>
    <w:rsid w:val="00461ABF"/>
    <w:rsid w:val="00461B47"/>
    <w:rsid w:val="00461B7E"/>
    <w:rsid w:val="00461B89"/>
    <w:rsid w:val="00461B8F"/>
    <w:rsid w:val="00461BDF"/>
    <w:rsid w:val="00461C1C"/>
    <w:rsid w:val="00461C2E"/>
    <w:rsid w:val="00461CA7"/>
    <w:rsid w:val="00461E79"/>
    <w:rsid w:val="00461EF7"/>
    <w:rsid w:val="00461F11"/>
    <w:rsid w:val="00461F20"/>
    <w:rsid w:val="00461F47"/>
    <w:rsid w:val="004620B4"/>
    <w:rsid w:val="00462154"/>
    <w:rsid w:val="00462170"/>
    <w:rsid w:val="004621B7"/>
    <w:rsid w:val="004621F8"/>
    <w:rsid w:val="00462200"/>
    <w:rsid w:val="0046228C"/>
    <w:rsid w:val="004622BB"/>
    <w:rsid w:val="00462326"/>
    <w:rsid w:val="00462381"/>
    <w:rsid w:val="00462424"/>
    <w:rsid w:val="0046243F"/>
    <w:rsid w:val="004624E0"/>
    <w:rsid w:val="004624EC"/>
    <w:rsid w:val="0046251C"/>
    <w:rsid w:val="00462542"/>
    <w:rsid w:val="004625B2"/>
    <w:rsid w:val="004625EE"/>
    <w:rsid w:val="0046267A"/>
    <w:rsid w:val="004626AE"/>
    <w:rsid w:val="004626B8"/>
    <w:rsid w:val="004626C1"/>
    <w:rsid w:val="004626C7"/>
    <w:rsid w:val="004626F3"/>
    <w:rsid w:val="0046270B"/>
    <w:rsid w:val="00462752"/>
    <w:rsid w:val="00462761"/>
    <w:rsid w:val="00462778"/>
    <w:rsid w:val="004627DD"/>
    <w:rsid w:val="00462891"/>
    <w:rsid w:val="004628A1"/>
    <w:rsid w:val="004628CF"/>
    <w:rsid w:val="004629A0"/>
    <w:rsid w:val="00462A82"/>
    <w:rsid w:val="00462AB6"/>
    <w:rsid w:val="00462AE1"/>
    <w:rsid w:val="00462AF0"/>
    <w:rsid w:val="00462B08"/>
    <w:rsid w:val="00462BA2"/>
    <w:rsid w:val="00462C86"/>
    <w:rsid w:val="00462D17"/>
    <w:rsid w:val="00462D21"/>
    <w:rsid w:val="00462D46"/>
    <w:rsid w:val="00462D7A"/>
    <w:rsid w:val="00462E0F"/>
    <w:rsid w:val="00462E41"/>
    <w:rsid w:val="00462F1A"/>
    <w:rsid w:val="00462F35"/>
    <w:rsid w:val="00462F61"/>
    <w:rsid w:val="00462F6F"/>
    <w:rsid w:val="00462FF1"/>
    <w:rsid w:val="00462FFF"/>
    <w:rsid w:val="0046308D"/>
    <w:rsid w:val="004631C4"/>
    <w:rsid w:val="00463214"/>
    <w:rsid w:val="00463220"/>
    <w:rsid w:val="004632C1"/>
    <w:rsid w:val="004632E5"/>
    <w:rsid w:val="00463328"/>
    <w:rsid w:val="00463347"/>
    <w:rsid w:val="004633B5"/>
    <w:rsid w:val="004633BF"/>
    <w:rsid w:val="00463409"/>
    <w:rsid w:val="00463416"/>
    <w:rsid w:val="00463478"/>
    <w:rsid w:val="004634AC"/>
    <w:rsid w:val="004634ED"/>
    <w:rsid w:val="00463511"/>
    <w:rsid w:val="004635E3"/>
    <w:rsid w:val="0046364B"/>
    <w:rsid w:val="00463685"/>
    <w:rsid w:val="004636E8"/>
    <w:rsid w:val="00463735"/>
    <w:rsid w:val="00463791"/>
    <w:rsid w:val="004637A7"/>
    <w:rsid w:val="004637AA"/>
    <w:rsid w:val="00463879"/>
    <w:rsid w:val="004638A6"/>
    <w:rsid w:val="00463945"/>
    <w:rsid w:val="0046396D"/>
    <w:rsid w:val="00463A16"/>
    <w:rsid w:val="00463A69"/>
    <w:rsid w:val="00463A97"/>
    <w:rsid w:val="00463B08"/>
    <w:rsid w:val="00463B0D"/>
    <w:rsid w:val="00463B1A"/>
    <w:rsid w:val="00463B86"/>
    <w:rsid w:val="00463BF7"/>
    <w:rsid w:val="00463C4F"/>
    <w:rsid w:val="00463CEE"/>
    <w:rsid w:val="00463CF4"/>
    <w:rsid w:val="00463D06"/>
    <w:rsid w:val="00463D8D"/>
    <w:rsid w:val="00463E04"/>
    <w:rsid w:val="00463E0E"/>
    <w:rsid w:val="00463E66"/>
    <w:rsid w:val="00463E69"/>
    <w:rsid w:val="00463E7F"/>
    <w:rsid w:val="00463ED5"/>
    <w:rsid w:val="00463F9E"/>
    <w:rsid w:val="00463FCD"/>
    <w:rsid w:val="00463FCF"/>
    <w:rsid w:val="0046404D"/>
    <w:rsid w:val="004640AA"/>
    <w:rsid w:val="004640FF"/>
    <w:rsid w:val="00464132"/>
    <w:rsid w:val="004641ED"/>
    <w:rsid w:val="00464233"/>
    <w:rsid w:val="004642B4"/>
    <w:rsid w:val="00464304"/>
    <w:rsid w:val="004643CA"/>
    <w:rsid w:val="0046445E"/>
    <w:rsid w:val="00464479"/>
    <w:rsid w:val="004644F9"/>
    <w:rsid w:val="00464512"/>
    <w:rsid w:val="00464560"/>
    <w:rsid w:val="00464574"/>
    <w:rsid w:val="00464596"/>
    <w:rsid w:val="00464653"/>
    <w:rsid w:val="00464671"/>
    <w:rsid w:val="00464678"/>
    <w:rsid w:val="004646D3"/>
    <w:rsid w:val="004646E6"/>
    <w:rsid w:val="0046477B"/>
    <w:rsid w:val="004647C9"/>
    <w:rsid w:val="004648AC"/>
    <w:rsid w:val="004648AF"/>
    <w:rsid w:val="004649C0"/>
    <w:rsid w:val="00464A06"/>
    <w:rsid w:val="00464A3D"/>
    <w:rsid w:val="00464A8B"/>
    <w:rsid w:val="00464AB9"/>
    <w:rsid w:val="00464ABB"/>
    <w:rsid w:val="00464BB4"/>
    <w:rsid w:val="00464C59"/>
    <w:rsid w:val="00464D4F"/>
    <w:rsid w:val="00464D5F"/>
    <w:rsid w:val="00464D6F"/>
    <w:rsid w:val="00464E00"/>
    <w:rsid w:val="00464E4A"/>
    <w:rsid w:val="00464EAA"/>
    <w:rsid w:val="00464EC5"/>
    <w:rsid w:val="00464ECE"/>
    <w:rsid w:val="00464ED0"/>
    <w:rsid w:val="00464EF2"/>
    <w:rsid w:val="00464F0B"/>
    <w:rsid w:val="00464F3D"/>
    <w:rsid w:val="00464F4A"/>
    <w:rsid w:val="00464FE0"/>
    <w:rsid w:val="00464FF1"/>
    <w:rsid w:val="0046504D"/>
    <w:rsid w:val="00465093"/>
    <w:rsid w:val="004650C2"/>
    <w:rsid w:val="00465124"/>
    <w:rsid w:val="00465169"/>
    <w:rsid w:val="004651E6"/>
    <w:rsid w:val="00465252"/>
    <w:rsid w:val="0046529D"/>
    <w:rsid w:val="004652A6"/>
    <w:rsid w:val="004652AE"/>
    <w:rsid w:val="00465370"/>
    <w:rsid w:val="004654B5"/>
    <w:rsid w:val="004654EC"/>
    <w:rsid w:val="004654FD"/>
    <w:rsid w:val="00465576"/>
    <w:rsid w:val="0046558E"/>
    <w:rsid w:val="004655AF"/>
    <w:rsid w:val="004655D6"/>
    <w:rsid w:val="004655E6"/>
    <w:rsid w:val="0046564A"/>
    <w:rsid w:val="004656B0"/>
    <w:rsid w:val="004656DD"/>
    <w:rsid w:val="004656E8"/>
    <w:rsid w:val="00465703"/>
    <w:rsid w:val="00465746"/>
    <w:rsid w:val="00465807"/>
    <w:rsid w:val="0046582E"/>
    <w:rsid w:val="00465843"/>
    <w:rsid w:val="0046590E"/>
    <w:rsid w:val="004659B0"/>
    <w:rsid w:val="00465A1D"/>
    <w:rsid w:val="00465AF3"/>
    <w:rsid w:val="00465BA1"/>
    <w:rsid w:val="00465C08"/>
    <w:rsid w:val="00465C36"/>
    <w:rsid w:val="00465CAA"/>
    <w:rsid w:val="00465CB8"/>
    <w:rsid w:val="00465CCF"/>
    <w:rsid w:val="00465CDE"/>
    <w:rsid w:val="00465CFD"/>
    <w:rsid w:val="00465CFE"/>
    <w:rsid w:val="00465D3F"/>
    <w:rsid w:val="00465D9E"/>
    <w:rsid w:val="00465DB1"/>
    <w:rsid w:val="00465DCE"/>
    <w:rsid w:val="00465DFF"/>
    <w:rsid w:val="00465E2F"/>
    <w:rsid w:val="00465F3A"/>
    <w:rsid w:val="00465F4A"/>
    <w:rsid w:val="00465F6A"/>
    <w:rsid w:val="00465F6F"/>
    <w:rsid w:val="00465F7D"/>
    <w:rsid w:val="00465F97"/>
    <w:rsid w:val="00465FA8"/>
    <w:rsid w:val="00465FAB"/>
    <w:rsid w:val="00465FB8"/>
    <w:rsid w:val="00466072"/>
    <w:rsid w:val="00466160"/>
    <w:rsid w:val="0046621B"/>
    <w:rsid w:val="00466221"/>
    <w:rsid w:val="0046627B"/>
    <w:rsid w:val="00466286"/>
    <w:rsid w:val="00466292"/>
    <w:rsid w:val="004662F9"/>
    <w:rsid w:val="00466342"/>
    <w:rsid w:val="004663B9"/>
    <w:rsid w:val="0046643F"/>
    <w:rsid w:val="00466461"/>
    <w:rsid w:val="0046651C"/>
    <w:rsid w:val="00466526"/>
    <w:rsid w:val="004665C8"/>
    <w:rsid w:val="00466635"/>
    <w:rsid w:val="00466649"/>
    <w:rsid w:val="004666EC"/>
    <w:rsid w:val="004666F1"/>
    <w:rsid w:val="00466713"/>
    <w:rsid w:val="00466723"/>
    <w:rsid w:val="00466838"/>
    <w:rsid w:val="00466893"/>
    <w:rsid w:val="004668A2"/>
    <w:rsid w:val="004668D2"/>
    <w:rsid w:val="004668E8"/>
    <w:rsid w:val="004668FF"/>
    <w:rsid w:val="0046696F"/>
    <w:rsid w:val="004669A4"/>
    <w:rsid w:val="00466A10"/>
    <w:rsid w:val="00466A1D"/>
    <w:rsid w:val="00466AA1"/>
    <w:rsid w:val="00466AC4"/>
    <w:rsid w:val="00466AFD"/>
    <w:rsid w:val="00466C19"/>
    <w:rsid w:val="00466C93"/>
    <w:rsid w:val="00466CB5"/>
    <w:rsid w:val="00466CD7"/>
    <w:rsid w:val="00466D0D"/>
    <w:rsid w:val="00466DB8"/>
    <w:rsid w:val="00466DBA"/>
    <w:rsid w:val="00466DFB"/>
    <w:rsid w:val="00466E1A"/>
    <w:rsid w:val="00466E4F"/>
    <w:rsid w:val="00466E8A"/>
    <w:rsid w:val="00466EC3"/>
    <w:rsid w:val="00466F14"/>
    <w:rsid w:val="00466F41"/>
    <w:rsid w:val="00466F78"/>
    <w:rsid w:val="00467034"/>
    <w:rsid w:val="00467106"/>
    <w:rsid w:val="00467134"/>
    <w:rsid w:val="004671B4"/>
    <w:rsid w:val="004671F8"/>
    <w:rsid w:val="0046725A"/>
    <w:rsid w:val="00467334"/>
    <w:rsid w:val="0046734F"/>
    <w:rsid w:val="00467398"/>
    <w:rsid w:val="004673E7"/>
    <w:rsid w:val="0046748D"/>
    <w:rsid w:val="004674A3"/>
    <w:rsid w:val="004674E5"/>
    <w:rsid w:val="004674F0"/>
    <w:rsid w:val="004675E4"/>
    <w:rsid w:val="00467601"/>
    <w:rsid w:val="004676B5"/>
    <w:rsid w:val="00467747"/>
    <w:rsid w:val="0046774F"/>
    <w:rsid w:val="00467765"/>
    <w:rsid w:val="0046781F"/>
    <w:rsid w:val="00467821"/>
    <w:rsid w:val="00467874"/>
    <w:rsid w:val="00467893"/>
    <w:rsid w:val="004678A4"/>
    <w:rsid w:val="004678C3"/>
    <w:rsid w:val="00467918"/>
    <w:rsid w:val="0046795F"/>
    <w:rsid w:val="00467968"/>
    <w:rsid w:val="004679DD"/>
    <w:rsid w:val="004679EE"/>
    <w:rsid w:val="00467A5E"/>
    <w:rsid w:val="00467AE5"/>
    <w:rsid w:val="00467B14"/>
    <w:rsid w:val="00467B56"/>
    <w:rsid w:val="00467B5E"/>
    <w:rsid w:val="00467BCA"/>
    <w:rsid w:val="00467BD5"/>
    <w:rsid w:val="00467C64"/>
    <w:rsid w:val="00467CF7"/>
    <w:rsid w:val="00467DBD"/>
    <w:rsid w:val="00467DC0"/>
    <w:rsid w:val="00467E3E"/>
    <w:rsid w:val="00467EB1"/>
    <w:rsid w:val="00467F27"/>
    <w:rsid w:val="00467F7B"/>
    <w:rsid w:val="00467FA3"/>
    <w:rsid w:val="00467FAE"/>
    <w:rsid w:val="00470098"/>
    <w:rsid w:val="004700D7"/>
    <w:rsid w:val="004700DC"/>
    <w:rsid w:val="0047011D"/>
    <w:rsid w:val="0047013D"/>
    <w:rsid w:val="004701B9"/>
    <w:rsid w:val="004702A2"/>
    <w:rsid w:val="0047030F"/>
    <w:rsid w:val="00470394"/>
    <w:rsid w:val="004703DD"/>
    <w:rsid w:val="004703E6"/>
    <w:rsid w:val="0047043A"/>
    <w:rsid w:val="0047045B"/>
    <w:rsid w:val="004704A2"/>
    <w:rsid w:val="00470684"/>
    <w:rsid w:val="004707C5"/>
    <w:rsid w:val="00470804"/>
    <w:rsid w:val="0047082C"/>
    <w:rsid w:val="0047086C"/>
    <w:rsid w:val="00470888"/>
    <w:rsid w:val="004708A3"/>
    <w:rsid w:val="004709CC"/>
    <w:rsid w:val="00470A46"/>
    <w:rsid w:val="00470ACD"/>
    <w:rsid w:val="00470B1E"/>
    <w:rsid w:val="00470B21"/>
    <w:rsid w:val="00470BE0"/>
    <w:rsid w:val="00470BE9"/>
    <w:rsid w:val="00470C7F"/>
    <w:rsid w:val="00470D06"/>
    <w:rsid w:val="00470D13"/>
    <w:rsid w:val="00470D34"/>
    <w:rsid w:val="00470ED1"/>
    <w:rsid w:val="00470F54"/>
    <w:rsid w:val="00470FC8"/>
    <w:rsid w:val="00470FDD"/>
    <w:rsid w:val="0047101D"/>
    <w:rsid w:val="00471033"/>
    <w:rsid w:val="00471044"/>
    <w:rsid w:val="00471064"/>
    <w:rsid w:val="0047108E"/>
    <w:rsid w:val="004710D0"/>
    <w:rsid w:val="00471146"/>
    <w:rsid w:val="00471156"/>
    <w:rsid w:val="00471181"/>
    <w:rsid w:val="0047119D"/>
    <w:rsid w:val="004711D0"/>
    <w:rsid w:val="004711F8"/>
    <w:rsid w:val="00471209"/>
    <w:rsid w:val="0047123A"/>
    <w:rsid w:val="0047132F"/>
    <w:rsid w:val="0047135F"/>
    <w:rsid w:val="00471390"/>
    <w:rsid w:val="00471447"/>
    <w:rsid w:val="004714C3"/>
    <w:rsid w:val="00471541"/>
    <w:rsid w:val="00471552"/>
    <w:rsid w:val="004715B1"/>
    <w:rsid w:val="0047169C"/>
    <w:rsid w:val="004716B5"/>
    <w:rsid w:val="004716BF"/>
    <w:rsid w:val="004716E2"/>
    <w:rsid w:val="004717C4"/>
    <w:rsid w:val="004717E5"/>
    <w:rsid w:val="004718F2"/>
    <w:rsid w:val="00471922"/>
    <w:rsid w:val="004719A2"/>
    <w:rsid w:val="00471A31"/>
    <w:rsid w:val="00471ABB"/>
    <w:rsid w:val="00471B51"/>
    <w:rsid w:val="00471C6A"/>
    <w:rsid w:val="00471C77"/>
    <w:rsid w:val="00471D02"/>
    <w:rsid w:val="00471D1B"/>
    <w:rsid w:val="00471D59"/>
    <w:rsid w:val="00471DED"/>
    <w:rsid w:val="00471E29"/>
    <w:rsid w:val="00471EE5"/>
    <w:rsid w:val="00471F0F"/>
    <w:rsid w:val="00471F11"/>
    <w:rsid w:val="00471F15"/>
    <w:rsid w:val="00471F5A"/>
    <w:rsid w:val="00471FBF"/>
    <w:rsid w:val="00471FDB"/>
    <w:rsid w:val="00471FED"/>
    <w:rsid w:val="004720FB"/>
    <w:rsid w:val="0047211B"/>
    <w:rsid w:val="00472164"/>
    <w:rsid w:val="004721AE"/>
    <w:rsid w:val="004721BE"/>
    <w:rsid w:val="0047222E"/>
    <w:rsid w:val="00472259"/>
    <w:rsid w:val="0047227B"/>
    <w:rsid w:val="00472285"/>
    <w:rsid w:val="00472290"/>
    <w:rsid w:val="004722FE"/>
    <w:rsid w:val="00472317"/>
    <w:rsid w:val="00472330"/>
    <w:rsid w:val="004723EB"/>
    <w:rsid w:val="004723FB"/>
    <w:rsid w:val="0047242F"/>
    <w:rsid w:val="00472445"/>
    <w:rsid w:val="004724D4"/>
    <w:rsid w:val="004724ED"/>
    <w:rsid w:val="00472508"/>
    <w:rsid w:val="00472519"/>
    <w:rsid w:val="00472572"/>
    <w:rsid w:val="0047262F"/>
    <w:rsid w:val="00472689"/>
    <w:rsid w:val="004726D4"/>
    <w:rsid w:val="00472734"/>
    <w:rsid w:val="004727E7"/>
    <w:rsid w:val="004728B4"/>
    <w:rsid w:val="00472939"/>
    <w:rsid w:val="0047296E"/>
    <w:rsid w:val="004729EE"/>
    <w:rsid w:val="00472A88"/>
    <w:rsid w:val="00472B18"/>
    <w:rsid w:val="00472C03"/>
    <w:rsid w:val="00472CE7"/>
    <w:rsid w:val="00472D0D"/>
    <w:rsid w:val="00472D33"/>
    <w:rsid w:val="00472D45"/>
    <w:rsid w:val="00472E7F"/>
    <w:rsid w:val="00472EDC"/>
    <w:rsid w:val="00472F07"/>
    <w:rsid w:val="00472F3E"/>
    <w:rsid w:val="00472F9F"/>
    <w:rsid w:val="00472FCE"/>
    <w:rsid w:val="00472FE0"/>
    <w:rsid w:val="00473066"/>
    <w:rsid w:val="0047307D"/>
    <w:rsid w:val="004730C7"/>
    <w:rsid w:val="00473135"/>
    <w:rsid w:val="004731FA"/>
    <w:rsid w:val="0047328E"/>
    <w:rsid w:val="004732DA"/>
    <w:rsid w:val="00473314"/>
    <w:rsid w:val="00473328"/>
    <w:rsid w:val="0047334A"/>
    <w:rsid w:val="0047334C"/>
    <w:rsid w:val="0047344F"/>
    <w:rsid w:val="0047346F"/>
    <w:rsid w:val="004734D6"/>
    <w:rsid w:val="00473564"/>
    <w:rsid w:val="0047367E"/>
    <w:rsid w:val="00473695"/>
    <w:rsid w:val="004736FB"/>
    <w:rsid w:val="00473769"/>
    <w:rsid w:val="00473777"/>
    <w:rsid w:val="00473864"/>
    <w:rsid w:val="004738D9"/>
    <w:rsid w:val="00473902"/>
    <w:rsid w:val="00473933"/>
    <w:rsid w:val="004739C7"/>
    <w:rsid w:val="00473A32"/>
    <w:rsid w:val="00473A34"/>
    <w:rsid w:val="00473A3E"/>
    <w:rsid w:val="00473A7E"/>
    <w:rsid w:val="00473AFD"/>
    <w:rsid w:val="00473B59"/>
    <w:rsid w:val="00473C49"/>
    <w:rsid w:val="00473C6E"/>
    <w:rsid w:val="00473D1F"/>
    <w:rsid w:val="00473D78"/>
    <w:rsid w:val="00473D94"/>
    <w:rsid w:val="00473E06"/>
    <w:rsid w:val="00473E20"/>
    <w:rsid w:val="00473E5E"/>
    <w:rsid w:val="00473E66"/>
    <w:rsid w:val="00473E9E"/>
    <w:rsid w:val="00473EE9"/>
    <w:rsid w:val="00473F2A"/>
    <w:rsid w:val="00473F9C"/>
    <w:rsid w:val="0047402A"/>
    <w:rsid w:val="0047403F"/>
    <w:rsid w:val="004740CF"/>
    <w:rsid w:val="00474158"/>
    <w:rsid w:val="004741DD"/>
    <w:rsid w:val="0047430D"/>
    <w:rsid w:val="00474351"/>
    <w:rsid w:val="004743B4"/>
    <w:rsid w:val="004743B7"/>
    <w:rsid w:val="0047447C"/>
    <w:rsid w:val="004744DF"/>
    <w:rsid w:val="004744FF"/>
    <w:rsid w:val="00474510"/>
    <w:rsid w:val="00474511"/>
    <w:rsid w:val="0047454D"/>
    <w:rsid w:val="004745C6"/>
    <w:rsid w:val="004745DD"/>
    <w:rsid w:val="00474651"/>
    <w:rsid w:val="00474719"/>
    <w:rsid w:val="00474730"/>
    <w:rsid w:val="00474812"/>
    <w:rsid w:val="0047489E"/>
    <w:rsid w:val="0047490B"/>
    <w:rsid w:val="0047490E"/>
    <w:rsid w:val="00474962"/>
    <w:rsid w:val="00474971"/>
    <w:rsid w:val="0047499A"/>
    <w:rsid w:val="004749FB"/>
    <w:rsid w:val="00474A6B"/>
    <w:rsid w:val="00474A74"/>
    <w:rsid w:val="00474B06"/>
    <w:rsid w:val="00474B10"/>
    <w:rsid w:val="00474B17"/>
    <w:rsid w:val="00474BCB"/>
    <w:rsid w:val="00474C2D"/>
    <w:rsid w:val="00474C7B"/>
    <w:rsid w:val="00474D18"/>
    <w:rsid w:val="00474D1B"/>
    <w:rsid w:val="00474D3F"/>
    <w:rsid w:val="00474D86"/>
    <w:rsid w:val="00474EC0"/>
    <w:rsid w:val="00474EDB"/>
    <w:rsid w:val="00474EED"/>
    <w:rsid w:val="00474F32"/>
    <w:rsid w:val="0047502F"/>
    <w:rsid w:val="004750D4"/>
    <w:rsid w:val="004750DC"/>
    <w:rsid w:val="004751F1"/>
    <w:rsid w:val="00475215"/>
    <w:rsid w:val="0047529B"/>
    <w:rsid w:val="004752A5"/>
    <w:rsid w:val="004752F7"/>
    <w:rsid w:val="00475322"/>
    <w:rsid w:val="0047536E"/>
    <w:rsid w:val="00475384"/>
    <w:rsid w:val="00475386"/>
    <w:rsid w:val="004753CD"/>
    <w:rsid w:val="004753E7"/>
    <w:rsid w:val="00475422"/>
    <w:rsid w:val="004754AB"/>
    <w:rsid w:val="004754B0"/>
    <w:rsid w:val="004754E1"/>
    <w:rsid w:val="00475550"/>
    <w:rsid w:val="00475620"/>
    <w:rsid w:val="00475640"/>
    <w:rsid w:val="0047564E"/>
    <w:rsid w:val="00475678"/>
    <w:rsid w:val="004756BF"/>
    <w:rsid w:val="00475772"/>
    <w:rsid w:val="00475789"/>
    <w:rsid w:val="004757A1"/>
    <w:rsid w:val="0047588E"/>
    <w:rsid w:val="004758CE"/>
    <w:rsid w:val="004758F2"/>
    <w:rsid w:val="00475917"/>
    <w:rsid w:val="00475980"/>
    <w:rsid w:val="00475981"/>
    <w:rsid w:val="0047599B"/>
    <w:rsid w:val="004759C3"/>
    <w:rsid w:val="00475A0C"/>
    <w:rsid w:val="00475A28"/>
    <w:rsid w:val="00475A7A"/>
    <w:rsid w:val="00475AA3"/>
    <w:rsid w:val="00475ABF"/>
    <w:rsid w:val="00475AED"/>
    <w:rsid w:val="00475B5C"/>
    <w:rsid w:val="00475B71"/>
    <w:rsid w:val="00475B90"/>
    <w:rsid w:val="00475B91"/>
    <w:rsid w:val="00475BBA"/>
    <w:rsid w:val="00475BD9"/>
    <w:rsid w:val="00475C3C"/>
    <w:rsid w:val="00475D36"/>
    <w:rsid w:val="00475D7E"/>
    <w:rsid w:val="00475D9C"/>
    <w:rsid w:val="00475DCB"/>
    <w:rsid w:val="00475DD6"/>
    <w:rsid w:val="00475DE9"/>
    <w:rsid w:val="00475DFF"/>
    <w:rsid w:val="00475E00"/>
    <w:rsid w:val="00475E5E"/>
    <w:rsid w:val="00475F1B"/>
    <w:rsid w:val="00475FA7"/>
    <w:rsid w:val="00475FEB"/>
    <w:rsid w:val="00476005"/>
    <w:rsid w:val="004760A6"/>
    <w:rsid w:val="00476179"/>
    <w:rsid w:val="004761CA"/>
    <w:rsid w:val="004761F0"/>
    <w:rsid w:val="00476206"/>
    <w:rsid w:val="0047621A"/>
    <w:rsid w:val="00476229"/>
    <w:rsid w:val="00476302"/>
    <w:rsid w:val="0047647F"/>
    <w:rsid w:val="00476518"/>
    <w:rsid w:val="0047661A"/>
    <w:rsid w:val="0047661B"/>
    <w:rsid w:val="00476621"/>
    <w:rsid w:val="004766EA"/>
    <w:rsid w:val="0047671F"/>
    <w:rsid w:val="0047673C"/>
    <w:rsid w:val="00476850"/>
    <w:rsid w:val="00476906"/>
    <w:rsid w:val="0047690C"/>
    <w:rsid w:val="00476923"/>
    <w:rsid w:val="00476A41"/>
    <w:rsid w:val="00476A81"/>
    <w:rsid w:val="00476A95"/>
    <w:rsid w:val="00476AC1"/>
    <w:rsid w:val="00476AC9"/>
    <w:rsid w:val="00476B7B"/>
    <w:rsid w:val="00476BB0"/>
    <w:rsid w:val="00476BDD"/>
    <w:rsid w:val="00476C51"/>
    <w:rsid w:val="00476C78"/>
    <w:rsid w:val="00476D57"/>
    <w:rsid w:val="00476DEC"/>
    <w:rsid w:val="00476E89"/>
    <w:rsid w:val="00476EA7"/>
    <w:rsid w:val="00476EC5"/>
    <w:rsid w:val="00476EF9"/>
    <w:rsid w:val="00476F56"/>
    <w:rsid w:val="00476FA3"/>
    <w:rsid w:val="00477057"/>
    <w:rsid w:val="004770CC"/>
    <w:rsid w:val="004770E9"/>
    <w:rsid w:val="004770F2"/>
    <w:rsid w:val="004770F4"/>
    <w:rsid w:val="0047714B"/>
    <w:rsid w:val="0047715F"/>
    <w:rsid w:val="00477161"/>
    <w:rsid w:val="004771DA"/>
    <w:rsid w:val="004771F6"/>
    <w:rsid w:val="00477235"/>
    <w:rsid w:val="004772A5"/>
    <w:rsid w:val="004772EA"/>
    <w:rsid w:val="00477330"/>
    <w:rsid w:val="0047739B"/>
    <w:rsid w:val="0047742F"/>
    <w:rsid w:val="0047747F"/>
    <w:rsid w:val="004774EA"/>
    <w:rsid w:val="00477510"/>
    <w:rsid w:val="00477548"/>
    <w:rsid w:val="00477638"/>
    <w:rsid w:val="00477663"/>
    <w:rsid w:val="004776C0"/>
    <w:rsid w:val="0047770D"/>
    <w:rsid w:val="00477763"/>
    <w:rsid w:val="0047779C"/>
    <w:rsid w:val="004777FB"/>
    <w:rsid w:val="00477825"/>
    <w:rsid w:val="00477873"/>
    <w:rsid w:val="004778AE"/>
    <w:rsid w:val="00477918"/>
    <w:rsid w:val="00477937"/>
    <w:rsid w:val="00477955"/>
    <w:rsid w:val="00477956"/>
    <w:rsid w:val="00477965"/>
    <w:rsid w:val="004779EB"/>
    <w:rsid w:val="00477A62"/>
    <w:rsid w:val="00477ADE"/>
    <w:rsid w:val="00477B06"/>
    <w:rsid w:val="00477B5F"/>
    <w:rsid w:val="00477C18"/>
    <w:rsid w:val="00477C21"/>
    <w:rsid w:val="00477C49"/>
    <w:rsid w:val="00477CA9"/>
    <w:rsid w:val="00477D0D"/>
    <w:rsid w:val="00477F39"/>
    <w:rsid w:val="00477F87"/>
    <w:rsid w:val="004800E4"/>
    <w:rsid w:val="004800E7"/>
    <w:rsid w:val="004800E8"/>
    <w:rsid w:val="00480174"/>
    <w:rsid w:val="004801A9"/>
    <w:rsid w:val="0048021B"/>
    <w:rsid w:val="00480264"/>
    <w:rsid w:val="004802E1"/>
    <w:rsid w:val="004802E8"/>
    <w:rsid w:val="0048038C"/>
    <w:rsid w:val="004803B1"/>
    <w:rsid w:val="004803F4"/>
    <w:rsid w:val="00480447"/>
    <w:rsid w:val="004804B6"/>
    <w:rsid w:val="0048063D"/>
    <w:rsid w:val="00480651"/>
    <w:rsid w:val="0048065D"/>
    <w:rsid w:val="00480670"/>
    <w:rsid w:val="0048068C"/>
    <w:rsid w:val="004806EB"/>
    <w:rsid w:val="0048085D"/>
    <w:rsid w:val="004808A5"/>
    <w:rsid w:val="004808B8"/>
    <w:rsid w:val="00480979"/>
    <w:rsid w:val="00480983"/>
    <w:rsid w:val="00480A31"/>
    <w:rsid w:val="00480A52"/>
    <w:rsid w:val="00480A7E"/>
    <w:rsid w:val="00480AA0"/>
    <w:rsid w:val="00480AA6"/>
    <w:rsid w:val="00480AB7"/>
    <w:rsid w:val="00480AD0"/>
    <w:rsid w:val="00480BB4"/>
    <w:rsid w:val="00480BB5"/>
    <w:rsid w:val="00480C0F"/>
    <w:rsid w:val="00480C22"/>
    <w:rsid w:val="00480C44"/>
    <w:rsid w:val="00480C4A"/>
    <w:rsid w:val="00480C87"/>
    <w:rsid w:val="00480D2F"/>
    <w:rsid w:val="00480DE8"/>
    <w:rsid w:val="00480DEE"/>
    <w:rsid w:val="00480E39"/>
    <w:rsid w:val="00480E66"/>
    <w:rsid w:val="00480EAF"/>
    <w:rsid w:val="00480F08"/>
    <w:rsid w:val="00480F82"/>
    <w:rsid w:val="00481011"/>
    <w:rsid w:val="004810D1"/>
    <w:rsid w:val="00481163"/>
    <w:rsid w:val="00481170"/>
    <w:rsid w:val="004811FE"/>
    <w:rsid w:val="00481267"/>
    <w:rsid w:val="00481279"/>
    <w:rsid w:val="004812B0"/>
    <w:rsid w:val="004812FE"/>
    <w:rsid w:val="0048131D"/>
    <w:rsid w:val="0048136B"/>
    <w:rsid w:val="0048144B"/>
    <w:rsid w:val="00481451"/>
    <w:rsid w:val="004814D4"/>
    <w:rsid w:val="004815AF"/>
    <w:rsid w:val="004815EA"/>
    <w:rsid w:val="00481620"/>
    <w:rsid w:val="0048171B"/>
    <w:rsid w:val="0048174B"/>
    <w:rsid w:val="0048174E"/>
    <w:rsid w:val="004817B6"/>
    <w:rsid w:val="004817DA"/>
    <w:rsid w:val="0048181E"/>
    <w:rsid w:val="004818BF"/>
    <w:rsid w:val="00481932"/>
    <w:rsid w:val="00481954"/>
    <w:rsid w:val="00481A06"/>
    <w:rsid w:val="00481A07"/>
    <w:rsid w:val="00481A0F"/>
    <w:rsid w:val="00481A82"/>
    <w:rsid w:val="00481AD7"/>
    <w:rsid w:val="00481ADC"/>
    <w:rsid w:val="00481B1D"/>
    <w:rsid w:val="00481B89"/>
    <w:rsid w:val="00481BA4"/>
    <w:rsid w:val="00481BBA"/>
    <w:rsid w:val="00481C29"/>
    <w:rsid w:val="00481C59"/>
    <w:rsid w:val="00481C8B"/>
    <w:rsid w:val="00481CD5"/>
    <w:rsid w:val="00481D16"/>
    <w:rsid w:val="00481D7A"/>
    <w:rsid w:val="00481DAC"/>
    <w:rsid w:val="00481DE0"/>
    <w:rsid w:val="00481EFF"/>
    <w:rsid w:val="00481F53"/>
    <w:rsid w:val="00481F7C"/>
    <w:rsid w:val="00481FB1"/>
    <w:rsid w:val="00481FC3"/>
    <w:rsid w:val="00481FD1"/>
    <w:rsid w:val="00481FD3"/>
    <w:rsid w:val="0048205C"/>
    <w:rsid w:val="004820B5"/>
    <w:rsid w:val="00482161"/>
    <w:rsid w:val="004821C8"/>
    <w:rsid w:val="004821DB"/>
    <w:rsid w:val="00482233"/>
    <w:rsid w:val="00482280"/>
    <w:rsid w:val="0048228A"/>
    <w:rsid w:val="00482297"/>
    <w:rsid w:val="004822C9"/>
    <w:rsid w:val="00482329"/>
    <w:rsid w:val="004823CB"/>
    <w:rsid w:val="004823DC"/>
    <w:rsid w:val="00482569"/>
    <w:rsid w:val="004825F6"/>
    <w:rsid w:val="00482720"/>
    <w:rsid w:val="004827B6"/>
    <w:rsid w:val="0048285C"/>
    <w:rsid w:val="004828F3"/>
    <w:rsid w:val="0048297E"/>
    <w:rsid w:val="00482990"/>
    <w:rsid w:val="00482997"/>
    <w:rsid w:val="00482A27"/>
    <w:rsid w:val="00482BA5"/>
    <w:rsid w:val="00482C2E"/>
    <w:rsid w:val="00482CA0"/>
    <w:rsid w:val="00482CCC"/>
    <w:rsid w:val="00482D4D"/>
    <w:rsid w:val="00482DC6"/>
    <w:rsid w:val="00482DD6"/>
    <w:rsid w:val="00482DF9"/>
    <w:rsid w:val="00482E84"/>
    <w:rsid w:val="00482E92"/>
    <w:rsid w:val="00482EDA"/>
    <w:rsid w:val="00482F07"/>
    <w:rsid w:val="00482F20"/>
    <w:rsid w:val="00482F64"/>
    <w:rsid w:val="0048300D"/>
    <w:rsid w:val="0048301A"/>
    <w:rsid w:val="00483021"/>
    <w:rsid w:val="0048305B"/>
    <w:rsid w:val="0048309F"/>
    <w:rsid w:val="004830ED"/>
    <w:rsid w:val="004830F1"/>
    <w:rsid w:val="00483116"/>
    <w:rsid w:val="00483136"/>
    <w:rsid w:val="004832BC"/>
    <w:rsid w:val="004832BE"/>
    <w:rsid w:val="004833B1"/>
    <w:rsid w:val="004833B6"/>
    <w:rsid w:val="00483408"/>
    <w:rsid w:val="00483423"/>
    <w:rsid w:val="0048346B"/>
    <w:rsid w:val="004834CB"/>
    <w:rsid w:val="004834F1"/>
    <w:rsid w:val="00483530"/>
    <w:rsid w:val="0048354B"/>
    <w:rsid w:val="0048356E"/>
    <w:rsid w:val="00483596"/>
    <w:rsid w:val="004835B1"/>
    <w:rsid w:val="00483611"/>
    <w:rsid w:val="004836AF"/>
    <w:rsid w:val="004836E8"/>
    <w:rsid w:val="004837F0"/>
    <w:rsid w:val="00483938"/>
    <w:rsid w:val="00483964"/>
    <w:rsid w:val="004839C2"/>
    <w:rsid w:val="00483A21"/>
    <w:rsid w:val="00483A2E"/>
    <w:rsid w:val="00483A3D"/>
    <w:rsid w:val="00483AD9"/>
    <w:rsid w:val="00483AFA"/>
    <w:rsid w:val="00483BAC"/>
    <w:rsid w:val="00483BB0"/>
    <w:rsid w:val="00483C68"/>
    <w:rsid w:val="00483CB8"/>
    <w:rsid w:val="00483D49"/>
    <w:rsid w:val="00483D79"/>
    <w:rsid w:val="00483E54"/>
    <w:rsid w:val="00483E8E"/>
    <w:rsid w:val="00483E93"/>
    <w:rsid w:val="00483EAD"/>
    <w:rsid w:val="00483EB4"/>
    <w:rsid w:val="00483F1E"/>
    <w:rsid w:val="00483F25"/>
    <w:rsid w:val="00483FD6"/>
    <w:rsid w:val="0048406C"/>
    <w:rsid w:val="004840BE"/>
    <w:rsid w:val="0048416A"/>
    <w:rsid w:val="0048417B"/>
    <w:rsid w:val="004841F5"/>
    <w:rsid w:val="004841FE"/>
    <w:rsid w:val="0048424C"/>
    <w:rsid w:val="00484435"/>
    <w:rsid w:val="0048447B"/>
    <w:rsid w:val="004844D2"/>
    <w:rsid w:val="004844D5"/>
    <w:rsid w:val="004844FE"/>
    <w:rsid w:val="0048450D"/>
    <w:rsid w:val="0048450F"/>
    <w:rsid w:val="00484538"/>
    <w:rsid w:val="00484565"/>
    <w:rsid w:val="00484573"/>
    <w:rsid w:val="00484581"/>
    <w:rsid w:val="00484589"/>
    <w:rsid w:val="00484596"/>
    <w:rsid w:val="00484682"/>
    <w:rsid w:val="004846B5"/>
    <w:rsid w:val="00484700"/>
    <w:rsid w:val="00484709"/>
    <w:rsid w:val="0048476F"/>
    <w:rsid w:val="004847BD"/>
    <w:rsid w:val="0048482E"/>
    <w:rsid w:val="00484845"/>
    <w:rsid w:val="00484891"/>
    <w:rsid w:val="0048489A"/>
    <w:rsid w:val="00484936"/>
    <w:rsid w:val="004849B1"/>
    <w:rsid w:val="00484A0F"/>
    <w:rsid w:val="00484B25"/>
    <w:rsid w:val="00484B79"/>
    <w:rsid w:val="00484C97"/>
    <w:rsid w:val="00484D1C"/>
    <w:rsid w:val="00484D87"/>
    <w:rsid w:val="00484DF4"/>
    <w:rsid w:val="00484E1F"/>
    <w:rsid w:val="00484EC5"/>
    <w:rsid w:val="00484F17"/>
    <w:rsid w:val="00484FAF"/>
    <w:rsid w:val="00485050"/>
    <w:rsid w:val="00485073"/>
    <w:rsid w:val="00485096"/>
    <w:rsid w:val="004850FB"/>
    <w:rsid w:val="004850FE"/>
    <w:rsid w:val="00485102"/>
    <w:rsid w:val="00485112"/>
    <w:rsid w:val="004851BB"/>
    <w:rsid w:val="00485236"/>
    <w:rsid w:val="00485260"/>
    <w:rsid w:val="00485281"/>
    <w:rsid w:val="00485282"/>
    <w:rsid w:val="004852A9"/>
    <w:rsid w:val="00485309"/>
    <w:rsid w:val="00485311"/>
    <w:rsid w:val="00485329"/>
    <w:rsid w:val="00485422"/>
    <w:rsid w:val="00485526"/>
    <w:rsid w:val="004855A2"/>
    <w:rsid w:val="00485606"/>
    <w:rsid w:val="0048569B"/>
    <w:rsid w:val="004856EF"/>
    <w:rsid w:val="0048572B"/>
    <w:rsid w:val="00485777"/>
    <w:rsid w:val="00485793"/>
    <w:rsid w:val="00485882"/>
    <w:rsid w:val="004858FB"/>
    <w:rsid w:val="0048591C"/>
    <w:rsid w:val="00485952"/>
    <w:rsid w:val="00485A13"/>
    <w:rsid w:val="00485C6C"/>
    <w:rsid w:val="00485E2B"/>
    <w:rsid w:val="00485E2F"/>
    <w:rsid w:val="00485E35"/>
    <w:rsid w:val="00485E95"/>
    <w:rsid w:val="00485F26"/>
    <w:rsid w:val="00485F2B"/>
    <w:rsid w:val="00485F6D"/>
    <w:rsid w:val="00485FC0"/>
    <w:rsid w:val="0048600A"/>
    <w:rsid w:val="00486071"/>
    <w:rsid w:val="00486082"/>
    <w:rsid w:val="004860BB"/>
    <w:rsid w:val="004860CC"/>
    <w:rsid w:val="00486107"/>
    <w:rsid w:val="00486139"/>
    <w:rsid w:val="004861E0"/>
    <w:rsid w:val="004861EB"/>
    <w:rsid w:val="004861FC"/>
    <w:rsid w:val="00486381"/>
    <w:rsid w:val="00486422"/>
    <w:rsid w:val="00486425"/>
    <w:rsid w:val="004864E4"/>
    <w:rsid w:val="0048654C"/>
    <w:rsid w:val="00486639"/>
    <w:rsid w:val="00486647"/>
    <w:rsid w:val="004866B3"/>
    <w:rsid w:val="0048674B"/>
    <w:rsid w:val="00486782"/>
    <w:rsid w:val="004868BC"/>
    <w:rsid w:val="004868DD"/>
    <w:rsid w:val="00486910"/>
    <w:rsid w:val="00486935"/>
    <w:rsid w:val="00486A3E"/>
    <w:rsid w:val="00486A88"/>
    <w:rsid w:val="00486B38"/>
    <w:rsid w:val="00486B71"/>
    <w:rsid w:val="00486B97"/>
    <w:rsid w:val="00486BB4"/>
    <w:rsid w:val="00486CBD"/>
    <w:rsid w:val="00486CC2"/>
    <w:rsid w:val="00486D1D"/>
    <w:rsid w:val="00486D2F"/>
    <w:rsid w:val="00486D4B"/>
    <w:rsid w:val="00486D5A"/>
    <w:rsid w:val="00486D5D"/>
    <w:rsid w:val="00486D7B"/>
    <w:rsid w:val="00486D81"/>
    <w:rsid w:val="00486DA5"/>
    <w:rsid w:val="00486DB5"/>
    <w:rsid w:val="00486DF0"/>
    <w:rsid w:val="00486E73"/>
    <w:rsid w:val="00486F42"/>
    <w:rsid w:val="00486F4D"/>
    <w:rsid w:val="00486F72"/>
    <w:rsid w:val="004870A3"/>
    <w:rsid w:val="004870AD"/>
    <w:rsid w:val="0048718C"/>
    <w:rsid w:val="004871FC"/>
    <w:rsid w:val="004872AD"/>
    <w:rsid w:val="004872F9"/>
    <w:rsid w:val="004872FB"/>
    <w:rsid w:val="0048733A"/>
    <w:rsid w:val="0048736B"/>
    <w:rsid w:val="004873D3"/>
    <w:rsid w:val="004873F5"/>
    <w:rsid w:val="00487412"/>
    <w:rsid w:val="00487447"/>
    <w:rsid w:val="0048744A"/>
    <w:rsid w:val="00487459"/>
    <w:rsid w:val="004874FA"/>
    <w:rsid w:val="0048757E"/>
    <w:rsid w:val="004875A7"/>
    <w:rsid w:val="004875D7"/>
    <w:rsid w:val="00487677"/>
    <w:rsid w:val="00487683"/>
    <w:rsid w:val="00487731"/>
    <w:rsid w:val="00487742"/>
    <w:rsid w:val="0048774C"/>
    <w:rsid w:val="0048776D"/>
    <w:rsid w:val="0048779A"/>
    <w:rsid w:val="0048789E"/>
    <w:rsid w:val="004878A5"/>
    <w:rsid w:val="004878F5"/>
    <w:rsid w:val="00487934"/>
    <w:rsid w:val="00487955"/>
    <w:rsid w:val="00487998"/>
    <w:rsid w:val="004879A7"/>
    <w:rsid w:val="004879CF"/>
    <w:rsid w:val="00487A60"/>
    <w:rsid w:val="00487A9F"/>
    <w:rsid w:val="00487AA7"/>
    <w:rsid w:val="00487AF9"/>
    <w:rsid w:val="00487B4B"/>
    <w:rsid w:val="00487B54"/>
    <w:rsid w:val="00487BA1"/>
    <w:rsid w:val="00487BB3"/>
    <w:rsid w:val="00487C42"/>
    <w:rsid w:val="00487C9F"/>
    <w:rsid w:val="00487E42"/>
    <w:rsid w:val="00487E4F"/>
    <w:rsid w:val="00487E5E"/>
    <w:rsid w:val="00487E62"/>
    <w:rsid w:val="00487EBE"/>
    <w:rsid w:val="00487EC0"/>
    <w:rsid w:val="00487F01"/>
    <w:rsid w:val="00487F06"/>
    <w:rsid w:val="00487F1E"/>
    <w:rsid w:val="00487F58"/>
    <w:rsid w:val="00487FCD"/>
    <w:rsid w:val="00490105"/>
    <w:rsid w:val="0049011E"/>
    <w:rsid w:val="0049012E"/>
    <w:rsid w:val="00490147"/>
    <w:rsid w:val="0049014D"/>
    <w:rsid w:val="0049018D"/>
    <w:rsid w:val="004901C3"/>
    <w:rsid w:val="0049020D"/>
    <w:rsid w:val="00490211"/>
    <w:rsid w:val="00490267"/>
    <w:rsid w:val="00490287"/>
    <w:rsid w:val="004902D5"/>
    <w:rsid w:val="0049030B"/>
    <w:rsid w:val="0049039E"/>
    <w:rsid w:val="0049040B"/>
    <w:rsid w:val="0049042E"/>
    <w:rsid w:val="00490443"/>
    <w:rsid w:val="00490451"/>
    <w:rsid w:val="004904AF"/>
    <w:rsid w:val="004904EA"/>
    <w:rsid w:val="004905FF"/>
    <w:rsid w:val="0049071B"/>
    <w:rsid w:val="0049073D"/>
    <w:rsid w:val="0049077B"/>
    <w:rsid w:val="0049083F"/>
    <w:rsid w:val="00490849"/>
    <w:rsid w:val="004908A6"/>
    <w:rsid w:val="00490964"/>
    <w:rsid w:val="004909B4"/>
    <w:rsid w:val="00490A2C"/>
    <w:rsid w:val="00490A37"/>
    <w:rsid w:val="00490B17"/>
    <w:rsid w:val="00490C25"/>
    <w:rsid w:val="00490C7A"/>
    <w:rsid w:val="00490CFF"/>
    <w:rsid w:val="00490D4D"/>
    <w:rsid w:val="00490DBF"/>
    <w:rsid w:val="00490E02"/>
    <w:rsid w:val="00490E29"/>
    <w:rsid w:val="00490EB6"/>
    <w:rsid w:val="00490EE8"/>
    <w:rsid w:val="00490EF7"/>
    <w:rsid w:val="0049101A"/>
    <w:rsid w:val="00491034"/>
    <w:rsid w:val="00491037"/>
    <w:rsid w:val="0049103B"/>
    <w:rsid w:val="0049108C"/>
    <w:rsid w:val="004910E4"/>
    <w:rsid w:val="004910FE"/>
    <w:rsid w:val="004911E0"/>
    <w:rsid w:val="0049120B"/>
    <w:rsid w:val="00491286"/>
    <w:rsid w:val="004913B5"/>
    <w:rsid w:val="004913B8"/>
    <w:rsid w:val="004913CE"/>
    <w:rsid w:val="00491412"/>
    <w:rsid w:val="004914F3"/>
    <w:rsid w:val="00491593"/>
    <w:rsid w:val="004915D9"/>
    <w:rsid w:val="004916BC"/>
    <w:rsid w:val="0049179A"/>
    <w:rsid w:val="004917B9"/>
    <w:rsid w:val="004917D9"/>
    <w:rsid w:val="00491804"/>
    <w:rsid w:val="00491820"/>
    <w:rsid w:val="00491836"/>
    <w:rsid w:val="00491852"/>
    <w:rsid w:val="0049187D"/>
    <w:rsid w:val="004918A6"/>
    <w:rsid w:val="004918B9"/>
    <w:rsid w:val="004918CF"/>
    <w:rsid w:val="0049195B"/>
    <w:rsid w:val="00491962"/>
    <w:rsid w:val="0049197F"/>
    <w:rsid w:val="004919AF"/>
    <w:rsid w:val="004919CB"/>
    <w:rsid w:val="00491A36"/>
    <w:rsid w:val="00491A85"/>
    <w:rsid w:val="00491B02"/>
    <w:rsid w:val="00491B75"/>
    <w:rsid w:val="00491BA4"/>
    <w:rsid w:val="00491BBB"/>
    <w:rsid w:val="00491C49"/>
    <w:rsid w:val="00491CA0"/>
    <w:rsid w:val="00491CFF"/>
    <w:rsid w:val="00491DBC"/>
    <w:rsid w:val="00491E09"/>
    <w:rsid w:val="00491E48"/>
    <w:rsid w:val="00491E84"/>
    <w:rsid w:val="00491E9B"/>
    <w:rsid w:val="00491ECC"/>
    <w:rsid w:val="00491F45"/>
    <w:rsid w:val="00491F49"/>
    <w:rsid w:val="00491F4A"/>
    <w:rsid w:val="00491FC8"/>
    <w:rsid w:val="0049203E"/>
    <w:rsid w:val="004920D0"/>
    <w:rsid w:val="0049210B"/>
    <w:rsid w:val="004921C7"/>
    <w:rsid w:val="004922BB"/>
    <w:rsid w:val="004922C1"/>
    <w:rsid w:val="00492346"/>
    <w:rsid w:val="004923B8"/>
    <w:rsid w:val="0049240D"/>
    <w:rsid w:val="0049248C"/>
    <w:rsid w:val="00492651"/>
    <w:rsid w:val="004926C8"/>
    <w:rsid w:val="0049272F"/>
    <w:rsid w:val="0049277D"/>
    <w:rsid w:val="004927A3"/>
    <w:rsid w:val="004927F7"/>
    <w:rsid w:val="0049282D"/>
    <w:rsid w:val="0049284F"/>
    <w:rsid w:val="00492898"/>
    <w:rsid w:val="0049296B"/>
    <w:rsid w:val="004929C0"/>
    <w:rsid w:val="00492A4F"/>
    <w:rsid w:val="00492A54"/>
    <w:rsid w:val="00492B04"/>
    <w:rsid w:val="00492B3E"/>
    <w:rsid w:val="00492BAA"/>
    <w:rsid w:val="00492BB4"/>
    <w:rsid w:val="00492BFA"/>
    <w:rsid w:val="00492C15"/>
    <w:rsid w:val="00492C63"/>
    <w:rsid w:val="00492CC9"/>
    <w:rsid w:val="00492DFD"/>
    <w:rsid w:val="00492E17"/>
    <w:rsid w:val="00492E72"/>
    <w:rsid w:val="00492E88"/>
    <w:rsid w:val="00492EA4"/>
    <w:rsid w:val="00492EC1"/>
    <w:rsid w:val="00492F0F"/>
    <w:rsid w:val="00492F47"/>
    <w:rsid w:val="00492F88"/>
    <w:rsid w:val="00492FC2"/>
    <w:rsid w:val="0049302A"/>
    <w:rsid w:val="0049321F"/>
    <w:rsid w:val="00493249"/>
    <w:rsid w:val="00493263"/>
    <w:rsid w:val="0049329E"/>
    <w:rsid w:val="004932BD"/>
    <w:rsid w:val="004932F3"/>
    <w:rsid w:val="00493336"/>
    <w:rsid w:val="004933A0"/>
    <w:rsid w:val="00493451"/>
    <w:rsid w:val="00493452"/>
    <w:rsid w:val="00493489"/>
    <w:rsid w:val="004934BC"/>
    <w:rsid w:val="004934F3"/>
    <w:rsid w:val="0049352E"/>
    <w:rsid w:val="00493597"/>
    <w:rsid w:val="004935A3"/>
    <w:rsid w:val="004935AB"/>
    <w:rsid w:val="004936C6"/>
    <w:rsid w:val="00493706"/>
    <w:rsid w:val="00493787"/>
    <w:rsid w:val="004937BE"/>
    <w:rsid w:val="00493892"/>
    <w:rsid w:val="004938A3"/>
    <w:rsid w:val="004938D1"/>
    <w:rsid w:val="004938D2"/>
    <w:rsid w:val="004938E9"/>
    <w:rsid w:val="00493910"/>
    <w:rsid w:val="0049397F"/>
    <w:rsid w:val="004939C3"/>
    <w:rsid w:val="00493A69"/>
    <w:rsid w:val="00493B19"/>
    <w:rsid w:val="00493B6E"/>
    <w:rsid w:val="00493B82"/>
    <w:rsid w:val="00493B94"/>
    <w:rsid w:val="00493B9A"/>
    <w:rsid w:val="00493BDB"/>
    <w:rsid w:val="00493BF5"/>
    <w:rsid w:val="00493C08"/>
    <w:rsid w:val="00493C0C"/>
    <w:rsid w:val="00493C6B"/>
    <w:rsid w:val="00493CA0"/>
    <w:rsid w:val="00493CAF"/>
    <w:rsid w:val="00493CC8"/>
    <w:rsid w:val="00493D2D"/>
    <w:rsid w:val="00493D6F"/>
    <w:rsid w:val="00493D9D"/>
    <w:rsid w:val="00493EBF"/>
    <w:rsid w:val="00493F43"/>
    <w:rsid w:val="00493FB6"/>
    <w:rsid w:val="00494042"/>
    <w:rsid w:val="00494065"/>
    <w:rsid w:val="004940B4"/>
    <w:rsid w:val="004940FA"/>
    <w:rsid w:val="00494108"/>
    <w:rsid w:val="00494137"/>
    <w:rsid w:val="00494153"/>
    <w:rsid w:val="00494169"/>
    <w:rsid w:val="00494181"/>
    <w:rsid w:val="0049418D"/>
    <w:rsid w:val="004942B4"/>
    <w:rsid w:val="00494441"/>
    <w:rsid w:val="004944C6"/>
    <w:rsid w:val="004944FF"/>
    <w:rsid w:val="00494549"/>
    <w:rsid w:val="0049457D"/>
    <w:rsid w:val="004945DA"/>
    <w:rsid w:val="004945F6"/>
    <w:rsid w:val="00494634"/>
    <w:rsid w:val="00494687"/>
    <w:rsid w:val="004946DD"/>
    <w:rsid w:val="00494754"/>
    <w:rsid w:val="00494776"/>
    <w:rsid w:val="00494779"/>
    <w:rsid w:val="00494795"/>
    <w:rsid w:val="004947C6"/>
    <w:rsid w:val="0049480E"/>
    <w:rsid w:val="004948F3"/>
    <w:rsid w:val="00494905"/>
    <w:rsid w:val="00494993"/>
    <w:rsid w:val="00494AE5"/>
    <w:rsid w:val="00494B0C"/>
    <w:rsid w:val="00494BF5"/>
    <w:rsid w:val="00494C29"/>
    <w:rsid w:val="00494C5C"/>
    <w:rsid w:val="00494C99"/>
    <w:rsid w:val="00494CA2"/>
    <w:rsid w:val="00494CCE"/>
    <w:rsid w:val="00494CD2"/>
    <w:rsid w:val="00494DF7"/>
    <w:rsid w:val="00494E0F"/>
    <w:rsid w:val="00494E1D"/>
    <w:rsid w:val="00494E70"/>
    <w:rsid w:val="0049516E"/>
    <w:rsid w:val="00495173"/>
    <w:rsid w:val="00495198"/>
    <w:rsid w:val="0049519A"/>
    <w:rsid w:val="004951A5"/>
    <w:rsid w:val="0049521D"/>
    <w:rsid w:val="00495236"/>
    <w:rsid w:val="00495272"/>
    <w:rsid w:val="004952C8"/>
    <w:rsid w:val="004952D5"/>
    <w:rsid w:val="0049532F"/>
    <w:rsid w:val="00495357"/>
    <w:rsid w:val="00495380"/>
    <w:rsid w:val="004953B9"/>
    <w:rsid w:val="0049543D"/>
    <w:rsid w:val="0049543E"/>
    <w:rsid w:val="0049549E"/>
    <w:rsid w:val="0049554F"/>
    <w:rsid w:val="004955D0"/>
    <w:rsid w:val="004955D8"/>
    <w:rsid w:val="00495631"/>
    <w:rsid w:val="0049567C"/>
    <w:rsid w:val="0049568A"/>
    <w:rsid w:val="0049569F"/>
    <w:rsid w:val="00495729"/>
    <w:rsid w:val="004957A4"/>
    <w:rsid w:val="004957B0"/>
    <w:rsid w:val="0049581D"/>
    <w:rsid w:val="00495865"/>
    <w:rsid w:val="00495880"/>
    <w:rsid w:val="004958C7"/>
    <w:rsid w:val="00495946"/>
    <w:rsid w:val="004959F5"/>
    <w:rsid w:val="00495AC5"/>
    <w:rsid w:val="00495ADC"/>
    <w:rsid w:val="00495AFF"/>
    <w:rsid w:val="00495BCB"/>
    <w:rsid w:val="00495C18"/>
    <w:rsid w:val="00495C5D"/>
    <w:rsid w:val="00495DB5"/>
    <w:rsid w:val="00495DE9"/>
    <w:rsid w:val="00495E0C"/>
    <w:rsid w:val="00495E33"/>
    <w:rsid w:val="00495F02"/>
    <w:rsid w:val="00495F41"/>
    <w:rsid w:val="00495FFC"/>
    <w:rsid w:val="00496029"/>
    <w:rsid w:val="0049606E"/>
    <w:rsid w:val="0049608D"/>
    <w:rsid w:val="004960AD"/>
    <w:rsid w:val="004960AF"/>
    <w:rsid w:val="004960B7"/>
    <w:rsid w:val="004960C1"/>
    <w:rsid w:val="004960E1"/>
    <w:rsid w:val="004961BB"/>
    <w:rsid w:val="004961BF"/>
    <w:rsid w:val="0049628F"/>
    <w:rsid w:val="00496309"/>
    <w:rsid w:val="00496333"/>
    <w:rsid w:val="00496347"/>
    <w:rsid w:val="004963D6"/>
    <w:rsid w:val="004963DC"/>
    <w:rsid w:val="004963FF"/>
    <w:rsid w:val="0049642F"/>
    <w:rsid w:val="00496448"/>
    <w:rsid w:val="0049645D"/>
    <w:rsid w:val="004965BA"/>
    <w:rsid w:val="00496614"/>
    <w:rsid w:val="004966B0"/>
    <w:rsid w:val="004966C1"/>
    <w:rsid w:val="004967C5"/>
    <w:rsid w:val="004968A1"/>
    <w:rsid w:val="004968AD"/>
    <w:rsid w:val="00496902"/>
    <w:rsid w:val="00496936"/>
    <w:rsid w:val="0049693C"/>
    <w:rsid w:val="004969A7"/>
    <w:rsid w:val="004969CD"/>
    <w:rsid w:val="00496A22"/>
    <w:rsid w:val="00496ABF"/>
    <w:rsid w:val="00496B38"/>
    <w:rsid w:val="00496B6A"/>
    <w:rsid w:val="00496BBF"/>
    <w:rsid w:val="00496C26"/>
    <w:rsid w:val="00496C44"/>
    <w:rsid w:val="00496C4E"/>
    <w:rsid w:val="00496CCF"/>
    <w:rsid w:val="00496D32"/>
    <w:rsid w:val="00496D3C"/>
    <w:rsid w:val="00496D45"/>
    <w:rsid w:val="00496DD8"/>
    <w:rsid w:val="00496DE2"/>
    <w:rsid w:val="00496E3E"/>
    <w:rsid w:val="00496E86"/>
    <w:rsid w:val="00496EEC"/>
    <w:rsid w:val="00496F11"/>
    <w:rsid w:val="00496F9A"/>
    <w:rsid w:val="00496FA9"/>
    <w:rsid w:val="00496FE9"/>
    <w:rsid w:val="00496FFD"/>
    <w:rsid w:val="00497001"/>
    <w:rsid w:val="00497004"/>
    <w:rsid w:val="0049703F"/>
    <w:rsid w:val="00497043"/>
    <w:rsid w:val="00497064"/>
    <w:rsid w:val="00497097"/>
    <w:rsid w:val="00497124"/>
    <w:rsid w:val="00497126"/>
    <w:rsid w:val="004971B3"/>
    <w:rsid w:val="004971E5"/>
    <w:rsid w:val="00497204"/>
    <w:rsid w:val="00497216"/>
    <w:rsid w:val="00497367"/>
    <w:rsid w:val="004974C6"/>
    <w:rsid w:val="004974CA"/>
    <w:rsid w:val="004975A0"/>
    <w:rsid w:val="00497620"/>
    <w:rsid w:val="00497681"/>
    <w:rsid w:val="0049768B"/>
    <w:rsid w:val="00497693"/>
    <w:rsid w:val="004976A7"/>
    <w:rsid w:val="004976CF"/>
    <w:rsid w:val="004976F7"/>
    <w:rsid w:val="0049771C"/>
    <w:rsid w:val="0049773E"/>
    <w:rsid w:val="00497764"/>
    <w:rsid w:val="0049776E"/>
    <w:rsid w:val="0049779F"/>
    <w:rsid w:val="004977D9"/>
    <w:rsid w:val="0049784A"/>
    <w:rsid w:val="004978DC"/>
    <w:rsid w:val="00497969"/>
    <w:rsid w:val="00497A33"/>
    <w:rsid w:val="00497AB3"/>
    <w:rsid w:val="00497AE1"/>
    <w:rsid w:val="00497B27"/>
    <w:rsid w:val="00497B56"/>
    <w:rsid w:val="00497BC4"/>
    <w:rsid w:val="00497BC8"/>
    <w:rsid w:val="00497C01"/>
    <w:rsid w:val="00497C25"/>
    <w:rsid w:val="00497C8F"/>
    <w:rsid w:val="00497C91"/>
    <w:rsid w:val="00497C94"/>
    <w:rsid w:val="00497D58"/>
    <w:rsid w:val="00497D5E"/>
    <w:rsid w:val="00497D8D"/>
    <w:rsid w:val="00497DD1"/>
    <w:rsid w:val="00497E47"/>
    <w:rsid w:val="00497EC0"/>
    <w:rsid w:val="00497F3B"/>
    <w:rsid w:val="00497FE7"/>
    <w:rsid w:val="004A002F"/>
    <w:rsid w:val="004A0085"/>
    <w:rsid w:val="004A0099"/>
    <w:rsid w:val="004A00A2"/>
    <w:rsid w:val="004A00CD"/>
    <w:rsid w:val="004A015A"/>
    <w:rsid w:val="004A02FF"/>
    <w:rsid w:val="004A0479"/>
    <w:rsid w:val="004A04A9"/>
    <w:rsid w:val="004A0518"/>
    <w:rsid w:val="004A06EC"/>
    <w:rsid w:val="004A0742"/>
    <w:rsid w:val="004A0782"/>
    <w:rsid w:val="004A0794"/>
    <w:rsid w:val="004A089A"/>
    <w:rsid w:val="004A08AA"/>
    <w:rsid w:val="004A08DD"/>
    <w:rsid w:val="004A0996"/>
    <w:rsid w:val="004A09DF"/>
    <w:rsid w:val="004A09ED"/>
    <w:rsid w:val="004A0A8D"/>
    <w:rsid w:val="004A0B0F"/>
    <w:rsid w:val="004A0B12"/>
    <w:rsid w:val="004A0B7D"/>
    <w:rsid w:val="004A0BD2"/>
    <w:rsid w:val="004A0BF7"/>
    <w:rsid w:val="004A0C0B"/>
    <w:rsid w:val="004A0CC1"/>
    <w:rsid w:val="004A0CC7"/>
    <w:rsid w:val="004A0CDE"/>
    <w:rsid w:val="004A0DB9"/>
    <w:rsid w:val="004A0E3D"/>
    <w:rsid w:val="004A0EE7"/>
    <w:rsid w:val="004A0F17"/>
    <w:rsid w:val="004A0F19"/>
    <w:rsid w:val="004A0F36"/>
    <w:rsid w:val="004A0F47"/>
    <w:rsid w:val="004A0F76"/>
    <w:rsid w:val="004A0F9F"/>
    <w:rsid w:val="004A0FCE"/>
    <w:rsid w:val="004A10A9"/>
    <w:rsid w:val="004A1112"/>
    <w:rsid w:val="004A1153"/>
    <w:rsid w:val="004A1155"/>
    <w:rsid w:val="004A1156"/>
    <w:rsid w:val="004A1162"/>
    <w:rsid w:val="004A1175"/>
    <w:rsid w:val="004A1251"/>
    <w:rsid w:val="004A13C8"/>
    <w:rsid w:val="004A1407"/>
    <w:rsid w:val="004A142F"/>
    <w:rsid w:val="004A1430"/>
    <w:rsid w:val="004A1446"/>
    <w:rsid w:val="004A147A"/>
    <w:rsid w:val="004A1503"/>
    <w:rsid w:val="004A150A"/>
    <w:rsid w:val="004A1615"/>
    <w:rsid w:val="004A1655"/>
    <w:rsid w:val="004A1656"/>
    <w:rsid w:val="004A1659"/>
    <w:rsid w:val="004A1661"/>
    <w:rsid w:val="004A1663"/>
    <w:rsid w:val="004A1686"/>
    <w:rsid w:val="004A1691"/>
    <w:rsid w:val="004A16D2"/>
    <w:rsid w:val="004A1705"/>
    <w:rsid w:val="004A175E"/>
    <w:rsid w:val="004A17A5"/>
    <w:rsid w:val="004A17A8"/>
    <w:rsid w:val="004A1857"/>
    <w:rsid w:val="004A1942"/>
    <w:rsid w:val="004A19A5"/>
    <w:rsid w:val="004A1A46"/>
    <w:rsid w:val="004A1A4E"/>
    <w:rsid w:val="004A1A55"/>
    <w:rsid w:val="004A1B75"/>
    <w:rsid w:val="004A1B9B"/>
    <w:rsid w:val="004A1BEB"/>
    <w:rsid w:val="004A1BFD"/>
    <w:rsid w:val="004A1C76"/>
    <w:rsid w:val="004A1C7B"/>
    <w:rsid w:val="004A1D99"/>
    <w:rsid w:val="004A1D9D"/>
    <w:rsid w:val="004A1D9E"/>
    <w:rsid w:val="004A1E25"/>
    <w:rsid w:val="004A1EA9"/>
    <w:rsid w:val="004A1EE2"/>
    <w:rsid w:val="004A1EF7"/>
    <w:rsid w:val="004A1FAB"/>
    <w:rsid w:val="004A1FB3"/>
    <w:rsid w:val="004A1FD6"/>
    <w:rsid w:val="004A200F"/>
    <w:rsid w:val="004A20C1"/>
    <w:rsid w:val="004A21C2"/>
    <w:rsid w:val="004A2245"/>
    <w:rsid w:val="004A2318"/>
    <w:rsid w:val="004A2370"/>
    <w:rsid w:val="004A237A"/>
    <w:rsid w:val="004A2473"/>
    <w:rsid w:val="004A254F"/>
    <w:rsid w:val="004A256B"/>
    <w:rsid w:val="004A2582"/>
    <w:rsid w:val="004A25A9"/>
    <w:rsid w:val="004A25D2"/>
    <w:rsid w:val="004A2628"/>
    <w:rsid w:val="004A2647"/>
    <w:rsid w:val="004A2710"/>
    <w:rsid w:val="004A27CB"/>
    <w:rsid w:val="004A27D0"/>
    <w:rsid w:val="004A27D3"/>
    <w:rsid w:val="004A27F9"/>
    <w:rsid w:val="004A2861"/>
    <w:rsid w:val="004A28D2"/>
    <w:rsid w:val="004A28E2"/>
    <w:rsid w:val="004A2982"/>
    <w:rsid w:val="004A29D8"/>
    <w:rsid w:val="004A2A30"/>
    <w:rsid w:val="004A2AAF"/>
    <w:rsid w:val="004A2B19"/>
    <w:rsid w:val="004A2B7A"/>
    <w:rsid w:val="004A2BE0"/>
    <w:rsid w:val="004A2C13"/>
    <w:rsid w:val="004A2C1E"/>
    <w:rsid w:val="004A2C73"/>
    <w:rsid w:val="004A2CB8"/>
    <w:rsid w:val="004A2CBE"/>
    <w:rsid w:val="004A2D1F"/>
    <w:rsid w:val="004A2D8F"/>
    <w:rsid w:val="004A2DC8"/>
    <w:rsid w:val="004A2DEA"/>
    <w:rsid w:val="004A2FB3"/>
    <w:rsid w:val="004A3016"/>
    <w:rsid w:val="004A3057"/>
    <w:rsid w:val="004A30B2"/>
    <w:rsid w:val="004A30D9"/>
    <w:rsid w:val="004A3113"/>
    <w:rsid w:val="004A3224"/>
    <w:rsid w:val="004A3240"/>
    <w:rsid w:val="004A327A"/>
    <w:rsid w:val="004A32C1"/>
    <w:rsid w:val="004A32D2"/>
    <w:rsid w:val="004A333B"/>
    <w:rsid w:val="004A334E"/>
    <w:rsid w:val="004A3380"/>
    <w:rsid w:val="004A33F8"/>
    <w:rsid w:val="004A344E"/>
    <w:rsid w:val="004A346C"/>
    <w:rsid w:val="004A3554"/>
    <w:rsid w:val="004A355B"/>
    <w:rsid w:val="004A35A3"/>
    <w:rsid w:val="004A35CB"/>
    <w:rsid w:val="004A36D1"/>
    <w:rsid w:val="004A36D8"/>
    <w:rsid w:val="004A36F9"/>
    <w:rsid w:val="004A37C1"/>
    <w:rsid w:val="004A37CD"/>
    <w:rsid w:val="004A37F6"/>
    <w:rsid w:val="004A3883"/>
    <w:rsid w:val="004A3952"/>
    <w:rsid w:val="004A39B7"/>
    <w:rsid w:val="004A39C0"/>
    <w:rsid w:val="004A39C1"/>
    <w:rsid w:val="004A3A01"/>
    <w:rsid w:val="004A3A64"/>
    <w:rsid w:val="004A3BBF"/>
    <w:rsid w:val="004A3C0C"/>
    <w:rsid w:val="004A3CF3"/>
    <w:rsid w:val="004A3DCC"/>
    <w:rsid w:val="004A3DE1"/>
    <w:rsid w:val="004A3DE2"/>
    <w:rsid w:val="004A3E2D"/>
    <w:rsid w:val="004A3E5E"/>
    <w:rsid w:val="004A3EBB"/>
    <w:rsid w:val="004A3FF7"/>
    <w:rsid w:val="004A4031"/>
    <w:rsid w:val="004A4043"/>
    <w:rsid w:val="004A4053"/>
    <w:rsid w:val="004A409D"/>
    <w:rsid w:val="004A40AA"/>
    <w:rsid w:val="004A4100"/>
    <w:rsid w:val="004A41FB"/>
    <w:rsid w:val="004A4218"/>
    <w:rsid w:val="004A4264"/>
    <w:rsid w:val="004A426C"/>
    <w:rsid w:val="004A42B2"/>
    <w:rsid w:val="004A42C0"/>
    <w:rsid w:val="004A42E9"/>
    <w:rsid w:val="004A42F6"/>
    <w:rsid w:val="004A4373"/>
    <w:rsid w:val="004A44AD"/>
    <w:rsid w:val="004A44EB"/>
    <w:rsid w:val="004A4532"/>
    <w:rsid w:val="004A46C2"/>
    <w:rsid w:val="004A4716"/>
    <w:rsid w:val="004A47CA"/>
    <w:rsid w:val="004A47CB"/>
    <w:rsid w:val="004A47E8"/>
    <w:rsid w:val="004A4816"/>
    <w:rsid w:val="004A4843"/>
    <w:rsid w:val="004A48B5"/>
    <w:rsid w:val="004A48BE"/>
    <w:rsid w:val="004A491F"/>
    <w:rsid w:val="004A4920"/>
    <w:rsid w:val="004A49B0"/>
    <w:rsid w:val="004A4A67"/>
    <w:rsid w:val="004A4AA6"/>
    <w:rsid w:val="004A4AAC"/>
    <w:rsid w:val="004A4BA5"/>
    <w:rsid w:val="004A4C2B"/>
    <w:rsid w:val="004A4C79"/>
    <w:rsid w:val="004A4D29"/>
    <w:rsid w:val="004A4DA8"/>
    <w:rsid w:val="004A4DDE"/>
    <w:rsid w:val="004A4E54"/>
    <w:rsid w:val="004A4F21"/>
    <w:rsid w:val="004A4F28"/>
    <w:rsid w:val="004A4F6A"/>
    <w:rsid w:val="004A4F99"/>
    <w:rsid w:val="004A4FA5"/>
    <w:rsid w:val="004A4FE8"/>
    <w:rsid w:val="004A509F"/>
    <w:rsid w:val="004A514A"/>
    <w:rsid w:val="004A5168"/>
    <w:rsid w:val="004A51FD"/>
    <w:rsid w:val="004A524D"/>
    <w:rsid w:val="004A528A"/>
    <w:rsid w:val="004A52D3"/>
    <w:rsid w:val="004A530C"/>
    <w:rsid w:val="004A53CB"/>
    <w:rsid w:val="004A540A"/>
    <w:rsid w:val="004A540D"/>
    <w:rsid w:val="004A5446"/>
    <w:rsid w:val="004A54EF"/>
    <w:rsid w:val="004A5506"/>
    <w:rsid w:val="004A55BD"/>
    <w:rsid w:val="004A55C5"/>
    <w:rsid w:val="004A55FC"/>
    <w:rsid w:val="004A5679"/>
    <w:rsid w:val="004A5710"/>
    <w:rsid w:val="004A5717"/>
    <w:rsid w:val="004A5776"/>
    <w:rsid w:val="004A57EE"/>
    <w:rsid w:val="004A5850"/>
    <w:rsid w:val="004A58DD"/>
    <w:rsid w:val="004A58FB"/>
    <w:rsid w:val="004A5987"/>
    <w:rsid w:val="004A59AA"/>
    <w:rsid w:val="004A59DF"/>
    <w:rsid w:val="004A59FF"/>
    <w:rsid w:val="004A5A59"/>
    <w:rsid w:val="004A5A7E"/>
    <w:rsid w:val="004A5B25"/>
    <w:rsid w:val="004A5B43"/>
    <w:rsid w:val="004A5B4D"/>
    <w:rsid w:val="004A5B53"/>
    <w:rsid w:val="004A5BE0"/>
    <w:rsid w:val="004A5BFD"/>
    <w:rsid w:val="004A5C88"/>
    <w:rsid w:val="004A5CD8"/>
    <w:rsid w:val="004A5D48"/>
    <w:rsid w:val="004A5E9D"/>
    <w:rsid w:val="004A5F1D"/>
    <w:rsid w:val="004A5F2F"/>
    <w:rsid w:val="004A5F67"/>
    <w:rsid w:val="004A5FD1"/>
    <w:rsid w:val="004A6081"/>
    <w:rsid w:val="004A60AA"/>
    <w:rsid w:val="004A6116"/>
    <w:rsid w:val="004A61C3"/>
    <w:rsid w:val="004A621F"/>
    <w:rsid w:val="004A6275"/>
    <w:rsid w:val="004A63A5"/>
    <w:rsid w:val="004A647A"/>
    <w:rsid w:val="004A6493"/>
    <w:rsid w:val="004A64A7"/>
    <w:rsid w:val="004A6550"/>
    <w:rsid w:val="004A6574"/>
    <w:rsid w:val="004A65B3"/>
    <w:rsid w:val="004A6614"/>
    <w:rsid w:val="004A66A4"/>
    <w:rsid w:val="004A66B6"/>
    <w:rsid w:val="004A66E5"/>
    <w:rsid w:val="004A670B"/>
    <w:rsid w:val="004A6716"/>
    <w:rsid w:val="004A6747"/>
    <w:rsid w:val="004A6816"/>
    <w:rsid w:val="004A684B"/>
    <w:rsid w:val="004A6908"/>
    <w:rsid w:val="004A6982"/>
    <w:rsid w:val="004A6A41"/>
    <w:rsid w:val="004A6AB1"/>
    <w:rsid w:val="004A6ABB"/>
    <w:rsid w:val="004A6B0A"/>
    <w:rsid w:val="004A6B33"/>
    <w:rsid w:val="004A6B55"/>
    <w:rsid w:val="004A6B7B"/>
    <w:rsid w:val="004A6BE3"/>
    <w:rsid w:val="004A6C81"/>
    <w:rsid w:val="004A6CA3"/>
    <w:rsid w:val="004A6CBB"/>
    <w:rsid w:val="004A6CE1"/>
    <w:rsid w:val="004A6D00"/>
    <w:rsid w:val="004A6DF4"/>
    <w:rsid w:val="004A6E23"/>
    <w:rsid w:val="004A6E8E"/>
    <w:rsid w:val="004A6EAB"/>
    <w:rsid w:val="004A6EE8"/>
    <w:rsid w:val="004A6F34"/>
    <w:rsid w:val="004A6F38"/>
    <w:rsid w:val="004A6F6A"/>
    <w:rsid w:val="004A6F79"/>
    <w:rsid w:val="004A6FA8"/>
    <w:rsid w:val="004A7009"/>
    <w:rsid w:val="004A7059"/>
    <w:rsid w:val="004A706D"/>
    <w:rsid w:val="004A708B"/>
    <w:rsid w:val="004A70FF"/>
    <w:rsid w:val="004A7103"/>
    <w:rsid w:val="004A7197"/>
    <w:rsid w:val="004A71C6"/>
    <w:rsid w:val="004A71DD"/>
    <w:rsid w:val="004A71E9"/>
    <w:rsid w:val="004A71F8"/>
    <w:rsid w:val="004A728A"/>
    <w:rsid w:val="004A72F3"/>
    <w:rsid w:val="004A7307"/>
    <w:rsid w:val="004A735C"/>
    <w:rsid w:val="004A7361"/>
    <w:rsid w:val="004A73BB"/>
    <w:rsid w:val="004A73D4"/>
    <w:rsid w:val="004A73D8"/>
    <w:rsid w:val="004A7445"/>
    <w:rsid w:val="004A7446"/>
    <w:rsid w:val="004A7478"/>
    <w:rsid w:val="004A7489"/>
    <w:rsid w:val="004A74C8"/>
    <w:rsid w:val="004A74D6"/>
    <w:rsid w:val="004A759E"/>
    <w:rsid w:val="004A75DB"/>
    <w:rsid w:val="004A7697"/>
    <w:rsid w:val="004A77EE"/>
    <w:rsid w:val="004A7812"/>
    <w:rsid w:val="004A7830"/>
    <w:rsid w:val="004A7838"/>
    <w:rsid w:val="004A783C"/>
    <w:rsid w:val="004A787C"/>
    <w:rsid w:val="004A7885"/>
    <w:rsid w:val="004A7898"/>
    <w:rsid w:val="004A794F"/>
    <w:rsid w:val="004A797F"/>
    <w:rsid w:val="004A7A2E"/>
    <w:rsid w:val="004A7A38"/>
    <w:rsid w:val="004A7A89"/>
    <w:rsid w:val="004A7B06"/>
    <w:rsid w:val="004A7B86"/>
    <w:rsid w:val="004A7BAA"/>
    <w:rsid w:val="004A7CBD"/>
    <w:rsid w:val="004A7CD2"/>
    <w:rsid w:val="004A7D5D"/>
    <w:rsid w:val="004A7D5F"/>
    <w:rsid w:val="004A7E5F"/>
    <w:rsid w:val="004A7E87"/>
    <w:rsid w:val="004A7ECD"/>
    <w:rsid w:val="004A7EEA"/>
    <w:rsid w:val="004A7EEB"/>
    <w:rsid w:val="004A7F2E"/>
    <w:rsid w:val="004A7F37"/>
    <w:rsid w:val="004A7F52"/>
    <w:rsid w:val="004A7FC0"/>
    <w:rsid w:val="004A7FCF"/>
    <w:rsid w:val="004B004F"/>
    <w:rsid w:val="004B0074"/>
    <w:rsid w:val="004B0083"/>
    <w:rsid w:val="004B00F9"/>
    <w:rsid w:val="004B0235"/>
    <w:rsid w:val="004B0261"/>
    <w:rsid w:val="004B0341"/>
    <w:rsid w:val="004B0395"/>
    <w:rsid w:val="004B03B4"/>
    <w:rsid w:val="004B041F"/>
    <w:rsid w:val="004B0455"/>
    <w:rsid w:val="004B04DC"/>
    <w:rsid w:val="004B05D0"/>
    <w:rsid w:val="004B05DC"/>
    <w:rsid w:val="004B062A"/>
    <w:rsid w:val="004B066E"/>
    <w:rsid w:val="004B067D"/>
    <w:rsid w:val="004B06A4"/>
    <w:rsid w:val="004B0732"/>
    <w:rsid w:val="004B078B"/>
    <w:rsid w:val="004B0791"/>
    <w:rsid w:val="004B080A"/>
    <w:rsid w:val="004B0814"/>
    <w:rsid w:val="004B0834"/>
    <w:rsid w:val="004B0841"/>
    <w:rsid w:val="004B0866"/>
    <w:rsid w:val="004B0923"/>
    <w:rsid w:val="004B09D1"/>
    <w:rsid w:val="004B09F6"/>
    <w:rsid w:val="004B0A60"/>
    <w:rsid w:val="004B0A7A"/>
    <w:rsid w:val="004B0AE6"/>
    <w:rsid w:val="004B0B5D"/>
    <w:rsid w:val="004B0C66"/>
    <w:rsid w:val="004B0D37"/>
    <w:rsid w:val="004B0D53"/>
    <w:rsid w:val="004B0DDC"/>
    <w:rsid w:val="004B0E2D"/>
    <w:rsid w:val="004B0E55"/>
    <w:rsid w:val="004B0E70"/>
    <w:rsid w:val="004B0ED3"/>
    <w:rsid w:val="004B0FAA"/>
    <w:rsid w:val="004B1021"/>
    <w:rsid w:val="004B1050"/>
    <w:rsid w:val="004B1081"/>
    <w:rsid w:val="004B1097"/>
    <w:rsid w:val="004B112B"/>
    <w:rsid w:val="004B1204"/>
    <w:rsid w:val="004B121B"/>
    <w:rsid w:val="004B1257"/>
    <w:rsid w:val="004B12E7"/>
    <w:rsid w:val="004B1324"/>
    <w:rsid w:val="004B133C"/>
    <w:rsid w:val="004B1388"/>
    <w:rsid w:val="004B13F9"/>
    <w:rsid w:val="004B141C"/>
    <w:rsid w:val="004B1425"/>
    <w:rsid w:val="004B14BE"/>
    <w:rsid w:val="004B14FF"/>
    <w:rsid w:val="004B15C9"/>
    <w:rsid w:val="004B15DE"/>
    <w:rsid w:val="004B17E9"/>
    <w:rsid w:val="004B18BE"/>
    <w:rsid w:val="004B18C8"/>
    <w:rsid w:val="004B194E"/>
    <w:rsid w:val="004B19A7"/>
    <w:rsid w:val="004B1AA6"/>
    <w:rsid w:val="004B1AFC"/>
    <w:rsid w:val="004B1AFD"/>
    <w:rsid w:val="004B1B39"/>
    <w:rsid w:val="004B1BC5"/>
    <w:rsid w:val="004B1C09"/>
    <w:rsid w:val="004B1C3E"/>
    <w:rsid w:val="004B1C74"/>
    <w:rsid w:val="004B1C88"/>
    <w:rsid w:val="004B1C93"/>
    <w:rsid w:val="004B1D6D"/>
    <w:rsid w:val="004B1DB7"/>
    <w:rsid w:val="004B1DF4"/>
    <w:rsid w:val="004B1E72"/>
    <w:rsid w:val="004B1ECF"/>
    <w:rsid w:val="004B1F93"/>
    <w:rsid w:val="004B1F9E"/>
    <w:rsid w:val="004B1FCA"/>
    <w:rsid w:val="004B1FE2"/>
    <w:rsid w:val="004B1FE5"/>
    <w:rsid w:val="004B20F4"/>
    <w:rsid w:val="004B2130"/>
    <w:rsid w:val="004B21CE"/>
    <w:rsid w:val="004B2201"/>
    <w:rsid w:val="004B220F"/>
    <w:rsid w:val="004B2225"/>
    <w:rsid w:val="004B2308"/>
    <w:rsid w:val="004B235A"/>
    <w:rsid w:val="004B23E4"/>
    <w:rsid w:val="004B243C"/>
    <w:rsid w:val="004B2487"/>
    <w:rsid w:val="004B2498"/>
    <w:rsid w:val="004B2503"/>
    <w:rsid w:val="004B2589"/>
    <w:rsid w:val="004B26B0"/>
    <w:rsid w:val="004B26DC"/>
    <w:rsid w:val="004B2725"/>
    <w:rsid w:val="004B27B1"/>
    <w:rsid w:val="004B282A"/>
    <w:rsid w:val="004B28BE"/>
    <w:rsid w:val="004B28E3"/>
    <w:rsid w:val="004B2971"/>
    <w:rsid w:val="004B2976"/>
    <w:rsid w:val="004B2987"/>
    <w:rsid w:val="004B29B4"/>
    <w:rsid w:val="004B29E8"/>
    <w:rsid w:val="004B2A00"/>
    <w:rsid w:val="004B2A4B"/>
    <w:rsid w:val="004B2A5F"/>
    <w:rsid w:val="004B2A88"/>
    <w:rsid w:val="004B2AC9"/>
    <w:rsid w:val="004B2AD4"/>
    <w:rsid w:val="004B2B1E"/>
    <w:rsid w:val="004B2B87"/>
    <w:rsid w:val="004B2BB2"/>
    <w:rsid w:val="004B2BC0"/>
    <w:rsid w:val="004B2CA0"/>
    <w:rsid w:val="004B2DAD"/>
    <w:rsid w:val="004B2DD5"/>
    <w:rsid w:val="004B2EAE"/>
    <w:rsid w:val="004B2F22"/>
    <w:rsid w:val="004B2F49"/>
    <w:rsid w:val="004B2F6B"/>
    <w:rsid w:val="004B2FCD"/>
    <w:rsid w:val="004B3072"/>
    <w:rsid w:val="004B3081"/>
    <w:rsid w:val="004B30A9"/>
    <w:rsid w:val="004B3100"/>
    <w:rsid w:val="004B3116"/>
    <w:rsid w:val="004B3136"/>
    <w:rsid w:val="004B3137"/>
    <w:rsid w:val="004B313D"/>
    <w:rsid w:val="004B3277"/>
    <w:rsid w:val="004B327C"/>
    <w:rsid w:val="004B3286"/>
    <w:rsid w:val="004B32CF"/>
    <w:rsid w:val="004B32E7"/>
    <w:rsid w:val="004B3325"/>
    <w:rsid w:val="004B3339"/>
    <w:rsid w:val="004B336F"/>
    <w:rsid w:val="004B3372"/>
    <w:rsid w:val="004B3505"/>
    <w:rsid w:val="004B357A"/>
    <w:rsid w:val="004B35A6"/>
    <w:rsid w:val="004B362F"/>
    <w:rsid w:val="004B37F6"/>
    <w:rsid w:val="004B38F9"/>
    <w:rsid w:val="004B39BD"/>
    <w:rsid w:val="004B39F7"/>
    <w:rsid w:val="004B3A30"/>
    <w:rsid w:val="004B3A79"/>
    <w:rsid w:val="004B3B42"/>
    <w:rsid w:val="004B3BC7"/>
    <w:rsid w:val="004B3BCE"/>
    <w:rsid w:val="004B3C00"/>
    <w:rsid w:val="004B3D17"/>
    <w:rsid w:val="004B3F09"/>
    <w:rsid w:val="004B3F66"/>
    <w:rsid w:val="004B3F81"/>
    <w:rsid w:val="004B3FBA"/>
    <w:rsid w:val="004B3FCD"/>
    <w:rsid w:val="004B3FCE"/>
    <w:rsid w:val="004B3FEA"/>
    <w:rsid w:val="004B4048"/>
    <w:rsid w:val="004B405B"/>
    <w:rsid w:val="004B40E0"/>
    <w:rsid w:val="004B40E6"/>
    <w:rsid w:val="004B4130"/>
    <w:rsid w:val="004B417D"/>
    <w:rsid w:val="004B41F0"/>
    <w:rsid w:val="004B4213"/>
    <w:rsid w:val="004B422A"/>
    <w:rsid w:val="004B423F"/>
    <w:rsid w:val="004B42EE"/>
    <w:rsid w:val="004B436B"/>
    <w:rsid w:val="004B43DD"/>
    <w:rsid w:val="004B4497"/>
    <w:rsid w:val="004B44EB"/>
    <w:rsid w:val="004B4547"/>
    <w:rsid w:val="004B454B"/>
    <w:rsid w:val="004B455B"/>
    <w:rsid w:val="004B45AC"/>
    <w:rsid w:val="004B45BD"/>
    <w:rsid w:val="004B4666"/>
    <w:rsid w:val="004B47B7"/>
    <w:rsid w:val="004B47D0"/>
    <w:rsid w:val="004B4900"/>
    <w:rsid w:val="004B497B"/>
    <w:rsid w:val="004B49AB"/>
    <w:rsid w:val="004B49D5"/>
    <w:rsid w:val="004B4B4A"/>
    <w:rsid w:val="004B4BDD"/>
    <w:rsid w:val="004B4CDA"/>
    <w:rsid w:val="004B4D30"/>
    <w:rsid w:val="004B4DC7"/>
    <w:rsid w:val="004B4E4F"/>
    <w:rsid w:val="004B4ED3"/>
    <w:rsid w:val="004B4F46"/>
    <w:rsid w:val="004B4F72"/>
    <w:rsid w:val="004B4FAB"/>
    <w:rsid w:val="004B4FBB"/>
    <w:rsid w:val="004B5067"/>
    <w:rsid w:val="004B507F"/>
    <w:rsid w:val="004B508A"/>
    <w:rsid w:val="004B50B7"/>
    <w:rsid w:val="004B50E8"/>
    <w:rsid w:val="004B50EC"/>
    <w:rsid w:val="004B50F5"/>
    <w:rsid w:val="004B512E"/>
    <w:rsid w:val="004B513F"/>
    <w:rsid w:val="004B514F"/>
    <w:rsid w:val="004B516C"/>
    <w:rsid w:val="004B517E"/>
    <w:rsid w:val="004B51C3"/>
    <w:rsid w:val="004B51D0"/>
    <w:rsid w:val="004B51D7"/>
    <w:rsid w:val="004B5237"/>
    <w:rsid w:val="004B52D8"/>
    <w:rsid w:val="004B533A"/>
    <w:rsid w:val="004B55D5"/>
    <w:rsid w:val="004B563A"/>
    <w:rsid w:val="004B56E0"/>
    <w:rsid w:val="004B5749"/>
    <w:rsid w:val="004B581B"/>
    <w:rsid w:val="004B5820"/>
    <w:rsid w:val="004B5865"/>
    <w:rsid w:val="004B58BB"/>
    <w:rsid w:val="004B58CE"/>
    <w:rsid w:val="004B5968"/>
    <w:rsid w:val="004B59A0"/>
    <w:rsid w:val="004B5AC8"/>
    <w:rsid w:val="004B5B2F"/>
    <w:rsid w:val="004B5BCE"/>
    <w:rsid w:val="004B5BFF"/>
    <w:rsid w:val="004B5CC2"/>
    <w:rsid w:val="004B5D83"/>
    <w:rsid w:val="004B5DBA"/>
    <w:rsid w:val="004B5DE6"/>
    <w:rsid w:val="004B5E05"/>
    <w:rsid w:val="004B5EAA"/>
    <w:rsid w:val="004B5F21"/>
    <w:rsid w:val="004B6084"/>
    <w:rsid w:val="004B60BE"/>
    <w:rsid w:val="004B6152"/>
    <w:rsid w:val="004B615C"/>
    <w:rsid w:val="004B61B8"/>
    <w:rsid w:val="004B61DE"/>
    <w:rsid w:val="004B61EF"/>
    <w:rsid w:val="004B61F2"/>
    <w:rsid w:val="004B6203"/>
    <w:rsid w:val="004B6236"/>
    <w:rsid w:val="004B630B"/>
    <w:rsid w:val="004B636B"/>
    <w:rsid w:val="004B6474"/>
    <w:rsid w:val="004B6484"/>
    <w:rsid w:val="004B64D5"/>
    <w:rsid w:val="004B64D8"/>
    <w:rsid w:val="004B6541"/>
    <w:rsid w:val="004B6546"/>
    <w:rsid w:val="004B6552"/>
    <w:rsid w:val="004B6557"/>
    <w:rsid w:val="004B66A8"/>
    <w:rsid w:val="004B66AB"/>
    <w:rsid w:val="004B6753"/>
    <w:rsid w:val="004B6778"/>
    <w:rsid w:val="004B67C3"/>
    <w:rsid w:val="004B67F5"/>
    <w:rsid w:val="004B6830"/>
    <w:rsid w:val="004B6947"/>
    <w:rsid w:val="004B6990"/>
    <w:rsid w:val="004B69B1"/>
    <w:rsid w:val="004B69D7"/>
    <w:rsid w:val="004B69EC"/>
    <w:rsid w:val="004B6A7A"/>
    <w:rsid w:val="004B6B74"/>
    <w:rsid w:val="004B6B95"/>
    <w:rsid w:val="004B6B98"/>
    <w:rsid w:val="004B6C28"/>
    <w:rsid w:val="004B6C9D"/>
    <w:rsid w:val="004B6CB3"/>
    <w:rsid w:val="004B6CC9"/>
    <w:rsid w:val="004B6D3A"/>
    <w:rsid w:val="004B6D6F"/>
    <w:rsid w:val="004B6D96"/>
    <w:rsid w:val="004B6DA8"/>
    <w:rsid w:val="004B6DEA"/>
    <w:rsid w:val="004B6DFE"/>
    <w:rsid w:val="004B6E51"/>
    <w:rsid w:val="004B6F1B"/>
    <w:rsid w:val="004B6FFB"/>
    <w:rsid w:val="004B7058"/>
    <w:rsid w:val="004B706A"/>
    <w:rsid w:val="004B70D9"/>
    <w:rsid w:val="004B7113"/>
    <w:rsid w:val="004B7179"/>
    <w:rsid w:val="004B71CC"/>
    <w:rsid w:val="004B7242"/>
    <w:rsid w:val="004B7280"/>
    <w:rsid w:val="004B7294"/>
    <w:rsid w:val="004B72D3"/>
    <w:rsid w:val="004B72ED"/>
    <w:rsid w:val="004B732C"/>
    <w:rsid w:val="004B73B5"/>
    <w:rsid w:val="004B73C6"/>
    <w:rsid w:val="004B7432"/>
    <w:rsid w:val="004B744D"/>
    <w:rsid w:val="004B7474"/>
    <w:rsid w:val="004B74A1"/>
    <w:rsid w:val="004B74CF"/>
    <w:rsid w:val="004B74EF"/>
    <w:rsid w:val="004B74FD"/>
    <w:rsid w:val="004B7519"/>
    <w:rsid w:val="004B7546"/>
    <w:rsid w:val="004B75B6"/>
    <w:rsid w:val="004B7607"/>
    <w:rsid w:val="004B764D"/>
    <w:rsid w:val="004B7756"/>
    <w:rsid w:val="004B77A8"/>
    <w:rsid w:val="004B791E"/>
    <w:rsid w:val="004B796B"/>
    <w:rsid w:val="004B7980"/>
    <w:rsid w:val="004B79B4"/>
    <w:rsid w:val="004B79C8"/>
    <w:rsid w:val="004B7A52"/>
    <w:rsid w:val="004B7AFA"/>
    <w:rsid w:val="004B7B76"/>
    <w:rsid w:val="004B7BA8"/>
    <w:rsid w:val="004B7BF0"/>
    <w:rsid w:val="004B7C11"/>
    <w:rsid w:val="004B7C52"/>
    <w:rsid w:val="004B7C5E"/>
    <w:rsid w:val="004B7C82"/>
    <w:rsid w:val="004B7CB1"/>
    <w:rsid w:val="004B7CFA"/>
    <w:rsid w:val="004B7D4C"/>
    <w:rsid w:val="004B7DCA"/>
    <w:rsid w:val="004B7E37"/>
    <w:rsid w:val="004B7E4A"/>
    <w:rsid w:val="004B7E7A"/>
    <w:rsid w:val="004B7F44"/>
    <w:rsid w:val="004B7FD1"/>
    <w:rsid w:val="004C004F"/>
    <w:rsid w:val="004C0053"/>
    <w:rsid w:val="004C006B"/>
    <w:rsid w:val="004C01A1"/>
    <w:rsid w:val="004C01A9"/>
    <w:rsid w:val="004C01B3"/>
    <w:rsid w:val="004C01CA"/>
    <w:rsid w:val="004C0201"/>
    <w:rsid w:val="004C024C"/>
    <w:rsid w:val="004C02E9"/>
    <w:rsid w:val="004C0341"/>
    <w:rsid w:val="004C040E"/>
    <w:rsid w:val="004C04C9"/>
    <w:rsid w:val="004C0512"/>
    <w:rsid w:val="004C0514"/>
    <w:rsid w:val="004C052D"/>
    <w:rsid w:val="004C0600"/>
    <w:rsid w:val="004C0701"/>
    <w:rsid w:val="004C0783"/>
    <w:rsid w:val="004C079C"/>
    <w:rsid w:val="004C07D1"/>
    <w:rsid w:val="004C07F7"/>
    <w:rsid w:val="004C087F"/>
    <w:rsid w:val="004C0978"/>
    <w:rsid w:val="004C0998"/>
    <w:rsid w:val="004C0A7A"/>
    <w:rsid w:val="004C0B04"/>
    <w:rsid w:val="004C0BAA"/>
    <w:rsid w:val="004C0BCF"/>
    <w:rsid w:val="004C0C91"/>
    <w:rsid w:val="004C0CBF"/>
    <w:rsid w:val="004C0D22"/>
    <w:rsid w:val="004C0E20"/>
    <w:rsid w:val="004C0EC7"/>
    <w:rsid w:val="004C0F78"/>
    <w:rsid w:val="004C101A"/>
    <w:rsid w:val="004C1021"/>
    <w:rsid w:val="004C105D"/>
    <w:rsid w:val="004C1069"/>
    <w:rsid w:val="004C106C"/>
    <w:rsid w:val="004C1081"/>
    <w:rsid w:val="004C10EE"/>
    <w:rsid w:val="004C10F3"/>
    <w:rsid w:val="004C112C"/>
    <w:rsid w:val="004C1140"/>
    <w:rsid w:val="004C119D"/>
    <w:rsid w:val="004C1238"/>
    <w:rsid w:val="004C12E7"/>
    <w:rsid w:val="004C131C"/>
    <w:rsid w:val="004C134E"/>
    <w:rsid w:val="004C13AC"/>
    <w:rsid w:val="004C1465"/>
    <w:rsid w:val="004C153E"/>
    <w:rsid w:val="004C1551"/>
    <w:rsid w:val="004C1660"/>
    <w:rsid w:val="004C166A"/>
    <w:rsid w:val="004C16B6"/>
    <w:rsid w:val="004C16B9"/>
    <w:rsid w:val="004C16FE"/>
    <w:rsid w:val="004C1782"/>
    <w:rsid w:val="004C17E7"/>
    <w:rsid w:val="004C190C"/>
    <w:rsid w:val="004C1942"/>
    <w:rsid w:val="004C196C"/>
    <w:rsid w:val="004C19C4"/>
    <w:rsid w:val="004C1A66"/>
    <w:rsid w:val="004C1AA3"/>
    <w:rsid w:val="004C1B55"/>
    <w:rsid w:val="004C1B6D"/>
    <w:rsid w:val="004C1BE8"/>
    <w:rsid w:val="004C1BFE"/>
    <w:rsid w:val="004C1CB7"/>
    <w:rsid w:val="004C1CC9"/>
    <w:rsid w:val="004C1D17"/>
    <w:rsid w:val="004C1D23"/>
    <w:rsid w:val="004C1E0F"/>
    <w:rsid w:val="004C1E36"/>
    <w:rsid w:val="004C1E85"/>
    <w:rsid w:val="004C1EC1"/>
    <w:rsid w:val="004C1F0C"/>
    <w:rsid w:val="004C1FCF"/>
    <w:rsid w:val="004C1FF1"/>
    <w:rsid w:val="004C203F"/>
    <w:rsid w:val="004C21BA"/>
    <w:rsid w:val="004C2209"/>
    <w:rsid w:val="004C2242"/>
    <w:rsid w:val="004C224D"/>
    <w:rsid w:val="004C2255"/>
    <w:rsid w:val="004C22B6"/>
    <w:rsid w:val="004C2333"/>
    <w:rsid w:val="004C23DC"/>
    <w:rsid w:val="004C241B"/>
    <w:rsid w:val="004C24E9"/>
    <w:rsid w:val="004C251E"/>
    <w:rsid w:val="004C2538"/>
    <w:rsid w:val="004C253E"/>
    <w:rsid w:val="004C2543"/>
    <w:rsid w:val="004C2583"/>
    <w:rsid w:val="004C258B"/>
    <w:rsid w:val="004C2617"/>
    <w:rsid w:val="004C2635"/>
    <w:rsid w:val="004C26CA"/>
    <w:rsid w:val="004C278C"/>
    <w:rsid w:val="004C2833"/>
    <w:rsid w:val="004C283F"/>
    <w:rsid w:val="004C2933"/>
    <w:rsid w:val="004C29D5"/>
    <w:rsid w:val="004C2A03"/>
    <w:rsid w:val="004C2A10"/>
    <w:rsid w:val="004C2A12"/>
    <w:rsid w:val="004C2A23"/>
    <w:rsid w:val="004C2BAB"/>
    <w:rsid w:val="004C2BC4"/>
    <w:rsid w:val="004C2C60"/>
    <w:rsid w:val="004C2D33"/>
    <w:rsid w:val="004C2D55"/>
    <w:rsid w:val="004C2E6A"/>
    <w:rsid w:val="004C2EA5"/>
    <w:rsid w:val="004C2EF9"/>
    <w:rsid w:val="004C2F38"/>
    <w:rsid w:val="004C2F65"/>
    <w:rsid w:val="004C2FF6"/>
    <w:rsid w:val="004C3119"/>
    <w:rsid w:val="004C3145"/>
    <w:rsid w:val="004C3170"/>
    <w:rsid w:val="004C321E"/>
    <w:rsid w:val="004C3257"/>
    <w:rsid w:val="004C33AF"/>
    <w:rsid w:val="004C33E9"/>
    <w:rsid w:val="004C3424"/>
    <w:rsid w:val="004C3492"/>
    <w:rsid w:val="004C34D1"/>
    <w:rsid w:val="004C34FA"/>
    <w:rsid w:val="004C3535"/>
    <w:rsid w:val="004C35C7"/>
    <w:rsid w:val="004C35CC"/>
    <w:rsid w:val="004C35FC"/>
    <w:rsid w:val="004C3635"/>
    <w:rsid w:val="004C3703"/>
    <w:rsid w:val="004C370E"/>
    <w:rsid w:val="004C371F"/>
    <w:rsid w:val="004C373F"/>
    <w:rsid w:val="004C383A"/>
    <w:rsid w:val="004C38C8"/>
    <w:rsid w:val="004C39E8"/>
    <w:rsid w:val="004C3A4F"/>
    <w:rsid w:val="004C3A53"/>
    <w:rsid w:val="004C3A70"/>
    <w:rsid w:val="004C3A9D"/>
    <w:rsid w:val="004C3B0A"/>
    <w:rsid w:val="004C3B37"/>
    <w:rsid w:val="004C3B6C"/>
    <w:rsid w:val="004C3C6A"/>
    <w:rsid w:val="004C3C72"/>
    <w:rsid w:val="004C3CE5"/>
    <w:rsid w:val="004C3CF1"/>
    <w:rsid w:val="004C3DBD"/>
    <w:rsid w:val="004C3E0F"/>
    <w:rsid w:val="004C3E12"/>
    <w:rsid w:val="004C3F45"/>
    <w:rsid w:val="004C3FB5"/>
    <w:rsid w:val="004C4057"/>
    <w:rsid w:val="004C4082"/>
    <w:rsid w:val="004C40D6"/>
    <w:rsid w:val="004C40EE"/>
    <w:rsid w:val="004C4144"/>
    <w:rsid w:val="004C417D"/>
    <w:rsid w:val="004C41FF"/>
    <w:rsid w:val="004C4206"/>
    <w:rsid w:val="004C4274"/>
    <w:rsid w:val="004C429A"/>
    <w:rsid w:val="004C430F"/>
    <w:rsid w:val="004C4318"/>
    <w:rsid w:val="004C4427"/>
    <w:rsid w:val="004C4428"/>
    <w:rsid w:val="004C442E"/>
    <w:rsid w:val="004C4463"/>
    <w:rsid w:val="004C4490"/>
    <w:rsid w:val="004C454B"/>
    <w:rsid w:val="004C4612"/>
    <w:rsid w:val="004C462A"/>
    <w:rsid w:val="004C462C"/>
    <w:rsid w:val="004C4669"/>
    <w:rsid w:val="004C468C"/>
    <w:rsid w:val="004C46A8"/>
    <w:rsid w:val="004C476C"/>
    <w:rsid w:val="004C47AD"/>
    <w:rsid w:val="004C47B9"/>
    <w:rsid w:val="004C47CA"/>
    <w:rsid w:val="004C4807"/>
    <w:rsid w:val="004C48A7"/>
    <w:rsid w:val="004C48B7"/>
    <w:rsid w:val="004C4915"/>
    <w:rsid w:val="004C494C"/>
    <w:rsid w:val="004C498F"/>
    <w:rsid w:val="004C49E1"/>
    <w:rsid w:val="004C4AB2"/>
    <w:rsid w:val="004C4AB3"/>
    <w:rsid w:val="004C4BD1"/>
    <w:rsid w:val="004C4BE0"/>
    <w:rsid w:val="004C4C1E"/>
    <w:rsid w:val="004C4C58"/>
    <w:rsid w:val="004C4CA7"/>
    <w:rsid w:val="004C4D2B"/>
    <w:rsid w:val="004C4D2C"/>
    <w:rsid w:val="004C4E6E"/>
    <w:rsid w:val="004C4E76"/>
    <w:rsid w:val="004C4E9B"/>
    <w:rsid w:val="004C4F2E"/>
    <w:rsid w:val="004C4FDC"/>
    <w:rsid w:val="004C50ED"/>
    <w:rsid w:val="004C50F9"/>
    <w:rsid w:val="004C5146"/>
    <w:rsid w:val="004C5172"/>
    <w:rsid w:val="004C51FC"/>
    <w:rsid w:val="004C52D8"/>
    <w:rsid w:val="004C52EE"/>
    <w:rsid w:val="004C5388"/>
    <w:rsid w:val="004C53E1"/>
    <w:rsid w:val="004C53E4"/>
    <w:rsid w:val="004C540B"/>
    <w:rsid w:val="004C5453"/>
    <w:rsid w:val="004C54B9"/>
    <w:rsid w:val="004C54C7"/>
    <w:rsid w:val="004C5598"/>
    <w:rsid w:val="004C5629"/>
    <w:rsid w:val="004C5690"/>
    <w:rsid w:val="004C569F"/>
    <w:rsid w:val="004C5814"/>
    <w:rsid w:val="004C5827"/>
    <w:rsid w:val="004C5877"/>
    <w:rsid w:val="004C58BE"/>
    <w:rsid w:val="004C58C9"/>
    <w:rsid w:val="004C5927"/>
    <w:rsid w:val="004C5957"/>
    <w:rsid w:val="004C59C0"/>
    <w:rsid w:val="004C5A5A"/>
    <w:rsid w:val="004C5A91"/>
    <w:rsid w:val="004C5AD4"/>
    <w:rsid w:val="004C5ADA"/>
    <w:rsid w:val="004C5B10"/>
    <w:rsid w:val="004C5B73"/>
    <w:rsid w:val="004C5BAF"/>
    <w:rsid w:val="004C5BCF"/>
    <w:rsid w:val="004C5C0A"/>
    <w:rsid w:val="004C5C31"/>
    <w:rsid w:val="004C5C42"/>
    <w:rsid w:val="004C5C93"/>
    <w:rsid w:val="004C5D82"/>
    <w:rsid w:val="004C5DD0"/>
    <w:rsid w:val="004C5DD7"/>
    <w:rsid w:val="004C5DFB"/>
    <w:rsid w:val="004C5E30"/>
    <w:rsid w:val="004C5E36"/>
    <w:rsid w:val="004C5E46"/>
    <w:rsid w:val="004C5E7B"/>
    <w:rsid w:val="004C5E7E"/>
    <w:rsid w:val="004C5F51"/>
    <w:rsid w:val="004C5F53"/>
    <w:rsid w:val="004C5F5D"/>
    <w:rsid w:val="004C5F72"/>
    <w:rsid w:val="004C5FC1"/>
    <w:rsid w:val="004C5FF1"/>
    <w:rsid w:val="004C6224"/>
    <w:rsid w:val="004C6231"/>
    <w:rsid w:val="004C6241"/>
    <w:rsid w:val="004C6263"/>
    <w:rsid w:val="004C62E0"/>
    <w:rsid w:val="004C62E9"/>
    <w:rsid w:val="004C6305"/>
    <w:rsid w:val="004C6360"/>
    <w:rsid w:val="004C6383"/>
    <w:rsid w:val="004C63A7"/>
    <w:rsid w:val="004C63D8"/>
    <w:rsid w:val="004C641A"/>
    <w:rsid w:val="004C6432"/>
    <w:rsid w:val="004C64A7"/>
    <w:rsid w:val="004C64CC"/>
    <w:rsid w:val="004C654D"/>
    <w:rsid w:val="004C65F1"/>
    <w:rsid w:val="004C6722"/>
    <w:rsid w:val="004C6746"/>
    <w:rsid w:val="004C67A5"/>
    <w:rsid w:val="004C680A"/>
    <w:rsid w:val="004C6A8F"/>
    <w:rsid w:val="004C6B58"/>
    <w:rsid w:val="004C6B6D"/>
    <w:rsid w:val="004C6BAC"/>
    <w:rsid w:val="004C6BF0"/>
    <w:rsid w:val="004C6C26"/>
    <w:rsid w:val="004C6C7C"/>
    <w:rsid w:val="004C6CA9"/>
    <w:rsid w:val="004C6E36"/>
    <w:rsid w:val="004C6F1A"/>
    <w:rsid w:val="004C6FE5"/>
    <w:rsid w:val="004C7003"/>
    <w:rsid w:val="004C7029"/>
    <w:rsid w:val="004C70A8"/>
    <w:rsid w:val="004C7152"/>
    <w:rsid w:val="004C71E8"/>
    <w:rsid w:val="004C723D"/>
    <w:rsid w:val="004C727A"/>
    <w:rsid w:val="004C7428"/>
    <w:rsid w:val="004C74B1"/>
    <w:rsid w:val="004C74EF"/>
    <w:rsid w:val="004C7590"/>
    <w:rsid w:val="004C7627"/>
    <w:rsid w:val="004C7643"/>
    <w:rsid w:val="004C7716"/>
    <w:rsid w:val="004C77BA"/>
    <w:rsid w:val="004C77C3"/>
    <w:rsid w:val="004C783A"/>
    <w:rsid w:val="004C7915"/>
    <w:rsid w:val="004C793A"/>
    <w:rsid w:val="004C7954"/>
    <w:rsid w:val="004C7A0F"/>
    <w:rsid w:val="004C7A28"/>
    <w:rsid w:val="004C7AEC"/>
    <w:rsid w:val="004C7C5B"/>
    <w:rsid w:val="004C7CEB"/>
    <w:rsid w:val="004C7D4E"/>
    <w:rsid w:val="004C7D8E"/>
    <w:rsid w:val="004C7DCC"/>
    <w:rsid w:val="004C7DD1"/>
    <w:rsid w:val="004C7DF1"/>
    <w:rsid w:val="004C7E11"/>
    <w:rsid w:val="004C7E27"/>
    <w:rsid w:val="004C7E56"/>
    <w:rsid w:val="004C7E6E"/>
    <w:rsid w:val="004C7F48"/>
    <w:rsid w:val="004C7F4E"/>
    <w:rsid w:val="004C7FD2"/>
    <w:rsid w:val="004C7FD5"/>
    <w:rsid w:val="004C7FF3"/>
    <w:rsid w:val="004D0030"/>
    <w:rsid w:val="004D003F"/>
    <w:rsid w:val="004D00D1"/>
    <w:rsid w:val="004D0228"/>
    <w:rsid w:val="004D0235"/>
    <w:rsid w:val="004D0244"/>
    <w:rsid w:val="004D0263"/>
    <w:rsid w:val="004D0284"/>
    <w:rsid w:val="004D02DB"/>
    <w:rsid w:val="004D031B"/>
    <w:rsid w:val="004D0430"/>
    <w:rsid w:val="004D0439"/>
    <w:rsid w:val="004D043E"/>
    <w:rsid w:val="004D0509"/>
    <w:rsid w:val="004D05A6"/>
    <w:rsid w:val="004D06A6"/>
    <w:rsid w:val="004D06B9"/>
    <w:rsid w:val="004D06F0"/>
    <w:rsid w:val="004D075F"/>
    <w:rsid w:val="004D0770"/>
    <w:rsid w:val="004D078C"/>
    <w:rsid w:val="004D078D"/>
    <w:rsid w:val="004D078E"/>
    <w:rsid w:val="004D07E7"/>
    <w:rsid w:val="004D07F9"/>
    <w:rsid w:val="004D08B2"/>
    <w:rsid w:val="004D08C2"/>
    <w:rsid w:val="004D08CA"/>
    <w:rsid w:val="004D0979"/>
    <w:rsid w:val="004D0A1B"/>
    <w:rsid w:val="004D0A4B"/>
    <w:rsid w:val="004D0A83"/>
    <w:rsid w:val="004D0B2C"/>
    <w:rsid w:val="004D0BD6"/>
    <w:rsid w:val="004D0C91"/>
    <w:rsid w:val="004D0C99"/>
    <w:rsid w:val="004D0D3E"/>
    <w:rsid w:val="004D0E29"/>
    <w:rsid w:val="004D0E6A"/>
    <w:rsid w:val="004D0E79"/>
    <w:rsid w:val="004D0EB4"/>
    <w:rsid w:val="004D0EB5"/>
    <w:rsid w:val="004D0EFC"/>
    <w:rsid w:val="004D0EFF"/>
    <w:rsid w:val="004D0F1B"/>
    <w:rsid w:val="004D102D"/>
    <w:rsid w:val="004D1093"/>
    <w:rsid w:val="004D10E1"/>
    <w:rsid w:val="004D1168"/>
    <w:rsid w:val="004D1180"/>
    <w:rsid w:val="004D1205"/>
    <w:rsid w:val="004D1265"/>
    <w:rsid w:val="004D131D"/>
    <w:rsid w:val="004D13CF"/>
    <w:rsid w:val="004D1432"/>
    <w:rsid w:val="004D14BC"/>
    <w:rsid w:val="004D154F"/>
    <w:rsid w:val="004D15A7"/>
    <w:rsid w:val="004D15CE"/>
    <w:rsid w:val="004D160A"/>
    <w:rsid w:val="004D163B"/>
    <w:rsid w:val="004D1657"/>
    <w:rsid w:val="004D169A"/>
    <w:rsid w:val="004D173C"/>
    <w:rsid w:val="004D1759"/>
    <w:rsid w:val="004D17CC"/>
    <w:rsid w:val="004D185D"/>
    <w:rsid w:val="004D1975"/>
    <w:rsid w:val="004D19C3"/>
    <w:rsid w:val="004D19F4"/>
    <w:rsid w:val="004D1A5F"/>
    <w:rsid w:val="004D1A71"/>
    <w:rsid w:val="004D1A91"/>
    <w:rsid w:val="004D1B07"/>
    <w:rsid w:val="004D1B9E"/>
    <w:rsid w:val="004D1BA5"/>
    <w:rsid w:val="004D1BC3"/>
    <w:rsid w:val="004D1CA4"/>
    <w:rsid w:val="004D1CC0"/>
    <w:rsid w:val="004D1DD4"/>
    <w:rsid w:val="004D1EF6"/>
    <w:rsid w:val="004D1F33"/>
    <w:rsid w:val="004D1F7C"/>
    <w:rsid w:val="004D2010"/>
    <w:rsid w:val="004D2106"/>
    <w:rsid w:val="004D213A"/>
    <w:rsid w:val="004D2180"/>
    <w:rsid w:val="004D223B"/>
    <w:rsid w:val="004D225A"/>
    <w:rsid w:val="004D22BD"/>
    <w:rsid w:val="004D22D6"/>
    <w:rsid w:val="004D22FC"/>
    <w:rsid w:val="004D2392"/>
    <w:rsid w:val="004D239E"/>
    <w:rsid w:val="004D2470"/>
    <w:rsid w:val="004D2471"/>
    <w:rsid w:val="004D249D"/>
    <w:rsid w:val="004D2507"/>
    <w:rsid w:val="004D250D"/>
    <w:rsid w:val="004D251B"/>
    <w:rsid w:val="004D25F1"/>
    <w:rsid w:val="004D25FC"/>
    <w:rsid w:val="004D265A"/>
    <w:rsid w:val="004D265D"/>
    <w:rsid w:val="004D26AE"/>
    <w:rsid w:val="004D26E0"/>
    <w:rsid w:val="004D2709"/>
    <w:rsid w:val="004D275E"/>
    <w:rsid w:val="004D282A"/>
    <w:rsid w:val="004D2899"/>
    <w:rsid w:val="004D28BC"/>
    <w:rsid w:val="004D28EF"/>
    <w:rsid w:val="004D2918"/>
    <w:rsid w:val="004D29B6"/>
    <w:rsid w:val="004D2A11"/>
    <w:rsid w:val="004D2A6B"/>
    <w:rsid w:val="004D2ABF"/>
    <w:rsid w:val="004D2AE1"/>
    <w:rsid w:val="004D2BA9"/>
    <w:rsid w:val="004D2C03"/>
    <w:rsid w:val="004D2C57"/>
    <w:rsid w:val="004D2CDE"/>
    <w:rsid w:val="004D2DC3"/>
    <w:rsid w:val="004D2E68"/>
    <w:rsid w:val="004D2E69"/>
    <w:rsid w:val="004D2F60"/>
    <w:rsid w:val="004D2F62"/>
    <w:rsid w:val="004D30F4"/>
    <w:rsid w:val="004D311D"/>
    <w:rsid w:val="004D31AE"/>
    <w:rsid w:val="004D31B2"/>
    <w:rsid w:val="004D325E"/>
    <w:rsid w:val="004D3331"/>
    <w:rsid w:val="004D33E6"/>
    <w:rsid w:val="004D3485"/>
    <w:rsid w:val="004D3492"/>
    <w:rsid w:val="004D3523"/>
    <w:rsid w:val="004D3551"/>
    <w:rsid w:val="004D3577"/>
    <w:rsid w:val="004D3579"/>
    <w:rsid w:val="004D359B"/>
    <w:rsid w:val="004D35C8"/>
    <w:rsid w:val="004D3683"/>
    <w:rsid w:val="004D369A"/>
    <w:rsid w:val="004D36A6"/>
    <w:rsid w:val="004D36B7"/>
    <w:rsid w:val="004D36E5"/>
    <w:rsid w:val="004D3728"/>
    <w:rsid w:val="004D37E7"/>
    <w:rsid w:val="004D389B"/>
    <w:rsid w:val="004D38E8"/>
    <w:rsid w:val="004D3938"/>
    <w:rsid w:val="004D398D"/>
    <w:rsid w:val="004D3A5E"/>
    <w:rsid w:val="004D3AEC"/>
    <w:rsid w:val="004D3AF2"/>
    <w:rsid w:val="004D3C13"/>
    <w:rsid w:val="004D3C52"/>
    <w:rsid w:val="004D3C7C"/>
    <w:rsid w:val="004D3D02"/>
    <w:rsid w:val="004D3D3B"/>
    <w:rsid w:val="004D3D9B"/>
    <w:rsid w:val="004D3DBD"/>
    <w:rsid w:val="004D3E0E"/>
    <w:rsid w:val="004D3E33"/>
    <w:rsid w:val="004D3E59"/>
    <w:rsid w:val="004D3EBE"/>
    <w:rsid w:val="004D3F14"/>
    <w:rsid w:val="004D3F61"/>
    <w:rsid w:val="004D3FD7"/>
    <w:rsid w:val="004D3FDC"/>
    <w:rsid w:val="004D3FE3"/>
    <w:rsid w:val="004D4006"/>
    <w:rsid w:val="004D400A"/>
    <w:rsid w:val="004D4069"/>
    <w:rsid w:val="004D40DA"/>
    <w:rsid w:val="004D4109"/>
    <w:rsid w:val="004D418B"/>
    <w:rsid w:val="004D41F7"/>
    <w:rsid w:val="004D42A7"/>
    <w:rsid w:val="004D42FD"/>
    <w:rsid w:val="004D43DC"/>
    <w:rsid w:val="004D4434"/>
    <w:rsid w:val="004D449A"/>
    <w:rsid w:val="004D451C"/>
    <w:rsid w:val="004D471B"/>
    <w:rsid w:val="004D473B"/>
    <w:rsid w:val="004D4740"/>
    <w:rsid w:val="004D4743"/>
    <w:rsid w:val="004D47DE"/>
    <w:rsid w:val="004D4828"/>
    <w:rsid w:val="004D488A"/>
    <w:rsid w:val="004D4899"/>
    <w:rsid w:val="004D4956"/>
    <w:rsid w:val="004D4971"/>
    <w:rsid w:val="004D49CB"/>
    <w:rsid w:val="004D4A9B"/>
    <w:rsid w:val="004D4AD3"/>
    <w:rsid w:val="004D4B1E"/>
    <w:rsid w:val="004D4B23"/>
    <w:rsid w:val="004D4BFF"/>
    <w:rsid w:val="004D4C86"/>
    <w:rsid w:val="004D4CE8"/>
    <w:rsid w:val="004D4D57"/>
    <w:rsid w:val="004D4D5E"/>
    <w:rsid w:val="004D4D74"/>
    <w:rsid w:val="004D4E11"/>
    <w:rsid w:val="004D4E68"/>
    <w:rsid w:val="004D4E7A"/>
    <w:rsid w:val="004D4E84"/>
    <w:rsid w:val="004D4EAF"/>
    <w:rsid w:val="004D4EEF"/>
    <w:rsid w:val="004D4F58"/>
    <w:rsid w:val="004D4F5B"/>
    <w:rsid w:val="004D4F68"/>
    <w:rsid w:val="004D50EC"/>
    <w:rsid w:val="004D5151"/>
    <w:rsid w:val="004D51A0"/>
    <w:rsid w:val="004D51D3"/>
    <w:rsid w:val="004D5240"/>
    <w:rsid w:val="004D52AA"/>
    <w:rsid w:val="004D52CD"/>
    <w:rsid w:val="004D538E"/>
    <w:rsid w:val="004D53F2"/>
    <w:rsid w:val="004D5428"/>
    <w:rsid w:val="004D544E"/>
    <w:rsid w:val="004D54D8"/>
    <w:rsid w:val="004D554B"/>
    <w:rsid w:val="004D554E"/>
    <w:rsid w:val="004D55DA"/>
    <w:rsid w:val="004D55E3"/>
    <w:rsid w:val="004D5688"/>
    <w:rsid w:val="004D56F7"/>
    <w:rsid w:val="004D5724"/>
    <w:rsid w:val="004D57A7"/>
    <w:rsid w:val="004D5851"/>
    <w:rsid w:val="004D58AC"/>
    <w:rsid w:val="004D59BB"/>
    <w:rsid w:val="004D5A8B"/>
    <w:rsid w:val="004D5A98"/>
    <w:rsid w:val="004D5B8B"/>
    <w:rsid w:val="004D5BA5"/>
    <w:rsid w:val="004D5C27"/>
    <w:rsid w:val="004D5C39"/>
    <w:rsid w:val="004D5C48"/>
    <w:rsid w:val="004D5C60"/>
    <w:rsid w:val="004D5C68"/>
    <w:rsid w:val="004D5CA7"/>
    <w:rsid w:val="004D5CAD"/>
    <w:rsid w:val="004D5CB2"/>
    <w:rsid w:val="004D5CB6"/>
    <w:rsid w:val="004D5CCB"/>
    <w:rsid w:val="004D5D27"/>
    <w:rsid w:val="004D5DB0"/>
    <w:rsid w:val="004D5E1F"/>
    <w:rsid w:val="004D5E41"/>
    <w:rsid w:val="004D5ECD"/>
    <w:rsid w:val="004D5EE2"/>
    <w:rsid w:val="004D5F53"/>
    <w:rsid w:val="004D5F94"/>
    <w:rsid w:val="004D5FB7"/>
    <w:rsid w:val="004D6047"/>
    <w:rsid w:val="004D6092"/>
    <w:rsid w:val="004D60E4"/>
    <w:rsid w:val="004D6100"/>
    <w:rsid w:val="004D630E"/>
    <w:rsid w:val="004D6387"/>
    <w:rsid w:val="004D63A5"/>
    <w:rsid w:val="004D63F2"/>
    <w:rsid w:val="004D6421"/>
    <w:rsid w:val="004D6446"/>
    <w:rsid w:val="004D64E1"/>
    <w:rsid w:val="004D6528"/>
    <w:rsid w:val="004D6539"/>
    <w:rsid w:val="004D653E"/>
    <w:rsid w:val="004D654C"/>
    <w:rsid w:val="004D65CE"/>
    <w:rsid w:val="004D65E1"/>
    <w:rsid w:val="004D66C0"/>
    <w:rsid w:val="004D6714"/>
    <w:rsid w:val="004D679F"/>
    <w:rsid w:val="004D67CE"/>
    <w:rsid w:val="004D67FD"/>
    <w:rsid w:val="004D6806"/>
    <w:rsid w:val="004D6887"/>
    <w:rsid w:val="004D6977"/>
    <w:rsid w:val="004D69D6"/>
    <w:rsid w:val="004D6A5E"/>
    <w:rsid w:val="004D6B1C"/>
    <w:rsid w:val="004D6B4B"/>
    <w:rsid w:val="004D6C3C"/>
    <w:rsid w:val="004D6CCF"/>
    <w:rsid w:val="004D6D78"/>
    <w:rsid w:val="004D6D7D"/>
    <w:rsid w:val="004D6D86"/>
    <w:rsid w:val="004D6DCD"/>
    <w:rsid w:val="004D6E4E"/>
    <w:rsid w:val="004D6E9F"/>
    <w:rsid w:val="004D6EEE"/>
    <w:rsid w:val="004D6F32"/>
    <w:rsid w:val="004D6FD3"/>
    <w:rsid w:val="004D6FE4"/>
    <w:rsid w:val="004D7052"/>
    <w:rsid w:val="004D7055"/>
    <w:rsid w:val="004D7075"/>
    <w:rsid w:val="004D70C4"/>
    <w:rsid w:val="004D70C7"/>
    <w:rsid w:val="004D70F9"/>
    <w:rsid w:val="004D713F"/>
    <w:rsid w:val="004D715F"/>
    <w:rsid w:val="004D71F6"/>
    <w:rsid w:val="004D7266"/>
    <w:rsid w:val="004D7288"/>
    <w:rsid w:val="004D72A5"/>
    <w:rsid w:val="004D72B2"/>
    <w:rsid w:val="004D72BF"/>
    <w:rsid w:val="004D7309"/>
    <w:rsid w:val="004D7345"/>
    <w:rsid w:val="004D73B2"/>
    <w:rsid w:val="004D74A8"/>
    <w:rsid w:val="004D756E"/>
    <w:rsid w:val="004D75E5"/>
    <w:rsid w:val="004D76C5"/>
    <w:rsid w:val="004D771A"/>
    <w:rsid w:val="004D7744"/>
    <w:rsid w:val="004D7795"/>
    <w:rsid w:val="004D7856"/>
    <w:rsid w:val="004D78DA"/>
    <w:rsid w:val="004D78EB"/>
    <w:rsid w:val="004D7909"/>
    <w:rsid w:val="004D7911"/>
    <w:rsid w:val="004D7916"/>
    <w:rsid w:val="004D7A19"/>
    <w:rsid w:val="004D7A1E"/>
    <w:rsid w:val="004D7A20"/>
    <w:rsid w:val="004D7A36"/>
    <w:rsid w:val="004D7A40"/>
    <w:rsid w:val="004D7A45"/>
    <w:rsid w:val="004D7AC6"/>
    <w:rsid w:val="004D7BCA"/>
    <w:rsid w:val="004D7BCD"/>
    <w:rsid w:val="004D7BD8"/>
    <w:rsid w:val="004D7BE9"/>
    <w:rsid w:val="004D7C15"/>
    <w:rsid w:val="004D7C59"/>
    <w:rsid w:val="004D7C61"/>
    <w:rsid w:val="004D7D22"/>
    <w:rsid w:val="004D7E1F"/>
    <w:rsid w:val="004D7E86"/>
    <w:rsid w:val="004D7F28"/>
    <w:rsid w:val="004D7F68"/>
    <w:rsid w:val="004D7FD8"/>
    <w:rsid w:val="004E0066"/>
    <w:rsid w:val="004E0092"/>
    <w:rsid w:val="004E009C"/>
    <w:rsid w:val="004E00E2"/>
    <w:rsid w:val="004E0155"/>
    <w:rsid w:val="004E016A"/>
    <w:rsid w:val="004E01E4"/>
    <w:rsid w:val="004E01E9"/>
    <w:rsid w:val="004E0204"/>
    <w:rsid w:val="004E0231"/>
    <w:rsid w:val="004E0235"/>
    <w:rsid w:val="004E02A1"/>
    <w:rsid w:val="004E02BA"/>
    <w:rsid w:val="004E0335"/>
    <w:rsid w:val="004E038A"/>
    <w:rsid w:val="004E03C5"/>
    <w:rsid w:val="004E041B"/>
    <w:rsid w:val="004E043B"/>
    <w:rsid w:val="004E045E"/>
    <w:rsid w:val="004E048E"/>
    <w:rsid w:val="004E04BA"/>
    <w:rsid w:val="004E0533"/>
    <w:rsid w:val="004E0552"/>
    <w:rsid w:val="004E060E"/>
    <w:rsid w:val="004E062B"/>
    <w:rsid w:val="004E064A"/>
    <w:rsid w:val="004E070F"/>
    <w:rsid w:val="004E0764"/>
    <w:rsid w:val="004E076B"/>
    <w:rsid w:val="004E0775"/>
    <w:rsid w:val="004E077B"/>
    <w:rsid w:val="004E0786"/>
    <w:rsid w:val="004E089F"/>
    <w:rsid w:val="004E0906"/>
    <w:rsid w:val="004E099A"/>
    <w:rsid w:val="004E0AF2"/>
    <w:rsid w:val="004E0AFD"/>
    <w:rsid w:val="004E0B41"/>
    <w:rsid w:val="004E0B98"/>
    <w:rsid w:val="004E0BA8"/>
    <w:rsid w:val="004E0BFE"/>
    <w:rsid w:val="004E0C84"/>
    <w:rsid w:val="004E0DD1"/>
    <w:rsid w:val="004E0EEF"/>
    <w:rsid w:val="004E0EF2"/>
    <w:rsid w:val="004E0FE1"/>
    <w:rsid w:val="004E0FE4"/>
    <w:rsid w:val="004E1069"/>
    <w:rsid w:val="004E10BB"/>
    <w:rsid w:val="004E1183"/>
    <w:rsid w:val="004E11DF"/>
    <w:rsid w:val="004E1263"/>
    <w:rsid w:val="004E127E"/>
    <w:rsid w:val="004E12C7"/>
    <w:rsid w:val="004E130D"/>
    <w:rsid w:val="004E132D"/>
    <w:rsid w:val="004E1444"/>
    <w:rsid w:val="004E144F"/>
    <w:rsid w:val="004E14B4"/>
    <w:rsid w:val="004E1612"/>
    <w:rsid w:val="004E1673"/>
    <w:rsid w:val="004E167E"/>
    <w:rsid w:val="004E16A3"/>
    <w:rsid w:val="004E174F"/>
    <w:rsid w:val="004E17C4"/>
    <w:rsid w:val="004E17E7"/>
    <w:rsid w:val="004E1859"/>
    <w:rsid w:val="004E18DF"/>
    <w:rsid w:val="004E1970"/>
    <w:rsid w:val="004E19CA"/>
    <w:rsid w:val="004E19DB"/>
    <w:rsid w:val="004E1A20"/>
    <w:rsid w:val="004E1B36"/>
    <w:rsid w:val="004E1C69"/>
    <w:rsid w:val="004E1C72"/>
    <w:rsid w:val="004E1C7F"/>
    <w:rsid w:val="004E1C9C"/>
    <w:rsid w:val="004E1CD4"/>
    <w:rsid w:val="004E1CE0"/>
    <w:rsid w:val="004E1CF1"/>
    <w:rsid w:val="004E1CF6"/>
    <w:rsid w:val="004E1CF7"/>
    <w:rsid w:val="004E1D68"/>
    <w:rsid w:val="004E1DD5"/>
    <w:rsid w:val="004E1E01"/>
    <w:rsid w:val="004E1E07"/>
    <w:rsid w:val="004E1E2F"/>
    <w:rsid w:val="004E1E70"/>
    <w:rsid w:val="004E1F54"/>
    <w:rsid w:val="004E1F84"/>
    <w:rsid w:val="004E1FA8"/>
    <w:rsid w:val="004E2056"/>
    <w:rsid w:val="004E20F4"/>
    <w:rsid w:val="004E2105"/>
    <w:rsid w:val="004E2136"/>
    <w:rsid w:val="004E2178"/>
    <w:rsid w:val="004E2244"/>
    <w:rsid w:val="004E22AF"/>
    <w:rsid w:val="004E22C8"/>
    <w:rsid w:val="004E22D9"/>
    <w:rsid w:val="004E2345"/>
    <w:rsid w:val="004E23C0"/>
    <w:rsid w:val="004E2453"/>
    <w:rsid w:val="004E247C"/>
    <w:rsid w:val="004E2613"/>
    <w:rsid w:val="004E266B"/>
    <w:rsid w:val="004E2679"/>
    <w:rsid w:val="004E2686"/>
    <w:rsid w:val="004E26C4"/>
    <w:rsid w:val="004E2702"/>
    <w:rsid w:val="004E2751"/>
    <w:rsid w:val="004E278C"/>
    <w:rsid w:val="004E29CD"/>
    <w:rsid w:val="004E29D5"/>
    <w:rsid w:val="004E29F2"/>
    <w:rsid w:val="004E29F4"/>
    <w:rsid w:val="004E2A02"/>
    <w:rsid w:val="004E2A3D"/>
    <w:rsid w:val="004E2AAD"/>
    <w:rsid w:val="004E2AB8"/>
    <w:rsid w:val="004E2B7D"/>
    <w:rsid w:val="004E2BA4"/>
    <w:rsid w:val="004E2BFD"/>
    <w:rsid w:val="004E2C31"/>
    <w:rsid w:val="004E2C3C"/>
    <w:rsid w:val="004E2C46"/>
    <w:rsid w:val="004E2D29"/>
    <w:rsid w:val="004E2D57"/>
    <w:rsid w:val="004E2D94"/>
    <w:rsid w:val="004E2DAC"/>
    <w:rsid w:val="004E2F01"/>
    <w:rsid w:val="004E2F03"/>
    <w:rsid w:val="004E2F3B"/>
    <w:rsid w:val="004E2F6C"/>
    <w:rsid w:val="004E2FE1"/>
    <w:rsid w:val="004E2FE8"/>
    <w:rsid w:val="004E301F"/>
    <w:rsid w:val="004E30CE"/>
    <w:rsid w:val="004E3133"/>
    <w:rsid w:val="004E3182"/>
    <w:rsid w:val="004E31EE"/>
    <w:rsid w:val="004E3248"/>
    <w:rsid w:val="004E326A"/>
    <w:rsid w:val="004E327F"/>
    <w:rsid w:val="004E32A0"/>
    <w:rsid w:val="004E32EC"/>
    <w:rsid w:val="004E338C"/>
    <w:rsid w:val="004E3399"/>
    <w:rsid w:val="004E33B5"/>
    <w:rsid w:val="004E344F"/>
    <w:rsid w:val="004E34EC"/>
    <w:rsid w:val="004E3501"/>
    <w:rsid w:val="004E359E"/>
    <w:rsid w:val="004E3689"/>
    <w:rsid w:val="004E3768"/>
    <w:rsid w:val="004E37BA"/>
    <w:rsid w:val="004E37E4"/>
    <w:rsid w:val="004E380D"/>
    <w:rsid w:val="004E38A8"/>
    <w:rsid w:val="004E392F"/>
    <w:rsid w:val="004E3943"/>
    <w:rsid w:val="004E396E"/>
    <w:rsid w:val="004E3971"/>
    <w:rsid w:val="004E39E1"/>
    <w:rsid w:val="004E3A8E"/>
    <w:rsid w:val="004E3A8F"/>
    <w:rsid w:val="004E3B14"/>
    <w:rsid w:val="004E3CCB"/>
    <w:rsid w:val="004E3DB6"/>
    <w:rsid w:val="004E3DD0"/>
    <w:rsid w:val="004E3E52"/>
    <w:rsid w:val="004E3F1A"/>
    <w:rsid w:val="004E3F84"/>
    <w:rsid w:val="004E4036"/>
    <w:rsid w:val="004E4065"/>
    <w:rsid w:val="004E40E6"/>
    <w:rsid w:val="004E410A"/>
    <w:rsid w:val="004E416F"/>
    <w:rsid w:val="004E4175"/>
    <w:rsid w:val="004E41E7"/>
    <w:rsid w:val="004E422D"/>
    <w:rsid w:val="004E427D"/>
    <w:rsid w:val="004E42AB"/>
    <w:rsid w:val="004E42C3"/>
    <w:rsid w:val="004E4372"/>
    <w:rsid w:val="004E43B1"/>
    <w:rsid w:val="004E44E2"/>
    <w:rsid w:val="004E44FD"/>
    <w:rsid w:val="004E4530"/>
    <w:rsid w:val="004E45A3"/>
    <w:rsid w:val="004E45D0"/>
    <w:rsid w:val="004E4609"/>
    <w:rsid w:val="004E4683"/>
    <w:rsid w:val="004E46A2"/>
    <w:rsid w:val="004E4756"/>
    <w:rsid w:val="004E47D3"/>
    <w:rsid w:val="004E480B"/>
    <w:rsid w:val="004E488F"/>
    <w:rsid w:val="004E48D1"/>
    <w:rsid w:val="004E4928"/>
    <w:rsid w:val="004E4B18"/>
    <w:rsid w:val="004E4B20"/>
    <w:rsid w:val="004E4B69"/>
    <w:rsid w:val="004E4B7F"/>
    <w:rsid w:val="004E4BF6"/>
    <w:rsid w:val="004E4C1D"/>
    <w:rsid w:val="004E4C91"/>
    <w:rsid w:val="004E4CEA"/>
    <w:rsid w:val="004E4D51"/>
    <w:rsid w:val="004E4D71"/>
    <w:rsid w:val="004E4D79"/>
    <w:rsid w:val="004E4D7B"/>
    <w:rsid w:val="004E4D7F"/>
    <w:rsid w:val="004E4D8B"/>
    <w:rsid w:val="004E4DFC"/>
    <w:rsid w:val="004E4E0F"/>
    <w:rsid w:val="004E4E8F"/>
    <w:rsid w:val="004E4ED9"/>
    <w:rsid w:val="004E4EE8"/>
    <w:rsid w:val="004E4EFD"/>
    <w:rsid w:val="004E4F16"/>
    <w:rsid w:val="004E4FB6"/>
    <w:rsid w:val="004E4FCB"/>
    <w:rsid w:val="004E4FCF"/>
    <w:rsid w:val="004E5062"/>
    <w:rsid w:val="004E5083"/>
    <w:rsid w:val="004E50B8"/>
    <w:rsid w:val="004E523D"/>
    <w:rsid w:val="004E525F"/>
    <w:rsid w:val="004E534E"/>
    <w:rsid w:val="004E53E3"/>
    <w:rsid w:val="004E54B0"/>
    <w:rsid w:val="004E54FD"/>
    <w:rsid w:val="004E555D"/>
    <w:rsid w:val="004E5571"/>
    <w:rsid w:val="004E55C4"/>
    <w:rsid w:val="004E5615"/>
    <w:rsid w:val="004E5691"/>
    <w:rsid w:val="004E5715"/>
    <w:rsid w:val="004E5775"/>
    <w:rsid w:val="004E5857"/>
    <w:rsid w:val="004E5866"/>
    <w:rsid w:val="004E5882"/>
    <w:rsid w:val="004E58BA"/>
    <w:rsid w:val="004E58CE"/>
    <w:rsid w:val="004E58EC"/>
    <w:rsid w:val="004E594F"/>
    <w:rsid w:val="004E59C8"/>
    <w:rsid w:val="004E5A26"/>
    <w:rsid w:val="004E5A83"/>
    <w:rsid w:val="004E5A88"/>
    <w:rsid w:val="004E5AC9"/>
    <w:rsid w:val="004E5B0A"/>
    <w:rsid w:val="004E5B0D"/>
    <w:rsid w:val="004E5B0E"/>
    <w:rsid w:val="004E5BE3"/>
    <w:rsid w:val="004E5C1F"/>
    <w:rsid w:val="004E5C4D"/>
    <w:rsid w:val="004E5D7D"/>
    <w:rsid w:val="004E5DC2"/>
    <w:rsid w:val="004E5EE6"/>
    <w:rsid w:val="004E5EE8"/>
    <w:rsid w:val="004E5F64"/>
    <w:rsid w:val="004E5F88"/>
    <w:rsid w:val="004E5FA8"/>
    <w:rsid w:val="004E5FC7"/>
    <w:rsid w:val="004E603F"/>
    <w:rsid w:val="004E6072"/>
    <w:rsid w:val="004E60C2"/>
    <w:rsid w:val="004E60FB"/>
    <w:rsid w:val="004E6179"/>
    <w:rsid w:val="004E620D"/>
    <w:rsid w:val="004E628B"/>
    <w:rsid w:val="004E6291"/>
    <w:rsid w:val="004E6295"/>
    <w:rsid w:val="004E62C2"/>
    <w:rsid w:val="004E62E4"/>
    <w:rsid w:val="004E64AD"/>
    <w:rsid w:val="004E64B2"/>
    <w:rsid w:val="004E652A"/>
    <w:rsid w:val="004E656F"/>
    <w:rsid w:val="004E65C3"/>
    <w:rsid w:val="004E65D7"/>
    <w:rsid w:val="004E65E8"/>
    <w:rsid w:val="004E6639"/>
    <w:rsid w:val="004E664D"/>
    <w:rsid w:val="004E66E1"/>
    <w:rsid w:val="004E66E3"/>
    <w:rsid w:val="004E6702"/>
    <w:rsid w:val="004E6719"/>
    <w:rsid w:val="004E67AC"/>
    <w:rsid w:val="004E67C4"/>
    <w:rsid w:val="004E6906"/>
    <w:rsid w:val="004E698D"/>
    <w:rsid w:val="004E6A51"/>
    <w:rsid w:val="004E6A57"/>
    <w:rsid w:val="004E6B1E"/>
    <w:rsid w:val="004E6B3D"/>
    <w:rsid w:val="004E6B53"/>
    <w:rsid w:val="004E6BB3"/>
    <w:rsid w:val="004E6C1A"/>
    <w:rsid w:val="004E6C5B"/>
    <w:rsid w:val="004E6C7D"/>
    <w:rsid w:val="004E6CD1"/>
    <w:rsid w:val="004E6CE0"/>
    <w:rsid w:val="004E6D3E"/>
    <w:rsid w:val="004E6D43"/>
    <w:rsid w:val="004E6D47"/>
    <w:rsid w:val="004E6DC5"/>
    <w:rsid w:val="004E6DFF"/>
    <w:rsid w:val="004E6E0B"/>
    <w:rsid w:val="004E6F34"/>
    <w:rsid w:val="004E6F9F"/>
    <w:rsid w:val="004E7012"/>
    <w:rsid w:val="004E7066"/>
    <w:rsid w:val="004E70CC"/>
    <w:rsid w:val="004E71C2"/>
    <w:rsid w:val="004E71CF"/>
    <w:rsid w:val="004E7202"/>
    <w:rsid w:val="004E720A"/>
    <w:rsid w:val="004E7249"/>
    <w:rsid w:val="004E7262"/>
    <w:rsid w:val="004E729D"/>
    <w:rsid w:val="004E72B2"/>
    <w:rsid w:val="004E7375"/>
    <w:rsid w:val="004E7423"/>
    <w:rsid w:val="004E7442"/>
    <w:rsid w:val="004E74A9"/>
    <w:rsid w:val="004E74F2"/>
    <w:rsid w:val="004E756A"/>
    <w:rsid w:val="004E75E2"/>
    <w:rsid w:val="004E75F5"/>
    <w:rsid w:val="004E778C"/>
    <w:rsid w:val="004E77F7"/>
    <w:rsid w:val="004E782D"/>
    <w:rsid w:val="004E784E"/>
    <w:rsid w:val="004E7941"/>
    <w:rsid w:val="004E795E"/>
    <w:rsid w:val="004E7A62"/>
    <w:rsid w:val="004E7ACC"/>
    <w:rsid w:val="004E7AFA"/>
    <w:rsid w:val="004E7AFD"/>
    <w:rsid w:val="004E7B24"/>
    <w:rsid w:val="004E7C5C"/>
    <w:rsid w:val="004E7EA2"/>
    <w:rsid w:val="004E7F38"/>
    <w:rsid w:val="004F0052"/>
    <w:rsid w:val="004F009A"/>
    <w:rsid w:val="004F014D"/>
    <w:rsid w:val="004F01B1"/>
    <w:rsid w:val="004F024D"/>
    <w:rsid w:val="004F027D"/>
    <w:rsid w:val="004F03A9"/>
    <w:rsid w:val="004F04E2"/>
    <w:rsid w:val="004F0521"/>
    <w:rsid w:val="004F057C"/>
    <w:rsid w:val="004F0618"/>
    <w:rsid w:val="004F0644"/>
    <w:rsid w:val="004F0736"/>
    <w:rsid w:val="004F0785"/>
    <w:rsid w:val="004F0848"/>
    <w:rsid w:val="004F084C"/>
    <w:rsid w:val="004F08DE"/>
    <w:rsid w:val="004F0909"/>
    <w:rsid w:val="004F092D"/>
    <w:rsid w:val="004F0975"/>
    <w:rsid w:val="004F09A2"/>
    <w:rsid w:val="004F09C0"/>
    <w:rsid w:val="004F09EF"/>
    <w:rsid w:val="004F0A8B"/>
    <w:rsid w:val="004F0A92"/>
    <w:rsid w:val="004F0AA6"/>
    <w:rsid w:val="004F0B51"/>
    <w:rsid w:val="004F0B8B"/>
    <w:rsid w:val="004F0BBA"/>
    <w:rsid w:val="004F0C0C"/>
    <w:rsid w:val="004F0C11"/>
    <w:rsid w:val="004F0C19"/>
    <w:rsid w:val="004F0C69"/>
    <w:rsid w:val="004F0C77"/>
    <w:rsid w:val="004F0C89"/>
    <w:rsid w:val="004F0CB7"/>
    <w:rsid w:val="004F0D0B"/>
    <w:rsid w:val="004F0D7D"/>
    <w:rsid w:val="004F0DAA"/>
    <w:rsid w:val="004F0DB5"/>
    <w:rsid w:val="004F0DFA"/>
    <w:rsid w:val="004F0E05"/>
    <w:rsid w:val="004F0E1A"/>
    <w:rsid w:val="004F0E8D"/>
    <w:rsid w:val="004F0E9B"/>
    <w:rsid w:val="004F0ECE"/>
    <w:rsid w:val="004F0EE9"/>
    <w:rsid w:val="004F0F93"/>
    <w:rsid w:val="004F102C"/>
    <w:rsid w:val="004F103A"/>
    <w:rsid w:val="004F105A"/>
    <w:rsid w:val="004F10A5"/>
    <w:rsid w:val="004F1110"/>
    <w:rsid w:val="004F1150"/>
    <w:rsid w:val="004F11B0"/>
    <w:rsid w:val="004F11BF"/>
    <w:rsid w:val="004F11DD"/>
    <w:rsid w:val="004F1244"/>
    <w:rsid w:val="004F128A"/>
    <w:rsid w:val="004F1341"/>
    <w:rsid w:val="004F1359"/>
    <w:rsid w:val="004F1371"/>
    <w:rsid w:val="004F13BD"/>
    <w:rsid w:val="004F146B"/>
    <w:rsid w:val="004F14E4"/>
    <w:rsid w:val="004F1550"/>
    <w:rsid w:val="004F15CB"/>
    <w:rsid w:val="004F15EC"/>
    <w:rsid w:val="004F1749"/>
    <w:rsid w:val="004F17C6"/>
    <w:rsid w:val="004F17F3"/>
    <w:rsid w:val="004F181C"/>
    <w:rsid w:val="004F18BF"/>
    <w:rsid w:val="004F1947"/>
    <w:rsid w:val="004F19BC"/>
    <w:rsid w:val="004F19F0"/>
    <w:rsid w:val="004F19FD"/>
    <w:rsid w:val="004F1AC7"/>
    <w:rsid w:val="004F1B59"/>
    <w:rsid w:val="004F1B88"/>
    <w:rsid w:val="004F1BF3"/>
    <w:rsid w:val="004F1CFF"/>
    <w:rsid w:val="004F1D11"/>
    <w:rsid w:val="004F1D44"/>
    <w:rsid w:val="004F1DEE"/>
    <w:rsid w:val="004F1E53"/>
    <w:rsid w:val="004F1E73"/>
    <w:rsid w:val="004F1EAF"/>
    <w:rsid w:val="004F1ED0"/>
    <w:rsid w:val="004F1FB2"/>
    <w:rsid w:val="004F1FD9"/>
    <w:rsid w:val="004F20A2"/>
    <w:rsid w:val="004F213E"/>
    <w:rsid w:val="004F2247"/>
    <w:rsid w:val="004F2268"/>
    <w:rsid w:val="004F2331"/>
    <w:rsid w:val="004F235C"/>
    <w:rsid w:val="004F2395"/>
    <w:rsid w:val="004F23B1"/>
    <w:rsid w:val="004F23EA"/>
    <w:rsid w:val="004F2491"/>
    <w:rsid w:val="004F2507"/>
    <w:rsid w:val="004F25F4"/>
    <w:rsid w:val="004F2625"/>
    <w:rsid w:val="004F2723"/>
    <w:rsid w:val="004F274F"/>
    <w:rsid w:val="004F27A3"/>
    <w:rsid w:val="004F2885"/>
    <w:rsid w:val="004F2889"/>
    <w:rsid w:val="004F2964"/>
    <w:rsid w:val="004F29F1"/>
    <w:rsid w:val="004F29F7"/>
    <w:rsid w:val="004F2A57"/>
    <w:rsid w:val="004F2A70"/>
    <w:rsid w:val="004F2A9A"/>
    <w:rsid w:val="004F2B6D"/>
    <w:rsid w:val="004F2B85"/>
    <w:rsid w:val="004F2BEE"/>
    <w:rsid w:val="004F2C30"/>
    <w:rsid w:val="004F2C85"/>
    <w:rsid w:val="004F2D9B"/>
    <w:rsid w:val="004F2E2A"/>
    <w:rsid w:val="004F2F4A"/>
    <w:rsid w:val="004F2FBA"/>
    <w:rsid w:val="004F3079"/>
    <w:rsid w:val="004F3119"/>
    <w:rsid w:val="004F31D1"/>
    <w:rsid w:val="004F31FE"/>
    <w:rsid w:val="004F3250"/>
    <w:rsid w:val="004F329A"/>
    <w:rsid w:val="004F3300"/>
    <w:rsid w:val="004F332C"/>
    <w:rsid w:val="004F33D3"/>
    <w:rsid w:val="004F33F5"/>
    <w:rsid w:val="004F3422"/>
    <w:rsid w:val="004F3491"/>
    <w:rsid w:val="004F34BA"/>
    <w:rsid w:val="004F3558"/>
    <w:rsid w:val="004F362F"/>
    <w:rsid w:val="004F36A7"/>
    <w:rsid w:val="004F36CB"/>
    <w:rsid w:val="004F36E1"/>
    <w:rsid w:val="004F3732"/>
    <w:rsid w:val="004F373C"/>
    <w:rsid w:val="004F3750"/>
    <w:rsid w:val="004F37C5"/>
    <w:rsid w:val="004F3819"/>
    <w:rsid w:val="004F394F"/>
    <w:rsid w:val="004F39AF"/>
    <w:rsid w:val="004F3A31"/>
    <w:rsid w:val="004F3A5B"/>
    <w:rsid w:val="004F3AF3"/>
    <w:rsid w:val="004F3B02"/>
    <w:rsid w:val="004F3B3E"/>
    <w:rsid w:val="004F3B81"/>
    <w:rsid w:val="004F3B9F"/>
    <w:rsid w:val="004F3BB1"/>
    <w:rsid w:val="004F3BB3"/>
    <w:rsid w:val="004F3C38"/>
    <w:rsid w:val="004F3C5C"/>
    <w:rsid w:val="004F3C79"/>
    <w:rsid w:val="004F3CB7"/>
    <w:rsid w:val="004F3D0F"/>
    <w:rsid w:val="004F3D1F"/>
    <w:rsid w:val="004F3D88"/>
    <w:rsid w:val="004F3D95"/>
    <w:rsid w:val="004F3DCA"/>
    <w:rsid w:val="004F3E22"/>
    <w:rsid w:val="004F3E6F"/>
    <w:rsid w:val="004F3E9F"/>
    <w:rsid w:val="004F3EBD"/>
    <w:rsid w:val="004F3F1E"/>
    <w:rsid w:val="004F4023"/>
    <w:rsid w:val="004F40D8"/>
    <w:rsid w:val="004F4143"/>
    <w:rsid w:val="004F42A9"/>
    <w:rsid w:val="004F42C9"/>
    <w:rsid w:val="004F42F9"/>
    <w:rsid w:val="004F43E9"/>
    <w:rsid w:val="004F44BE"/>
    <w:rsid w:val="004F4539"/>
    <w:rsid w:val="004F4543"/>
    <w:rsid w:val="004F45D7"/>
    <w:rsid w:val="004F4631"/>
    <w:rsid w:val="004F4670"/>
    <w:rsid w:val="004F467B"/>
    <w:rsid w:val="004F4755"/>
    <w:rsid w:val="004F47FA"/>
    <w:rsid w:val="004F48C8"/>
    <w:rsid w:val="004F4934"/>
    <w:rsid w:val="004F49A2"/>
    <w:rsid w:val="004F49F9"/>
    <w:rsid w:val="004F4A17"/>
    <w:rsid w:val="004F4AEB"/>
    <w:rsid w:val="004F4CB8"/>
    <w:rsid w:val="004F4D53"/>
    <w:rsid w:val="004F4E15"/>
    <w:rsid w:val="004F4E5D"/>
    <w:rsid w:val="004F4E5F"/>
    <w:rsid w:val="004F4E98"/>
    <w:rsid w:val="004F4EAB"/>
    <w:rsid w:val="004F4ECB"/>
    <w:rsid w:val="004F4F30"/>
    <w:rsid w:val="004F4F4F"/>
    <w:rsid w:val="004F4F75"/>
    <w:rsid w:val="004F4FCD"/>
    <w:rsid w:val="004F5008"/>
    <w:rsid w:val="004F5027"/>
    <w:rsid w:val="004F50E3"/>
    <w:rsid w:val="004F5121"/>
    <w:rsid w:val="004F5156"/>
    <w:rsid w:val="004F516B"/>
    <w:rsid w:val="004F5182"/>
    <w:rsid w:val="004F5207"/>
    <w:rsid w:val="004F534B"/>
    <w:rsid w:val="004F5517"/>
    <w:rsid w:val="004F5557"/>
    <w:rsid w:val="004F556C"/>
    <w:rsid w:val="004F55A5"/>
    <w:rsid w:val="004F55F4"/>
    <w:rsid w:val="004F5643"/>
    <w:rsid w:val="004F5741"/>
    <w:rsid w:val="004F5776"/>
    <w:rsid w:val="004F57B6"/>
    <w:rsid w:val="004F57FC"/>
    <w:rsid w:val="004F5818"/>
    <w:rsid w:val="004F588B"/>
    <w:rsid w:val="004F58AA"/>
    <w:rsid w:val="004F5915"/>
    <w:rsid w:val="004F592F"/>
    <w:rsid w:val="004F5949"/>
    <w:rsid w:val="004F59D4"/>
    <w:rsid w:val="004F5A3C"/>
    <w:rsid w:val="004F5A57"/>
    <w:rsid w:val="004F5A85"/>
    <w:rsid w:val="004F5AF0"/>
    <w:rsid w:val="004F5B63"/>
    <w:rsid w:val="004F5BD6"/>
    <w:rsid w:val="004F5BDF"/>
    <w:rsid w:val="004F5CB7"/>
    <w:rsid w:val="004F5D46"/>
    <w:rsid w:val="004F5EE4"/>
    <w:rsid w:val="004F5FB4"/>
    <w:rsid w:val="004F5FC1"/>
    <w:rsid w:val="004F6068"/>
    <w:rsid w:val="004F607B"/>
    <w:rsid w:val="004F6085"/>
    <w:rsid w:val="004F6289"/>
    <w:rsid w:val="004F6395"/>
    <w:rsid w:val="004F63D7"/>
    <w:rsid w:val="004F64C6"/>
    <w:rsid w:val="004F64F4"/>
    <w:rsid w:val="004F650F"/>
    <w:rsid w:val="004F66DD"/>
    <w:rsid w:val="004F674E"/>
    <w:rsid w:val="004F67BB"/>
    <w:rsid w:val="004F67EB"/>
    <w:rsid w:val="004F6809"/>
    <w:rsid w:val="004F683A"/>
    <w:rsid w:val="004F6953"/>
    <w:rsid w:val="004F69EF"/>
    <w:rsid w:val="004F6A53"/>
    <w:rsid w:val="004F6B2A"/>
    <w:rsid w:val="004F6B61"/>
    <w:rsid w:val="004F6C09"/>
    <w:rsid w:val="004F6D68"/>
    <w:rsid w:val="004F6D82"/>
    <w:rsid w:val="004F6D96"/>
    <w:rsid w:val="004F6DC7"/>
    <w:rsid w:val="004F6DFF"/>
    <w:rsid w:val="004F6E3A"/>
    <w:rsid w:val="004F6EA0"/>
    <w:rsid w:val="004F6ED1"/>
    <w:rsid w:val="004F6F75"/>
    <w:rsid w:val="004F6FB7"/>
    <w:rsid w:val="004F6FC1"/>
    <w:rsid w:val="004F6FE7"/>
    <w:rsid w:val="004F7004"/>
    <w:rsid w:val="004F7019"/>
    <w:rsid w:val="004F7054"/>
    <w:rsid w:val="004F7093"/>
    <w:rsid w:val="004F70B5"/>
    <w:rsid w:val="004F7184"/>
    <w:rsid w:val="004F71CF"/>
    <w:rsid w:val="004F722A"/>
    <w:rsid w:val="004F727B"/>
    <w:rsid w:val="004F7293"/>
    <w:rsid w:val="004F729E"/>
    <w:rsid w:val="004F729F"/>
    <w:rsid w:val="004F72DD"/>
    <w:rsid w:val="004F72EF"/>
    <w:rsid w:val="004F730C"/>
    <w:rsid w:val="004F735F"/>
    <w:rsid w:val="004F7402"/>
    <w:rsid w:val="004F7432"/>
    <w:rsid w:val="004F744D"/>
    <w:rsid w:val="004F7478"/>
    <w:rsid w:val="004F7579"/>
    <w:rsid w:val="004F7586"/>
    <w:rsid w:val="004F758B"/>
    <w:rsid w:val="004F75E8"/>
    <w:rsid w:val="004F766A"/>
    <w:rsid w:val="004F76FC"/>
    <w:rsid w:val="004F7704"/>
    <w:rsid w:val="004F7736"/>
    <w:rsid w:val="004F77BE"/>
    <w:rsid w:val="004F77FB"/>
    <w:rsid w:val="004F7848"/>
    <w:rsid w:val="004F791B"/>
    <w:rsid w:val="004F792E"/>
    <w:rsid w:val="004F793F"/>
    <w:rsid w:val="004F7962"/>
    <w:rsid w:val="004F7A79"/>
    <w:rsid w:val="004F7ADE"/>
    <w:rsid w:val="004F7B06"/>
    <w:rsid w:val="004F7B15"/>
    <w:rsid w:val="004F7BFC"/>
    <w:rsid w:val="004F7C02"/>
    <w:rsid w:val="004F7C80"/>
    <w:rsid w:val="004F7E22"/>
    <w:rsid w:val="004F7E24"/>
    <w:rsid w:val="004F7ECB"/>
    <w:rsid w:val="004F7ED9"/>
    <w:rsid w:val="004F7F06"/>
    <w:rsid w:val="004F7F39"/>
    <w:rsid w:val="004F7F4F"/>
    <w:rsid w:val="004F7F50"/>
    <w:rsid w:val="004F7F6A"/>
    <w:rsid w:val="004F7F91"/>
    <w:rsid w:val="0050002C"/>
    <w:rsid w:val="00500046"/>
    <w:rsid w:val="0050011D"/>
    <w:rsid w:val="00500133"/>
    <w:rsid w:val="0050013D"/>
    <w:rsid w:val="00500152"/>
    <w:rsid w:val="0050018C"/>
    <w:rsid w:val="005001CD"/>
    <w:rsid w:val="0050022E"/>
    <w:rsid w:val="0050025F"/>
    <w:rsid w:val="0050027D"/>
    <w:rsid w:val="005002C3"/>
    <w:rsid w:val="0050032F"/>
    <w:rsid w:val="00500345"/>
    <w:rsid w:val="0050034E"/>
    <w:rsid w:val="005003EF"/>
    <w:rsid w:val="00500409"/>
    <w:rsid w:val="00500411"/>
    <w:rsid w:val="00500413"/>
    <w:rsid w:val="005004AC"/>
    <w:rsid w:val="005004AD"/>
    <w:rsid w:val="005004B8"/>
    <w:rsid w:val="00500541"/>
    <w:rsid w:val="005005E4"/>
    <w:rsid w:val="00500600"/>
    <w:rsid w:val="0050061D"/>
    <w:rsid w:val="005007BE"/>
    <w:rsid w:val="0050080C"/>
    <w:rsid w:val="00500810"/>
    <w:rsid w:val="0050082E"/>
    <w:rsid w:val="005008C1"/>
    <w:rsid w:val="0050093D"/>
    <w:rsid w:val="005009CA"/>
    <w:rsid w:val="00500A99"/>
    <w:rsid w:val="00500AA4"/>
    <w:rsid w:val="00500B23"/>
    <w:rsid w:val="00500B81"/>
    <w:rsid w:val="00500B87"/>
    <w:rsid w:val="00500BBA"/>
    <w:rsid w:val="00500BE7"/>
    <w:rsid w:val="00500C4A"/>
    <w:rsid w:val="00500C4E"/>
    <w:rsid w:val="00500D06"/>
    <w:rsid w:val="00500D81"/>
    <w:rsid w:val="00500DCE"/>
    <w:rsid w:val="00500E05"/>
    <w:rsid w:val="00500E11"/>
    <w:rsid w:val="00500E16"/>
    <w:rsid w:val="00500E53"/>
    <w:rsid w:val="00500E63"/>
    <w:rsid w:val="00500E96"/>
    <w:rsid w:val="00500EC8"/>
    <w:rsid w:val="00500EF0"/>
    <w:rsid w:val="00500F80"/>
    <w:rsid w:val="00500FAA"/>
    <w:rsid w:val="00500FC0"/>
    <w:rsid w:val="0050103F"/>
    <w:rsid w:val="005010A0"/>
    <w:rsid w:val="005010B6"/>
    <w:rsid w:val="005010BD"/>
    <w:rsid w:val="005010C4"/>
    <w:rsid w:val="0050111C"/>
    <w:rsid w:val="005012A5"/>
    <w:rsid w:val="005012CF"/>
    <w:rsid w:val="00501374"/>
    <w:rsid w:val="005013A5"/>
    <w:rsid w:val="005013B8"/>
    <w:rsid w:val="005013D8"/>
    <w:rsid w:val="005013DF"/>
    <w:rsid w:val="0050140C"/>
    <w:rsid w:val="00501436"/>
    <w:rsid w:val="00501474"/>
    <w:rsid w:val="005015C7"/>
    <w:rsid w:val="005015EB"/>
    <w:rsid w:val="00501645"/>
    <w:rsid w:val="0050166E"/>
    <w:rsid w:val="005016D3"/>
    <w:rsid w:val="005016FE"/>
    <w:rsid w:val="00501773"/>
    <w:rsid w:val="00501778"/>
    <w:rsid w:val="00501785"/>
    <w:rsid w:val="005017C9"/>
    <w:rsid w:val="005017E4"/>
    <w:rsid w:val="00501855"/>
    <w:rsid w:val="00501856"/>
    <w:rsid w:val="00501933"/>
    <w:rsid w:val="00501986"/>
    <w:rsid w:val="00501A0B"/>
    <w:rsid w:val="00501AC7"/>
    <w:rsid w:val="00501AF6"/>
    <w:rsid w:val="00501B3A"/>
    <w:rsid w:val="00501B7B"/>
    <w:rsid w:val="00501B95"/>
    <w:rsid w:val="00501C07"/>
    <w:rsid w:val="00501C26"/>
    <w:rsid w:val="00501C7B"/>
    <w:rsid w:val="00501C8D"/>
    <w:rsid w:val="00501D5B"/>
    <w:rsid w:val="00501D5F"/>
    <w:rsid w:val="00501D93"/>
    <w:rsid w:val="00501DD8"/>
    <w:rsid w:val="00501DFC"/>
    <w:rsid w:val="00501E2C"/>
    <w:rsid w:val="00501E4F"/>
    <w:rsid w:val="00501E99"/>
    <w:rsid w:val="00501EC1"/>
    <w:rsid w:val="00501EF3"/>
    <w:rsid w:val="00501F07"/>
    <w:rsid w:val="00501F48"/>
    <w:rsid w:val="00501F5D"/>
    <w:rsid w:val="00501FD3"/>
    <w:rsid w:val="00502073"/>
    <w:rsid w:val="005020CC"/>
    <w:rsid w:val="00502264"/>
    <w:rsid w:val="00502309"/>
    <w:rsid w:val="0050233A"/>
    <w:rsid w:val="00502380"/>
    <w:rsid w:val="005023B3"/>
    <w:rsid w:val="005023F1"/>
    <w:rsid w:val="005023FB"/>
    <w:rsid w:val="005024C8"/>
    <w:rsid w:val="005024E9"/>
    <w:rsid w:val="00502511"/>
    <w:rsid w:val="005025BD"/>
    <w:rsid w:val="0050260F"/>
    <w:rsid w:val="00502694"/>
    <w:rsid w:val="005026B2"/>
    <w:rsid w:val="005026DD"/>
    <w:rsid w:val="00502812"/>
    <w:rsid w:val="0050283B"/>
    <w:rsid w:val="00502872"/>
    <w:rsid w:val="005028CF"/>
    <w:rsid w:val="005028E6"/>
    <w:rsid w:val="005029CD"/>
    <w:rsid w:val="00502A45"/>
    <w:rsid w:val="00502AA0"/>
    <w:rsid w:val="00502B48"/>
    <w:rsid w:val="00502B4B"/>
    <w:rsid w:val="00502B83"/>
    <w:rsid w:val="00502B89"/>
    <w:rsid w:val="00502BAE"/>
    <w:rsid w:val="00502BB3"/>
    <w:rsid w:val="00502BEB"/>
    <w:rsid w:val="00502BF1"/>
    <w:rsid w:val="00502BF3"/>
    <w:rsid w:val="00502C35"/>
    <w:rsid w:val="00502CC4"/>
    <w:rsid w:val="00502D4F"/>
    <w:rsid w:val="00502D58"/>
    <w:rsid w:val="00502DB3"/>
    <w:rsid w:val="00502DCA"/>
    <w:rsid w:val="00502DD7"/>
    <w:rsid w:val="00502E4C"/>
    <w:rsid w:val="00502E97"/>
    <w:rsid w:val="00502EEB"/>
    <w:rsid w:val="00502F55"/>
    <w:rsid w:val="00502FF9"/>
    <w:rsid w:val="00503041"/>
    <w:rsid w:val="00503072"/>
    <w:rsid w:val="00503168"/>
    <w:rsid w:val="005031B1"/>
    <w:rsid w:val="00503367"/>
    <w:rsid w:val="0050347F"/>
    <w:rsid w:val="005034AF"/>
    <w:rsid w:val="005034EA"/>
    <w:rsid w:val="00503502"/>
    <w:rsid w:val="0050350E"/>
    <w:rsid w:val="0050357A"/>
    <w:rsid w:val="005035EF"/>
    <w:rsid w:val="005035F1"/>
    <w:rsid w:val="00503609"/>
    <w:rsid w:val="00503659"/>
    <w:rsid w:val="005036C7"/>
    <w:rsid w:val="00503716"/>
    <w:rsid w:val="00503785"/>
    <w:rsid w:val="005037C4"/>
    <w:rsid w:val="00503884"/>
    <w:rsid w:val="00503885"/>
    <w:rsid w:val="0050388D"/>
    <w:rsid w:val="005038A6"/>
    <w:rsid w:val="0050390B"/>
    <w:rsid w:val="0050392C"/>
    <w:rsid w:val="0050397E"/>
    <w:rsid w:val="005039DB"/>
    <w:rsid w:val="00503A6C"/>
    <w:rsid w:val="00503A71"/>
    <w:rsid w:val="00503B11"/>
    <w:rsid w:val="00503B15"/>
    <w:rsid w:val="00503B58"/>
    <w:rsid w:val="00503BDF"/>
    <w:rsid w:val="00503C5B"/>
    <w:rsid w:val="00503C73"/>
    <w:rsid w:val="00503C77"/>
    <w:rsid w:val="00503D78"/>
    <w:rsid w:val="00503D93"/>
    <w:rsid w:val="00503DEE"/>
    <w:rsid w:val="00503E38"/>
    <w:rsid w:val="00503E60"/>
    <w:rsid w:val="00503FCA"/>
    <w:rsid w:val="00503FF2"/>
    <w:rsid w:val="00504001"/>
    <w:rsid w:val="00504005"/>
    <w:rsid w:val="00504027"/>
    <w:rsid w:val="0050409A"/>
    <w:rsid w:val="00504125"/>
    <w:rsid w:val="00504164"/>
    <w:rsid w:val="00504175"/>
    <w:rsid w:val="0050419E"/>
    <w:rsid w:val="0050420B"/>
    <w:rsid w:val="005042C8"/>
    <w:rsid w:val="005042FB"/>
    <w:rsid w:val="00504316"/>
    <w:rsid w:val="0050435A"/>
    <w:rsid w:val="00504371"/>
    <w:rsid w:val="005043EE"/>
    <w:rsid w:val="0050440D"/>
    <w:rsid w:val="00504455"/>
    <w:rsid w:val="00504565"/>
    <w:rsid w:val="005045B7"/>
    <w:rsid w:val="00504689"/>
    <w:rsid w:val="00504695"/>
    <w:rsid w:val="0050476E"/>
    <w:rsid w:val="00504772"/>
    <w:rsid w:val="0050477F"/>
    <w:rsid w:val="005047A8"/>
    <w:rsid w:val="00504813"/>
    <w:rsid w:val="00504828"/>
    <w:rsid w:val="005048B8"/>
    <w:rsid w:val="005048C2"/>
    <w:rsid w:val="005048C7"/>
    <w:rsid w:val="005048D8"/>
    <w:rsid w:val="00504939"/>
    <w:rsid w:val="0050494C"/>
    <w:rsid w:val="005049FD"/>
    <w:rsid w:val="00504A06"/>
    <w:rsid w:val="00504A12"/>
    <w:rsid w:val="00504A42"/>
    <w:rsid w:val="00504A8D"/>
    <w:rsid w:val="00504AB3"/>
    <w:rsid w:val="00504B4A"/>
    <w:rsid w:val="00504BE6"/>
    <w:rsid w:val="00504CD0"/>
    <w:rsid w:val="00504D65"/>
    <w:rsid w:val="00504D9F"/>
    <w:rsid w:val="00504DA8"/>
    <w:rsid w:val="00504E6D"/>
    <w:rsid w:val="00504FA7"/>
    <w:rsid w:val="00504FC6"/>
    <w:rsid w:val="00504FDB"/>
    <w:rsid w:val="00504FF4"/>
    <w:rsid w:val="0050506B"/>
    <w:rsid w:val="00505084"/>
    <w:rsid w:val="005050BC"/>
    <w:rsid w:val="005050C1"/>
    <w:rsid w:val="005050E9"/>
    <w:rsid w:val="00505230"/>
    <w:rsid w:val="0050527E"/>
    <w:rsid w:val="00505289"/>
    <w:rsid w:val="0050528C"/>
    <w:rsid w:val="005052A1"/>
    <w:rsid w:val="005053A9"/>
    <w:rsid w:val="005053BE"/>
    <w:rsid w:val="005053CF"/>
    <w:rsid w:val="00505412"/>
    <w:rsid w:val="00505499"/>
    <w:rsid w:val="005054C5"/>
    <w:rsid w:val="0050551A"/>
    <w:rsid w:val="0050555B"/>
    <w:rsid w:val="00505589"/>
    <w:rsid w:val="005055A1"/>
    <w:rsid w:val="005055EA"/>
    <w:rsid w:val="0050565D"/>
    <w:rsid w:val="00505772"/>
    <w:rsid w:val="00505775"/>
    <w:rsid w:val="00505798"/>
    <w:rsid w:val="0050579C"/>
    <w:rsid w:val="005057B3"/>
    <w:rsid w:val="005057F5"/>
    <w:rsid w:val="0050581C"/>
    <w:rsid w:val="00505839"/>
    <w:rsid w:val="00505857"/>
    <w:rsid w:val="005058BA"/>
    <w:rsid w:val="0050596F"/>
    <w:rsid w:val="00505973"/>
    <w:rsid w:val="005059C9"/>
    <w:rsid w:val="00505A74"/>
    <w:rsid w:val="00505A9E"/>
    <w:rsid w:val="00505ADA"/>
    <w:rsid w:val="00505B2C"/>
    <w:rsid w:val="00505B79"/>
    <w:rsid w:val="00505BC6"/>
    <w:rsid w:val="00505C4A"/>
    <w:rsid w:val="00505D41"/>
    <w:rsid w:val="00505D7D"/>
    <w:rsid w:val="00505E33"/>
    <w:rsid w:val="00505EC0"/>
    <w:rsid w:val="00505F1E"/>
    <w:rsid w:val="00505F9B"/>
    <w:rsid w:val="0050601D"/>
    <w:rsid w:val="0050608E"/>
    <w:rsid w:val="005060C3"/>
    <w:rsid w:val="005060D1"/>
    <w:rsid w:val="0050616A"/>
    <w:rsid w:val="005061A5"/>
    <w:rsid w:val="005061B7"/>
    <w:rsid w:val="005063C3"/>
    <w:rsid w:val="005063D9"/>
    <w:rsid w:val="00506405"/>
    <w:rsid w:val="00506451"/>
    <w:rsid w:val="0050648A"/>
    <w:rsid w:val="00506592"/>
    <w:rsid w:val="0050659D"/>
    <w:rsid w:val="0050672A"/>
    <w:rsid w:val="0050677C"/>
    <w:rsid w:val="0050679E"/>
    <w:rsid w:val="00506815"/>
    <w:rsid w:val="00506824"/>
    <w:rsid w:val="00506874"/>
    <w:rsid w:val="005068FF"/>
    <w:rsid w:val="00506912"/>
    <w:rsid w:val="005069D6"/>
    <w:rsid w:val="00506A13"/>
    <w:rsid w:val="00506B07"/>
    <w:rsid w:val="00506B66"/>
    <w:rsid w:val="00506B78"/>
    <w:rsid w:val="00506B87"/>
    <w:rsid w:val="00506B95"/>
    <w:rsid w:val="00506C53"/>
    <w:rsid w:val="00506C7D"/>
    <w:rsid w:val="00506CF5"/>
    <w:rsid w:val="00506D3F"/>
    <w:rsid w:val="00506D55"/>
    <w:rsid w:val="00506D78"/>
    <w:rsid w:val="00506E10"/>
    <w:rsid w:val="00506E42"/>
    <w:rsid w:val="00506E8E"/>
    <w:rsid w:val="00506F5E"/>
    <w:rsid w:val="00506F73"/>
    <w:rsid w:val="00506FB8"/>
    <w:rsid w:val="00506FC5"/>
    <w:rsid w:val="00507010"/>
    <w:rsid w:val="005070A1"/>
    <w:rsid w:val="005070BF"/>
    <w:rsid w:val="005070D7"/>
    <w:rsid w:val="005071AF"/>
    <w:rsid w:val="005071E1"/>
    <w:rsid w:val="005071ED"/>
    <w:rsid w:val="005072A5"/>
    <w:rsid w:val="005072DB"/>
    <w:rsid w:val="00507321"/>
    <w:rsid w:val="00507324"/>
    <w:rsid w:val="00507393"/>
    <w:rsid w:val="005073E2"/>
    <w:rsid w:val="005074D2"/>
    <w:rsid w:val="005074FE"/>
    <w:rsid w:val="00507532"/>
    <w:rsid w:val="00507555"/>
    <w:rsid w:val="00507558"/>
    <w:rsid w:val="0050763C"/>
    <w:rsid w:val="00507657"/>
    <w:rsid w:val="0050767A"/>
    <w:rsid w:val="005076EA"/>
    <w:rsid w:val="00507715"/>
    <w:rsid w:val="00507738"/>
    <w:rsid w:val="0050775B"/>
    <w:rsid w:val="0050778B"/>
    <w:rsid w:val="0050778F"/>
    <w:rsid w:val="005077A3"/>
    <w:rsid w:val="005077D4"/>
    <w:rsid w:val="005077F0"/>
    <w:rsid w:val="00507831"/>
    <w:rsid w:val="005078D4"/>
    <w:rsid w:val="005078EB"/>
    <w:rsid w:val="005078F0"/>
    <w:rsid w:val="00507926"/>
    <w:rsid w:val="0050794D"/>
    <w:rsid w:val="005079A6"/>
    <w:rsid w:val="005079B7"/>
    <w:rsid w:val="005079BB"/>
    <w:rsid w:val="005079CF"/>
    <w:rsid w:val="00507A7B"/>
    <w:rsid w:val="00507A80"/>
    <w:rsid w:val="00507ABE"/>
    <w:rsid w:val="00507B20"/>
    <w:rsid w:val="00507C0B"/>
    <w:rsid w:val="00507C3F"/>
    <w:rsid w:val="00507D5F"/>
    <w:rsid w:val="00507E10"/>
    <w:rsid w:val="00507E61"/>
    <w:rsid w:val="00507E86"/>
    <w:rsid w:val="00507F0F"/>
    <w:rsid w:val="00507F75"/>
    <w:rsid w:val="00507FBA"/>
    <w:rsid w:val="00507FC5"/>
    <w:rsid w:val="00510179"/>
    <w:rsid w:val="00510196"/>
    <w:rsid w:val="005101BE"/>
    <w:rsid w:val="005102A3"/>
    <w:rsid w:val="005102B6"/>
    <w:rsid w:val="005102C3"/>
    <w:rsid w:val="00510301"/>
    <w:rsid w:val="00510337"/>
    <w:rsid w:val="00510340"/>
    <w:rsid w:val="00510353"/>
    <w:rsid w:val="00510357"/>
    <w:rsid w:val="00510473"/>
    <w:rsid w:val="005104B5"/>
    <w:rsid w:val="005104DD"/>
    <w:rsid w:val="005104E2"/>
    <w:rsid w:val="005104FD"/>
    <w:rsid w:val="0051050B"/>
    <w:rsid w:val="00510553"/>
    <w:rsid w:val="00510560"/>
    <w:rsid w:val="00510564"/>
    <w:rsid w:val="00510619"/>
    <w:rsid w:val="00510651"/>
    <w:rsid w:val="0051066D"/>
    <w:rsid w:val="00510737"/>
    <w:rsid w:val="0051076E"/>
    <w:rsid w:val="005107C0"/>
    <w:rsid w:val="00510822"/>
    <w:rsid w:val="0051086A"/>
    <w:rsid w:val="00510872"/>
    <w:rsid w:val="0051088E"/>
    <w:rsid w:val="005108CA"/>
    <w:rsid w:val="005109B4"/>
    <w:rsid w:val="005109F2"/>
    <w:rsid w:val="00510A86"/>
    <w:rsid w:val="00510AEB"/>
    <w:rsid w:val="00510B52"/>
    <w:rsid w:val="00510BC2"/>
    <w:rsid w:val="00510C29"/>
    <w:rsid w:val="00510D8E"/>
    <w:rsid w:val="00510D90"/>
    <w:rsid w:val="00510DE2"/>
    <w:rsid w:val="00510E50"/>
    <w:rsid w:val="00510F03"/>
    <w:rsid w:val="00510F5B"/>
    <w:rsid w:val="00510F82"/>
    <w:rsid w:val="00511020"/>
    <w:rsid w:val="00511027"/>
    <w:rsid w:val="0051103C"/>
    <w:rsid w:val="0051106E"/>
    <w:rsid w:val="0051109A"/>
    <w:rsid w:val="005110A6"/>
    <w:rsid w:val="005110CD"/>
    <w:rsid w:val="005110CF"/>
    <w:rsid w:val="005110EC"/>
    <w:rsid w:val="0051110B"/>
    <w:rsid w:val="00511152"/>
    <w:rsid w:val="0051115A"/>
    <w:rsid w:val="00511166"/>
    <w:rsid w:val="00511194"/>
    <w:rsid w:val="00511209"/>
    <w:rsid w:val="00511226"/>
    <w:rsid w:val="005113AD"/>
    <w:rsid w:val="005113B2"/>
    <w:rsid w:val="005113BD"/>
    <w:rsid w:val="005114AA"/>
    <w:rsid w:val="00511538"/>
    <w:rsid w:val="00511610"/>
    <w:rsid w:val="00511669"/>
    <w:rsid w:val="005116A6"/>
    <w:rsid w:val="00511718"/>
    <w:rsid w:val="0051173B"/>
    <w:rsid w:val="00511788"/>
    <w:rsid w:val="0051179B"/>
    <w:rsid w:val="00511878"/>
    <w:rsid w:val="00511921"/>
    <w:rsid w:val="0051196B"/>
    <w:rsid w:val="00511A21"/>
    <w:rsid w:val="00511AE0"/>
    <w:rsid w:val="00511B10"/>
    <w:rsid w:val="00511B32"/>
    <w:rsid w:val="00511B5C"/>
    <w:rsid w:val="00511B7C"/>
    <w:rsid w:val="00511B80"/>
    <w:rsid w:val="00511B8F"/>
    <w:rsid w:val="00511C01"/>
    <w:rsid w:val="00511CAF"/>
    <w:rsid w:val="00511D5A"/>
    <w:rsid w:val="00511D61"/>
    <w:rsid w:val="00511DFA"/>
    <w:rsid w:val="00511E06"/>
    <w:rsid w:val="00511E1A"/>
    <w:rsid w:val="00511F47"/>
    <w:rsid w:val="00511FAA"/>
    <w:rsid w:val="00511FEA"/>
    <w:rsid w:val="00512099"/>
    <w:rsid w:val="005120E7"/>
    <w:rsid w:val="00512122"/>
    <w:rsid w:val="0051219D"/>
    <w:rsid w:val="005121C8"/>
    <w:rsid w:val="005121CD"/>
    <w:rsid w:val="005121EB"/>
    <w:rsid w:val="0051223C"/>
    <w:rsid w:val="005122CE"/>
    <w:rsid w:val="00512356"/>
    <w:rsid w:val="005123A1"/>
    <w:rsid w:val="005123DB"/>
    <w:rsid w:val="00512400"/>
    <w:rsid w:val="0051246C"/>
    <w:rsid w:val="005124D5"/>
    <w:rsid w:val="0051259F"/>
    <w:rsid w:val="00512605"/>
    <w:rsid w:val="005126DD"/>
    <w:rsid w:val="0051278A"/>
    <w:rsid w:val="005127A1"/>
    <w:rsid w:val="00512815"/>
    <w:rsid w:val="00512855"/>
    <w:rsid w:val="0051287D"/>
    <w:rsid w:val="00512953"/>
    <w:rsid w:val="0051295D"/>
    <w:rsid w:val="0051295F"/>
    <w:rsid w:val="005129C3"/>
    <w:rsid w:val="005129EE"/>
    <w:rsid w:val="00512A2F"/>
    <w:rsid w:val="00512AF5"/>
    <w:rsid w:val="00512B30"/>
    <w:rsid w:val="00512B4A"/>
    <w:rsid w:val="00512BB5"/>
    <w:rsid w:val="00512C5F"/>
    <w:rsid w:val="00512C89"/>
    <w:rsid w:val="00512C90"/>
    <w:rsid w:val="00512CD8"/>
    <w:rsid w:val="00512D17"/>
    <w:rsid w:val="00512D37"/>
    <w:rsid w:val="00512D42"/>
    <w:rsid w:val="00512D97"/>
    <w:rsid w:val="00512E13"/>
    <w:rsid w:val="00512E55"/>
    <w:rsid w:val="00512EAC"/>
    <w:rsid w:val="00512ED6"/>
    <w:rsid w:val="00512F02"/>
    <w:rsid w:val="00512F30"/>
    <w:rsid w:val="00512F83"/>
    <w:rsid w:val="00512FB6"/>
    <w:rsid w:val="00512FD6"/>
    <w:rsid w:val="005130EB"/>
    <w:rsid w:val="00513149"/>
    <w:rsid w:val="005131D8"/>
    <w:rsid w:val="0051324A"/>
    <w:rsid w:val="005132CA"/>
    <w:rsid w:val="00513376"/>
    <w:rsid w:val="005133FB"/>
    <w:rsid w:val="00513475"/>
    <w:rsid w:val="00513512"/>
    <w:rsid w:val="0051359C"/>
    <w:rsid w:val="0051361F"/>
    <w:rsid w:val="0051367E"/>
    <w:rsid w:val="005136AD"/>
    <w:rsid w:val="005136E7"/>
    <w:rsid w:val="0051378E"/>
    <w:rsid w:val="005137B6"/>
    <w:rsid w:val="0051385C"/>
    <w:rsid w:val="005138CB"/>
    <w:rsid w:val="005138E8"/>
    <w:rsid w:val="00513900"/>
    <w:rsid w:val="00513966"/>
    <w:rsid w:val="00513A03"/>
    <w:rsid w:val="00513A21"/>
    <w:rsid w:val="00513AE6"/>
    <w:rsid w:val="00513BA8"/>
    <w:rsid w:val="00513BB8"/>
    <w:rsid w:val="00513C9B"/>
    <w:rsid w:val="00513D21"/>
    <w:rsid w:val="00513D89"/>
    <w:rsid w:val="00513F2C"/>
    <w:rsid w:val="00513F91"/>
    <w:rsid w:val="00513FCE"/>
    <w:rsid w:val="00514072"/>
    <w:rsid w:val="00514080"/>
    <w:rsid w:val="0051417D"/>
    <w:rsid w:val="005141A7"/>
    <w:rsid w:val="005141CB"/>
    <w:rsid w:val="005141E8"/>
    <w:rsid w:val="0051427A"/>
    <w:rsid w:val="0051428F"/>
    <w:rsid w:val="00514366"/>
    <w:rsid w:val="0051436B"/>
    <w:rsid w:val="005143F5"/>
    <w:rsid w:val="00514440"/>
    <w:rsid w:val="00514441"/>
    <w:rsid w:val="0051445A"/>
    <w:rsid w:val="00514555"/>
    <w:rsid w:val="0051458B"/>
    <w:rsid w:val="0051458F"/>
    <w:rsid w:val="00514633"/>
    <w:rsid w:val="00514645"/>
    <w:rsid w:val="00514693"/>
    <w:rsid w:val="005146A3"/>
    <w:rsid w:val="005146BF"/>
    <w:rsid w:val="0051475B"/>
    <w:rsid w:val="0051475C"/>
    <w:rsid w:val="0051490B"/>
    <w:rsid w:val="0051493A"/>
    <w:rsid w:val="0051495C"/>
    <w:rsid w:val="00514991"/>
    <w:rsid w:val="005149A9"/>
    <w:rsid w:val="005149CF"/>
    <w:rsid w:val="00514A2E"/>
    <w:rsid w:val="00514A34"/>
    <w:rsid w:val="00514AB1"/>
    <w:rsid w:val="00514B65"/>
    <w:rsid w:val="00514BC5"/>
    <w:rsid w:val="00514BEA"/>
    <w:rsid w:val="00514C02"/>
    <w:rsid w:val="00514C1B"/>
    <w:rsid w:val="00514D4A"/>
    <w:rsid w:val="00514E20"/>
    <w:rsid w:val="00514E58"/>
    <w:rsid w:val="00514ED0"/>
    <w:rsid w:val="00514F08"/>
    <w:rsid w:val="00514F13"/>
    <w:rsid w:val="00514F20"/>
    <w:rsid w:val="00514F41"/>
    <w:rsid w:val="0051509E"/>
    <w:rsid w:val="00515139"/>
    <w:rsid w:val="00515216"/>
    <w:rsid w:val="00515232"/>
    <w:rsid w:val="005152A4"/>
    <w:rsid w:val="005152D7"/>
    <w:rsid w:val="005153CD"/>
    <w:rsid w:val="005153CF"/>
    <w:rsid w:val="00515433"/>
    <w:rsid w:val="00515491"/>
    <w:rsid w:val="0051552D"/>
    <w:rsid w:val="0051562B"/>
    <w:rsid w:val="00515632"/>
    <w:rsid w:val="005156B1"/>
    <w:rsid w:val="005156E1"/>
    <w:rsid w:val="0051570A"/>
    <w:rsid w:val="00515712"/>
    <w:rsid w:val="00515726"/>
    <w:rsid w:val="00515869"/>
    <w:rsid w:val="00515946"/>
    <w:rsid w:val="00515962"/>
    <w:rsid w:val="005159FB"/>
    <w:rsid w:val="00515A45"/>
    <w:rsid w:val="00515A7C"/>
    <w:rsid w:val="00515AAE"/>
    <w:rsid w:val="00515AE8"/>
    <w:rsid w:val="00515AEF"/>
    <w:rsid w:val="00515CEA"/>
    <w:rsid w:val="00515D39"/>
    <w:rsid w:val="00515D3B"/>
    <w:rsid w:val="00515D61"/>
    <w:rsid w:val="00515D76"/>
    <w:rsid w:val="00515DAB"/>
    <w:rsid w:val="00515DE7"/>
    <w:rsid w:val="00515E73"/>
    <w:rsid w:val="00515EB5"/>
    <w:rsid w:val="00515EEC"/>
    <w:rsid w:val="00515F8F"/>
    <w:rsid w:val="00515FA2"/>
    <w:rsid w:val="00515FEF"/>
    <w:rsid w:val="00515FFD"/>
    <w:rsid w:val="005160A8"/>
    <w:rsid w:val="0051615D"/>
    <w:rsid w:val="005161D4"/>
    <w:rsid w:val="0051622E"/>
    <w:rsid w:val="0051624F"/>
    <w:rsid w:val="005162D7"/>
    <w:rsid w:val="005163B4"/>
    <w:rsid w:val="005163B5"/>
    <w:rsid w:val="0051646E"/>
    <w:rsid w:val="005164EA"/>
    <w:rsid w:val="005164EE"/>
    <w:rsid w:val="005165A5"/>
    <w:rsid w:val="005165D0"/>
    <w:rsid w:val="005166D7"/>
    <w:rsid w:val="005166F7"/>
    <w:rsid w:val="0051675F"/>
    <w:rsid w:val="005167D8"/>
    <w:rsid w:val="00516810"/>
    <w:rsid w:val="00516858"/>
    <w:rsid w:val="00516945"/>
    <w:rsid w:val="00516A56"/>
    <w:rsid w:val="00516CAA"/>
    <w:rsid w:val="00516CB4"/>
    <w:rsid w:val="00516D26"/>
    <w:rsid w:val="00516D5F"/>
    <w:rsid w:val="00516DD2"/>
    <w:rsid w:val="00516F3D"/>
    <w:rsid w:val="00516F68"/>
    <w:rsid w:val="00516F7A"/>
    <w:rsid w:val="00516FC1"/>
    <w:rsid w:val="00516FC7"/>
    <w:rsid w:val="00517022"/>
    <w:rsid w:val="00517036"/>
    <w:rsid w:val="00517067"/>
    <w:rsid w:val="005171CD"/>
    <w:rsid w:val="00517287"/>
    <w:rsid w:val="00517313"/>
    <w:rsid w:val="0051737F"/>
    <w:rsid w:val="005173EB"/>
    <w:rsid w:val="0051741A"/>
    <w:rsid w:val="0051744B"/>
    <w:rsid w:val="005174D6"/>
    <w:rsid w:val="00517515"/>
    <w:rsid w:val="00517529"/>
    <w:rsid w:val="005175AC"/>
    <w:rsid w:val="005175E2"/>
    <w:rsid w:val="005176BC"/>
    <w:rsid w:val="00517735"/>
    <w:rsid w:val="0051775E"/>
    <w:rsid w:val="0051776F"/>
    <w:rsid w:val="005177BE"/>
    <w:rsid w:val="005178C3"/>
    <w:rsid w:val="00517A1B"/>
    <w:rsid w:val="00517A72"/>
    <w:rsid w:val="00517AEB"/>
    <w:rsid w:val="00517B8E"/>
    <w:rsid w:val="00517BCE"/>
    <w:rsid w:val="00517C4C"/>
    <w:rsid w:val="00517C8B"/>
    <w:rsid w:val="00517D1F"/>
    <w:rsid w:val="00517D3B"/>
    <w:rsid w:val="00517D5C"/>
    <w:rsid w:val="00517DD7"/>
    <w:rsid w:val="00517DFE"/>
    <w:rsid w:val="00517E88"/>
    <w:rsid w:val="00517E91"/>
    <w:rsid w:val="00517EB7"/>
    <w:rsid w:val="00517EEB"/>
    <w:rsid w:val="00517F32"/>
    <w:rsid w:val="00517F3F"/>
    <w:rsid w:val="00520010"/>
    <w:rsid w:val="0052003B"/>
    <w:rsid w:val="0052009E"/>
    <w:rsid w:val="005200BE"/>
    <w:rsid w:val="0052010C"/>
    <w:rsid w:val="00520140"/>
    <w:rsid w:val="00520186"/>
    <w:rsid w:val="005201A0"/>
    <w:rsid w:val="005201D5"/>
    <w:rsid w:val="00520249"/>
    <w:rsid w:val="0052024C"/>
    <w:rsid w:val="00520294"/>
    <w:rsid w:val="005202C9"/>
    <w:rsid w:val="005202F3"/>
    <w:rsid w:val="0052038E"/>
    <w:rsid w:val="005203E1"/>
    <w:rsid w:val="0052045A"/>
    <w:rsid w:val="0052048F"/>
    <w:rsid w:val="005204D0"/>
    <w:rsid w:val="005205BE"/>
    <w:rsid w:val="005205E9"/>
    <w:rsid w:val="005206C7"/>
    <w:rsid w:val="00520745"/>
    <w:rsid w:val="00520756"/>
    <w:rsid w:val="005207A3"/>
    <w:rsid w:val="005207C8"/>
    <w:rsid w:val="0052085F"/>
    <w:rsid w:val="00520969"/>
    <w:rsid w:val="0052096D"/>
    <w:rsid w:val="00520996"/>
    <w:rsid w:val="005209E6"/>
    <w:rsid w:val="00520A02"/>
    <w:rsid w:val="00520A1B"/>
    <w:rsid w:val="00520A33"/>
    <w:rsid w:val="00520A35"/>
    <w:rsid w:val="00520A3C"/>
    <w:rsid w:val="00520AD3"/>
    <w:rsid w:val="00520B75"/>
    <w:rsid w:val="00520B8E"/>
    <w:rsid w:val="00520BBF"/>
    <w:rsid w:val="00520BD6"/>
    <w:rsid w:val="00520C06"/>
    <w:rsid w:val="00520C19"/>
    <w:rsid w:val="00520C27"/>
    <w:rsid w:val="00520CB5"/>
    <w:rsid w:val="00520D1E"/>
    <w:rsid w:val="00520DE6"/>
    <w:rsid w:val="00520E50"/>
    <w:rsid w:val="00520E65"/>
    <w:rsid w:val="00520E6E"/>
    <w:rsid w:val="00520E7F"/>
    <w:rsid w:val="00520E80"/>
    <w:rsid w:val="00520EBA"/>
    <w:rsid w:val="00520ECB"/>
    <w:rsid w:val="00520F3F"/>
    <w:rsid w:val="00520F57"/>
    <w:rsid w:val="00520FAF"/>
    <w:rsid w:val="00520FC1"/>
    <w:rsid w:val="00521010"/>
    <w:rsid w:val="0052107D"/>
    <w:rsid w:val="00521128"/>
    <w:rsid w:val="00521174"/>
    <w:rsid w:val="00521179"/>
    <w:rsid w:val="0052121A"/>
    <w:rsid w:val="00521228"/>
    <w:rsid w:val="00521269"/>
    <w:rsid w:val="0052126B"/>
    <w:rsid w:val="00521273"/>
    <w:rsid w:val="005212A7"/>
    <w:rsid w:val="005212C2"/>
    <w:rsid w:val="00521301"/>
    <w:rsid w:val="00521305"/>
    <w:rsid w:val="00521329"/>
    <w:rsid w:val="00521391"/>
    <w:rsid w:val="00521399"/>
    <w:rsid w:val="005213DE"/>
    <w:rsid w:val="00521450"/>
    <w:rsid w:val="005214E2"/>
    <w:rsid w:val="0052152E"/>
    <w:rsid w:val="005215E8"/>
    <w:rsid w:val="00521665"/>
    <w:rsid w:val="005216E4"/>
    <w:rsid w:val="005216F7"/>
    <w:rsid w:val="00521733"/>
    <w:rsid w:val="00521790"/>
    <w:rsid w:val="005217DE"/>
    <w:rsid w:val="005217E3"/>
    <w:rsid w:val="005217E4"/>
    <w:rsid w:val="00521844"/>
    <w:rsid w:val="005218B7"/>
    <w:rsid w:val="00521904"/>
    <w:rsid w:val="00521928"/>
    <w:rsid w:val="0052192B"/>
    <w:rsid w:val="00521933"/>
    <w:rsid w:val="00521AA9"/>
    <w:rsid w:val="00521AFD"/>
    <w:rsid w:val="00521B3B"/>
    <w:rsid w:val="00521BA8"/>
    <w:rsid w:val="00521CFB"/>
    <w:rsid w:val="00521D98"/>
    <w:rsid w:val="00521E59"/>
    <w:rsid w:val="00521EDC"/>
    <w:rsid w:val="00521F17"/>
    <w:rsid w:val="00521F59"/>
    <w:rsid w:val="00521F5D"/>
    <w:rsid w:val="00521F92"/>
    <w:rsid w:val="00521FC0"/>
    <w:rsid w:val="00522152"/>
    <w:rsid w:val="0052218B"/>
    <w:rsid w:val="00522196"/>
    <w:rsid w:val="00522256"/>
    <w:rsid w:val="00522324"/>
    <w:rsid w:val="0052245F"/>
    <w:rsid w:val="005224DC"/>
    <w:rsid w:val="00522581"/>
    <w:rsid w:val="0052258B"/>
    <w:rsid w:val="0052262F"/>
    <w:rsid w:val="00522636"/>
    <w:rsid w:val="0052265D"/>
    <w:rsid w:val="005226B4"/>
    <w:rsid w:val="00522783"/>
    <w:rsid w:val="005227E6"/>
    <w:rsid w:val="005227ED"/>
    <w:rsid w:val="005227F4"/>
    <w:rsid w:val="00522803"/>
    <w:rsid w:val="00522812"/>
    <w:rsid w:val="005228CF"/>
    <w:rsid w:val="00522945"/>
    <w:rsid w:val="0052294B"/>
    <w:rsid w:val="005229F1"/>
    <w:rsid w:val="00522AAC"/>
    <w:rsid w:val="00522ADE"/>
    <w:rsid w:val="00522BB9"/>
    <w:rsid w:val="00522BE5"/>
    <w:rsid w:val="00522C8D"/>
    <w:rsid w:val="00522CB3"/>
    <w:rsid w:val="00522CB6"/>
    <w:rsid w:val="00522CC1"/>
    <w:rsid w:val="00522CC5"/>
    <w:rsid w:val="00522CC8"/>
    <w:rsid w:val="00522CF8"/>
    <w:rsid w:val="00522D4E"/>
    <w:rsid w:val="00522DA1"/>
    <w:rsid w:val="00522E20"/>
    <w:rsid w:val="00522E9E"/>
    <w:rsid w:val="00522EF3"/>
    <w:rsid w:val="00522F30"/>
    <w:rsid w:val="00523050"/>
    <w:rsid w:val="0052310E"/>
    <w:rsid w:val="00523114"/>
    <w:rsid w:val="00523142"/>
    <w:rsid w:val="00523197"/>
    <w:rsid w:val="0052320F"/>
    <w:rsid w:val="005232C0"/>
    <w:rsid w:val="005232C4"/>
    <w:rsid w:val="00523301"/>
    <w:rsid w:val="00523320"/>
    <w:rsid w:val="0052333B"/>
    <w:rsid w:val="00523346"/>
    <w:rsid w:val="00523347"/>
    <w:rsid w:val="005233A9"/>
    <w:rsid w:val="005233E2"/>
    <w:rsid w:val="00523432"/>
    <w:rsid w:val="00523561"/>
    <w:rsid w:val="0052357D"/>
    <w:rsid w:val="00523583"/>
    <w:rsid w:val="0052359C"/>
    <w:rsid w:val="00523617"/>
    <w:rsid w:val="00523634"/>
    <w:rsid w:val="005237F1"/>
    <w:rsid w:val="00523815"/>
    <w:rsid w:val="005238ED"/>
    <w:rsid w:val="00523AA4"/>
    <w:rsid w:val="00523ADE"/>
    <w:rsid w:val="00523B11"/>
    <w:rsid w:val="00523B16"/>
    <w:rsid w:val="00523B2B"/>
    <w:rsid w:val="00523BAE"/>
    <w:rsid w:val="00523BCA"/>
    <w:rsid w:val="00523BE0"/>
    <w:rsid w:val="00523C28"/>
    <w:rsid w:val="00523C71"/>
    <w:rsid w:val="00523C74"/>
    <w:rsid w:val="00523C75"/>
    <w:rsid w:val="00523CBF"/>
    <w:rsid w:val="00523CE2"/>
    <w:rsid w:val="00523D5D"/>
    <w:rsid w:val="00523DB3"/>
    <w:rsid w:val="00523E79"/>
    <w:rsid w:val="00523F0A"/>
    <w:rsid w:val="00523F65"/>
    <w:rsid w:val="00523F72"/>
    <w:rsid w:val="00523F76"/>
    <w:rsid w:val="00523FB3"/>
    <w:rsid w:val="00524068"/>
    <w:rsid w:val="005241A8"/>
    <w:rsid w:val="005241B5"/>
    <w:rsid w:val="005241D3"/>
    <w:rsid w:val="005241FE"/>
    <w:rsid w:val="0052427D"/>
    <w:rsid w:val="00524295"/>
    <w:rsid w:val="005242C5"/>
    <w:rsid w:val="005242F6"/>
    <w:rsid w:val="00524301"/>
    <w:rsid w:val="00524360"/>
    <w:rsid w:val="0052437E"/>
    <w:rsid w:val="005243B2"/>
    <w:rsid w:val="005243DA"/>
    <w:rsid w:val="005244DA"/>
    <w:rsid w:val="0052450F"/>
    <w:rsid w:val="00524511"/>
    <w:rsid w:val="00524547"/>
    <w:rsid w:val="00524553"/>
    <w:rsid w:val="00524560"/>
    <w:rsid w:val="0052458F"/>
    <w:rsid w:val="00524658"/>
    <w:rsid w:val="005246BF"/>
    <w:rsid w:val="005246D1"/>
    <w:rsid w:val="00524718"/>
    <w:rsid w:val="00524746"/>
    <w:rsid w:val="00524815"/>
    <w:rsid w:val="00524857"/>
    <w:rsid w:val="0052488D"/>
    <w:rsid w:val="00524898"/>
    <w:rsid w:val="0052489B"/>
    <w:rsid w:val="005248B5"/>
    <w:rsid w:val="00524913"/>
    <w:rsid w:val="00524920"/>
    <w:rsid w:val="00524938"/>
    <w:rsid w:val="005249B9"/>
    <w:rsid w:val="005249FC"/>
    <w:rsid w:val="00524A1C"/>
    <w:rsid w:val="00524A54"/>
    <w:rsid w:val="00524AEE"/>
    <w:rsid w:val="00524C18"/>
    <w:rsid w:val="00524D18"/>
    <w:rsid w:val="00524D33"/>
    <w:rsid w:val="00524E07"/>
    <w:rsid w:val="00524E40"/>
    <w:rsid w:val="00524E51"/>
    <w:rsid w:val="00524EC7"/>
    <w:rsid w:val="00524F05"/>
    <w:rsid w:val="00524F0C"/>
    <w:rsid w:val="00524F2C"/>
    <w:rsid w:val="00524FAB"/>
    <w:rsid w:val="005250D5"/>
    <w:rsid w:val="005251AA"/>
    <w:rsid w:val="00525380"/>
    <w:rsid w:val="005253B9"/>
    <w:rsid w:val="005253CE"/>
    <w:rsid w:val="00525434"/>
    <w:rsid w:val="005254B5"/>
    <w:rsid w:val="0052554B"/>
    <w:rsid w:val="005255F5"/>
    <w:rsid w:val="00525654"/>
    <w:rsid w:val="00525774"/>
    <w:rsid w:val="00525844"/>
    <w:rsid w:val="00525952"/>
    <w:rsid w:val="00525988"/>
    <w:rsid w:val="00525990"/>
    <w:rsid w:val="005259B1"/>
    <w:rsid w:val="005259FC"/>
    <w:rsid w:val="00525A49"/>
    <w:rsid w:val="00525A4A"/>
    <w:rsid w:val="00525A6D"/>
    <w:rsid w:val="00525AA6"/>
    <w:rsid w:val="00525AE2"/>
    <w:rsid w:val="00525B07"/>
    <w:rsid w:val="00525B52"/>
    <w:rsid w:val="00525B58"/>
    <w:rsid w:val="00525BF8"/>
    <w:rsid w:val="00525C21"/>
    <w:rsid w:val="00525C58"/>
    <w:rsid w:val="00525D8C"/>
    <w:rsid w:val="00525E14"/>
    <w:rsid w:val="00525E8D"/>
    <w:rsid w:val="00525EA1"/>
    <w:rsid w:val="00525F19"/>
    <w:rsid w:val="00525F32"/>
    <w:rsid w:val="00525F6B"/>
    <w:rsid w:val="00525F70"/>
    <w:rsid w:val="00525FB7"/>
    <w:rsid w:val="00525FCB"/>
    <w:rsid w:val="00526019"/>
    <w:rsid w:val="00526082"/>
    <w:rsid w:val="005260AB"/>
    <w:rsid w:val="005260CF"/>
    <w:rsid w:val="00526144"/>
    <w:rsid w:val="0052616C"/>
    <w:rsid w:val="0052629F"/>
    <w:rsid w:val="0052633E"/>
    <w:rsid w:val="0052638A"/>
    <w:rsid w:val="005263AD"/>
    <w:rsid w:val="005263AE"/>
    <w:rsid w:val="005263AF"/>
    <w:rsid w:val="0052642A"/>
    <w:rsid w:val="0052644F"/>
    <w:rsid w:val="00526470"/>
    <w:rsid w:val="00526488"/>
    <w:rsid w:val="005264F9"/>
    <w:rsid w:val="00526523"/>
    <w:rsid w:val="0052656E"/>
    <w:rsid w:val="005265AC"/>
    <w:rsid w:val="00526622"/>
    <w:rsid w:val="0052664E"/>
    <w:rsid w:val="00526652"/>
    <w:rsid w:val="005266BC"/>
    <w:rsid w:val="005266E9"/>
    <w:rsid w:val="00526784"/>
    <w:rsid w:val="005267AD"/>
    <w:rsid w:val="005267D8"/>
    <w:rsid w:val="005267E9"/>
    <w:rsid w:val="00526816"/>
    <w:rsid w:val="00526888"/>
    <w:rsid w:val="00526889"/>
    <w:rsid w:val="00526895"/>
    <w:rsid w:val="005268FC"/>
    <w:rsid w:val="0052696C"/>
    <w:rsid w:val="005269AC"/>
    <w:rsid w:val="005269E6"/>
    <w:rsid w:val="00526A3C"/>
    <w:rsid w:val="00526A99"/>
    <w:rsid w:val="00526AA1"/>
    <w:rsid w:val="00526AF9"/>
    <w:rsid w:val="00526B2E"/>
    <w:rsid w:val="00526B3A"/>
    <w:rsid w:val="00526B63"/>
    <w:rsid w:val="00526C8B"/>
    <w:rsid w:val="00526CDC"/>
    <w:rsid w:val="00526CDE"/>
    <w:rsid w:val="00526D4D"/>
    <w:rsid w:val="00526D93"/>
    <w:rsid w:val="00526DB6"/>
    <w:rsid w:val="00526E3E"/>
    <w:rsid w:val="00526E51"/>
    <w:rsid w:val="00526E5C"/>
    <w:rsid w:val="00526E80"/>
    <w:rsid w:val="00526ED3"/>
    <w:rsid w:val="00526F19"/>
    <w:rsid w:val="00526F2B"/>
    <w:rsid w:val="00526F3B"/>
    <w:rsid w:val="00526F88"/>
    <w:rsid w:val="00526FA8"/>
    <w:rsid w:val="0052701F"/>
    <w:rsid w:val="00527062"/>
    <w:rsid w:val="0052706E"/>
    <w:rsid w:val="0052709D"/>
    <w:rsid w:val="005270A1"/>
    <w:rsid w:val="005270AD"/>
    <w:rsid w:val="00527178"/>
    <w:rsid w:val="0052718C"/>
    <w:rsid w:val="005271A0"/>
    <w:rsid w:val="0052722E"/>
    <w:rsid w:val="00527286"/>
    <w:rsid w:val="0052729F"/>
    <w:rsid w:val="0052730C"/>
    <w:rsid w:val="00527320"/>
    <w:rsid w:val="0052735D"/>
    <w:rsid w:val="005275E2"/>
    <w:rsid w:val="0052761E"/>
    <w:rsid w:val="0052767D"/>
    <w:rsid w:val="00527705"/>
    <w:rsid w:val="00527723"/>
    <w:rsid w:val="00527856"/>
    <w:rsid w:val="005278A8"/>
    <w:rsid w:val="00527963"/>
    <w:rsid w:val="0052796C"/>
    <w:rsid w:val="005279A6"/>
    <w:rsid w:val="005279B3"/>
    <w:rsid w:val="005279FD"/>
    <w:rsid w:val="00527ACB"/>
    <w:rsid w:val="00527B2C"/>
    <w:rsid w:val="00527B33"/>
    <w:rsid w:val="00527B38"/>
    <w:rsid w:val="00527CE1"/>
    <w:rsid w:val="00527D03"/>
    <w:rsid w:val="00527E47"/>
    <w:rsid w:val="00527ED9"/>
    <w:rsid w:val="00527F15"/>
    <w:rsid w:val="00527F3E"/>
    <w:rsid w:val="00527F8D"/>
    <w:rsid w:val="00527F96"/>
    <w:rsid w:val="00530104"/>
    <w:rsid w:val="00530142"/>
    <w:rsid w:val="00530181"/>
    <w:rsid w:val="0053018A"/>
    <w:rsid w:val="00530195"/>
    <w:rsid w:val="0053028B"/>
    <w:rsid w:val="005302CC"/>
    <w:rsid w:val="00530324"/>
    <w:rsid w:val="00530473"/>
    <w:rsid w:val="00530475"/>
    <w:rsid w:val="00530493"/>
    <w:rsid w:val="005304A1"/>
    <w:rsid w:val="00530571"/>
    <w:rsid w:val="005305CA"/>
    <w:rsid w:val="005305E2"/>
    <w:rsid w:val="00530691"/>
    <w:rsid w:val="00530692"/>
    <w:rsid w:val="005306F0"/>
    <w:rsid w:val="00530746"/>
    <w:rsid w:val="00530788"/>
    <w:rsid w:val="005307F6"/>
    <w:rsid w:val="00530837"/>
    <w:rsid w:val="00530A07"/>
    <w:rsid w:val="00530A20"/>
    <w:rsid w:val="00530AE2"/>
    <w:rsid w:val="00530AF9"/>
    <w:rsid w:val="00530B48"/>
    <w:rsid w:val="00530C5B"/>
    <w:rsid w:val="00530D74"/>
    <w:rsid w:val="00530D9D"/>
    <w:rsid w:val="00530DE7"/>
    <w:rsid w:val="00530E7D"/>
    <w:rsid w:val="00530F4C"/>
    <w:rsid w:val="005310FC"/>
    <w:rsid w:val="00531101"/>
    <w:rsid w:val="0053112A"/>
    <w:rsid w:val="0053113C"/>
    <w:rsid w:val="00531220"/>
    <w:rsid w:val="00531281"/>
    <w:rsid w:val="005312DE"/>
    <w:rsid w:val="0053138E"/>
    <w:rsid w:val="0053139E"/>
    <w:rsid w:val="0053141A"/>
    <w:rsid w:val="00531473"/>
    <w:rsid w:val="00531489"/>
    <w:rsid w:val="00531499"/>
    <w:rsid w:val="005314D0"/>
    <w:rsid w:val="0053150C"/>
    <w:rsid w:val="00531592"/>
    <w:rsid w:val="0053161A"/>
    <w:rsid w:val="0053164D"/>
    <w:rsid w:val="00531768"/>
    <w:rsid w:val="005317B2"/>
    <w:rsid w:val="005317D6"/>
    <w:rsid w:val="005317FB"/>
    <w:rsid w:val="0053180C"/>
    <w:rsid w:val="00531821"/>
    <w:rsid w:val="00531865"/>
    <w:rsid w:val="005318C2"/>
    <w:rsid w:val="005318D4"/>
    <w:rsid w:val="005318FE"/>
    <w:rsid w:val="00531923"/>
    <w:rsid w:val="0053192C"/>
    <w:rsid w:val="00531A5A"/>
    <w:rsid w:val="00531A85"/>
    <w:rsid w:val="00531AA0"/>
    <w:rsid w:val="00531B72"/>
    <w:rsid w:val="00531B90"/>
    <w:rsid w:val="00531BB4"/>
    <w:rsid w:val="00531C03"/>
    <w:rsid w:val="00531C4F"/>
    <w:rsid w:val="00531CA9"/>
    <w:rsid w:val="00531D0C"/>
    <w:rsid w:val="00531DAF"/>
    <w:rsid w:val="00531DF5"/>
    <w:rsid w:val="00531E11"/>
    <w:rsid w:val="00531EE6"/>
    <w:rsid w:val="00531F53"/>
    <w:rsid w:val="00531F9B"/>
    <w:rsid w:val="00531F9D"/>
    <w:rsid w:val="00531FA0"/>
    <w:rsid w:val="00531FE8"/>
    <w:rsid w:val="00532098"/>
    <w:rsid w:val="005320AF"/>
    <w:rsid w:val="005320E5"/>
    <w:rsid w:val="005320E6"/>
    <w:rsid w:val="005320E7"/>
    <w:rsid w:val="00532117"/>
    <w:rsid w:val="0053211B"/>
    <w:rsid w:val="00532152"/>
    <w:rsid w:val="00532211"/>
    <w:rsid w:val="00532259"/>
    <w:rsid w:val="00532322"/>
    <w:rsid w:val="005323AE"/>
    <w:rsid w:val="00532454"/>
    <w:rsid w:val="0053245B"/>
    <w:rsid w:val="00532490"/>
    <w:rsid w:val="005324DD"/>
    <w:rsid w:val="00532652"/>
    <w:rsid w:val="00532654"/>
    <w:rsid w:val="005326BF"/>
    <w:rsid w:val="00532706"/>
    <w:rsid w:val="00532724"/>
    <w:rsid w:val="005327C8"/>
    <w:rsid w:val="0053283C"/>
    <w:rsid w:val="00532861"/>
    <w:rsid w:val="00532863"/>
    <w:rsid w:val="00532870"/>
    <w:rsid w:val="005328E2"/>
    <w:rsid w:val="005328F8"/>
    <w:rsid w:val="00532985"/>
    <w:rsid w:val="0053298D"/>
    <w:rsid w:val="005329A3"/>
    <w:rsid w:val="005329CD"/>
    <w:rsid w:val="00532A34"/>
    <w:rsid w:val="00532A50"/>
    <w:rsid w:val="00532AAA"/>
    <w:rsid w:val="00532B41"/>
    <w:rsid w:val="00532B77"/>
    <w:rsid w:val="00532C60"/>
    <w:rsid w:val="00532CBE"/>
    <w:rsid w:val="00532D39"/>
    <w:rsid w:val="00532D46"/>
    <w:rsid w:val="00532D7C"/>
    <w:rsid w:val="00532D93"/>
    <w:rsid w:val="00532DBA"/>
    <w:rsid w:val="00532E18"/>
    <w:rsid w:val="00532E23"/>
    <w:rsid w:val="00532E3B"/>
    <w:rsid w:val="00532E46"/>
    <w:rsid w:val="00532EE0"/>
    <w:rsid w:val="00532F6D"/>
    <w:rsid w:val="00532F7F"/>
    <w:rsid w:val="00532FA7"/>
    <w:rsid w:val="00533023"/>
    <w:rsid w:val="0053311A"/>
    <w:rsid w:val="0053318B"/>
    <w:rsid w:val="00533194"/>
    <w:rsid w:val="005331FD"/>
    <w:rsid w:val="005331FE"/>
    <w:rsid w:val="00533250"/>
    <w:rsid w:val="00533266"/>
    <w:rsid w:val="005332EF"/>
    <w:rsid w:val="00533350"/>
    <w:rsid w:val="0053336E"/>
    <w:rsid w:val="005333FA"/>
    <w:rsid w:val="00533443"/>
    <w:rsid w:val="0053348E"/>
    <w:rsid w:val="005334AC"/>
    <w:rsid w:val="005334DC"/>
    <w:rsid w:val="005335A7"/>
    <w:rsid w:val="0053378E"/>
    <w:rsid w:val="00533808"/>
    <w:rsid w:val="00533840"/>
    <w:rsid w:val="00533885"/>
    <w:rsid w:val="005338A7"/>
    <w:rsid w:val="005338B9"/>
    <w:rsid w:val="00533967"/>
    <w:rsid w:val="00533980"/>
    <w:rsid w:val="005339AF"/>
    <w:rsid w:val="005339DF"/>
    <w:rsid w:val="00533AE1"/>
    <w:rsid w:val="00533BA4"/>
    <w:rsid w:val="00533BC4"/>
    <w:rsid w:val="00533BDC"/>
    <w:rsid w:val="00533C9F"/>
    <w:rsid w:val="00533D1E"/>
    <w:rsid w:val="00533D4F"/>
    <w:rsid w:val="00533DCB"/>
    <w:rsid w:val="00533E9F"/>
    <w:rsid w:val="00533EA6"/>
    <w:rsid w:val="00533ECD"/>
    <w:rsid w:val="00533F11"/>
    <w:rsid w:val="00533F13"/>
    <w:rsid w:val="0053403A"/>
    <w:rsid w:val="00534088"/>
    <w:rsid w:val="005340CE"/>
    <w:rsid w:val="005340D9"/>
    <w:rsid w:val="005340FA"/>
    <w:rsid w:val="00534131"/>
    <w:rsid w:val="00534165"/>
    <w:rsid w:val="0053416D"/>
    <w:rsid w:val="00534181"/>
    <w:rsid w:val="005341AC"/>
    <w:rsid w:val="0053425D"/>
    <w:rsid w:val="0053434F"/>
    <w:rsid w:val="005343DE"/>
    <w:rsid w:val="0053446F"/>
    <w:rsid w:val="005344FF"/>
    <w:rsid w:val="00534535"/>
    <w:rsid w:val="005345F6"/>
    <w:rsid w:val="00534603"/>
    <w:rsid w:val="005346A9"/>
    <w:rsid w:val="005346DE"/>
    <w:rsid w:val="00534712"/>
    <w:rsid w:val="0053479A"/>
    <w:rsid w:val="005347B6"/>
    <w:rsid w:val="005347BB"/>
    <w:rsid w:val="005347D0"/>
    <w:rsid w:val="005347F0"/>
    <w:rsid w:val="005347F2"/>
    <w:rsid w:val="00534866"/>
    <w:rsid w:val="005348D3"/>
    <w:rsid w:val="005348E7"/>
    <w:rsid w:val="0053494E"/>
    <w:rsid w:val="00534982"/>
    <w:rsid w:val="005349BA"/>
    <w:rsid w:val="005349FA"/>
    <w:rsid w:val="00534A08"/>
    <w:rsid w:val="00534A15"/>
    <w:rsid w:val="00534B3D"/>
    <w:rsid w:val="00534B70"/>
    <w:rsid w:val="00534B9C"/>
    <w:rsid w:val="00534BBE"/>
    <w:rsid w:val="00534BF5"/>
    <w:rsid w:val="00534C13"/>
    <w:rsid w:val="00534C38"/>
    <w:rsid w:val="00534CCC"/>
    <w:rsid w:val="00534CD4"/>
    <w:rsid w:val="00534CFA"/>
    <w:rsid w:val="00534D28"/>
    <w:rsid w:val="00534D55"/>
    <w:rsid w:val="00534D5B"/>
    <w:rsid w:val="00534E90"/>
    <w:rsid w:val="00534EBE"/>
    <w:rsid w:val="00534EC5"/>
    <w:rsid w:val="00534F09"/>
    <w:rsid w:val="00534F75"/>
    <w:rsid w:val="00534FCE"/>
    <w:rsid w:val="00535098"/>
    <w:rsid w:val="0053509A"/>
    <w:rsid w:val="005351CE"/>
    <w:rsid w:val="00535229"/>
    <w:rsid w:val="005352F2"/>
    <w:rsid w:val="00535305"/>
    <w:rsid w:val="0053538D"/>
    <w:rsid w:val="005353A1"/>
    <w:rsid w:val="005353DD"/>
    <w:rsid w:val="00535457"/>
    <w:rsid w:val="0053545D"/>
    <w:rsid w:val="00535477"/>
    <w:rsid w:val="0053555A"/>
    <w:rsid w:val="0053556A"/>
    <w:rsid w:val="00535570"/>
    <w:rsid w:val="005355BF"/>
    <w:rsid w:val="005356A7"/>
    <w:rsid w:val="00535713"/>
    <w:rsid w:val="00535748"/>
    <w:rsid w:val="0053580C"/>
    <w:rsid w:val="0053580E"/>
    <w:rsid w:val="00535877"/>
    <w:rsid w:val="0053591C"/>
    <w:rsid w:val="0053591F"/>
    <w:rsid w:val="0053594E"/>
    <w:rsid w:val="0053599B"/>
    <w:rsid w:val="00535A68"/>
    <w:rsid w:val="00535A6F"/>
    <w:rsid w:val="00535A8D"/>
    <w:rsid w:val="00535B3E"/>
    <w:rsid w:val="00535BA8"/>
    <w:rsid w:val="00535BEC"/>
    <w:rsid w:val="00535BF7"/>
    <w:rsid w:val="00535C20"/>
    <w:rsid w:val="00535C47"/>
    <w:rsid w:val="00535DA0"/>
    <w:rsid w:val="00535E28"/>
    <w:rsid w:val="00535E2E"/>
    <w:rsid w:val="00535ED7"/>
    <w:rsid w:val="00535FC0"/>
    <w:rsid w:val="005360B4"/>
    <w:rsid w:val="005360DC"/>
    <w:rsid w:val="005360ED"/>
    <w:rsid w:val="005361EB"/>
    <w:rsid w:val="0053625E"/>
    <w:rsid w:val="0053626E"/>
    <w:rsid w:val="005362DF"/>
    <w:rsid w:val="00536336"/>
    <w:rsid w:val="00536356"/>
    <w:rsid w:val="005363DC"/>
    <w:rsid w:val="00536453"/>
    <w:rsid w:val="005364C3"/>
    <w:rsid w:val="005364F3"/>
    <w:rsid w:val="00536536"/>
    <w:rsid w:val="0053656F"/>
    <w:rsid w:val="005365BD"/>
    <w:rsid w:val="005366A9"/>
    <w:rsid w:val="0053672B"/>
    <w:rsid w:val="0053676A"/>
    <w:rsid w:val="00536808"/>
    <w:rsid w:val="00536883"/>
    <w:rsid w:val="005368F1"/>
    <w:rsid w:val="0053692B"/>
    <w:rsid w:val="0053694A"/>
    <w:rsid w:val="005369CD"/>
    <w:rsid w:val="005369FC"/>
    <w:rsid w:val="00536A36"/>
    <w:rsid w:val="00536B37"/>
    <w:rsid w:val="00536B93"/>
    <w:rsid w:val="00536BE2"/>
    <w:rsid w:val="00536BFA"/>
    <w:rsid w:val="00536C5F"/>
    <w:rsid w:val="00536C72"/>
    <w:rsid w:val="00536C87"/>
    <w:rsid w:val="00536D89"/>
    <w:rsid w:val="00536D8B"/>
    <w:rsid w:val="00536DA2"/>
    <w:rsid w:val="00536DBF"/>
    <w:rsid w:val="00536E76"/>
    <w:rsid w:val="00536EEB"/>
    <w:rsid w:val="00536F0E"/>
    <w:rsid w:val="0053701A"/>
    <w:rsid w:val="0053706A"/>
    <w:rsid w:val="005370B0"/>
    <w:rsid w:val="005370D4"/>
    <w:rsid w:val="0053712D"/>
    <w:rsid w:val="005371B8"/>
    <w:rsid w:val="0053726F"/>
    <w:rsid w:val="005372C3"/>
    <w:rsid w:val="0053731A"/>
    <w:rsid w:val="005374AA"/>
    <w:rsid w:val="005374AB"/>
    <w:rsid w:val="0053752E"/>
    <w:rsid w:val="00537555"/>
    <w:rsid w:val="0053770D"/>
    <w:rsid w:val="005377A5"/>
    <w:rsid w:val="005377DD"/>
    <w:rsid w:val="005377F4"/>
    <w:rsid w:val="005377F8"/>
    <w:rsid w:val="0053783C"/>
    <w:rsid w:val="00537845"/>
    <w:rsid w:val="0053785B"/>
    <w:rsid w:val="0053785C"/>
    <w:rsid w:val="005378FA"/>
    <w:rsid w:val="0053790F"/>
    <w:rsid w:val="00537914"/>
    <w:rsid w:val="00537936"/>
    <w:rsid w:val="00537980"/>
    <w:rsid w:val="00537984"/>
    <w:rsid w:val="00537989"/>
    <w:rsid w:val="005379B2"/>
    <w:rsid w:val="00537A36"/>
    <w:rsid w:val="00537B1B"/>
    <w:rsid w:val="00537B2A"/>
    <w:rsid w:val="00537B70"/>
    <w:rsid w:val="00537B91"/>
    <w:rsid w:val="00537C02"/>
    <w:rsid w:val="00537C95"/>
    <w:rsid w:val="00537CA7"/>
    <w:rsid w:val="00537CB9"/>
    <w:rsid w:val="00537D31"/>
    <w:rsid w:val="00537D62"/>
    <w:rsid w:val="00537DAC"/>
    <w:rsid w:val="00537DFC"/>
    <w:rsid w:val="00537E98"/>
    <w:rsid w:val="00537F2C"/>
    <w:rsid w:val="00537F43"/>
    <w:rsid w:val="00537F49"/>
    <w:rsid w:val="00537F61"/>
    <w:rsid w:val="005400E5"/>
    <w:rsid w:val="005400ED"/>
    <w:rsid w:val="00540151"/>
    <w:rsid w:val="00540194"/>
    <w:rsid w:val="00540229"/>
    <w:rsid w:val="00540237"/>
    <w:rsid w:val="0054027B"/>
    <w:rsid w:val="0054029E"/>
    <w:rsid w:val="005402DE"/>
    <w:rsid w:val="0054032D"/>
    <w:rsid w:val="0054035C"/>
    <w:rsid w:val="005403E2"/>
    <w:rsid w:val="005404AC"/>
    <w:rsid w:val="00540590"/>
    <w:rsid w:val="005405A6"/>
    <w:rsid w:val="005405C8"/>
    <w:rsid w:val="005405D6"/>
    <w:rsid w:val="005405E0"/>
    <w:rsid w:val="005405EC"/>
    <w:rsid w:val="00540626"/>
    <w:rsid w:val="00540631"/>
    <w:rsid w:val="00540638"/>
    <w:rsid w:val="0054068F"/>
    <w:rsid w:val="005406BE"/>
    <w:rsid w:val="00540709"/>
    <w:rsid w:val="00540797"/>
    <w:rsid w:val="005407C5"/>
    <w:rsid w:val="0054094B"/>
    <w:rsid w:val="005409BB"/>
    <w:rsid w:val="00540A79"/>
    <w:rsid w:val="00540CF6"/>
    <w:rsid w:val="00540D62"/>
    <w:rsid w:val="00540DE6"/>
    <w:rsid w:val="00540E06"/>
    <w:rsid w:val="00540E6B"/>
    <w:rsid w:val="00540E86"/>
    <w:rsid w:val="00540EFB"/>
    <w:rsid w:val="00540F60"/>
    <w:rsid w:val="00541005"/>
    <w:rsid w:val="00541008"/>
    <w:rsid w:val="0054102F"/>
    <w:rsid w:val="00541154"/>
    <w:rsid w:val="00541161"/>
    <w:rsid w:val="0054116F"/>
    <w:rsid w:val="005411AB"/>
    <w:rsid w:val="005411AC"/>
    <w:rsid w:val="005411B1"/>
    <w:rsid w:val="00541261"/>
    <w:rsid w:val="00541319"/>
    <w:rsid w:val="005413D1"/>
    <w:rsid w:val="00541449"/>
    <w:rsid w:val="00541451"/>
    <w:rsid w:val="00541526"/>
    <w:rsid w:val="0054153D"/>
    <w:rsid w:val="0054158D"/>
    <w:rsid w:val="00541608"/>
    <w:rsid w:val="00541667"/>
    <w:rsid w:val="0054169F"/>
    <w:rsid w:val="005416EB"/>
    <w:rsid w:val="00541706"/>
    <w:rsid w:val="00541707"/>
    <w:rsid w:val="0054171A"/>
    <w:rsid w:val="0054172E"/>
    <w:rsid w:val="00541768"/>
    <w:rsid w:val="005417A2"/>
    <w:rsid w:val="005417B9"/>
    <w:rsid w:val="005417D8"/>
    <w:rsid w:val="0054180E"/>
    <w:rsid w:val="00541879"/>
    <w:rsid w:val="0054187D"/>
    <w:rsid w:val="005419C8"/>
    <w:rsid w:val="00541A13"/>
    <w:rsid w:val="00541A1A"/>
    <w:rsid w:val="00541A4C"/>
    <w:rsid w:val="00541A68"/>
    <w:rsid w:val="00541A92"/>
    <w:rsid w:val="00541AD8"/>
    <w:rsid w:val="00541B39"/>
    <w:rsid w:val="00541B80"/>
    <w:rsid w:val="00541B9C"/>
    <w:rsid w:val="00541BE9"/>
    <w:rsid w:val="00541C3F"/>
    <w:rsid w:val="00541C61"/>
    <w:rsid w:val="00541D34"/>
    <w:rsid w:val="00541D94"/>
    <w:rsid w:val="00541EBE"/>
    <w:rsid w:val="00541F0D"/>
    <w:rsid w:val="00541FDE"/>
    <w:rsid w:val="00541FFF"/>
    <w:rsid w:val="00542077"/>
    <w:rsid w:val="0054214D"/>
    <w:rsid w:val="00542165"/>
    <w:rsid w:val="005421C9"/>
    <w:rsid w:val="005421D0"/>
    <w:rsid w:val="00542226"/>
    <w:rsid w:val="00542244"/>
    <w:rsid w:val="005422B2"/>
    <w:rsid w:val="00542302"/>
    <w:rsid w:val="00542391"/>
    <w:rsid w:val="005424D1"/>
    <w:rsid w:val="0054273E"/>
    <w:rsid w:val="005427B0"/>
    <w:rsid w:val="005427DE"/>
    <w:rsid w:val="00542823"/>
    <w:rsid w:val="00542833"/>
    <w:rsid w:val="00542864"/>
    <w:rsid w:val="00542865"/>
    <w:rsid w:val="0054287E"/>
    <w:rsid w:val="00542884"/>
    <w:rsid w:val="00542892"/>
    <w:rsid w:val="00542955"/>
    <w:rsid w:val="00542961"/>
    <w:rsid w:val="005429F9"/>
    <w:rsid w:val="00542A18"/>
    <w:rsid w:val="00542A67"/>
    <w:rsid w:val="00542AC6"/>
    <w:rsid w:val="00542B34"/>
    <w:rsid w:val="00542C39"/>
    <w:rsid w:val="00542C5C"/>
    <w:rsid w:val="00542C69"/>
    <w:rsid w:val="00542CBD"/>
    <w:rsid w:val="00542D16"/>
    <w:rsid w:val="00542DDF"/>
    <w:rsid w:val="00542DE3"/>
    <w:rsid w:val="00542E77"/>
    <w:rsid w:val="00542E78"/>
    <w:rsid w:val="00542E81"/>
    <w:rsid w:val="00542EA7"/>
    <w:rsid w:val="00542EE3"/>
    <w:rsid w:val="00542F23"/>
    <w:rsid w:val="0054301F"/>
    <w:rsid w:val="00543087"/>
    <w:rsid w:val="005430A9"/>
    <w:rsid w:val="00543108"/>
    <w:rsid w:val="00543129"/>
    <w:rsid w:val="00543182"/>
    <w:rsid w:val="00543294"/>
    <w:rsid w:val="005432A6"/>
    <w:rsid w:val="0054330F"/>
    <w:rsid w:val="00543323"/>
    <w:rsid w:val="0054332B"/>
    <w:rsid w:val="00543342"/>
    <w:rsid w:val="005433A5"/>
    <w:rsid w:val="005434C1"/>
    <w:rsid w:val="005434C2"/>
    <w:rsid w:val="005434DA"/>
    <w:rsid w:val="00543562"/>
    <w:rsid w:val="005435DF"/>
    <w:rsid w:val="00543657"/>
    <w:rsid w:val="00543681"/>
    <w:rsid w:val="00543711"/>
    <w:rsid w:val="0054374F"/>
    <w:rsid w:val="0054378C"/>
    <w:rsid w:val="005437A9"/>
    <w:rsid w:val="005437AB"/>
    <w:rsid w:val="00543801"/>
    <w:rsid w:val="00543895"/>
    <w:rsid w:val="005439A0"/>
    <w:rsid w:val="005439E7"/>
    <w:rsid w:val="00543A07"/>
    <w:rsid w:val="00543A70"/>
    <w:rsid w:val="00543A91"/>
    <w:rsid w:val="00543AB8"/>
    <w:rsid w:val="00543AFC"/>
    <w:rsid w:val="00543B6C"/>
    <w:rsid w:val="00543CB5"/>
    <w:rsid w:val="00543D0F"/>
    <w:rsid w:val="00543D3D"/>
    <w:rsid w:val="00543F37"/>
    <w:rsid w:val="00543F98"/>
    <w:rsid w:val="00543FA2"/>
    <w:rsid w:val="00543FB0"/>
    <w:rsid w:val="00543FE6"/>
    <w:rsid w:val="0054403C"/>
    <w:rsid w:val="00544070"/>
    <w:rsid w:val="005440E5"/>
    <w:rsid w:val="005440E9"/>
    <w:rsid w:val="00544116"/>
    <w:rsid w:val="005441B4"/>
    <w:rsid w:val="005441FA"/>
    <w:rsid w:val="0054420C"/>
    <w:rsid w:val="0054424D"/>
    <w:rsid w:val="00544288"/>
    <w:rsid w:val="005442F5"/>
    <w:rsid w:val="0054434D"/>
    <w:rsid w:val="0054439A"/>
    <w:rsid w:val="005443AA"/>
    <w:rsid w:val="0054440C"/>
    <w:rsid w:val="00544539"/>
    <w:rsid w:val="0054455D"/>
    <w:rsid w:val="005445AD"/>
    <w:rsid w:val="005445CB"/>
    <w:rsid w:val="0054465D"/>
    <w:rsid w:val="00544682"/>
    <w:rsid w:val="005446B4"/>
    <w:rsid w:val="005446D5"/>
    <w:rsid w:val="005447C7"/>
    <w:rsid w:val="005447DC"/>
    <w:rsid w:val="005447E0"/>
    <w:rsid w:val="00544842"/>
    <w:rsid w:val="0054491F"/>
    <w:rsid w:val="0054495B"/>
    <w:rsid w:val="00544962"/>
    <w:rsid w:val="0054499D"/>
    <w:rsid w:val="005449D7"/>
    <w:rsid w:val="005449DE"/>
    <w:rsid w:val="00544A98"/>
    <w:rsid w:val="00544ADA"/>
    <w:rsid w:val="00544AF0"/>
    <w:rsid w:val="00544B1D"/>
    <w:rsid w:val="00544B69"/>
    <w:rsid w:val="00544D39"/>
    <w:rsid w:val="00544D70"/>
    <w:rsid w:val="00544D8D"/>
    <w:rsid w:val="00544DA7"/>
    <w:rsid w:val="00544DAC"/>
    <w:rsid w:val="00544DF6"/>
    <w:rsid w:val="00544E99"/>
    <w:rsid w:val="00544EAD"/>
    <w:rsid w:val="00544EBC"/>
    <w:rsid w:val="00544EF7"/>
    <w:rsid w:val="00544F91"/>
    <w:rsid w:val="00544F95"/>
    <w:rsid w:val="00544F9C"/>
    <w:rsid w:val="00545020"/>
    <w:rsid w:val="00545043"/>
    <w:rsid w:val="0054505B"/>
    <w:rsid w:val="0054507D"/>
    <w:rsid w:val="00545102"/>
    <w:rsid w:val="005451AE"/>
    <w:rsid w:val="0054521A"/>
    <w:rsid w:val="005452EF"/>
    <w:rsid w:val="005453E6"/>
    <w:rsid w:val="00545451"/>
    <w:rsid w:val="00545452"/>
    <w:rsid w:val="00545461"/>
    <w:rsid w:val="0054546A"/>
    <w:rsid w:val="005454C4"/>
    <w:rsid w:val="005454F8"/>
    <w:rsid w:val="005455DB"/>
    <w:rsid w:val="00545617"/>
    <w:rsid w:val="00545727"/>
    <w:rsid w:val="00545779"/>
    <w:rsid w:val="0054578B"/>
    <w:rsid w:val="00545791"/>
    <w:rsid w:val="005457EB"/>
    <w:rsid w:val="00545840"/>
    <w:rsid w:val="005458F2"/>
    <w:rsid w:val="0054596D"/>
    <w:rsid w:val="00545973"/>
    <w:rsid w:val="00545A5E"/>
    <w:rsid w:val="00545AC7"/>
    <w:rsid w:val="00545BBD"/>
    <w:rsid w:val="00545CE8"/>
    <w:rsid w:val="00545D5B"/>
    <w:rsid w:val="00545D6C"/>
    <w:rsid w:val="00545D72"/>
    <w:rsid w:val="00545D9A"/>
    <w:rsid w:val="00545DD7"/>
    <w:rsid w:val="00545DDD"/>
    <w:rsid w:val="00545E17"/>
    <w:rsid w:val="00545E23"/>
    <w:rsid w:val="00545E66"/>
    <w:rsid w:val="00545F15"/>
    <w:rsid w:val="00545FA6"/>
    <w:rsid w:val="00545FCA"/>
    <w:rsid w:val="0054600F"/>
    <w:rsid w:val="00546122"/>
    <w:rsid w:val="00546262"/>
    <w:rsid w:val="00546352"/>
    <w:rsid w:val="005463D8"/>
    <w:rsid w:val="00546444"/>
    <w:rsid w:val="005465A7"/>
    <w:rsid w:val="00546639"/>
    <w:rsid w:val="0054663F"/>
    <w:rsid w:val="005466A0"/>
    <w:rsid w:val="005467C8"/>
    <w:rsid w:val="00546968"/>
    <w:rsid w:val="0054697E"/>
    <w:rsid w:val="00546998"/>
    <w:rsid w:val="005469AD"/>
    <w:rsid w:val="00546A72"/>
    <w:rsid w:val="00546A74"/>
    <w:rsid w:val="00546B2C"/>
    <w:rsid w:val="00546B3F"/>
    <w:rsid w:val="00546B70"/>
    <w:rsid w:val="00546B85"/>
    <w:rsid w:val="00546BA8"/>
    <w:rsid w:val="00546BAA"/>
    <w:rsid w:val="00546C02"/>
    <w:rsid w:val="00546CBC"/>
    <w:rsid w:val="00546D3F"/>
    <w:rsid w:val="00546D4A"/>
    <w:rsid w:val="00546DD2"/>
    <w:rsid w:val="00546DD7"/>
    <w:rsid w:val="00546E42"/>
    <w:rsid w:val="00546EDA"/>
    <w:rsid w:val="00546F27"/>
    <w:rsid w:val="00546F3B"/>
    <w:rsid w:val="00546F75"/>
    <w:rsid w:val="00546FA7"/>
    <w:rsid w:val="00546FE0"/>
    <w:rsid w:val="00546FEB"/>
    <w:rsid w:val="00547008"/>
    <w:rsid w:val="0054702F"/>
    <w:rsid w:val="00547030"/>
    <w:rsid w:val="00547033"/>
    <w:rsid w:val="00547049"/>
    <w:rsid w:val="00547162"/>
    <w:rsid w:val="0054727C"/>
    <w:rsid w:val="00547299"/>
    <w:rsid w:val="005472E8"/>
    <w:rsid w:val="00547320"/>
    <w:rsid w:val="00547514"/>
    <w:rsid w:val="00547530"/>
    <w:rsid w:val="0054753C"/>
    <w:rsid w:val="00547700"/>
    <w:rsid w:val="00547712"/>
    <w:rsid w:val="0054777D"/>
    <w:rsid w:val="005477CD"/>
    <w:rsid w:val="005477F5"/>
    <w:rsid w:val="00547866"/>
    <w:rsid w:val="00547892"/>
    <w:rsid w:val="005478E6"/>
    <w:rsid w:val="005478F7"/>
    <w:rsid w:val="005479FF"/>
    <w:rsid w:val="00547AA5"/>
    <w:rsid w:val="00547AAD"/>
    <w:rsid w:val="00547AD8"/>
    <w:rsid w:val="00547AE0"/>
    <w:rsid w:val="00547B26"/>
    <w:rsid w:val="00547B55"/>
    <w:rsid w:val="00547B79"/>
    <w:rsid w:val="00547B7A"/>
    <w:rsid w:val="00547B7E"/>
    <w:rsid w:val="00547B81"/>
    <w:rsid w:val="00547BCB"/>
    <w:rsid w:val="00547C02"/>
    <w:rsid w:val="00547C41"/>
    <w:rsid w:val="00547C69"/>
    <w:rsid w:val="00547D6E"/>
    <w:rsid w:val="00547DB0"/>
    <w:rsid w:val="00547DE7"/>
    <w:rsid w:val="00547DEF"/>
    <w:rsid w:val="00547E4B"/>
    <w:rsid w:val="0055000F"/>
    <w:rsid w:val="00550053"/>
    <w:rsid w:val="005500DF"/>
    <w:rsid w:val="00550175"/>
    <w:rsid w:val="00550179"/>
    <w:rsid w:val="0055019B"/>
    <w:rsid w:val="005501AB"/>
    <w:rsid w:val="00550208"/>
    <w:rsid w:val="00550212"/>
    <w:rsid w:val="0055021E"/>
    <w:rsid w:val="005502AF"/>
    <w:rsid w:val="005502BB"/>
    <w:rsid w:val="00550386"/>
    <w:rsid w:val="0055044D"/>
    <w:rsid w:val="005504A4"/>
    <w:rsid w:val="005504B6"/>
    <w:rsid w:val="005504FA"/>
    <w:rsid w:val="00550537"/>
    <w:rsid w:val="0055058E"/>
    <w:rsid w:val="00550599"/>
    <w:rsid w:val="005505E7"/>
    <w:rsid w:val="00550607"/>
    <w:rsid w:val="00550699"/>
    <w:rsid w:val="005506B7"/>
    <w:rsid w:val="005506FA"/>
    <w:rsid w:val="0055072A"/>
    <w:rsid w:val="00550780"/>
    <w:rsid w:val="005507C2"/>
    <w:rsid w:val="0055081C"/>
    <w:rsid w:val="0055085E"/>
    <w:rsid w:val="0055086B"/>
    <w:rsid w:val="005508BD"/>
    <w:rsid w:val="0055097A"/>
    <w:rsid w:val="00550A63"/>
    <w:rsid w:val="00550AA2"/>
    <w:rsid w:val="00550AFE"/>
    <w:rsid w:val="00550B6E"/>
    <w:rsid w:val="00550CB2"/>
    <w:rsid w:val="00550CC3"/>
    <w:rsid w:val="00550CD6"/>
    <w:rsid w:val="00550D22"/>
    <w:rsid w:val="00550D2F"/>
    <w:rsid w:val="00550D46"/>
    <w:rsid w:val="00550D5A"/>
    <w:rsid w:val="00550DE9"/>
    <w:rsid w:val="00550DF3"/>
    <w:rsid w:val="00550E0A"/>
    <w:rsid w:val="00550E20"/>
    <w:rsid w:val="00550E88"/>
    <w:rsid w:val="00550E92"/>
    <w:rsid w:val="00550E96"/>
    <w:rsid w:val="00550EB3"/>
    <w:rsid w:val="00550F5D"/>
    <w:rsid w:val="0055100A"/>
    <w:rsid w:val="00551028"/>
    <w:rsid w:val="0055105E"/>
    <w:rsid w:val="005510C9"/>
    <w:rsid w:val="00551134"/>
    <w:rsid w:val="00551154"/>
    <w:rsid w:val="00551162"/>
    <w:rsid w:val="00551167"/>
    <w:rsid w:val="00551181"/>
    <w:rsid w:val="0055119B"/>
    <w:rsid w:val="005511B1"/>
    <w:rsid w:val="005511D1"/>
    <w:rsid w:val="0055122F"/>
    <w:rsid w:val="00551251"/>
    <w:rsid w:val="00551287"/>
    <w:rsid w:val="0055128F"/>
    <w:rsid w:val="005512B3"/>
    <w:rsid w:val="0055140A"/>
    <w:rsid w:val="005515AB"/>
    <w:rsid w:val="00551606"/>
    <w:rsid w:val="0055164E"/>
    <w:rsid w:val="005516BC"/>
    <w:rsid w:val="005516D2"/>
    <w:rsid w:val="005517C5"/>
    <w:rsid w:val="00551866"/>
    <w:rsid w:val="005518BA"/>
    <w:rsid w:val="005518D0"/>
    <w:rsid w:val="005518D3"/>
    <w:rsid w:val="0055198D"/>
    <w:rsid w:val="005519F0"/>
    <w:rsid w:val="00551A27"/>
    <w:rsid w:val="00551A74"/>
    <w:rsid w:val="00551A75"/>
    <w:rsid w:val="00551A9B"/>
    <w:rsid w:val="00551ABD"/>
    <w:rsid w:val="00551ABF"/>
    <w:rsid w:val="00551BB6"/>
    <w:rsid w:val="00551BEC"/>
    <w:rsid w:val="00551C61"/>
    <w:rsid w:val="00551D48"/>
    <w:rsid w:val="00551D5E"/>
    <w:rsid w:val="00551E1B"/>
    <w:rsid w:val="00551E1D"/>
    <w:rsid w:val="00551E23"/>
    <w:rsid w:val="00551E43"/>
    <w:rsid w:val="00551E8C"/>
    <w:rsid w:val="00551EEC"/>
    <w:rsid w:val="00551F3C"/>
    <w:rsid w:val="00551FD9"/>
    <w:rsid w:val="0055202C"/>
    <w:rsid w:val="0055206D"/>
    <w:rsid w:val="0055207D"/>
    <w:rsid w:val="005520A4"/>
    <w:rsid w:val="005520D7"/>
    <w:rsid w:val="00552158"/>
    <w:rsid w:val="00552209"/>
    <w:rsid w:val="00552277"/>
    <w:rsid w:val="00552281"/>
    <w:rsid w:val="0055236A"/>
    <w:rsid w:val="005523C4"/>
    <w:rsid w:val="005524B9"/>
    <w:rsid w:val="005524C9"/>
    <w:rsid w:val="005524ED"/>
    <w:rsid w:val="00552557"/>
    <w:rsid w:val="0055256A"/>
    <w:rsid w:val="00552574"/>
    <w:rsid w:val="005525BB"/>
    <w:rsid w:val="005525CD"/>
    <w:rsid w:val="00552602"/>
    <w:rsid w:val="005526CB"/>
    <w:rsid w:val="005527D4"/>
    <w:rsid w:val="005527F2"/>
    <w:rsid w:val="0055281C"/>
    <w:rsid w:val="005528AA"/>
    <w:rsid w:val="005528D3"/>
    <w:rsid w:val="00552900"/>
    <w:rsid w:val="0055290C"/>
    <w:rsid w:val="005529C0"/>
    <w:rsid w:val="00552A16"/>
    <w:rsid w:val="00552A68"/>
    <w:rsid w:val="00552A86"/>
    <w:rsid w:val="00552AAB"/>
    <w:rsid w:val="00552B85"/>
    <w:rsid w:val="00552BEC"/>
    <w:rsid w:val="00552C2F"/>
    <w:rsid w:val="00552C4B"/>
    <w:rsid w:val="00552C53"/>
    <w:rsid w:val="00552C5B"/>
    <w:rsid w:val="00552C9F"/>
    <w:rsid w:val="00552CE5"/>
    <w:rsid w:val="00552D02"/>
    <w:rsid w:val="00552D6A"/>
    <w:rsid w:val="00552D74"/>
    <w:rsid w:val="00552DBA"/>
    <w:rsid w:val="00552DDA"/>
    <w:rsid w:val="00552DFC"/>
    <w:rsid w:val="00552E57"/>
    <w:rsid w:val="00552E62"/>
    <w:rsid w:val="00552E99"/>
    <w:rsid w:val="00552FE0"/>
    <w:rsid w:val="00552FF3"/>
    <w:rsid w:val="00553001"/>
    <w:rsid w:val="005530B2"/>
    <w:rsid w:val="0055311F"/>
    <w:rsid w:val="00553132"/>
    <w:rsid w:val="00553198"/>
    <w:rsid w:val="00553213"/>
    <w:rsid w:val="0055323F"/>
    <w:rsid w:val="005532D0"/>
    <w:rsid w:val="005532E5"/>
    <w:rsid w:val="0055333A"/>
    <w:rsid w:val="005533DC"/>
    <w:rsid w:val="00553524"/>
    <w:rsid w:val="0055352E"/>
    <w:rsid w:val="00553584"/>
    <w:rsid w:val="00553596"/>
    <w:rsid w:val="005535B7"/>
    <w:rsid w:val="005535BC"/>
    <w:rsid w:val="0055366D"/>
    <w:rsid w:val="005536DA"/>
    <w:rsid w:val="0055371E"/>
    <w:rsid w:val="00553762"/>
    <w:rsid w:val="00553778"/>
    <w:rsid w:val="0055377E"/>
    <w:rsid w:val="00553852"/>
    <w:rsid w:val="0055387C"/>
    <w:rsid w:val="005538AA"/>
    <w:rsid w:val="005538AE"/>
    <w:rsid w:val="005538FA"/>
    <w:rsid w:val="00553922"/>
    <w:rsid w:val="00553958"/>
    <w:rsid w:val="005539D3"/>
    <w:rsid w:val="005539E3"/>
    <w:rsid w:val="00553A1E"/>
    <w:rsid w:val="00553A24"/>
    <w:rsid w:val="00553A9A"/>
    <w:rsid w:val="00553AB7"/>
    <w:rsid w:val="00553B10"/>
    <w:rsid w:val="00553B58"/>
    <w:rsid w:val="00553B9E"/>
    <w:rsid w:val="00553C2A"/>
    <w:rsid w:val="00553C79"/>
    <w:rsid w:val="00553CDC"/>
    <w:rsid w:val="00553CE4"/>
    <w:rsid w:val="00553D09"/>
    <w:rsid w:val="00553D33"/>
    <w:rsid w:val="00553D48"/>
    <w:rsid w:val="00553D96"/>
    <w:rsid w:val="00553E45"/>
    <w:rsid w:val="00553E68"/>
    <w:rsid w:val="00553E94"/>
    <w:rsid w:val="00553E9F"/>
    <w:rsid w:val="00553F1C"/>
    <w:rsid w:val="00553F40"/>
    <w:rsid w:val="00553F45"/>
    <w:rsid w:val="00553F74"/>
    <w:rsid w:val="00553F75"/>
    <w:rsid w:val="00554045"/>
    <w:rsid w:val="00554080"/>
    <w:rsid w:val="0055418E"/>
    <w:rsid w:val="005541FA"/>
    <w:rsid w:val="00554204"/>
    <w:rsid w:val="0055421D"/>
    <w:rsid w:val="00554335"/>
    <w:rsid w:val="0055433D"/>
    <w:rsid w:val="00554366"/>
    <w:rsid w:val="00554381"/>
    <w:rsid w:val="0055443E"/>
    <w:rsid w:val="00554440"/>
    <w:rsid w:val="005544FD"/>
    <w:rsid w:val="00554574"/>
    <w:rsid w:val="00554582"/>
    <w:rsid w:val="00554587"/>
    <w:rsid w:val="00554801"/>
    <w:rsid w:val="005548F8"/>
    <w:rsid w:val="005549B6"/>
    <w:rsid w:val="00554A03"/>
    <w:rsid w:val="00554A58"/>
    <w:rsid w:val="00554A98"/>
    <w:rsid w:val="00554AC2"/>
    <w:rsid w:val="00554AE0"/>
    <w:rsid w:val="00554AF8"/>
    <w:rsid w:val="00554B15"/>
    <w:rsid w:val="00554B33"/>
    <w:rsid w:val="00554B8E"/>
    <w:rsid w:val="00554B96"/>
    <w:rsid w:val="00554B9E"/>
    <w:rsid w:val="00554BD0"/>
    <w:rsid w:val="00554C0A"/>
    <w:rsid w:val="00554C27"/>
    <w:rsid w:val="00554CDF"/>
    <w:rsid w:val="00554CF8"/>
    <w:rsid w:val="00554D10"/>
    <w:rsid w:val="00554D65"/>
    <w:rsid w:val="00554E98"/>
    <w:rsid w:val="00554EB2"/>
    <w:rsid w:val="00554ED5"/>
    <w:rsid w:val="00554EE7"/>
    <w:rsid w:val="00554F2E"/>
    <w:rsid w:val="00554F56"/>
    <w:rsid w:val="00554F7F"/>
    <w:rsid w:val="00554FB6"/>
    <w:rsid w:val="00554FDF"/>
    <w:rsid w:val="00554FF4"/>
    <w:rsid w:val="00555038"/>
    <w:rsid w:val="0055509D"/>
    <w:rsid w:val="00555194"/>
    <w:rsid w:val="005551A0"/>
    <w:rsid w:val="005551CD"/>
    <w:rsid w:val="00555256"/>
    <w:rsid w:val="00555289"/>
    <w:rsid w:val="005552AC"/>
    <w:rsid w:val="005552B1"/>
    <w:rsid w:val="005552C9"/>
    <w:rsid w:val="005552E7"/>
    <w:rsid w:val="00555302"/>
    <w:rsid w:val="00555338"/>
    <w:rsid w:val="00555345"/>
    <w:rsid w:val="005553A9"/>
    <w:rsid w:val="00555507"/>
    <w:rsid w:val="0055559B"/>
    <w:rsid w:val="005555FE"/>
    <w:rsid w:val="00555602"/>
    <w:rsid w:val="005556D0"/>
    <w:rsid w:val="005556D4"/>
    <w:rsid w:val="0055577F"/>
    <w:rsid w:val="005557F7"/>
    <w:rsid w:val="0055589D"/>
    <w:rsid w:val="005558F2"/>
    <w:rsid w:val="0055592B"/>
    <w:rsid w:val="00555959"/>
    <w:rsid w:val="005559B5"/>
    <w:rsid w:val="005559B6"/>
    <w:rsid w:val="00555AD0"/>
    <w:rsid w:val="00555AFF"/>
    <w:rsid w:val="00555B54"/>
    <w:rsid w:val="00555B8A"/>
    <w:rsid w:val="00555BA6"/>
    <w:rsid w:val="00555BD9"/>
    <w:rsid w:val="00555BE1"/>
    <w:rsid w:val="00555C2D"/>
    <w:rsid w:val="00555C60"/>
    <w:rsid w:val="00555CD0"/>
    <w:rsid w:val="00555F07"/>
    <w:rsid w:val="00555F4A"/>
    <w:rsid w:val="00555F6F"/>
    <w:rsid w:val="00555F78"/>
    <w:rsid w:val="005560D6"/>
    <w:rsid w:val="005560F2"/>
    <w:rsid w:val="00556101"/>
    <w:rsid w:val="00556139"/>
    <w:rsid w:val="005561C9"/>
    <w:rsid w:val="005561F9"/>
    <w:rsid w:val="00556249"/>
    <w:rsid w:val="005562AC"/>
    <w:rsid w:val="005562B1"/>
    <w:rsid w:val="00556321"/>
    <w:rsid w:val="00556338"/>
    <w:rsid w:val="005564B0"/>
    <w:rsid w:val="005564BC"/>
    <w:rsid w:val="005565EB"/>
    <w:rsid w:val="0055674F"/>
    <w:rsid w:val="0055675A"/>
    <w:rsid w:val="00556766"/>
    <w:rsid w:val="0055680D"/>
    <w:rsid w:val="0055681A"/>
    <w:rsid w:val="0055685A"/>
    <w:rsid w:val="0055687B"/>
    <w:rsid w:val="0055687C"/>
    <w:rsid w:val="00556AAF"/>
    <w:rsid w:val="00556B3F"/>
    <w:rsid w:val="00556B69"/>
    <w:rsid w:val="00556B71"/>
    <w:rsid w:val="00556BD9"/>
    <w:rsid w:val="00556BF9"/>
    <w:rsid w:val="00556C74"/>
    <w:rsid w:val="00556CE8"/>
    <w:rsid w:val="00556D34"/>
    <w:rsid w:val="00556D4A"/>
    <w:rsid w:val="00556E02"/>
    <w:rsid w:val="00556F2A"/>
    <w:rsid w:val="00556F46"/>
    <w:rsid w:val="00556F5D"/>
    <w:rsid w:val="00556FF0"/>
    <w:rsid w:val="00556FF9"/>
    <w:rsid w:val="00557045"/>
    <w:rsid w:val="0055707B"/>
    <w:rsid w:val="00557093"/>
    <w:rsid w:val="005570D7"/>
    <w:rsid w:val="0055712B"/>
    <w:rsid w:val="005571DC"/>
    <w:rsid w:val="00557279"/>
    <w:rsid w:val="00557284"/>
    <w:rsid w:val="005572AF"/>
    <w:rsid w:val="005572BE"/>
    <w:rsid w:val="005572C6"/>
    <w:rsid w:val="005572EC"/>
    <w:rsid w:val="00557322"/>
    <w:rsid w:val="00557382"/>
    <w:rsid w:val="005573D9"/>
    <w:rsid w:val="00557425"/>
    <w:rsid w:val="00557438"/>
    <w:rsid w:val="005574DA"/>
    <w:rsid w:val="0055758B"/>
    <w:rsid w:val="005575BB"/>
    <w:rsid w:val="00557672"/>
    <w:rsid w:val="0055768F"/>
    <w:rsid w:val="00557781"/>
    <w:rsid w:val="00557953"/>
    <w:rsid w:val="00557A10"/>
    <w:rsid w:val="00557A83"/>
    <w:rsid w:val="00557AB1"/>
    <w:rsid w:val="00557AC1"/>
    <w:rsid w:val="00557B9D"/>
    <w:rsid w:val="00557BBF"/>
    <w:rsid w:val="00557CBD"/>
    <w:rsid w:val="00557CC6"/>
    <w:rsid w:val="00557CEE"/>
    <w:rsid w:val="00557D48"/>
    <w:rsid w:val="00557D9F"/>
    <w:rsid w:val="00557DCB"/>
    <w:rsid w:val="00557DF1"/>
    <w:rsid w:val="00557E0F"/>
    <w:rsid w:val="00557F2E"/>
    <w:rsid w:val="00557F57"/>
    <w:rsid w:val="00557FB7"/>
    <w:rsid w:val="00557FE5"/>
    <w:rsid w:val="0056008B"/>
    <w:rsid w:val="005600B1"/>
    <w:rsid w:val="005600BF"/>
    <w:rsid w:val="005600ED"/>
    <w:rsid w:val="00560159"/>
    <w:rsid w:val="00560194"/>
    <w:rsid w:val="005601B5"/>
    <w:rsid w:val="005601D5"/>
    <w:rsid w:val="005602A1"/>
    <w:rsid w:val="005603DC"/>
    <w:rsid w:val="00560411"/>
    <w:rsid w:val="00560481"/>
    <w:rsid w:val="00560531"/>
    <w:rsid w:val="00560598"/>
    <w:rsid w:val="005605E5"/>
    <w:rsid w:val="005605EA"/>
    <w:rsid w:val="00560634"/>
    <w:rsid w:val="00560638"/>
    <w:rsid w:val="0056063B"/>
    <w:rsid w:val="00560678"/>
    <w:rsid w:val="005606D6"/>
    <w:rsid w:val="005607A5"/>
    <w:rsid w:val="0056082D"/>
    <w:rsid w:val="0056088F"/>
    <w:rsid w:val="005608C4"/>
    <w:rsid w:val="005609E6"/>
    <w:rsid w:val="00560AAD"/>
    <w:rsid w:val="00560ADA"/>
    <w:rsid w:val="00560B7C"/>
    <w:rsid w:val="00560B8D"/>
    <w:rsid w:val="00560BA3"/>
    <w:rsid w:val="00560BB7"/>
    <w:rsid w:val="00560BC7"/>
    <w:rsid w:val="00560C05"/>
    <w:rsid w:val="00560C25"/>
    <w:rsid w:val="00560C3E"/>
    <w:rsid w:val="00560CCA"/>
    <w:rsid w:val="00560CCB"/>
    <w:rsid w:val="00560CE8"/>
    <w:rsid w:val="00560D3E"/>
    <w:rsid w:val="00560D50"/>
    <w:rsid w:val="00560D62"/>
    <w:rsid w:val="00560D63"/>
    <w:rsid w:val="00560DFF"/>
    <w:rsid w:val="00560E7C"/>
    <w:rsid w:val="00560F53"/>
    <w:rsid w:val="00561011"/>
    <w:rsid w:val="0056102C"/>
    <w:rsid w:val="00561045"/>
    <w:rsid w:val="0056109D"/>
    <w:rsid w:val="005610AE"/>
    <w:rsid w:val="005610F4"/>
    <w:rsid w:val="005611E8"/>
    <w:rsid w:val="00561242"/>
    <w:rsid w:val="00561269"/>
    <w:rsid w:val="005612B7"/>
    <w:rsid w:val="005612D1"/>
    <w:rsid w:val="00561305"/>
    <w:rsid w:val="0056139D"/>
    <w:rsid w:val="005613CB"/>
    <w:rsid w:val="005613EC"/>
    <w:rsid w:val="0056140F"/>
    <w:rsid w:val="00561412"/>
    <w:rsid w:val="005614D9"/>
    <w:rsid w:val="005614F9"/>
    <w:rsid w:val="00561616"/>
    <w:rsid w:val="00561634"/>
    <w:rsid w:val="0056169D"/>
    <w:rsid w:val="005616A7"/>
    <w:rsid w:val="005616F6"/>
    <w:rsid w:val="0056177D"/>
    <w:rsid w:val="005617EC"/>
    <w:rsid w:val="00561892"/>
    <w:rsid w:val="005618B7"/>
    <w:rsid w:val="00561952"/>
    <w:rsid w:val="005619EA"/>
    <w:rsid w:val="005619FC"/>
    <w:rsid w:val="00561A53"/>
    <w:rsid w:val="00561A79"/>
    <w:rsid w:val="00561AD4"/>
    <w:rsid w:val="00561B0C"/>
    <w:rsid w:val="00561B0D"/>
    <w:rsid w:val="00561B4A"/>
    <w:rsid w:val="00561B5F"/>
    <w:rsid w:val="00561BBA"/>
    <w:rsid w:val="00561C91"/>
    <w:rsid w:val="00561D13"/>
    <w:rsid w:val="00561D5E"/>
    <w:rsid w:val="00561DE3"/>
    <w:rsid w:val="00561E1A"/>
    <w:rsid w:val="00561E5D"/>
    <w:rsid w:val="00561E78"/>
    <w:rsid w:val="00561E7D"/>
    <w:rsid w:val="00561E86"/>
    <w:rsid w:val="00561EA9"/>
    <w:rsid w:val="00561EBE"/>
    <w:rsid w:val="00561EE2"/>
    <w:rsid w:val="00561F1C"/>
    <w:rsid w:val="00561F4A"/>
    <w:rsid w:val="00561F80"/>
    <w:rsid w:val="00561F89"/>
    <w:rsid w:val="00561F9E"/>
    <w:rsid w:val="00561FCE"/>
    <w:rsid w:val="00562081"/>
    <w:rsid w:val="005621B3"/>
    <w:rsid w:val="005621D7"/>
    <w:rsid w:val="005621E1"/>
    <w:rsid w:val="0056223C"/>
    <w:rsid w:val="0056232A"/>
    <w:rsid w:val="005623A4"/>
    <w:rsid w:val="005623DB"/>
    <w:rsid w:val="00562401"/>
    <w:rsid w:val="00562533"/>
    <w:rsid w:val="005625C6"/>
    <w:rsid w:val="005625E3"/>
    <w:rsid w:val="0056260D"/>
    <w:rsid w:val="0056261A"/>
    <w:rsid w:val="00562623"/>
    <w:rsid w:val="0056265E"/>
    <w:rsid w:val="005626B5"/>
    <w:rsid w:val="005626FA"/>
    <w:rsid w:val="0056277C"/>
    <w:rsid w:val="005627A2"/>
    <w:rsid w:val="00562877"/>
    <w:rsid w:val="005628DB"/>
    <w:rsid w:val="00562992"/>
    <w:rsid w:val="00562995"/>
    <w:rsid w:val="00562AE2"/>
    <w:rsid w:val="00562AEE"/>
    <w:rsid w:val="00562B3C"/>
    <w:rsid w:val="00562C31"/>
    <w:rsid w:val="00562C5A"/>
    <w:rsid w:val="00562C73"/>
    <w:rsid w:val="00562C84"/>
    <w:rsid w:val="00562CD6"/>
    <w:rsid w:val="00562D63"/>
    <w:rsid w:val="00562D93"/>
    <w:rsid w:val="00562DA7"/>
    <w:rsid w:val="00562DBD"/>
    <w:rsid w:val="00562DC8"/>
    <w:rsid w:val="00562DD7"/>
    <w:rsid w:val="00562E05"/>
    <w:rsid w:val="00562E1D"/>
    <w:rsid w:val="00562E6C"/>
    <w:rsid w:val="00562EF9"/>
    <w:rsid w:val="00562EFF"/>
    <w:rsid w:val="00563038"/>
    <w:rsid w:val="00563060"/>
    <w:rsid w:val="0056308C"/>
    <w:rsid w:val="005630D8"/>
    <w:rsid w:val="00563139"/>
    <w:rsid w:val="005631A1"/>
    <w:rsid w:val="005631EF"/>
    <w:rsid w:val="00563209"/>
    <w:rsid w:val="00563247"/>
    <w:rsid w:val="00563281"/>
    <w:rsid w:val="00563298"/>
    <w:rsid w:val="005632D7"/>
    <w:rsid w:val="005632EE"/>
    <w:rsid w:val="0056336F"/>
    <w:rsid w:val="005634BB"/>
    <w:rsid w:val="0056353B"/>
    <w:rsid w:val="005635DC"/>
    <w:rsid w:val="005635E6"/>
    <w:rsid w:val="00563639"/>
    <w:rsid w:val="0056367F"/>
    <w:rsid w:val="0056370C"/>
    <w:rsid w:val="0056375E"/>
    <w:rsid w:val="00563845"/>
    <w:rsid w:val="005638DF"/>
    <w:rsid w:val="00563928"/>
    <w:rsid w:val="0056392F"/>
    <w:rsid w:val="00563987"/>
    <w:rsid w:val="005639DD"/>
    <w:rsid w:val="00563AB3"/>
    <w:rsid w:val="00563AE8"/>
    <w:rsid w:val="00563AFA"/>
    <w:rsid w:val="00563B0B"/>
    <w:rsid w:val="00563B43"/>
    <w:rsid w:val="00563BD8"/>
    <w:rsid w:val="00563C49"/>
    <w:rsid w:val="00563C7C"/>
    <w:rsid w:val="00563D33"/>
    <w:rsid w:val="00563D4C"/>
    <w:rsid w:val="00563D6D"/>
    <w:rsid w:val="00563E3D"/>
    <w:rsid w:val="00563E45"/>
    <w:rsid w:val="00563EE7"/>
    <w:rsid w:val="00563FAA"/>
    <w:rsid w:val="00563FFC"/>
    <w:rsid w:val="00564025"/>
    <w:rsid w:val="005640A6"/>
    <w:rsid w:val="005641C1"/>
    <w:rsid w:val="00564227"/>
    <w:rsid w:val="00564263"/>
    <w:rsid w:val="0056427C"/>
    <w:rsid w:val="005642AE"/>
    <w:rsid w:val="005642B2"/>
    <w:rsid w:val="00564306"/>
    <w:rsid w:val="0056431D"/>
    <w:rsid w:val="0056443A"/>
    <w:rsid w:val="0056445A"/>
    <w:rsid w:val="005644BD"/>
    <w:rsid w:val="005644E9"/>
    <w:rsid w:val="00564537"/>
    <w:rsid w:val="00564550"/>
    <w:rsid w:val="005645FB"/>
    <w:rsid w:val="00564609"/>
    <w:rsid w:val="0056468A"/>
    <w:rsid w:val="005646C2"/>
    <w:rsid w:val="005646EE"/>
    <w:rsid w:val="00564706"/>
    <w:rsid w:val="005647D6"/>
    <w:rsid w:val="00564802"/>
    <w:rsid w:val="00564830"/>
    <w:rsid w:val="0056484D"/>
    <w:rsid w:val="005648B0"/>
    <w:rsid w:val="005648FD"/>
    <w:rsid w:val="00564957"/>
    <w:rsid w:val="0056495E"/>
    <w:rsid w:val="005649AE"/>
    <w:rsid w:val="00564A48"/>
    <w:rsid w:val="00564B34"/>
    <w:rsid w:val="00564C65"/>
    <w:rsid w:val="00564CCA"/>
    <w:rsid w:val="00564D5E"/>
    <w:rsid w:val="00564D7D"/>
    <w:rsid w:val="00564E7A"/>
    <w:rsid w:val="00564F29"/>
    <w:rsid w:val="00564F2B"/>
    <w:rsid w:val="00565045"/>
    <w:rsid w:val="0056509D"/>
    <w:rsid w:val="005650BB"/>
    <w:rsid w:val="0056511C"/>
    <w:rsid w:val="00565270"/>
    <w:rsid w:val="00565292"/>
    <w:rsid w:val="005652BA"/>
    <w:rsid w:val="005652DA"/>
    <w:rsid w:val="0056545D"/>
    <w:rsid w:val="005654D0"/>
    <w:rsid w:val="00565529"/>
    <w:rsid w:val="00565558"/>
    <w:rsid w:val="0056556F"/>
    <w:rsid w:val="005655CA"/>
    <w:rsid w:val="005655F9"/>
    <w:rsid w:val="005656A0"/>
    <w:rsid w:val="0056570D"/>
    <w:rsid w:val="00565735"/>
    <w:rsid w:val="00565742"/>
    <w:rsid w:val="005657F6"/>
    <w:rsid w:val="00565863"/>
    <w:rsid w:val="00565927"/>
    <w:rsid w:val="00565AD3"/>
    <w:rsid w:val="00565B5F"/>
    <w:rsid w:val="00565BB6"/>
    <w:rsid w:val="00565BE3"/>
    <w:rsid w:val="00565C6C"/>
    <w:rsid w:val="00565C99"/>
    <w:rsid w:val="00565CA4"/>
    <w:rsid w:val="00565CE6"/>
    <w:rsid w:val="00565CF6"/>
    <w:rsid w:val="00565D73"/>
    <w:rsid w:val="00565DC3"/>
    <w:rsid w:val="00565E94"/>
    <w:rsid w:val="00565E97"/>
    <w:rsid w:val="00565F32"/>
    <w:rsid w:val="00565F82"/>
    <w:rsid w:val="00565F8B"/>
    <w:rsid w:val="00565FC6"/>
    <w:rsid w:val="00566008"/>
    <w:rsid w:val="00566024"/>
    <w:rsid w:val="00566054"/>
    <w:rsid w:val="00566066"/>
    <w:rsid w:val="005660AA"/>
    <w:rsid w:val="005660FC"/>
    <w:rsid w:val="005661EA"/>
    <w:rsid w:val="00566245"/>
    <w:rsid w:val="0056629A"/>
    <w:rsid w:val="00566343"/>
    <w:rsid w:val="005663C1"/>
    <w:rsid w:val="00566402"/>
    <w:rsid w:val="00566430"/>
    <w:rsid w:val="0056649A"/>
    <w:rsid w:val="00566561"/>
    <w:rsid w:val="005665DD"/>
    <w:rsid w:val="005665FB"/>
    <w:rsid w:val="0056669B"/>
    <w:rsid w:val="005666C4"/>
    <w:rsid w:val="005666D5"/>
    <w:rsid w:val="005666DF"/>
    <w:rsid w:val="0056670F"/>
    <w:rsid w:val="005667DC"/>
    <w:rsid w:val="0056688E"/>
    <w:rsid w:val="005668D7"/>
    <w:rsid w:val="0056690A"/>
    <w:rsid w:val="0056694B"/>
    <w:rsid w:val="00566960"/>
    <w:rsid w:val="0056699F"/>
    <w:rsid w:val="00566B13"/>
    <w:rsid w:val="00566B5D"/>
    <w:rsid w:val="00566B8C"/>
    <w:rsid w:val="00566BB9"/>
    <w:rsid w:val="00566C0C"/>
    <w:rsid w:val="00566C0E"/>
    <w:rsid w:val="00566CA4"/>
    <w:rsid w:val="00566CBD"/>
    <w:rsid w:val="00566CED"/>
    <w:rsid w:val="00566D4F"/>
    <w:rsid w:val="00566D7E"/>
    <w:rsid w:val="00566D93"/>
    <w:rsid w:val="00566DAF"/>
    <w:rsid w:val="00566E4B"/>
    <w:rsid w:val="00566E90"/>
    <w:rsid w:val="00566ED7"/>
    <w:rsid w:val="00566EDF"/>
    <w:rsid w:val="0056702D"/>
    <w:rsid w:val="005670C2"/>
    <w:rsid w:val="005671B9"/>
    <w:rsid w:val="00567240"/>
    <w:rsid w:val="005672A4"/>
    <w:rsid w:val="00567329"/>
    <w:rsid w:val="00567351"/>
    <w:rsid w:val="00567383"/>
    <w:rsid w:val="005673B6"/>
    <w:rsid w:val="005674A0"/>
    <w:rsid w:val="005674E1"/>
    <w:rsid w:val="005674F7"/>
    <w:rsid w:val="00567514"/>
    <w:rsid w:val="0056752E"/>
    <w:rsid w:val="0056753D"/>
    <w:rsid w:val="00567555"/>
    <w:rsid w:val="00567574"/>
    <w:rsid w:val="005675BC"/>
    <w:rsid w:val="005675BD"/>
    <w:rsid w:val="00567621"/>
    <w:rsid w:val="00567651"/>
    <w:rsid w:val="00567685"/>
    <w:rsid w:val="00567736"/>
    <w:rsid w:val="0056778B"/>
    <w:rsid w:val="00567796"/>
    <w:rsid w:val="005677C6"/>
    <w:rsid w:val="00567804"/>
    <w:rsid w:val="005678A2"/>
    <w:rsid w:val="005678D6"/>
    <w:rsid w:val="005678DE"/>
    <w:rsid w:val="0056795F"/>
    <w:rsid w:val="00567A53"/>
    <w:rsid w:val="00567C52"/>
    <w:rsid w:val="00567CAD"/>
    <w:rsid w:val="00567CE5"/>
    <w:rsid w:val="00567CF9"/>
    <w:rsid w:val="00567D46"/>
    <w:rsid w:val="00567DEF"/>
    <w:rsid w:val="00567DFD"/>
    <w:rsid w:val="00567E69"/>
    <w:rsid w:val="00567EF7"/>
    <w:rsid w:val="00567F61"/>
    <w:rsid w:val="00567FD9"/>
    <w:rsid w:val="00570025"/>
    <w:rsid w:val="005700A6"/>
    <w:rsid w:val="00570195"/>
    <w:rsid w:val="00570378"/>
    <w:rsid w:val="00570390"/>
    <w:rsid w:val="00570450"/>
    <w:rsid w:val="00570451"/>
    <w:rsid w:val="005704A8"/>
    <w:rsid w:val="005704D5"/>
    <w:rsid w:val="005705B1"/>
    <w:rsid w:val="005705D1"/>
    <w:rsid w:val="005705E1"/>
    <w:rsid w:val="005706CB"/>
    <w:rsid w:val="0057070C"/>
    <w:rsid w:val="005707E6"/>
    <w:rsid w:val="00570802"/>
    <w:rsid w:val="00570808"/>
    <w:rsid w:val="00570846"/>
    <w:rsid w:val="0057085B"/>
    <w:rsid w:val="005708EF"/>
    <w:rsid w:val="005708FB"/>
    <w:rsid w:val="0057093B"/>
    <w:rsid w:val="0057094D"/>
    <w:rsid w:val="0057095A"/>
    <w:rsid w:val="00570986"/>
    <w:rsid w:val="00570996"/>
    <w:rsid w:val="005709C6"/>
    <w:rsid w:val="00570B5C"/>
    <w:rsid w:val="00570BC7"/>
    <w:rsid w:val="00570BDD"/>
    <w:rsid w:val="00570C8A"/>
    <w:rsid w:val="00570CD4"/>
    <w:rsid w:val="00570D2A"/>
    <w:rsid w:val="00570D72"/>
    <w:rsid w:val="00570DD8"/>
    <w:rsid w:val="00570F92"/>
    <w:rsid w:val="00570FA1"/>
    <w:rsid w:val="00570FB7"/>
    <w:rsid w:val="0057108D"/>
    <w:rsid w:val="0057110A"/>
    <w:rsid w:val="00571252"/>
    <w:rsid w:val="005712D4"/>
    <w:rsid w:val="0057133B"/>
    <w:rsid w:val="00571344"/>
    <w:rsid w:val="00571371"/>
    <w:rsid w:val="0057138C"/>
    <w:rsid w:val="005713B9"/>
    <w:rsid w:val="0057144B"/>
    <w:rsid w:val="00571523"/>
    <w:rsid w:val="0057160B"/>
    <w:rsid w:val="0057167B"/>
    <w:rsid w:val="00571683"/>
    <w:rsid w:val="0057168F"/>
    <w:rsid w:val="0057169B"/>
    <w:rsid w:val="00571766"/>
    <w:rsid w:val="005717EC"/>
    <w:rsid w:val="00571816"/>
    <w:rsid w:val="00571837"/>
    <w:rsid w:val="005718B1"/>
    <w:rsid w:val="005718D4"/>
    <w:rsid w:val="0057195E"/>
    <w:rsid w:val="005719CC"/>
    <w:rsid w:val="005719D4"/>
    <w:rsid w:val="005719F4"/>
    <w:rsid w:val="00571A1F"/>
    <w:rsid w:val="00571BA9"/>
    <w:rsid w:val="00571C24"/>
    <w:rsid w:val="00571C81"/>
    <w:rsid w:val="00571D77"/>
    <w:rsid w:val="00571E2D"/>
    <w:rsid w:val="00571E45"/>
    <w:rsid w:val="00571F11"/>
    <w:rsid w:val="00571FCE"/>
    <w:rsid w:val="00571FD2"/>
    <w:rsid w:val="00572126"/>
    <w:rsid w:val="00572128"/>
    <w:rsid w:val="0057216B"/>
    <w:rsid w:val="0057219C"/>
    <w:rsid w:val="005721B9"/>
    <w:rsid w:val="00572239"/>
    <w:rsid w:val="0057241B"/>
    <w:rsid w:val="00572475"/>
    <w:rsid w:val="00572486"/>
    <w:rsid w:val="005724CA"/>
    <w:rsid w:val="005724E6"/>
    <w:rsid w:val="005725AC"/>
    <w:rsid w:val="0057261C"/>
    <w:rsid w:val="00572656"/>
    <w:rsid w:val="00572673"/>
    <w:rsid w:val="0057268A"/>
    <w:rsid w:val="005726B3"/>
    <w:rsid w:val="005726DC"/>
    <w:rsid w:val="00572724"/>
    <w:rsid w:val="00572734"/>
    <w:rsid w:val="005727D5"/>
    <w:rsid w:val="0057280C"/>
    <w:rsid w:val="00572830"/>
    <w:rsid w:val="00572975"/>
    <w:rsid w:val="00572A85"/>
    <w:rsid w:val="00572A8C"/>
    <w:rsid w:val="00572AC1"/>
    <w:rsid w:val="00572B93"/>
    <w:rsid w:val="00572BE2"/>
    <w:rsid w:val="00572C73"/>
    <w:rsid w:val="00572CAB"/>
    <w:rsid w:val="00572D30"/>
    <w:rsid w:val="00572D98"/>
    <w:rsid w:val="00572E88"/>
    <w:rsid w:val="00572EBD"/>
    <w:rsid w:val="00572EF8"/>
    <w:rsid w:val="00572F14"/>
    <w:rsid w:val="00572F70"/>
    <w:rsid w:val="00573003"/>
    <w:rsid w:val="00573047"/>
    <w:rsid w:val="00573053"/>
    <w:rsid w:val="0057306A"/>
    <w:rsid w:val="0057307A"/>
    <w:rsid w:val="005730C9"/>
    <w:rsid w:val="00573129"/>
    <w:rsid w:val="00573130"/>
    <w:rsid w:val="005731FB"/>
    <w:rsid w:val="0057327B"/>
    <w:rsid w:val="005732D8"/>
    <w:rsid w:val="00573311"/>
    <w:rsid w:val="0057331C"/>
    <w:rsid w:val="005733DD"/>
    <w:rsid w:val="0057341F"/>
    <w:rsid w:val="00573434"/>
    <w:rsid w:val="00573473"/>
    <w:rsid w:val="00573489"/>
    <w:rsid w:val="0057350E"/>
    <w:rsid w:val="0057353F"/>
    <w:rsid w:val="00573599"/>
    <w:rsid w:val="005735A5"/>
    <w:rsid w:val="005735BA"/>
    <w:rsid w:val="00573644"/>
    <w:rsid w:val="00573665"/>
    <w:rsid w:val="0057368E"/>
    <w:rsid w:val="00573694"/>
    <w:rsid w:val="00573748"/>
    <w:rsid w:val="005737A0"/>
    <w:rsid w:val="0057388B"/>
    <w:rsid w:val="005738F8"/>
    <w:rsid w:val="00573925"/>
    <w:rsid w:val="0057392B"/>
    <w:rsid w:val="00573933"/>
    <w:rsid w:val="00573954"/>
    <w:rsid w:val="005739B6"/>
    <w:rsid w:val="00573B3A"/>
    <w:rsid w:val="00573B7F"/>
    <w:rsid w:val="00573C90"/>
    <w:rsid w:val="00573CF3"/>
    <w:rsid w:val="00573D94"/>
    <w:rsid w:val="00573E27"/>
    <w:rsid w:val="00573E7B"/>
    <w:rsid w:val="00573EAA"/>
    <w:rsid w:val="00573EF5"/>
    <w:rsid w:val="00573F21"/>
    <w:rsid w:val="00573FDD"/>
    <w:rsid w:val="00574029"/>
    <w:rsid w:val="00574037"/>
    <w:rsid w:val="0057403C"/>
    <w:rsid w:val="00574056"/>
    <w:rsid w:val="00574060"/>
    <w:rsid w:val="0057419F"/>
    <w:rsid w:val="005741B2"/>
    <w:rsid w:val="005741D4"/>
    <w:rsid w:val="00574240"/>
    <w:rsid w:val="00574250"/>
    <w:rsid w:val="005742A3"/>
    <w:rsid w:val="0057439E"/>
    <w:rsid w:val="005744BA"/>
    <w:rsid w:val="005744EB"/>
    <w:rsid w:val="00574561"/>
    <w:rsid w:val="0057464F"/>
    <w:rsid w:val="00574690"/>
    <w:rsid w:val="005746CA"/>
    <w:rsid w:val="005746D7"/>
    <w:rsid w:val="005746E1"/>
    <w:rsid w:val="00574755"/>
    <w:rsid w:val="0057475A"/>
    <w:rsid w:val="005747BE"/>
    <w:rsid w:val="005747F2"/>
    <w:rsid w:val="0057486D"/>
    <w:rsid w:val="0057488D"/>
    <w:rsid w:val="005748DE"/>
    <w:rsid w:val="00574948"/>
    <w:rsid w:val="00574968"/>
    <w:rsid w:val="00574A08"/>
    <w:rsid w:val="00574A8E"/>
    <w:rsid w:val="00574AE6"/>
    <w:rsid w:val="00574B1F"/>
    <w:rsid w:val="00574B74"/>
    <w:rsid w:val="00574BBE"/>
    <w:rsid w:val="00574BBF"/>
    <w:rsid w:val="00574BF6"/>
    <w:rsid w:val="00574CA6"/>
    <w:rsid w:val="00574CAD"/>
    <w:rsid w:val="00574CD1"/>
    <w:rsid w:val="00574CEB"/>
    <w:rsid w:val="00574D44"/>
    <w:rsid w:val="00574D49"/>
    <w:rsid w:val="00574D8D"/>
    <w:rsid w:val="00574E2E"/>
    <w:rsid w:val="00574F47"/>
    <w:rsid w:val="00574F89"/>
    <w:rsid w:val="005750BE"/>
    <w:rsid w:val="0057514D"/>
    <w:rsid w:val="0057515E"/>
    <w:rsid w:val="00575195"/>
    <w:rsid w:val="005751BB"/>
    <w:rsid w:val="005751E7"/>
    <w:rsid w:val="00575214"/>
    <w:rsid w:val="00575276"/>
    <w:rsid w:val="005752B1"/>
    <w:rsid w:val="00575334"/>
    <w:rsid w:val="005753E4"/>
    <w:rsid w:val="005753F1"/>
    <w:rsid w:val="00575435"/>
    <w:rsid w:val="00575450"/>
    <w:rsid w:val="00575475"/>
    <w:rsid w:val="0057552C"/>
    <w:rsid w:val="0057557E"/>
    <w:rsid w:val="005755A1"/>
    <w:rsid w:val="005755DA"/>
    <w:rsid w:val="00575682"/>
    <w:rsid w:val="00575693"/>
    <w:rsid w:val="005756A2"/>
    <w:rsid w:val="00575759"/>
    <w:rsid w:val="00575766"/>
    <w:rsid w:val="00575791"/>
    <w:rsid w:val="005757F3"/>
    <w:rsid w:val="00575802"/>
    <w:rsid w:val="005758DC"/>
    <w:rsid w:val="005758F0"/>
    <w:rsid w:val="00575989"/>
    <w:rsid w:val="005759F2"/>
    <w:rsid w:val="00575A62"/>
    <w:rsid w:val="00575AD1"/>
    <w:rsid w:val="00575AF7"/>
    <w:rsid w:val="00575B57"/>
    <w:rsid w:val="00575C3F"/>
    <w:rsid w:val="00575D8E"/>
    <w:rsid w:val="00575DB3"/>
    <w:rsid w:val="00575E98"/>
    <w:rsid w:val="00575EEB"/>
    <w:rsid w:val="00575F4A"/>
    <w:rsid w:val="00575FF1"/>
    <w:rsid w:val="00576017"/>
    <w:rsid w:val="00576047"/>
    <w:rsid w:val="005760F7"/>
    <w:rsid w:val="00576102"/>
    <w:rsid w:val="00576195"/>
    <w:rsid w:val="00576296"/>
    <w:rsid w:val="005762A6"/>
    <w:rsid w:val="005762C1"/>
    <w:rsid w:val="005762E2"/>
    <w:rsid w:val="005762E3"/>
    <w:rsid w:val="00576306"/>
    <w:rsid w:val="0057632B"/>
    <w:rsid w:val="0057632C"/>
    <w:rsid w:val="0057633A"/>
    <w:rsid w:val="005763DC"/>
    <w:rsid w:val="005763ED"/>
    <w:rsid w:val="00576416"/>
    <w:rsid w:val="00576451"/>
    <w:rsid w:val="005764B6"/>
    <w:rsid w:val="005764BA"/>
    <w:rsid w:val="00576508"/>
    <w:rsid w:val="00576514"/>
    <w:rsid w:val="005765C3"/>
    <w:rsid w:val="005766E2"/>
    <w:rsid w:val="00576705"/>
    <w:rsid w:val="00576746"/>
    <w:rsid w:val="00576825"/>
    <w:rsid w:val="0057683B"/>
    <w:rsid w:val="005768EA"/>
    <w:rsid w:val="005769AE"/>
    <w:rsid w:val="005769D0"/>
    <w:rsid w:val="00576A12"/>
    <w:rsid w:val="00576A2B"/>
    <w:rsid w:val="00576B12"/>
    <w:rsid w:val="00576B61"/>
    <w:rsid w:val="00576BE6"/>
    <w:rsid w:val="00576C10"/>
    <w:rsid w:val="00576CBB"/>
    <w:rsid w:val="00576D63"/>
    <w:rsid w:val="00576D72"/>
    <w:rsid w:val="00576DF7"/>
    <w:rsid w:val="00576DF9"/>
    <w:rsid w:val="00576E3E"/>
    <w:rsid w:val="00576E41"/>
    <w:rsid w:val="00576E8A"/>
    <w:rsid w:val="00576EC9"/>
    <w:rsid w:val="00576EF1"/>
    <w:rsid w:val="00576F54"/>
    <w:rsid w:val="00576F5C"/>
    <w:rsid w:val="00576FD0"/>
    <w:rsid w:val="00577070"/>
    <w:rsid w:val="005770BE"/>
    <w:rsid w:val="005770C6"/>
    <w:rsid w:val="00577186"/>
    <w:rsid w:val="005771D5"/>
    <w:rsid w:val="005771F1"/>
    <w:rsid w:val="00577309"/>
    <w:rsid w:val="00577384"/>
    <w:rsid w:val="005773FF"/>
    <w:rsid w:val="00577449"/>
    <w:rsid w:val="00577459"/>
    <w:rsid w:val="005775FB"/>
    <w:rsid w:val="0057769C"/>
    <w:rsid w:val="005776C2"/>
    <w:rsid w:val="00577746"/>
    <w:rsid w:val="00577854"/>
    <w:rsid w:val="005778AF"/>
    <w:rsid w:val="00577908"/>
    <w:rsid w:val="00577970"/>
    <w:rsid w:val="0057798D"/>
    <w:rsid w:val="005779AF"/>
    <w:rsid w:val="00577A0E"/>
    <w:rsid w:val="00577A77"/>
    <w:rsid w:val="00577A84"/>
    <w:rsid w:val="00577AB5"/>
    <w:rsid w:val="00577ACD"/>
    <w:rsid w:val="00577AD1"/>
    <w:rsid w:val="00577B7A"/>
    <w:rsid w:val="00577BA7"/>
    <w:rsid w:val="00577BD0"/>
    <w:rsid w:val="00577CB3"/>
    <w:rsid w:val="00577D2E"/>
    <w:rsid w:val="00577DA6"/>
    <w:rsid w:val="00577DF1"/>
    <w:rsid w:val="00577E0C"/>
    <w:rsid w:val="00577E2B"/>
    <w:rsid w:val="00577F23"/>
    <w:rsid w:val="00577F3E"/>
    <w:rsid w:val="00580010"/>
    <w:rsid w:val="0058015D"/>
    <w:rsid w:val="0058016F"/>
    <w:rsid w:val="0058024A"/>
    <w:rsid w:val="0058027C"/>
    <w:rsid w:val="0058028B"/>
    <w:rsid w:val="0058029B"/>
    <w:rsid w:val="00580416"/>
    <w:rsid w:val="00580478"/>
    <w:rsid w:val="005805A3"/>
    <w:rsid w:val="005805DD"/>
    <w:rsid w:val="005805E8"/>
    <w:rsid w:val="005805F1"/>
    <w:rsid w:val="00580612"/>
    <w:rsid w:val="00580642"/>
    <w:rsid w:val="005806A8"/>
    <w:rsid w:val="005806C4"/>
    <w:rsid w:val="0058072D"/>
    <w:rsid w:val="00580743"/>
    <w:rsid w:val="005807D7"/>
    <w:rsid w:val="00580809"/>
    <w:rsid w:val="00580836"/>
    <w:rsid w:val="0058087A"/>
    <w:rsid w:val="005808BF"/>
    <w:rsid w:val="005808C7"/>
    <w:rsid w:val="00580948"/>
    <w:rsid w:val="00580958"/>
    <w:rsid w:val="00580966"/>
    <w:rsid w:val="00580982"/>
    <w:rsid w:val="00580A0E"/>
    <w:rsid w:val="00580B28"/>
    <w:rsid w:val="00580B2A"/>
    <w:rsid w:val="00580B7E"/>
    <w:rsid w:val="00580CD7"/>
    <w:rsid w:val="00580CE6"/>
    <w:rsid w:val="00580E08"/>
    <w:rsid w:val="00580E20"/>
    <w:rsid w:val="00580FCD"/>
    <w:rsid w:val="0058100D"/>
    <w:rsid w:val="005810CA"/>
    <w:rsid w:val="005810DB"/>
    <w:rsid w:val="0058113E"/>
    <w:rsid w:val="0058117A"/>
    <w:rsid w:val="005811BE"/>
    <w:rsid w:val="0058127E"/>
    <w:rsid w:val="005813F3"/>
    <w:rsid w:val="00581417"/>
    <w:rsid w:val="00581540"/>
    <w:rsid w:val="00581545"/>
    <w:rsid w:val="005815DB"/>
    <w:rsid w:val="00581600"/>
    <w:rsid w:val="00581626"/>
    <w:rsid w:val="005816C3"/>
    <w:rsid w:val="005816F6"/>
    <w:rsid w:val="005816FC"/>
    <w:rsid w:val="00581744"/>
    <w:rsid w:val="00581760"/>
    <w:rsid w:val="0058179A"/>
    <w:rsid w:val="005817C5"/>
    <w:rsid w:val="005817CB"/>
    <w:rsid w:val="005817DF"/>
    <w:rsid w:val="005817F3"/>
    <w:rsid w:val="00581809"/>
    <w:rsid w:val="00581860"/>
    <w:rsid w:val="005818D4"/>
    <w:rsid w:val="005818D8"/>
    <w:rsid w:val="0058199D"/>
    <w:rsid w:val="005819CE"/>
    <w:rsid w:val="00581AAE"/>
    <w:rsid w:val="00581C72"/>
    <w:rsid w:val="00581CB0"/>
    <w:rsid w:val="00581E62"/>
    <w:rsid w:val="00581E79"/>
    <w:rsid w:val="00581EBB"/>
    <w:rsid w:val="00581ED1"/>
    <w:rsid w:val="00581F16"/>
    <w:rsid w:val="00581F29"/>
    <w:rsid w:val="00581F40"/>
    <w:rsid w:val="00581F7C"/>
    <w:rsid w:val="0058201B"/>
    <w:rsid w:val="00582084"/>
    <w:rsid w:val="005820B1"/>
    <w:rsid w:val="005820CB"/>
    <w:rsid w:val="005820E6"/>
    <w:rsid w:val="00582130"/>
    <w:rsid w:val="00582152"/>
    <w:rsid w:val="00582180"/>
    <w:rsid w:val="005821E0"/>
    <w:rsid w:val="00582212"/>
    <w:rsid w:val="00582241"/>
    <w:rsid w:val="0058227D"/>
    <w:rsid w:val="005822F5"/>
    <w:rsid w:val="00582301"/>
    <w:rsid w:val="0058231A"/>
    <w:rsid w:val="0058231C"/>
    <w:rsid w:val="00582333"/>
    <w:rsid w:val="00582344"/>
    <w:rsid w:val="005823CF"/>
    <w:rsid w:val="0058247F"/>
    <w:rsid w:val="005824B5"/>
    <w:rsid w:val="0058251D"/>
    <w:rsid w:val="00582570"/>
    <w:rsid w:val="00582576"/>
    <w:rsid w:val="0058261F"/>
    <w:rsid w:val="0058263F"/>
    <w:rsid w:val="005826A7"/>
    <w:rsid w:val="0058270D"/>
    <w:rsid w:val="0058275B"/>
    <w:rsid w:val="00582789"/>
    <w:rsid w:val="005828C0"/>
    <w:rsid w:val="00582905"/>
    <w:rsid w:val="00582906"/>
    <w:rsid w:val="0058293A"/>
    <w:rsid w:val="00582943"/>
    <w:rsid w:val="00582980"/>
    <w:rsid w:val="0058298B"/>
    <w:rsid w:val="005829CC"/>
    <w:rsid w:val="005829D1"/>
    <w:rsid w:val="00582A01"/>
    <w:rsid w:val="00582A09"/>
    <w:rsid w:val="00582A35"/>
    <w:rsid w:val="00582A9E"/>
    <w:rsid w:val="00582B9E"/>
    <w:rsid w:val="00582C01"/>
    <w:rsid w:val="00582C13"/>
    <w:rsid w:val="00582C2D"/>
    <w:rsid w:val="00582C3C"/>
    <w:rsid w:val="00582C3D"/>
    <w:rsid w:val="00582C5D"/>
    <w:rsid w:val="00582D30"/>
    <w:rsid w:val="00582D37"/>
    <w:rsid w:val="00582D53"/>
    <w:rsid w:val="00582D63"/>
    <w:rsid w:val="00582E02"/>
    <w:rsid w:val="00582E52"/>
    <w:rsid w:val="00582E56"/>
    <w:rsid w:val="00582E85"/>
    <w:rsid w:val="00582EA3"/>
    <w:rsid w:val="00582F2A"/>
    <w:rsid w:val="00582FB7"/>
    <w:rsid w:val="00582FBD"/>
    <w:rsid w:val="00582FC9"/>
    <w:rsid w:val="00582FE6"/>
    <w:rsid w:val="0058302C"/>
    <w:rsid w:val="00583107"/>
    <w:rsid w:val="00583168"/>
    <w:rsid w:val="005831B0"/>
    <w:rsid w:val="005831EC"/>
    <w:rsid w:val="00583206"/>
    <w:rsid w:val="00583207"/>
    <w:rsid w:val="00583210"/>
    <w:rsid w:val="0058322F"/>
    <w:rsid w:val="00583356"/>
    <w:rsid w:val="005833A7"/>
    <w:rsid w:val="005833CF"/>
    <w:rsid w:val="00583424"/>
    <w:rsid w:val="005834A9"/>
    <w:rsid w:val="00583524"/>
    <w:rsid w:val="0058352F"/>
    <w:rsid w:val="00583548"/>
    <w:rsid w:val="0058354A"/>
    <w:rsid w:val="00583563"/>
    <w:rsid w:val="0058358D"/>
    <w:rsid w:val="00583612"/>
    <w:rsid w:val="0058369E"/>
    <w:rsid w:val="005836CB"/>
    <w:rsid w:val="00583724"/>
    <w:rsid w:val="00583726"/>
    <w:rsid w:val="0058372F"/>
    <w:rsid w:val="005837EF"/>
    <w:rsid w:val="00583805"/>
    <w:rsid w:val="00583882"/>
    <w:rsid w:val="005838CD"/>
    <w:rsid w:val="005839C7"/>
    <w:rsid w:val="005839F7"/>
    <w:rsid w:val="00583A72"/>
    <w:rsid w:val="00583B08"/>
    <w:rsid w:val="00583B27"/>
    <w:rsid w:val="00583B2B"/>
    <w:rsid w:val="00583B37"/>
    <w:rsid w:val="00583B45"/>
    <w:rsid w:val="00583B71"/>
    <w:rsid w:val="00583B94"/>
    <w:rsid w:val="00583B9D"/>
    <w:rsid w:val="00583BDF"/>
    <w:rsid w:val="00583C2F"/>
    <w:rsid w:val="00583C3A"/>
    <w:rsid w:val="00583C45"/>
    <w:rsid w:val="00583C48"/>
    <w:rsid w:val="00583CC9"/>
    <w:rsid w:val="00583D76"/>
    <w:rsid w:val="00583DC9"/>
    <w:rsid w:val="00583E29"/>
    <w:rsid w:val="00583F16"/>
    <w:rsid w:val="00583F77"/>
    <w:rsid w:val="00583FC4"/>
    <w:rsid w:val="0058401F"/>
    <w:rsid w:val="00584038"/>
    <w:rsid w:val="0058403A"/>
    <w:rsid w:val="00584143"/>
    <w:rsid w:val="00584163"/>
    <w:rsid w:val="005841F5"/>
    <w:rsid w:val="00584219"/>
    <w:rsid w:val="00584252"/>
    <w:rsid w:val="0058425B"/>
    <w:rsid w:val="005842B1"/>
    <w:rsid w:val="005842ED"/>
    <w:rsid w:val="0058439C"/>
    <w:rsid w:val="0058439E"/>
    <w:rsid w:val="00584453"/>
    <w:rsid w:val="005844A6"/>
    <w:rsid w:val="005844F1"/>
    <w:rsid w:val="0058452D"/>
    <w:rsid w:val="0058453B"/>
    <w:rsid w:val="005845AA"/>
    <w:rsid w:val="005845B5"/>
    <w:rsid w:val="00584626"/>
    <w:rsid w:val="0058467E"/>
    <w:rsid w:val="00584780"/>
    <w:rsid w:val="005847B7"/>
    <w:rsid w:val="0058486F"/>
    <w:rsid w:val="00584879"/>
    <w:rsid w:val="0058487B"/>
    <w:rsid w:val="00584885"/>
    <w:rsid w:val="005848A0"/>
    <w:rsid w:val="0058490B"/>
    <w:rsid w:val="0058497C"/>
    <w:rsid w:val="005849E9"/>
    <w:rsid w:val="00584AC9"/>
    <w:rsid w:val="00584ADA"/>
    <w:rsid w:val="00584ADD"/>
    <w:rsid w:val="00584AFF"/>
    <w:rsid w:val="00584B00"/>
    <w:rsid w:val="00584B19"/>
    <w:rsid w:val="00584CDF"/>
    <w:rsid w:val="00584DA6"/>
    <w:rsid w:val="00584EB5"/>
    <w:rsid w:val="00584F17"/>
    <w:rsid w:val="00584F9F"/>
    <w:rsid w:val="00584FDB"/>
    <w:rsid w:val="00585046"/>
    <w:rsid w:val="005850FB"/>
    <w:rsid w:val="00585160"/>
    <w:rsid w:val="00585164"/>
    <w:rsid w:val="005851C7"/>
    <w:rsid w:val="005851E2"/>
    <w:rsid w:val="00585239"/>
    <w:rsid w:val="00585242"/>
    <w:rsid w:val="0058525E"/>
    <w:rsid w:val="00585270"/>
    <w:rsid w:val="0058530A"/>
    <w:rsid w:val="0058533B"/>
    <w:rsid w:val="0058537B"/>
    <w:rsid w:val="0058553A"/>
    <w:rsid w:val="00585563"/>
    <w:rsid w:val="00585595"/>
    <w:rsid w:val="0058559B"/>
    <w:rsid w:val="005855B5"/>
    <w:rsid w:val="00585688"/>
    <w:rsid w:val="005856A2"/>
    <w:rsid w:val="00585754"/>
    <w:rsid w:val="00585768"/>
    <w:rsid w:val="005857A3"/>
    <w:rsid w:val="00585817"/>
    <w:rsid w:val="00585930"/>
    <w:rsid w:val="00585982"/>
    <w:rsid w:val="00585A7A"/>
    <w:rsid w:val="00585B01"/>
    <w:rsid w:val="00585B0B"/>
    <w:rsid w:val="00585B2A"/>
    <w:rsid w:val="00585BC5"/>
    <w:rsid w:val="00585BD7"/>
    <w:rsid w:val="00585C1A"/>
    <w:rsid w:val="00585C47"/>
    <w:rsid w:val="00585CB8"/>
    <w:rsid w:val="00585D4E"/>
    <w:rsid w:val="00585D76"/>
    <w:rsid w:val="00585EEB"/>
    <w:rsid w:val="00585F68"/>
    <w:rsid w:val="00585F90"/>
    <w:rsid w:val="00585FA2"/>
    <w:rsid w:val="00585FB8"/>
    <w:rsid w:val="00585FD7"/>
    <w:rsid w:val="0058600F"/>
    <w:rsid w:val="00586041"/>
    <w:rsid w:val="0058605B"/>
    <w:rsid w:val="0058610F"/>
    <w:rsid w:val="00586118"/>
    <w:rsid w:val="00586140"/>
    <w:rsid w:val="00586143"/>
    <w:rsid w:val="0058618F"/>
    <w:rsid w:val="005861AE"/>
    <w:rsid w:val="005861B9"/>
    <w:rsid w:val="0058620D"/>
    <w:rsid w:val="005863D3"/>
    <w:rsid w:val="0058640D"/>
    <w:rsid w:val="00586419"/>
    <w:rsid w:val="0058649C"/>
    <w:rsid w:val="00586509"/>
    <w:rsid w:val="00586570"/>
    <w:rsid w:val="0058666B"/>
    <w:rsid w:val="00586696"/>
    <w:rsid w:val="005866C8"/>
    <w:rsid w:val="005866CC"/>
    <w:rsid w:val="00586716"/>
    <w:rsid w:val="00586826"/>
    <w:rsid w:val="00586832"/>
    <w:rsid w:val="00586833"/>
    <w:rsid w:val="00586862"/>
    <w:rsid w:val="0058687D"/>
    <w:rsid w:val="0058688F"/>
    <w:rsid w:val="005868DA"/>
    <w:rsid w:val="00586932"/>
    <w:rsid w:val="00586B19"/>
    <w:rsid w:val="00586B1E"/>
    <w:rsid w:val="00586B62"/>
    <w:rsid w:val="00586B6F"/>
    <w:rsid w:val="00586BA4"/>
    <w:rsid w:val="00586BAB"/>
    <w:rsid w:val="00586CE1"/>
    <w:rsid w:val="00586CEE"/>
    <w:rsid w:val="00586D27"/>
    <w:rsid w:val="00586D50"/>
    <w:rsid w:val="00586E1A"/>
    <w:rsid w:val="00586EC7"/>
    <w:rsid w:val="00586EE5"/>
    <w:rsid w:val="00586F15"/>
    <w:rsid w:val="00586F4F"/>
    <w:rsid w:val="00586FA6"/>
    <w:rsid w:val="00586FF0"/>
    <w:rsid w:val="00586FF1"/>
    <w:rsid w:val="0058705B"/>
    <w:rsid w:val="0058707E"/>
    <w:rsid w:val="005870E8"/>
    <w:rsid w:val="005871BD"/>
    <w:rsid w:val="0058721F"/>
    <w:rsid w:val="00587281"/>
    <w:rsid w:val="00587283"/>
    <w:rsid w:val="005872FA"/>
    <w:rsid w:val="00587327"/>
    <w:rsid w:val="0058735C"/>
    <w:rsid w:val="00587384"/>
    <w:rsid w:val="005873DB"/>
    <w:rsid w:val="0058749B"/>
    <w:rsid w:val="005874BA"/>
    <w:rsid w:val="005874D5"/>
    <w:rsid w:val="00587573"/>
    <w:rsid w:val="005875CC"/>
    <w:rsid w:val="00587639"/>
    <w:rsid w:val="005876CF"/>
    <w:rsid w:val="005876F1"/>
    <w:rsid w:val="005876FD"/>
    <w:rsid w:val="00587712"/>
    <w:rsid w:val="00587797"/>
    <w:rsid w:val="005877CF"/>
    <w:rsid w:val="005877F4"/>
    <w:rsid w:val="0058780E"/>
    <w:rsid w:val="00587836"/>
    <w:rsid w:val="00587867"/>
    <w:rsid w:val="00587873"/>
    <w:rsid w:val="005878D1"/>
    <w:rsid w:val="005878E5"/>
    <w:rsid w:val="005878F4"/>
    <w:rsid w:val="0058790B"/>
    <w:rsid w:val="0058796C"/>
    <w:rsid w:val="005879B3"/>
    <w:rsid w:val="005879DD"/>
    <w:rsid w:val="00587ABF"/>
    <w:rsid w:val="00587BB5"/>
    <w:rsid w:val="00587BBF"/>
    <w:rsid w:val="00587BE1"/>
    <w:rsid w:val="00587C18"/>
    <w:rsid w:val="00587C31"/>
    <w:rsid w:val="00587C43"/>
    <w:rsid w:val="00587CDC"/>
    <w:rsid w:val="00587D8F"/>
    <w:rsid w:val="00587DA2"/>
    <w:rsid w:val="00587DB0"/>
    <w:rsid w:val="00587DF0"/>
    <w:rsid w:val="00587E2E"/>
    <w:rsid w:val="00587E6F"/>
    <w:rsid w:val="00587E87"/>
    <w:rsid w:val="00587EB9"/>
    <w:rsid w:val="00587F40"/>
    <w:rsid w:val="00587FA8"/>
    <w:rsid w:val="00590018"/>
    <w:rsid w:val="005900EC"/>
    <w:rsid w:val="005900F0"/>
    <w:rsid w:val="00590108"/>
    <w:rsid w:val="00590165"/>
    <w:rsid w:val="00590197"/>
    <w:rsid w:val="005901C1"/>
    <w:rsid w:val="00590272"/>
    <w:rsid w:val="0059028C"/>
    <w:rsid w:val="0059035D"/>
    <w:rsid w:val="005903E8"/>
    <w:rsid w:val="005903FA"/>
    <w:rsid w:val="00590466"/>
    <w:rsid w:val="00590489"/>
    <w:rsid w:val="005904AA"/>
    <w:rsid w:val="005904BD"/>
    <w:rsid w:val="00590536"/>
    <w:rsid w:val="00590544"/>
    <w:rsid w:val="00590599"/>
    <w:rsid w:val="005905F4"/>
    <w:rsid w:val="005906C3"/>
    <w:rsid w:val="005906FB"/>
    <w:rsid w:val="0059070D"/>
    <w:rsid w:val="0059071A"/>
    <w:rsid w:val="0059087B"/>
    <w:rsid w:val="005908D0"/>
    <w:rsid w:val="005909D1"/>
    <w:rsid w:val="00590AA5"/>
    <w:rsid w:val="00590B3F"/>
    <w:rsid w:val="00590C00"/>
    <w:rsid w:val="00590C32"/>
    <w:rsid w:val="00590C51"/>
    <w:rsid w:val="00590C52"/>
    <w:rsid w:val="00590C75"/>
    <w:rsid w:val="00590CC1"/>
    <w:rsid w:val="00590CD2"/>
    <w:rsid w:val="00590CEE"/>
    <w:rsid w:val="00590D5A"/>
    <w:rsid w:val="00590D6A"/>
    <w:rsid w:val="00590D74"/>
    <w:rsid w:val="00590DA1"/>
    <w:rsid w:val="00590E9E"/>
    <w:rsid w:val="00590EDF"/>
    <w:rsid w:val="00590EE6"/>
    <w:rsid w:val="00590EEE"/>
    <w:rsid w:val="00590F21"/>
    <w:rsid w:val="00590F55"/>
    <w:rsid w:val="00590FCF"/>
    <w:rsid w:val="00591038"/>
    <w:rsid w:val="005910AC"/>
    <w:rsid w:val="005910B8"/>
    <w:rsid w:val="005911C8"/>
    <w:rsid w:val="0059121D"/>
    <w:rsid w:val="005912A5"/>
    <w:rsid w:val="005912A6"/>
    <w:rsid w:val="00591349"/>
    <w:rsid w:val="0059135E"/>
    <w:rsid w:val="005913CF"/>
    <w:rsid w:val="005914BF"/>
    <w:rsid w:val="005914D1"/>
    <w:rsid w:val="0059151F"/>
    <w:rsid w:val="0059152E"/>
    <w:rsid w:val="00591570"/>
    <w:rsid w:val="00591597"/>
    <w:rsid w:val="005915C8"/>
    <w:rsid w:val="00591700"/>
    <w:rsid w:val="0059170C"/>
    <w:rsid w:val="00591806"/>
    <w:rsid w:val="00591854"/>
    <w:rsid w:val="00591861"/>
    <w:rsid w:val="0059188C"/>
    <w:rsid w:val="00591973"/>
    <w:rsid w:val="005919A0"/>
    <w:rsid w:val="005919BE"/>
    <w:rsid w:val="005919F7"/>
    <w:rsid w:val="00591A51"/>
    <w:rsid w:val="00591AA5"/>
    <w:rsid w:val="00591B79"/>
    <w:rsid w:val="00591B84"/>
    <w:rsid w:val="00591BE1"/>
    <w:rsid w:val="00591BEB"/>
    <w:rsid w:val="00591C01"/>
    <w:rsid w:val="00591C24"/>
    <w:rsid w:val="00591C30"/>
    <w:rsid w:val="00591D45"/>
    <w:rsid w:val="00591D47"/>
    <w:rsid w:val="00591D9C"/>
    <w:rsid w:val="00591ED3"/>
    <w:rsid w:val="00591F09"/>
    <w:rsid w:val="00591FC3"/>
    <w:rsid w:val="00591FC4"/>
    <w:rsid w:val="00591FC9"/>
    <w:rsid w:val="0059203E"/>
    <w:rsid w:val="00592078"/>
    <w:rsid w:val="00592085"/>
    <w:rsid w:val="005920B3"/>
    <w:rsid w:val="005921CE"/>
    <w:rsid w:val="00592237"/>
    <w:rsid w:val="00592289"/>
    <w:rsid w:val="005922B6"/>
    <w:rsid w:val="005922EA"/>
    <w:rsid w:val="0059230F"/>
    <w:rsid w:val="00592318"/>
    <w:rsid w:val="0059238A"/>
    <w:rsid w:val="0059247B"/>
    <w:rsid w:val="005924A2"/>
    <w:rsid w:val="005924E1"/>
    <w:rsid w:val="0059258F"/>
    <w:rsid w:val="00592757"/>
    <w:rsid w:val="00592780"/>
    <w:rsid w:val="005927AA"/>
    <w:rsid w:val="00592832"/>
    <w:rsid w:val="0059286A"/>
    <w:rsid w:val="005928FE"/>
    <w:rsid w:val="0059292A"/>
    <w:rsid w:val="0059297A"/>
    <w:rsid w:val="00592A14"/>
    <w:rsid w:val="00592A1F"/>
    <w:rsid w:val="00592A27"/>
    <w:rsid w:val="00592AA4"/>
    <w:rsid w:val="00592AE6"/>
    <w:rsid w:val="00592AEA"/>
    <w:rsid w:val="00592AF0"/>
    <w:rsid w:val="00592B0A"/>
    <w:rsid w:val="00592B3F"/>
    <w:rsid w:val="00592B4E"/>
    <w:rsid w:val="00592B72"/>
    <w:rsid w:val="00592BC1"/>
    <w:rsid w:val="00592C1F"/>
    <w:rsid w:val="00592C8D"/>
    <w:rsid w:val="00592C9B"/>
    <w:rsid w:val="00592D58"/>
    <w:rsid w:val="00592DA4"/>
    <w:rsid w:val="00592E82"/>
    <w:rsid w:val="00592E9B"/>
    <w:rsid w:val="00592ED0"/>
    <w:rsid w:val="00592EF1"/>
    <w:rsid w:val="00592FB8"/>
    <w:rsid w:val="0059300A"/>
    <w:rsid w:val="005930C0"/>
    <w:rsid w:val="0059312D"/>
    <w:rsid w:val="00593206"/>
    <w:rsid w:val="005932AF"/>
    <w:rsid w:val="0059334A"/>
    <w:rsid w:val="0059335D"/>
    <w:rsid w:val="00593364"/>
    <w:rsid w:val="005933BC"/>
    <w:rsid w:val="005934A1"/>
    <w:rsid w:val="005934CB"/>
    <w:rsid w:val="005934FE"/>
    <w:rsid w:val="005935FA"/>
    <w:rsid w:val="005935FD"/>
    <w:rsid w:val="00593603"/>
    <w:rsid w:val="00593618"/>
    <w:rsid w:val="005936D5"/>
    <w:rsid w:val="005936FF"/>
    <w:rsid w:val="0059372A"/>
    <w:rsid w:val="00593746"/>
    <w:rsid w:val="00593780"/>
    <w:rsid w:val="005937C1"/>
    <w:rsid w:val="005937E5"/>
    <w:rsid w:val="00593801"/>
    <w:rsid w:val="00593875"/>
    <w:rsid w:val="005938EB"/>
    <w:rsid w:val="00593935"/>
    <w:rsid w:val="00593989"/>
    <w:rsid w:val="0059398A"/>
    <w:rsid w:val="00593A50"/>
    <w:rsid w:val="00593B3B"/>
    <w:rsid w:val="00593B8E"/>
    <w:rsid w:val="00593BF1"/>
    <w:rsid w:val="00593C8C"/>
    <w:rsid w:val="00593CEE"/>
    <w:rsid w:val="00593D44"/>
    <w:rsid w:val="00593DFD"/>
    <w:rsid w:val="00593EA2"/>
    <w:rsid w:val="00593FBF"/>
    <w:rsid w:val="00593FCE"/>
    <w:rsid w:val="00594054"/>
    <w:rsid w:val="00594106"/>
    <w:rsid w:val="0059418F"/>
    <w:rsid w:val="00594256"/>
    <w:rsid w:val="00594341"/>
    <w:rsid w:val="0059444A"/>
    <w:rsid w:val="00594530"/>
    <w:rsid w:val="0059453F"/>
    <w:rsid w:val="00594573"/>
    <w:rsid w:val="005945C2"/>
    <w:rsid w:val="00594698"/>
    <w:rsid w:val="0059473C"/>
    <w:rsid w:val="0059475E"/>
    <w:rsid w:val="00594762"/>
    <w:rsid w:val="00594770"/>
    <w:rsid w:val="00594793"/>
    <w:rsid w:val="005947E7"/>
    <w:rsid w:val="00594816"/>
    <w:rsid w:val="00594853"/>
    <w:rsid w:val="0059485E"/>
    <w:rsid w:val="00594997"/>
    <w:rsid w:val="00594BCD"/>
    <w:rsid w:val="00594C5C"/>
    <w:rsid w:val="00594C63"/>
    <w:rsid w:val="00594C95"/>
    <w:rsid w:val="00594CAD"/>
    <w:rsid w:val="00594D28"/>
    <w:rsid w:val="00594D76"/>
    <w:rsid w:val="00594D8D"/>
    <w:rsid w:val="00594DC8"/>
    <w:rsid w:val="00594DF6"/>
    <w:rsid w:val="00594DF8"/>
    <w:rsid w:val="00594E74"/>
    <w:rsid w:val="00594E7A"/>
    <w:rsid w:val="00594F18"/>
    <w:rsid w:val="00594FC8"/>
    <w:rsid w:val="00594FC9"/>
    <w:rsid w:val="005951B2"/>
    <w:rsid w:val="005951FB"/>
    <w:rsid w:val="0059520F"/>
    <w:rsid w:val="0059522D"/>
    <w:rsid w:val="0059529B"/>
    <w:rsid w:val="005952E3"/>
    <w:rsid w:val="0059535C"/>
    <w:rsid w:val="00595368"/>
    <w:rsid w:val="005953C9"/>
    <w:rsid w:val="00595403"/>
    <w:rsid w:val="00595489"/>
    <w:rsid w:val="005954D1"/>
    <w:rsid w:val="005954D7"/>
    <w:rsid w:val="0059554C"/>
    <w:rsid w:val="00595590"/>
    <w:rsid w:val="00595672"/>
    <w:rsid w:val="00595801"/>
    <w:rsid w:val="005958D3"/>
    <w:rsid w:val="0059592E"/>
    <w:rsid w:val="0059599D"/>
    <w:rsid w:val="00595A0F"/>
    <w:rsid w:val="00595ABA"/>
    <w:rsid w:val="00595B7D"/>
    <w:rsid w:val="00595B87"/>
    <w:rsid w:val="00595BB2"/>
    <w:rsid w:val="00595BDC"/>
    <w:rsid w:val="00595BE8"/>
    <w:rsid w:val="00595C36"/>
    <w:rsid w:val="00595C51"/>
    <w:rsid w:val="00595C5F"/>
    <w:rsid w:val="00595C6B"/>
    <w:rsid w:val="00595D7E"/>
    <w:rsid w:val="00595D89"/>
    <w:rsid w:val="00595E64"/>
    <w:rsid w:val="00595E91"/>
    <w:rsid w:val="00595EFB"/>
    <w:rsid w:val="00595F14"/>
    <w:rsid w:val="00595F1B"/>
    <w:rsid w:val="00595FD7"/>
    <w:rsid w:val="00595FD8"/>
    <w:rsid w:val="00596149"/>
    <w:rsid w:val="005961A0"/>
    <w:rsid w:val="0059626E"/>
    <w:rsid w:val="0059627A"/>
    <w:rsid w:val="0059627D"/>
    <w:rsid w:val="00596301"/>
    <w:rsid w:val="00596425"/>
    <w:rsid w:val="00596439"/>
    <w:rsid w:val="00596450"/>
    <w:rsid w:val="00596490"/>
    <w:rsid w:val="005964B2"/>
    <w:rsid w:val="0059652D"/>
    <w:rsid w:val="0059656C"/>
    <w:rsid w:val="0059657F"/>
    <w:rsid w:val="0059658B"/>
    <w:rsid w:val="005965DD"/>
    <w:rsid w:val="0059661D"/>
    <w:rsid w:val="00596642"/>
    <w:rsid w:val="005966C2"/>
    <w:rsid w:val="00596719"/>
    <w:rsid w:val="00596759"/>
    <w:rsid w:val="00596765"/>
    <w:rsid w:val="0059682B"/>
    <w:rsid w:val="005968C3"/>
    <w:rsid w:val="0059695C"/>
    <w:rsid w:val="00596995"/>
    <w:rsid w:val="005969E1"/>
    <w:rsid w:val="00596A01"/>
    <w:rsid w:val="00596A04"/>
    <w:rsid w:val="00596B3B"/>
    <w:rsid w:val="00596B89"/>
    <w:rsid w:val="00596BA8"/>
    <w:rsid w:val="00596C65"/>
    <w:rsid w:val="00596C7D"/>
    <w:rsid w:val="00596D04"/>
    <w:rsid w:val="00596D3A"/>
    <w:rsid w:val="00596D69"/>
    <w:rsid w:val="00596DC7"/>
    <w:rsid w:val="00596E14"/>
    <w:rsid w:val="00596E30"/>
    <w:rsid w:val="00596F07"/>
    <w:rsid w:val="00596F7D"/>
    <w:rsid w:val="00597021"/>
    <w:rsid w:val="00597054"/>
    <w:rsid w:val="005971A3"/>
    <w:rsid w:val="005971BE"/>
    <w:rsid w:val="0059721B"/>
    <w:rsid w:val="005972A7"/>
    <w:rsid w:val="005972CC"/>
    <w:rsid w:val="005972D6"/>
    <w:rsid w:val="00597321"/>
    <w:rsid w:val="00597344"/>
    <w:rsid w:val="00597396"/>
    <w:rsid w:val="005973CF"/>
    <w:rsid w:val="005973E2"/>
    <w:rsid w:val="00597440"/>
    <w:rsid w:val="00597480"/>
    <w:rsid w:val="005974CA"/>
    <w:rsid w:val="00597580"/>
    <w:rsid w:val="005975F4"/>
    <w:rsid w:val="0059766F"/>
    <w:rsid w:val="005976B3"/>
    <w:rsid w:val="00597726"/>
    <w:rsid w:val="0059780E"/>
    <w:rsid w:val="00597867"/>
    <w:rsid w:val="005978BE"/>
    <w:rsid w:val="0059792B"/>
    <w:rsid w:val="00597961"/>
    <w:rsid w:val="00597968"/>
    <w:rsid w:val="00597A11"/>
    <w:rsid w:val="00597A26"/>
    <w:rsid w:val="00597A57"/>
    <w:rsid w:val="00597B76"/>
    <w:rsid w:val="00597C4A"/>
    <w:rsid w:val="00597C54"/>
    <w:rsid w:val="00597CBB"/>
    <w:rsid w:val="00597CDE"/>
    <w:rsid w:val="00597D10"/>
    <w:rsid w:val="00597D44"/>
    <w:rsid w:val="00597EA2"/>
    <w:rsid w:val="00597ED6"/>
    <w:rsid w:val="00597F4D"/>
    <w:rsid w:val="00597F69"/>
    <w:rsid w:val="005A0004"/>
    <w:rsid w:val="005A008D"/>
    <w:rsid w:val="005A00D4"/>
    <w:rsid w:val="005A00DB"/>
    <w:rsid w:val="005A01A6"/>
    <w:rsid w:val="005A01BF"/>
    <w:rsid w:val="005A02A7"/>
    <w:rsid w:val="005A02CF"/>
    <w:rsid w:val="005A0325"/>
    <w:rsid w:val="005A0355"/>
    <w:rsid w:val="005A0425"/>
    <w:rsid w:val="005A043A"/>
    <w:rsid w:val="005A0461"/>
    <w:rsid w:val="005A04D7"/>
    <w:rsid w:val="005A04F3"/>
    <w:rsid w:val="005A0524"/>
    <w:rsid w:val="005A0566"/>
    <w:rsid w:val="005A05F2"/>
    <w:rsid w:val="005A05F4"/>
    <w:rsid w:val="005A060D"/>
    <w:rsid w:val="005A064A"/>
    <w:rsid w:val="005A0689"/>
    <w:rsid w:val="005A0754"/>
    <w:rsid w:val="005A0785"/>
    <w:rsid w:val="005A07E5"/>
    <w:rsid w:val="005A081C"/>
    <w:rsid w:val="005A08AA"/>
    <w:rsid w:val="005A0911"/>
    <w:rsid w:val="005A094B"/>
    <w:rsid w:val="005A09BA"/>
    <w:rsid w:val="005A09DD"/>
    <w:rsid w:val="005A09E4"/>
    <w:rsid w:val="005A0A2B"/>
    <w:rsid w:val="005A0AE8"/>
    <w:rsid w:val="005A0B62"/>
    <w:rsid w:val="005A0B9C"/>
    <w:rsid w:val="005A0C14"/>
    <w:rsid w:val="005A0C47"/>
    <w:rsid w:val="005A0C79"/>
    <w:rsid w:val="005A0C80"/>
    <w:rsid w:val="005A0CAF"/>
    <w:rsid w:val="005A0CBC"/>
    <w:rsid w:val="005A0D3C"/>
    <w:rsid w:val="005A0DBE"/>
    <w:rsid w:val="005A0DDA"/>
    <w:rsid w:val="005A0E33"/>
    <w:rsid w:val="005A0E86"/>
    <w:rsid w:val="005A0F1F"/>
    <w:rsid w:val="005A1000"/>
    <w:rsid w:val="005A101A"/>
    <w:rsid w:val="005A1043"/>
    <w:rsid w:val="005A1143"/>
    <w:rsid w:val="005A11F4"/>
    <w:rsid w:val="005A1237"/>
    <w:rsid w:val="005A1251"/>
    <w:rsid w:val="005A1258"/>
    <w:rsid w:val="005A1299"/>
    <w:rsid w:val="005A12FD"/>
    <w:rsid w:val="005A138A"/>
    <w:rsid w:val="005A13C0"/>
    <w:rsid w:val="005A1430"/>
    <w:rsid w:val="005A1485"/>
    <w:rsid w:val="005A14D0"/>
    <w:rsid w:val="005A153B"/>
    <w:rsid w:val="005A153E"/>
    <w:rsid w:val="005A1594"/>
    <w:rsid w:val="005A15A0"/>
    <w:rsid w:val="005A15B6"/>
    <w:rsid w:val="005A15C6"/>
    <w:rsid w:val="005A17D4"/>
    <w:rsid w:val="005A1858"/>
    <w:rsid w:val="005A18DC"/>
    <w:rsid w:val="005A1995"/>
    <w:rsid w:val="005A1A0B"/>
    <w:rsid w:val="005A1A45"/>
    <w:rsid w:val="005A1A4D"/>
    <w:rsid w:val="005A1AC4"/>
    <w:rsid w:val="005A1B36"/>
    <w:rsid w:val="005A1B47"/>
    <w:rsid w:val="005A1BAD"/>
    <w:rsid w:val="005A1C56"/>
    <w:rsid w:val="005A1CB1"/>
    <w:rsid w:val="005A1CC1"/>
    <w:rsid w:val="005A1EDC"/>
    <w:rsid w:val="005A1F3E"/>
    <w:rsid w:val="005A1F67"/>
    <w:rsid w:val="005A1FB3"/>
    <w:rsid w:val="005A2027"/>
    <w:rsid w:val="005A20E6"/>
    <w:rsid w:val="005A2110"/>
    <w:rsid w:val="005A220F"/>
    <w:rsid w:val="005A2237"/>
    <w:rsid w:val="005A2284"/>
    <w:rsid w:val="005A22CA"/>
    <w:rsid w:val="005A2355"/>
    <w:rsid w:val="005A2385"/>
    <w:rsid w:val="005A2396"/>
    <w:rsid w:val="005A23F1"/>
    <w:rsid w:val="005A240A"/>
    <w:rsid w:val="005A2487"/>
    <w:rsid w:val="005A24A4"/>
    <w:rsid w:val="005A2517"/>
    <w:rsid w:val="005A253B"/>
    <w:rsid w:val="005A2588"/>
    <w:rsid w:val="005A2626"/>
    <w:rsid w:val="005A2659"/>
    <w:rsid w:val="005A26BF"/>
    <w:rsid w:val="005A26EE"/>
    <w:rsid w:val="005A272A"/>
    <w:rsid w:val="005A2750"/>
    <w:rsid w:val="005A2789"/>
    <w:rsid w:val="005A27B7"/>
    <w:rsid w:val="005A2880"/>
    <w:rsid w:val="005A2931"/>
    <w:rsid w:val="005A2AF9"/>
    <w:rsid w:val="005A2B49"/>
    <w:rsid w:val="005A2B5A"/>
    <w:rsid w:val="005A2BD2"/>
    <w:rsid w:val="005A2C69"/>
    <w:rsid w:val="005A2D47"/>
    <w:rsid w:val="005A2D6E"/>
    <w:rsid w:val="005A2E51"/>
    <w:rsid w:val="005A2E84"/>
    <w:rsid w:val="005A2EB8"/>
    <w:rsid w:val="005A2EC1"/>
    <w:rsid w:val="005A2FE7"/>
    <w:rsid w:val="005A307D"/>
    <w:rsid w:val="005A30E5"/>
    <w:rsid w:val="005A3118"/>
    <w:rsid w:val="005A3148"/>
    <w:rsid w:val="005A318C"/>
    <w:rsid w:val="005A32F8"/>
    <w:rsid w:val="005A330B"/>
    <w:rsid w:val="005A346A"/>
    <w:rsid w:val="005A3480"/>
    <w:rsid w:val="005A3482"/>
    <w:rsid w:val="005A34DC"/>
    <w:rsid w:val="005A3516"/>
    <w:rsid w:val="005A3551"/>
    <w:rsid w:val="005A35FC"/>
    <w:rsid w:val="005A36AC"/>
    <w:rsid w:val="005A375D"/>
    <w:rsid w:val="005A37C6"/>
    <w:rsid w:val="005A37D4"/>
    <w:rsid w:val="005A39CB"/>
    <w:rsid w:val="005A39FB"/>
    <w:rsid w:val="005A3ADD"/>
    <w:rsid w:val="005A3AEE"/>
    <w:rsid w:val="005A3B8D"/>
    <w:rsid w:val="005A3BB7"/>
    <w:rsid w:val="005A3BE4"/>
    <w:rsid w:val="005A3BEB"/>
    <w:rsid w:val="005A3BF4"/>
    <w:rsid w:val="005A3C90"/>
    <w:rsid w:val="005A3D9A"/>
    <w:rsid w:val="005A3DAA"/>
    <w:rsid w:val="005A3DB8"/>
    <w:rsid w:val="005A3E43"/>
    <w:rsid w:val="005A3E81"/>
    <w:rsid w:val="005A3E87"/>
    <w:rsid w:val="005A3F08"/>
    <w:rsid w:val="005A3F0A"/>
    <w:rsid w:val="005A3F92"/>
    <w:rsid w:val="005A3FA8"/>
    <w:rsid w:val="005A401D"/>
    <w:rsid w:val="005A407A"/>
    <w:rsid w:val="005A4223"/>
    <w:rsid w:val="005A429B"/>
    <w:rsid w:val="005A42AA"/>
    <w:rsid w:val="005A432F"/>
    <w:rsid w:val="005A4357"/>
    <w:rsid w:val="005A43FD"/>
    <w:rsid w:val="005A442E"/>
    <w:rsid w:val="005A4431"/>
    <w:rsid w:val="005A4444"/>
    <w:rsid w:val="005A4463"/>
    <w:rsid w:val="005A4478"/>
    <w:rsid w:val="005A447D"/>
    <w:rsid w:val="005A4486"/>
    <w:rsid w:val="005A44CA"/>
    <w:rsid w:val="005A4508"/>
    <w:rsid w:val="005A4599"/>
    <w:rsid w:val="005A459A"/>
    <w:rsid w:val="005A4627"/>
    <w:rsid w:val="005A4770"/>
    <w:rsid w:val="005A47BA"/>
    <w:rsid w:val="005A47D3"/>
    <w:rsid w:val="005A47F2"/>
    <w:rsid w:val="005A4840"/>
    <w:rsid w:val="005A484B"/>
    <w:rsid w:val="005A4864"/>
    <w:rsid w:val="005A4887"/>
    <w:rsid w:val="005A48C7"/>
    <w:rsid w:val="005A4992"/>
    <w:rsid w:val="005A4A5D"/>
    <w:rsid w:val="005A4AF2"/>
    <w:rsid w:val="005A4B5C"/>
    <w:rsid w:val="005A4B62"/>
    <w:rsid w:val="005A4B6C"/>
    <w:rsid w:val="005A4B77"/>
    <w:rsid w:val="005A4B7D"/>
    <w:rsid w:val="005A4B9F"/>
    <w:rsid w:val="005A4BB5"/>
    <w:rsid w:val="005A4BD7"/>
    <w:rsid w:val="005A4C16"/>
    <w:rsid w:val="005A4CED"/>
    <w:rsid w:val="005A4D14"/>
    <w:rsid w:val="005A4D5E"/>
    <w:rsid w:val="005A4E1F"/>
    <w:rsid w:val="005A4E56"/>
    <w:rsid w:val="005A4E79"/>
    <w:rsid w:val="005A4E85"/>
    <w:rsid w:val="005A4ECE"/>
    <w:rsid w:val="005A4F7B"/>
    <w:rsid w:val="005A4F9F"/>
    <w:rsid w:val="005A4FEF"/>
    <w:rsid w:val="005A4FF6"/>
    <w:rsid w:val="005A5046"/>
    <w:rsid w:val="005A50A9"/>
    <w:rsid w:val="005A50C0"/>
    <w:rsid w:val="005A5168"/>
    <w:rsid w:val="005A51B9"/>
    <w:rsid w:val="005A51C0"/>
    <w:rsid w:val="005A51E2"/>
    <w:rsid w:val="005A523F"/>
    <w:rsid w:val="005A5254"/>
    <w:rsid w:val="005A52A2"/>
    <w:rsid w:val="005A52FC"/>
    <w:rsid w:val="005A5360"/>
    <w:rsid w:val="005A541E"/>
    <w:rsid w:val="005A5471"/>
    <w:rsid w:val="005A5567"/>
    <w:rsid w:val="005A55FD"/>
    <w:rsid w:val="005A5625"/>
    <w:rsid w:val="005A5685"/>
    <w:rsid w:val="005A5715"/>
    <w:rsid w:val="005A571D"/>
    <w:rsid w:val="005A577C"/>
    <w:rsid w:val="005A57A0"/>
    <w:rsid w:val="005A5836"/>
    <w:rsid w:val="005A589F"/>
    <w:rsid w:val="005A58B3"/>
    <w:rsid w:val="005A58CF"/>
    <w:rsid w:val="005A5901"/>
    <w:rsid w:val="005A5999"/>
    <w:rsid w:val="005A59FC"/>
    <w:rsid w:val="005A5A7A"/>
    <w:rsid w:val="005A5AAD"/>
    <w:rsid w:val="005A5AC6"/>
    <w:rsid w:val="005A5BBF"/>
    <w:rsid w:val="005A5BDA"/>
    <w:rsid w:val="005A5C01"/>
    <w:rsid w:val="005A5C3A"/>
    <w:rsid w:val="005A5C3D"/>
    <w:rsid w:val="005A5C4C"/>
    <w:rsid w:val="005A5CEE"/>
    <w:rsid w:val="005A5DD7"/>
    <w:rsid w:val="005A5E2E"/>
    <w:rsid w:val="005A5E63"/>
    <w:rsid w:val="005A5E92"/>
    <w:rsid w:val="005A5EC7"/>
    <w:rsid w:val="005A5EC8"/>
    <w:rsid w:val="005A5EEF"/>
    <w:rsid w:val="005A5F01"/>
    <w:rsid w:val="005A5F64"/>
    <w:rsid w:val="005A5F8F"/>
    <w:rsid w:val="005A5FD9"/>
    <w:rsid w:val="005A6059"/>
    <w:rsid w:val="005A609C"/>
    <w:rsid w:val="005A60F0"/>
    <w:rsid w:val="005A6139"/>
    <w:rsid w:val="005A613A"/>
    <w:rsid w:val="005A6151"/>
    <w:rsid w:val="005A6215"/>
    <w:rsid w:val="005A624E"/>
    <w:rsid w:val="005A6284"/>
    <w:rsid w:val="005A6285"/>
    <w:rsid w:val="005A6313"/>
    <w:rsid w:val="005A637E"/>
    <w:rsid w:val="005A63B0"/>
    <w:rsid w:val="005A63DB"/>
    <w:rsid w:val="005A6441"/>
    <w:rsid w:val="005A651F"/>
    <w:rsid w:val="005A652A"/>
    <w:rsid w:val="005A6581"/>
    <w:rsid w:val="005A662D"/>
    <w:rsid w:val="005A6649"/>
    <w:rsid w:val="005A66A1"/>
    <w:rsid w:val="005A66E0"/>
    <w:rsid w:val="005A671C"/>
    <w:rsid w:val="005A674E"/>
    <w:rsid w:val="005A676C"/>
    <w:rsid w:val="005A6959"/>
    <w:rsid w:val="005A6A0C"/>
    <w:rsid w:val="005A6AE9"/>
    <w:rsid w:val="005A6B83"/>
    <w:rsid w:val="005A6C3C"/>
    <w:rsid w:val="005A6C72"/>
    <w:rsid w:val="005A6CC7"/>
    <w:rsid w:val="005A6D2C"/>
    <w:rsid w:val="005A6D56"/>
    <w:rsid w:val="005A6D9C"/>
    <w:rsid w:val="005A6E5D"/>
    <w:rsid w:val="005A6EF1"/>
    <w:rsid w:val="005A7017"/>
    <w:rsid w:val="005A701F"/>
    <w:rsid w:val="005A7041"/>
    <w:rsid w:val="005A70E9"/>
    <w:rsid w:val="005A7153"/>
    <w:rsid w:val="005A7267"/>
    <w:rsid w:val="005A726B"/>
    <w:rsid w:val="005A7322"/>
    <w:rsid w:val="005A73BE"/>
    <w:rsid w:val="005A7438"/>
    <w:rsid w:val="005A7477"/>
    <w:rsid w:val="005A7491"/>
    <w:rsid w:val="005A7563"/>
    <w:rsid w:val="005A764D"/>
    <w:rsid w:val="005A7663"/>
    <w:rsid w:val="005A76CA"/>
    <w:rsid w:val="005A7707"/>
    <w:rsid w:val="005A7736"/>
    <w:rsid w:val="005A7778"/>
    <w:rsid w:val="005A77B2"/>
    <w:rsid w:val="005A77C3"/>
    <w:rsid w:val="005A7833"/>
    <w:rsid w:val="005A789C"/>
    <w:rsid w:val="005A78C2"/>
    <w:rsid w:val="005A791E"/>
    <w:rsid w:val="005A792D"/>
    <w:rsid w:val="005A79D5"/>
    <w:rsid w:val="005A7A26"/>
    <w:rsid w:val="005A7AD2"/>
    <w:rsid w:val="005A7AEC"/>
    <w:rsid w:val="005A7B7E"/>
    <w:rsid w:val="005A7C67"/>
    <w:rsid w:val="005A7C9F"/>
    <w:rsid w:val="005A7CDD"/>
    <w:rsid w:val="005A7CFE"/>
    <w:rsid w:val="005A7D05"/>
    <w:rsid w:val="005A7D25"/>
    <w:rsid w:val="005A7D78"/>
    <w:rsid w:val="005A7DAB"/>
    <w:rsid w:val="005A7DD6"/>
    <w:rsid w:val="005A7E84"/>
    <w:rsid w:val="005A7F04"/>
    <w:rsid w:val="005A7F36"/>
    <w:rsid w:val="005A7F3D"/>
    <w:rsid w:val="005A7F7E"/>
    <w:rsid w:val="005A7F8D"/>
    <w:rsid w:val="005A7FC8"/>
    <w:rsid w:val="005A7FD8"/>
    <w:rsid w:val="005A7FEA"/>
    <w:rsid w:val="005B0007"/>
    <w:rsid w:val="005B0016"/>
    <w:rsid w:val="005B006C"/>
    <w:rsid w:val="005B007A"/>
    <w:rsid w:val="005B0135"/>
    <w:rsid w:val="005B017E"/>
    <w:rsid w:val="005B0217"/>
    <w:rsid w:val="005B0297"/>
    <w:rsid w:val="005B02A2"/>
    <w:rsid w:val="005B02C2"/>
    <w:rsid w:val="005B0328"/>
    <w:rsid w:val="005B03FD"/>
    <w:rsid w:val="005B0407"/>
    <w:rsid w:val="005B0494"/>
    <w:rsid w:val="005B0524"/>
    <w:rsid w:val="005B0525"/>
    <w:rsid w:val="005B05F9"/>
    <w:rsid w:val="005B0639"/>
    <w:rsid w:val="005B0658"/>
    <w:rsid w:val="005B072F"/>
    <w:rsid w:val="005B0755"/>
    <w:rsid w:val="005B0767"/>
    <w:rsid w:val="005B07B1"/>
    <w:rsid w:val="005B07D8"/>
    <w:rsid w:val="005B0898"/>
    <w:rsid w:val="005B0946"/>
    <w:rsid w:val="005B0974"/>
    <w:rsid w:val="005B0A17"/>
    <w:rsid w:val="005B0ADD"/>
    <w:rsid w:val="005B0B92"/>
    <w:rsid w:val="005B0BC7"/>
    <w:rsid w:val="005B0BCF"/>
    <w:rsid w:val="005B0BE9"/>
    <w:rsid w:val="005B0C16"/>
    <w:rsid w:val="005B0C87"/>
    <w:rsid w:val="005B0CDC"/>
    <w:rsid w:val="005B0CE7"/>
    <w:rsid w:val="005B0D6C"/>
    <w:rsid w:val="005B0DED"/>
    <w:rsid w:val="005B0E68"/>
    <w:rsid w:val="005B0EEB"/>
    <w:rsid w:val="005B0F21"/>
    <w:rsid w:val="005B0FF6"/>
    <w:rsid w:val="005B105A"/>
    <w:rsid w:val="005B10D0"/>
    <w:rsid w:val="005B10FC"/>
    <w:rsid w:val="005B11B4"/>
    <w:rsid w:val="005B1234"/>
    <w:rsid w:val="005B12F4"/>
    <w:rsid w:val="005B12F7"/>
    <w:rsid w:val="005B12F9"/>
    <w:rsid w:val="005B1319"/>
    <w:rsid w:val="005B1325"/>
    <w:rsid w:val="005B1333"/>
    <w:rsid w:val="005B13E3"/>
    <w:rsid w:val="005B145D"/>
    <w:rsid w:val="005B1470"/>
    <w:rsid w:val="005B14DC"/>
    <w:rsid w:val="005B14F7"/>
    <w:rsid w:val="005B1502"/>
    <w:rsid w:val="005B1520"/>
    <w:rsid w:val="005B152F"/>
    <w:rsid w:val="005B155E"/>
    <w:rsid w:val="005B15AC"/>
    <w:rsid w:val="005B15B3"/>
    <w:rsid w:val="005B15B5"/>
    <w:rsid w:val="005B15DF"/>
    <w:rsid w:val="005B1616"/>
    <w:rsid w:val="005B1631"/>
    <w:rsid w:val="005B1677"/>
    <w:rsid w:val="005B1690"/>
    <w:rsid w:val="005B16A4"/>
    <w:rsid w:val="005B16E3"/>
    <w:rsid w:val="005B1727"/>
    <w:rsid w:val="005B17B2"/>
    <w:rsid w:val="005B17BA"/>
    <w:rsid w:val="005B17E0"/>
    <w:rsid w:val="005B17FE"/>
    <w:rsid w:val="005B18D6"/>
    <w:rsid w:val="005B18D8"/>
    <w:rsid w:val="005B195A"/>
    <w:rsid w:val="005B1994"/>
    <w:rsid w:val="005B1A16"/>
    <w:rsid w:val="005B1A17"/>
    <w:rsid w:val="005B1AC1"/>
    <w:rsid w:val="005B1AEB"/>
    <w:rsid w:val="005B1B06"/>
    <w:rsid w:val="005B1B53"/>
    <w:rsid w:val="005B1B86"/>
    <w:rsid w:val="005B1BBB"/>
    <w:rsid w:val="005B1BDD"/>
    <w:rsid w:val="005B1BE6"/>
    <w:rsid w:val="005B1C18"/>
    <w:rsid w:val="005B1C59"/>
    <w:rsid w:val="005B1C7F"/>
    <w:rsid w:val="005B1CD5"/>
    <w:rsid w:val="005B1D4B"/>
    <w:rsid w:val="005B1D60"/>
    <w:rsid w:val="005B1DD6"/>
    <w:rsid w:val="005B1E30"/>
    <w:rsid w:val="005B1E45"/>
    <w:rsid w:val="005B1E52"/>
    <w:rsid w:val="005B1E6E"/>
    <w:rsid w:val="005B1EF3"/>
    <w:rsid w:val="005B1F7A"/>
    <w:rsid w:val="005B1FCB"/>
    <w:rsid w:val="005B2019"/>
    <w:rsid w:val="005B2055"/>
    <w:rsid w:val="005B214B"/>
    <w:rsid w:val="005B216E"/>
    <w:rsid w:val="005B219A"/>
    <w:rsid w:val="005B21DE"/>
    <w:rsid w:val="005B21EC"/>
    <w:rsid w:val="005B224C"/>
    <w:rsid w:val="005B2258"/>
    <w:rsid w:val="005B225A"/>
    <w:rsid w:val="005B2281"/>
    <w:rsid w:val="005B22FC"/>
    <w:rsid w:val="005B233B"/>
    <w:rsid w:val="005B2357"/>
    <w:rsid w:val="005B2380"/>
    <w:rsid w:val="005B2383"/>
    <w:rsid w:val="005B239E"/>
    <w:rsid w:val="005B241B"/>
    <w:rsid w:val="005B247E"/>
    <w:rsid w:val="005B251A"/>
    <w:rsid w:val="005B2596"/>
    <w:rsid w:val="005B25ED"/>
    <w:rsid w:val="005B2630"/>
    <w:rsid w:val="005B2654"/>
    <w:rsid w:val="005B2680"/>
    <w:rsid w:val="005B271C"/>
    <w:rsid w:val="005B2880"/>
    <w:rsid w:val="005B2895"/>
    <w:rsid w:val="005B28DE"/>
    <w:rsid w:val="005B28DF"/>
    <w:rsid w:val="005B2969"/>
    <w:rsid w:val="005B29B6"/>
    <w:rsid w:val="005B2A19"/>
    <w:rsid w:val="005B2A37"/>
    <w:rsid w:val="005B2ABE"/>
    <w:rsid w:val="005B2B28"/>
    <w:rsid w:val="005B2BE7"/>
    <w:rsid w:val="005B2C3F"/>
    <w:rsid w:val="005B2D7B"/>
    <w:rsid w:val="005B2E8F"/>
    <w:rsid w:val="005B2F0F"/>
    <w:rsid w:val="005B2F2F"/>
    <w:rsid w:val="005B3002"/>
    <w:rsid w:val="005B305E"/>
    <w:rsid w:val="005B30AE"/>
    <w:rsid w:val="005B30F8"/>
    <w:rsid w:val="005B313F"/>
    <w:rsid w:val="005B316A"/>
    <w:rsid w:val="005B330D"/>
    <w:rsid w:val="005B3322"/>
    <w:rsid w:val="005B33D8"/>
    <w:rsid w:val="005B3411"/>
    <w:rsid w:val="005B3415"/>
    <w:rsid w:val="005B3484"/>
    <w:rsid w:val="005B3522"/>
    <w:rsid w:val="005B3549"/>
    <w:rsid w:val="005B3550"/>
    <w:rsid w:val="005B356B"/>
    <w:rsid w:val="005B35BE"/>
    <w:rsid w:val="005B35CA"/>
    <w:rsid w:val="005B35D9"/>
    <w:rsid w:val="005B3613"/>
    <w:rsid w:val="005B3629"/>
    <w:rsid w:val="005B367F"/>
    <w:rsid w:val="005B36F2"/>
    <w:rsid w:val="005B36F8"/>
    <w:rsid w:val="005B37AC"/>
    <w:rsid w:val="005B37CD"/>
    <w:rsid w:val="005B37EA"/>
    <w:rsid w:val="005B38B7"/>
    <w:rsid w:val="005B392D"/>
    <w:rsid w:val="005B3942"/>
    <w:rsid w:val="005B39A6"/>
    <w:rsid w:val="005B39E1"/>
    <w:rsid w:val="005B3A1E"/>
    <w:rsid w:val="005B3A57"/>
    <w:rsid w:val="005B3AC5"/>
    <w:rsid w:val="005B3B02"/>
    <w:rsid w:val="005B3BB5"/>
    <w:rsid w:val="005B3C42"/>
    <w:rsid w:val="005B3C55"/>
    <w:rsid w:val="005B3CEC"/>
    <w:rsid w:val="005B3CF8"/>
    <w:rsid w:val="005B3DD6"/>
    <w:rsid w:val="005B3E10"/>
    <w:rsid w:val="005B3F17"/>
    <w:rsid w:val="005B3F94"/>
    <w:rsid w:val="005B4033"/>
    <w:rsid w:val="005B4060"/>
    <w:rsid w:val="005B40E9"/>
    <w:rsid w:val="005B40F8"/>
    <w:rsid w:val="005B4104"/>
    <w:rsid w:val="005B4144"/>
    <w:rsid w:val="005B416F"/>
    <w:rsid w:val="005B418B"/>
    <w:rsid w:val="005B4250"/>
    <w:rsid w:val="005B4275"/>
    <w:rsid w:val="005B43A5"/>
    <w:rsid w:val="005B43F9"/>
    <w:rsid w:val="005B44CA"/>
    <w:rsid w:val="005B44E5"/>
    <w:rsid w:val="005B4525"/>
    <w:rsid w:val="005B46F8"/>
    <w:rsid w:val="005B4720"/>
    <w:rsid w:val="005B4722"/>
    <w:rsid w:val="005B4871"/>
    <w:rsid w:val="005B48C6"/>
    <w:rsid w:val="005B48D8"/>
    <w:rsid w:val="005B4993"/>
    <w:rsid w:val="005B499D"/>
    <w:rsid w:val="005B4A67"/>
    <w:rsid w:val="005B4A7B"/>
    <w:rsid w:val="005B4A9B"/>
    <w:rsid w:val="005B4AB0"/>
    <w:rsid w:val="005B4ADF"/>
    <w:rsid w:val="005B4B02"/>
    <w:rsid w:val="005B4B49"/>
    <w:rsid w:val="005B4BDE"/>
    <w:rsid w:val="005B4CC6"/>
    <w:rsid w:val="005B4D65"/>
    <w:rsid w:val="005B4DE5"/>
    <w:rsid w:val="005B4F0E"/>
    <w:rsid w:val="005B4FED"/>
    <w:rsid w:val="005B5000"/>
    <w:rsid w:val="005B5029"/>
    <w:rsid w:val="005B506E"/>
    <w:rsid w:val="005B506F"/>
    <w:rsid w:val="005B50C7"/>
    <w:rsid w:val="005B510B"/>
    <w:rsid w:val="005B51BC"/>
    <w:rsid w:val="005B51F6"/>
    <w:rsid w:val="005B5205"/>
    <w:rsid w:val="005B52A8"/>
    <w:rsid w:val="005B52C6"/>
    <w:rsid w:val="005B531F"/>
    <w:rsid w:val="005B534E"/>
    <w:rsid w:val="005B53B1"/>
    <w:rsid w:val="005B53B7"/>
    <w:rsid w:val="005B53DC"/>
    <w:rsid w:val="005B53FB"/>
    <w:rsid w:val="005B5477"/>
    <w:rsid w:val="005B5488"/>
    <w:rsid w:val="005B54C8"/>
    <w:rsid w:val="005B5541"/>
    <w:rsid w:val="005B5626"/>
    <w:rsid w:val="005B56A6"/>
    <w:rsid w:val="005B573C"/>
    <w:rsid w:val="005B57DB"/>
    <w:rsid w:val="005B5864"/>
    <w:rsid w:val="005B58AB"/>
    <w:rsid w:val="005B58C6"/>
    <w:rsid w:val="005B5988"/>
    <w:rsid w:val="005B598F"/>
    <w:rsid w:val="005B599B"/>
    <w:rsid w:val="005B59A0"/>
    <w:rsid w:val="005B59C9"/>
    <w:rsid w:val="005B5A3C"/>
    <w:rsid w:val="005B5A64"/>
    <w:rsid w:val="005B5AD0"/>
    <w:rsid w:val="005B5B72"/>
    <w:rsid w:val="005B5BC7"/>
    <w:rsid w:val="005B5BD5"/>
    <w:rsid w:val="005B5C69"/>
    <w:rsid w:val="005B5C8A"/>
    <w:rsid w:val="005B5CB9"/>
    <w:rsid w:val="005B5CCE"/>
    <w:rsid w:val="005B5DB0"/>
    <w:rsid w:val="005B5DC7"/>
    <w:rsid w:val="005B5E29"/>
    <w:rsid w:val="005B5E8F"/>
    <w:rsid w:val="005B5EA8"/>
    <w:rsid w:val="005B5EE2"/>
    <w:rsid w:val="005B5F72"/>
    <w:rsid w:val="005B603E"/>
    <w:rsid w:val="005B61A6"/>
    <w:rsid w:val="005B61BB"/>
    <w:rsid w:val="005B61F5"/>
    <w:rsid w:val="005B622B"/>
    <w:rsid w:val="005B624F"/>
    <w:rsid w:val="005B62AC"/>
    <w:rsid w:val="005B62B2"/>
    <w:rsid w:val="005B6336"/>
    <w:rsid w:val="005B634E"/>
    <w:rsid w:val="005B6411"/>
    <w:rsid w:val="005B643C"/>
    <w:rsid w:val="005B6531"/>
    <w:rsid w:val="005B6564"/>
    <w:rsid w:val="005B6567"/>
    <w:rsid w:val="005B658E"/>
    <w:rsid w:val="005B6686"/>
    <w:rsid w:val="005B66C2"/>
    <w:rsid w:val="005B671A"/>
    <w:rsid w:val="005B6749"/>
    <w:rsid w:val="005B67E2"/>
    <w:rsid w:val="005B694B"/>
    <w:rsid w:val="005B6A2D"/>
    <w:rsid w:val="005B6A5F"/>
    <w:rsid w:val="005B6ACD"/>
    <w:rsid w:val="005B6C29"/>
    <w:rsid w:val="005B6C3B"/>
    <w:rsid w:val="005B6C3F"/>
    <w:rsid w:val="005B6C5F"/>
    <w:rsid w:val="005B6C93"/>
    <w:rsid w:val="005B6CA7"/>
    <w:rsid w:val="005B6D17"/>
    <w:rsid w:val="005B6D5A"/>
    <w:rsid w:val="005B6DA1"/>
    <w:rsid w:val="005B6E69"/>
    <w:rsid w:val="005B6EF6"/>
    <w:rsid w:val="005B6F0E"/>
    <w:rsid w:val="005B6F6B"/>
    <w:rsid w:val="005B708F"/>
    <w:rsid w:val="005B70C9"/>
    <w:rsid w:val="005B712C"/>
    <w:rsid w:val="005B7240"/>
    <w:rsid w:val="005B7326"/>
    <w:rsid w:val="005B7386"/>
    <w:rsid w:val="005B73DA"/>
    <w:rsid w:val="005B74C2"/>
    <w:rsid w:val="005B75A3"/>
    <w:rsid w:val="005B75C8"/>
    <w:rsid w:val="005B7612"/>
    <w:rsid w:val="005B761A"/>
    <w:rsid w:val="005B7668"/>
    <w:rsid w:val="005B76B1"/>
    <w:rsid w:val="005B7722"/>
    <w:rsid w:val="005B779A"/>
    <w:rsid w:val="005B77AF"/>
    <w:rsid w:val="005B7826"/>
    <w:rsid w:val="005B7885"/>
    <w:rsid w:val="005B7935"/>
    <w:rsid w:val="005B795B"/>
    <w:rsid w:val="005B796F"/>
    <w:rsid w:val="005B79A5"/>
    <w:rsid w:val="005B79BC"/>
    <w:rsid w:val="005B79C7"/>
    <w:rsid w:val="005B79EF"/>
    <w:rsid w:val="005B7A22"/>
    <w:rsid w:val="005B7B0B"/>
    <w:rsid w:val="005B7B4B"/>
    <w:rsid w:val="005B7B80"/>
    <w:rsid w:val="005B7BA6"/>
    <w:rsid w:val="005B7CBB"/>
    <w:rsid w:val="005B7D6F"/>
    <w:rsid w:val="005B7D89"/>
    <w:rsid w:val="005B7E06"/>
    <w:rsid w:val="005B7E88"/>
    <w:rsid w:val="005B7EA1"/>
    <w:rsid w:val="005B7F46"/>
    <w:rsid w:val="005B7F90"/>
    <w:rsid w:val="005C000B"/>
    <w:rsid w:val="005C005C"/>
    <w:rsid w:val="005C0091"/>
    <w:rsid w:val="005C0147"/>
    <w:rsid w:val="005C0164"/>
    <w:rsid w:val="005C01C9"/>
    <w:rsid w:val="005C0296"/>
    <w:rsid w:val="005C02C6"/>
    <w:rsid w:val="005C02CE"/>
    <w:rsid w:val="005C02EF"/>
    <w:rsid w:val="005C0340"/>
    <w:rsid w:val="005C042F"/>
    <w:rsid w:val="005C0499"/>
    <w:rsid w:val="005C053B"/>
    <w:rsid w:val="005C05A8"/>
    <w:rsid w:val="005C05D6"/>
    <w:rsid w:val="005C068E"/>
    <w:rsid w:val="005C06BF"/>
    <w:rsid w:val="005C06F2"/>
    <w:rsid w:val="005C06F6"/>
    <w:rsid w:val="005C0765"/>
    <w:rsid w:val="005C0781"/>
    <w:rsid w:val="005C07BB"/>
    <w:rsid w:val="005C07C1"/>
    <w:rsid w:val="005C07CA"/>
    <w:rsid w:val="005C07CF"/>
    <w:rsid w:val="005C0807"/>
    <w:rsid w:val="005C082D"/>
    <w:rsid w:val="005C0830"/>
    <w:rsid w:val="005C0872"/>
    <w:rsid w:val="005C08AA"/>
    <w:rsid w:val="005C095D"/>
    <w:rsid w:val="005C0A7C"/>
    <w:rsid w:val="005C0A9D"/>
    <w:rsid w:val="005C0AF4"/>
    <w:rsid w:val="005C0B54"/>
    <w:rsid w:val="005C0B55"/>
    <w:rsid w:val="005C0BB0"/>
    <w:rsid w:val="005C0BBF"/>
    <w:rsid w:val="005C0C0A"/>
    <w:rsid w:val="005C0CC0"/>
    <w:rsid w:val="005C0CCE"/>
    <w:rsid w:val="005C0D5A"/>
    <w:rsid w:val="005C0D64"/>
    <w:rsid w:val="005C0D9D"/>
    <w:rsid w:val="005C0DBE"/>
    <w:rsid w:val="005C0E15"/>
    <w:rsid w:val="005C0E29"/>
    <w:rsid w:val="005C0E36"/>
    <w:rsid w:val="005C0EA6"/>
    <w:rsid w:val="005C0F77"/>
    <w:rsid w:val="005C0FDC"/>
    <w:rsid w:val="005C1026"/>
    <w:rsid w:val="005C1112"/>
    <w:rsid w:val="005C1125"/>
    <w:rsid w:val="005C112D"/>
    <w:rsid w:val="005C128F"/>
    <w:rsid w:val="005C1300"/>
    <w:rsid w:val="005C13A6"/>
    <w:rsid w:val="005C13B6"/>
    <w:rsid w:val="005C14B4"/>
    <w:rsid w:val="005C14B9"/>
    <w:rsid w:val="005C157B"/>
    <w:rsid w:val="005C15A2"/>
    <w:rsid w:val="005C15FD"/>
    <w:rsid w:val="005C1644"/>
    <w:rsid w:val="005C1697"/>
    <w:rsid w:val="005C16BD"/>
    <w:rsid w:val="005C1792"/>
    <w:rsid w:val="005C17DE"/>
    <w:rsid w:val="005C17F3"/>
    <w:rsid w:val="005C187B"/>
    <w:rsid w:val="005C189E"/>
    <w:rsid w:val="005C192F"/>
    <w:rsid w:val="005C194E"/>
    <w:rsid w:val="005C198A"/>
    <w:rsid w:val="005C19BF"/>
    <w:rsid w:val="005C1A6B"/>
    <w:rsid w:val="005C1AC3"/>
    <w:rsid w:val="005C1AE2"/>
    <w:rsid w:val="005C1B16"/>
    <w:rsid w:val="005C1B3E"/>
    <w:rsid w:val="005C1B50"/>
    <w:rsid w:val="005C1C0F"/>
    <w:rsid w:val="005C1C78"/>
    <w:rsid w:val="005C1C87"/>
    <w:rsid w:val="005C1CAA"/>
    <w:rsid w:val="005C1CDB"/>
    <w:rsid w:val="005C1D1B"/>
    <w:rsid w:val="005C1D62"/>
    <w:rsid w:val="005C1D86"/>
    <w:rsid w:val="005C1E79"/>
    <w:rsid w:val="005C1E7E"/>
    <w:rsid w:val="005C1EF5"/>
    <w:rsid w:val="005C1F30"/>
    <w:rsid w:val="005C1F37"/>
    <w:rsid w:val="005C1F77"/>
    <w:rsid w:val="005C1FAA"/>
    <w:rsid w:val="005C2017"/>
    <w:rsid w:val="005C20A5"/>
    <w:rsid w:val="005C20AC"/>
    <w:rsid w:val="005C20B9"/>
    <w:rsid w:val="005C2143"/>
    <w:rsid w:val="005C2250"/>
    <w:rsid w:val="005C22EF"/>
    <w:rsid w:val="005C2358"/>
    <w:rsid w:val="005C242D"/>
    <w:rsid w:val="005C2431"/>
    <w:rsid w:val="005C2443"/>
    <w:rsid w:val="005C2482"/>
    <w:rsid w:val="005C250E"/>
    <w:rsid w:val="005C258B"/>
    <w:rsid w:val="005C25F2"/>
    <w:rsid w:val="005C2616"/>
    <w:rsid w:val="005C274F"/>
    <w:rsid w:val="005C2763"/>
    <w:rsid w:val="005C279E"/>
    <w:rsid w:val="005C27D5"/>
    <w:rsid w:val="005C27F6"/>
    <w:rsid w:val="005C2852"/>
    <w:rsid w:val="005C286D"/>
    <w:rsid w:val="005C2880"/>
    <w:rsid w:val="005C2912"/>
    <w:rsid w:val="005C296A"/>
    <w:rsid w:val="005C2984"/>
    <w:rsid w:val="005C2992"/>
    <w:rsid w:val="005C29B2"/>
    <w:rsid w:val="005C29CC"/>
    <w:rsid w:val="005C2A05"/>
    <w:rsid w:val="005C2AA2"/>
    <w:rsid w:val="005C2C63"/>
    <w:rsid w:val="005C2D5B"/>
    <w:rsid w:val="005C2D63"/>
    <w:rsid w:val="005C2DCC"/>
    <w:rsid w:val="005C2E7F"/>
    <w:rsid w:val="005C2EAA"/>
    <w:rsid w:val="005C2EE3"/>
    <w:rsid w:val="005C2FB8"/>
    <w:rsid w:val="005C301D"/>
    <w:rsid w:val="005C30FC"/>
    <w:rsid w:val="005C3103"/>
    <w:rsid w:val="005C31CD"/>
    <w:rsid w:val="005C31F6"/>
    <w:rsid w:val="005C324D"/>
    <w:rsid w:val="005C3292"/>
    <w:rsid w:val="005C32B0"/>
    <w:rsid w:val="005C32C3"/>
    <w:rsid w:val="005C32D0"/>
    <w:rsid w:val="005C32F1"/>
    <w:rsid w:val="005C33CF"/>
    <w:rsid w:val="005C33EA"/>
    <w:rsid w:val="005C33EE"/>
    <w:rsid w:val="005C342A"/>
    <w:rsid w:val="005C346B"/>
    <w:rsid w:val="005C3509"/>
    <w:rsid w:val="005C3560"/>
    <w:rsid w:val="005C356D"/>
    <w:rsid w:val="005C3632"/>
    <w:rsid w:val="005C3653"/>
    <w:rsid w:val="005C3655"/>
    <w:rsid w:val="005C368E"/>
    <w:rsid w:val="005C3690"/>
    <w:rsid w:val="005C36C4"/>
    <w:rsid w:val="005C370F"/>
    <w:rsid w:val="005C3788"/>
    <w:rsid w:val="005C37F5"/>
    <w:rsid w:val="005C37F8"/>
    <w:rsid w:val="005C385B"/>
    <w:rsid w:val="005C38B8"/>
    <w:rsid w:val="005C393D"/>
    <w:rsid w:val="005C396C"/>
    <w:rsid w:val="005C3999"/>
    <w:rsid w:val="005C39A4"/>
    <w:rsid w:val="005C3A04"/>
    <w:rsid w:val="005C3A53"/>
    <w:rsid w:val="005C3A54"/>
    <w:rsid w:val="005C3ADA"/>
    <w:rsid w:val="005C3B55"/>
    <w:rsid w:val="005C3BAC"/>
    <w:rsid w:val="005C3BAE"/>
    <w:rsid w:val="005C3C87"/>
    <w:rsid w:val="005C3C9D"/>
    <w:rsid w:val="005C3CB1"/>
    <w:rsid w:val="005C3D70"/>
    <w:rsid w:val="005C3D8F"/>
    <w:rsid w:val="005C3D96"/>
    <w:rsid w:val="005C3DA8"/>
    <w:rsid w:val="005C3E0F"/>
    <w:rsid w:val="005C3E17"/>
    <w:rsid w:val="005C3E24"/>
    <w:rsid w:val="005C3E58"/>
    <w:rsid w:val="005C3F9B"/>
    <w:rsid w:val="005C3FAF"/>
    <w:rsid w:val="005C3FE2"/>
    <w:rsid w:val="005C4021"/>
    <w:rsid w:val="005C402D"/>
    <w:rsid w:val="005C4031"/>
    <w:rsid w:val="005C409D"/>
    <w:rsid w:val="005C411E"/>
    <w:rsid w:val="005C413B"/>
    <w:rsid w:val="005C4192"/>
    <w:rsid w:val="005C419B"/>
    <w:rsid w:val="005C41BB"/>
    <w:rsid w:val="005C41FA"/>
    <w:rsid w:val="005C420F"/>
    <w:rsid w:val="005C4246"/>
    <w:rsid w:val="005C424B"/>
    <w:rsid w:val="005C428D"/>
    <w:rsid w:val="005C4296"/>
    <w:rsid w:val="005C42C4"/>
    <w:rsid w:val="005C42C7"/>
    <w:rsid w:val="005C4301"/>
    <w:rsid w:val="005C43E0"/>
    <w:rsid w:val="005C445D"/>
    <w:rsid w:val="005C445F"/>
    <w:rsid w:val="005C44AC"/>
    <w:rsid w:val="005C44C8"/>
    <w:rsid w:val="005C44F1"/>
    <w:rsid w:val="005C4546"/>
    <w:rsid w:val="005C4547"/>
    <w:rsid w:val="005C454E"/>
    <w:rsid w:val="005C4641"/>
    <w:rsid w:val="005C4668"/>
    <w:rsid w:val="005C47D2"/>
    <w:rsid w:val="005C47E8"/>
    <w:rsid w:val="005C4862"/>
    <w:rsid w:val="005C487E"/>
    <w:rsid w:val="005C48AE"/>
    <w:rsid w:val="005C48D2"/>
    <w:rsid w:val="005C48FE"/>
    <w:rsid w:val="005C4920"/>
    <w:rsid w:val="005C4A1D"/>
    <w:rsid w:val="005C4AF7"/>
    <w:rsid w:val="005C4B06"/>
    <w:rsid w:val="005C4C2A"/>
    <w:rsid w:val="005C4D47"/>
    <w:rsid w:val="005C4D49"/>
    <w:rsid w:val="005C4D9E"/>
    <w:rsid w:val="005C4DEC"/>
    <w:rsid w:val="005C4E4B"/>
    <w:rsid w:val="005C4EB0"/>
    <w:rsid w:val="005C4EF7"/>
    <w:rsid w:val="005C4F59"/>
    <w:rsid w:val="005C5088"/>
    <w:rsid w:val="005C508A"/>
    <w:rsid w:val="005C510B"/>
    <w:rsid w:val="005C5127"/>
    <w:rsid w:val="005C5286"/>
    <w:rsid w:val="005C53FF"/>
    <w:rsid w:val="005C5413"/>
    <w:rsid w:val="005C5466"/>
    <w:rsid w:val="005C549A"/>
    <w:rsid w:val="005C54C0"/>
    <w:rsid w:val="005C54E5"/>
    <w:rsid w:val="005C5501"/>
    <w:rsid w:val="005C5577"/>
    <w:rsid w:val="005C5579"/>
    <w:rsid w:val="005C561E"/>
    <w:rsid w:val="005C5642"/>
    <w:rsid w:val="005C572B"/>
    <w:rsid w:val="005C5739"/>
    <w:rsid w:val="005C57B1"/>
    <w:rsid w:val="005C57B2"/>
    <w:rsid w:val="005C57EE"/>
    <w:rsid w:val="005C57F3"/>
    <w:rsid w:val="005C5820"/>
    <w:rsid w:val="005C5822"/>
    <w:rsid w:val="005C58B2"/>
    <w:rsid w:val="005C590E"/>
    <w:rsid w:val="005C5A05"/>
    <w:rsid w:val="005C5A11"/>
    <w:rsid w:val="005C5B7A"/>
    <w:rsid w:val="005C5B9B"/>
    <w:rsid w:val="005C5C10"/>
    <w:rsid w:val="005C5C1E"/>
    <w:rsid w:val="005C5C79"/>
    <w:rsid w:val="005C5CF1"/>
    <w:rsid w:val="005C5E6E"/>
    <w:rsid w:val="005C5F33"/>
    <w:rsid w:val="005C5FE7"/>
    <w:rsid w:val="005C5FF6"/>
    <w:rsid w:val="005C6168"/>
    <w:rsid w:val="005C616A"/>
    <w:rsid w:val="005C6183"/>
    <w:rsid w:val="005C61C8"/>
    <w:rsid w:val="005C62A0"/>
    <w:rsid w:val="005C62FB"/>
    <w:rsid w:val="005C6468"/>
    <w:rsid w:val="005C6477"/>
    <w:rsid w:val="005C64C2"/>
    <w:rsid w:val="005C6534"/>
    <w:rsid w:val="005C656D"/>
    <w:rsid w:val="005C671A"/>
    <w:rsid w:val="005C6749"/>
    <w:rsid w:val="005C67B3"/>
    <w:rsid w:val="005C67E3"/>
    <w:rsid w:val="005C68B1"/>
    <w:rsid w:val="005C6920"/>
    <w:rsid w:val="005C69A5"/>
    <w:rsid w:val="005C69F2"/>
    <w:rsid w:val="005C6A0A"/>
    <w:rsid w:val="005C6A2E"/>
    <w:rsid w:val="005C6A7A"/>
    <w:rsid w:val="005C6ABD"/>
    <w:rsid w:val="005C6AC0"/>
    <w:rsid w:val="005C6B6B"/>
    <w:rsid w:val="005C6B99"/>
    <w:rsid w:val="005C6C59"/>
    <w:rsid w:val="005C6C83"/>
    <w:rsid w:val="005C6C98"/>
    <w:rsid w:val="005C6D80"/>
    <w:rsid w:val="005C6D9D"/>
    <w:rsid w:val="005C6DF4"/>
    <w:rsid w:val="005C6E25"/>
    <w:rsid w:val="005C6E56"/>
    <w:rsid w:val="005C6E71"/>
    <w:rsid w:val="005C6E83"/>
    <w:rsid w:val="005C6EC4"/>
    <w:rsid w:val="005C6EE6"/>
    <w:rsid w:val="005C6F69"/>
    <w:rsid w:val="005C6FD7"/>
    <w:rsid w:val="005C70CF"/>
    <w:rsid w:val="005C70E0"/>
    <w:rsid w:val="005C7123"/>
    <w:rsid w:val="005C7262"/>
    <w:rsid w:val="005C72C0"/>
    <w:rsid w:val="005C72E8"/>
    <w:rsid w:val="005C7398"/>
    <w:rsid w:val="005C73E7"/>
    <w:rsid w:val="005C74C9"/>
    <w:rsid w:val="005C7515"/>
    <w:rsid w:val="005C759B"/>
    <w:rsid w:val="005C75A3"/>
    <w:rsid w:val="005C75AB"/>
    <w:rsid w:val="005C765D"/>
    <w:rsid w:val="005C767B"/>
    <w:rsid w:val="005C7680"/>
    <w:rsid w:val="005C76A5"/>
    <w:rsid w:val="005C7704"/>
    <w:rsid w:val="005C77F5"/>
    <w:rsid w:val="005C7872"/>
    <w:rsid w:val="005C7949"/>
    <w:rsid w:val="005C7A15"/>
    <w:rsid w:val="005C7A8E"/>
    <w:rsid w:val="005C7A9C"/>
    <w:rsid w:val="005C7AF0"/>
    <w:rsid w:val="005C7B1C"/>
    <w:rsid w:val="005C7B75"/>
    <w:rsid w:val="005C7B83"/>
    <w:rsid w:val="005C7BFB"/>
    <w:rsid w:val="005C7C61"/>
    <w:rsid w:val="005C7CCA"/>
    <w:rsid w:val="005C7CEB"/>
    <w:rsid w:val="005C7CED"/>
    <w:rsid w:val="005C7CFE"/>
    <w:rsid w:val="005C7D2F"/>
    <w:rsid w:val="005C7D32"/>
    <w:rsid w:val="005C7DD9"/>
    <w:rsid w:val="005C7DEB"/>
    <w:rsid w:val="005C7DF2"/>
    <w:rsid w:val="005C7E5C"/>
    <w:rsid w:val="005C7EB3"/>
    <w:rsid w:val="005C7ECA"/>
    <w:rsid w:val="005C7F4B"/>
    <w:rsid w:val="005D0017"/>
    <w:rsid w:val="005D0175"/>
    <w:rsid w:val="005D01AD"/>
    <w:rsid w:val="005D01B3"/>
    <w:rsid w:val="005D01F3"/>
    <w:rsid w:val="005D025B"/>
    <w:rsid w:val="005D02D0"/>
    <w:rsid w:val="005D0393"/>
    <w:rsid w:val="005D03DB"/>
    <w:rsid w:val="005D03EA"/>
    <w:rsid w:val="005D03ED"/>
    <w:rsid w:val="005D040D"/>
    <w:rsid w:val="005D0443"/>
    <w:rsid w:val="005D044B"/>
    <w:rsid w:val="005D04A7"/>
    <w:rsid w:val="005D04BE"/>
    <w:rsid w:val="005D04DF"/>
    <w:rsid w:val="005D058B"/>
    <w:rsid w:val="005D05E0"/>
    <w:rsid w:val="005D0608"/>
    <w:rsid w:val="005D0616"/>
    <w:rsid w:val="005D0635"/>
    <w:rsid w:val="005D0650"/>
    <w:rsid w:val="005D068D"/>
    <w:rsid w:val="005D0766"/>
    <w:rsid w:val="005D0807"/>
    <w:rsid w:val="005D08A4"/>
    <w:rsid w:val="005D09CF"/>
    <w:rsid w:val="005D0A6A"/>
    <w:rsid w:val="005D0AE0"/>
    <w:rsid w:val="005D0B27"/>
    <w:rsid w:val="005D0BF4"/>
    <w:rsid w:val="005D0D74"/>
    <w:rsid w:val="005D0D90"/>
    <w:rsid w:val="005D0E12"/>
    <w:rsid w:val="005D0E68"/>
    <w:rsid w:val="005D0E6A"/>
    <w:rsid w:val="005D0ED4"/>
    <w:rsid w:val="005D0EE8"/>
    <w:rsid w:val="005D0F2C"/>
    <w:rsid w:val="005D0F35"/>
    <w:rsid w:val="005D0F9F"/>
    <w:rsid w:val="005D0FD0"/>
    <w:rsid w:val="005D0FF1"/>
    <w:rsid w:val="005D1003"/>
    <w:rsid w:val="005D10E7"/>
    <w:rsid w:val="005D1204"/>
    <w:rsid w:val="005D121D"/>
    <w:rsid w:val="005D1276"/>
    <w:rsid w:val="005D12BE"/>
    <w:rsid w:val="005D12DA"/>
    <w:rsid w:val="005D130C"/>
    <w:rsid w:val="005D1366"/>
    <w:rsid w:val="005D13C7"/>
    <w:rsid w:val="005D1431"/>
    <w:rsid w:val="005D1434"/>
    <w:rsid w:val="005D15B7"/>
    <w:rsid w:val="005D1608"/>
    <w:rsid w:val="005D166B"/>
    <w:rsid w:val="005D16A5"/>
    <w:rsid w:val="005D16F6"/>
    <w:rsid w:val="005D1797"/>
    <w:rsid w:val="005D17AD"/>
    <w:rsid w:val="005D1815"/>
    <w:rsid w:val="005D18A8"/>
    <w:rsid w:val="005D1909"/>
    <w:rsid w:val="005D1969"/>
    <w:rsid w:val="005D19A6"/>
    <w:rsid w:val="005D19B5"/>
    <w:rsid w:val="005D1A04"/>
    <w:rsid w:val="005D1A79"/>
    <w:rsid w:val="005D1A8E"/>
    <w:rsid w:val="005D1B2E"/>
    <w:rsid w:val="005D1BDF"/>
    <w:rsid w:val="005D1BFA"/>
    <w:rsid w:val="005D1C91"/>
    <w:rsid w:val="005D1D22"/>
    <w:rsid w:val="005D1D9D"/>
    <w:rsid w:val="005D1DCE"/>
    <w:rsid w:val="005D1E1B"/>
    <w:rsid w:val="005D1EA7"/>
    <w:rsid w:val="005D1FC3"/>
    <w:rsid w:val="005D1FD7"/>
    <w:rsid w:val="005D20D4"/>
    <w:rsid w:val="005D21AA"/>
    <w:rsid w:val="005D21BE"/>
    <w:rsid w:val="005D21DB"/>
    <w:rsid w:val="005D2222"/>
    <w:rsid w:val="005D2226"/>
    <w:rsid w:val="005D224B"/>
    <w:rsid w:val="005D2293"/>
    <w:rsid w:val="005D22A8"/>
    <w:rsid w:val="005D22AB"/>
    <w:rsid w:val="005D2301"/>
    <w:rsid w:val="005D232A"/>
    <w:rsid w:val="005D2367"/>
    <w:rsid w:val="005D23D5"/>
    <w:rsid w:val="005D23E0"/>
    <w:rsid w:val="005D23E7"/>
    <w:rsid w:val="005D240D"/>
    <w:rsid w:val="005D245B"/>
    <w:rsid w:val="005D24A4"/>
    <w:rsid w:val="005D2537"/>
    <w:rsid w:val="005D258D"/>
    <w:rsid w:val="005D25E7"/>
    <w:rsid w:val="005D25EE"/>
    <w:rsid w:val="005D2604"/>
    <w:rsid w:val="005D2654"/>
    <w:rsid w:val="005D2656"/>
    <w:rsid w:val="005D26BC"/>
    <w:rsid w:val="005D26FC"/>
    <w:rsid w:val="005D272C"/>
    <w:rsid w:val="005D2754"/>
    <w:rsid w:val="005D27F1"/>
    <w:rsid w:val="005D2851"/>
    <w:rsid w:val="005D28B7"/>
    <w:rsid w:val="005D296B"/>
    <w:rsid w:val="005D298E"/>
    <w:rsid w:val="005D29EC"/>
    <w:rsid w:val="005D2A10"/>
    <w:rsid w:val="005D2A8E"/>
    <w:rsid w:val="005D2AFB"/>
    <w:rsid w:val="005D2B3F"/>
    <w:rsid w:val="005D2B5E"/>
    <w:rsid w:val="005D2BCC"/>
    <w:rsid w:val="005D2DE5"/>
    <w:rsid w:val="005D2DF3"/>
    <w:rsid w:val="005D2E37"/>
    <w:rsid w:val="005D2E76"/>
    <w:rsid w:val="005D2F50"/>
    <w:rsid w:val="005D2FCD"/>
    <w:rsid w:val="005D306D"/>
    <w:rsid w:val="005D3166"/>
    <w:rsid w:val="005D31FF"/>
    <w:rsid w:val="005D320F"/>
    <w:rsid w:val="005D3240"/>
    <w:rsid w:val="005D32A3"/>
    <w:rsid w:val="005D330F"/>
    <w:rsid w:val="005D343F"/>
    <w:rsid w:val="005D34A2"/>
    <w:rsid w:val="005D34BF"/>
    <w:rsid w:val="005D35B4"/>
    <w:rsid w:val="005D3649"/>
    <w:rsid w:val="005D3689"/>
    <w:rsid w:val="005D36B1"/>
    <w:rsid w:val="005D376F"/>
    <w:rsid w:val="005D377D"/>
    <w:rsid w:val="005D37F3"/>
    <w:rsid w:val="005D3856"/>
    <w:rsid w:val="005D385F"/>
    <w:rsid w:val="005D38E1"/>
    <w:rsid w:val="005D3957"/>
    <w:rsid w:val="005D39F5"/>
    <w:rsid w:val="005D3A23"/>
    <w:rsid w:val="005D3A4B"/>
    <w:rsid w:val="005D3A4D"/>
    <w:rsid w:val="005D3A82"/>
    <w:rsid w:val="005D3BB6"/>
    <w:rsid w:val="005D3C25"/>
    <w:rsid w:val="005D3CA9"/>
    <w:rsid w:val="005D3CBD"/>
    <w:rsid w:val="005D3CDA"/>
    <w:rsid w:val="005D3CE0"/>
    <w:rsid w:val="005D3D19"/>
    <w:rsid w:val="005D3D2C"/>
    <w:rsid w:val="005D3D6C"/>
    <w:rsid w:val="005D3E86"/>
    <w:rsid w:val="005D3FD0"/>
    <w:rsid w:val="005D4061"/>
    <w:rsid w:val="005D4297"/>
    <w:rsid w:val="005D4373"/>
    <w:rsid w:val="005D44A2"/>
    <w:rsid w:val="005D44D5"/>
    <w:rsid w:val="005D454A"/>
    <w:rsid w:val="005D45D2"/>
    <w:rsid w:val="005D46ED"/>
    <w:rsid w:val="005D4733"/>
    <w:rsid w:val="005D47D1"/>
    <w:rsid w:val="005D47D6"/>
    <w:rsid w:val="005D483A"/>
    <w:rsid w:val="005D485C"/>
    <w:rsid w:val="005D48AD"/>
    <w:rsid w:val="005D48C3"/>
    <w:rsid w:val="005D492A"/>
    <w:rsid w:val="005D4948"/>
    <w:rsid w:val="005D49A2"/>
    <w:rsid w:val="005D49B1"/>
    <w:rsid w:val="005D4A2D"/>
    <w:rsid w:val="005D4A44"/>
    <w:rsid w:val="005D4ACD"/>
    <w:rsid w:val="005D4AE4"/>
    <w:rsid w:val="005D4C24"/>
    <w:rsid w:val="005D4DD9"/>
    <w:rsid w:val="005D4DE6"/>
    <w:rsid w:val="005D4E51"/>
    <w:rsid w:val="005D4E8C"/>
    <w:rsid w:val="005D4E9E"/>
    <w:rsid w:val="005D4F5D"/>
    <w:rsid w:val="005D4F62"/>
    <w:rsid w:val="005D4F6D"/>
    <w:rsid w:val="005D5022"/>
    <w:rsid w:val="005D5049"/>
    <w:rsid w:val="005D509D"/>
    <w:rsid w:val="005D51E1"/>
    <w:rsid w:val="005D5320"/>
    <w:rsid w:val="005D532D"/>
    <w:rsid w:val="005D53FB"/>
    <w:rsid w:val="005D540B"/>
    <w:rsid w:val="005D5411"/>
    <w:rsid w:val="005D542B"/>
    <w:rsid w:val="005D5471"/>
    <w:rsid w:val="005D54AF"/>
    <w:rsid w:val="005D54D7"/>
    <w:rsid w:val="005D54F9"/>
    <w:rsid w:val="005D5558"/>
    <w:rsid w:val="005D55AF"/>
    <w:rsid w:val="005D565D"/>
    <w:rsid w:val="005D56A4"/>
    <w:rsid w:val="005D56B1"/>
    <w:rsid w:val="005D56E9"/>
    <w:rsid w:val="005D5706"/>
    <w:rsid w:val="005D57CA"/>
    <w:rsid w:val="005D580E"/>
    <w:rsid w:val="005D5861"/>
    <w:rsid w:val="005D589B"/>
    <w:rsid w:val="005D58E2"/>
    <w:rsid w:val="005D591F"/>
    <w:rsid w:val="005D59FE"/>
    <w:rsid w:val="005D5AC8"/>
    <w:rsid w:val="005D5B68"/>
    <w:rsid w:val="005D5BAB"/>
    <w:rsid w:val="005D5BD8"/>
    <w:rsid w:val="005D5C28"/>
    <w:rsid w:val="005D5C77"/>
    <w:rsid w:val="005D5CE9"/>
    <w:rsid w:val="005D5D0B"/>
    <w:rsid w:val="005D5D89"/>
    <w:rsid w:val="005D5F48"/>
    <w:rsid w:val="005D5F5D"/>
    <w:rsid w:val="005D5F7F"/>
    <w:rsid w:val="005D601C"/>
    <w:rsid w:val="005D602B"/>
    <w:rsid w:val="005D604B"/>
    <w:rsid w:val="005D60C6"/>
    <w:rsid w:val="005D6107"/>
    <w:rsid w:val="005D61AF"/>
    <w:rsid w:val="005D61C5"/>
    <w:rsid w:val="005D6275"/>
    <w:rsid w:val="005D62AA"/>
    <w:rsid w:val="005D62B1"/>
    <w:rsid w:val="005D62E5"/>
    <w:rsid w:val="005D63A4"/>
    <w:rsid w:val="005D64FB"/>
    <w:rsid w:val="005D6606"/>
    <w:rsid w:val="005D6621"/>
    <w:rsid w:val="005D663E"/>
    <w:rsid w:val="005D67E4"/>
    <w:rsid w:val="005D6825"/>
    <w:rsid w:val="005D6872"/>
    <w:rsid w:val="005D6A4B"/>
    <w:rsid w:val="005D6A99"/>
    <w:rsid w:val="005D6AC9"/>
    <w:rsid w:val="005D6B19"/>
    <w:rsid w:val="005D6B1F"/>
    <w:rsid w:val="005D6BF1"/>
    <w:rsid w:val="005D6C2C"/>
    <w:rsid w:val="005D6C50"/>
    <w:rsid w:val="005D6C6C"/>
    <w:rsid w:val="005D6C71"/>
    <w:rsid w:val="005D6C91"/>
    <w:rsid w:val="005D6C9B"/>
    <w:rsid w:val="005D6CB9"/>
    <w:rsid w:val="005D6CED"/>
    <w:rsid w:val="005D6E26"/>
    <w:rsid w:val="005D6ECA"/>
    <w:rsid w:val="005D6F39"/>
    <w:rsid w:val="005D6F90"/>
    <w:rsid w:val="005D6F97"/>
    <w:rsid w:val="005D7011"/>
    <w:rsid w:val="005D7043"/>
    <w:rsid w:val="005D7096"/>
    <w:rsid w:val="005D710E"/>
    <w:rsid w:val="005D7146"/>
    <w:rsid w:val="005D714F"/>
    <w:rsid w:val="005D7152"/>
    <w:rsid w:val="005D717C"/>
    <w:rsid w:val="005D71FD"/>
    <w:rsid w:val="005D722F"/>
    <w:rsid w:val="005D72AC"/>
    <w:rsid w:val="005D7374"/>
    <w:rsid w:val="005D73BD"/>
    <w:rsid w:val="005D7445"/>
    <w:rsid w:val="005D748A"/>
    <w:rsid w:val="005D74A9"/>
    <w:rsid w:val="005D7509"/>
    <w:rsid w:val="005D7573"/>
    <w:rsid w:val="005D7575"/>
    <w:rsid w:val="005D75F9"/>
    <w:rsid w:val="005D763F"/>
    <w:rsid w:val="005D7673"/>
    <w:rsid w:val="005D7674"/>
    <w:rsid w:val="005D76BB"/>
    <w:rsid w:val="005D76E3"/>
    <w:rsid w:val="005D770D"/>
    <w:rsid w:val="005D7790"/>
    <w:rsid w:val="005D77F1"/>
    <w:rsid w:val="005D780A"/>
    <w:rsid w:val="005D7889"/>
    <w:rsid w:val="005D79F2"/>
    <w:rsid w:val="005D7ACE"/>
    <w:rsid w:val="005D7ADA"/>
    <w:rsid w:val="005D7AED"/>
    <w:rsid w:val="005D7BA5"/>
    <w:rsid w:val="005D7BEE"/>
    <w:rsid w:val="005D7BF2"/>
    <w:rsid w:val="005D7C23"/>
    <w:rsid w:val="005D7C66"/>
    <w:rsid w:val="005D7D2E"/>
    <w:rsid w:val="005D7D60"/>
    <w:rsid w:val="005D7E69"/>
    <w:rsid w:val="005D7EC3"/>
    <w:rsid w:val="005D7ECB"/>
    <w:rsid w:val="005D7F20"/>
    <w:rsid w:val="005D7F69"/>
    <w:rsid w:val="005D7FA6"/>
    <w:rsid w:val="005D7FB7"/>
    <w:rsid w:val="005D7FE2"/>
    <w:rsid w:val="005D7FE5"/>
    <w:rsid w:val="005E0189"/>
    <w:rsid w:val="005E01E9"/>
    <w:rsid w:val="005E0240"/>
    <w:rsid w:val="005E0253"/>
    <w:rsid w:val="005E026C"/>
    <w:rsid w:val="005E026E"/>
    <w:rsid w:val="005E028E"/>
    <w:rsid w:val="005E0304"/>
    <w:rsid w:val="005E0319"/>
    <w:rsid w:val="005E0376"/>
    <w:rsid w:val="005E03D9"/>
    <w:rsid w:val="005E0432"/>
    <w:rsid w:val="005E044C"/>
    <w:rsid w:val="005E0454"/>
    <w:rsid w:val="005E045D"/>
    <w:rsid w:val="005E05FD"/>
    <w:rsid w:val="005E0616"/>
    <w:rsid w:val="005E0640"/>
    <w:rsid w:val="005E069B"/>
    <w:rsid w:val="005E077B"/>
    <w:rsid w:val="005E07C6"/>
    <w:rsid w:val="005E0820"/>
    <w:rsid w:val="005E087A"/>
    <w:rsid w:val="005E08AA"/>
    <w:rsid w:val="005E08CA"/>
    <w:rsid w:val="005E090C"/>
    <w:rsid w:val="005E0918"/>
    <w:rsid w:val="005E0966"/>
    <w:rsid w:val="005E09D6"/>
    <w:rsid w:val="005E0A10"/>
    <w:rsid w:val="005E0A31"/>
    <w:rsid w:val="005E0A4F"/>
    <w:rsid w:val="005E0B4A"/>
    <w:rsid w:val="005E0C68"/>
    <w:rsid w:val="005E0CBC"/>
    <w:rsid w:val="005E0D6A"/>
    <w:rsid w:val="005E0DD3"/>
    <w:rsid w:val="005E0E58"/>
    <w:rsid w:val="005E0E7F"/>
    <w:rsid w:val="005E0F3D"/>
    <w:rsid w:val="005E0FCA"/>
    <w:rsid w:val="005E1006"/>
    <w:rsid w:val="005E1081"/>
    <w:rsid w:val="005E1085"/>
    <w:rsid w:val="005E11D6"/>
    <w:rsid w:val="005E12C5"/>
    <w:rsid w:val="005E12E6"/>
    <w:rsid w:val="005E13D2"/>
    <w:rsid w:val="005E145D"/>
    <w:rsid w:val="005E14BE"/>
    <w:rsid w:val="005E1548"/>
    <w:rsid w:val="005E15F5"/>
    <w:rsid w:val="005E160D"/>
    <w:rsid w:val="005E1624"/>
    <w:rsid w:val="005E1656"/>
    <w:rsid w:val="005E1663"/>
    <w:rsid w:val="005E1679"/>
    <w:rsid w:val="005E16DC"/>
    <w:rsid w:val="005E16F6"/>
    <w:rsid w:val="005E1772"/>
    <w:rsid w:val="005E1779"/>
    <w:rsid w:val="005E17A7"/>
    <w:rsid w:val="005E1819"/>
    <w:rsid w:val="005E183B"/>
    <w:rsid w:val="005E1845"/>
    <w:rsid w:val="005E184F"/>
    <w:rsid w:val="005E1899"/>
    <w:rsid w:val="005E18B3"/>
    <w:rsid w:val="005E1924"/>
    <w:rsid w:val="005E1A75"/>
    <w:rsid w:val="005E1B33"/>
    <w:rsid w:val="005E1B9B"/>
    <w:rsid w:val="005E1BD3"/>
    <w:rsid w:val="005E1C00"/>
    <w:rsid w:val="005E1C10"/>
    <w:rsid w:val="005E1C6C"/>
    <w:rsid w:val="005E1C92"/>
    <w:rsid w:val="005E1CE4"/>
    <w:rsid w:val="005E1D3C"/>
    <w:rsid w:val="005E1DDA"/>
    <w:rsid w:val="005E1E29"/>
    <w:rsid w:val="005E1E56"/>
    <w:rsid w:val="005E1E7E"/>
    <w:rsid w:val="005E1EFF"/>
    <w:rsid w:val="005E1F51"/>
    <w:rsid w:val="005E1FA8"/>
    <w:rsid w:val="005E2069"/>
    <w:rsid w:val="005E2107"/>
    <w:rsid w:val="005E210A"/>
    <w:rsid w:val="005E219B"/>
    <w:rsid w:val="005E2282"/>
    <w:rsid w:val="005E22B4"/>
    <w:rsid w:val="005E22B8"/>
    <w:rsid w:val="005E22C9"/>
    <w:rsid w:val="005E2308"/>
    <w:rsid w:val="005E2369"/>
    <w:rsid w:val="005E23A8"/>
    <w:rsid w:val="005E23E7"/>
    <w:rsid w:val="005E2406"/>
    <w:rsid w:val="005E2432"/>
    <w:rsid w:val="005E2549"/>
    <w:rsid w:val="005E2553"/>
    <w:rsid w:val="005E2598"/>
    <w:rsid w:val="005E25D4"/>
    <w:rsid w:val="005E26E4"/>
    <w:rsid w:val="005E27AA"/>
    <w:rsid w:val="005E28B3"/>
    <w:rsid w:val="005E28C2"/>
    <w:rsid w:val="005E28EA"/>
    <w:rsid w:val="005E2961"/>
    <w:rsid w:val="005E296C"/>
    <w:rsid w:val="005E2987"/>
    <w:rsid w:val="005E2ACF"/>
    <w:rsid w:val="005E2BD6"/>
    <w:rsid w:val="005E2C4A"/>
    <w:rsid w:val="005E2C4F"/>
    <w:rsid w:val="005E2C61"/>
    <w:rsid w:val="005E2C99"/>
    <w:rsid w:val="005E2D0D"/>
    <w:rsid w:val="005E2D1D"/>
    <w:rsid w:val="005E2D87"/>
    <w:rsid w:val="005E2DF0"/>
    <w:rsid w:val="005E2E12"/>
    <w:rsid w:val="005E2E3E"/>
    <w:rsid w:val="005E2EAC"/>
    <w:rsid w:val="005E2ED2"/>
    <w:rsid w:val="005E2EE9"/>
    <w:rsid w:val="005E2FDC"/>
    <w:rsid w:val="005E2FE0"/>
    <w:rsid w:val="005E2FEF"/>
    <w:rsid w:val="005E3011"/>
    <w:rsid w:val="005E305B"/>
    <w:rsid w:val="005E3084"/>
    <w:rsid w:val="005E30EC"/>
    <w:rsid w:val="005E314F"/>
    <w:rsid w:val="005E3178"/>
    <w:rsid w:val="005E318D"/>
    <w:rsid w:val="005E3226"/>
    <w:rsid w:val="005E3276"/>
    <w:rsid w:val="005E328B"/>
    <w:rsid w:val="005E32A7"/>
    <w:rsid w:val="005E3323"/>
    <w:rsid w:val="005E333C"/>
    <w:rsid w:val="005E3397"/>
    <w:rsid w:val="005E33A2"/>
    <w:rsid w:val="005E347C"/>
    <w:rsid w:val="005E3482"/>
    <w:rsid w:val="005E351E"/>
    <w:rsid w:val="005E355E"/>
    <w:rsid w:val="005E3613"/>
    <w:rsid w:val="005E36A9"/>
    <w:rsid w:val="005E36FB"/>
    <w:rsid w:val="005E373C"/>
    <w:rsid w:val="005E38F7"/>
    <w:rsid w:val="005E3971"/>
    <w:rsid w:val="005E3A1F"/>
    <w:rsid w:val="005E3AC4"/>
    <w:rsid w:val="005E3AF4"/>
    <w:rsid w:val="005E3B0C"/>
    <w:rsid w:val="005E3B77"/>
    <w:rsid w:val="005E3B96"/>
    <w:rsid w:val="005E3C04"/>
    <w:rsid w:val="005E3CC8"/>
    <w:rsid w:val="005E3CCA"/>
    <w:rsid w:val="005E3D3B"/>
    <w:rsid w:val="005E3D6D"/>
    <w:rsid w:val="005E3DA4"/>
    <w:rsid w:val="005E3ECD"/>
    <w:rsid w:val="005E3EE6"/>
    <w:rsid w:val="005E3F62"/>
    <w:rsid w:val="005E3FC8"/>
    <w:rsid w:val="005E401D"/>
    <w:rsid w:val="005E408E"/>
    <w:rsid w:val="005E40DB"/>
    <w:rsid w:val="005E4166"/>
    <w:rsid w:val="005E417B"/>
    <w:rsid w:val="005E41BA"/>
    <w:rsid w:val="005E41E3"/>
    <w:rsid w:val="005E424A"/>
    <w:rsid w:val="005E424E"/>
    <w:rsid w:val="005E42E5"/>
    <w:rsid w:val="005E4325"/>
    <w:rsid w:val="005E4350"/>
    <w:rsid w:val="005E43A3"/>
    <w:rsid w:val="005E43AF"/>
    <w:rsid w:val="005E441F"/>
    <w:rsid w:val="005E446A"/>
    <w:rsid w:val="005E4490"/>
    <w:rsid w:val="005E44BB"/>
    <w:rsid w:val="005E44D0"/>
    <w:rsid w:val="005E44DB"/>
    <w:rsid w:val="005E453C"/>
    <w:rsid w:val="005E4610"/>
    <w:rsid w:val="005E4655"/>
    <w:rsid w:val="005E46AE"/>
    <w:rsid w:val="005E473C"/>
    <w:rsid w:val="005E4776"/>
    <w:rsid w:val="005E47BC"/>
    <w:rsid w:val="005E4800"/>
    <w:rsid w:val="005E483A"/>
    <w:rsid w:val="005E4894"/>
    <w:rsid w:val="005E48F5"/>
    <w:rsid w:val="005E4948"/>
    <w:rsid w:val="005E495A"/>
    <w:rsid w:val="005E497B"/>
    <w:rsid w:val="005E4981"/>
    <w:rsid w:val="005E49F9"/>
    <w:rsid w:val="005E4A07"/>
    <w:rsid w:val="005E4A0C"/>
    <w:rsid w:val="005E4A75"/>
    <w:rsid w:val="005E4A8C"/>
    <w:rsid w:val="005E4BD3"/>
    <w:rsid w:val="005E4BF1"/>
    <w:rsid w:val="005E4C88"/>
    <w:rsid w:val="005E4D05"/>
    <w:rsid w:val="005E4D09"/>
    <w:rsid w:val="005E4D65"/>
    <w:rsid w:val="005E4E0F"/>
    <w:rsid w:val="005E4E8A"/>
    <w:rsid w:val="005E4E8B"/>
    <w:rsid w:val="005E4EF3"/>
    <w:rsid w:val="005E513B"/>
    <w:rsid w:val="005E5147"/>
    <w:rsid w:val="005E51CF"/>
    <w:rsid w:val="005E5265"/>
    <w:rsid w:val="005E5289"/>
    <w:rsid w:val="005E528D"/>
    <w:rsid w:val="005E52A2"/>
    <w:rsid w:val="005E52DE"/>
    <w:rsid w:val="005E5377"/>
    <w:rsid w:val="005E5406"/>
    <w:rsid w:val="005E549E"/>
    <w:rsid w:val="005E558F"/>
    <w:rsid w:val="005E5671"/>
    <w:rsid w:val="005E569E"/>
    <w:rsid w:val="005E56BD"/>
    <w:rsid w:val="005E56F9"/>
    <w:rsid w:val="005E5729"/>
    <w:rsid w:val="005E5760"/>
    <w:rsid w:val="005E5849"/>
    <w:rsid w:val="005E5858"/>
    <w:rsid w:val="005E599C"/>
    <w:rsid w:val="005E59B5"/>
    <w:rsid w:val="005E59B6"/>
    <w:rsid w:val="005E59F0"/>
    <w:rsid w:val="005E5A1E"/>
    <w:rsid w:val="005E5A68"/>
    <w:rsid w:val="005E5B0F"/>
    <w:rsid w:val="005E5C3F"/>
    <w:rsid w:val="005E5C46"/>
    <w:rsid w:val="005E5D86"/>
    <w:rsid w:val="005E5DAE"/>
    <w:rsid w:val="005E5E62"/>
    <w:rsid w:val="005E5F83"/>
    <w:rsid w:val="005E6042"/>
    <w:rsid w:val="005E60AD"/>
    <w:rsid w:val="005E60BC"/>
    <w:rsid w:val="005E60F1"/>
    <w:rsid w:val="005E619C"/>
    <w:rsid w:val="005E61BD"/>
    <w:rsid w:val="005E6259"/>
    <w:rsid w:val="005E6284"/>
    <w:rsid w:val="005E62D7"/>
    <w:rsid w:val="005E62E9"/>
    <w:rsid w:val="005E62EC"/>
    <w:rsid w:val="005E6330"/>
    <w:rsid w:val="005E64AA"/>
    <w:rsid w:val="005E64BF"/>
    <w:rsid w:val="005E650F"/>
    <w:rsid w:val="005E659E"/>
    <w:rsid w:val="005E65B3"/>
    <w:rsid w:val="005E65D8"/>
    <w:rsid w:val="005E66C0"/>
    <w:rsid w:val="005E66E7"/>
    <w:rsid w:val="005E6716"/>
    <w:rsid w:val="005E67BA"/>
    <w:rsid w:val="005E689E"/>
    <w:rsid w:val="005E6904"/>
    <w:rsid w:val="005E6977"/>
    <w:rsid w:val="005E6A5F"/>
    <w:rsid w:val="005E6AF8"/>
    <w:rsid w:val="005E6BA7"/>
    <w:rsid w:val="005E6BC3"/>
    <w:rsid w:val="005E6BE1"/>
    <w:rsid w:val="005E6C31"/>
    <w:rsid w:val="005E6DA6"/>
    <w:rsid w:val="005E6E16"/>
    <w:rsid w:val="005E6E85"/>
    <w:rsid w:val="005E6E92"/>
    <w:rsid w:val="005E6ECB"/>
    <w:rsid w:val="005E6F15"/>
    <w:rsid w:val="005E6F5D"/>
    <w:rsid w:val="005E6FD2"/>
    <w:rsid w:val="005E701D"/>
    <w:rsid w:val="005E7078"/>
    <w:rsid w:val="005E714B"/>
    <w:rsid w:val="005E71A4"/>
    <w:rsid w:val="005E71C2"/>
    <w:rsid w:val="005E71CA"/>
    <w:rsid w:val="005E721D"/>
    <w:rsid w:val="005E7239"/>
    <w:rsid w:val="005E727A"/>
    <w:rsid w:val="005E7378"/>
    <w:rsid w:val="005E73CA"/>
    <w:rsid w:val="005E73FF"/>
    <w:rsid w:val="005E7442"/>
    <w:rsid w:val="005E7447"/>
    <w:rsid w:val="005E744A"/>
    <w:rsid w:val="005E7461"/>
    <w:rsid w:val="005E7507"/>
    <w:rsid w:val="005E7515"/>
    <w:rsid w:val="005E7525"/>
    <w:rsid w:val="005E7583"/>
    <w:rsid w:val="005E75C5"/>
    <w:rsid w:val="005E7674"/>
    <w:rsid w:val="005E7678"/>
    <w:rsid w:val="005E76A6"/>
    <w:rsid w:val="005E7742"/>
    <w:rsid w:val="005E7798"/>
    <w:rsid w:val="005E783B"/>
    <w:rsid w:val="005E786B"/>
    <w:rsid w:val="005E7916"/>
    <w:rsid w:val="005E7A44"/>
    <w:rsid w:val="005E7A61"/>
    <w:rsid w:val="005E7AE4"/>
    <w:rsid w:val="005E7B43"/>
    <w:rsid w:val="005E7B71"/>
    <w:rsid w:val="005E7B73"/>
    <w:rsid w:val="005E7B9A"/>
    <w:rsid w:val="005E7B9F"/>
    <w:rsid w:val="005E7BB8"/>
    <w:rsid w:val="005E7C09"/>
    <w:rsid w:val="005E7C16"/>
    <w:rsid w:val="005E7C63"/>
    <w:rsid w:val="005E7D3A"/>
    <w:rsid w:val="005E7D97"/>
    <w:rsid w:val="005E7DA3"/>
    <w:rsid w:val="005E7E0B"/>
    <w:rsid w:val="005E7E0E"/>
    <w:rsid w:val="005E7E56"/>
    <w:rsid w:val="005E7E69"/>
    <w:rsid w:val="005E7E77"/>
    <w:rsid w:val="005E7EB3"/>
    <w:rsid w:val="005E7EB7"/>
    <w:rsid w:val="005E7F50"/>
    <w:rsid w:val="005E7F5B"/>
    <w:rsid w:val="005E7F60"/>
    <w:rsid w:val="005E7FF9"/>
    <w:rsid w:val="005F0026"/>
    <w:rsid w:val="005F0035"/>
    <w:rsid w:val="005F0110"/>
    <w:rsid w:val="005F018D"/>
    <w:rsid w:val="005F0190"/>
    <w:rsid w:val="005F0198"/>
    <w:rsid w:val="005F0228"/>
    <w:rsid w:val="005F026F"/>
    <w:rsid w:val="005F02EC"/>
    <w:rsid w:val="005F032C"/>
    <w:rsid w:val="005F0350"/>
    <w:rsid w:val="005F03AA"/>
    <w:rsid w:val="005F03B0"/>
    <w:rsid w:val="005F03CA"/>
    <w:rsid w:val="005F0413"/>
    <w:rsid w:val="005F0544"/>
    <w:rsid w:val="005F0547"/>
    <w:rsid w:val="005F05FE"/>
    <w:rsid w:val="005F062D"/>
    <w:rsid w:val="005F0632"/>
    <w:rsid w:val="005F0671"/>
    <w:rsid w:val="005F0678"/>
    <w:rsid w:val="005F06A5"/>
    <w:rsid w:val="005F07E0"/>
    <w:rsid w:val="005F0811"/>
    <w:rsid w:val="005F0856"/>
    <w:rsid w:val="005F089C"/>
    <w:rsid w:val="005F08AC"/>
    <w:rsid w:val="005F090B"/>
    <w:rsid w:val="005F0939"/>
    <w:rsid w:val="005F09E3"/>
    <w:rsid w:val="005F0B33"/>
    <w:rsid w:val="005F0B8A"/>
    <w:rsid w:val="005F0B9C"/>
    <w:rsid w:val="005F0BF9"/>
    <w:rsid w:val="005F0C62"/>
    <w:rsid w:val="005F0C63"/>
    <w:rsid w:val="005F0C81"/>
    <w:rsid w:val="005F0CDE"/>
    <w:rsid w:val="005F0D17"/>
    <w:rsid w:val="005F0DE2"/>
    <w:rsid w:val="005F0E10"/>
    <w:rsid w:val="005F0E38"/>
    <w:rsid w:val="005F0E64"/>
    <w:rsid w:val="005F0E92"/>
    <w:rsid w:val="005F0ED2"/>
    <w:rsid w:val="005F0F0A"/>
    <w:rsid w:val="005F1085"/>
    <w:rsid w:val="005F1125"/>
    <w:rsid w:val="005F1151"/>
    <w:rsid w:val="005F125B"/>
    <w:rsid w:val="005F12E6"/>
    <w:rsid w:val="005F1346"/>
    <w:rsid w:val="005F138E"/>
    <w:rsid w:val="005F13B6"/>
    <w:rsid w:val="005F1488"/>
    <w:rsid w:val="005F1616"/>
    <w:rsid w:val="005F16D8"/>
    <w:rsid w:val="005F17A8"/>
    <w:rsid w:val="005F17FA"/>
    <w:rsid w:val="005F180E"/>
    <w:rsid w:val="005F1864"/>
    <w:rsid w:val="005F1882"/>
    <w:rsid w:val="005F18E4"/>
    <w:rsid w:val="005F1944"/>
    <w:rsid w:val="005F1A2F"/>
    <w:rsid w:val="005F1A51"/>
    <w:rsid w:val="005F1AFB"/>
    <w:rsid w:val="005F1BCF"/>
    <w:rsid w:val="005F1BD4"/>
    <w:rsid w:val="005F1BFA"/>
    <w:rsid w:val="005F1C52"/>
    <w:rsid w:val="005F1C59"/>
    <w:rsid w:val="005F1D44"/>
    <w:rsid w:val="005F1E70"/>
    <w:rsid w:val="005F1F28"/>
    <w:rsid w:val="005F1F2A"/>
    <w:rsid w:val="005F209F"/>
    <w:rsid w:val="005F20C2"/>
    <w:rsid w:val="005F20FA"/>
    <w:rsid w:val="005F2232"/>
    <w:rsid w:val="005F224B"/>
    <w:rsid w:val="005F22E3"/>
    <w:rsid w:val="005F243B"/>
    <w:rsid w:val="005F2471"/>
    <w:rsid w:val="005F24DD"/>
    <w:rsid w:val="005F2562"/>
    <w:rsid w:val="005F25CC"/>
    <w:rsid w:val="005F26F9"/>
    <w:rsid w:val="005F2712"/>
    <w:rsid w:val="005F27D6"/>
    <w:rsid w:val="005F2918"/>
    <w:rsid w:val="005F2924"/>
    <w:rsid w:val="005F29E1"/>
    <w:rsid w:val="005F2AD5"/>
    <w:rsid w:val="005F2AEA"/>
    <w:rsid w:val="005F2B93"/>
    <w:rsid w:val="005F2B97"/>
    <w:rsid w:val="005F2C12"/>
    <w:rsid w:val="005F2C86"/>
    <w:rsid w:val="005F2CBC"/>
    <w:rsid w:val="005F2CE8"/>
    <w:rsid w:val="005F2D36"/>
    <w:rsid w:val="005F2D4A"/>
    <w:rsid w:val="005F2ED0"/>
    <w:rsid w:val="005F2F2A"/>
    <w:rsid w:val="005F2F92"/>
    <w:rsid w:val="005F2FAC"/>
    <w:rsid w:val="005F2FCB"/>
    <w:rsid w:val="005F3023"/>
    <w:rsid w:val="005F3094"/>
    <w:rsid w:val="005F30C1"/>
    <w:rsid w:val="005F311B"/>
    <w:rsid w:val="005F3296"/>
    <w:rsid w:val="005F32BC"/>
    <w:rsid w:val="005F32E0"/>
    <w:rsid w:val="005F3388"/>
    <w:rsid w:val="005F3396"/>
    <w:rsid w:val="005F33A4"/>
    <w:rsid w:val="005F33BD"/>
    <w:rsid w:val="005F34A8"/>
    <w:rsid w:val="005F34E6"/>
    <w:rsid w:val="005F34F8"/>
    <w:rsid w:val="005F35B3"/>
    <w:rsid w:val="005F35BE"/>
    <w:rsid w:val="005F36A9"/>
    <w:rsid w:val="005F376F"/>
    <w:rsid w:val="005F37A1"/>
    <w:rsid w:val="005F37C0"/>
    <w:rsid w:val="005F37E5"/>
    <w:rsid w:val="005F37F0"/>
    <w:rsid w:val="005F3872"/>
    <w:rsid w:val="005F38B1"/>
    <w:rsid w:val="005F392A"/>
    <w:rsid w:val="005F39A4"/>
    <w:rsid w:val="005F39D1"/>
    <w:rsid w:val="005F3A68"/>
    <w:rsid w:val="005F3B13"/>
    <w:rsid w:val="005F3B27"/>
    <w:rsid w:val="005F3B2F"/>
    <w:rsid w:val="005F3B34"/>
    <w:rsid w:val="005F3B47"/>
    <w:rsid w:val="005F3B4F"/>
    <w:rsid w:val="005F3B73"/>
    <w:rsid w:val="005F3B8B"/>
    <w:rsid w:val="005F3B9B"/>
    <w:rsid w:val="005F3BD8"/>
    <w:rsid w:val="005F3C0B"/>
    <w:rsid w:val="005F3C3A"/>
    <w:rsid w:val="005F3C99"/>
    <w:rsid w:val="005F3D0B"/>
    <w:rsid w:val="005F3D13"/>
    <w:rsid w:val="005F3DA0"/>
    <w:rsid w:val="005F3DCE"/>
    <w:rsid w:val="005F3DDF"/>
    <w:rsid w:val="005F3E53"/>
    <w:rsid w:val="005F3E75"/>
    <w:rsid w:val="005F3F3D"/>
    <w:rsid w:val="005F3F67"/>
    <w:rsid w:val="005F3F79"/>
    <w:rsid w:val="005F3FC1"/>
    <w:rsid w:val="005F406B"/>
    <w:rsid w:val="005F4093"/>
    <w:rsid w:val="005F4120"/>
    <w:rsid w:val="005F422B"/>
    <w:rsid w:val="005F428C"/>
    <w:rsid w:val="005F42ED"/>
    <w:rsid w:val="005F42F8"/>
    <w:rsid w:val="005F43C0"/>
    <w:rsid w:val="005F4404"/>
    <w:rsid w:val="005F44AC"/>
    <w:rsid w:val="005F44F2"/>
    <w:rsid w:val="005F45C8"/>
    <w:rsid w:val="005F464F"/>
    <w:rsid w:val="005F4684"/>
    <w:rsid w:val="005F473B"/>
    <w:rsid w:val="005F477F"/>
    <w:rsid w:val="005F47B1"/>
    <w:rsid w:val="005F47B6"/>
    <w:rsid w:val="005F47DF"/>
    <w:rsid w:val="005F47F5"/>
    <w:rsid w:val="005F486A"/>
    <w:rsid w:val="005F48B0"/>
    <w:rsid w:val="005F48E8"/>
    <w:rsid w:val="005F4946"/>
    <w:rsid w:val="005F4964"/>
    <w:rsid w:val="005F4997"/>
    <w:rsid w:val="005F4A68"/>
    <w:rsid w:val="005F4AE0"/>
    <w:rsid w:val="005F4B39"/>
    <w:rsid w:val="005F4BA9"/>
    <w:rsid w:val="005F4BED"/>
    <w:rsid w:val="005F4BFD"/>
    <w:rsid w:val="005F4C1A"/>
    <w:rsid w:val="005F4C44"/>
    <w:rsid w:val="005F4C64"/>
    <w:rsid w:val="005F4C69"/>
    <w:rsid w:val="005F4C7D"/>
    <w:rsid w:val="005F4CD5"/>
    <w:rsid w:val="005F4D75"/>
    <w:rsid w:val="005F4D89"/>
    <w:rsid w:val="005F4DB8"/>
    <w:rsid w:val="005F4E67"/>
    <w:rsid w:val="005F4E84"/>
    <w:rsid w:val="005F4ED9"/>
    <w:rsid w:val="005F4EFB"/>
    <w:rsid w:val="005F4F14"/>
    <w:rsid w:val="005F4F2A"/>
    <w:rsid w:val="005F4F3F"/>
    <w:rsid w:val="005F4FC7"/>
    <w:rsid w:val="005F4FE5"/>
    <w:rsid w:val="005F4FF5"/>
    <w:rsid w:val="005F50BF"/>
    <w:rsid w:val="005F50C8"/>
    <w:rsid w:val="005F50CA"/>
    <w:rsid w:val="005F50FA"/>
    <w:rsid w:val="005F511B"/>
    <w:rsid w:val="005F5160"/>
    <w:rsid w:val="005F5173"/>
    <w:rsid w:val="005F51AA"/>
    <w:rsid w:val="005F51F9"/>
    <w:rsid w:val="005F51FA"/>
    <w:rsid w:val="005F521B"/>
    <w:rsid w:val="005F5238"/>
    <w:rsid w:val="005F5249"/>
    <w:rsid w:val="005F543C"/>
    <w:rsid w:val="005F5499"/>
    <w:rsid w:val="005F54B8"/>
    <w:rsid w:val="005F54C9"/>
    <w:rsid w:val="005F5576"/>
    <w:rsid w:val="005F5595"/>
    <w:rsid w:val="005F5596"/>
    <w:rsid w:val="005F55B7"/>
    <w:rsid w:val="005F5605"/>
    <w:rsid w:val="005F5783"/>
    <w:rsid w:val="005F57B7"/>
    <w:rsid w:val="005F5828"/>
    <w:rsid w:val="005F5843"/>
    <w:rsid w:val="005F5850"/>
    <w:rsid w:val="005F585E"/>
    <w:rsid w:val="005F58AB"/>
    <w:rsid w:val="005F58C0"/>
    <w:rsid w:val="005F5918"/>
    <w:rsid w:val="005F592B"/>
    <w:rsid w:val="005F59B5"/>
    <w:rsid w:val="005F59D4"/>
    <w:rsid w:val="005F5A43"/>
    <w:rsid w:val="005F5B01"/>
    <w:rsid w:val="005F5B7B"/>
    <w:rsid w:val="005F5B7E"/>
    <w:rsid w:val="005F5BFD"/>
    <w:rsid w:val="005F5C40"/>
    <w:rsid w:val="005F5D44"/>
    <w:rsid w:val="005F5DEA"/>
    <w:rsid w:val="005F5E01"/>
    <w:rsid w:val="005F5EB3"/>
    <w:rsid w:val="005F5EDA"/>
    <w:rsid w:val="005F5EE0"/>
    <w:rsid w:val="005F5F2B"/>
    <w:rsid w:val="005F5F93"/>
    <w:rsid w:val="005F5FD9"/>
    <w:rsid w:val="005F604E"/>
    <w:rsid w:val="005F6089"/>
    <w:rsid w:val="005F608E"/>
    <w:rsid w:val="005F6095"/>
    <w:rsid w:val="005F60AB"/>
    <w:rsid w:val="005F60DF"/>
    <w:rsid w:val="005F6282"/>
    <w:rsid w:val="005F6284"/>
    <w:rsid w:val="005F6295"/>
    <w:rsid w:val="005F6297"/>
    <w:rsid w:val="005F62AB"/>
    <w:rsid w:val="005F631B"/>
    <w:rsid w:val="005F6321"/>
    <w:rsid w:val="005F63A9"/>
    <w:rsid w:val="005F63B7"/>
    <w:rsid w:val="005F63CE"/>
    <w:rsid w:val="005F63F8"/>
    <w:rsid w:val="005F641B"/>
    <w:rsid w:val="005F6479"/>
    <w:rsid w:val="005F64A6"/>
    <w:rsid w:val="005F64E7"/>
    <w:rsid w:val="005F6523"/>
    <w:rsid w:val="005F6589"/>
    <w:rsid w:val="005F659A"/>
    <w:rsid w:val="005F663B"/>
    <w:rsid w:val="005F66A0"/>
    <w:rsid w:val="005F66F1"/>
    <w:rsid w:val="005F6877"/>
    <w:rsid w:val="005F68D4"/>
    <w:rsid w:val="005F68DB"/>
    <w:rsid w:val="005F699D"/>
    <w:rsid w:val="005F6A03"/>
    <w:rsid w:val="005F6B2E"/>
    <w:rsid w:val="005F6BB4"/>
    <w:rsid w:val="005F6BEE"/>
    <w:rsid w:val="005F6C38"/>
    <w:rsid w:val="005F6C4D"/>
    <w:rsid w:val="005F6C97"/>
    <w:rsid w:val="005F6F4F"/>
    <w:rsid w:val="005F6F5C"/>
    <w:rsid w:val="005F6F61"/>
    <w:rsid w:val="005F6FC7"/>
    <w:rsid w:val="005F7030"/>
    <w:rsid w:val="005F7081"/>
    <w:rsid w:val="005F7151"/>
    <w:rsid w:val="005F7185"/>
    <w:rsid w:val="005F71BC"/>
    <w:rsid w:val="005F71C2"/>
    <w:rsid w:val="005F71CB"/>
    <w:rsid w:val="005F721F"/>
    <w:rsid w:val="005F723F"/>
    <w:rsid w:val="005F7249"/>
    <w:rsid w:val="005F7288"/>
    <w:rsid w:val="005F72EB"/>
    <w:rsid w:val="005F7340"/>
    <w:rsid w:val="005F7385"/>
    <w:rsid w:val="005F73C9"/>
    <w:rsid w:val="005F73FD"/>
    <w:rsid w:val="005F741A"/>
    <w:rsid w:val="005F744E"/>
    <w:rsid w:val="005F74FD"/>
    <w:rsid w:val="005F7550"/>
    <w:rsid w:val="005F7646"/>
    <w:rsid w:val="005F766A"/>
    <w:rsid w:val="005F768F"/>
    <w:rsid w:val="005F771B"/>
    <w:rsid w:val="005F7741"/>
    <w:rsid w:val="005F7782"/>
    <w:rsid w:val="005F7837"/>
    <w:rsid w:val="005F78F1"/>
    <w:rsid w:val="005F790B"/>
    <w:rsid w:val="005F792E"/>
    <w:rsid w:val="005F796C"/>
    <w:rsid w:val="005F79BF"/>
    <w:rsid w:val="005F7ABF"/>
    <w:rsid w:val="005F7B77"/>
    <w:rsid w:val="005F7B88"/>
    <w:rsid w:val="005F7BB3"/>
    <w:rsid w:val="005F7C38"/>
    <w:rsid w:val="005F7C6C"/>
    <w:rsid w:val="005F7D19"/>
    <w:rsid w:val="005F7DEF"/>
    <w:rsid w:val="005F7E11"/>
    <w:rsid w:val="005F7E1B"/>
    <w:rsid w:val="005F7E88"/>
    <w:rsid w:val="005F7F89"/>
    <w:rsid w:val="005F7FF5"/>
    <w:rsid w:val="00600030"/>
    <w:rsid w:val="00600031"/>
    <w:rsid w:val="00600053"/>
    <w:rsid w:val="006000DE"/>
    <w:rsid w:val="006000E5"/>
    <w:rsid w:val="00600114"/>
    <w:rsid w:val="00600199"/>
    <w:rsid w:val="006001BD"/>
    <w:rsid w:val="006001BF"/>
    <w:rsid w:val="006001F8"/>
    <w:rsid w:val="00600210"/>
    <w:rsid w:val="0060027E"/>
    <w:rsid w:val="0060027F"/>
    <w:rsid w:val="00600282"/>
    <w:rsid w:val="00600286"/>
    <w:rsid w:val="006002DA"/>
    <w:rsid w:val="00600329"/>
    <w:rsid w:val="006003F2"/>
    <w:rsid w:val="00600450"/>
    <w:rsid w:val="00600529"/>
    <w:rsid w:val="00600549"/>
    <w:rsid w:val="0060057C"/>
    <w:rsid w:val="006005EA"/>
    <w:rsid w:val="00600639"/>
    <w:rsid w:val="00600656"/>
    <w:rsid w:val="00600665"/>
    <w:rsid w:val="0060069E"/>
    <w:rsid w:val="006006D2"/>
    <w:rsid w:val="0060075B"/>
    <w:rsid w:val="00600825"/>
    <w:rsid w:val="0060083B"/>
    <w:rsid w:val="0060085F"/>
    <w:rsid w:val="00600886"/>
    <w:rsid w:val="006008D7"/>
    <w:rsid w:val="00600933"/>
    <w:rsid w:val="00600974"/>
    <w:rsid w:val="006009A9"/>
    <w:rsid w:val="00600A49"/>
    <w:rsid w:val="00600ABA"/>
    <w:rsid w:val="00600B5F"/>
    <w:rsid w:val="00600B8B"/>
    <w:rsid w:val="00600BB8"/>
    <w:rsid w:val="00600BD8"/>
    <w:rsid w:val="00600BEB"/>
    <w:rsid w:val="00600C0E"/>
    <w:rsid w:val="00600CC2"/>
    <w:rsid w:val="00600D8A"/>
    <w:rsid w:val="00600DBB"/>
    <w:rsid w:val="00600DF9"/>
    <w:rsid w:val="00600E39"/>
    <w:rsid w:val="00600E72"/>
    <w:rsid w:val="00600F36"/>
    <w:rsid w:val="00600F60"/>
    <w:rsid w:val="00600FDE"/>
    <w:rsid w:val="00601002"/>
    <w:rsid w:val="00601043"/>
    <w:rsid w:val="0060106E"/>
    <w:rsid w:val="0060108B"/>
    <w:rsid w:val="0060110D"/>
    <w:rsid w:val="006011AC"/>
    <w:rsid w:val="00601215"/>
    <w:rsid w:val="0060128A"/>
    <w:rsid w:val="006012A3"/>
    <w:rsid w:val="006012B8"/>
    <w:rsid w:val="00601307"/>
    <w:rsid w:val="0060130F"/>
    <w:rsid w:val="006013BE"/>
    <w:rsid w:val="0060146C"/>
    <w:rsid w:val="00601490"/>
    <w:rsid w:val="0060153A"/>
    <w:rsid w:val="0060158C"/>
    <w:rsid w:val="006015AB"/>
    <w:rsid w:val="006015B7"/>
    <w:rsid w:val="00601633"/>
    <w:rsid w:val="006016FA"/>
    <w:rsid w:val="00601773"/>
    <w:rsid w:val="0060180C"/>
    <w:rsid w:val="0060187F"/>
    <w:rsid w:val="0060189B"/>
    <w:rsid w:val="006018C5"/>
    <w:rsid w:val="006018E7"/>
    <w:rsid w:val="006018E8"/>
    <w:rsid w:val="006018EA"/>
    <w:rsid w:val="00601904"/>
    <w:rsid w:val="00601937"/>
    <w:rsid w:val="00601964"/>
    <w:rsid w:val="00601AEF"/>
    <w:rsid w:val="00601B0E"/>
    <w:rsid w:val="00601B49"/>
    <w:rsid w:val="00601BB5"/>
    <w:rsid w:val="00601BC0"/>
    <w:rsid w:val="00601BC1"/>
    <w:rsid w:val="00601C5D"/>
    <w:rsid w:val="00601DA2"/>
    <w:rsid w:val="00601DAB"/>
    <w:rsid w:val="00601DB1"/>
    <w:rsid w:val="00601E77"/>
    <w:rsid w:val="00601ED5"/>
    <w:rsid w:val="00601EE7"/>
    <w:rsid w:val="00601F72"/>
    <w:rsid w:val="0060201E"/>
    <w:rsid w:val="006020B5"/>
    <w:rsid w:val="0060210B"/>
    <w:rsid w:val="006021A1"/>
    <w:rsid w:val="006021E4"/>
    <w:rsid w:val="00602251"/>
    <w:rsid w:val="00602268"/>
    <w:rsid w:val="00602290"/>
    <w:rsid w:val="00602293"/>
    <w:rsid w:val="006022A2"/>
    <w:rsid w:val="006022D0"/>
    <w:rsid w:val="006022D7"/>
    <w:rsid w:val="00602390"/>
    <w:rsid w:val="006023A6"/>
    <w:rsid w:val="006023E7"/>
    <w:rsid w:val="00602486"/>
    <w:rsid w:val="006025B2"/>
    <w:rsid w:val="006025BD"/>
    <w:rsid w:val="00602639"/>
    <w:rsid w:val="0060263A"/>
    <w:rsid w:val="00602655"/>
    <w:rsid w:val="0060265D"/>
    <w:rsid w:val="00602663"/>
    <w:rsid w:val="006026B9"/>
    <w:rsid w:val="0060277C"/>
    <w:rsid w:val="006027F6"/>
    <w:rsid w:val="00602825"/>
    <w:rsid w:val="006028DE"/>
    <w:rsid w:val="00602922"/>
    <w:rsid w:val="00602943"/>
    <w:rsid w:val="00602A08"/>
    <w:rsid w:val="00602AA6"/>
    <w:rsid w:val="00602AB5"/>
    <w:rsid w:val="00602AFE"/>
    <w:rsid w:val="00602B3A"/>
    <w:rsid w:val="00602C2D"/>
    <w:rsid w:val="00602C34"/>
    <w:rsid w:val="00602CC7"/>
    <w:rsid w:val="00602D46"/>
    <w:rsid w:val="00602D56"/>
    <w:rsid w:val="00602D73"/>
    <w:rsid w:val="00602DA0"/>
    <w:rsid w:val="00602DA8"/>
    <w:rsid w:val="00602DEE"/>
    <w:rsid w:val="00602E4E"/>
    <w:rsid w:val="00602EAC"/>
    <w:rsid w:val="00602EEF"/>
    <w:rsid w:val="00602F6E"/>
    <w:rsid w:val="00602FBF"/>
    <w:rsid w:val="0060307F"/>
    <w:rsid w:val="006030B5"/>
    <w:rsid w:val="006030C0"/>
    <w:rsid w:val="0060310B"/>
    <w:rsid w:val="0060319B"/>
    <w:rsid w:val="006031A6"/>
    <w:rsid w:val="006031C5"/>
    <w:rsid w:val="006031F4"/>
    <w:rsid w:val="00603301"/>
    <w:rsid w:val="0060339C"/>
    <w:rsid w:val="0060340B"/>
    <w:rsid w:val="0060346A"/>
    <w:rsid w:val="0060347D"/>
    <w:rsid w:val="00603488"/>
    <w:rsid w:val="006034AB"/>
    <w:rsid w:val="006034B1"/>
    <w:rsid w:val="006034C5"/>
    <w:rsid w:val="006035F3"/>
    <w:rsid w:val="00603613"/>
    <w:rsid w:val="0060361B"/>
    <w:rsid w:val="00603645"/>
    <w:rsid w:val="006036F8"/>
    <w:rsid w:val="006037FB"/>
    <w:rsid w:val="006038CE"/>
    <w:rsid w:val="006038D1"/>
    <w:rsid w:val="006038F9"/>
    <w:rsid w:val="006038FC"/>
    <w:rsid w:val="0060392A"/>
    <w:rsid w:val="0060394B"/>
    <w:rsid w:val="00603A10"/>
    <w:rsid w:val="00603A19"/>
    <w:rsid w:val="00603A50"/>
    <w:rsid w:val="00603AEA"/>
    <w:rsid w:val="00603AF6"/>
    <w:rsid w:val="00603B0D"/>
    <w:rsid w:val="00603B7C"/>
    <w:rsid w:val="00603BB9"/>
    <w:rsid w:val="00603BBD"/>
    <w:rsid w:val="00603BD8"/>
    <w:rsid w:val="00603C09"/>
    <w:rsid w:val="00603C0D"/>
    <w:rsid w:val="00603C15"/>
    <w:rsid w:val="00603C73"/>
    <w:rsid w:val="00603CE8"/>
    <w:rsid w:val="00603D33"/>
    <w:rsid w:val="00603DA7"/>
    <w:rsid w:val="00603EEE"/>
    <w:rsid w:val="00603F2B"/>
    <w:rsid w:val="00603F2C"/>
    <w:rsid w:val="0060400C"/>
    <w:rsid w:val="00604055"/>
    <w:rsid w:val="0060405B"/>
    <w:rsid w:val="00604088"/>
    <w:rsid w:val="00604184"/>
    <w:rsid w:val="00604257"/>
    <w:rsid w:val="00604309"/>
    <w:rsid w:val="00604332"/>
    <w:rsid w:val="006043E7"/>
    <w:rsid w:val="006043F5"/>
    <w:rsid w:val="00604441"/>
    <w:rsid w:val="0060450B"/>
    <w:rsid w:val="0060458D"/>
    <w:rsid w:val="00604600"/>
    <w:rsid w:val="0060463F"/>
    <w:rsid w:val="0060464A"/>
    <w:rsid w:val="00604676"/>
    <w:rsid w:val="006046CA"/>
    <w:rsid w:val="00604752"/>
    <w:rsid w:val="00604802"/>
    <w:rsid w:val="0060487E"/>
    <w:rsid w:val="00604A24"/>
    <w:rsid w:val="00604A48"/>
    <w:rsid w:val="00604A74"/>
    <w:rsid w:val="00604BC9"/>
    <w:rsid w:val="00604BD2"/>
    <w:rsid w:val="00604C03"/>
    <w:rsid w:val="00604C53"/>
    <w:rsid w:val="00604C5A"/>
    <w:rsid w:val="00604C8F"/>
    <w:rsid w:val="00604D7D"/>
    <w:rsid w:val="00604DE5"/>
    <w:rsid w:val="00604DEE"/>
    <w:rsid w:val="00604E16"/>
    <w:rsid w:val="00604E25"/>
    <w:rsid w:val="00604F03"/>
    <w:rsid w:val="00604FFC"/>
    <w:rsid w:val="00605075"/>
    <w:rsid w:val="006050A3"/>
    <w:rsid w:val="0060511E"/>
    <w:rsid w:val="00605129"/>
    <w:rsid w:val="0060514C"/>
    <w:rsid w:val="00605177"/>
    <w:rsid w:val="00605178"/>
    <w:rsid w:val="00605248"/>
    <w:rsid w:val="00605255"/>
    <w:rsid w:val="00605337"/>
    <w:rsid w:val="00605365"/>
    <w:rsid w:val="00605384"/>
    <w:rsid w:val="00605399"/>
    <w:rsid w:val="0060549E"/>
    <w:rsid w:val="0060554C"/>
    <w:rsid w:val="0060556D"/>
    <w:rsid w:val="00605587"/>
    <w:rsid w:val="006056F5"/>
    <w:rsid w:val="006057CE"/>
    <w:rsid w:val="006057E3"/>
    <w:rsid w:val="0060593B"/>
    <w:rsid w:val="00605970"/>
    <w:rsid w:val="00605995"/>
    <w:rsid w:val="006059DE"/>
    <w:rsid w:val="006059F6"/>
    <w:rsid w:val="00605A22"/>
    <w:rsid w:val="00605A93"/>
    <w:rsid w:val="00605A98"/>
    <w:rsid w:val="00605A9A"/>
    <w:rsid w:val="00605AB3"/>
    <w:rsid w:val="00605B17"/>
    <w:rsid w:val="00605B54"/>
    <w:rsid w:val="00605BBE"/>
    <w:rsid w:val="00605BD4"/>
    <w:rsid w:val="00605C58"/>
    <w:rsid w:val="00605CA7"/>
    <w:rsid w:val="00605CC1"/>
    <w:rsid w:val="00605CCC"/>
    <w:rsid w:val="00605CF7"/>
    <w:rsid w:val="00605D36"/>
    <w:rsid w:val="00605D9B"/>
    <w:rsid w:val="00605F24"/>
    <w:rsid w:val="00605F8C"/>
    <w:rsid w:val="00605FC9"/>
    <w:rsid w:val="00605FFA"/>
    <w:rsid w:val="00606114"/>
    <w:rsid w:val="006061B0"/>
    <w:rsid w:val="00606212"/>
    <w:rsid w:val="00606242"/>
    <w:rsid w:val="00606266"/>
    <w:rsid w:val="00606306"/>
    <w:rsid w:val="0060632A"/>
    <w:rsid w:val="00606378"/>
    <w:rsid w:val="0060638D"/>
    <w:rsid w:val="00606431"/>
    <w:rsid w:val="00606439"/>
    <w:rsid w:val="00606445"/>
    <w:rsid w:val="00606502"/>
    <w:rsid w:val="00606586"/>
    <w:rsid w:val="006065BC"/>
    <w:rsid w:val="006065BF"/>
    <w:rsid w:val="006065CC"/>
    <w:rsid w:val="006066F3"/>
    <w:rsid w:val="006067BF"/>
    <w:rsid w:val="006067F7"/>
    <w:rsid w:val="0060687F"/>
    <w:rsid w:val="006068C8"/>
    <w:rsid w:val="0060695A"/>
    <w:rsid w:val="00606A27"/>
    <w:rsid w:val="00606A40"/>
    <w:rsid w:val="00606A8D"/>
    <w:rsid w:val="00606B73"/>
    <w:rsid w:val="00606BA3"/>
    <w:rsid w:val="00606BD4"/>
    <w:rsid w:val="00606C7A"/>
    <w:rsid w:val="00606C89"/>
    <w:rsid w:val="00606C9C"/>
    <w:rsid w:val="00606D0B"/>
    <w:rsid w:val="00606D68"/>
    <w:rsid w:val="00606DCE"/>
    <w:rsid w:val="00606DFB"/>
    <w:rsid w:val="00606F87"/>
    <w:rsid w:val="00607093"/>
    <w:rsid w:val="0060709E"/>
    <w:rsid w:val="0060710C"/>
    <w:rsid w:val="0060710D"/>
    <w:rsid w:val="006072DB"/>
    <w:rsid w:val="006073A2"/>
    <w:rsid w:val="006073FF"/>
    <w:rsid w:val="00607443"/>
    <w:rsid w:val="00607460"/>
    <w:rsid w:val="00607465"/>
    <w:rsid w:val="006074EE"/>
    <w:rsid w:val="00607546"/>
    <w:rsid w:val="006075A4"/>
    <w:rsid w:val="006075ED"/>
    <w:rsid w:val="0060761C"/>
    <w:rsid w:val="00607633"/>
    <w:rsid w:val="0060764A"/>
    <w:rsid w:val="0060767B"/>
    <w:rsid w:val="0060768F"/>
    <w:rsid w:val="0060770D"/>
    <w:rsid w:val="00607712"/>
    <w:rsid w:val="00607742"/>
    <w:rsid w:val="00607767"/>
    <w:rsid w:val="0060776D"/>
    <w:rsid w:val="0060777D"/>
    <w:rsid w:val="006077C9"/>
    <w:rsid w:val="00607857"/>
    <w:rsid w:val="00607872"/>
    <w:rsid w:val="00607915"/>
    <w:rsid w:val="0060793A"/>
    <w:rsid w:val="0060799F"/>
    <w:rsid w:val="006079A6"/>
    <w:rsid w:val="006079C9"/>
    <w:rsid w:val="006079F7"/>
    <w:rsid w:val="00607A33"/>
    <w:rsid w:val="00607A6F"/>
    <w:rsid w:val="00607AE2"/>
    <w:rsid w:val="00607B34"/>
    <w:rsid w:val="00607B44"/>
    <w:rsid w:val="00607B73"/>
    <w:rsid w:val="00607BD0"/>
    <w:rsid w:val="00607C97"/>
    <w:rsid w:val="00607D23"/>
    <w:rsid w:val="00607D24"/>
    <w:rsid w:val="00607DC4"/>
    <w:rsid w:val="00607EA6"/>
    <w:rsid w:val="00607EC0"/>
    <w:rsid w:val="00607F14"/>
    <w:rsid w:val="00607F5A"/>
    <w:rsid w:val="00607FDB"/>
    <w:rsid w:val="00610045"/>
    <w:rsid w:val="0061011F"/>
    <w:rsid w:val="00610120"/>
    <w:rsid w:val="006102B2"/>
    <w:rsid w:val="0061040B"/>
    <w:rsid w:val="0061040D"/>
    <w:rsid w:val="0061042F"/>
    <w:rsid w:val="00610448"/>
    <w:rsid w:val="00610620"/>
    <w:rsid w:val="00610626"/>
    <w:rsid w:val="00610640"/>
    <w:rsid w:val="00610647"/>
    <w:rsid w:val="00610656"/>
    <w:rsid w:val="00610687"/>
    <w:rsid w:val="00610689"/>
    <w:rsid w:val="0061071C"/>
    <w:rsid w:val="006107C7"/>
    <w:rsid w:val="00610875"/>
    <w:rsid w:val="0061088F"/>
    <w:rsid w:val="0061092D"/>
    <w:rsid w:val="0061095C"/>
    <w:rsid w:val="0061096F"/>
    <w:rsid w:val="006109EA"/>
    <w:rsid w:val="00610B3E"/>
    <w:rsid w:val="00610BCA"/>
    <w:rsid w:val="00610BD3"/>
    <w:rsid w:val="00610C19"/>
    <w:rsid w:val="00610C31"/>
    <w:rsid w:val="00610C6E"/>
    <w:rsid w:val="00610DD5"/>
    <w:rsid w:val="00610E49"/>
    <w:rsid w:val="00610ED2"/>
    <w:rsid w:val="00610F8D"/>
    <w:rsid w:val="00611119"/>
    <w:rsid w:val="0061115E"/>
    <w:rsid w:val="006111B4"/>
    <w:rsid w:val="00611268"/>
    <w:rsid w:val="006112FC"/>
    <w:rsid w:val="00611389"/>
    <w:rsid w:val="006113F6"/>
    <w:rsid w:val="006113F9"/>
    <w:rsid w:val="0061143C"/>
    <w:rsid w:val="00611460"/>
    <w:rsid w:val="0061152E"/>
    <w:rsid w:val="0061157B"/>
    <w:rsid w:val="006115B8"/>
    <w:rsid w:val="006115C0"/>
    <w:rsid w:val="0061174A"/>
    <w:rsid w:val="00611807"/>
    <w:rsid w:val="00611813"/>
    <w:rsid w:val="00611841"/>
    <w:rsid w:val="00611858"/>
    <w:rsid w:val="0061186A"/>
    <w:rsid w:val="00611924"/>
    <w:rsid w:val="0061199A"/>
    <w:rsid w:val="00611A57"/>
    <w:rsid w:val="00611A94"/>
    <w:rsid w:val="00611ACB"/>
    <w:rsid w:val="00611AD0"/>
    <w:rsid w:val="00611B39"/>
    <w:rsid w:val="00611BEE"/>
    <w:rsid w:val="00611C16"/>
    <w:rsid w:val="00611C40"/>
    <w:rsid w:val="00611C60"/>
    <w:rsid w:val="00611C82"/>
    <w:rsid w:val="00611CC4"/>
    <w:rsid w:val="00611CFC"/>
    <w:rsid w:val="00611D01"/>
    <w:rsid w:val="00611D2B"/>
    <w:rsid w:val="00611DA7"/>
    <w:rsid w:val="00611DB1"/>
    <w:rsid w:val="00611DE4"/>
    <w:rsid w:val="00611E02"/>
    <w:rsid w:val="00611E47"/>
    <w:rsid w:val="00611E4A"/>
    <w:rsid w:val="00611ED4"/>
    <w:rsid w:val="00611EEC"/>
    <w:rsid w:val="00611F56"/>
    <w:rsid w:val="00611FA1"/>
    <w:rsid w:val="00612010"/>
    <w:rsid w:val="00612029"/>
    <w:rsid w:val="00612045"/>
    <w:rsid w:val="00612098"/>
    <w:rsid w:val="006120A9"/>
    <w:rsid w:val="006120E5"/>
    <w:rsid w:val="006120FD"/>
    <w:rsid w:val="0061210C"/>
    <w:rsid w:val="0061212B"/>
    <w:rsid w:val="006121B1"/>
    <w:rsid w:val="006121E9"/>
    <w:rsid w:val="00612255"/>
    <w:rsid w:val="0061225C"/>
    <w:rsid w:val="0061226E"/>
    <w:rsid w:val="006122DE"/>
    <w:rsid w:val="00612366"/>
    <w:rsid w:val="006123B0"/>
    <w:rsid w:val="006123B3"/>
    <w:rsid w:val="00612414"/>
    <w:rsid w:val="00612423"/>
    <w:rsid w:val="00612437"/>
    <w:rsid w:val="00612452"/>
    <w:rsid w:val="00612455"/>
    <w:rsid w:val="00612531"/>
    <w:rsid w:val="00612572"/>
    <w:rsid w:val="0061259D"/>
    <w:rsid w:val="0061261A"/>
    <w:rsid w:val="00612632"/>
    <w:rsid w:val="006126A3"/>
    <w:rsid w:val="0061275F"/>
    <w:rsid w:val="006127A8"/>
    <w:rsid w:val="006127B5"/>
    <w:rsid w:val="006127D2"/>
    <w:rsid w:val="006128AC"/>
    <w:rsid w:val="006128B8"/>
    <w:rsid w:val="006128EC"/>
    <w:rsid w:val="0061290C"/>
    <w:rsid w:val="0061291B"/>
    <w:rsid w:val="00612923"/>
    <w:rsid w:val="00612953"/>
    <w:rsid w:val="006129B3"/>
    <w:rsid w:val="006129BD"/>
    <w:rsid w:val="006129E1"/>
    <w:rsid w:val="00612A0F"/>
    <w:rsid w:val="00612A20"/>
    <w:rsid w:val="00612A85"/>
    <w:rsid w:val="00612AFB"/>
    <w:rsid w:val="00612B69"/>
    <w:rsid w:val="00612B72"/>
    <w:rsid w:val="00612B7F"/>
    <w:rsid w:val="00612B85"/>
    <w:rsid w:val="00612CD2"/>
    <w:rsid w:val="00612E6E"/>
    <w:rsid w:val="00612E86"/>
    <w:rsid w:val="00612EB8"/>
    <w:rsid w:val="00612EEC"/>
    <w:rsid w:val="00612F0B"/>
    <w:rsid w:val="00612F0E"/>
    <w:rsid w:val="00612F1B"/>
    <w:rsid w:val="00612F4A"/>
    <w:rsid w:val="00612F9F"/>
    <w:rsid w:val="00612FD2"/>
    <w:rsid w:val="00613067"/>
    <w:rsid w:val="006130A1"/>
    <w:rsid w:val="006130BD"/>
    <w:rsid w:val="006130CB"/>
    <w:rsid w:val="0061313C"/>
    <w:rsid w:val="00613147"/>
    <w:rsid w:val="0061315F"/>
    <w:rsid w:val="006131ED"/>
    <w:rsid w:val="00613220"/>
    <w:rsid w:val="006132AD"/>
    <w:rsid w:val="006132E1"/>
    <w:rsid w:val="006132FB"/>
    <w:rsid w:val="0061332C"/>
    <w:rsid w:val="00613355"/>
    <w:rsid w:val="00613386"/>
    <w:rsid w:val="006133BF"/>
    <w:rsid w:val="006133C2"/>
    <w:rsid w:val="006133CF"/>
    <w:rsid w:val="006133F4"/>
    <w:rsid w:val="00613417"/>
    <w:rsid w:val="00613459"/>
    <w:rsid w:val="006134C3"/>
    <w:rsid w:val="006134E5"/>
    <w:rsid w:val="00613600"/>
    <w:rsid w:val="00613671"/>
    <w:rsid w:val="00613690"/>
    <w:rsid w:val="006136A9"/>
    <w:rsid w:val="006136B2"/>
    <w:rsid w:val="00613798"/>
    <w:rsid w:val="006137B5"/>
    <w:rsid w:val="0061384A"/>
    <w:rsid w:val="00613934"/>
    <w:rsid w:val="00613983"/>
    <w:rsid w:val="00613984"/>
    <w:rsid w:val="006139CF"/>
    <w:rsid w:val="006139F7"/>
    <w:rsid w:val="00613A02"/>
    <w:rsid w:val="00613AA1"/>
    <w:rsid w:val="00613B56"/>
    <w:rsid w:val="00613C80"/>
    <w:rsid w:val="00613C86"/>
    <w:rsid w:val="00613CDB"/>
    <w:rsid w:val="00613D38"/>
    <w:rsid w:val="00613D72"/>
    <w:rsid w:val="00613DE6"/>
    <w:rsid w:val="00613E4E"/>
    <w:rsid w:val="00613FF8"/>
    <w:rsid w:val="0061408E"/>
    <w:rsid w:val="006140D4"/>
    <w:rsid w:val="006140EE"/>
    <w:rsid w:val="00614188"/>
    <w:rsid w:val="006141CE"/>
    <w:rsid w:val="00614222"/>
    <w:rsid w:val="006142A9"/>
    <w:rsid w:val="006142EF"/>
    <w:rsid w:val="0061438B"/>
    <w:rsid w:val="006143BB"/>
    <w:rsid w:val="00614415"/>
    <w:rsid w:val="0061447F"/>
    <w:rsid w:val="0061454B"/>
    <w:rsid w:val="0061454D"/>
    <w:rsid w:val="00614578"/>
    <w:rsid w:val="00614598"/>
    <w:rsid w:val="0061459C"/>
    <w:rsid w:val="006145EA"/>
    <w:rsid w:val="00614646"/>
    <w:rsid w:val="00614662"/>
    <w:rsid w:val="006147A4"/>
    <w:rsid w:val="006147AD"/>
    <w:rsid w:val="00614814"/>
    <w:rsid w:val="006148A4"/>
    <w:rsid w:val="006148AB"/>
    <w:rsid w:val="006148C7"/>
    <w:rsid w:val="006148DC"/>
    <w:rsid w:val="00614914"/>
    <w:rsid w:val="00614A4F"/>
    <w:rsid w:val="00614AB4"/>
    <w:rsid w:val="00614AE0"/>
    <w:rsid w:val="00614AE3"/>
    <w:rsid w:val="00614B37"/>
    <w:rsid w:val="00614B99"/>
    <w:rsid w:val="00614BDC"/>
    <w:rsid w:val="00614C55"/>
    <w:rsid w:val="00614C63"/>
    <w:rsid w:val="00614D62"/>
    <w:rsid w:val="00614D94"/>
    <w:rsid w:val="00614DA8"/>
    <w:rsid w:val="00614DE1"/>
    <w:rsid w:val="00614DF5"/>
    <w:rsid w:val="00614E0D"/>
    <w:rsid w:val="00614E5C"/>
    <w:rsid w:val="00614EA7"/>
    <w:rsid w:val="00614F08"/>
    <w:rsid w:val="00614FCB"/>
    <w:rsid w:val="00615010"/>
    <w:rsid w:val="0061501E"/>
    <w:rsid w:val="00615051"/>
    <w:rsid w:val="00615052"/>
    <w:rsid w:val="00615060"/>
    <w:rsid w:val="006150D4"/>
    <w:rsid w:val="00615144"/>
    <w:rsid w:val="00615148"/>
    <w:rsid w:val="00615163"/>
    <w:rsid w:val="006151F3"/>
    <w:rsid w:val="0061526E"/>
    <w:rsid w:val="006152AF"/>
    <w:rsid w:val="00615339"/>
    <w:rsid w:val="00615355"/>
    <w:rsid w:val="0061537E"/>
    <w:rsid w:val="006153BB"/>
    <w:rsid w:val="00615458"/>
    <w:rsid w:val="006154E0"/>
    <w:rsid w:val="00615566"/>
    <w:rsid w:val="006155E4"/>
    <w:rsid w:val="0061562B"/>
    <w:rsid w:val="00615652"/>
    <w:rsid w:val="00615699"/>
    <w:rsid w:val="006156A3"/>
    <w:rsid w:val="00615798"/>
    <w:rsid w:val="00615805"/>
    <w:rsid w:val="00615878"/>
    <w:rsid w:val="0061595E"/>
    <w:rsid w:val="00615A68"/>
    <w:rsid w:val="00615AA4"/>
    <w:rsid w:val="00615AB7"/>
    <w:rsid w:val="00615B77"/>
    <w:rsid w:val="00615C9B"/>
    <w:rsid w:val="00615CCD"/>
    <w:rsid w:val="00615CEE"/>
    <w:rsid w:val="00615DC5"/>
    <w:rsid w:val="00615E3F"/>
    <w:rsid w:val="00615E93"/>
    <w:rsid w:val="00615EC3"/>
    <w:rsid w:val="00615ED9"/>
    <w:rsid w:val="00615F0C"/>
    <w:rsid w:val="00615F1C"/>
    <w:rsid w:val="00615FA9"/>
    <w:rsid w:val="00615FAC"/>
    <w:rsid w:val="00615FC8"/>
    <w:rsid w:val="0061601B"/>
    <w:rsid w:val="0061604F"/>
    <w:rsid w:val="00616076"/>
    <w:rsid w:val="0061608E"/>
    <w:rsid w:val="006160AB"/>
    <w:rsid w:val="006160C8"/>
    <w:rsid w:val="006162F9"/>
    <w:rsid w:val="00616307"/>
    <w:rsid w:val="00616313"/>
    <w:rsid w:val="00616397"/>
    <w:rsid w:val="0061646E"/>
    <w:rsid w:val="006164DF"/>
    <w:rsid w:val="006165FA"/>
    <w:rsid w:val="006165FB"/>
    <w:rsid w:val="00616625"/>
    <w:rsid w:val="006166D8"/>
    <w:rsid w:val="006167A5"/>
    <w:rsid w:val="006167DB"/>
    <w:rsid w:val="006167F2"/>
    <w:rsid w:val="00616805"/>
    <w:rsid w:val="0061684E"/>
    <w:rsid w:val="00616879"/>
    <w:rsid w:val="00616896"/>
    <w:rsid w:val="006168DE"/>
    <w:rsid w:val="006168F7"/>
    <w:rsid w:val="00616987"/>
    <w:rsid w:val="006169F5"/>
    <w:rsid w:val="00616A01"/>
    <w:rsid w:val="00616A11"/>
    <w:rsid w:val="00616A49"/>
    <w:rsid w:val="00616A9E"/>
    <w:rsid w:val="00616AB4"/>
    <w:rsid w:val="00616AD6"/>
    <w:rsid w:val="00616BB4"/>
    <w:rsid w:val="00616C50"/>
    <w:rsid w:val="00616C90"/>
    <w:rsid w:val="00616CCB"/>
    <w:rsid w:val="00616CEC"/>
    <w:rsid w:val="00616D2A"/>
    <w:rsid w:val="00616DA3"/>
    <w:rsid w:val="00616DFF"/>
    <w:rsid w:val="00616E5D"/>
    <w:rsid w:val="00616E6E"/>
    <w:rsid w:val="00616E7A"/>
    <w:rsid w:val="00616EA4"/>
    <w:rsid w:val="00616ED5"/>
    <w:rsid w:val="00616EEF"/>
    <w:rsid w:val="00616F21"/>
    <w:rsid w:val="00616F79"/>
    <w:rsid w:val="00616F7A"/>
    <w:rsid w:val="00616F82"/>
    <w:rsid w:val="00616F99"/>
    <w:rsid w:val="00616FCD"/>
    <w:rsid w:val="006170C3"/>
    <w:rsid w:val="006170C5"/>
    <w:rsid w:val="0061711A"/>
    <w:rsid w:val="0061714D"/>
    <w:rsid w:val="0061716E"/>
    <w:rsid w:val="006171DA"/>
    <w:rsid w:val="006171F5"/>
    <w:rsid w:val="0061721D"/>
    <w:rsid w:val="0061722A"/>
    <w:rsid w:val="0061723A"/>
    <w:rsid w:val="0061730A"/>
    <w:rsid w:val="00617312"/>
    <w:rsid w:val="0061731D"/>
    <w:rsid w:val="0061733B"/>
    <w:rsid w:val="0061735B"/>
    <w:rsid w:val="006173A5"/>
    <w:rsid w:val="006173B4"/>
    <w:rsid w:val="00617433"/>
    <w:rsid w:val="00617483"/>
    <w:rsid w:val="006174A0"/>
    <w:rsid w:val="006174AF"/>
    <w:rsid w:val="006174C5"/>
    <w:rsid w:val="006174C9"/>
    <w:rsid w:val="006174F6"/>
    <w:rsid w:val="0061751D"/>
    <w:rsid w:val="00617522"/>
    <w:rsid w:val="006175E8"/>
    <w:rsid w:val="00617605"/>
    <w:rsid w:val="00617689"/>
    <w:rsid w:val="006176DC"/>
    <w:rsid w:val="006177AE"/>
    <w:rsid w:val="006177CD"/>
    <w:rsid w:val="00617890"/>
    <w:rsid w:val="0061795C"/>
    <w:rsid w:val="00617A3E"/>
    <w:rsid w:val="00617A40"/>
    <w:rsid w:val="00617A81"/>
    <w:rsid w:val="00617AD7"/>
    <w:rsid w:val="00617B18"/>
    <w:rsid w:val="00617B5C"/>
    <w:rsid w:val="00617B85"/>
    <w:rsid w:val="00617C50"/>
    <w:rsid w:val="00617CBD"/>
    <w:rsid w:val="00617CEA"/>
    <w:rsid w:val="00617D5D"/>
    <w:rsid w:val="00617D8E"/>
    <w:rsid w:val="00617DA5"/>
    <w:rsid w:val="00617DD0"/>
    <w:rsid w:val="00617E28"/>
    <w:rsid w:val="00617FC9"/>
    <w:rsid w:val="00617FF2"/>
    <w:rsid w:val="0062009F"/>
    <w:rsid w:val="006200CA"/>
    <w:rsid w:val="00620118"/>
    <w:rsid w:val="00620195"/>
    <w:rsid w:val="00620231"/>
    <w:rsid w:val="00620290"/>
    <w:rsid w:val="006202D8"/>
    <w:rsid w:val="00620342"/>
    <w:rsid w:val="00620468"/>
    <w:rsid w:val="0062046D"/>
    <w:rsid w:val="00620530"/>
    <w:rsid w:val="0062054B"/>
    <w:rsid w:val="0062056F"/>
    <w:rsid w:val="00620584"/>
    <w:rsid w:val="006205B9"/>
    <w:rsid w:val="006205CB"/>
    <w:rsid w:val="00620637"/>
    <w:rsid w:val="00620655"/>
    <w:rsid w:val="0062068E"/>
    <w:rsid w:val="006206C8"/>
    <w:rsid w:val="006206DD"/>
    <w:rsid w:val="00620702"/>
    <w:rsid w:val="00620735"/>
    <w:rsid w:val="0062073F"/>
    <w:rsid w:val="00620770"/>
    <w:rsid w:val="00620791"/>
    <w:rsid w:val="00620852"/>
    <w:rsid w:val="0062085B"/>
    <w:rsid w:val="006208B0"/>
    <w:rsid w:val="006208D9"/>
    <w:rsid w:val="006208F0"/>
    <w:rsid w:val="006208F9"/>
    <w:rsid w:val="00620923"/>
    <w:rsid w:val="00620955"/>
    <w:rsid w:val="0062095F"/>
    <w:rsid w:val="00620A0D"/>
    <w:rsid w:val="00620AE4"/>
    <w:rsid w:val="00620CE0"/>
    <w:rsid w:val="00620DBE"/>
    <w:rsid w:val="00620DF7"/>
    <w:rsid w:val="00620E36"/>
    <w:rsid w:val="00620F58"/>
    <w:rsid w:val="00621029"/>
    <w:rsid w:val="00621052"/>
    <w:rsid w:val="00621093"/>
    <w:rsid w:val="0062109E"/>
    <w:rsid w:val="006210A1"/>
    <w:rsid w:val="006210B8"/>
    <w:rsid w:val="0062112F"/>
    <w:rsid w:val="00621182"/>
    <w:rsid w:val="00621187"/>
    <w:rsid w:val="006211AC"/>
    <w:rsid w:val="006211AD"/>
    <w:rsid w:val="00621224"/>
    <w:rsid w:val="00621236"/>
    <w:rsid w:val="006212D2"/>
    <w:rsid w:val="006212D3"/>
    <w:rsid w:val="006212EC"/>
    <w:rsid w:val="0062132B"/>
    <w:rsid w:val="00621395"/>
    <w:rsid w:val="006213CA"/>
    <w:rsid w:val="006213E2"/>
    <w:rsid w:val="00621475"/>
    <w:rsid w:val="006214BC"/>
    <w:rsid w:val="006214F4"/>
    <w:rsid w:val="0062159D"/>
    <w:rsid w:val="006215AF"/>
    <w:rsid w:val="006215CF"/>
    <w:rsid w:val="00621602"/>
    <w:rsid w:val="0062162A"/>
    <w:rsid w:val="0062163A"/>
    <w:rsid w:val="00621644"/>
    <w:rsid w:val="0062173B"/>
    <w:rsid w:val="0062178F"/>
    <w:rsid w:val="006218F0"/>
    <w:rsid w:val="00621A2E"/>
    <w:rsid w:val="00621A35"/>
    <w:rsid w:val="00621A39"/>
    <w:rsid w:val="00621A5D"/>
    <w:rsid w:val="00621AD9"/>
    <w:rsid w:val="00621AF2"/>
    <w:rsid w:val="00621B0A"/>
    <w:rsid w:val="00621B9A"/>
    <w:rsid w:val="00621BC8"/>
    <w:rsid w:val="00621C1F"/>
    <w:rsid w:val="00621C4A"/>
    <w:rsid w:val="00621C4B"/>
    <w:rsid w:val="00621C86"/>
    <w:rsid w:val="00621CD1"/>
    <w:rsid w:val="00621D08"/>
    <w:rsid w:val="00621D97"/>
    <w:rsid w:val="00621DB9"/>
    <w:rsid w:val="00621E3F"/>
    <w:rsid w:val="00621E95"/>
    <w:rsid w:val="00621EFB"/>
    <w:rsid w:val="00621EFF"/>
    <w:rsid w:val="00621FBF"/>
    <w:rsid w:val="00622040"/>
    <w:rsid w:val="006220BF"/>
    <w:rsid w:val="006220FA"/>
    <w:rsid w:val="006220FF"/>
    <w:rsid w:val="00622254"/>
    <w:rsid w:val="006222D5"/>
    <w:rsid w:val="006222D6"/>
    <w:rsid w:val="006222E8"/>
    <w:rsid w:val="0062234D"/>
    <w:rsid w:val="0062236A"/>
    <w:rsid w:val="006223A4"/>
    <w:rsid w:val="006224FE"/>
    <w:rsid w:val="0062253C"/>
    <w:rsid w:val="00622642"/>
    <w:rsid w:val="00622653"/>
    <w:rsid w:val="00622730"/>
    <w:rsid w:val="00622785"/>
    <w:rsid w:val="006227F8"/>
    <w:rsid w:val="006227FD"/>
    <w:rsid w:val="006227FE"/>
    <w:rsid w:val="0062282A"/>
    <w:rsid w:val="0062283C"/>
    <w:rsid w:val="0062286A"/>
    <w:rsid w:val="006228C0"/>
    <w:rsid w:val="006228E2"/>
    <w:rsid w:val="0062295F"/>
    <w:rsid w:val="0062296C"/>
    <w:rsid w:val="0062298A"/>
    <w:rsid w:val="006229C1"/>
    <w:rsid w:val="00622B13"/>
    <w:rsid w:val="00622B38"/>
    <w:rsid w:val="00622B46"/>
    <w:rsid w:val="00622BDE"/>
    <w:rsid w:val="00622BED"/>
    <w:rsid w:val="00622C1E"/>
    <w:rsid w:val="00622CEA"/>
    <w:rsid w:val="00622CF5"/>
    <w:rsid w:val="00622D4C"/>
    <w:rsid w:val="00622DD0"/>
    <w:rsid w:val="00622E73"/>
    <w:rsid w:val="00622E7B"/>
    <w:rsid w:val="00622F43"/>
    <w:rsid w:val="00622F76"/>
    <w:rsid w:val="00622F8F"/>
    <w:rsid w:val="00622FD3"/>
    <w:rsid w:val="00623112"/>
    <w:rsid w:val="0062313E"/>
    <w:rsid w:val="00623199"/>
    <w:rsid w:val="006231EC"/>
    <w:rsid w:val="00623215"/>
    <w:rsid w:val="0062328C"/>
    <w:rsid w:val="0062329F"/>
    <w:rsid w:val="00623305"/>
    <w:rsid w:val="00623329"/>
    <w:rsid w:val="0062337A"/>
    <w:rsid w:val="006233B7"/>
    <w:rsid w:val="006233C3"/>
    <w:rsid w:val="006233E9"/>
    <w:rsid w:val="00623402"/>
    <w:rsid w:val="00623414"/>
    <w:rsid w:val="00623421"/>
    <w:rsid w:val="00623517"/>
    <w:rsid w:val="0062351B"/>
    <w:rsid w:val="0062354B"/>
    <w:rsid w:val="006235BE"/>
    <w:rsid w:val="00623606"/>
    <w:rsid w:val="0062378C"/>
    <w:rsid w:val="006237E4"/>
    <w:rsid w:val="0062388D"/>
    <w:rsid w:val="00623901"/>
    <w:rsid w:val="00623930"/>
    <w:rsid w:val="00623950"/>
    <w:rsid w:val="00623A31"/>
    <w:rsid w:val="00623A56"/>
    <w:rsid w:val="00623A7D"/>
    <w:rsid w:val="00623B6A"/>
    <w:rsid w:val="00623B75"/>
    <w:rsid w:val="00623C01"/>
    <w:rsid w:val="00623C85"/>
    <w:rsid w:val="00623CA9"/>
    <w:rsid w:val="00623CAD"/>
    <w:rsid w:val="00623D16"/>
    <w:rsid w:val="00623D32"/>
    <w:rsid w:val="00623D69"/>
    <w:rsid w:val="00623E00"/>
    <w:rsid w:val="00623E0C"/>
    <w:rsid w:val="00623E5C"/>
    <w:rsid w:val="00623EB0"/>
    <w:rsid w:val="00623FFA"/>
    <w:rsid w:val="0062403B"/>
    <w:rsid w:val="0062405E"/>
    <w:rsid w:val="00624067"/>
    <w:rsid w:val="006240F9"/>
    <w:rsid w:val="00624141"/>
    <w:rsid w:val="00624222"/>
    <w:rsid w:val="00624227"/>
    <w:rsid w:val="0062422B"/>
    <w:rsid w:val="00624231"/>
    <w:rsid w:val="0062426A"/>
    <w:rsid w:val="0062429A"/>
    <w:rsid w:val="006243D9"/>
    <w:rsid w:val="006243E3"/>
    <w:rsid w:val="006244B7"/>
    <w:rsid w:val="006244C6"/>
    <w:rsid w:val="0062452D"/>
    <w:rsid w:val="00624553"/>
    <w:rsid w:val="0062456E"/>
    <w:rsid w:val="006245A2"/>
    <w:rsid w:val="006245CC"/>
    <w:rsid w:val="00624628"/>
    <w:rsid w:val="0062474D"/>
    <w:rsid w:val="006247B5"/>
    <w:rsid w:val="00624A23"/>
    <w:rsid w:val="00624AE9"/>
    <w:rsid w:val="00624B19"/>
    <w:rsid w:val="00624BBF"/>
    <w:rsid w:val="00624CAA"/>
    <w:rsid w:val="00624DDA"/>
    <w:rsid w:val="00624E10"/>
    <w:rsid w:val="00624E32"/>
    <w:rsid w:val="00624EDF"/>
    <w:rsid w:val="00624EF5"/>
    <w:rsid w:val="00624F61"/>
    <w:rsid w:val="00624FBA"/>
    <w:rsid w:val="00625009"/>
    <w:rsid w:val="00625060"/>
    <w:rsid w:val="00625109"/>
    <w:rsid w:val="006251B3"/>
    <w:rsid w:val="006251D1"/>
    <w:rsid w:val="006251F6"/>
    <w:rsid w:val="00625211"/>
    <w:rsid w:val="00625239"/>
    <w:rsid w:val="0062525C"/>
    <w:rsid w:val="006252F1"/>
    <w:rsid w:val="00625313"/>
    <w:rsid w:val="0062531E"/>
    <w:rsid w:val="0062552D"/>
    <w:rsid w:val="006255E3"/>
    <w:rsid w:val="00625624"/>
    <w:rsid w:val="0062562A"/>
    <w:rsid w:val="00625636"/>
    <w:rsid w:val="0062563C"/>
    <w:rsid w:val="00625688"/>
    <w:rsid w:val="006256D7"/>
    <w:rsid w:val="006257A8"/>
    <w:rsid w:val="006257CB"/>
    <w:rsid w:val="0062582F"/>
    <w:rsid w:val="006258B8"/>
    <w:rsid w:val="00625956"/>
    <w:rsid w:val="0062597D"/>
    <w:rsid w:val="0062597E"/>
    <w:rsid w:val="0062598F"/>
    <w:rsid w:val="00625A2B"/>
    <w:rsid w:val="00625A81"/>
    <w:rsid w:val="00625A9E"/>
    <w:rsid w:val="00625AA9"/>
    <w:rsid w:val="00625AB2"/>
    <w:rsid w:val="00625B61"/>
    <w:rsid w:val="00625C56"/>
    <w:rsid w:val="00625D1E"/>
    <w:rsid w:val="00625D59"/>
    <w:rsid w:val="00625D71"/>
    <w:rsid w:val="00625E5D"/>
    <w:rsid w:val="00625EC7"/>
    <w:rsid w:val="00625ED1"/>
    <w:rsid w:val="00625F2C"/>
    <w:rsid w:val="00625F92"/>
    <w:rsid w:val="00625FD7"/>
    <w:rsid w:val="00626176"/>
    <w:rsid w:val="006261D7"/>
    <w:rsid w:val="006261DF"/>
    <w:rsid w:val="006262A2"/>
    <w:rsid w:val="006262C0"/>
    <w:rsid w:val="006263E5"/>
    <w:rsid w:val="0062646E"/>
    <w:rsid w:val="006264C8"/>
    <w:rsid w:val="006264C9"/>
    <w:rsid w:val="00626501"/>
    <w:rsid w:val="00626564"/>
    <w:rsid w:val="006265B8"/>
    <w:rsid w:val="006265EE"/>
    <w:rsid w:val="0062661D"/>
    <w:rsid w:val="0062662B"/>
    <w:rsid w:val="0062662C"/>
    <w:rsid w:val="006266F8"/>
    <w:rsid w:val="0062671F"/>
    <w:rsid w:val="00626739"/>
    <w:rsid w:val="00626741"/>
    <w:rsid w:val="006267CD"/>
    <w:rsid w:val="00626865"/>
    <w:rsid w:val="006268EB"/>
    <w:rsid w:val="006268FD"/>
    <w:rsid w:val="00626970"/>
    <w:rsid w:val="00626A4C"/>
    <w:rsid w:val="00626A5F"/>
    <w:rsid w:val="00626B56"/>
    <w:rsid w:val="00626B6A"/>
    <w:rsid w:val="00626B7F"/>
    <w:rsid w:val="00626B80"/>
    <w:rsid w:val="00626C5C"/>
    <w:rsid w:val="00626C77"/>
    <w:rsid w:val="00626CC1"/>
    <w:rsid w:val="00626CCD"/>
    <w:rsid w:val="00626CEB"/>
    <w:rsid w:val="00626CFB"/>
    <w:rsid w:val="00626DD2"/>
    <w:rsid w:val="00626E4D"/>
    <w:rsid w:val="00626E61"/>
    <w:rsid w:val="00626F34"/>
    <w:rsid w:val="00626FAF"/>
    <w:rsid w:val="00626FCA"/>
    <w:rsid w:val="00626FD1"/>
    <w:rsid w:val="00627058"/>
    <w:rsid w:val="00627068"/>
    <w:rsid w:val="0062707E"/>
    <w:rsid w:val="006270BB"/>
    <w:rsid w:val="00627211"/>
    <w:rsid w:val="0062725D"/>
    <w:rsid w:val="00627289"/>
    <w:rsid w:val="006272B9"/>
    <w:rsid w:val="00627378"/>
    <w:rsid w:val="006273A0"/>
    <w:rsid w:val="006273DE"/>
    <w:rsid w:val="006273F4"/>
    <w:rsid w:val="00627469"/>
    <w:rsid w:val="006274A8"/>
    <w:rsid w:val="006274E3"/>
    <w:rsid w:val="006274F5"/>
    <w:rsid w:val="00627509"/>
    <w:rsid w:val="00627533"/>
    <w:rsid w:val="0062754C"/>
    <w:rsid w:val="0062756A"/>
    <w:rsid w:val="00627577"/>
    <w:rsid w:val="00627637"/>
    <w:rsid w:val="0062766B"/>
    <w:rsid w:val="006276AD"/>
    <w:rsid w:val="00627774"/>
    <w:rsid w:val="0062777E"/>
    <w:rsid w:val="00627790"/>
    <w:rsid w:val="006277A2"/>
    <w:rsid w:val="006277F7"/>
    <w:rsid w:val="00627822"/>
    <w:rsid w:val="00627918"/>
    <w:rsid w:val="0062796D"/>
    <w:rsid w:val="006279CC"/>
    <w:rsid w:val="00627A9E"/>
    <w:rsid w:val="00627AAD"/>
    <w:rsid w:val="00627B69"/>
    <w:rsid w:val="00627BC9"/>
    <w:rsid w:val="00627C20"/>
    <w:rsid w:val="00627C40"/>
    <w:rsid w:val="00627C5B"/>
    <w:rsid w:val="00627C99"/>
    <w:rsid w:val="00627CF8"/>
    <w:rsid w:val="00627D00"/>
    <w:rsid w:val="00627D28"/>
    <w:rsid w:val="00627D9C"/>
    <w:rsid w:val="00627DF3"/>
    <w:rsid w:val="00627EF0"/>
    <w:rsid w:val="00627F0D"/>
    <w:rsid w:val="00627F2F"/>
    <w:rsid w:val="00627F42"/>
    <w:rsid w:val="00627F80"/>
    <w:rsid w:val="006300CC"/>
    <w:rsid w:val="006300DF"/>
    <w:rsid w:val="00630145"/>
    <w:rsid w:val="006301FB"/>
    <w:rsid w:val="00630289"/>
    <w:rsid w:val="006302D6"/>
    <w:rsid w:val="006302E5"/>
    <w:rsid w:val="006302E9"/>
    <w:rsid w:val="00630351"/>
    <w:rsid w:val="0063037A"/>
    <w:rsid w:val="006303F2"/>
    <w:rsid w:val="00630411"/>
    <w:rsid w:val="00630440"/>
    <w:rsid w:val="006304A7"/>
    <w:rsid w:val="006304F2"/>
    <w:rsid w:val="006304FE"/>
    <w:rsid w:val="006305CE"/>
    <w:rsid w:val="006305E3"/>
    <w:rsid w:val="00630601"/>
    <w:rsid w:val="006306F9"/>
    <w:rsid w:val="00630718"/>
    <w:rsid w:val="0063071D"/>
    <w:rsid w:val="0063073E"/>
    <w:rsid w:val="006307B4"/>
    <w:rsid w:val="00630805"/>
    <w:rsid w:val="0063082C"/>
    <w:rsid w:val="00630904"/>
    <w:rsid w:val="00630937"/>
    <w:rsid w:val="00630943"/>
    <w:rsid w:val="006309ED"/>
    <w:rsid w:val="00630A35"/>
    <w:rsid w:val="00630A84"/>
    <w:rsid w:val="00630AA2"/>
    <w:rsid w:val="00630AC2"/>
    <w:rsid w:val="00630AFC"/>
    <w:rsid w:val="00630B18"/>
    <w:rsid w:val="00630B41"/>
    <w:rsid w:val="00630B5F"/>
    <w:rsid w:val="00630B91"/>
    <w:rsid w:val="00630C33"/>
    <w:rsid w:val="00630C70"/>
    <w:rsid w:val="00630CC6"/>
    <w:rsid w:val="00630E7B"/>
    <w:rsid w:val="00630F45"/>
    <w:rsid w:val="00631037"/>
    <w:rsid w:val="0063103D"/>
    <w:rsid w:val="006310F9"/>
    <w:rsid w:val="0063111E"/>
    <w:rsid w:val="006311CF"/>
    <w:rsid w:val="00631241"/>
    <w:rsid w:val="0063125C"/>
    <w:rsid w:val="00631276"/>
    <w:rsid w:val="006312FA"/>
    <w:rsid w:val="00631437"/>
    <w:rsid w:val="00631467"/>
    <w:rsid w:val="006314A9"/>
    <w:rsid w:val="006314FC"/>
    <w:rsid w:val="0063156F"/>
    <w:rsid w:val="00631574"/>
    <w:rsid w:val="006315C5"/>
    <w:rsid w:val="006315D4"/>
    <w:rsid w:val="0063167B"/>
    <w:rsid w:val="006316D2"/>
    <w:rsid w:val="0063170C"/>
    <w:rsid w:val="006317C2"/>
    <w:rsid w:val="006317C5"/>
    <w:rsid w:val="006317F2"/>
    <w:rsid w:val="00631808"/>
    <w:rsid w:val="0063180B"/>
    <w:rsid w:val="0063187C"/>
    <w:rsid w:val="0063188A"/>
    <w:rsid w:val="006318A5"/>
    <w:rsid w:val="00631928"/>
    <w:rsid w:val="0063192F"/>
    <w:rsid w:val="00631A39"/>
    <w:rsid w:val="00631A52"/>
    <w:rsid w:val="00631A71"/>
    <w:rsid w:val="00631B72"/>
    <w:rsid w:val="00631B95"/>
    <w:rsid w:val="00631C3F"/>
    <w:rsid w:val="00631D8B"/>
    <w:rsid w:val="00631E54"/>
    <w:rsid w:val="00631E98"/>
    <w:rsid w:val="00631F98"/>
    <w:rsid w:val="006320CB"/>
    <w:rsid w:val="00632131"/>
    <w:rsid w:val="006321CA"/>
    <w:rsid w:val="0063225A"/>
    <w:rsid w:val="006322A8"/>
    <w:rsid w:val="006322B0"/>
    <w:rsid w:val="006322D8"/>
    <w:rsid w:val="0063239F"/>
    <w:rsid w:val="006323C3"/>
    <w:rsid w:val="006323D0"/>
    <w:rsid w:val="006323DA"/>
    <w:rsid w:val="00632401"/>
    <w:rsid w:val="00632425"/>
    <w:rsid w:val="0063245E"/>
    <w:rsid w:val="0063247F"/>
    <w:rsid w:val="00632485"/>
    <w:rsid w:val="006324FD"/>
    <w:rsid w:val="0063256B"/>
    <w:rsid w:val="00632571"/>
    <w:rsid w:val="006325D7"/>
    <w:rsid w:val="00632604"/>
    <w:rsid w:val="00632628"/>
    <w:rsid w:val="0063262B"/>
    <w:rsid w:val="0063266A"/>
    <w:rsid w:val="006326DE"/>
    <w:rsid w:val="006327EA"/>
    <w:rsid w:val="00632921"/>
    <w:rsid w:val="006329E7"/>
    <w:rsid w:val="00632AAA"/>
    <w:rsid w:val="00632B1A"/>
    <w:rsid w:val="00632B78"/>
    <w:rsid w:val="00632BAD"/>
    <w:rsid w:val="00632C29"/>
    <w:rsid w:val="00632C2C"/>
    <w:rsid w:val="00632CBF"/>
    <w:rsid w:val="00632D01"/>
    <w:rsid w:val="00632D64"/>
    <w:rsid w:val="00632D7B"/>
    <w:rsid w:val="00632D90"/>
    <w:rsid w:val="00632DE9"/>
    <w:rsid w:val="00632E93"/>
    <w:rsid w:val="00632EA1"/>
    <w:rsid w:val="00632F71"/>
    <w:rsid w:val="00632FF6"/>
    <w:rsid w:val="0063306A"/>
    <w:rsid w:val="006330A7"/>
    <w:rsid w:val="006330AE"/>
    <w:rsid w:val="00633137"/>
    <w:rsid w:val="006331D3"/>
    <w:rsid w:val="00633222"/>
    <w:rsid w:val="00633235"/>
    <w:rsid w:val="006332F3"/>
    <w:rsid w:val="0063337F"/>
    <w:rsid w:val="0063344E"/>
    <w:rsid w:val="0063347C"/>
    <w:rsid w:val="00633494"/>
    <w:rsid w:val="006334B2"/>
    <w:rsid w:val="006334C5"/>
    <w:rsid w:val="006334EE"/>
    <w:rsid w:val="006335AE"/>
    <w:rsid w:val="00633611"/>
    <w:rsid w:val="00633642"/>
    <w:rsid w:val="00633658"/>
    <w:rsid w:val="006336CB"/>
    <w:rsid w:val="006336E1"/>
    <w:rsid w:val="0063374D"/>
    <w:rsid w:val="00633778"/>
    <w:rsid w:val="006337C4"/>
    <w:rsid w:val="006338E1"/>
    <w:rsid w:val="006338EF"/>
    <w:rsid w:val="00633959"/>
    <w:rsid w:val="006339AE"/>
    <w:rsid w:val="006339E1"/>
    <w:rsid w:val="00633A37"/>
    <w:rsid w:val="00633A4A"/>
    <w:rsid w:val="00633AEF"/>
    <w:rsid w:val="00633B1A"/>
    <w:rsid w:val="00633B24"/>
    <w:rsid w:val="00633B5F"/>
    <w:rsid w:val="00633C90"/>
    <w:rsid w:val="00633CC1"/>
    <w:rsid w:val="00633D16"/>
    <w:rsid w:val="00633D80"/>
    <w:rsid w:val="00633DD3"/>
    <w:rsid w:val="00633DF8"/>
    <w:rsid w:val="00633E12"/>
    <w:rsid w:val="00633FA1"/>
    <w:rsid w:val="00633FDD"/>
    <w:rsid w:val="00634055"/>
    <w:rsid w:val="006340A7"/>
    <w:rsid w:val="006340C9"/>
    <w:rsid w:val="006340DF"/>
    <w:rsid w:val="0063416C"/>
    <w:rsid w:val="006341B4"/>
    <w:rsid w:val="00634266"/>
    <w:rsid w:val="006342B6"/>
    <w:rsid w:val="006342C6"/>
    <w:rsid w:val="0063431F"/>
    <w:rsid w:val="006343A3"/>
    <w:rsid w:val="006343CC"/>
    <w:rsid w:val="006345E0"/>
    <w:rsid w:val="006345EB"/>
    <w:rsid w:val="006345FA"/>
    <w:rsid w:val="006346D2"/>
    <w:rsid w:val="006346DD"/>
    <w:rsid w:val="0063478B"/>
    <w:rsid w:val="0063480B"/>
    <w:rsid w:val="00634820"/>
    <w:rsid w:val="006348A5"/>
    <w:rsid w:val="006348DC"/>
    <w:rsid w:val="00634995"/>
    <w:rsid w:val="006349BB"/>
    <w:rsid w:val="00634AE5"/>
    <w:rsid w:val="00634B70"/>
    <w:rsid w:val="00634BA9"/>
    <w:rsid w:val="00634BEC"/>
    <w:rsid w:val="00634BFD"/>
    <w:rsid w:val="00634C0B"/>
    <w:rsid w:val="00634CA1"/>
    <w:rsid w:val="00634D1F"/>
    <w:rsid w:val="00634D3C"/>
    <w:rsid w:val="00634D54"/>
    <w:rsid w:val="00634D5E"/>
    <w:rsid w:val="00634D61"/>
    <w:rsid w:val="00634D94"/>
    <w:rsid w:val="00634DD3"/>
    <w:rsid w:val="00634E52"/>
    <w:rsid w:val="00634E6E"/>
    <w:rsid w:val="00634E8B"/>
    <w:rsid w:val="00634F15"/>
    <w:rsid w:val="00634F25"/>
    <w:rsid w:val="00634F3E"/>
    <w:rsid w:val="00634F64"/>
    <w:rsid w:val="00634F85"/>
    <w:rsid w:val="00634F9B"/>
    <w:rsid w:val="0063500E"/>
    <w:rsid w:val="00635011"/>
    <w:rsid w:val="00635069"/>
    <w:rsid w:val="0063518E"/>
    <w:rsid w:val="006351AC"/>
    <w:rsid w:val="006351BB"/>
    <w:rsid w:val="00635214"/>
    <w:rsid w:val="006352A0"/>
    <w:rsid w:val="0063536A"/>
    <w:rsid w:val="006353A0"/>
    <w:rsid w:val="006353E8"/>
    <w:rsid w:val="006354A9"/>
    <w:rsid w:val="006354C9"/>
    <w:rsid w:val="006354E5"/>
    <w:rsid w:val="0063555B"/>
    <w:rsid w:val="00635575"/>
    <w:rsid w:val="00635605"/>
    <w:rsid w:val="0063566F"/>
    <w:rsid w:val="006356BF"/>
    <w:rsid w:val="006357C6"/>
    <w:rsid w:val="006357E1"/>
    <w:rsid w:val="00635875"/>
    <w:rsid w:val="00635876"/>
    <w:rsid w:val="00635881"/>
    <w:rsid w:val="00635899"/>
    <w:rsid w:val="006358E5"/>
    <w:rsid w:val="006358FA"/>
    <w:rsid w:val="00635971"/>
    <w:rsid w:val="006359DB"/>
    <w:rsid w:val="00635A0F"/>
    <w:rsid w:val="00635AA4"/>
    <w:rsid w:val="00635AC9"/>
    <w:rsid w:val="00635BA4"/>
    <w:rsid w:val="00635BAC"/>
    <w:rsid w:val="00635C70"/>
    <w:rsid w:val="00635CF9"/>
    <w:rsid w:val="00635D0A"/>
    <w:rsid w:val="00635E76"/>
    <w:rsid w:val="00635FC1"/>
    <w:rsid w:val="00635FF5"/>
    <w:rsid w:val="0063604D"/>
    <w:rsid w:val="0063606C"/>
    <w:rsid w:val="00636118"/>
    <w:rsid w:val="00636167"/>
    <w:rsid w:val="00636176"/>
    <w:rsid w:val="006361A6"/>
    <w:rsid w:val="006361F6"/>
    <w:rsid w:val="0063621E"/>
    <w:rsid w:val="0063624B"/>
    <w:rsid w:val="0063626F"/>
    <w:rsid w:val="006362F6"/>
    <w:rsid w:val="00636422"/>
    <w:rsid w:val="00636516"/>
    <w:rsid w:val="00636663"/>
    <w:rsid w:val="00636748"/>
    <w:rsid w:val="0063679B"/>
    <w:rsid w:val="006367B9"/>
    <w:rsid w:val="0063691F"/>
    <w:rsid w:val="00636981"/>
    <w:rsid w:val="00636991"/>
    <w:rsid w:val="006369A8"/>
    <w:rsid w:val="00636A1C"/>
    <w:rsid w:val="00636A39"/>
    <w:rsid w:val="00636A6D"/>
    <w:rsid w:val="00636AA6"/>
    <w:rsid w:val="00636AAE"/>
    <w:rsid w:val="00636AF0"/>
    <w:rsid w:val="00636B03"/>
    <w:rsid w:val="00636B35"/>
    <w:rsid w:val="00636B67"/>
    <w:rsid w:val="00636B85"/>
    <w:rsid w:val="00636BE8"/>
    <w:rsid w:val="00636CDA"/>
    <w:rsid w:val="00636D00"/>
    <w:rsid w:val="00636D0C"/>
    <w:rsid w:val="00636D5C"/>
    <w:rsid w:val="00636DB0"/>
    <w:rsid w:val="00636DFE"/>
    <w:rsid w:val="00636E1F"/>
    <w:rsid w:val="00636E63"/>
    <w:rsid w:val="00636E74"/>
    <w:rsid w:val="00636E8C"/>
    <w:rsid w:val="00636F17"/>
    <w:rsid w:val="00636F27"/>
    <w:rsid w:val="00636F62"/>
    <w:rsid w:val="00636F6C"/>
    <w:rsid w:val="00636FC6"/>
    <w:rsid w:val="00637011"/>
    <w:rsid w:val="0063702F"/>
    <w:rsid w:val="006370E1"/>
    <w:rsid w:val="006370FE"/>
    <w:rsid w:val="00637144"/>
    <w:rsid w:val="00637162"/>
    <w:rsid w:val="00637195"/>
    <w:rsid w:val="006371B4"/>
    <w:rsid w:val="00637259"/>
    <w:rsid w:val="006372B7"/>
    <w:rsid w:val="00637300"/>
    <w:rsid w:val="0063736B"/>
    <w:rsid w:val="006373BD"/>
    <w:rsid w:val="006374B1"/>
    <w:rsid w:val="006375F4"/>
    <w:rsid w:val="00637645"/>
    <w:rsid w:val="00637726"/>
    <w:rsid w:val="00637796"/>
    <w:rsid w:val="006377A0"/>
    <w:rsid w:val="006377C7"/>
    <w:rsid w:val="006377E0"/>
    <w:rsid w:val="0063782D"/>
    <w:rsid w:val="006378B5"/>
    <w:rsid w:val="006378DC"/>
    <w:rsid w:val="006378F8"/>
    <w:rsid w:val="00637932"/>
    <w:rsid w:val="0063796A"/>
    <w:rsid w:val="006379A9"/>
    <w:rsid w:val="00637A32"/>
    <w:rsid w:val="00637A41"/>
    <w:rsid w:val="00637B26"/>
    <w:rsid w:val="00637B9A"/>
    <w:rsid w:val="00637BA3"/>
    <w:rsid w:val="00637CA1"/>
    <w:rsid w:val="00637D41"/>
    <w:rsid w:val="00637DD5"/>
    <w:rsid w:val="00637DF5"/>
    <w:rsid w:val="00637E05"/>
    <w:rsid w:val="00637ED4"/>
    <w:rsid w:val="00637EFE"/>
    <w:rsid w:val="00637F08"/>
    <w:rsid w:val="00637F24"/>
    <w:rsid w:val="00637F7C"/>
    <w:rsid w:val="0064001C"/>
    <w:rsid w:val="0064004B"/>
    <w:rsid w:val="006400FE"/>
    <w:rsid w:val="0064016F"/>
    <w:rsid w:val="006401C6"/>
    <w:rsid w:val="006401D1"/>
    <w:rsid w:val="00640326"/>
    <w:rsid w:val="00640366"/>
    <w:rsid w:val="0064039F"/>
    <w:rsid w:val="00640420"/>
    <w:rsid w:val="00640431"/>
    <w:rsid w:val="00640474"/>
    <w:rsid w:val="00640495"/>
    <w:rsid w:val="006404E3"/>
    <w:rsid w:val="00640533"/>
    <w:rsid w:val="0064060E"/>
    <w:rsid w:val="0064061C"/>
    <w:rsid w:val="00640635"/>
    <w:rsid w:val="0064065E"/>
    <w:rsid w:val="00640673"/>
    <w:rsid w:val="0064068B"/>
    <w:rsid w:val="0064073D"/>
    <w:rsid w:val="00640763"/>
    <w:rsid w:val="00640797"/>
    <w:rsid w:val="006407F7"/>
    <w:rsid w:val="006408A2"/>
    <w:rsid w:val="00640983"/>
    <w:rsid w:val="006409A5"/>
    <w:rsid w:val="006409C6"/>
    <w:rsid w:val="006409DB"/>
    <w:rsid w:val="006409E3"/>
    <w:rsid w:val="00640A04"/>
    <w:rsid w:val="00640A5D"/>
    <w:rsid w:val="00640A84"/>
    <w:rsid w:val="00640AA4"/>
    <w:rsid w:val="00640AE8"/>
    <w:rsid w:val="00640B15"/>
    <w:rsid w:val="00640B3B"/>
    <w:rsid w:val="00640B49"/>
    <w:rsid w:val="00640BF3"/>
    <w:rsid w:val="00640C1A"/>
    <w:rsid w:val="00640C5A"/>
    <w:rsid w:val="00640CE8"/>
    <w:rsid w:val="00640D67"/>
    <w:rsid w:val="00640D72"/>
    <w:rsid w:val="00640DF1"/>
    <w:rsid w:val="00640E40"/>
    <w:rsid w:val="00640E91"/>
    <w:rsid w:val="00640F06"/>
    <w:rsid w:val="00640FB2"/>
    <w:rsid w:val="00640FBB"/>
    <w:rsid w:val="0064109C"/>
    <w:rsid w:val="006410A9"/>
    <w:rsid w:val="00641116"/>
    <w:rsid w:val="0064113B"/>
    <w:rsid w:val="00641141"/>
    <w:rsid w:val="00641161"/>
    <w:rsid w:val="00641188"/>
    <w:rsid w:val="0064118E"/>
    <w:rsid w:val="006411C4"/>
    <w:rsid w:val="00641299"/>
    <w:rsid w:val="006412CC"/>
    <w:rsid w:val="006412DC"/>
    <w:rsid w:val="006412FA"/>
    <w:rsid w:val="00641302"/>
    <w:rsid w:val="00641377"/>
    <w:rsid w:val="006413EE"/>
    <w:rsid w:val="0064141E"/>
    <w:rsid w:val="0064145F"/>
    <w:rsid w:val="00641463"/>
    <w:rsid w:val="00641581"/>
    <w:rsid w:val="00641596"/>
    <w:rsid w:val="006415E8"/>
    <w:rsid w:val="0064163F"/>
    <w:rsid w:val="00641708"/>
    <w:rsid w:val="0064173C"/>
    <w:rsid w:val="006417B1"/>
    <w:rsid w:val="006417E5"/>
    <w:rsid w:val="00641810"/>
    <w:rsid w:val="006418B3"/>
    <w:rsid w:val="006418C7"/>
    <w:rsid w:val="006418DC"/>
    <w:rsid w:val="006418E5"/>
    <w:rsid w:val="00641957"/>
    <w:rsid w:val="006419B6"/>
    <w:rsid w:val="00641AEC"/>
    <w:rsid w:val="00641C3D"/>
    <w:rsid w:val="00641C8E"/>
    <w:rsid w:val="00641CAC"/>
    <w:rsid w:val="00641CE7"/>
    <w:rsid w:val="00641D04"/>
    <w:rsid w:val="00641D97"/>
    <w:rsid w:val="00641E57"/>
    <w:rsid w:val="00641E71"/>
    <w:rsid w:val="00641E83"/>
    <w:rsid w:val="00641EB8"/>
    <w:rsid w:val="00641F86"/>
    <w:rsid w:val="00642001"/>
    <w:rsid w:val="0064204A"/>
    <w:rsid w:val="0064207F"/>
    <w:rsid w:val="00642182"/>
    <w:rsid w:val="006421AE"/>
    <w:rsid w:val="00642215"/>
    <w:rsid w:val="00642277"/>
    <w:rsid w:val="0064227B"/>
    <w:rsid w:val="00642287"/>
    <w:rsid w:val="006422FB"/>
    <w:rsid w:val="006423A3"/>
    <w:rsid w:val="00642451"/>
    <w:rsid w:val="00642464"/>
    <w:rsid w:val="006424D2"/>
    <w:rsid w:val="0064257C"/>
    <w:rsid w:val="0064257D"/>
    <w:rsid w:val="00642580"/>
    <w:rsid w:val="006425F6"/>
    <w:rsid w:val="00642646"/>
    <w:rsid w:val="0064264F"/>
    <w:rsid w:val="00642651"/>
    <w:rsid w:val="006426E1"/>
    <w:rsid w:val="006426E3"/>
    <w:rsid w:val="006427F3"/>
    <w:rsid w:val="0064281E"/>
    <w:rsid w:val="00642854"/>
    <w:rsid w:val="00642900"/>
    <w:rsid w:val="00642908"/>
    <w:rsid w:val="00642939"/>
    <w:rsid w:val="006429AB"/>
    <w:rsid w:val="006429E5"/>
    <w:rsid w:val="00642A3B"/>
    <w:rsid w:val="00642A6E"/>
    <w:rsid w:val="00642A8F"/>
    <w:rsid w:val="00642AC3"/>
    <w:rsid w:val="00642B2E"/>
    <w:rsid w:val="00642B55"/>
    <w:rsid w:val="00642C11"/>
    <w:rsid w:val="00642C32"/>
    <w:rsid w:val="00642C6C"/>
    <w:rsid w:val="00642DB5"/>
    <w:rsid w:val="00642DC8"/>
    <w:rsid w:val="00642DFF"/>
    <w:rsid w:val="00642EAC"/>
    <w:rsid w:val="00642EDB"/>
    <w:rsid w:val="00642EE4"/>
    <w:rsid w:val="00642F9B"/>
    <w:rsid w:val="0064304D"/>
    <w:rsid w:val="0064305D"/>
    <w:rsid w:val="006430BB"/>
    <w:rsid w:val="0064311E"/>
    <w:rsid w:val="00643127"/>
    <w:rsid w:val="00643150"/>
    <w:rsid w:val="00643159"/>
    <w:rsid w:val="00643399"/>
    <w:rsid w:val="0064347E"/>
    <w:rsid w:val="00643495"/>
    <w:rsid w:val="006434FC"/>
    <w:rsid w:val="00643514"/>
    <w:rsid w:val="0064354F"/>
    <w:rsid w:val="0064358F"/>
    <w:rsid w:val="006435CC"/>
    <w:rsid w:val="006435CD"/>
    <w:rsid w:val="0064362A"/>
    <w:rsid w:val="00643639"/>
    <w:rsid w:val="006436DB"/>
    <w:rsid w:val="0064375B"/>
    <w:rsid w:val="00643780"/>
    <w:rsid w:val="006437D6"/>
    <w:rsid w:val="006437F5"/>
    <w:rsid w:val="0064380B"/>
    <w:rsid w:val="00643812"/>
    <w:rsid w:val="0064383F"/>
    <w:rsid w:val="00643843"/>
    <w:rsid w:val="0064386C"/>
    <w:rsid w:val="0064387F"/>
    <w:rsid w:val="006438B4"/>
    <w:rsid w:val="006438D2"/>
    <w:rsid w:val="006438E5"/>
    <w:rsid w:val="0064391F"/>
    <w:rsid w:val="0064392E"/>
    <w:rsid w:val="0064395F"/>
    <w:rsid w:val="006439BA"/>
    <w:rsid w:val="006439F5"/>
    <w:rsid w:val="006439FA"/>
    <w:rsid w:val="00643AAA"/>
    <w:rsid w:val="00643B8F"/>
    <w:rsid w:val="00643BC2"/>
    <w:rsid w:val="00643C18"/>
    <w:rsid w:val="00643C3A"/>
    <w:rsid w:val="00643C67"/>
    <w:rsid w:val="00643C7F"/>
    <w:rsid w:val="00643C87"/>
    <w:rsid w:val="00643CF9"/>
    <w:rsid w:val="00643D44"/>
    <w:rsid w:val="00643D77"/>
    <w:rsid w:val="00643D8D"/>
    <w:rsid w:val="00643F14"/>
    <w:rsid w:val="00643F3E"/>
    <w:rsid w:val="00643FB9"/>
    <w:rsid w:val="00644014"/>
    <w:rsid w:val="0064407E"/>
    <w:rsid w:val="00644085"/>
    <w:rsid w:val="006440BB"/>
    <w:rsid w:val="006440DA"/>
    <w:rsid w:val="006441B9"/>
    <w:rsid w:val="00644229"/>
    <w:rsid w:val="00644296"/>
    <w:rsid w:val="006444CD"/>
    <w:rsid w:val="006444D1"/>
    <w:rsid w:val="0064460C"/>
    <w:rsid w:val="00644681"/>
    <w:rsid w:val="006446B4"/>
    <w:rsid w:val="006446EE"/>
    <w:rsid w:val="0064472A"/>
    <w:rsid w:val="00644763"/>
    <w:rsid w:val="00644795"/>
    <w:rsid w:val="006447B4"/>
    <w:rsid w:val="0064499A"/>
    <w:rsid w:val="00644B06"/>
    <w:rsid w:val="00644B1D"/>
    <w:rsid w:val="00644BB5"/>
    <w:rsid w:val="00644BEC"/>
    <w:rsid w:val="00644C13"/>
    <w:rsid w:val="00644C41"/>
    <w:rsid w:val="00644C4E"/>
    <w:rsid w:val="00644C8B"/>
    <w:rsid w:val="00644CC4"/>
    <w:rsid w:val="00644D07"/>
    <w:rsid w:val="00644D37"/>
    <w:rsid w:val="00644D44"/>
    <w:rsid w:val="00644D5B"/>
    <w:rsid w:val="00644D9F"/>
    <w:rsid w:val="00644DA6"/>
    <w:rsid w:val="00644DC2"/>
    <w:rsid w:val="00644E1B"/>
    <w:rsid w:val="00644E67"/>
    <w:rsid w:val="00644E81"/>
    <w:rsid w:val="00644EE5"/>
    <w:rsid w:val="00644F00"/>
    <w:rsid w:val="00644F0E"/>
    <w:rsid w:val="006450DB"/>
    <w:rsid w:val="0064510A"/>
    <w:rsid w:val="00645169"/>
    <w:rsid w:val="006451D1"/>
    <w:rsid w:val="00645263"/>
    <w:rsid w:val="00645293"/>
    <w:rsid w:val="006452BE"/>
    <w:rsid w:val="00645375"/>
    <w:rsid w:val="006453B9"/>
    <w:rsid w:val="00645444"/>
    <w:rsid w:val="006454CB"/>
    <w:rsid w:val="0064554A"/>
    <w:rsid w:val="00645556"/>
    <w:rsid w:val="006455CC"/>
    <w:rsid w:val="006455FC"/>
    <w:rsid w:val="0064565B"/>
    <w:rsid w:val="006456B1"/>
    <w:rsid w:val="006456E3"/>
    <w:rsid w:val="0064573D"/>
    <w:rsid w:val="0064583C"/>
    <w:rsid w:val="0064585C"/>
    <w:rsid w:val="00645868"/>
    <w:rsid w:val="00645894"/>
    <w:rsid w:val="006458AE"/>
    <w:rsid w:val="006458EC"/>
    <w:rsid w:val="0064596C"/>
    <w:rsid w:val="006459E0"/>
    <w:rsid w:val="006459E1"/>
    <w:rsid w:val="00645B24"/>
    <w:rsid w:val="00645B6C"/>
    <w:rsid w:val="00645BD0"/>
    <w:rsid w:val="00645BD9"/>
    <w:rsid w:val="00645BDC"/>
    <w:rsid w:val="00645C67"/>
    <w:rsid w:val="00645C96"/>
    <w:rsid w:val="00645CC0"/>
    <w:rsid w:val="00645D05"/>
    <w:rsid w:val="00645D7B"/>
    <w:rsid w:val="00645D86"/>
    <w:rsid w:val="00645E3D"/>
    <w:rsid w:val="00645E4F"/>
    <w:rsid w:val="00645EBC"/>
    <w:rsid w:val="00645EC6"/>
    <w:rsid w:val="00645EDA"/>
    <w:rsid w:val="00645EEB"/>
    <w:rsid w:val="00645F19"/>
    <w:rsid w:val="00645F30"/>
    <w:rsid w:val="00645F54"/>
    <w:rsid w:val="00645FB8"/>
    <w:rsid w:val="0064603A"/>
    <w:rsid w:val="00646043"/>
    <w:rsid w:val="0064605E"/>
    <w:rsid w:val="00646096"/>
    <w:rsid w:val="006460BF"/>
    <w:rsid w:val="006460D0"/>
    <w:rsid w:val="0064610D"/>
    <w:rsid w:val="00646169"/>
    <w:rsid w:val="006461E3"/>
    <w:rsid w:val="006462C8"/>
    <w:rsid w:val="006462F5"/>
    <w:rsid w:val="006463B6"/>
    <w:rsid w:val="006465CE"/>
    <w:rsid w:val="006465D5"/>
    <w:rsid w:val="006466D0"/>
    <w:rsid w:val="006466FF"/>
    <w:rsid w:val="0064673D"/>
    <w:rsid w:val="00646756"/>
    <w:rsid w:val="0064682C"/>
    <w:rsid w:val="006468B1"/>
    <w:rsid w:val="00646996"/>
    <w:rsid w:val="006469C0"/>
    <w:rsid w:val="00646A9F"/>
    <w:rsid w:val="00646B03"/>
    <w:rsid w:val="00646BAC"/>
    <w:rsid w:val="00646BB4"/>
    <w:rsid w:val="00646C45"/>
    <w:rsid w:val="00646C79"/>
    <w:rsid w:val="00646D0B"/>
    <w:rsid w:val="00646DF5"/>
    <w:rsid w:val="00646E39"/>
    <w:rsid w:val="00646E54"/>
    <w:rsid w:val="00646E6C"/>
    <w:rsid w:val="00646EC2"/>
    <w:rsid w:val="00646F70"/>
    <w:rsid w:val="00646F99"/>
    <w:rsid w:val="00646FF7"/>
    <w:rsid w:val="00647019"/>
    <w:rsid w:val="0064706D"/>
    <w:rsid w:val="006470DC"/>
    <w:rsid w:val="006470E4"/>
    <w:rsid w:val="006470FC"/>
    <w:rsid w:val="00647147"/>
    <w:rsid w:val="006471B0"/>
    <w:rsid w:val="006471B9"/>
    <w:rsid w:val="0064724A"/>
    <w:rsid w:val="00647332"/>
    <w:rsid w:val="006473FD"/>
    <w:rsid w:val="0064740C"/>
    <w:rsid w:val="00647424"/>
    <w:rsid w:val="0064745A"/>
    <w:rsid w:val="0064746A"/>
    <w:rsid w:val="0064747A"/>
    <w:rsid w:val="0064749B"/>
    <w:rsid w:val="006474B4"/>
    <w:rsid w:val="006474B5"/>
    <w:rsid w:val="00647514"/>
    <w:rsid w:val="00647550"/>
    <w:rsid w:val="00647569"/>
    <w:rsid w:val="006475CC"/>
    <w:rsid w:val="006475DD"/>
    <w:rsid w:val="00647651"/>
    <w:rsid w:val="00647678"/>
    <w:rsid w:val="006476E6"/>
    <w:rsid w:val="00647716"/>
    <w:rsid w:val="00647734"/>
    <w:rsid w:val="00647756"/>
    <w:rsid w:val="006477EA"/>
    <w:rsid w:val="00647854"/>
    <w:rsid w:val="00647887"/>
    <w:rsid w:val="00647952"/>
    <w:rsid w:val="006479F9"/>
    <w:rsid w:val="00647A01"/>
    <w:rsid w:val="00647A2C"/>
    <w:rsid w:val="00647B94"/>
    <w:rsid w:val="00647C15"/>
    <w:rsid w:val="00647C5C"/>
    <w:rsid w:val="00647C62"/>
    <w:rsid w:val="00647C7F"/>
    <w:rsid w:val="00647CE2"/>
    <w:rsid w:val="00647D4D"/>
    <w:rsid w:val="00647DE6"/>
    <w:rsid w:val="00647E55"/>
    <w:rsid w:val="00647E76"/>
    <w:rsid w:val="00647E8E"/>
    <w:rsid w:val="00647EFC"/>
    <w:rsid w:val="00647F3D"/>
    <w:rsid w:val="00647F46"/>
    <w:rsid w:val="00647F51"/>
    <w:rsid w:val="00647F6A"/>
    <w:rsid w:val="00647F91"/>
    <w:rsid w:val="00647FCB"/>
    <w:rsid w:val="0065004E"/>
    <w:rsid w:val="006500EE"/>
    <w:rsid w:val="00650100"/>
    <w:rsid w:val="0065018F"/>
    <w:rsid w:val="006501A8"/>
    <w:rsid w:val="006501AE"/>
    <w:rsid w:val="006501BF"/>
    <w:rsid w:val="006501EB"/>
    <w:rsid w:val="006501F6"/>
    <w:rsid w:val="006501FC"/>
    <w:rsid w:val="0065020B"/>
    <w:rsid w:val="00650236"/>
    <w:rsid w:val="00650267"/>
    <w:rsid w:val="00650282"/>
    <w:rsid w:val="006502EA"/>
    <w:rsid w:val="00650323"/>
    <w:rsid w:val="0065032E"/>
    <w:rsid w:val="00650395"/>
    <w:rsid w:val="0065039F"/>
    <w:rsid w:val="006503BE"/>
    <w:rsid w:val="006503E4"/>
    <w:rsid w:val="006504DC"/>
    <w:rsid w:val="00650557"/>
    <w:rsid w:val="0065055A"/>
    <w:rsid w:val="0065059B"/>
    <w:rsid w:val="006505B1"/>
    <w:rsid w:val="006505D6"/>
    <w:rsid w:val="006505E0"/>
    <w:rsid w:val="00650674"/>
    <w:rsid w:val="0065068A"/>
    <w:rsid w:val="006506DC"/>
    <w:rsid w:val="006507D4"/>
    <w:rsid w:val="0065081D"/>
    <w:rsid w:val="00650828"/>
    <w:rsid w:val="006508F6"/>
    <w:rsid w:val="0065090E"/>
    <w:rsid w:val="006509E5"/>
    <w:rsid w:val="00650A07"/>
    <w:rsid w:val="00650A73"/>
    <w:rsid w:val="00650AA5"/>
    <w:rsid w:val="00650BF2"/>
    <w:rsid w:val="00650C1D"/>
    <w:rsid w:val="00650C2D"/>
    <w:rsid w:val="00650C5F"/>
    <w:rsid w:val="00650C6E"/>
    <w:rsid w:val="00650CBD"/>
    <w:rsid w:val="00650CEE"/>
    <w:rsid w:val="00650D29"/>
    <w:rsid w:val="00650D8A"/>
    <w:rsid w:val="00650E75"/>
    <w:rsid w:val="00650EAF"/>
    <w:rsid w:val="00650ECD"/>
    <w:rsid w:val="00650F29"/>
    <w:rsid w:val="00650F7B"/>
    <w:rsid w:val="00650F80"/>
    <w:rsid w:val="00651041"/>
    <w:rsid w:val="006510D7"/>
    <w:rsid w:val="006511C0"/>
    <w:rsid w:val="006511FF"/>
    <w:rsid w:val="00651204"/>
    <w:rsid w:val="00651279"/>
    <w:rsid w:val="006512DC"/>
    <w:rsid w:val="00651303"/>
    <w:rsid w:val="0065135F"/>
    <w:rsid w:val="006513AC"/>
    <w:rsid w:val="006513F0"/>
    <w:rsid w:val="0065145E"/>
    <w:rsid w:val="0065146D"/>
    <w:rsid w:val="006514DE"/>
    <w:rsid w:val="00651524"/>
    <w:rsid w:val="0065152E"/>
    <w:rsid w:val="00651598"/>
    <w:rsid w:val="00651628"/>
    <w:rsid w:val="00651640"/>
    <w:rsid w:val="0065167E"/>
    <w:rsid w:val="006516FF"/>
    <w:rsid w:val="00651712"/>
    <w:rsid w:val="0065171B"/>
    <w:rsid w:val="006517AD"/>
    <w:rsid w:val="00651821"/>
    <w:rsid w:val="00651854"/>
    <w:rsid w:val="006518DE"/>
    <w:rsid w:val="0065194D"/>
    <w:rsid w:val="00651A00"/>
    <w:rsid w:val="00651B2F"/>
    <w:rsid w:val="00651B8F"/>
    <w:rsid w:val="00651B9C"/>
    <w:rsid w:val="00651BC2"/>
    <w:rsid w:val="00651C8D"/>
    <w:rsid w:val="00651CBA"/>
    <w:rsid w:val="00651D3F"/>
    <w:rsid w:val="00651D68"/>
    <w:rsid w:val="00651D70"/>
    <w:rsid w:val="00651D92"/>
    <w:rsid w:val="00651E12"/>
    <w:rsid w:val="00651E1F"/>
    <w:rsid w:val="00651F20"/>
    <w:rsid w:val="00651F6C"/>
    <w:rsid w:val="00651F8E"/>
    <w:rsid w:val="00652001"/>
    <w:rsid w:val="00652022"/>
    <w:rsid w:val="006520B6"/>
    <w:rsid w:val="006521A4"/>
    <w:rsid w:val="006522AF"/>
    <w:rsid w:val="00652329"/>
    <w:rsid w:val="00652392"/>
    <w:rsid w:val="006523DD"/>
    <w:rsid w:val="006523E9"/>
    <w:rsid w:val="0065240F"/>
    <w:rsid w:val="00652421"/>
    <w:rsid w:val="0065243F"/>
    <w:rsid w:val="0065246C"/>
    <w:rsid w:val="006524F2"/>
    <w:rsid w:val="0065251E"/>
    <w:rsid w:val="0065253B"/>
    <w:rsid w:val="00652587"/>
    <w:rsid w:val="0065274A"/>
    <w:rsid w:val="00652852"/>
    <w:rsid w:val="00652879"/>
    <w:rsid w:val="0065288D"/>
    <w:rsid w:val="0065291B"/>
    <w:rsid w:val="00652972"/>
    <w:rsid w:val="0065298B"/>
    <w:rsid w:val="006529B6"/>
    <w:rsid w:val="00652B74"/>
    <w:rsid w:val="00652BCB"/>
    <w:rsid w:val="00652C10"/>
    <w:rsid w:val="00652C6C"/>
    <w:rsid w:val="00652C7A"/>
    <w:rsid w:val="00652D6C"/>
    <w:rsid w:val="00652D97"/>
    <w:rsid w:val="00652DED"/>
    <w:rsid w:val="00652E0B"/>
    <w:rsid w:val="00652E31"/>
    <w:rsid w:val="00652EB1"/>
    <w:rsid w:val="00652EE2"/>
    <w:rsid w:val="00652F7A"/>
    <w:rsid w:val="0065300A"/>
    <w:rsid w:val="0065302A"/>
    <w:rsid w:val="00653052"/>
    <w:rsid w:val="00653072"/>
    <w:rsid w:val="006530A1"/>
    <w:rsid w:val="0065317F"/>
    <w:rsid w:val="006531DD"/>
    <w:rsid w:val="0065331C"/>
    <w:rsid w:val="0065331F"/>
    <w:rsid w:val="0065338D"/>
    <w:rsid w:val="006533B9"/>
    <w:rsid w:val="00653404"/>
    <w:rsid w:val="00653449"/>
    <w:rsid w:val="00653473"/>
    <w:rsid w:val="00653485"/>
    <w:rsid w:val="00653494"/>
    <w:rsid w:val="006534D4"/>
    <w:rsid w:val="0065355D"/>
    <w:rsid w:val="0065356B"/>
    <w:rsid w:val="006535F1"/>
    <w:rsid w:val="00653678"/>
    <w:rsid w:val="006536A9"/>
    <w:rsid w:val="006537D4"/>
    <w:rsid w:val="006538DE"/>
    <w:rsid w:val="006539D6"/>
    <w:rsid w:val="00653AF6"/>
    <w:rsid w:val="00653B9E"/>
    <w:rsid w:val="00653C43"/>
    <w:rsid w:val="00653C68"/>
    <w:rsid w:val="00653CC1"/>
    <w:rsid w:val="00653CCA"/>
    <w:rsid w:val="00653CF6"/>
    <w:rsid w:val="00653D1A"/>
    <w:rsid w:val="00653DA8"/>
    <w:rsid w:val="00653DF3"/>
    <w:rsid w:val="00653F10"/>
    <w:rsid w:val="00653F21"/>
    <w:rsid w:val="00653F24"/>
    <w:rsid w:val="00653F3C"/>
    <w:rsid w:val="00653F8F"/>
    <w:rsid w:val="00653FA8"/>
    <w:rsid w:val="00653FDA"/>
    <w:rsid w:val="00654082"/>
    <w:rsid w:val="006540C2"/>
    <w:rsid w:val="0065412B"/>
    <w:rsid w:val="00654167"/>
    <w:rsid w:val="0065426F"/>
    <w:rsid w:val="0065432B"/>
    <w:rsid w:val="00654350"/>
    <w:rsid w:val="0065436F"/>
    <w:rsid w:val="006543BD"/>
    <w:rsid w:val="006543D0"/>
    <w:rsid w:val="00654412"/>
    <w:rsid w:val="00654449"/>
    <w:rsid w:val="00654460"/>
    <w:rsid w:val="00654506"/>
    <w:rsid w:val="00654568"/>
    <w:rsid w:val="00654574"/>
    <w:rsid w:val="0065459E"/>
    <w:rsid w:val="006545E1"/>
    <w:rsid w:val="00654622"/>
    <w:rsid w:val="00654814"/>
    <w:rsid w:val="0065486B"/>
    <w:rsid w:val="006548F9"/>
    <w:rsid w:val="00654984"/>
    <w:rsid w:val="00654995"/>
    <w:rsid w:val="0065499F"/>
    <w:rsid w:val="006549D2"/>
    <w:rsid w:val="006549F9"/>
    <w:rsid w:val="00654A1E"/>
    <w:rsid w:val="00654BAC"/>
    <w:rsid w:val="00654BB3"/>
    <w:rsid w:val="00654BFC"/>
    <w:rsid w:val="00654C13"/>
    <w:rsid w:val="00654D89"/>
    <w:rsid w:val="00654DA0"/>
    <w:rsid w:val="00654E0A"/>
    <w:rsid w:val="00654E10"/>
    <w:rsid w:val="00654E33"/>
    <w:rsid w:val="00654EC1"/>
    <w:rsid w:val="00654EE8"/>
    <w:rsid w:val="00654F3B"/>
    <w:rsid w:val="00654F7F"/>
    <w:rsid w:val="00654FB7"/>
    <w:rsid w:val="00654FE6"/>
    <w:rsid w:val="00655007"/>
    <w:rsid w:val="006550F0"/>
    <w:rsid w:val="006550FF"/>
    <w:rsid w:val="00655102"/>
    <w:rsid w:val="00655140"/>
    <w:rsid w:val="006551F7"/>
    <w:rsid w:val="0065520F"/>
    <w:rsid w:val="0065528A"/>
    <w:rsid w:val="0065528B"/>
    <w:rsid w:val="006552A0"/>
    <w:rsid w:val="0065532E"/>
    <w:rsid w:val="00655359"/>
    <w:rsid w:val="00655422"/>
    <w:rsid w:val="00655483"/>
    <w:rsid w:val="00655549"/>
    <w:rsid w:val="00655598"/>
    <w:rsid w:val="006555C8"/>
    <w:rsid w:val="006555CF"/>
    <w:rsid w:val="006555D6"/>
    <w:rsid w:val="006555E8"/>
    <w:rsid w:val="00655673"/>
    <w:rsid w:val="0065567A"/>
    <w:rsid w:val="006556AB"/>
    <w:rsid w:val="006556DE"/>
    <w:rsid w:val="0065570E"/>
    <w:rsid w:val="006557A3"/>
    <w:rsid w:val="00655822"/>
    <w:rsid w:val="00655869"/>
    <w:rsid w:val="00655911"/>
    <w:rsid w:val="0065592F"/>
    <w:rsid w:val="00655933"/>
    <w:rsid w:val="0065599A"/>
    <w:rsid w:val="006559D8"/>
    <w:rsid w:val="00655A37"/>
    <w:rsid w:val="00655A61"/>
    <w:rsid w:val="00655A70"/>
    <w:rsid w:val="00655A9A"/>
    <w:rsid w:val="00655ABD"/>
    <w:rsid w:val="00655B06"/>
    <w:rsid w:val="00655B75"/>
    <w:rsid w:val="00655B98"/>
    <w:rsid w:val="00655C22"/>
    <w:rsid w:val="00655C66"/>
    <w:rsid w:val="00655CF9"/>
    <w:rsid w:val="00655D34"/>
    <w:rsid w:val="00655D89"/>
    <w:rsid w:val="00655D9B"/>
    <w:rsid w:val="00655DD0"/>
    <w:rsid w:val="00655EC0"/>
    <w:rsid w:val="00655ED4"/>
    <w:rsid w:val="00655F66"/>
    <w:rsid w:val="0065603F"/>
    <w:rsid w:val="006560B4"/>
    <w:rsid w:val="006560C7"/>
    <w:rsid w:val="00656102"/>
    <w:rsid w:val="0065612B"/>
    <w:rsid w:val="00656134"/>
    <w:rsid w:val="006561A9"/>
    <w:rsid w:val="006561B0"/>
    <w:rsid w:val="0065629A"/>
    <w:rsid w:val="00656386"/>
    <w:rsid w:val="00656398"/>
    <w:rsid w:val="00656424"/>
    <w:rsid w:val="00656433"/>
    <w:rsid w:val="00656446"/>
    <w:rsid w:val="0065647A"/>
    <w:rsid w:val="00656481"/>
    <w:rsid w:val="006564C7"/>
    <w:rsid w:val="00656500"/>
    <w:rsid w:val="00656544"/>
    <w:rsid w:val="0065656A"/>
    <w:rsid w:val="00656575"/>
    <w:rsid w:val="00656580"/>
    <w:rsid w:val="00656624"/>
    <w:rsid w:val="0065664E"/>
    <w:rsid w:val="006567D6"/>
    <w:rsid w:val="0065687C"/>
    <w:rsid w:val="0065693A"/>
    <w:rsid w:val="006569D2"/>
    <w:rsid w:val="006569D9"/>
    <w:rsid w:val="00656A10"/>
    <w:rsid w:val="00656AC0"/>
    <w:rsid w:val="00656AC5"/>
    <w:rsid w:val="00656B36"/>
    <w:rsid w:val="00656B8A"/>
    <w:rsid w:val="00656C52"/>
    <w:rsid w:val="00656CC9"/>
    <w:rsid w:val="00656CCF"/>
    <w:rsid w:val="00656D88"/>
    <w:rsid w:val="00656E14"/>
    <w:rsid w:val="00656E3E"/>
    <w:rsid w:val="00656E8A"/>
    <w:rsid w:val="00656E91"/>
    <w:rsid w:val="00656F1D"/>
    <w:rsid w:val="00656F75"/>
    <w:rsid w:val="00656F8F"/>
    <w:rsid w:val="00657061"/>
    <w:rsid w:val="006570F8"/>
    <w:rsid w:val="00657127"/>
    <w:rsid w:val="006571C6"/>
    <w:rsid w:val="00657270"/>
    <w:rsid w:val="00657292"/>
    <w:rsid w:val="00657385"/>
    <w:rsid w:val="006573E0"/>
    <w:rsid w:val="006573F1"/>
    <w:rsid w:val="00657444"/>
    <w:rsid w:val="00657471"/>
    <w:rsid w:val="006574AF"/>
    <w:rsid w:val="006574DC"/>
    <w:rsid w:val="006574F5"/>
    <w:rsid w:val="006574FF"/>
    <w:rsid w:val="00657500"/>
    <w:rsid w:val="00657619"/>
    <w:rsid w:val="006576B4"/>
    <w:rsid w:val="006576E8"/>
    <w:rsid w:val="00657720"/>
    <w:rsid w:val="00657764"/>
    <w:rsid w:val="00657787"/>
    <w:rsid w:val="006577CD"/>
    <w:rsid w:val="006577F1"/>
    <w:rsid w:val="00657811"/>
    <w:rsid w:val="0065782D"/>
    <w:rsid w:val="0065784F"/>
    <w:rsid w:val="0065786D"/>
    <w:rsid w:val="00657944"/>
    <w:rsid w:val="0065796B"/>
    <w:rsid w:val="0065798B"/>
    <w:rsid w:val="00657A85"/>
    <w:rsid w:val="00657B12"/>
    <w:rsid w:val="00657C0A"/>
    <w:rsid w:val="00657C4D"/>
    <w:rsid w:val="00657CF1"/>
    <w:rsid w:val="00657CF5"/>
    <w:rsid w:val="00657D34"/>
    <w:rsid w:val="00657DD3"/>
    <w:rsid w:val="00657E37"/>
    <w:rsid w:val="00657E3A"/>
    <w:rsid w:val="00657E4C"/>
    <w:rsid w:val="00657EA3"/>
    <w:rsid w:val="00657EC0"/>
    <w:rsid w:val="00657EC9"/>
    <w:rsid w:val="00657EEA"/>
    <w:rsid w:val="00657F09"/>
    <w:rsid w:val="00657F5A"/>
    <w:rsid w:val="00657F7D"/>
    <w:rsid w:val="00657FA6"/>
    <w:rsid w:val="00657FFD"/>
    <w:rsid w:val="00660046"/>
    <w:rsid w:val="006600E6"/>
    <w:rsid w:val="00660148"/>
    <w:rsid w:val="006601F1"/>
    <w:rsid w:val="006602EB"/>
    <w:rsid w:val="0066032F"/>
    <w:rsid w:val="00660338"/>
    <w:rsid w:val="00660497"/>
    <w:rsid w:val="0066052F"/>
    <w:rsid w:val="006605A9"/>
    <w:rsid w:val="006605DB"/>
    <w:rsid w:val="0066070C"/>
    <w:rsid w:val="006607C2"/>
    <w:rsid w:val="00660837"/>
    <w:rsid w:val="00660953"/>
    <w:rsid w:val="00660985"/>
    <w:rsid w:val="00660A56"/>
    <w:rsid w:val="00660A62"/>
    <w:rsid w:val="00660A95"/>
    <w:rsid w:val="00660AAB"/>
    <w:rsid w:val="00660ACD"/>
    <w:rsid w:val="00660B4F"/>
    <w:rsid w:val="00660B7B"/>
    <w:rsid w:val="00660C93"/>
    <w:rsid w:val="00660CF2"/>
    <w:rsid w:val="00660D15"/>
    <w:rsid w:val="00660DD9"/>
    <w:rsid w:val="00660E09"/>
    <w:rsid w:val="00660EA9"/>
    <w:rsid w:val="00660EB0"/>
    <w:rsid w:val="00660EB5"/>
    <w:rsid w:val="00661028"/>
    <w:rsid w:val="00661031"/>
    <w:rsid w:val="0066107F"/>
    <w:rsid w:val="006610D4"/>
    <w:rsid w:val="00661143"/>
    <w:rsid w:val="0066119A"/>
    <w:rsid w:val="006611B3"/>
    <w:rsid w:val="00661206"/>
    <w:rsid w:val="0066120A"/>
    <w:rsid w:val="00661234"/>
    <w:rsid w:val="00661320"/>
    <w:rsid w:val="00661322"/>
    <w:rsid w:val="0066138A"/>
    <w:rsid w:val="006613C7"/>
    <w:rsid w:val="0066141C"/>
    <w:rsid w:val="00661451"/>
    <w:rsid w:val="006614A9"/>
    <w:rsid w:val="006614F9"/>
    <w:rsid w:val="0066159B"/>
    <w:rsid w:val="006615CF"/>
    <w:rsid w:val="006615FA"/>
    <w:rsid w:val="006615FE"/>
    <w:rsid w:val="006616C3"/>
    <w:rsid w:val="006616EB"/>
    <w:rsid w:val="0066171A"/>
    <w:rsid w:val="00661724"/>
    <w:rsid w:val="00661760"/>
    <w:rsid w:val="006617DC"/>
    <w:rsid w:val="006618F3"/>
    <w:rsid w:val="00661950"/>
    <w:rsid w:val="006619B2"/>
    <w:rsid w:val="006619D9"/>
    <w:rsid w:val="00661A44"/>
    <w:rsid w:val="00661A52"/>
    <w:rsid w:val="00661A8C"/>
    <w:rsid w:val="00661AB9"/>
    <w:rsid w:val="00661AE5"/>
    <w:rsid w:val="00661B1A"/>
    <w:rsid w:val="00661B66"/>
    <w:rsid w:val="00661B7F"/>
    <w:rsid w:val="00661BE6"/>
    <w:rsid w:val="00661C39"/>
    <w:rsid w:val="00661CB7"/>
    <w:rsid w:val="00661CF4"/>
    <w:rsid w:val="00661D55"/>
    <w:rsid w:val="00661D5D"/>
    <w:rsid w:val="00661E00"/>
    <w:rsid w:val="00661E5B"/>
    <w:rsid w:val="00661F74"/>
    <w:rsid w:val="00661F90"/>
    <w:rsid w:val="00661FF0"/>
    <w:rsid w:val="0066202F"/>
    <w:rsid w:val="00662032"/>
    <w:rsid w:val="0066207F"/>
    <w:rsid w:val="006620B6"/>
    <w:rsid w:val="00662122"/>
    <w:rsid w:val="006621CD"/>
    <w:rsid w:val="0066224F"/>
    <w:rsid w:val="00662270"/>
    <w:rsid w:val="006622B0"/>
    <w:rsid w:val="006622F2"/>
    <w:rsid w:val="00662342"/>
    <w:rsid w:val="0066235D"/>
    <w:rsid w:val="00662417"/>
    <w:rsid w:val="00662461"/>
    <w:rsid w:val="0066247C"/>
    <w:rsid w:val="006624A9"/>
    <w:rsid w:val="0066250A"/>
    <w:rsid w:val="0066257A"/>
    <w:rsid w:val="00662632"/>
    <w:rsid w:val="0066264D"/>
    <w:rsid w:val="006626E9"/>
    <w:rsid w:val="00662708"/>
    <w:rsid w:val="00662730"/>
    <w:rsid w:val="0066279D"/>
    <w:rsid w:val="00662824"/>
    <w:rsid w:val="00662826"/>
    <w:rsid w:val="00662860"/>
    <w:rsid w:val="0066289A"/>
    <w:rsid w:val="006628AB"/>
    <w:rsid w:val="00662920"/>
    <w:rsid w:val="00662924"/>
    <w:rsid w:val="0066293D"/>
    <w:rsid w:val="0066299F"/>
    <w:rsid w:val="00662AA7"/>
    <w:rsid w:val="00662AB8"/>
    <w:rsid w:val="00662AF0"/>
    <w:rsid w:val="00662B1E"/>
    <w:rsid w:val="00662B63"/>
    <w:rsid w:val="00662C24"/>
    <w:rsid w:val="00662CA6"/>
    <w:rsid w:val="00662CC6"/>
    <w:rsid w:val="00662CCF"/>
    <w:rsid w:val="00662D4E"/>
    <w:rsid w:val="00662D67"/>
    <w:rsid w:val="00662D91"/>
    <w:rsid w:val="00662E44"/>
    <w:rsid w:val="00662E63"/>
    <w:rsid w:val="00662E69"/>
    <w:rsid w:val="00662E98"/>
    <w:rsid w:val="00662EDC"/>
    <w:rsid w:val="00662EEC"/>
    <w:rsid w:val="00662F57"/>
    <w:rsid w:val="00662F91"/>
    <w:rsid w:val="00662FAA"/>
    <w:rsid w:val="00662FE5"/>
    <w:rsid w:val="00663087"/>
    <w:rsid w:val="00663095"/>
    <w:rsid w:val="00663159"/>
    <w:rsid w:val="00663187"/>
    <w:rsid w:val="006631B9"/>
    <w:rsid w:val="006631EF"/>
    <w:rsid w:val="006631FE"/>
    <w:rsid w:val="00663213"/>
    <w:rsid w:val="00663232"/>
    <w:rsid w:val="00663240"/>
    <w:rsid w:val="00663256"/>
    <w:rsid w:val="006632E5"/>
    <w:rsid w:val="00663326"/>
    <w:rsid w:val="00663385"/>
    <w:rsid w:val="006633BC"/>
    <w:rsid w:val="006634EB"/>
    <w:rsid w:val="006635A0"/>
    <w:rsid w:val="00663615"/>
    <w:rsid w:val="0066361F"/>
    <w:rsid w:val="0066368C"/>
    <w:rsid w:val="006636E7"/>
    <w:rsid w:val="00663760"/>
    <w:rsid w:val="0066383C"/>
    <w:rsid w:val="006638A8"/>
    <w:rsid w:val="00663932"/>
    <w:rsid w:val="0066395A"/>
    <w:rsid w:val="00663981"/>
    <w:rsid w:val="00663A36"/>
    <w:rsid w:val="00663A6F"/>
    <w:rsid w:val="00663A83"/>
    <w:rsid w:val="00663A8E"/>
    <w:rsid w:val="00663A9E"/>
    <w:rsid w:val="00663B50"/>
    <w:rsid w:val="00663B5A"/>
    <w:rsid w:val="00663B6A"/>
    <w:rsid w:val="00663B9B"/>
    <w:rsid w:val="00663BE6"/>
    <w:rsid w:val="00663C04"/>
    <w:rsid w:val="00663C40"/>
    <w:rsid w:val="00663CBA"/>
    <w:rsid w:val="00663D92"/>
    <w:rsid w:val="00663D95"/>
    <w:rsid w:val="00663DF7"/>
    <w:rsid w:val="00663E42"/>
    <w:rsid w:val="00663ECB"/>
    <w:rsid w:val="00663F06"/>
    <w:rsid w:val="00663F09"/>
    <w:rsid w:val="00663F7F"/>
    <w:rsid w:val="00663F8D"/>
    <w:rsid w:val="00663FF7"/>
    <w:rsid w:val="00663FF8"/>
    <w:rsid w:val="00664014"/>
    <w:rsid w:val="006640BA"/>
    <w:rsid w:val="006640FA"/>
    <w:rsid w:val="0066410A"/>
    <w:rsid w:val="0066415B"/>
    <w:rsid w:val="0066420B"/>
    <w:rsid w:val="0066427F"/>
    <w:rsid w:val="006642AA"/>
    <w:rsid w:val="006642D2"/>
    <w:rsid w:val="00664375"/>
    <w:rsid w:val="006644B4"/>
    <w:rsid w:val="006645B4"/>
    <w:rsid w:val="00664607"/>
    <w:rsid w:val="0066466E"/>
    <w:rsid w:val="0066468B"/>
    <w:rsid w:val="006646A1"/>
    <w:rsid w:val="006646AA"/>
    <w:rsid w:val="006647B1"/>
    <w:rsid w:val="006648F1"/>
    <w:rsid w:val="00664907"/>
    <w:rsid w:val="006649F6"/>
    <w:rsid w:val="00664A12"/>
    <w:rsid w:val="00664A3D"/>
    <w:rsid w:val="00664A52"/>
    <w:rsid w:val="00664A6C"/>
    <w:rsid w:val="00664AAC"/>
    <w:rsid w:val="00664B38"/>
    <w:rsid w:val="00664B4A"/>
    <w:rsid w:val="00664B6B"/>
    <w:rsid w:val="00664BCB"/>
    <w:rsid w:val="00664C29"/>
    <w:rsid w:val="00664C3D"/>
    <w:rsid w:val="00664C3E"/>
    <w:rsid w:val="00664D41"/>
    <w:rsid w:val="00664E0B"/>
    <w:rsid w:val="00664E72"/>
    <w:rsid w:val="00664E99"/>
    <w:rsid w:val="00664F50"/>
    <w:rsid w:val="00664F90"/>
    <w:rsid w:val="00664FBE"/>
    <w:rsid w:val="00665024"/>
    <w:rsid w:val="0066509A"/>
    <w:rsid w:val="006650B0"/>
    <w:rsid w:val="006650D1"/>
    <w:rsid w:val="006650EB"/>
    <w:rsid w:val="00665117"/>
    <w:rsid w:val="00665157"/>
    <w:rsid w:val="00665163"/>
    <w:rsid w:val="0066517A"/>
    <w:rsid w:val="00665200"/>
    <w:rsid w:val="00665208"/>
    <w:rsid w:val="0066520C"/>
    <w:rsid w:val="006652D2"/>
    <w:rsid w:val="006652F6"/>
    <w:rsid w:val="00665431"/>
    <w:rsid w:val="006654A4"/>
    <w:rsid w:val="006654B9"/>
    <w:rsid w:val="006654F6"/>
    <w:rsid w:val="00665546"/>
    <w:rsid w:val="00665580"/>
    <w:rsid w:val="006655C5"/>
    <w:rsid w:val="0066564E"/>
    <w:rsid w:val="00665676"/>
    <w:rsid w:val="0066568C"/>
    <w:rsid w:val="00665710"/>
    <w:rsid w:val="00665747"/>
    <w:rsid w:val="006657D6"/>
    <w:rsid w:val="00665806"/>
    <w:rsid w:val="006658F9"/>
    <w:rsid w:val="00665923"/>
    <w:rsid w:val="00665940"/>
    <w:rsid w:val="006659F9"/>
    <w:rsid w:val="00665A15"/>
    <w:rsid w:val="00665A65"/>
    <w:rsid w:val="00665B66"/>
    <w:rsid w:val="00665B8A"/>
    <w:rsid w:val="00665C12"/>
    <w:rsid w:val="00665C22"/>
    <w:rsid w:val="00665C39"/>
    <w:rsid w:val="00665C59"/>
    <w:rsid w:val="00665C5F"/>
    <w:rsid w:val="00665C92"/>
    <w:rsid w:val="00665CA9"/>
    <w:rsid w:val="00665E05"/>
    <w:rsid w:val="00665E17"/>
    <w:rsid w:val="00665EDC"/>
    <w:rsid w:val="00665F23"/>
    <w:rsid w:val="00665FF0"/>
    <w:rsid w:val="00666071"/>
    <w:rsid w:val="006660A5"/>
    <w:rsid w:val="006660C4"/>
    <w:rsid w:val="006660CB"/>
    <w:rsid w:val="00666116"/>
    <w:rsid w:val="00666243"/>
    <w:rsid w:val="00666274"/>
    <w:rsid w:val="006662A6"/>
    <w:rsid w:val="00666300"/>
    <w:rsid w:val="00666394"/>
    <w:rsid w:val="006663C1"/>
    <w:rsid w:val="006663FF"/>
    <w:rsid w:val="0066643C"/>
    <w:rsid w:val="0066646F"/>
    <w:rsid w:val="0066649A"/>
    <w:rsid w:val="006664E4"/>
    <w:rsid w:val="006664EA"/>
    <w:rsid w:val="0066651C"/>
    <w:rsid w:val="0066654D"/>
    <w:rsid w:val="00666574"/>
    <w:rsid w:val="006665F4"/>
    <w:rsid w:val="0066662E"/>
    <w:rsid w:val="0066666D"/>
    <w:rsid w:val="00666685"/>
    <w:rsid w:val="006666A1"/>
    <w:rsid w:val="006666FE"/>
    <w:rsid w:val="006666FF"/>
    <w:rsid w:val="0066670F"/>
    <w:rsid w:val="00666746"/>
    <w:rsid w:val="006667C7"/>
    <w:rsid w:val="006667D8"/>
    <w:rsid w:val="0066685C"/>
    <w:rsid w:val="00666882"/>
    <w:rsid w:val="006668B6"/>
    <w:rsid w:val="00666904"/>
    <w:rsid w:val="00666994"/>
    <w:rsid w:val="006669C4"/>
    <w:rsid w:val="00666A19"/>
    <w:rsid w:val="00666A8F"/>
    <w:rsid w:val="00666AF3"/>
    <w:rsid w:val="00666AFE"/>
    <w:rsid w:val="00666B70"/>
    <w:rsid w:val="00666D09"/>
    <w:rsid w:val="00666D18"/>
    <w:rsid w:val="00666D3F"/>
    <w:rsid w:val="00666D98"/>
    <w:rsid w:val="00666DE5"/>
    <w:rsid w:val="00666E82"/>
    <w:rsid w:val="00666F96"/>
    <w:rsid w:val="00666FAA"/>
    <w:rsid w:val="00667015"/>
    <w:rsid w:val="00667060"/>
    <w:rsid w:val="006672BC"/>
    <w:rsid w:val="00667304"/>
    <w:rsid w:val="00667357"/>
    <w:rsid w:val="00667363"/>
    <w:rsid w:val="006673D8"/>
    <w:rsid w:val="00667417"/>
    <w:rsid w:val="00667448"/>
    <w:rsid w:val="006674AF"/>
    <w:rsid w:val="006674C5"/>
    <w:rsid w:val="0066751F"/>
    <w:rsid w:val="00667531"/>
    <w:rsid w:val="0066755B"/>
    <w:rsid w:val="00667585"/>
    <w:rsid w:val="006675C2"/>
    <w:rsid w:val="0066769F"/>
    <w:rsid w:val="00667757"/>
    <w:rsid w:val="0066778C"/>
    <w:rsid w:val="006677BE"/>
    <w:rsid w:val="006677D8"/>
    <w:rsid w:val="0066786A"/>
    <w:rsid w:val="0066789A"/>
    <w:rsid w:val="006678D4"/>
    <w:rsid w:val="00667A26"/>
    <w:rsid w:val="00667AF6"/>
    <w:rsid w:val="00667BBA"/>
    <w:rsid w:val="00667C2B"/>
    <w:rsid w:val="00667C4B"/>
    <w:rsid w:val="00667D32"/>
    <w:rsid w:val="00667D36"/>
    <w:rsid w:val="00667D84"/>
    <w:rsid w:val="00667DA7"/>
    <w:rsid w:val="00667DF3"/>
    <w:rsid w:val="00667EB7"/>
    <w:rsid w:val="00667EBB"/>
    <w:rsid w:val="00667EBD"/>
    <w:rsid w:val="00667F2A"/>
    <w:rsid w:val="00667F82"/>
    <w:rsid w:val="00667F89"/>
    <w:rsid w:val="00667F94"/>
    <w:rsid w:val="0067001B"/>
    <w:rsid w:val="00670139"/>
    <w:rsid w:val="00670158"/>
    <w:rsid w:val="00670203"/>
    <w:rsid w:val="00670258"/>
    <w:rsid w:val="006702F9"/>
    <w:rsid w:val="00670322"/>
    <w:rsid w:val="00670357"/>
    <w:rsid w:val="0067035B"/>
    <w:rsid w:val="006703E6"/>
    <w:rsid w:val="00670406"/>
    <w:rsid w:val="00670437"/>
    <w:rsid w:val="00670544"/>
    <w:rsid w:val="00670554"/>
    <w:rsid w:val="00670586"/>
    <w:rsid w:val="00670608"/>
    <w:rsid w:val="00670691"/>
    <w:rsid w:val="006706E5"/>
    <w:rsid w:val="00670719"/>
    <w:rsid w:val="00670756"/>
    <w:rsid w:val="006707AD"/>
    <w:rsid w:val="006707D8"/>
    <w:rsid w:val="0067080F"/>
    <w:rsid w:val="00670841"/>
    <w:rsid w:val="00670854"/>
    <w:rsid w:val="0067085A"/>
    <w:rsid w:val="00670887"/>
    <w:rsid w:val="006708DE"/>
    <w:rsid w:val="00670914"/>
    <w:rsid w:val="00670915"/>
    <w:rsid w:val="0067092F"/>
    <w:rsid w:val="0067095A"/>
    <w:rsid w:val="0067099D"/>
    <w:rsid w:val="006709F0"/>
    <w:rsid w:val="00670B28"/>
    <w:rsid w:val="00670B2C"/>
    <w:rsid w:val="00670BE4"/>
    <w:rsid w:val="00670C0B"/>
    <w:rsid w:val="00670C1D"/>
    <w:rsid w:val="00670C64"/>
    <w:rsid w:val="00670C68"/>
    <w:rsid w:val="00670CC5"/>
    <w:rsid w:val="00670D15"/>
    <w:rsid w:val="00670D78"/>
    <w:rsid w:val="00670D7D"/>
    <w:rsid w:val="00670E57"/>
    <w:rsid w:val="00670E7D"/>
    <w:rsid w:val="00670F07"/>
    <w:rsid w:val="00670F48"/>
    <w:rsid w:val="00671004"/>
    <w:rsid w:val="00671088"/>
    <w:rsid w:val="0067111F"/>
    <w:rsid w:val="0067130C"/>
    <w:rsid w:val="00671487"/>
    <w:rsid w:val="00671492"/>
    <w:rsid w:val="006714A0"/>
    <w:rsid w:val="00671579"/>
    <w:rsid w:val="0067159E"/>
    <w:rsid w:val="006715A6"/>
    <w:rsid w:val="00671665"/>
    <w:rsid w:val="006716D0"/>
    <w:rsid w:val="00671711"/>
    <w:rsid w:val="0067175E"/>
    <w:rsid w:val="00671799"/>
    <w:rsid w:val="00671870"/>
    <w:rsid w:val="006718EB"/>
    <w:rsid w:val="006719A2"/>
    <w:rsid w:val="00671B92"/>
    <w:rsid w:val="00671BE3"/>
    <w:rsid w:val="00671CAA"/>
    <w:rsid w:val="00671CEE"/>
    <w:rsid w:val="00671CF4"/>
    <w:rsid w:val="00671DB5"/>
    <w:rsid w:val="00671DF0"/>
    <w:rsid w:val="00671E01"/>
    <w:rsid w:val="00671E71"/>
    <w:rsid w:val="00671E9F"/>
    <w:rsid w:val="00671F50"/>
    <w:rsid w:val="00671F54"/>
    <w:rsid w:val="00671FB1"/>
    <w:rsid w:val="0067202E"/>
    <w:rsid w:val="00672054"/>
    <w:rsid w:val="00672058"/>
    <w:rsid w:val="006720AB"/>
    <w:rsid w:val="00672173"/>
    <w:rsid w:val="0067224D"/>
    <w:rsid w:val="00672251"/>
    <w:rsid w:val="00672271"/>
    <w:rsid w:val="006722C7"/>
    <w:rsid w:val="00672345"/>
    <w:rsid w:val="00672381"/>
    <w:rsid w:val="006723A5"/>
    <w:rsid w:val="006723D7"/>
    <w:rsid w:val="00672437"/>
    <w:rsid w:val="0067247E"/>
    <w:rsid w:val="006724BD"/>
    <w:rsid w:val="006724DE"/>
    <w:rsid w:val="00672581"/>
    <w:rsid w:val="0067267C"/>
    <w:rsid w:val="006726B2"/>
    <w:rsid w:val="006726FE"/>
    <w:rsid w:val="0067282D"/>
    <w:rsid w:val="0067284F"/>
    <w:rsid w:val="00672873"/>
    <w:rsid w:val="0067298D"/>
    <w:rsid w:val="00672992"/>
    <w:rsid w:val="006729E0"/>
    <w:rsid w:val="00672A5B"/>
    <w:rsid w:val="00672ABB"/>
    <w:rsid w:val="00672ABC"/>
    <w:rsid w:val="00672AD7"/>
    <w:rsid w:val="00672AF9"/>
    <w:rsid w:val="00672B02"/>
    <w:rsid w:val="00672BC5"/>
    <w:rsid w:val="00672CC0"/>
    <w:rsid w:val="00672D23"/>
    <w:rsid w:val="00672DDF"/>
    <w:rsid w:val="00672E63"/>
    <w:rsid w:val="00672E99"/>
    <w:rsid w:val="00672EF9"/>
    <w:rsid w:val="00672F95"/>
    <w:rsid w:val="00672F99"/>
    <w:rsid w:val="00672F9C"/>
    <w:rsid w:val="00672FC6"/>
    <w:rsid w:val="00673033"/>
    <w:rsid w:val="0067303E"/>
    <w:rsid w:val="006730A0"/>
    <w:rsid w:val="006730A8"/>
    <w:rsid w:val="006731D0"/>
    <w:rsid w:val="00673238"/>
    <w:rsid w:val="00673249"/>
    <w:rsid w:val="0067330B"/>
    <w:rsid w:val="0067338F"/>
    <w:rsid w:val="006733FF"/>
    <w:rsid w:val="00673421"/>
    <w:rsid w:val="00673427"/>
    <w:rsid w:val="006734E5"/>
    <w:rsid w:val="00673564"/>
    <w:rsid w:val="0067356E"/>
    <w:rsid w:val="0067357A"/>
    <w:rsid w:val="006735B6"/>
    <w:rsid w:val="006735E9"/>
    <w:rsid w:val="0067379E"/>
    <w:rsid w:val="0067381B"/>
    <w:rsid w:val="0067389E"/>
    <w:rsid w:val="006738EA"/>
    <w:rsid w:val="006738FD"/>
    <w:rsid w:val="00673903"/>
    <w:rsid w:val="00673A19"/>
    <w:rsid w:val="00673A27"/>
    <w:rsid w:val="00673A40"/>
    <w:rsid w:val="00673A44"/>
    <w:rsid w:val="00673A75"/>
    <w:rsid w:val="00673A89"/>
    <w:rsid w:val="00673AC8"/>
    <w:rsid w:val="00673BD0"/>
    <w:rsid w:val="00673C04"/>
    <w:rsid w:val="00673C82"/>
    <w:rsid w:val="00673CC7"/>
    <w:rsid w:val="00673D68"/>
    <w:rsid w:val="00673D8A"/>
    <w:rsid w:val="00673DE6"/>
    <w:rsid w:val="00673E36"/>
    <w:rsid w:val="00673E50"/>
    <w:rsid w:val="00673ED3"/>
    <w:rsid w:val="0067400C"/>
    <w:rsid w:val="0067400E"/>
    <w:rsid w:val="00674097"/>
    <w:rsid w:val="00674109"/>
    <w:rsid w:val="0067411E"/>
    <w:rsid w:val="0067412B"/>
    <w:rsid w:val="00674212"/>
    <w:rsid w:val="00674227"/>
    <w:rsid w:val="00674260"/>
    <w:rsid w:val="006742DE"/>
    <w:rsid w:val="00674362"/>
    <w:rsid w:val="00674397"/>
    <w:rsid w:val="006743D4"/>
    <w:rsid w:val="00674492"/>
    <w:rsid w:val="006744A5"/>
    <w:rsid w:val="00674528"/>
    <w:rsid w:val="00674572"/>
    <w:rsid w:val="006745A2"/>
    <w:rsid w:val="006745E6"/>
    <w:rsid w:val="00674676"/>
    <w:rsid w:val="006746E2"/>
    <w:rsid w:val="0067470B"/>
    <w:rsid w:val="00674723"/>
    <w:rsid w:val="00674769"/>
    <w:rsid w:val="00674781"/>
    <w:rsid w:val="006747E5"/>
    <w:rsid w:val="00674832"/>
    <w:rsid w:val="0067483B"/>
    <w:rsid w:val="006748C0"/>
    <w:rsid w:val="006748C4"/>
    <w:rsid w:val="006748C7"/>
    <w:rsid w:val="006748DF"/>
    <w:rsid w:val="006748E4"/>
    <w:rsid w:val="00674958"/>
    <w:rsid w:val="00674967"/>
    <w:rsid w:val="0067497C"/>
    <w:rsid w:val="006749C7"/>
    <w:rsid w:val="006749EC"/>
    <w:rsid w:val="006749F7"/>
    <w:rsid w:val="00674A78"/>
    <w:rsid w:val="00674B14"/>
    <w:rsid w:val="00674B22"/>
    <w:rsid w:val="00674B3B"/>
    <w:rsid w:val="00674B9F"/>
    <w:rsid w:val="00674BF6"/>
    <w:rsid w:val="00674C3F"/>
    <w:rsid w:val="00674D2D"/>
    <w:rsid w:val="00674D4A"/>
    <w:rsid w:val="00674DB7"/>
    <w:rsid w:val="00674DFA"/>
    <w:rsid w:val="00674E27"/>
    <w:rsid w:val="00674E56"/>
    <w:rsid w:val="00674ECD"/>
    <w:rsid w:val="00674FCD"/>
    <w:rsid w:val="0067508D"/>
    <w:rsid w:val="006750AE"/>
    <w:rsid w:val="006751B9"/>
    <w:rsid w:val="0067528F"/>
    <w:rsid w:val="006752A2"/>
    <w:rsid w:val="006752B5"/>
    <w:rsid w:val="006752E0"/>
    <w:rsid w:val="006752F4"/>
    <w:rsid w:val="00675312"/>
    <w:rsid w:val="00675348"/>
    <w:rsid w:val="0067548D"/>
    <w:rsid w:val="00675502"/>
    <w:rsid w:val="00675522"/>
    <w:rsid w:val="00675524"/>
    <w:rsid w:val="006755AB"/>
    <w:rsid w:val="00675684"/>
    <w:rsid w:val="006756F3"/>
    <w:rsid w:val="006757B2"/>
    <w:rsid w:val="006757F1"/>
    <w:rsid w:val="00675814"/>
    <w:rsid w:val="00675844"/>
    <w:rsid w:val="00675849"/>
    <w:rsid w:val="0067592D"/>
    <w:rsid w:val="0067596E"/>
    <w:rsid w:val="0067597F"/>
    <w:rsid w:val="006759CF"/>
    <w:rsid w:val="00675A70"/>
    <w:rsid w:val="00675AED"/>
    <w:rsid w:val="00675B03"/>
    <w:rsid w:val="00675B7B"/>
    <w:rsid w:val="00675B81"/>
    <w:rsid w:val="00675BF8"/>
    <w:rsid w:val="00675CB3"/>
    <w:rsid w:val="00675CD7"/>
    <w:rsid w:val="00675E0A"/>
    <w:rsid w:val="00675E2E"/>
    <w:rsid w:val="00675E66"/>
    <w:rsid w:val="00675F57"/>
    <w:rsid w:val="00675F79"/>
    <w:rsid w:val="00675F7E"/>
    <w:rsid w:val="00675F82"/>
    <w:rsid w:val="00675FB0"/>
    <w:rsid w:val="00676003"/>
    <w:rsid w:val="0067606A"/>
    <w:rsid w:val="0067606C"/>
    <w:rsid w:val="00676074"/>
    <w:rsid w:val="006760A0"/>
    <w:rsid w:val="006760F3"/>
    <w:rsid w:val="00676153"/>
    <w:rsid w:val="00676167"/>
    <w:rsid w:val="00676224"/>
    <w:rsid w:val="0067626D"/>
    <w:rsid w:val="00676363"/>
    <w:rsid w:val="00676383"/>
    <w:rsid w:val="006763BD"/>
    <w:rsid w:val="006763BF"/>
    <w:rsid w:val="00676403"/>
    <w:rsid w:val="00676439"/>
    <w:rsid w:val="00676452"/>
    <w:rsid w:val="0067645D"/>
    <w:rsid w:val="00676576"/>
    <w:rsid w:val="00676596"/>
    <w:rsid w:val="006765A1"/>
    <w:rsid w:val="006765D4"/>
    <w:rsid w:val="006766B6"/>
    <w:rsid w:val="006766DE"/>
    <w:rsid w:val="006766E0"/>
    <w:rsid w:val="006766E3"/>
    <w:rsid w:val="0067672B"/>
    <w:rsid w:val="006767C2"/>
    <w:rsid w:val="006767D4"/>
    <w:rsid w:val="006767E7"/>
    <w:rsid w:val="0067684F"/>
    <w:rsid w:val="00676864"/>
    <w:rsid w:val="0067687D"/>
    <w:rsid w:val="006768CD"/>
    <w:rsid w:val="006768F3"/>
    <w:rsid w:val="006769F7"/>
    <w:rsid w:val="00676A03"/>
    <w:rsid w:val="00676A06"/>
    <w:rsid w:val="00676A57"/>
    <w:rsid w:val="00676B2F"/>
    <w:rsid w:val="00676B48"/>
    <w:rsid w:val="00676B7C"/>
    <w:rsid w:val="00676C34"/>
    <w:rsid w:val="00676C73"/>
    <w:rsid w:val="00676C97"/>
    <w:rsid w:val="00676C99"/>
    <w:rsid w:val="00676CE6"/>
    <w:rsid w:val="00676D53"/>
    <w:rsid w:val="00676E2D"/>
    <w:rsid w:val="00676E7C"/>
    <w:rsid w:val="00676EEC"/>
    <w:rsid w:val="00676EFF"/>
    <w:rsid w:val="00676F2E"/>
    <w:rsid w:val="00676F4B"/>
    <w:rsid w:val="00676F60"/>
    <w:rsid w:val="00676FD9"/>
    <w:rsid w:val="00677026"/>
    <w:rsid w:val="00677048"/>
    <w:rsid w:val="00677063"/>
    <w:rsid w:val="006770CD"/>
    <w:rsid w:val="0067714C"/>
    <w:rsid w:val="00677183"/>
    <w:rsid w:val="0067719B"/>
    <w:rsid w:val="0067721E"/>
    <w:rsid w:val="0067724F"/>
    <w:rsid w:val="0067727A"/>
    <w:rsid w:val="00677346"/>
    <w:rsid w:val="006773D1"/>
    <w:rsid w:val="00677419"/>
    <w:rsid w:val="00677464"/>
    <w:rsid w:val="00677473"/>
    <w:rsid w:val="006774D2"/>
    <w:rsid w:val="006774F0"/>
    <w:rsid w:val="0067751E"/>
    <w:rsid w:val="00677527"/>
    <w:rsid w:val="0067755D"/>
    <w:rsid w:val="006775CB"/>
    <w:rsid w:val="00677651"/>
    <w:rsid w:val="0067765E"/>
    <w:rsid w:val="00677681"/>
    <w:rsid w:val="006776D9"/>
    <w:rsid w:val="006776F8"/>
    <w:rsid w:val="0067777F"/>
    <w:rsid w:val="006777CC"/>
    <w:rsid w:val="006778D5"/>
    <w:rsid w:val="006778F9"/>
    <w:rsid w:val="0067796F"/>
    <w:rsid w:val="0067797F"/>
    <w:rsid w:val="006779C9"/>
    <w:rsid w:val="006779F0"/>
    <w:rsid w:val="00677A23"/>
    <w:rsid w:val="00677A4A"/>
    <w:rsid w:val="00677A4D"/>
    <w:rsid w:val="00677A51"/>
    <w:rsid w:val="00677AAF"/>
    <w:rsid w:val="00677B51"/>
    <w:rsid w:val="00677B8B"/>
    <w:rsid w:val="00677BB3"/>
    <w:rsid w:val="00677BD4"/>
    <w:rsid w:val="00677BF5"/>
    <w:rsid w:val="00677C65"/>
    <w:rsid w:val="00677C7D"/>
    <w:rsid w:val="00677C9A"/>
    <w:rsid w:val="00677D2A"/>
    <w:rsid w:val="00677D4F"/>
    <w:rsid w:val="00677DC0"/>
    <w:rsid w:val="00677E11"/>
    <w:rsid w:val="00677F63"/>
    <w:rsid w:val="00680254"/>
    <w:rsid w:val="0068034C"/>
    <w:rsid w:val="006803AA"/>
    <w:rsid w:val="006803BE"/>
    <w:rsid w:val="0068041B"/>
    <w:rsid w:val="0068044A"/>
    <w:rsid w:val="00680653"/>
    <w:rsid w:val="00680680"/>
    <w:rsid w:val="006806B2"/>
    <w:rsid w:val="006806CF"/>
    <w:rsid w:val="006806E3"/>
    <w:rsid w:val="006807A7"/>
    <w:rsid w:val="006807F4"/>
    <w:rsid w:val="00680964"/>
    <w:rsid w:val="0068098D"/>
    <w:rsid w:val="00680994"/>
    <w:rsid w:val="00680AB8"/>
    <w:rsid w:val="00680AC1"/>
    <w:rsid w:val="00680B36"/>
    <w:rsid w:val="00680B41"/>
    <w:rsid w:val="00680BA9"/>
    <w:rsid w:val="00680C5E"/>
    <w:rsid w:val="00680C86"/>
    <w:rsid w:val="00680CA6"/>
    <w:rsid w:val="00680CAB"/>
    <w:rsid w:val="00680D15"/>
    <w:rsid w:val="00680DAC"/>
    <w:rsid w:val="00680DD7"/>
    <w:rsid w:val="00680E18"/>
    <w:rsid w:val="00680E3B"/>
    <w:rsid w:val="00680E75"/>
    <w:rsid w:val="00680EA3"/>
    <w:rsid w:val="00680F27"/>
    <w:rsid w:val="00680F37"/>
    <w:rsid w:val="00680F6F"/>
    <w:rsid w:val="00680FA9"/>
    <w:rsid w:val="00680FFB"/>
    <w:rsid w:val="00681011"/>
    <w:rsid w:val="00681042"/>
    <w:rsid w:val="00681074"/>
    <w:rsid w:val="0068109E"/>
    <w:rsid w:val="006810F0"/>
    <w:rsid w:val="00681154"/>
    <w:rsid w:val="00681277"/>
    <w:rsid w:val="0068128C"/>
    <w:rsid w:val="0068129F"/>
    <w:rsid w:val="006812E0"/>
    <w:rsid w:val="00681356"/>
    <w:rsid w:val="0068138D"/>
    <w:rsid w:val="0068144F"/>
    <w:rsid w:val="006814DA"/>
    <w:rsid w:val="006814F6"/>
    <w:rsid w:val="00681596"/>
    <w:rsid w:val="006815BC"/>
    <w:rsid w:val="006815BD"/>
    <w:rsid w:val="00681611"/>
    <w:rsid w:val="0068163E"/>
    <w:rsid w:val="0068167C"/>
    <w:rsid w:val="006816B2"/>
    <w:rsid w:val="006816D4"/>
    <w:rsid w:val="006816D8"/>
    <w:rsid w:val="0068174D"/>
    <w:rsid w:val="0068175B"/>
    <w:rsid w:val="006817E1"/>
    <w:rsid w:val="006817ED"/>
    <w:rsid w:val="00681833"/>
    <w:rsid w:val="00681855"/>
    <w:rsid w:val="00681860"/>
    <w:rsid w:val="006818AE"/>
    <w:rsid w:val="006818E0"/>
    <w:rsid w:val="00681975"/>
    <w:rsid w:val="00681977"/>
    <w:rsid w:val="006819C6"/>
    <w:rsid w:val="00681A05"/>
    <w:rsid w:val="00681A08"/>
    <w:rsid w:val="00681A3D"/>
    <w:rsid w:val="00681AA7"/>
    <w:rsid w:val="00681AFC"/>
    <w:rsid w:val="00681B96"/>
    <w:rsid w:val="00681BDB"/>
    <w:rsid w:val="00681C37"/>
    <w:rsid w:val="00681CB8"/>
    <w:rsid w:val="00681CDC"/>
    <w:rsid w:val="00681D66"/>
    <w:rsid w:val="00681D74"/>
    <w:rsid w:val="00681DDC"/>
    <w:rsid w:val="00681E3F"/>
    <w:rsid w:val="00681E86"/>
    <w:rsid w:val="00681EA3"/>
    <w:rsid w:val="00681EF9"/>
    <w:rsid w:val="00682076"/>
    <w:rsid w:val="006820C2"/>
    <w:rsid w:val="0068216B"/>
    <w:rsid w:val="0068220E"/>
    <w:rsid w:val="006822E4"/>
    <w:rsid w:val="006823C1"/>
    <w:rsid w:val="006824C0"/>
    <w:rsid w:val="00682585"/>
    <w:rsid w:val="006826A3"/>
    <w:rsid w:val="006827CB"/>
    <w:rsid w:val="006827DD"/>
    <w:rsid w:val="0068287F"/>
    <w:rsid w:val="0068297A"/>
    <w:rsid w:val="0068299D"/>
    <w:rsid w:val="006829E0"/>
    <w:rsid w:val="00682B2F"/>
    <w:rsid w:val="00682B4C"/>
    <w:rsid w:val="00682B7F"/>
    <w:rsid w:val="00682CAC"/>
    <w:rsid w:val="00682CAF"/>
    <w:rsid w:val="00682D28"/>
    <w:rsid w:val="00682D90"/>
    <w:rsid w:val="00682EB9"/>
    <w:rsid w:val="00682EC6"/>
    <w:rsid w:val="00682F45"/>
    <w:rsid w:val="00682F8F"/>
    <w:rsid w:val="00683035"/>
    <w:rsid w:val="00683063"/>
    <w:rsid w:val="0068309C"/>
    <w:rsid w:val="006830D6"/>
    <w:rsid w:val="00683103"/>
    <w:rsid w:val="0068312B"/>
    <w:rsid w:val="006831DF"/>
    <w:rsid w:val="006832AE"/>
    <w:rsid w:val="006833A4"/>
    <w:rsid w:val="006833F2"/>
    <w:rsid w:val="00683431"/>
    <w:rsid w:val="00683509"/>
    <w:rsid w:val="00683531"/>
    <w:rsid w:val="0068355F"/>
    <w:rsid w:val="00683562"/>
    <w:rsid w:val="00683599"/>
    <w:rsid w:val="00683666"/>
    <w:rsid w:val="00683685"/>
    <w:rsid w:val="00683697"/>
    <w:rsid w:val="006836B7"/>
    <w:rsid w:val="006836E3"/>
    <w:rsid w:val="006836E8"/>
    <w:rsid w:val="00683709"/>
    <w:rsid w:val="0068377D"/>
    <w:rsid w:val="006837DD"/>
    <w:rsid w:val="00683833"/>
    <w:rsid w:val="0068384F"/>
    <w:rsid w:val="0068387C"/>
    <w:rsid w:val="0068393C"/>
    <w:rsid w:val="00683985"/>
    <w:rsid w:val="00683A20"/>
    <w:rsid w:val="00683A51"/>
    <w:rsid w:val="00683A54"/>
    <w:rsid w:val="00683A75"/>
    <w:rsid w:val="00683AC7"/>
    <w:rsid w:val="00683BB7"/>
    <w:rsid w:val="00683CD2"/>
    <w:rsid w:val="00683CD8"/>
    <w:rsid w:val="00683D1C"/>
    <w:rsid w:val="00683DBD"/>
    <w:rsid w:val="00683DE1"/>
    <w:rsid w:val="00683E00"/>
    <w:rsid w:val="00683E1C"/>
    <w:rsid w:val="00683E29"/>
    <w:rsid w:val="00683E2A"/>
    <w:rsid w:val="00683EC8"/>
    <w:rsid w:val="00683F0C"/>
    <w:rsid w:val="0068400E"/>
    <w:rsid w:val="0068410E"/>
    <w:rsid w:val="006841A2"/>
    <w:rsid w:val="006841FA"/>
    <w:rsid w:val="0068424A"/>
    <w:rsid w:val="00684270"/>
    <w:rsid w:val="00684291"/>
    <w:rsid w:val="006842C9"/>
    <w:rsid w:val="006842DD"/>
    <w:rsid w:val="00684317"/>
    <w:rsid w:val="00684351"/>
    <w:rsid w:val="006843BE"/>
    <w:rsid w:val="006844E1"/>
    <w:rsid w:val="00684528"/>
    <w:rsid w:val="006845EE"/>
    <w:rsid w:val="0068465E"/>
    <w:rsid w:val="00684689"/>
    <w:rsid w:val="0068469F"/>
    <w:rsid w:val="00684724"/>
    <w:rsid w:val="00684773"/>
    <w:rsid w:val="00684837"/>
    <w:rsid w:val="00684890"/>
    <w:rsid w:val="006848DD"/>
    <w:rsid w:val="006848E0"/>
    <w:rsid w:val="00684903"/>
    <w:rsid w:val="006849DF"/>
    <w:rsid w:val="006849F3"/>
    <w:rsid w:val="00684A75"/>
    <w:rsid w:val="00684AA5"/>
    <w:rsid w:val="00684ADE"/>
    <w:rsid w:val="00684B2B"/>
    <w:rsid w:val="00684B8A"/>
    <w:rsid w:val="00684BB2"/>
    <w:rsid w:val="00684CAD"/>
    <w:rsid w:val="00684CD2"/>
    <w:rsid w:val="00684CD4"/>
    <w:rsid w:val="00684D10"/>
    <w:rsid w:val="00684D37"/>
    <w:rsid w:val="00684DAF"/>
    <w:rsid w:val="00684EB2"/>
    <w:rsid w:val="00684EB4"/>
    <w:rsid w:val="0068501B"/>
    <w:rsid w:val="0068505B"/>
    <w:rsid w:val="0068509A"/>
    <w:rsid w:val="006850A2"/>
    <w:rsid w:val="006850EB"/>
    <w:rsid w:val="006850F0"/>
    <w:rsid w:val="006850FD"/>
    <w:rsid w:val="00685112"/>
    <w:rsid w:val="00685115"/>
    <w:rsid w:val="0068518B"/>
    <w:rsid w:val="006851A7"/>
    <w:rsid w:val="006851AB"/>
    <w:rsid w:val="006851D4"/>
    <w:rsid w:val="0068525B"/>
    <w:rsid w:val="0068527D"/>
    <w:rsid w:val="006853F6"/>
    <w:rsid w:val="00685428"/>
    <w:rsid w:val="00685444"/>
    <w:rsid w:val="0068555D"/>
    <w:rsid w:val="006855AB"/>
    <w:rsid w:val="006856BA"/>
    <w:rsid w:val="00685728"/>
    <w:rsid w:val="0068575B"/>
    <w:rsid w:val="00685774"/>
    <w:rsid w:val="006857F6"/>
    <w:rsid w:val="00685831"/>
    <w:rsid w:val="00685847"/>
    <w:rsid w:val="00685855"/>
    <w:rsid w:val="0068589A"/>
    <w:rsid w:val="00685913"/>
    <w:rsid w:val="00685963"/>
    <w:rsid w:val="00685972"/>
    <w:rsid w:val="00685A10"/>
    <w:rsid w:val="00685A11"/>
    <w:rsid w:val="00685A41"/>
    <w:rsid w:val="00685A92"/>
    <w:rsid w:val="00685AA9"/>
    <w:rsid w:val="00685ADB"/>
    <w:rsid w:val="00685AFF"/>
    <w:rsid w:val="00685B3E"/>
    <w:rsid w:val="00685C95"/>
    <w:rsid w:val="00685CB1"/>
    <w:rsid w:val="00685CFA"/>
    <w:rsid w:val="00685D28"/>
    <w:rsid w:val="00685DC1"/>
    <w:rsid w:val="00685DCE"/>
    <w:rsid w:val="00685DD3"/>
    <w:rsid w:val="00685DDC"/>
    <w:rsid w:val="00685E04"/>
    <w:rsid w:val="00685E53"/>
    <w:rsid w:val="00685E54"/>
    <w:rsid w:val="00685ECF"/>
    <w:rsid w:val="00685F84"/>
    <w:rsid w:val="00685F9F"/>
    <w:rsid w:val="00686011"/>
    <w:rsid w:val="006860F2"/>
    <w:rsid w:val="0068613B"/>
    <w:rsid w:val="0068621B"/>
    <w:rsid w:val="0068626C"/>
    <w:rsid w:val="006862DE"/>
    <w:rsid w:val="00686322"/>
    <w:rsid w:val="0068632D"/>
    <w:rsid w:val="0068633C"/>
    <w:rsid w:val="00686343"/>
    <w:rsid w:val="0068646C"/>
    <w:rsid w:val="0068648C"/>
    <w:rsid w:val="006864CE"/>
    <w:rsid w:val="00686518"/>
    <w:rsid w:val="0068652E"/>
    <w:rsid w:val="0068653B"/>
    <w:rsid w:val="0068653D"/>
    <w:rsid w:val="0068657C"/>
    <w:rsid w:val="006865B5"/>
    <w:rsid w:val="006865CC"/>
    <w:rsid w:val="006865FF"/>
    <w:rsid w:val="0068660D"/>
    <w:rsid w:val="00686632"/>
    <w:rsid w:val="0068664F"/>
    <w:rsid w:val="00686687"/>
    <w:rsid w:val="0068682A"/>
    <w:rsid w:val="0068682B"/>
    <w:rsid w:val="0068682E"/>
    <w:rsid w:val="006868C6"/>
    <w:rsid w:val="006868F1"/>
    <w:rsid w:val="006868FF"/>
    <w:rsid w:val="00686925"/>
    <w:rsid w:val="0068698C"/>
    <w:rsid w:val="006869B0"/>
    <w:rsid w:val="006869D8"/>
    <w:rsid w:val="006869F4"/>
    <w:rsid w:val="00686A12"/>
    <w:rsid w:val="00686B23"/>
    <w:rsid w:val="00686BB0"/>
    <w:rsid w:val="00686BCB"/>
    <w:rsid w:val="00686BD1"/>
    <w:rsid w:val="00686BDA"/>
    <w:rsid w:val="00686C81"/>
    <w:rsid w:val="00686CC3"/>
    <w:rsid w:val="00686D23"/>
    <w:rsid w:val="00686D55"/>
    <w:rsid w:val="00686D93"/>
    <w:rsid w:val="00686E4B"/>
    <w:rsid w:val="00686E81"/>
    <w:rsid w:val="00686F11"/>
    <w:rsid w:val="00686FB4"/>
    <w:rsid w:val="006870B6"/>
    <w:rsid w:val="006870BC"/>
    <w:rsid w:val="006870F8"/>
    <w:rsid w:val="00687104"/>
    <w:rsid w:val="0068721A"/>
    <w:rsid w:val="006872F6"/>
    <w:rsid w:val="0068735D"/>
    <w:rsid w:val="0068737A"/>
    <w:rsid w:val="00687390"/>
    <w:rsid w:val="006873BD"/>
    <w:rsid w:val="006875A1"/>
    <w:rsid w:val="006875B5"/>
    <w:rsid w:val="0068768E"/>
    <w:rsid w:val="0068771E"/>
    <w:rsid w:val="0068772A"/>
    <w:rsid w:val="0068774C"/>
    <w:rsid w:val="006877CA"/>
    <w:rsid w:val="006877F5"/>
    <w:rsid w:val="0068786E"/>
    <w:rsid w:val="00687885"/>
    <w:rsid w:val="006878B7"/>
    <w:rsid w:val="006878D1"/>
    <w:rsid w:val="00687945"/>
    <w:rsid w:val="006879C4"/>
    <w:rsid w:val="00687B1B"/>
    <w:rsid w:val="00687BB1"/>
    <w:rsid w:val="00687BC5"/>
    <w:rsid w:val="00687C41"/>
    <w:rsid w:val="00687C7C"/>
    <w:rsid w:val="00687C8D"/>
    <w:rsid w:val="00687CD3"/>
    <w:rsid w:val="00687D89"/>
    <w:rsid w:val="00687DAA"/>
    <w:rsid w:val="00687DC6"/>
    <w:rsid w:val="00687E44"/>
    <w:rsid w:val="00687E9F"/>
    <w:rsid w:val="00687EA7"/>
    <w:rsid w:val="00687ED4"/>
    <w:rsid w:val="00687FC4"/>
    <w:rsid w:val="00690004"/>
    <w:rsid w:val="00690014"/>
    <w:rsid w:val="006900D5"/>
    <w:rsid w:val="0069014C"/>
    <w:rsid w:val="00690155"/>
    <w:rsid w:val="00690186"/>
    <w:rsid w:val="00690269"/>
    <w:rsid w:val="006902E5"/>
    <w:rsid w:val="00690315"/>
    <w:rsid w:val="0069037B"/>
    <w:rsid w:val="006903D2"/>
    <w:rsid w:val="00690442"/>
    <w:rsid w:val="00690475"/>
    <w:rsid w:val="0069058B"/>
    <w:rsid w:val="006905AB"/>
    <w:rsid w:val="00690614"/>
    <w:rsid w:val="0069065E"/>
    <w:rsid w:val="006906AE"/>
    <w:rsid w:val="0069070F"/>
    <w:rsid w:val="00690710"/>
    <w:rsid w:val="00690737"/>
    <w:rsid w:val="0069073D"/>
    <w:rsid w:val="00690809"/>
    <w:rsid w:val="0069088D"/>
    <w:rsid w:val="006908B9"/>
    <w:rsid w:val="00690902"/>
    <w:rsid w:val="00690908"/>
    <w:rsid w:val="0069093A"/>
    <w:rsid w:val="006909D0"/>
    <w:rsid w:val="00690A0D"/>
    <w:rsid w:val="00690A56"/>
    <w:rsid w:val="00690AA1"/>
    <w:rsid w:val="00690ABD"/>
    <w:rsid w:val="00690B5E"/>
    <w:rsid w:val="00690BAE"/>
    <w:rsid w:val="00690C1E"/>
    <w:rsid w:val="00690C44"/>
    <w:rsid w:val="00690C62"/>
    <w:rsid w:val="00690C6F"/>
    <w:rsid w:val="00690C73"/>
    <w:rsid w:val="00690C96"/>
    <w:rsid w:val="00690CDE"/>
    <w:rsid w:val="00690D52"/>
    <w:rsid w:val="00690D72"/>
    <w:rsid w:val="00690DC8"/>
    <w:rsid w:val="00690E07"/>
    <w:rsid w:val="00690E5B"/>
    <w:rsid w:val="00690E9F"/>
    <w:rsid w:val="00690EE2"/>
    <w:rsid w:val="00690F4E"/>
    <w:rsid w:val="00690F4F"/>
    <w:rsid w:val="00690F66"/>
    <w:rsid w:val="00690F84"/>
    <w:rsid w:val="0069102E"/>
    <w:rsid w:val="00691070"/>
    <w:rsid w:val="0069107D"/>
    <w:rsid w:val="00691090"/>
    <w:rsid w:val="006910CC"/>
    <w:rsid w:val="0069111B"/>
    <w:rsid w:val="0069117D"/>
    <w:rsid w:val="0069119F"/>
    <w:rsid w:val="006911A6"/>
    <w:rsid w:val="006911FB"/>
    <w:rsid w:val="00691243"/>
    <w:rsid w:val="00691287"/>
    <w:rsid w:val="006912A2"/>
    <w:rsid w:val="006912C2"/>
    <w:rsid w:val="00691323"/>
    <w:rsid w:val="00691350"/>
    <w:rsid w:val="0069137A"/>
    <w:rsid w:val="00691415"/>
    <w:rsid w:val="006914C0"/>
    <w:rsid w:val="006914D1"/>
    <w:rsid w:val="00691519"/>
    <w:rsid w:val="00691560"/>
    <w:rsid w:val="0069156B"/>
    <w:rsid w:val="006915B2"/>
    <w:rsid w:val="006916B2"/>
    <w:rsid w:val="006917E2"/>
    <w:rsid w:val="0069181C"/>
    <w:rsid w:val="00691858"/>
    <w:rsid w:val="006918C1"/>
    <w:rsid w:val="006918CF"/>
    <w:rsid w:val="006918F8"/>
    <w:rsid w:val="00691A19"/>
    <w:rsid w:val="00691A63"/>
    <w:rsid w:val="00691A85"/>
    <w:rsid w:val="00691AF3"/>
    <w:rsid w:val="00691B76"/>
    <w:rsid w:val="00691BD6"/>
    <w:rsid w:val="00691C14"/>
    <w:rsid w:val="00691C2B"/>
    <w:rsid w:val="00691C64"/>
    <w:rsid w:val="00691D6D"/>
    <w:rsid w:val="00691D70"/>
    <w:rsid w:val="00691F05"/>
    <w:rsid w:val="00691F0E"/>
    <w:rsid w:val="00691FA9"/>
    <w:rsid w:val="00691FD8"/>
    <w:rsid w:val="0069201F"/>
    <w:rsid w:val="006920AD"/>
    <w:rsid w:val="006920CF"/>
    <w:rsid w:val="006920FC"/>
    <w:rsid w:val="00692149"/>
    <w:rsid w:val="00692254"/>
    <w:rsid w:val="006922A0"/>
    <w:rsid w:val="006922BF"/>
    <w:rsid w:val="006922CF"/>
    <w:rsid w:val="006922E8"/>
    <w:rsid w:val="006922F1"/>
    <w:rsid w:val="006924DC"/>
    <w:rsid w:val="006925C4"/>
    <w:rsid w:val="006925D0"/>
    <w:rsid w:val="006925EB"/>
    <w:rsid w:val="00692607"/>
    <w:rsid w:val="0069262D"/>
    <w:rsid w:val="00692682"/>
    <w:rsid w:val="006926A7"/>
    <w:rsid w:val="006926B3"/>
    <w:rsid w:val="00692702"/>
    <w:rsid w:val="0069277C"/>
    <w:rsid w:val="006927AB"/>
    <w:rsid w:val="00692909"/>
    <w:rsid w:val="0069292D"/>
    <w:rsid w:val="006929F7"/>
    <w:rsid w:val="00692B5B"/>
    <w:rsid w:val="00692BBD"/>
    <w:rsid w:val="00692CBF"/>
    <w:rsid w:val="00692CF0"/>
    <w:rsid w:val="00692D21"/>
    <w:rsid w:val="00692DB0"/>
    <w:rsid w:val="00692DC4"/>
    <w:rsid w:val="00692EAA"/>
    <w:rsid w:val="00692EFF"/>
    <w:rsid w:val="00692F2A"/>
    <w:rsid w:val="0069302E"/>
    <w:rsid w:val="00693047"/>
    <w:rsid w:val="006930AC"/>
    <w:rsid w:val="006930B5"/>
    <w:rsid w:val="006930BE"/>
    <w:rsid w:val="006930C3"/>
    <w:rsid w:val="006930F8"/>
    <w:rsid w:val="00693119"/>
    <w:rsid w:val="00693150"/>
    <w:rsid w:val="00693243"/>
    <w:rsid w:val="00693266"/>
    <w:rsid w:val="006932B3"/>
    <w:rsid w:val="006932F0"/>
    <w:rsid w:val="00693348"/>
    <w:rsid w:val="00693353"/>
    <w:rsid w:val="0069335A"/>
    <w:rsid w:val="00693393"/>
    <w:rsid w:val="0069342A"/>
    <w:rsid w:val="00693492"/>
    <w:rsid w:val="006934CB"/>
    <w:rsid w:val="006934F6"/>
    <w:rsid w:val="0069354C"/>
    <w:rsid w:val="00693553"/>
    <w:rsid w:val="0069357C"/>
    <w:rsid w:val="0069361B"/>
    <w:rsid w:val="00693657"/>
    <w:rsid w:val="006936A9"/>
    <w:rsid w:val="006936C9"/>
    <w:rsid w:val="006936F2"/>
    <w:rsid w:val="0069370E"/>
    <w:rsid w:val="00693753"/>
    <w:rsid w:val="00693860"/>
    <w:rsid w:val="006938E3"/>
    <w:rsid w:val="006938F6"/>
    <w:rsid w:val="0069390A"/>
    <w:rsid w:val="0069392F"/>
    <w:rsid w:val="006939E0"/>
    <w:rsid w:val="00693AA6"/>
    <w:rsid w:val="00693AE4"/>
    <w:rsid w:val="00693BA6"/>
    <w:rsid w:val="00693BD4"/>
    <w:rsid w:val="00693BDA"/>
    <w:rsid w:val="00693CA3"/>
    <w:rsid w:val="00693CA9"/>
    <w:rsid w:val="00693CF4"/>
    <w:rsid w:val="00693DDC"/>
    <w:rsid w:val="00693E8D"/>
    <w:rsid w:val="00693F46"/>
    <w:rsid w:val="00693F4D"/>
    <w:rsid w:val="00693F5E"/>
    <w:rsid w:val="00693F74"/>
    <w:rsid w:val="00693F80"/>
    <w:rsid w:val="0069405A"/>
    <w:rsid w:val="006940BA"/>
    <w:rsid w:val="00694150"/>
    <w:rsid w:val="006941D4"/>
    <w:rsid w:val="0069422A"/>
    <w:rsid w:val="006942EC"/>
    <w:rsid w:val="006942FF"/>
    <w:rsid w:val="00694325"/>
    <w:rsid w:val="006944A6"/>
    <w:rsid w:val="00694500"/>
    <w:rsid w:val="00694529"/>
    <w:rsid w:val="00694638"/>
    <w:rsid w:val="00694644"/>
    <w:rsid w:val="00694663"/>
    <w:rsid w:val="006946B2"/>
    <w:rsid w:val="00694713"/>
    <w:rsid w:val="00694718"/>
    <w:rsid w:val="00694776"/>
    <w:rsid w:val="006947B3"/>
    <w:rsid w:val="0069488F"/>
    <w:rsid w:val="00694894"/>
    <w:rsid w:val="006948FA"/>
    <w:rsid w:val="00694924"/>
    <w:rsid w:val="00694949"/>
    <w:rsid w:val="0069496B"/>
    <w:rsid w:val="00694972"/>
    <w:rsid w:val="006949A6"/>
    <w:rsid w:val="006949B1"/>
    <w:rsid w:val="00694A0F"/>
    <w:rsid w:val="00694A15"/>
    <w:rsid w:val="00694A16"/>
    <w:rsid w:val="00694A67"/>
    <w:rsid w:val="00694AA8"/>
    <w:rsid w:val="00694AEE"/>
    <w:rsid w:val="00694B32"/>
    <w:rsid w:val="00694C47"/>
    <w:rsid w:val="00694C8C"/>
    <w:rsid w:val="00694CB0"/>
    <w:rsid w:val="00694D1A"/>
    <w:rsid w:val="00694E56"/>
    <w:rsid w:val="00694E68"/>
    <w:rsid w:val="00694EBD"/>
    <w:rsid w:val="00694EBE"/>
    <w:rsid w:val="00694F4D"/>
    <w:rsid w:val="00694F74"/>
    <w:rsid w:val="00694FAD"/>
    <w:rsid w:val="00694FFC"/>
    <w:rsid w:val="00695048"/>
    <w:rsid w:val="0069505E"/>
    <w:rsid w:val="006950DC"/>
    <w:rsid w:val="0069510D"/>
    <w:rsid w:val="00695178"/>
    <w:rsid w:val="006951B2"/>
    <w:rsid w:val="006951E5"/>
    <w:rsid w:val="006952C2"/>
    <w:rsid w:val="00695302"/>
    <w:rsid w:val="00695423"/>
    <w:rsid w:val="00695444"/>
    <w:rsid w:val="00695456"/>
    <w:rsid w:val="00695491"/>
    <w:rsid w:val="00695494"/>
    <w:rsid w:val="006954D3"/>
    <w:rsid w:val="00695575"/>
    <w:rsid w:val="00695582"/>
    <w:rsid w:val="006955A7"/>
    <w:rsid w:val="006955D8"/>
    <w:rsid w:val="0069568E"/>
    <w:rsid w:val="006956AA"/>
    <w:rsid w:val="006956DE"/>
    <w:rsid w:val="00695759"/>
    <w:rsid w:val="00695789"/>
    <w:rsid w:val="006957AF"/>
    <w:rsid w:val="00695939"/>
    <w:rsid w:val="00695954"/>
    <w:rsid w:val="006959EF"/>
    <w:rsid w:val="006959F4"/>
    <w:rsid w:val="006959FC"/>
    <w:rsid w:val="00695A51"/>
    <w:rsid w:val="00695ADA"/>
    <w:rsid w:val="00695ADC"/>
    <w:rsid w:val="00695B5D"/>
    <w:rsid w:val="00695B8A"/>
    <w:rsid w:val="00695BC0"/>
    <w:rsid w:val="00695C21"/>
    <w:rsid w:val="00695C25"/>
    <w:rsid w:val="00695C2C"/>
    <w:rsid w:val="00695CB2"/>
    <w:rsid w:val="00695D4C"/>
    <w:rsid w:val="00695DA7"/>
    <w:rsid w:val="00695EB0"/>
    <w:rsid w:val="00695EB1"/>
    <w:rsid w:val="00695EBB"/>
    <w:rsid w:val="00695F44"/>
    <w:rsid w:val="00695F88"/>
    <w:rsid w:val="00695F95"/>
    <w:rsid w:val="00695FD2"/>
    <w:rsid w:val="00696186"/>
    <w:rsid w:val="00696199"/>
    <w:rsid w:val="006961B5"/>
    <w:rsid w:val="006961BB"/>
    <w:rsid w:val="0069623B"/>
    <w:rsid w:val="0069629F"/>
    <w:rsid w:val="00696371"/>
    <w:rsid w:val="0069638F"/>
    <w:rsid w:val="006963CB"/>
    <w:rsid w:val="00696430"/>
    <w:rsid w:val="0069643F"/>
    <w:rsid w:val="0069647D"/>
    <w:rsid w:val="006964A6"/>
    <w:rsid w:val="006964AD"/>
    <w:rsid w:val="006964C1"/>
    <w:rsid w:val="006964D9"/>
    <w:rsid w:val="0069656C"/>
    <w:rsid w:val="0069656D"/>
    <w:rsid w:val="0069659B"/>
    <w:rsid w:val="006965B4"/>
    <w:rsid w:val="006965E5"/>
    <w:rsid w:val="00696634"/>
    <w:rsid w:val="006966F9"/>
    <w:rsid w:val="00696746"/>
    <w:rsid w:val="0069679F"/>
    <w:rsid w:val="006967E3"/>
    <w:rsid w:val="006967E8"/>
    <w:rsid w:val="00696819"/>
    <w:rsid w:val="00696849"/>
    <w:rsid w:val="006968E5"/>
    <w:rsid w:val="006968E7"/>
    <w:rsid w:val="00696A57"/>
    <w:rsid w:val="00696AA9"/>
    <w:rsid w:val="00696CE2"/>
    <w:rsid w:val="00696E39"/>
    <w:rsid w:val="00696EEF"/>
    <w:rsid w:val="00696FB0"/>
    <w:rsid w:val="00696FCA"/>
    <w:rsid w:val="00696FE8"/>
    <w:rsid w:val="00697037"/>
    <w:rsid w:val="0069705A"/>
    <w:rsid w:val="0069705C"/>
    <w:rsid w:val="006970C9"/>
    <w:rsid w:val="00697189"/>
    <w:rsid w:val="006971FD"/>
    <w:rsid w:val="006971FF"/>
    <w:rsid w:val="00697214"/>
    <w:rsid w:val="0069723E"/>
    <w:rsid w:val="00697292"/>
    <w:rsid w:val="006972D1"/>
    <w:rsid w:val="006972D2"/>
    <w:rsid w:val="00697331"/>
    <w:rsid w:val="00697367"/>
    <w:rsid w:val="00697429"/>
    <w:rsid w:val="006974B7"/>
    <w:rsid w:val="006974CF"/>
    <w:rsid w:val="006974F8"/>
    <w:rsid w:val="00697523"/>
    <w:rsid w:val="0069758F"/>
    <w:rsid w:val="00697622"/>
    <w:rsid w:val="00697646"/>
    <w:rsid w:val="00697673"/>
    <w:rsid w:val="006976CE"/>
    <w:rsid w:val="0069770B"/>
    <w:rsid w:val="0069772D"/>
    <w:rsid w:val="00697754"/>
    <w:rsid w:val="00697848"/>
    <w:rsid w:val="00697877"/>
    <w:rsid w:val="00697903"/>
    <w:rsid w:val="00697968"/>
    <w:rsid w:val="00697999"/>
    <w:rsid w:val="006979C2"/>
    <w:rsid w:val="006979D0"/>
    <w:rsid w:val="006979D3"/>
    <w:rsid w:val="00697A2C"/>
    <w:rsid w:val="00697A43"/>
    <w:rsid w:val="00697AF1"/>
    <w:rsid w:val="00697B05"/>
    <w:rsid w:val="00697B67"/>
    <w:rsid w:val="00697B79"/>
    <w:rsid w:val="00697C07"/>
    <w:rsid w:val="00697C8F"/>
    <w:rsid w:val="00697CBD"/>
    <w:rsid w:val="00697D55"/>
    <w:rsid w:val="00697D5E"/>
    <w:rsid w:val="00697E04"/>
    <w:rsid w:val="00697E0E"/>
    <w:rsid w:val="00697E6C"/>
    <w:rsid w:val="00697EB8"/>
    <w:rsid w:val="00697F20"/>
    <w:rsid w:val="00697F2D"/>
    <w:rsid w:val="00697F2E"/>
    <w:rsid w:val="006A0078"/>
    <w:rsid w:val="006A008A"/>
    <w:rsid w:val="006A0098"/>
    <w:rsid w:val="006A00A0"/>
    <w:rsid w:val="006A010D"/>
    <w:rsid w:val="006A0193"/>
    <w:rsid w:val="006A02CC"/>
    <w:rsid w:val="006A02DC"/>
    <w:rsid w:val="006A02ED"/>
    <w:rsid w:val="006A0304"/>
    <w:rsid w:val="006A0309"/>
    <w:rsid w:val="006A035D"/>
    <w:rsid w:val="006A0385"/>
    <w:rsid w:val="006A0442"/>
    <w:rsid w:val="006A0457"/>
    <w:rsid w:val="006A0468"/>
    <w:rsid w:val="006A04A2"/>
    <w:rsid w:val="006A04B2"/>
    <w:rsid w:val="006A04E1"/>
    <w:rsid w:val="006A0500"/>
    <w:rsid w:val="006A0510"/>
    <w:rsid w:val="006A05D4"/>
    <w:rsid w:val="006A0675"/>
    <w:rsid w:val="006A068D"/>
    <w:rsid w:val="006A06D7"/>
    <w:rsid w:val="006A06F8"/>
    <w:rsid w:val="006A06FC"/>
    <w:rsid w:val="006A0707"/>
    <w:rsid w:val="006A070A"/>
    <w:rsid w:val="006A0737"/>
    <w:rsid w:val="006A0799"/>
    <w:rsid w:val="006A0806"/>
    <w:rsid w:val="006A081E"/>
    <w:rsid w:val="006A089D"/>
    <w:rsid w:val="006A08A8"/>
    <w:rsid w:val="006A08EC"/>
    <w:rsid w:val="006A0ADA"/>
    <w:rsid w:val="006A0AEE"/>
    <w:rsid w:val="006A0B26"/>
    <w:rsid w:val="006A0B46"/>
    <w:rsid w:val="006A0BA9"/>
    <w:rsid w:val="006A0C07"/>
    <w:rsid w:val="006A0C6E"/>
    <w:rsid w:val="006A0C7C"/>
    <w:rsid w:val="006A0D7B"/>
    <w:rsid w:val="006A0D8C"/>
    <w:rsid w:val="006A0DB1"/>
    <w:rsid w:val="006A0DD2"/>
    <w:rsid w:val="006A0E33"/>
    <w:rsid w:val="006A0E35"/>
    <w:rsid w:val="006A0E9D"/>
    <w:rsid w:val="006A0EFE"/>
    <w:rsid w:val="006A0FA1"/>
    <w:rsid w:val="006A101E"/>
    <w:rsid w:val="006A1068"/>
    <w:rsid w:val="006A1091"/>
    <w:rsid w:val="006A1094"/>
    <w:rsid w:val="006A10CA"/>
    <w:rsid w:val="006A10D9"/>
    <w:rsid w:val="006A1109"/>
    <w:rsid w:val="006A1120"/>
    <w:rsid w:val="006A11EC"/>
    <w:rsid w:val="006A1202"/>
    <w:rsid w:val="006A122E"/>
    <w:rsid w:val="006A1277"/>
    <w:rsid w:val="006A127B"/>
    <w:rsid w:val="006A131F"/>
    <w:rsid w:val="006A1332"/>
    <w:rsid w:val="006A13EF"/>
    <w:rsid w:val="006A13F6"/>
    <w:rsid w:val="006A1419"/>
    <w:rsid w:val="006A150A"/>
    <w:rsid w:val="006A150E"/>
    <w:rsid w:val="006A1531"/>
    <w:rsid w:val="006A1534"/>
    <w:rsid w:val="006A1567"/>
    <w:rsid w:val="006A1578"/>
    <w:rsid w:val="006A1594"/>
    <w:rsid w:val="006A15A9"/>
    <w:rsid w:val="006A15C5"/>
    <w:rsid w:val="006A15DA"/>
    <w:rsid w:val="006A15EF"/>
    <w:rsid w:val="006A15FE"/>
    <w:rsid w:val="006A166D"/>
    <w:rsid w:val="006A1726"/>
    <w:rsid w:val="006A172D"/>
    <w:rsid w:val="006A17D9"/>
    <w:rsid w:val="006A1871"/>
    <w:rsid w:val="006A18B4"/>
    <w:rsid w:val="006A18F3"/>
    <w:rsid w:val="006A1918"/>
    <w:rsid w:val="006A1933"/>
    <w:rsid w:val="006A1971"/>
    <w:rsid w:val="006A19B7"/>
    <w:rsid w:val="006A19D0"/>
    <w:rsid w:val="006A1A0A"/>
    <w:rsid w:val="006A1A3C"/>
    <w:rsid w:val="006A1A93"/>
    <w:rsid w:val="006A1BA8"/>
    <w:rsid w:val="006A1BB3"/>
    <w:rsid w:val="006A1BE5"/>
    <w:rsid w:val="006A1C71"/>
    <w:rsid w:val="006A1C95"/>
    <w:rsid w:val="006A1D33"/>
    <w:rsid w:val="006A1D77"/>
    <w:rsid w:val="006A1EDF"/>
    <w:rsid w:val="006A1F0C"/>
    <w:rsid w:val="006A1F87"/>
    <w:rsid w:val="006A1FF2"/>
    <w:rsid w:val="006A200B"/>
    <w:rsid w:val="006A204D"/>
    <w:rsid w:val="006A2055"/>
    <w:rsid w:val="006A20B7"/>
    <w:rsid w:val="006A20BA"/>
    <w:rsid w:val="006A2100"/>
    <w:rsid w:val="006A2160"/>
    <w:rsid w:val="006A2177"/>
    <w:rsid w:val="006A21EC"/>
    <w:rsid w:val="006A220B"/>
    <w:rsid w:val="006A22CF"/>
    <w:rsid w:val="006A22E2"/>
    <w:rsid w:val="006A22EF"/>
    <w:rsid w:val="006A2325"/>
    <w:rsid w:val="006A232C"/>
    <w:rsid w:val="006A2368"/>
    <w:rsid w:val="006A2374"/>
    <w:rsid w:val="006A238D"/>
    <w:rsid w:val="006A23DC"/>
    <w:rsid w:val="006A241D"/>
    <w:rsid w:val="006A242C"/>
    <w:rsid w:val="006A2483"/>
    <w:rsid w:val="006A2546"/>
    <w:rsid w:val="006A2649"/>
    <w:rsid w:val="006A26A7"/>
    <w:rsid w:val="006A26B3"/>
    <w:rsid w:val="006A26C1"/>
    <w:rsid w:val="006A2734"/>
    <w:rsid w:val="006A2745"/>
    <w:rsid w:val="006A27F5"/>
    <w:rsid w:val="006A285F"/>
    <w:rsid w:val="006A288D"/>
    <w:rsid w:val="006A28C5"/>
    <w:rsid w:val="006A28F1"/>
    <w:rsid w:val="006A28F9"/>
    <w:rsid w:val="006A295B"/>
    <w:rsid w:val="006A29AF"/>
    <w:rsid w:val="006A2A9B"/>
    <w:rsid w:val="006A2B0F"/>
    <w:rsid w:val="006A2B2D"/>
    <w:rsid w:val="006A2B8E"/>
    <w:rsid w:val="006A2BF8"/>
    <w:rsid w:val="006A2C09"/>
    <w:rsid w:val="006A2C3C"/>
    <w:rsid w:val="006A2CC7"/>
    <w:rsid w:val="006A2D55"/>
    <w:rsid w:val="006A2D5F"/>
    <w:rsid w:val="006A2D66"/>
    <w:rsid w:val="006A2D9A"/>
    <w:rsid w:val="006A2DC4"/>
    <w:rsid w:val="006A2DC7"/>
    <w:rsid w:val="006A2E3C"/>
    <w:rsid w:val="006A2EA8"/>
    <w:rsid w:val="006A2EFD"/>
    <w:rsid w:val="006A2F30"/>
    <w:rsid w:val="006A2F91"/>
    <w:rsid w:val="006A2FC6"/>
    <w:rsid w:val="006A319E"/>
    <w:rsid w:val="006A31DE"/>
    <w:rsid w:val="006A31F6"/>
    <w:rsid w:val="006A323E"/>
    <w:rsid w:val="006A330C"/>
    <w:rsid w:val="006A334C"/>
    <w:rsid w:val="006A33E3"/>
    <w:rsid w:val="006A33FC"/>
    <w:rsid w:val="006A342C"/>
    <w:rsid w:val="006A346B"/>
    <w:rsid w:val="006A34A4"/>
    <w:rsid w:val="006A34FD"/>
    <w:rsid w:val="006A3541"/>
    <w:rsid w:val="006A354D"/>
    <w:rsid w:val="006A359B"/>
    <w:rsid w:val="006A3605"/>
    <w:rsid w:val="006A361A"/>
    <w:rsid w:val="006A3632"/>
    <w:rsid w:val="006A3634"/>
    <w:rsid w:val="006A363C"/>
    <w:rsid w:val="006A36FE"/>
    <w:rsid w:val="006A3709"/>
    <w:rsid w:val="006A37A8"/>
    <w:rsid w:val="006A37BC"/>
    <w:rsid w:val="006A37C0"/>
    <w:rsid w:val="006A37EB"/>
    <w:rsid w:val="006A3829"/>
    <w:rsid w:val="006A3840"/>
    <w:rsid w:val="006A38DB"/>
    <w:rsid w:val="006A39A6"/>
    <w:rsid w:val="006A3A5C"/>
    <w:rsid w:val="006A3A77"/>
    <w:rsid w:val="006A3B53"/>
    <w:rsid w:val="006A3C1D"/>
    <w:rsid w:val="006A3C22"/>
    <w:rsid w:val="006A3C3A"/>
    <w:rsid w:val="006A3C45"/>
    <w:rsid w:val="006A3CE7"/>
    <w:rsid w:val="006A3DE6"/>
    <w:rsid w:val="006A3E3D"/>
    <w:rsid w:val="006A3E89"/>
    <w:rsid w:val="006A3EE4"/>
    <w:rsid w:val="006A3F0E"/>
    <w:rsid w:val="006A3FC2"/>
    <w:rsid w:val="006A4070"/>
    <w:rsid w:val="006A4071"/>
    <w:rsid w:val="006A408C"/>
    <w:rsid w:val="006A40A7"/>
    <w:rsid w:val="006A411A"/>
    <w:rsid w:val="006A4121"/>
    <w:rsid w:val="006A41BE"/>
    <w:rsid w:val="006A43AB"/>
    <w:rsid w:val="006A43D8"/>
    <w:rsid w:val="006A43F5"/>
    <w:rsid w:val="006A441A"/>
    <w:rsid w:val="006A4511"/>
    <w:rsid w:val="006A45D0"/>
    <w:rsid w:val="006A4638"/>
    <w:rsid w:val="006A4680"/>
    <w:rsid w:val="006A46EA"/>
    <w:rsid w:val="006A47A1"/>
    <w:rsid w:val="006A47EF"/>
    <w:rsid w:val="006A4825"/>
    <w:rsid w:val="006A4879"/>
    <w:rsid w:val="006A48A3"/>
    <w:rsid w:val="006A48A6"/>
    <w:rsid w:val="006A48CA"/>
    <w:rsid w:val="006A4942"/>
    <w:rsid w:val="006A4A91"/>
    <w:rsid w:val="006A4AA9"/>
    <w:rsid w:val="006A4AEC"/>
    <w:rsid w:val="006A4AF7"/>
    <w:rsid w:val="006A4B2F"/>
    <w:rsid w:val="006A4B32"/>
    <w:rsid w:val="006A4B46"/>
    <w:rsid w:val="006A4B56"/>
    <w:rsid w:val="006A4B91"/>
    <w:rsid w:val="006A4BC6"/>
    <w:rsid w:val="006A4BF2"/>
    <w:rsid w:val="006A4C48"/>
    <w:rsid w:val="006A4C7E"/>
    <w:rsid w:val="006A4CD0"/>
    <w:rsid w:val="006A4D02"/>
    <w:rsid w:val="006A4D07"/>
    <w:rsid w:val="006A4D22"/>
    <w:rsid w:val="006A4D39"/>
    <w:rsid w:val="006A4E2E"/>
    <w:rsid w:val="006A4E6D"/>
    <w:rsid w:val="006A4EA6"/>
    <w:rsid w:val="006A4EDF"/>
    <w:rsid w:val="006A4F69"/>
    <w:rsid w:val="006A4FBD"/>
    <w:rsid w:val="006A4FF2"/>
    <w:rsid w:val="006A500D"/>
    <w:rsid w:val="006A5117"/>
    <w:rsid w:val="006A513A"/>
    <w:rsid w:val="006A514E"/>
    <w:rsid w:val="006A517F"/>
    <w:rsid w:val="006A51CA"/>
    <w:rsid w:val="006A5255"/>
    <w:rsid w:val="006A527D"/>
    <w:rsid w:val="006A52EF"/>
    <w:rsid w:val="006A5370"/>
    <w:rsid w:val="006A5384"/>
    <w:rsid w:val="006A5467"/>
    <w:rsid w:val="006A54A8"/>
    <w:rsid w:val="006A5539"/>
    <w:rsid w:val="006A55C1"/>
    <w:rsid w:val="006A55C5"/>
    <w:rsid w:val="006A56E9"/>
    <w:rsid w:val="006A5A14"/>
    <w:rsid w:val="006A5B0E"/>
    <w:rsid w:val="006A5B28"/>
    <w:rsid w:val="006A5B8B"/>
    <w:rsid w:val="006A5C66"/>
    <w:rsid w:val="006A5C81"/>
    <w:rsid w:val="006A5C95"/>
    <w:rsid w:val="006A5D26"/>
    <w:rsid w:val="006A5D6D"/>
    <w:rsid w:val="006A5DA8"/>
    <w:rsid w:val="006A5DEE"/>
    <w:rsid w:val="006A5E0B"/>
    <w:rsid w:val="006A5E17"/>
    <w:rsid w:val="006A5E20"/>
    <w:rsid w:val="006A5EE5"/>
    <w:rsid w:val="006A5F09"/>
    <w:rsid w:val="006A5FA6"/>
    <w:rsid w:val="006A5FBA"/>
    <w:rsid w:val="006A5FE6"/>
    <w:rsid w:val="006A5FEF"/>
    <w:rsid w:val="006A6034"/>
    <w:rsid w:val="006A6080"/>
    <w:rsid w:val="006A60EA"/>
    <w:rsid w:val="006A6172"/>
    <w:rsid w:val="006A61A2"/>
    <w:rsid w:val="006A61B9"/>
    <w:rsid w:val="006A61C1"/>
    <w:rsid w:val="006A61CB"/>
    <w:rsid w:val="006A6208"/>
    <w:rsid w:val="006A620A"/>
    <w:rsid w:val="006A623F"/>
    <w:rsid w:val="006A6278"/>
    <w:rsid w:val="006A6419"/>
    <w:rsid w:val="006A647E"/>
    <w:rsid w:val="006A64F8"/>
    <w:rsid w:val="006A65A6"/>
    <w:rsid w:val="006A65E6"/>
    <w:rsid w:val="006A6653"/>
    <w:rsid w:val="006A666F"/>
    <w:rsid w:val="006A67E8"/>
    <w:rsid w:val="006A68AC"/>
    <w:rsid w:val="006A68C0"/>
    <w:rsid w:val="006A6992"/>
    <w:rsid w:val="006A69A3"/>
    <w:rsid w:val="006A69FB"/>
    <w:rsid w:val="006A6B70"/>
    <w:rsid w:val="006A6BC6"/>
    <w:rsid w:val="006A6BC8"/>
    <w:rsid w:val="006A6BF7"/>
    <w:rsid w:val="006A6D0F"/>
    <w:rsid w:val="006A6D94"/>
    <w:rsid w:val="006A6DB5"/>
    <w:rsid w:val="006A6DDF"/>
    <w:rsid w:val="006A6DFC"/>
    <w:rsid w:val="006A6EC2"/>
    <w:rsid w:val="006A6F1C"/>
    <w:rsid w:val="006A6F2D"/>
    <w:rsid w:val="006A6F61"/>
    <w:rsid w:val="006A70F2"/>
    <w:rsid w:val="006A716E"/>
    <w:rsid w:val="006A71F6"/>
    <w:rsid w:val="006A73CD"/>
    <w:rsid w:val="006A746D"/>
    <w:rsid w:val="006A74C1"/>
    <w:rsid w:val="006A7516"/>
    <w:rsid w:val="006A7521"/>
    <w:rsid w:val="006A7568"/>
    <w:rsid w:val="006A75AE"/>
    <w:rsid w:val="006A75B6"/>
    <w:rsid w:val="006A75BE"/>
    <w:rsid w:val="006A75C9"/>
    <w:rsid w:val="006A75E2"/>
    <w:rsid w:val="006A75F4"/>
    <w:rsid w:val="006A760B"/>
    <w:rsid w:val="006A761E"/>
    <w:rsid w:val="006A7625"/>
    <w:rsid w:val="006A7633"/>
    <w:rsid w:val="006A7640"/>
    <w:rsid w:val="006A7775"/>
    <w:rsid w:val="006A77A4"/>
    <w:rsid w:val="006A77B1"/>
    <w:rsid w:val="006A783D"/>
    <w:rsid w:val="006A784D"/>
    <w:rsid w:val="006A786A"/>
    <w:rsid w:val="006A7890"/>
    <w:rsid w:val="006A789D"/>
    <w:rsid w:val="006A7903"/>
    <w:rsid w:val="006A791A"/>
    <w:rsid w:val="006A7923"/>
    <w:rsid w:val="006A79B1"/>
    <w:rsid w:val="006A7A92"/>
    <w:rsid w:val="006A7ABE"/>
    <w:rsid w:val="006A7B09"/>
    <w:rsid w:val="006A7B34"/>
    <w:rsid w:val="006A7B72"/>
    <w:rsid w:val="006A7BC9"/>
    <w:rsid w:val="006A7C23"/>
    <w:rsid w:val="006A7C9F"/>
    <w:rsid w:val="006A7D6E"/>
    <w:rsid w:val="006A7D92"/>
    <w:rsid w:val="006A7DB2"/>
    <w:rsid w:val="006A7E22"/>
    <w:rsid w:val="006A7E84"/>
    <w:rsid w:val="006A7EE4"/>
    <w:rsid w:val="006A7F01"/>
    <w:rsid w:val="006A7F09"/>
    <w:rsid w:val="006A7F57"/>
    <w:rsid w:val="006A7F7D"/>
    <w:rsid w:val="006A7FB8"/>
    <w:rsid w:val="006A7FE3"/>
    <w:rsid w:val="006A7FE5"/>
    <w:rsid w:val="006B0054"/>
    <w:rsid w:val="006B00F7"/>
    <w:rsid w:val="006B0113"/>
    <w:rsid w:val="006B021C"/>
    <w:rsid w:val="006B0267"/>
    <w:rsid w:val="006B026D"/>
    <w:rsid w:val="006B02A9"/>
    <w:rsid w:val="006B02E2"/>
    <w:rsid w:val="006B0300"/>
    <w:rsid w:val="006B0469"/>
    <w:rsid w:val="006B0548"/>
    <w:rsid w:val="006B0654"/>
    <w:rsid w:val="006B072D"/>
    <w:rsid w:val="006B0902"/>
    <w:rsid w:val="006B091C"/>
    <w:rsid w:val="006B09B0"/>
    <w:rsid w:val="006B09CB"/>
    <w:rsid w:val="006B0A10"/>
    <w:rsid w:val="006B0A20"/>
    <w:rsid w:val="006B0A2E"/>
    <w:rsid w:val="006B0A60"/>
    <w:rsid w:val="006B0A62"/>
    <w:rsid w:val="006B0AE0"/>
    <w:rsid w:val="006B0C38"/>
    <w:rsid w:val="006B0C6D"/>
    <w:rsid w:val="006B0C9D"/>
    <w:rsid w:val="006B0D05"/>
    <w:rsid w:val="006B0DB7"/>
    <w:rsid w:val="006B0DE8"/>
    <w:rsid w:val="006B0E41"/>
    <w:rsid w:val="006B0E42"/>
    <w:rsid w:val="006B0ED8"/>
    <w:rsid w:val="006B0FDF"/>
    <w:rsid w:val="006B103B"/>
    <w:rsid w:val="006B1077"/>
    <w:rsid w:val="006B10DE"/>
    <w:rsid w:val="006B11CA"/>
    <w:rsid w:val="006B11EF"/>
    <w:rsid w:val="006B11FA"/>
    <w:rsid w:val="006B1207"/>
    <w:rsid w:val="006B1248"/>
    <w:rsid w:val="006B12CB"/>
    <w:rsid w:val="006B1308"/>
    <w:rsid w:val="006B13B4"/>
    <w:rsid w:val="006B13C7"/>
    <w:rsid w:val="006B13CC"/>
    <w:rsid w:val="006B13F4"/>
    <w:rsid w:val="006B140C"/>
    <w:rsid w:val="006B1438"/>
    <w:rsid w:val="006B14EC"/>
    <w:rsid w:val="006B153A"/>
    <w:rsid w:val="006B1607"/>
    <w:rsid w:val="006B1646"/>
    <w:rsid w:val="006B1648"/>
    <w:rsid w:val="006B1670"/>
    <w:rsid w:val="006B172C"/>
    <w:rsid w:val="006B1799"/>
    <w:rsid w:val="006B185A"/>
    <w:rsid w:val="006B18CD"/>
    <w:rsid w:val="006B1936"/>
    <w:rsid w:val="006B1AD1"/>
    <w:rsid w:val="006B1B14"/>
    <w:rsid w:val="006B1B21"/>
    <w:rsid w:val="006B1B8D"/>
    <w:rsid w:val="006B1C39"/>
    <w:rsid w:val="006B1CCA"/>
    <w:rsid w:val="006B1DFC"/>
    <w:rsid w:val="006B1E7D"/>
    <w:rsid w:val="006B1E88"/>
    <w:rsid w:val="006B1EE4"/>
    <w:rsid w:val="006B1EE6"/>
    <w:rsid w:val="006B1F00"/>
    <w:rsid w:val="006B1F18"/>
    <w:rsid w:val="006B1F4F"/>
    <w:rsid w:val="006B20B0"/>
    <w:rsid w:val="006B20C0"/>
    <w:rsid w:val="006B211B"/>
    <w:rsid w:val="006B215C"/>
    <w:rsid w:val="006B2241"/>
    <w:rsid w:val="006B226E"/>
    <w:rsid w:val="006B22E1"/>
    <w:rsid w:val="006B23B1"/>
    <w:rsid w:val="006B23C6"/>
    <w:rsid w:val="006B23E0"/>
    <w:rsid w:val="006B23F6"/>
    <w:rsid w:val="006B2448"/>
    <w:rsid w:val="006B2449"/>
    <w:rsid w:val="006B2454"/>
    <w:rsid w:val="006B24B6"/>
    <w:rsid w:val="006B24F3"/>
    <w:rsid w:val="006B2531"/>
    <w:rsid w:val="006B25AC"/>
    <w:rsid w:val="006B2639"/>
    <w:rsid w:val="006B2666"/>
    <w:rsid w:val="006B26E3"/>
    <w:rsid w:val="006B286B"/>
    <w:rsid w:val="006B28E3"/>
    <w:rsid w:val="006B292D"/>
    <w:rsid w:val="006B298C"/>
    <w:rsid w:val="006B29A0"/>
    <w:rsid w:val="006B29C1"/>
    <w:rsid w:val="006B2A21"/>
    <w:rsid w:val="006B2A58"/>
    <w:rsid w:val="006B2A77"/>
    <w:rsid w:val="006B2AA2"/>
    <w:rsid w:val="006B2ADE"/>
    <w:rsid w:val="006B2B12"/>
    <w:rsid w:val="006B2B73"/>
    <w:rsid w:val="006B2B78"/>
    <w:rsid w:val="006B2C0A"/>
    <w:rsid w:val="006B2D20"/>
    <w:rsid w:val="006B2D9E"/>
    <w:rsid w:val="006B2DDE"/>
    <w:rsid w:val="006B2E59"/>
    <w:rsid w:val="006B2E97"/>
    <w:rsid w:val="006B2ECD"/>
    <w:rsid w:val="006B2EE7"/>
    <w:rsid w:val="006B2F6F"/>
    <w:rsid w:val="006B3006"/>
    <w:rsid w:val="006B30B8"/>
    <w:rsid w:val="006B30D7"/>
    <w:rsid w:val="006B310D"/>
    <w:rsid w:val="006B3131"/>
    <w:rsid w:val="006B3155"/>
    <w:rsid w:val="006B317D"/>
    <w:rsid w:val="006B3213"/>
    <w:rsid w:val="006B322B"/>
    <w:rsid w:val="006B33B4"/>
    <w:rsid w:val="006B33F4"/>
    <w:rsid w:val="006B34B4"/>
    <w:rsid w:val="006B34E3"/>
    <w:rsid w:val="006B34ED"/>
    <w:rsid w:val="006B35E5"/>
    <w:rsid w:val="006B35F1"/>
    <w:rsid w:val="006B3650"/>
    <w:rsid w:val="006B366F"/>
    <w:rsid w:val="006B3673"/>
    <w:rsid w:val="006B3679"/>
    <w:rsid w:val="006B3696"/>
    <w:rsid w:val="006B36CA"/>
    <w:rsid w:val="006B36FB"/>
    <w:rsid w:val="006B3719"/>
    <w:rsid w:val="006B372B"/>
    <w:rsid w:val="006B3808"/>
    <w:rsid w:val="006B380F"/>
    <w:rsid w:val="006B383C"/>
    <w:rsid w:val="006B3858"/>
    <w:rsid w:val="006B386E"/>
    <w:rsid w:val="006B3983"/>
    <w:rsid w:val="006B39AE"/>
    <w:rsid w:val="006B39C8"/>
    <w:rsid w:val="006B3A00"/>
    <w:rsid w:val="006B3B3C"/>
    <w:rsid w:val="006B3BC4"/>
    <w:rsid w:val="006B3D2F"/>
    <w:rsid w:val="006B3D4A"/>
    <w:rsid w:val="006B3DB6"/>
    <w:rsid w:val="006B3EAD"/>
    <w:rsid w:val="006B3EB7"/>
    <w:rsid w:val="006B3FBF"/>
    <w:rsid w:val="006B3FE1"/>
    <w:rsid w:val="006B40FC"/>
    <w:rsid w:val="006B417F"/>
    <w:rsid w:val="006B419E"/>
    <w:rsid w:val="006B41A6"/>
    <w:rsid w:val="006B41E8"/>
    <w:rsid w:val="006B4243"/>
    <w:rsid w:val="006B42EB"/>
    <w:rsid w:val="006B431A"/>
    <w:rsid w:val="006B4336"/>
    <w:rsid w:val="006B435A"/>
    <w:rsid w:val="006B43B2"/>
    <w:rsid w:val="006B440F"/>
    <w:rsid w:val="006B4430"/>
    <w:rsid w:val="006B4470"/>
    <w:rsid w:val="006B447A"/>
    <w:rsid w:val="006B452C"/>
    <w:rsid w:val="006B4562"/>
    <w:rsid w:val="006B457E"/>
    <w:rsid w:val="006B459E"/>
    <w:rsid w:val="006B461A"/>
    <w:rsid w:val="006B4625"/>
    <w:rsid w:val="006B464A"/>
    <w:rsid w:val="006B4665"/>
    <w:rsid w:val="006B468C"/>
    <w:rsid w:val="006B4727"/>
    <w:rsid w:val="006B478F"/>
    <w:rsid w:val="006B4843"/>
    <w:rsid w:val="006B48A8"/>
    <w:rsid w:val="006B493A"/>
    <w:rsid w:val="006B4943"/>
    <w:rsid w:val="006B495B"/>
    <w:rsid w:val="006B4A1E"/>
    <w:rsid w:val="006B4A47"/>
    <w:rsid w:val="006B4B6D"/>
    <w:rsid w:val="006B4B6F"/>
    <w:rsid w:val="006B4B95"/>
    <w:rsid w:val="006B4BE5"/>
    <w:rsid w:val="006B4C30"/>
    <w:rsid w:val="006B4C56"/>
    <w:rsid w:val="006B4C95"/>
    <w:rsid w:val="006B4CBC"/>
    <w:rsid w:val="006B4CCF"/>
    <w:rsid w:val="006B4D43"/>
    <w:rsid w:val="006B4DEF"/>
    <w:rsid w:val="006B4E2B"/>
    <w:rsid w:val="006B4E50"/>
    <w:rsid w:val="006B4EEF"/>
    <w:rsid w:val="006B4FA5"/>
    <w:rsid w:val="006B50A0"/>
    <w:rsid w:val="006B50DD"/>
    <w:rsid w:val="006B5189"/>
    <w:rsid w:val="006B5198"/>
    <w:rsid w:val="006B51B2"/>
    <w:rsid w:val="006B51B9"/>
    <w:rsid w:val="006B5203"/>
    <w:rsid w:val="006B526E"/>
    <w:rsid w:val="006B52B4"/>
    <w:rsid w:val="006B537E"/>
    <w:rsid w:val="006B53B8"/>
    <w:rsid w:val="006B542F"/>
    <w:rsid w:val="006B5451"/>
    <w:rsid w:val="006B54EC"/>
    <w:rsid w:val="006B5548"/>
    <w:rsid w:val="006B5554"/>
    <w:rsid w:val="006B55ED"/>
    <w:rsid w:val="006B5623"/>
    <w:rsid w:val="006B571B"/>
    <w:rsid w:val="006B5727"/>
    <w:rsid w:val="006B5747"/>
    <w:rsid w:val="006B580B"/>
    <w:rsid w:val="006B585C"/>
    <w:rsid w:val="006B5870"/>
    <w:rsid w:val="006B5944"/>
    <w:rsid w:val="006B5976"/>
    <w:rsid w:val="006B59C4"/>
    <w:rsid w:val="006B59C6"/>
    <w:rsid w:val="006B5A0F"/>
    <w:rsid w:val="006B5A7F"/>
    <w:rsid w:val="006B5AD5"/>
    <w:rsid w:val="006B5B9D"/>
    <w:rsid w:val="006B5BDF"/>
    <w:rsid w:val="006B5C59"/>
    <w:rsid w:val="006B5D07"/>
    <w:rsid w:val="006B5D4E"/>
    <w:rsid w:val="006B5E66"/>
    <w:rsid w:val="006B5F99"/>
    <w:rsid w:val="006B602F"/>
    <w:rsid w:val="006B60C2"/>
    <w:rsid w:val="006B6162"/>
    <w:rsid w:val="006B6188"/>
    <w:rsid w:val="006B61A8"/>
    <w:rsid w:val="006B61AC"/>
    <w:rsid w:val="006B6285"/>
    <w:rsid w:val="006B629A"/>
    <w:rsid w:val="006B62FB"/>
    <w:rsid w:val="006B62FF"/>
    <w:rsid w:val="006B6372"/>
    <w:rsid w:val="006B63A1"/>
    <w:rsid w:val="006B6440"/>
    <w:rsid w:val="006B6441"/>
    <w:rsid w:val="006B6537"/>
    <w:rsid w:val="006B656F"/>
    <w:rsid w:val="006B6607"/>
    <w:rsid w:val="006B6713"/>
    <w:rsid w:val="006B676E"/>
    <w:rsid w:val="006B6792"/>
    <w:rsid w:val="006B681C"/>
    <w:rsid w:val="006B6844"/>
    <w:rsid w:val="006B6853"/>
    <w:rsid w:val="006B685A"/>
    <w:rsid w:val="006B68BB"/>
    <w:rsid w:val="006B68EA"/>
    <w:rsid w:val="006B6907"/>
    <w:rsid w:val="006B6984"/>
    <w:rsid w:val="006B6A88"/>
    <w:rsid w:val="006B6BAC"/>
    <w:rsid w:val="006B6BAD"/>
    <w:rsid w:val="006B6C0C"/>
    <w:rsid w:val="006B6C33"/>
    <w:rsid w:val="006B6C7A"/>
    <w:rsid w:val="006B6CB1"/>
    <w:rsid w:val="006B6D72"/>
    <w:rsid w:val="006B6DC9"/>
    <w:rsid w:val="006B6EAD"/>
    <w:rsid w:val="006B6EB0"/>
    <w:rsid w:val="006B6F81"/>
    <w:rsid w:val="006B6FA7"/>
    <w:rsid w:val="006B709A"/>
    <w:rsid w:val="006B7209"/>
    <w:rsid w:val="006B7213"/>
    <w:rsid w:val="006B7241"/>
    <w:rsid w:val="006B728C"/>
    <w:rsid w:val="006B72AB"/>
    <w:rsid w:val="006B72E9"/>
    <w:rsid w:val="006B7301"/>
    <w:rsid w:val="006B7303"/>
    <w:rsid w:val="006B7325"/>
    <w:rsid w:val="006B741E"/>
    <w:rsid w:val="006B7433"/>
    <w:rsid w:val="006B744D"/>
    <w:rsid w:val="006B7490"/>
    <w:rsid w:val="006B74CE"/>
    <w:rsid w:val="006B7502"/>
    <w:rsid w:val="006B75EB"/>
    <w:rsid w:val="006B762C"/>
    <w:rsid w:val="006B763D"/>
    <w:rsid w:val="006B767C"/>
    <w:rsid w:val="006B76EC"/>
    <w:rsid w:val="006B77C8"/>
    <w:rsid w:val="006B7885"/>
    <w:rsid w:val="006B7944"/>
    <w:rsid w:val="006B7972"/>
    <w:rsid w:val="006B79D7"/>
    <w:rsid w:val="006B7A33"/>
    <w:rsid w:val="006B7A46"/>
    <w:rsid w:val="006B7A8A"/>
    <w:rsid w:val="006B7AA8"/>
    <w:rsid w:val="006B7B04"/>
    <w:rsid w:val="006B7B4C"/>
    <w:rsid w:val="006B7B9F"/>
    <w:rsid w:val="006B7C1E"/>
    <w:rsid w:val="006B7C29"/>
    <w:rsid w:val="006B7C40"/>
    <w:rsid w:val="006B7CBD"/>
    <w:rsid w:val="006B7DE1"/>
    <w:rsid w:val="006B7E79"/>
    <w:rsid w:val="006B7EAE"/>
    <w:rsid w:val="006B7F10"/>
    <w:rsid w:val="006B7FAF"/>
    <w:rsid w:val="006B7FCF"/>
    <w:rsid w:val="006C0043"/>
    <w:rsid w:val="006C0060"/>
    <w:rsid w:val="006C0109"/>
    <w:rsid w:val="006C01F1"/>
    <w:rsid w:val="006C0211"/>
    <w:rsid w:val="006C0409"/>
    <w:rsid w:val="006C0414"/>
    <w:rsid w:val="006C0436"/>
    <w:rsid w:val="006C0454"/>
    <w:rsid w:val="006C04CD"/>
    <w:rsid w:val="006C04E7"/>
    <w:rsid w:val="006C0501"/>
    <w:rsid w:val="006C0570"/>
    <w:rsid w:val="006C0586"/>
    <w:rsid w:val="006C06AF"/>
    <w:rsid w:val="006C074C"/>
    <w:rsid w:val="006C075B"/>
    <w:rsid w:val="006C0806"/>
    <w:rsid w:val="006C081A"/>
    <w:rsid w:val="006C081F"/>
    <w:rsid w:val="006C0824"/>
    <w:rsid w:val="006C089B"/>
    <w:rsid w:val="006C08D7"/>
    <w:rsid w:val="006C08EA"/>
    <w:rsid w:val="006C0904"/>
    <w:rsid w:val="006C0928"/>
    <w:rsid w:val="006C09BB"/>
    <w:rsid w:val="006C0A5E"/>
    <w:rsid w:val="006C0A97"/>
    <w:rsid w:val="006C0AF6"/>
    <w:rsid w:val="006C0BB6"/>
    <w:rsid w:val="006C0D39"/>
    <w:rsid w:val="006C0E32"/>
    <w:rsid w:val="006C0E68"/>
    <w:rsid w:val="006C0E6B"/>
    <w:rsid w:val="006C0EF8"/>
    <w:rsid w:val="006C0F23"/>
    <w:rsid w:val="006C0F45"/>
    <w:rsid w:val="006C10A2"/>
    <w:rsid w:val="006C10B0"/>
    <w:rsid w:val="006C111B"/>
    <w:rsid w:val="006C118B"/>
    <w:rsid w:val="006C124A"/>
    <w:rsid w:val="006C12D0"/>
    <w:rsid w:val="006C12F5"/>
    <w:rsid w:val="006C1315"/>
    <w:rsid w:val="006C1384"/>
    <w:rsid w:val="006C13C7"/>
    <w:rsid w:val="006C14E0"/>
    <w:rsid w:val="006C156D"/>
    <w:rsid w:val="006C15AF"/>
    <w:rsid w:val="006C15E5"/>
    <w:rsid w:val="006C15F9"/>
    <w:rsid w:val="006C164C"/>
    <w:rsid w:val="006C1658"/>
    <w:rsid w:val="006C16E2"/>
    <w:rsid w:val="006C1700"/>
    <w:rsid w:val="006C1724"/>
    <w:rsid w:val="006C1812"/>
    <w:rsid w:val="006C1814"/>
    <w:rsid w:val="006C188D"/>
    <w:rsid w:val="006C18F6"/>
    <w:rsid w:val="006C193D"/>
    <w:rsid w:val="006C1956"/>
    <w:rsid w:val="006C1A1B"/>
    <w:rsid w:val="006C1A20"/>
    <w:rsid w:val="006C1A79"/>
    <w:rsid w:val="006C1ACA"/>
    <w:rsid w:val="006C1AF4"/>
    <w:rsid w:val="006C1B5B"/>
    <w:rsid w:val="006C1C3C"/>
    <w:rsid w:val="006C1C5E"/>
    <w:rsid w:val="006C1CBF"/>
    <w:rsid w:val="006C1CCF"/>
    <w:rsid w:val="006C1D12"/>
    <w:rsid w:val="006C1D6A"/>
    <w:rsid w:val="006C1E79"/>
    <w:rsid w:val="006C1FE3"/>
    <w:rsid w:val="006C20E2"/>
    <w:rsid w:val="006C20E3"/>
    <w:rsid w:val="006C210D"/>
    <w:rsid w:val="006C21B0"/>
    <w:rsid w:val="006C22C6"/>
    <w:rsid w:val="006C232C"/>
    <w:rsid w:val="006C23E1"/>
    <w:rsid w:val="006C23E9"/>
    <w:rsid w:val="006C246C"/>
    <w:rsid w:val="006C24DC"/>
    <w:rsid w:val="006C24F2"/>
    <w:rsid w:val="006C2507"/>
    <w:rsid w:val="006C25D9"/>
    <w:rsid w:val="006C262E"/>
    <w:rsid w:val="006C26BB"/>
    <w:rsid w:val="006C26F0"/>
    <w:rsid w:val="006C26FC"/>
    <w:rsid w:val="006C2706"/>
    <w:rsid w:val="006C2719"/>
    <w:rsid w:val="006C2763"/>
    <w:rsid w:val="006C2806"/>
    <w:rsid w:val="006C2815"/>
    <w:rsid w:val="006C2856"/>
    <w:rsid w:val="006C2876"/>
    <w:rsid w:val="006C288A"/>
    <w:rsid w:val="006C288C"/>
    <w:rsid w:val="006C28E3"/>
    <w:rsid w:val="006C28E9"/>
    <w:rsid w:val="006C2906"/>
    <w:rsid w:val="006C2907"/>
    <w:rsid w:val="006C2938"/>
    <w:rsid w:val="006C29DE"/>
    <w:rsid w:val="006C2A22"/>
    <w:rsid w:val="006C2A45"/>
    <w:rsid w:val="006C2A7C"/>
    <w:rsid w:val="006C2ACF"/>
    <w:rsid w:val="006C2AF3"/>
    <w:rsid w:val="006C2B58"/>
    <w:rsid w:val="006C2BB3"/>
    <w:rsid w:val="006C2BD2"/>
    <w:rsid w:val="006C2C56"/>
    <w:rsid w:val="006C2CA5"/>
    <w:rsid w:val="006C2CE1"/>
    <w:rsid w:val="006C2D67"/>
    <w:rsid w:val="006C2D78"/>
    <w:rsid w:val="006C2D8B"/>
    <w:rsid w:val="006C2DB7"/>
    <w:rsid w:val="006C2DE5"/>
    <w:rsid w:val="006C2E13"/>
    <w:rsid w:val="006C2E25"/>
    <w:rsid w:val="006C2E4A"/>
    <w:rsid w:val="006C2F90"/>
    <w:rsid w:val="006C2FA3"/>
    <w:rsid w:val="006C30AE"/>
    <w:rsid w:val="006C30ED"/>
    <w:rsid w:val="006C3112"/>
    <w:rsid w:val="006C3130"/>
    <w:rsid w:val="006C3172"/>
    <w:rsid w:val="006C31A8"/>
    <w:rsid w:val="006C31ED"/>
    <w:rsid w:val="006C325E"/>
    <w:rsid w:val="006C32D7"/>
    <w:rsid w:val="006C3382"/>
    <w:rsid w:val="006C33F2"/>
    <w:rsid w:val="006C340D"/>
    <w:rsid w:val="006C34E4"/>
    <w:rsid w:val="006C350D"/>
    <w:rsid w:val="006C351B"/>
    <w:rsid w:val="006C3536"/>
    <w:rsid w:val="006C358A"/>
    <w:rsid w:val="006C35C2"/>
    <w:rsid w:val="006C362A"/>
    <w:rsid w:val="006C3672"/>
    <w:rsid w:val="006C36B5"/>
    <w:rsid w:val="006C3737"/>
    <w:rsid w:val="006C3759"/>
    <w:rsid w:val="006C3778"/>
    <w:rsid w:val="006C388F"/>
    <w:rsid w:val="006C38C3"/>
    <w:rsid w:val="006C3903"/>
    <w:rsid w:val="006C39BD"/>
    <w:rsid w:val="006C39F1"/>
    <w:rsid w:val="006C3A2C"/>
    <w:rsid w:val="006C3A4A"/>
    <w:rsid w:val="006C3A56"/>
    <w:rsid w:val="006C3AF2"/>
    <w:rsid w:val="006C3D1F"/>
    <w:rsid w:val="006C3D50"/>
    <w:rsid w:val="006C3E5C"/>
    <w:rsid w:val="006C3EA1"/>
    <w:rsid w:val="006C3EB0"/>
    <w:rsid w:val="006C3EC4"/>
    <w:rsid w:val="006C3EEB"/>
    <w:rsid w:val="006C3F39"/>
    <w:rsid w:val="006C3F79"/>
    <w:rsid w:val="006C3F89"/>
    <w:rsid w:val="006C3FCE"/>
    <w:rsid w:val="006C4036"/>
    <w:rsid w:val="006C4055"/>
    <w:rsid w:val="006C40D3"/>
    <w:rsid w:val="006C4115"/>
    <w:rsid w:val="006C4135"/>
    <w:rsid w:val="006C4152"/>
    <w:rsid w:val="006C4190"/>
    <w:rsid w:val="006C41C5"/>
    <w:rsid w:val="006C41D2"/>
    <w:rsid w:val="006C41D8"/>
    <w:rsid w:val="006C4275"/>
    <w:rsid w:val="006C42E4"/>
    <w:rsid w:val="006C42EC"/>
    <w:rsid w:val="006C42F1"/>
    <w:rsid w:val="006C4335"/>
    <w:rsid w:val="006C4368"/>
    <w:rsid w:val="006C43AC"/>
    <w:rsid w:val="006C43E6"/>
    <w:rsid w:val="006C43FF"/>
    <w:rsid w:val="006C4463"/>
    <w:rsid w:val="006C448D"/>
    <w:rsid w:val="006C4492"/>
    <w:rsid w:val="006C4498"/>
    <w:rsid w:val="006C44CD"/>
    <w:rsid w:val="006C4518"/>
    <w:rsid w:val="006C45B7"/>
    <w:rsid w:val="006C45EC"/>
    <w:rsid w:val="006C45FF"/>
    <w:rsid w:val="006C4657"/>
    <w:rsid w:val="006C477D"/>
    <w:rsid w:val="006C47C3"/>
    <w:rsid w:val="006C47D4"/>
    <w:rsid w:val="006C489B"/>
    <w:rsid w:val="006C48DA"/>
    <w:rsid w:val="006C491B"/>
    <w:rsid w:val="006C491D"/>
    <w:rsid w:val="006C4967"/>
    <w:rsid w:val="006C49CF"/>
    <w:rsid w:val="006C4A35"/>
    <w:rsid w:val="006C4AA8"/>
    <w:rsid w:val="006C4AE6"/>
    <w:rsid w:val="006C4BA5"/>
    <w:rsid w:val="006C4BAB"/>
    <w:rsid w:val="006C4BBE"/>
    <w:rsid w:val="006C4CB5"/>
    <w:rsid w:val="006C4CE1"/>
    <w:rsid w:val="006C4D4B"/>
    <w:rsid w:val="006C4DEF"/>
    <w:rsid w:val="006C4DFA"/>
    <w:rsid w:val="006C4EB0"/>
    <w:rsid w:val="006C4FA3"/>
    <w:rsid w:val="006C5116"/>
    <w:rsid w:val="006C5148"/>
    <w:rsid w:val="006C5171"/>
    <w:rsid w:val="006C519D"/>
    <w:rsid w:val="006C527D"/>
    <w:rsid w:val="006C52A9"/>
    <w:rsid w:val="006C5327"/>
    <w:rsid w:val="006C536A"/>
    <w:rsid w:val="006C5452"/>
    <w:rsid w:val="006C548F"/>
    <w:rsid w:val="006C54D9"/>
    <w:rsid w:val="006C5507"/>
    <w:rsid w:val="006C5552"/>
    <w:rsid w:val="006C555A"/>
    <w:rsid w:val="006C561E"/>
    <w:rsid w:val="006C5666"/>
    <w:rsid w:val="006C56B4"/>
    <w:rsid w:val="006C56B6"/>
    <w:rsid w:val="006C5748"/>
    <w:rsid w:val="006C578D"/>
    <w:rsid w:val="006C5833"/>
    <w:rsid w:val="006C5873"/>
    <w:rsid w:val="006C58EE"/>
    <w:rsid w:val="006C5917"/>
    <w:rsid w:val="006C5926"/>
    <w:rsid w:val="006C5935"/>
    <w:rsid w:val="006C59C0"/>
    <w:rsid w:val="006C5A17"/>
    <w:rsid w:val="006C5A3D"/>
    <w:rsid w:val="006C5A51"/>
    <w:rsid w:val="006C5AC7"/>
    <w:rsid w:val="006C5AF6"/>
    <w:rsid w:val="006C5B27"/>
    <w:rsid w:val="006C5B52"/>
    <w:rsid w:val="006C5BE6"/>
    <w:rsid w:val="006C5C85"/>
    <w:rsid w:val="006C5CE8"/>
    <w:rsid w:val="006C5CEB"/>
    <w:rsid w:val="006C5D18"/>
    <w:rsid w:val="006C5D36"/>
    <w:rsid w:val="006C5D95"/>
    <w:rsid w:val="006C5E64"/>
    <w:rsid w:val="006C5E72"/>
    <w:rsid w:val="006C600A"/>
    <w:rsid w:val="006C6036"/>
    <w:rsid w:val="006C606C"/>
    <w:rsid w:val="006C6098"/>
    <w:rsid w:val="006C60CF"/>
    <w:rsid w:val="006C6104"/>
    <w:rsid w:val="006C6106"/>
    <w:rsid w:val="006C6122"/>
    <w:rsid w:val="006C61C9"/>
    <w:rsid w:val="006C61F2"/>
    <w:rsid w:val="006C61F3"/>
    <w:rsid w:val="006C62C9"/>
    <w:rsid w:val="006C62D2"/>
    <w:rsid w:val="006C62DB"/>
    <w:rsid w:val="006C6379"/>
    <w:rsid w:val="006C63AD"/>
    <w:rsid w:val="006C63D6"/>
    <w:rsid w:val="006C63DA"/>
    <w:rsid w:val="006C6487"/>
    <w:rsid w:val="006C65D1"/>
    <w:rsid w:val="006C664D"/>
    <w:rsid w:val="006C667B"/>
    <w:rsid w:val="006C66E1"/>
    <w:rsid w:val="006C6825"/>
    <w:rsid w:val="006C6878"/>
    <w:rsid w:val="006C6902"/>
    <w:rsid w:val="006C6965"/>
    <w:rsid w:val="006C69FE"/>
    <w:rsid w:val="006C6A26"/>
    <w:rsid w:val="006C6BDD"/>
    <w:rsid w:val="006C6C15"/>
    <w:rsid w:val="006C6D8F"/>
    <w:rsid w:val="006C6DCC"/>
    <w:rsid w:val="006C6E38"/>
    <w:rsid w:val="006C6E7D"/>
    <w:rsid w:val="006C6E88"/>
    <w:rsid w:val="006C6EA8"/>
    <w:rsid w:val="006C6F17"/>
    <w:rsid w:val="006C6FAD"/>
    <w:rsid w:val="006C7024"/>
    <w:rsid w:val="006C702F"/>
    <w:rsid w:val="006C7034"/>
    <w:rsid w:val="006C7068"/>
    <w:rsid w:val="006C708B"/>
    <w:rsid w:val="006C70D4"/>
    <w:rsid w:val="006C7149"/>
    <w:rsid w:val="006C7161"/>
    <w:rsid w:val="006C7247"/>
    <w:rsid w:val="006C72EA"/>
    <w:rsid w:val="006C7342"/>
    <w:rsid w:val="006C7356"/>
    <w:rsid w:val="006C7364"/>
    <w:rsid w:val="006C742B"/>
    <w:rsid w:val="006C758C"/>
    <w:rsid w:val="006C75FF"/>
    <w:rsid w:val="006C76A4"/>
    <w:rsid w:val="006C76E2"/>
    <w:rsid w:val="006C76E7"/>
    <w:rsid w:val="006C76EA"/>
    <w:rsid w:val="006C7704"/>
    <w:rsid w:val="006C7709"/>
    <w:rsid w:val="006C770D"/>
    <w:rsid w:val="006C7777"/>
    <w:rsid w:val="006C778A"/>
    <w:rsid w:val="006C786D"/>
    <w:rsid w:val="006C78EB"/>
    <w:rsid w:val="006C7910"/>
    <w:rsid w:val="006C791A"/>
    <w:rsid w:val="006C793D"/>
    <w:rsid w:val="006C7970"/>
    <w:rsid w:val="006C798A"/>
    <w:rsid w:val="006C79C8"/>
    <w:rsid w:val="006C7A0B"/>
    <w:rsid w:val="006C7A0D"/>
    <w:rsid w:val="006C7A17"/>
    <w:rsid w:val="006C7AEA"/>
    <w:rsid w:val="006C7B53"/>
    <w:rsid w:val="006C7B6B"/>
    <w:rsid w:val="006C7BBE"/>
    <w:rsid w:val="006C7BEB"/>
    <w:rsid w:val="006C7C1A"/>
    <w:rsid w:val="006C7C7B"/>
    <w:rsid w:val="006C7CA2"/>
    <w:rsid w:val="006C7CD4"/>
    <w:rsid w:val="006C7CDF"/>
    <w:rsid w:val="006C7CE9"/>
    <w:rsid w:val="006C7CFA"/>
    <w:rsid w:val="006C7D15"/>
    <w:rsid w:val="006C7D7D"/>
    <w:rsid w:val="006C7DC4"/>
    <w:rsid w:val="006C7E10"/>
    <w:rsid w:val="006C7E3C"/>
    <w:rsid w:val="006C7EF2"/>
    <w:rsid w:val="006C7EFB"/>
    <w:rsid w:val="006C7F5F"/>
    <w:rsid w:val="006C7F6D"/>
    <w:rsid w:val="006C7FB0"/>
    <w:rsid w:val="006C7FDD"/>
    <w:rsid w:val="006D002C"/>
    <w:rsid w:val="006D0033"/>
    <w:rsid w:val="006D0071"/>
    <w:rsid w:val="006D007B"/>
    <w:rsid w:val="006D0080"/>
    <w:rsid w:val="006D0081"/>
    <w:rsid w:val="006D00E3"/>
    <w:rsid w:val="006D01E2"/>
    <w:rsid w:val="006D0221"/>
    <w:rsid w:val="006D0294"/>
    <w:rsid w:val="006D02B4"/>
    <w:rsid w:val="006D02C2"/>
    <w:rsid w:val="006D03DB"/>
    <w:rsid w:val="006D041B"/>
    <w:rsid w:val="006D049C"/>
    <w:rsid w:val="006D0501"/>
    <w:rsid w:val="006D055F"/>
    <w:rsid w:val="006D05A2"/>
    <w:rsid w:val="006D05BA"/>
    <w:rsid w:val="006D05CF"/>
    <w:rsid w:val="006D05D0"/>
    <w:rsid w:val="006D062D"/>
    <w:rsid w:val="006D063B"/>
    <w:rsid w:val="006D0676"/>
    <w:rsid w:val="006D06F2"/>
    <w:rsid w:val="006D0737"/>
    <w:rsid w:val="006D0751"/>
    <w:rsid w:val="006D0784"/>
    <w:rsid w:val="006D07B3"/>
    <w:rsid w:val="006D0813"/>
    <w:rsid w:val="006D086C"/>
    <w:rsid w:val="006D0900"/>
    <w:rsid w:val="006D091A"/>
    <w:rsid w:val="006D0942"/>
    <w:rsid w:val="006D09AF"/>
    <w:rsid w:val="006D09B1"/>
    <w:rsid w:val="006D0A24"/>
    <w:rsid w:val="006D0A86"/>
    <w:rsid w:val="006D0B5F"/>
    <w:rsid w:val="006D0B68"/>
    <w:rsid w:val="006D0B73"/>
    <w:rsid w:val="006D0BC9"/>
    <w:rsid w:val="006D0BF2"/>
    <w:rsid w:val="006D0BF4"/>
    <w:rsid w:val="006D0C80"/>
    <w:rsid w:val="006D0C8B"/>
    <w:rsid w:val="006D0C8D"/>
    <w:rsid w:val="006D0E01"/>
    <w:rsid w:val="006D0F08"/>
    <w:rsid w:val="006D0F57"/>
    <w:rsid w:val="006D0FD1"/>
    <w:rsid w:val="006D0FE0"/>
    <w:rsid w:val="006D1045"/>
    <w:rsid w:val="006D105A"/>
    <w:rsid w:val="006D1132"/>
    <w:rsid w:val="006D119E"/>
    <w:rsid w:val="006D1250"/>
    <w:rsid w:val="006D1400"/>
    <w:rsid w:val="006D14DC"/>
    <w:rsid w:val="006D14F6"/>
    <w:rsid w:val="006D1517"/>
    <w:rsid w:val="006D15E4"/>
    <w:rsid w:val="006D1606"/>
    <w:rsid w:val="006D1618"/>
    <w:rsid w:val="006D1638"/>
    <w:rsid w:val="006D1680"/>
    <w:rsid w:val="006D16BA"/>
    <w:rsid w:val="006D16BC"/>
    <w:rsid w:val="006D173E"/>
    <w:rsid w:val="006D17CC"/>
    <w:rsid w:val="006D17DD"/>
    <w:rsid w:val="006D1828"/>
    <w:rsid w:val="006D1870"/>
    <w:rsid w:val="006D18C8"/>
    <w:rsid w:val="006D1965"/>
    <w:rsid w:val="006D1A3D"/>
    <w:rsid w:val="006D1A52"/>
    <w:rsid w:val="006D1A95"/>
    <w:rsid w:val="006D1B14"/>
    <w:rsid w:val="006D1B34"/>
    <w:rsid w:val="006D1BA0"/>
    <w:rsid w:val="006D1BE0"/>
    <w:rsid w:val="006D1C10"/>
    <w:rsid w:val="006D1C4E"/>
    <w:rsid w:val="006D1C90"/>
    <w:rsid w:val="006D1CBE"/>
    <w:rsid w:val="006D1E6A"/>
    <w:rsid w:val="006D1EAC"/>
    <w:rsid w:val="006D1EC0"/>
    <w:rsid w:val="006D1F23"/>
    <w:rsid w:val="006D1F24"/>
    <w:rsid w:val="006D1F53"/>
    <w:rsid w:val="006D1FE4"/>
    <w:rsid w:val="006D1FE8"/>
    <w:rsid w:val="006D2055"/>
    <w:rsid w:val="006D2094"/>
    <w:rsid w:val="006D20CD"/>
    <w:rsid w:val="006D210F"/>
    <w:rsid w:val="006D219F"/>
    <w:rsid w:val="006D21BF"/>
    <w:rsid w:val="006D21E7"/>
    <w:rsid w:val="006D231F"/>
    <w:rsid w:val="006D2352"/>
    <w:rsid w:val="006D235F"/>
    <w:rsid w:val="006D23D1"/>
    <w:rsid w:val="006D2435"/>
    <w:rsid w:val="006D24D7"/>
    <w:rsid w:val="006D24F2"/>
    <w:rsid w:val="006D2503"/>
    <w:rsid w:val="006D2525"/>
    <w:rsid w:val="006D2540"/>
    <w:rsid w:val="006D2614"/>
    <w:rsid w:val="006D2625"/>
    <w:rsid w:val="006D26C0"/>
    <w:rsid w:val="006D26F9"/>
    <w:rsid w:val="006D2775"/>
    <w:rsid w:val="006D282F"/>
    <w:rsid w:val="006D28B7"/>
    <w:rsid w:val="006D28E7"/>
    <w:rsid w:val="006D290F"/>
    <w:rsid w:val="006D29BA"/>
    <w:rsid w:val="006D29C3"/>
    <w:rsid w:val="006D29CF"/>
    <w:rsid w:val="006D29E1"/>
    <w:rsid w:val="006D2AC0"/>
    <w:rsid w:val="006D2ADC"/>
    <w:rsid w:val="006D2B97"/>
    <w:rsid w:val="006D2C1E"/>
    <w:rsid w:val="006D2C2A"/>
    <w:rsid w:val="006D2C8E"/>
    <w:rsid w:val="006D2C9E"/>
    <w:rsid w:val="006D2D43"/>
    <w:rsid w:val="006D2D83"/>
    <w:rsid w:val="006D2DB1"/>
    <w:rsid w:val="006D2DF9"/>
    <w:rsid w:val="006D2EC1"/>
    <w:rsid w:val="006D2F82"/>
    <w:rsid w:val="006D30D2"/>
    <w:rsid w:val="006D3124"/>
    <w:rsid w:val="006D3136"/>
    <w:rsid w:val="006D3138"/>
    <w:rsid w:val="006D3163"/>
    <w:rsid w:val="006D31A7"/>
    <w:rsid w:val="006D31C3"/>
    <w:rsid w:val="006D327D"/>
    <w:rsid w:val="006D330F"/>
    <w:rsid w:val="006D3328"/>
    <w:rsid w:val="006D33A6"/>
    <w:rsid w:val="006D33D5"/>
    <w:rsid w:val="006D33F7"/>
    <w:rsid w:val="006D3419"/>
    <w:rsid w:val="006D3435"/>
    <w:rsid w:val="006D35E8"/>
    <w:rsid w:val="006D361E"/>
    <w:rsid w:val="006D367F"/>
    <w:rsid w:val="006D36A3"/>
    <w:rsid w:val="006D370F"/>
    <w:rsid w:val="006D377E"/>
    <w:rsid w:val="006D385A"/>
    <w:rsid w:val="006D38A3"/>
    <w:rsid w:val="006D3921"/>
    <w:rsid w:val="006D398F"/>
    <w:rsid w:val="006D39B7"/>
    <w:rsid w:val="006D3A0D"/>
    <w:rsid w:val="006D3A29"/>
    <w:rsid w:val="006D3A56"/>
    <w:rsid w:val="006D3AD0"/>
    <w:rsid w:val="006D3AF3"/>
    <w:rsid w:val="006D3B58"/>
    <w:rsid w:val="006D3B5B"/>
    <w:rsid w:val="006D3B9D"/>
    <w:rsid w:val="006D3BE9"/>
    <w:rsid w:val="006D3BF1"/>
    <w:rsid w:val="006D3C0B"/>
    <w:rsid w:val="006D3C59"/>
    <w:rsid w:val="006D3C69"/>
    <w:rsid w:val="006D3CC6"/>
    <w:rsid w:val="006D3D2A"/>
    <w:rsid w:val="006D3D88"/>
    <w:rsid w:val="006D3D8D"/>
    <w:rsid w:val="006D3DEF"/>
    <w:rsid w:val="006D3DF3"/>
    <w:rsid w:val="006D3E00"/>
    <w:rsid w:val="006D3E7C"/>
    <w:rsid w:val="006D3EFA"/>
    <w:rsid w:val="006D3FA3"/>
    <w:rsid w:val="006D3FAF"/>
    <w:rsid w:val="006D3FBA"/>
    <w:rsid w:val="006D3FEA"/>
    <w:rsid w:val="006D401F"/>
    <w:rsid w:val="006D4058"/>
    <w:rsid w:val="006D40B3"/>
    <w:rsid w:val="006D4102"/>
    <w:rsid w:val="006D411D"/>
    <w:rsid w:val="006D415E"/>
    <w:rsid w:val="006D41D6"/>
    <w:rsid w:val="006D4245"/>
    <w:rsid w:val="006D425D"/>
    <w:rsid w:val="006D4283"/>
    <w:rsid w:val="006D4403"/>
    <w:rsid w:val="006D4404"/>
    <w:rsid w:val="006D442E"/>
    <w:rsid w:val="006D4510"/>
    <w:rsid w:val="006D4517"/>
    <w:rsid w:val="006D4551"/>
    <w:rsid w:val="006D458C"/>
    <w:rsid w:val="006D4615"/>
    <w:rsid w:val="006D4630"/>
    <w:rsid w:val="006D46BE"/>
    <w:rsid w:val="006D4711"/>
    <w:rsid w:val="006D4749"/>
    <w:rsid w:val="006D4813"/>
    <w:rsid w:val="006D4834"/>
    <w:rsid w:val="006D4964"/>
    <w:rsid w:val="006D4A8A"/>
    <w:rsid w:val="006D4A90"/>
    <w:rsid w:val="006D4AB0"/>
    <w:rsid w:val="006D4B04"/>
    <w:rsid w:val="006D4B15"/>
    <w:rsid w:val="006D4BA0"/>
    <w:rsid w:val="006D4BD3"/>
    <w:rsid w:val="006D4C10"/>
    <w:rsid w:val="006D4C49"/>
    <w:rsid w:val="006D4C6C"/>
    <w:rsid w:val="006D4CE5"/>
    <w:rsid w:val="006D4D23"/>
    <w:rsid w:val="006D4D5C"/>
    <w:rsid w:val="006D4D7D"/>
    <w:rsid w:val="006D4DAF"/>
    <w:rsid w:val="006D4DB9"/>
    <w:rsid w:val="006D4DE4"/>
    <w:rsid w:val="006D4E4C"/>
    <w:rsid w:val="006D4E7B"/>
    <w:rsid w:val="006D4E8C"/>
    <w:rsid w:val="006D4EA8"/>
    <w:rsid w:val="006D4F59"/>
    <w:rsid w:val="006D4FA3"/>
    <w:rsid w:val="006D5042"/>
    <w:rsid w:val="006D50BC"/>
    <w:rsid w:val="006D5119"/>
    <w:rsid w:val="006D518B"/>
    <w:rsid w:val="006D519B"/>
    <w:rsid w:val="006D51B8"/>
    <w:rsid w:val="006D51D0"/>
    <w:rsid w:val="006D5278"/>
    <w:rsid w:val="006D5299"/>
    <w:rsid w:val="006D53AE"/>
    <w:rsid w:val="006D53D7"/>
    <w:rsid w:val="006D5466"/>
    <w:rsid w:val="006D5472"/>
    <w:rsid w:val="006D54AD"/>
    <w:rsid w:val="006D54BB"/>
    <w:rsid w:val="006D54F3"/>
    <w:rsid w:val="006D54FF"/>
    <w:rsid w:val="006D551E"/>
    <w:rsid w:val="006D552B"/>
    <w:rsid w:val="006D553C"/>
    <w:rsid w:val="006D55AA"/>
    <w:rsid w:val="006D55B6"/>
    <w:rsid w:val="006D5611"/>
    <w:rsid w:val="006D5616"/>
    <w:rsid w:val="006D5641"/>
    <w:rsid w:val="006D56B1"/>
    <w:rsid w:val="006D5720"/>
    <w:rsid w:val="006D579F"/>
    <w:rsid w:val="006D580B"/>
    <w:rsid w:val="006D5848"/>
    <w:rsid w:val="006D585F"/>
    <w:rsid w:val="006D586B"/>
    <w:rsid w:val="006D5879"/>
    <w:rsid w:val="006D58E8"/>
    <w:rsid w:val="006D590C"/>
    <w:rsid w:val="006D59AA"/>
    <w:rsid w:val="006D5A24"/>
    <w:rsid w:val="006D5A27"/>
    <w:rsid w:val="006D5A75"/>
    <w:rsid w:val="006D5A82"/>
    <w:rsid w:val="006D5B38"/>
    <w:rsid w:val="006D5CB7"/>
    <w:rsid w:val="006D5CBE"/>
    <w:rsid w:val="006D5D36"/>
    <w:rsid w:val="006D5D6E"/>
    <w:rsid w:val="006D5D72"/>
    <w:rsid w:val="006D5D8C"/>
    <w:rsid w:val="006D5DC6"/>
    <w:rsid w:val="006D5DFF"/>
    <w:rsid w:val="006D5E19"/>
    <w:rsid w:val="006D5E29"/>
    <w:rsid w:val="006D5E5C"/>
    <w:rsid w:val="006D5E8A"/>
    <w:rsid w:val="006D5E98"/>
    <w:rsid w:val="006D5F1A"/>
    <w:rsid w:val="006D5F1D"/>
    <w:rsid w:val="006D5F91"/>
    <w:rsid w:val="006D5FD3"/>
    <w:rsid w:val="006D5FF7"/>
    <w:rsid w:val="006D60E1"/>
    <w:rsid w:val="006D60F9"/>
    <w:rsid w:val="006D6357"/>
    <w:rsid w:val="006D6388"/>
    <w:rsid w:val="006D6396"/>
    <w:rsid w:val="006D63A6"/>
    <w:rsid w:val="006D6480"/>
    <w:rsid w:val="006D652A"/>
    <w:rsid w:val="006D6547"/>
    <w:rsid w:val="006D6552"/>
    <w:rsid w:val="006D65ED"/>
    <w:rsid w:val="006D668E"/>
    <w:rsid w:val="006D6747"/>
    <w:rsid w:val="006D67BD"/>
    <w:rsid w:val="006D67E9"/>
    <w:rsid w:val="006D6827"/>
    <w:rsid w:val="006D6831"/>
    <w:rsid w:val="006D693C"/>
    <w:rsid w:val="006D69ED"/>
    <w:rsid w:val="006D6A1B"/>
    <w:rsid w:val="006D6AA6"/>
    <w:rsid w:val="006D6B05"/>
    <w:rsid w:val="006D6B5F"/>
    <w:rsid w:val="006D6B8F"/>
    <w:rsid w:val="006D6BF2"/>
    <w:rsid w:val="006D6C15"/>
    <w:rsid w:val="006D6C39"/>
    <w:rsid w:val="006D6C42"/>
    <w:rsid w:val="006D6C48"/>
    <w:rsid w:val="006D6C89"/>
    <w:rsid w:val="006D6C8B"/>
    <w:rsid w:val="006D6C92"/>
    <w:rsid w:val="006D6D81"/>
    <w:rsid w:val="006D6DED"/>
    <w:rsid w:val="006D6E28"/>
    <w:rsid w:val="006D6E85"/>
    <w:rsid w:val="006D6E87"/>
    <w:rsid w:val="006D6E9E"/>
    <w:rsid w:val="006D6EC2"/>
    <w:rsid w:val="006D6EF0"/>
    <w:rsid w:val="006D6F43"/>
    <w:rsid w:val="006D6F46"/>
    <w:rsid w:val="006D6F6E"/>
    <w:rsid w:val="006D6F92"/>
    <w:rsid w:val="006D6FCD"/>
    <w:rsid w:val="006D6FFA"/>
    <w:rsid w:val="006D70DD"/>
    <w:rsid w:val="006D714C"/>
    <w:rsid w:val="006D7180"/>
    <w:rsid w:val="006D7191"/>
    <w:rsid w:val="006D71F6"/>
    <w:rsid w:val="006D7207"/>
    <w:rsid w:val="006D7214"/>
    <w:rsid w:val="006D7237"/>
    <w:rsid w:val="006D725C"/>
    <w:rsid w:val="006D7310"/>
    <w:rsid w:val="006D738E"/>
    <w:rsid w:val="006D73B7"/>
    <w:rsid w:val="006D74D2"/>
    <w:rsid w:val="006D74D3"/>
    <w:rsid w:val="006D751F"/>
    <w:rsid w:val="006D75B5"/>
    <w:rsid w:val="006D75B8"/>
    <w:rsid w:val="006D7610"/>
    <w:rsid w:val="006D7667"/>
    <w:rsid w:val="006D767B"/>
    <w:rsid w:val="006D76E3"/>
    <w:rsid w:val="006D773D"/>
    <w:rsid w:val="006D7761"/>
    <w:rsid w:val="006D7774"/>
    <w:rsid w:val="006D7794"/>
    <w:rsid w:val="006D77D5"/>
    <w:rsid w:val="006D7806"/>
    <w:rsid w:val="006D7816"/>
    <w:rsid w:val="006D7833"/>
    <w:rsid w:val="006D788C"/>
    <w:rsid w:val="006D78F9"/>
    <w:rsid w:val="006D7A06"/>
    <w:rsid w:val="006D7B60"/>
    <w:rsid w:val="006D7B6B"/>
    <w:rsid w:val="006D7C05"/>
    <w:rsid w:val="006D7CC0"/>
    <w:rsid w:val="006D7CF1"/>
    <w:rsid w:val="006D7D29"/>
    <w:rsid w:val="006D7F01"/>
    <w:rsid w:val="006D7F2A"/>
    <w:rsid w:val="006D7F4B"/>
    <w:rsid w:val="006E0077"/>
    <w:rsid w:val="006E0104"/>
    <w:rsid w:val="006E01C8"/>
    <w:rsid w:val="006E027F"/>
    <w:rsid w:val="006E02A4"/>
    <w:rsid w:val="006E02C1"/>
    <w:rsid w:val="006E02F9"/>
    <w:rsid w:val="006E036E"/>
    <w:rsid w:val="006E0370"/>
    <w:rsid w:val="006E038B"/>
    <w:rsid w:val="006E03B8"/>
    <w:rsid w:val="006E0477"/>
    <w:rsid w:val="006E04A4"/>
    <w:rsid w:val="006E04B5"/>
    <w:rsid w:val="006E0543"/>
    <w:rsid w:val="006E055B"/>
    <w:rsid w:val="006E062D"/>
    <w:rsid w:val="006E069C"/>
    <w:rsid w:val="006E07C0"/>
    <w:rsid w:val="006E07CE"/>
    <w:rsid w:val="006E0805"/>
    <w:rsid w:val="006E085A"/>
    <w:rsid w:val="006E0876"/>
    <w:rsid w:val="006E0899"/>
    <w:rsid w:val="006E0946"/>
    <w:rsid w:val="006E09AB"/>
    <w:rsid w:val="006E09C0"/>
    <w:rsid w:val="006E0A60"/>
    <w:rsid w:val="006E0ACD"/>
    <w:rsid w:val="006E0B5B"/>
    <w:rsid w:val="006E0B5E"/>
    <w:rsid w:val="006E0BF3"/>
    <w:rsid w:val="006E0C86"/>
    <w:rsid w:val="006E0CC2"/>
    <w:rsid w:val="006E0CF8"/>
    <w:rsid w:val="006E0D50"/>
    <w:rsid w:val="006E0D7C"/>
    <w:rsid w:val="006E0DAE"/>
    <w:rsid w:val="006E0DEE"/>
    <w:rsid w:val="006E0E50"/>
    <w:rsid w:val="006E0EA8"/>
    <w:rsid w:val="006E0EFD"/>
    <w:rsid w:val="006E0F60"/>
    <w:rsid w:val="006E0F65"/>
    <w:rsid w:val="006E1102"/>
    <w:rsid w:val="006E1106"/>
    <w:rsid w:val="006E11EF"/>
    <w:rsid w:val="006E1234"/>
    <w:rsid w:val="006E12DB"/>
    <w:rsid w:val="006E12DD"/>
    <w:rsid w:val="006E135E"/>
    <w:rsid w:val="006E1372"/>
    <w:rsid w:val="006E1374"/>
    <w:rsid w:val="006E13BD"/>
    <w:rsid w:val="006E13CC"/>
    <w:rsid w:val="006E13D2"/>
    <w:rsid w:val="006E1449"/>
    <w:rsid w:val="006E1556"/>
    <w:rsid w:val="006E163E"/>
    <w:rsid w:val="006E1651"/>
    <w:rsid w:val="006E165C"/>
    <w:rsid w:val="006E16BD"/>
    <w:rsid w:val="006E1760"/>
    <w:rsid w:val="006E17EE"/>
    <w:rsid w:val="006E1885"/>
    <w:rsid w:val="006E18CB"/>
    <w:rsid w:val="006E18DB"/>
    <w:rsid w:val="006E19D0"/>
    <w:rsid w:val="006E1A8B"/>
    <w:rsid w:val="006E1ACC"/>
    <w:rsid w:val="006E1ADE"/>
    <w:rsid w:val="006E1B0E"/>
    <w:rsid w:val="006E1C18"/>
    <w:rsid w:val="006E1D02"/>
    <w:rsid w:val="006E1D8A"/>
    <w:rsid w:val="006E1DB4"/>
    <w:rsid w:val="006E1DC5"/>
    <w:rsid w:val="006E1E74"/>
    <w:rsid w:val="006E1EC6"/>
    <w:rsid w:val="006E1F04"/>
    <w:rsid w:val="006E1FFD"/>
    <w:rsid w:val="006E2012"/>
    <w:rsid w:val="006E2040"/>
    <w:rsid w:val="006E207E"/>
    <w:rsid w:val="006E20C3"/>
    <w:rsid w:val="006E21F8"/>
    <w:rsid w:val="006E2200"/>
    <w:rsid w:val="006E2213"/>
    <w:rsid w:val="006E241A"/>
    <w:rsid w:val="006E2451"/>
    <w:rsid w:val="006E248D"/>
    <w:rsid w:val="006E259A"/>
    <w:rsid w:val="006E25A4"/>
    <w:rsid w:val="006E25CE"/>
    <w:rsid w:val="006E2654"/>
    <w:rsid w:val="006E26FB"/>
    <w:rsid w:val="006E2804"/>
    <w:rsid w:val="006E280C"/>
    <w:rsid w:val="006E28B1"/>
    <w:rsid w:val="006E28BE"/>
    <w:rsid w:val="006E2914"/>
    <w:rsid w:val="006E29A5"/>
    <w:rsid w:val="006E29C3"/>
    <w:rsid w:val="006E29CB"/>
    <w:rsid w:val="006E29D6"/>
    <w:rsid w:val="006E2A52"/>
    <w:rsid w:val="006E2AA8"/>
    <w:rsid w:val="006E2AC1"/>
    <w:rsid w:val="006E2B63"/>
    <w:rsid w:val="006E2BD8"/>
    <w:rsid w:val="006E2CC7"/>
    <w:rsid w:val="006E2D55"/>
    <w:rsid w:val="006E2D5C"/>
    <w:rsid w:val="006E2D8C"/>
    <w:rsid w:val="006E2D9B"/>
    <w:rsid w:val="006E2E17"/>
    <w:rsid w:val="006E2E8D"/>
    <w:rsid w:val="006E2E9E"/>
    <w:rsid w:val="006E2F08"/>
    <w:rsid w:val="006E2F23"/>
    <w:rsid w:val="006E2F74"/>
    <w:rsid w:val="006E3048"/>
    <w:rsid w:val="006E3057"/>
    <w:rsid w:val="006E3075"/>
    <w:rsid w:val="006E30E1"/>
    <w:rsid w:val="006E310B"/>
    <w:rsid w:val="006E317D"/>
    <w:rsid w:val="006E31E2"/>
    <w:rsid w:val="006E3222"/>
    <w:rsid w:val="006E323E"/>
    <w:rsid w:val="006E32D6"/>
    <w:rsid w:val="006E32DE"/>
    <w:rsid w:val="006E3345"/>
    <w:rsid w:val="006E338B"/>
    <w:rsid w:val="006E339A"/>
    <w:rsid w:val="006E33D8"/>
    <w:rsid w:val="006E33FD"/>
    <w:rsid w:val="006E342F"/>
    <w:rsid w:val="006E34A2"/>
    <w:rsid w:val="006E34E8"/>
    <w:rsid w:val="006E3562"/>
    <w:rsid w:val="006E3585"/>
    <w:rsid w:val="006E35F5"/>
    <w:rsid w:val="006E35FA"/>
    <w:rsid w:val="006E36B4"/>
    <w:rsid w:val="006E36CB"/>
    <w:rsid w:val="006E3746"/>
    <w:rsid w:val="006E3845"/>
    <w:rsid w:val="006E3868"/>
    <w:rsid w:val="006E3869"/>
    <w:rsid w:val="006E38CC"/>
    <w:rsid w:val="006E399E"/>
    <w:rsid w:val="006E39B4"/>
    <w:rsid w:val="006E3A26"/>
    <w:rsid w:val="006E3A90"/>
    <w:rsid w:val="006E3AD3"/>
    <w:rsid w:val="006E3AD9"/>
    <w:rsid w:val="006E3B37"/>
    <w:rsid w:val="006E3BBA"/>
    <w:rsid w:val="006E3BBE"/>
    <w:rsid w:val="006E3BF5"/>
    <w:rsid w:val="006E3C59"/>
    <w:rsid w:val="006E3C7D"/>
    <w:rsid w:val="006E3D0A"/>
    <w:rsid w:val="006E3DA9"/>
    <w:rsid w:val="006E3DD5"/>
    <w:rsid w:val="006E3DEB"/>
    <w:rsid w:val="006E3DEE"/>
    <w:rsid w:val="006E3E0F"/>
    <w:rsid w:val="006E3E55"/>
    <w:rsid w:val="006E3E89"/>
    <w:rsid w:val="006E3EB7"/>
    <w:rsid w:val="006E3EEB"/>
    <w:rsid w:val="006E3F22"/>
    <w:rsid w:val="006E3FBB"/>
    <w:rsid w:val="006E4004"/>
    <w:rsid w:val="006E400C"/>
    <w:rsid w:val="006E4014"/>
    <w:rsid w:val="006E4036"/>
    <w:rsid w:val="006E40F3"/>
    <w:rsid w:val="006E4166"/>
    <w:rsid w:val="006E420C"/>
    <w:rsid w:val="006E421D"/>
    <w:rsid w:val="006E429D"/>
    <w:rsid w:val="006E42FD"/>
    <w:rsid w:val="006E4307"/>
    <w:rsid w:val="006E4327"/>
    <w:rsid w:val="006E4428"/>
    <w:rsid w:val="006E448D"/>
    <w:rsid w:val="006E44B4"/>
    <w:rsid w:val="006E44E4"/>
    <w:rsid w:val="006E453D"/>
    <w:rsid w:val="006E45B5"/>
    <w:rsid w:val="006E45C6"/>
    <w:rsid w:val="006E45CF"/>
    <w:rsid w:val="006E45DD"/>
    <w:rsid w:val="006E464A"/>
    <w:rsid w:val="006E4672"/>
    <w:rsid w:val="006E4675"/>
    <w:rsid w:val="006E46C9"/>
    <w:rsid w:val="006E46CF"/>
    <w:rsid w:val="006E46FA"/>
    <w:rsid w:val="006E4773"/>
    <w:rsid w:val="006E47F9"/>
    <w:rsid w:val="006E4826"/>
    <w:rsid w:val="006E483B"/>
    <w:rsid w:val="006E488B"/>
    <w:rsid w:val="006E4924"/>
    <w:rsid w:val="006E4929"/>
    <w:rsid w:val="006E494D"/>
    <w:rsid w:val="006E4951"/>
    <w:rsid w:val="006E496F"/>
    <w:rsid w:val="006E49A7"/>
    <w:rsid w:val="006E49F2"/>
    <w:rsid w:val="006E4AE2"/>
    <w:rsid w:val="006E4B96"/>
    <w:rsid w:val="006E4BB9"/>
    <w:rsid w:val="006E4BD4"/>
    <w:rsid w:val="006E4C16"/>
    <w:rsid w:val="006E4C4C"/>
    <w:rsid w:val="006E4CED"/>
    <w:rsid w:val="006E4D05"/>
    <w:rsid w:val="006E4D50"/>
    <w:rsid w:val="006E4FC8"/>
    <w:rsid w:val="006E4FDD"/>
    <w:rsid w:val="006E4FFE"/>
    <w:rsid w:val="006E5015"/>
    <w:rsid w:val="006E503E"/>
    <w:rsid w:val="006E50BE"/>
    <w:rsid w:val="006E514D"/>
    <w:rsid w:val="006E515C"/>
    <w:rsid w:val="006E5207"/>
    <w:rsid w:val="006E5261"/>
    <w:rsid w:val="006E526E"/>
    <w:rsid w:val="006E52B7"/>
    <w:rsid w:val="006E539A"/>
    <w:rsid w:val="006E53DF"/>
    <w:rsid w:val="006E5529"/>
    <w:rsid w:val="006E554B"/>
    <w:rsid w:val="006E55DF"/>
    <w:rsid w:val="006E55F4"/>
    <w:rsid w:val="006E5698"/>
    <w:rsid w:val="006E56B7"/>
    <w:rsid w:val="006E56BA"/>
    <w:rsid w:val="006E5705"/>
    <w:rsid w:val="006E574E"/>
    <w:rsid w:val="006E5776"/>
    <w:rsid w:val="006E57BB"/>
    <w:rsid w:val="006E584B"/>
    <w:rsid w:val="006E58E6"/>
    <w:rsid w:val="006E5AB9"/>
    <w:rsid w:val="006E5BE2"/>
    <w:rsid w:val="006E5C10"/>
    <w:rsid w:val="006E5C41"/>
    <w:rsid w:val="006E5C44"/>
    <w:rsid w:val="006E5C65"/>
    <w:rsid w:val="006E5CCF"/>
    <w:rsid w:val="006E5CDA"/>
    <w:rsid w:val="006E5D14"/>
    <w:rsid w:val="006E5D36"/>
    <w:rsid w:val="006E5DED"/>
    <w:rsid w:val="006E5E0C"/>
    <w:rsid w:val="006E5E21"/>
    <w:rsid w:val="006E5E7E"/>
    <w:rsid w:val="006E5ECC"/>
    <w:rsid w:val="006E607F"/>
    <w:rsid w:val="006E610D"/>
    <w:rsid w:val="006E6134"/>
    <w:rsid w:val="006E613B"/>
    <w:rsid w:val="006E6161"/>
    <w:rsid w:val="006E6271"/>
    <w:rsid w:val="006E6278"/>
    <w:rsid w:val="006E62E8"/>
    <w:rsid w:val="006E647F"/>
    <w:rsid w:val="006E6502"/>
    <w:rsid w:val="006E659C"/>
    <w:rsid w:val="006E65B1"/>
    <w:rsid w:val="006E6666"/>
    <w:rsid w:val="006E66B5"/>
    <w:rsid w:val="006E6704"/>
    <w:rsid w:val="006E670E"/>
    <w:rsid w:val="006E67BC"/>
    <w:rsid w:val="006E67F9"/>
    <w:rsid w:val="006E6810"/>
    <w:rsid w:val="006E6836"/>
    <w:rsid w:val="006E684D"/>
    <w:rsid w:val="006E6874"/>
    <w:rsid w:val="006E68A0"/>
    <w:rsid w:val="006E68E3"/>
    <w:rsid w:val="006E6928"/>
    <w:rsid w:val="006E699A"/>
    <w:rsid w:val="006E69FF"/>
    <w:rsid w:val="006E6A37"/>
    <w:rsid w:val="006E6A6B"/>
    <w:rsid w:val="006E6B86"/>
    <w:rsid w:val="006E6CDE"/>
    <w:rsid w:val="006E6CFF"/>
    <w:rsid w:val="006E6D55"/>
    <w:rsid w:val="006E6DB7"/>
    <w:rsid w:val="006E6DB8"/>
    <w:rsid w:val="006E6DCA"/>
    <w:rsid w:val="006E6E9F"/>
    <w:rsid w:val="006E6ECE"/>
    <w:rsid w:val="006E6ECF"/>
    <w:rsid w:val="006E6F04"/>
    <w:rsid w:val="006E6F25"/>
    <w:rsid w:val="006E6F35"/>
    <w:rsid w:val="006E6F44"/>
    <w:rsid w:val="006E6F8C"/>
    <w:rsid w:val="006E6FDA"/>
    <w:rsid w:val="006E7053"/>
    <w:rsid w:val="006E70F4"/>
    <w:rsid w:val="006E7141"/>
    <w:rsid w:val="006E7158"/>
    <w:rsid w:val="006E7245"/>
    <w:rsid w:val="006E7249"/>
    <w:rsid w:val="006E72D0"/>
    <w:rsid w:val="006E72F2"/>
    <w:rsid w:val="006E7373"/>
    <w:rsid w:val="006E7392"/>
    <w:rsid w:val="006E73B2"/>
    <w:rsid w:val="006E73E8"/>
    <w:rsid w:val="006E750E"/>
    <w:rsid w:val="006E754A"/>
    <w:rsid w:val="006E760B"/>
    <w:rsid w:val="006E7610"/>
    <w:rsid w:val="006E76D4"/>
    <w:rsid w:val="006E7711"/>
    <w:rsid w:val="006E78BB"/>
    <w:rsid w:val="006E7904"/>
    <w:rsid w:val="006E7A90"/>
    <w:rsid w:val="006E7AB0"/>
    <w:rsid w:val="006E7AEF"/>
    <w:rsid w:val="006E7B0A"/>
    <w:rsid w:val="006E7B83"/>
    <w:rsid w:val="006E7BC1"/>
    <w:rsid w:val="006E7BFA"/>
    <w:rsid w:val="006E7C4E"/>
    <w:rsid w:val="006E7C97"/>
    <w:rsid w:val="006E7CFB"/>
    <w:rsid w:val="006E7ECF"/>
    <w:rsid w:val="006E7EE3"/>
    <w:rsid w:val="006E7EFD"/>
    <w:rsid w:val="006E7F0A"/>
    <w:rsid w:val="006E7F67"/>
    <w:rsid w:val="006E7F7E"/>
    <w:rsid w:val="006E7F88"/>
    <w:rsid w:val="006E7F89"/>
    <w:rsid w:val="006E7FAE"/>
    <w:rsid w:val="006F0025"/>
    <w:rsid w:val="006F00C6"/>
    <w:rsid w:val="006F0101"/>
    <w:rsid w:val="006F011E"/>
    <w:rsid w:val="006F01FC"/>
    <w:rsid w:val="006F023A"/>
    <w:rsid w:val="006F0243"/>
    <w:rsid w:val="006F029C"/>
    <w:rsid w:val="006F03C8"/>
    <w:rsid w:val="006F0447"/>
    <w:rsid w:val="006F050B"/>
    <w:rsid w:val="006F0597"/>
    <w:rsid w:val="006F05A1"/>
    <w:rsid w:val="006F05E9"/>
    <w:rsid w:val="006F072F"/>
    <w:rsid w:val="006F073D"/>
    <w:rsid w:val="006F07C0"/>
    <w:rsid w:val="006F0872"/>
    <w:rsid w:val="006F08C9"/>
    <w:rsid w:val="006F0991"/>
    <w:rsid w:val="006F09C5"/>
    <w:rsid w:val="006F0A43"/>
    <w:rsid w:val="006F0B36"/>
    <w:rsid w:val="006F0B4A"/>
    <w:rsid w:val="006F0B7E"/>
    <w:rsid w:val="006F0B85"/>
    <w:rsid w:val="006F0C44"/>
    <w:rsid w:val="006F0CB8"/>
    <w:rsid w:val="006F0CF7"/>
    <w:rsid w:val="006F0EE8"/>
    <w:rsid w:val="006F0EF9"/>
    <w:rsid w:val="006F0F2F"/>
    <w:rsid w:val="006F0F38"/>
    <w:rsid w:val="006F0FBA"/>
    <w:rsid w:val="006F0FF0"/>
    <w:rsid w:val="006F10CF"/>
    <w:rsid w:val="006F1106"/>
    <w:rsid w:val="006F112E"/>
    <w:rsid w:val="006F1195"/>
    <w:rsid w:val="006F11C7"/>
    <w:rsid w:val="006F11D5"/>
    <w:rsid w:val="006F122E"/>
    <w:rsid w:val="006F12E5"/>
    <w:rsid w:val="006F13E5"/>
    <w:rsid w:val="006F149B"/>
    <w:rsid w:val="006F14D2"/>
    <w:rsid w:val="006F1579"/>
    <w:rsid w:val="006F161A"/>
    <w:rsid w:val="006F1654"/>
    <w:rsid w:val="006F16D0"/>
    <w:rsid w:val="006F16D1"/>
    <w:rsid w:val="006F179F"/>
    <w:rsid w:val="006F17AA"/>
    <w:rsid w:val="006F17DC"/>
    <w:rsid w:val="006F1810"/>
    <w:rsid w:val="006F1813"/>
    <w:rsid w:val="006F182D"/>
    <w:rsid w:val="006F18A2"/>
    <w:rsid w:val="006F1908"/>
    <w:rsid w:val="006F194B"/>
    <w:rsid w:val="006F198E"/>
    <w:rsid w:val="006F1993"/>
    <w:rsid w:val="006F1994"/>
    <w:rsid w:val="006F1A7F"/>
    <w:rsid w:val="006F1AB9"/>
    <w:rsid w:val="006F1ABD"/>
    <w:rsid w:val="006F1AEE"/>
    <w:rsid w:val="006F1B4F"/>
    <w:rsid w:val="006F1B61"/>
    <w:rsid w:val="006F1BCD"/>
    <w:rsid w:val="006F1C43"/>
    <w:rsid w:val="006F1CB0"/>
    <w:rsid w:val="006F1CF4"/>
    <w:rsid w:val="006F1D4B"/>
    <w:rsid w:val="006F1D5D"/>
    <w:rsid w:val="006F1D93"/>
    <w:rsid w:val="006F1DE5"/>
    <w:rsid w:val="006F1DF8"/>
    <w:rsid w:val="006F1E15"/>
    <w:rsid w:val="006F1E4C"/>
    <w:rsid w:val="006F1E52"/>
    <w:rsid w:val="006F1EA3"/>
    <w:rsid w:val="006F1EDD"/>
    <w:rsid w:val="006F1F45"/>
    <w:rsid w:val="006F1FC4"/>
    <w:rsid w:val="006F1FF8"/>
    <w:rsid w:val="006F1FFE"/>
    <w:rsid w:val="006F2145"/>
    <w:rsid w:val="006F2194"/>
    <w:rsid w:val="006F2269"/>
    <w:rsid w:val="006F22CA"/>
    <w:rsid w:val="006F22EA"/>
    <w:rsid w:val="006F2386"/>
    <w:rsid w:val="006F2473"/>
    <w:rsid w:val="006F2493"/>
    <w:rsid w:val="006F24F0"/>
    <w:rsid w:val="006F24F4"/>
    <w:rsid w:val="006F26B7"/>
    <w:rsid w:val="006F26BB"/>
    <w:rsid w:val="006F2761"/>
    <w:rsid w:val="006F27F9"/>
    <w:rsid w:val="006F287E"/>
    <w:rsid w:val="006F291B"/>
    <w:rsid w:val="006F2996"/>
    <w:rsid w:val="006F299E"/>
    <w:rsid w:val="006F29C3"/>
    <w:rsid w:val="006F2A1B"/>
    <w:rsid w:val="006F2A46"/>
    <w:rsid w:val="006F2AF9"/>
    <w:rsid w:val="006F2B13"/>
    <w:rsid w:val="006F2B9E"/>
    <w:rsid w:val="006F2C6F"/>
    <w:rsid w:val="006F2D1A"/>
    <w:rsid w:val="006F2D2A"/>
    <w:rsid w:val="006F2D53"/>
    <w:rsid w:val="006F2D92"/>
    <w:rsid w:val="006F2DAF"/>
    <w:rsid w:val="006F2DBC"/>
    <w:rsid w:val="006F2DD4"/>
    <w:rsid w:val="006F2DF9"/>
    <w:rsid w:val="006F2EE1"/>
    <w:rsid w:val="006F2FD9"/>
    <w:rsid w:val="006F2FE4"/>
    <w:rsid w:val="006F2FF6"/>
    <w:rsid w:val="006F3026"/>
    <w:rsid w:val="006F3030"/>
    <w:rsid w:val="006F303E"/>
    <w:rsid w:val="006F3158"/>
    <w:rsid w:val="006F320F"/>
    <w:rsid w:val="006F3225"/>
    <w:rsid w:val="006F32F3"/>
    <w:rsid w:val="006F338C"/>
    <w:rsid w:val="006F33A2"/>
    <w:rsid w:val="006F3495"/>
    <w:rsid w:val="006F34E6"/>
    <w:rsid w:val="006F354F"/>
    <w:rsid w:val="006F35BC"/>
    <w:rsid w:val="006F369F"/>
    <w:rsid w:val="006F36B8"/>
    <w:rsid w:val="006F36F9"/>
    <w:rsid w:val="006F3733"/>
    <w:rsid w:val="006F373E"/>
    <w:rsid w:val="006F37B4"/>
    <w:rsid w:val="006F381D"/>
    <w:rsid w:val="006F388A"/>
    <w:rsid w:val="006F3986"/>
    <w:rsid w:val="006F39FE"/>
    <w:rsid w:val="006F3B0C"/>
    <w:rsid w:val="006F3B34"/>
    <w:rsid w:val="006F3B64"/>
    <w:rsid w:val="006F3C07"/>
    <w:rsid w:val="006F3C2B"/>
    <w:rsid w:val="006F3DAD"/>
    <w:rsid w:val="006F3DCF"/>
    <w:rsid w:val="006F3DD0"/>
    <w:rsid w:val="006F3DD6"/>
    <w:rsid w:val="006F3ED7"/>
    <w:rsid w:val="006F3F48"/>
    <w:rsid w:val="006F3FCC"/>
    <w:rsid w:val="006F3FE5"/>
    <w:rsid w:val="006F4095"/>
    <w:rsid w:val="006F40DA"/>
    <w:rsid w:val="006F40F7"/>
    <w:rsid w:val="006F41EF"/>
    <w:rsid w:val="006F4250"/>
    <w:rsid w:val="006F429E"/>
    <w:rsid w:val="006F42B9"/>
    <w:rsid w:val="006F4321"/>
    <w:rsid w:val="006F4329"/>
    <w:rsid w:val="006F4345"/>
    <w:rsid w:val="006F43C0"/>
    <w:rsid w:val="006F4410"/>
    <w:rsid w:val="006F4465"/>
    <w:rsid w:val="006F4564"/>
    <w:rsid w:val="006F4575"/>
    <w:rsid w:val="006F457A"/>
    <w:rsid w:val="006F458D"/>
    <w:rsid w:val="006F45B9"/>
    <w:rsid w:val="006F45E5"/>
    <w:rsid w:val="006F45F4"/>
    <w:rsid w:val="006F4654"/>
    <w:rsid w:val="006F46F4"/>
    <w:rsid w:val="006F470C"/>
    <w:rsid w:val="006F486A"/>
    <w:rsid w:val="006F48C9"/>
    <w:rsid w:val="006F48E4"/>
    <w:rsid w:val="006F4960"/>
    <w:rsid w:val="006F496A"/>
    <w:rsid w:val="006F496D"/>
    <w:rsid w:val="006F49A1"/>
    <w:rsid w:val="006F49A9"/>
    <w:rsid w:val="006F4A8D"/>
    <w:rsid w:val="006F4A8E"/>
    <w:rsid w:val="006F4AA1"/>
    <w:rsid w:val="006F4AD7"/>
    <w:rsid w:val="006F4C4C"/>
    <w:rsid w:val="006F4C86"/>
    <w:rsid w:val="006F4C91"/>
    <w:rsid w:val="006F4D2D"/>
    <w:rsid w:val="006F4D44"/>
    <w:rsid w:val="006F4D4F"/>
    <w:rsid w:val="006F4D85"/>
    <w:rsid w:val="006F4E6F"/>
    <w:rsid w:val="006F4F13"/>
    <w:rsid w:val="006F4F9F"/>
    <w:rsid w:val="006F4FBB"/>
    <w:rsid w:val="006F504E"/>
    <w:rsid w:val="006F507B"/>
    <w:rsid w:val="006F50CB"/>
    <w:rsid w:val="006F50D1"/>
    <w:rsid w:val="006F516D"/>
    <w:rsid w:val="006F5186"/>
    <w:rsid w:val="006F51C3"/>
    <w:rsid w:val="006F51E3"/>
    <w:rsid w:val="006F522B"/>
    <w:rsid w:val="006F5238"/>
    <w:rsid w:val="006F5286"/>
    <w:rsid w:val="006F52F3"/>
    <w:rsid w:val="006F532A"/>
    <w:rsid w:val="006F5355"/>
    <w:rsid w:val="006F5379"/>
    <w:rsid w:val="006F53F0"/>
    <w:rsid w:val="006F53F4"/>
    <w:rsid w:val="006F54F5"/>
    <w:rsid w:val="006F54FB"/>
    <w:rsid w:val="006F5514"/>
    <w:rsid w:val="006F55B5"/>
    <w:rsid w:val="006F55C3"/>
    <w:rsid w:val="006F565B"/>
    <w:rsid w:val="006F574A"/>
    <w:rsid w:val="006F5776"/>
    <w:rsid w:val="006F581F"/>
    <w:rsid w:val="006F5900"/>
    <w:rsid w:val="006F5960"/>
    <w:rsid w:val="006F59E8"/>
    <w:rsid w:val="006F5A27"/>
    <w:rsid w:val="006F5AC5"/>
    <w:rsid w:val="006F5B05"/>
    <w:rsid w:val="006F5B6A"/>
    <w:rsid w:val="006F5B7D"/>
    <w:rsid w:val="006F5BC7"/>
    <w:rsid w:val="006F5BD2"/>
    <w:rsid w:val="006F5C0B"/>
    <w:rsid w:val="006F5C1A"/>
    <w:rsid w:val="006F5D3D"/>
    <w:rsid w:val="006F5EC8"/>
    <w:rsid w:val="006F5EF9"/>
    <w:rsid w:val="006F5F02"/>
    <w:rsid w:val="006F5F11"/>
    <w:rsid w:val="006F5F44"/>
    <w:rsid w:val="006F605E"/>
    <w:rsid w:val="006F606A"/>
    <w:rsid w:val="006F616D"/>
    <w:rsid w:val="006F6171"/>
    <w:rsid w:val="006F61E5"/>
    <w:rsid w:val="006F6230"/>
    <w:rsid w:val="006F623D"/>
    <w:rsid w:val="006F62A4"/>
    <w:rsid w:val="006F6330"/>
    <w:rsid w:val="006F640D"/>
    <w:rsid w:val="006F6453"/>
    <w:rsid w:val="006F657D"/>
    <w:rsid w:val="006F6779"/>
    <w:rsid w:val="006F67BA"/>
    <w:rsid w:val="006F67ED"/>
    <w:rsid w:val="006F68B8"/>
    <w:rsid w:val="006F6941"/>
    <w:rsid w:val="006F694B"/>
    <w:rsid w:val="006F69CE"/>
    <w:rsid w:val="006F6A59"/>
    <w:rsid w:val="006F6AA5"/>
    <w:rsid w:val="006F6ABA"/>
    <w:rsid w:val="006F6B18"/>
    <w:rsid w:val="006F6BCF"/>
    <w:rsid w:val="006F6BEA"/>
    <w:rsid w:val="006F6C93"/>
    <w:rsid w:val="006F6D10"/>
    <w:rsid w:val="006F6D14"/>
    <w:rsid w:val="006F6D4E"/>
    <w:rsid w:val="006F6D8F"/>
    <w:rsid w:val="006F6DB7"/>
    <w:rsid w:val="006F6DCB"/>
    <w:rsid w:val="006F6E44"/>
    <w:rsid w:val="006F6E55"/>
    <w:rsid w:val="006F6ECE"/>
    <w:rsid w:val="006F6FA1"/>
    <w:rsid w:val="006F6FA2"/>
    <w:rsid w:val="006F6FC0"/>
    <w:rsid w:val="006F70FC"/>
    <w:rsid w:val="006F713B"/>
    <w:rsid w:val="006F719A"/>
    <w:rsid w:val="006F71B4"/>
    <w:rsid w:val="006F71D4"/>
    <w:rsid w:val="006F725D"/>
    <w:rsid w:val="006F729F"/>
    <w:rsid w:val="006F72DE"/>
    <w:rsid w:val="006F739A"/>
    <w:rsid w:val="006F73A5"/>
    <w:rsid w:val="006F741A"/>
    <w:rsid w:val="006F746E"/>
    <w:rsid w:val="006F7480"/>
    <w:rsid w:val="006F751D"/>
    <w:rsid w:val="006F752C"/>
    <w:rsid w:val="006F752E"/>
    <w:rsid w:val="006F75A8"/>
    <w:rsid w:val="006F76C1"/>
    <w:rsid w:val="006F7757"/>
    <w:rsid w:val="006F7787"/>
    <w:rsid w:val="006F77AD"/>
    <w:rsid w:val="006F77D4"/>
    <w:rsid w:val="006F781A"/>
    <w:rsid w:val="006F785C"/>
    <w:rsid w:val="006F7873"/>
    <w:rsid w:val="006F7888"/>
    <w:rsid w:val="006F7921"/>
    <w:rsid w:val="006F793B"/>
    <w:rsid w:val="006F79A5"/>
    <w:rsid w:val="006F79C1"/>
    <w:rsid w:val="006F79C6"/>
    <w:rsid w:val="006F79DC"/>
    <w:rsid w:val="006F79EA"/>
    <w:rsid w:val="006F7A6C"/>
    <w:rsid w:val="006F7AC6"/>
    <w:rsid w:val="006F7B53"/>
    <w:rsid w:val="006F7BA8"/>
    <w:rsid w:val="006F7BCB"/>
    <w:rsid w:val="006F7BDF"/>
    <w:rsid w:val="006F7BFA"/>
    <w:rsid w:val="006F7C19"/>
    <w:rsid w:val="006F7C89"/>
    <w:rsid w:val="006F7CFA"/>
    <w:rsid w:val="006F7D11"/>
    <w:rsid w:val="006F7D54"/>
    <w:rsid w:val="006F7D5D"/>
    <w:rsid w:val="006F7DAB"/>
    <w:rsid w:val="006F7DAC"/>
    <w:rsid w:val="006F7DE5"/>
    <w:rsid w:val="006F7EAB"/>
    <w:rsid w:val="006F7EB9"/>
    <w:rsid w:val="006F7EDA"/>
    <w:rsid w:val="006F7F7C"/>
    <w:rsid w:val="006F7F9F"/>
    <w:rsid w:val="0070000D"/>
    <w:rsid w:val="00700062"/>
    <w:rsid w:val="00700088"/>
    <w:rsid w:val="0070011B"/>
    <w:rsid w:val="007001DC"/>
    <w:rsid w:val="00700208"/>
    <w:rsid w:val="00700294"/>
    <w:rsid w:val="0070029C"/>
    <w:rsid w:val="007002F6"/>
    <w:rsid w:val="00700330"/>
    <w:rsid w:val="0070038D"/>
    <w:rsid w:val="00700437"/>
    <w:rsid w:val="00700466"/>
    <w:rsid w:val="0070049F"/>
    <w:rsid w:val="007004AE"/>
    <w:rsid w:val="00700519"/>
    <w:rsid w:val="007005B9"/>
    <w:rsid w:val="0070060D"/>
    <w:rsid w:val="0070062E"/>
    <w:rsid w:val="0070069F"/>
    <w:rsid w:val="007006A9"/>
    <w:rsid w:val="007007A7"/>
    <w:rsid w:val="00700884"/>
    <w:rsid w:val="00700896"/>
    <w:rsid w:val="00700989"/>
    <w:rsid w:val="00700A37"/>
    <w:rsid w:val="00700A3C"/>
    <w:rsid w:val="00700A6D"/>
    <w:rsid w:val="00700B04"/>
    <w:rsid w:val="00700B44"/>
    <w:rsid w:val="00700B50"/>
    <w:rsid w:val="00700BD7"/>
    <w:rsid w:val="00700BFA"/>
    <w:rsid w:val="00700C16"/>
    <w:rsid w:val="00700C97"/>
    <w:rsid w:val="00700CC3"/>
    <w:rsid w:val="00700CCF"/>
    <w:rsid w:val="00700D23"/>
    <w:rsid w:val="00700D3B"/>
    <w:rsid w:val="00700D47"/>
    <w:rsid w:val="00700DFD"/>
    <w:rsid w:val="00700E18"/>
    <w:rsid w:val="00700E64"/>
    <w:rsid w:val="00700F29"/>
    <w:rsid w:val="00701004"/>
    <w:rsid w:val="00701069"/>
    <w:rsid w:val="00701070"/>
    <w:rsid w:val="007010ED"/>
    <w:rsid w:val="007010FE"/>
    <w:rsid w:val="0070111E"/>
    <w:rsid w:val="0070115B"/>
    <w:rsid w:val="0070115C"/>
    <w:rsid w:val="007011A6"/>
    <w:rsid w:val="007011BD"/>
    <w:rsid w:val="007011D5"/>
    <w:rsid w:val="007011DE"/>
    <w:rsid w:val="00701206"/>
    <w:rsid w:val="00701268"/>
    <w:rsid w:val="007012DB"/>
    <w:rsid w:val="00701304"/>
    <w:rsid w:val="007013F1"/>
    <w:rsid w:val="00701549"/>
    <w:rsid w:val="0070159C"/>
    <w:rsid w:val="007015C9"/>
    <w:rsid w:val="00701637"/>
    <w:rsid w:val="00701652"/>
    <w:rsid w:val="007016C5"/>
    <w:rsid w:val="007016DE"/>
    <w:rsid w:val="00701721"/>
    <w:rsid w:val="0070172B"/>
    <w:rsid w:val="007019DD"/>
    <w:rsid w:val="007019E9"/>
    <w:rsid w:val="00701ADA"/>
    <w:rsid w:val="00701C99"/>
    <w:rsid w:val="00701CE1"/>
    <w:rsid w:val="00701CF7"/>
    <w:rsid w:val="00701D56"/>
    <w:rsid w:val="00701D84"/>
    <w:rsid w:val="00701E34"/>
    <w:rsid w:val="00701E86"/>
    <w:rsid w:val="00701EF6"/>
    <w:rsid w:val="00702026"/>
    <w:rsid w:val="00702070"/>
    <w:rsid w:val="0070207E"/>
    <w:rsid w:val="00702094"/>
    <w:rsid w:val="007020EA"/>
    <w:rsid w:val="0070210E"/>
    <w:rsid w:val="00702147"/>
    <w:rsid w:val="00702228"/>
    <w:rsid w:val="00702272"/>
    <w:rsid w:val="00702362"/>
    <w:rsid w:val="007023FE"/>
    <w:rsid w:val="00702495"/>
    <w:rsid w:val="007024D0"/>
    <w:rsid w:val="0070256A"/>
    <w:rsid w:val="00702584"/>
    <w:rsid w:val="007025E1"/>
    <w:rsid w:val="007026B0"/>
    <w:rsid w:val="00702794"/>
    <w:rsid w:val="00702808"/>
    <w:rsid w:val="00702820"/>
    <w:rsid w:val="0070292C"/>
    <w:rsid w:val="00702953"/>
    <w:rsid w:val="00702990"/>
    <w:rsid w:val="007029A2"/>
    <w:rsid w:val="00702A2C"/>
    <w:rsid w:val="00702A3C"/>
    <w:rsid w:val="00702A7E"/>
    <w:rsid w:val="00702AEE"/>
    <w:rsid w:val="00702B1D"/>
    <w:rsid w:val="00702B89"/>
    <w:rsid w:val="00702BD1"/>
    <w:rsid w:val="00702BE6"/>
    <w:rsid w:val="00702BF1"/>
    <w:rsid w:val="00702C38"/>
    <w:rsid w:val="00702C68"/>
    <w:rsid w:val="00702C97"/>
    <w:rsid w:val="00702CCF"/>
    <w:rsid w:val="00702CF6"/>
    <w:rsid w:val="00702D57"/>
    <w:rsid w:val="00702D8D"/>
    <w:rsid w:val="00702D8F"/>
    <w:rsid w:val="00702E1E"/>
    <w:rsid w:val="00702E64"/>
    <w:rsid w:val="00702E71"/>
    <w:rsid w:val="00702E82"/>
    <w:rsid w:val="00702ECB"/>
    <w:rsid w:val="00702ECC"/>
    <w:rsid w:val="00702EFF"/>
    <w:rsid w:val="00702F12"/>
    <w:rsid w:val="00702FB3"/>
    <w:rsid w:val="00703015"/>
    <w:rsid w:val="00703019"/>
    <w:rsid w:val="00703042"/>
    <w:rsid w:val="00703046"/>
    <w:rsid w:val="0070304F"/>
    <w:rsid w:val="00703079"/>
    <w:rsid w:val="007030F0"/>
    <w:rsid w:val="0070310F"/>
    <w:rsid w:val="00703147"/>
    <w:rsid w:val="00703186"/>
    <w:rsid w:val="007031DD"/>
    <w:rsid w:val="00703206"/>
    <w:rsid w:val="00703253"/>
    <w:rsid w:val="00703257"/>
    <w:rsid w:val="00703281"/>
    <w:rsid w:val="00703344"/>
    <w:rsid w:val="00703369"/>
    <w:rsid w:val="007033D0"/>
    <w:rsid w:val="00703433"/>
    <w:rsid w:val="00703499"/>
    <w:rsid w:val="00703537"/>
    <w:rsid w:val="00703545"/>
    <w:rsid w:val="0070355D"/>
    <w:rsid w:val="00703587"/>
    <w:rsid w:val="007035CA"/>
    <w:rsid w:val="007035E7"/>
    <w:rsid w:val="00703603"/>
    <w:rsid w:val="00703619"/>
    <w:rsid w:val="00703668"/>
    <w:rsid w:val="007036B1"/>
    <w:rsid w:val="007036C7"/>
    <w:rsid w:val="007037D5"/>
    <w:rsid w:val="007037FB"/>
    <w:rsid w:val="007037FF"/>
    <w:rsid w:val="0070386F"/>
    <w:rsid w:val="007039B8"/>
    <w:rsid w:val="00703A8F"/>
    <w:rsid w:val="00703AA8"/>
    <w:rsid w:val="00703B30"/>
    <w:rsid w:val="00703B64"/>
    <w:rsid w:val="00703D68"/>
    <w:rsid w:val="00703D6D"/>
    <w:rsid w:val="00703DA8"/>
    <w:rsid w:val="00703DB1"/>
    <w:rsid w:val="00703DE3"/>
    <w:rsid w:val="00703E97"/>
    <w:rsid w:val="00703E9D"/>
    <w:rsid w:val="00703F2D"/>
    <w:rsid w:val="00703F68"/>
    <w:rsid w:val="00703F7E"/>
    <w:rsid w:val="00704011"/>
    <w:rsid w:val="0070401B"/>
    <w:rsid w:val="0070401D"/>
    <w:rsid w:val="00704069"/>
    <w:rsid w:val="007040DC"/>
    <w:rsid w:val="00704103"/>
    <w:rsid w:val="0070417E"/>
    <w:rsid w:val="007041E6"/>
    <w:rsid w:val="00704265"/>
    <w:rsid w:val="0070426B"/>
    <w:rsid w:val="00704278"/>
    <w:rsid w:val="007042EE"/>
    <w:rsid w:val="0070438D"/>
    <w:rsid w:val="007043DA"/>
    <w:rsid w:val="007043F4"/>
    <w:rsid w:val="0070443C"/>
    <w:rsid w:val="007044BD"/>
    <w:rsid w:val="0070451E"/>
    <w:rsid w:val="0070455F"/>
    <w:rsid w:val="00704564"/>
    <w:rsid w:val="007045BA"/>
    <w:rsid w:val="007045E1"/>
    <w:rsid w:val="0070466C"/>
    <w:rsid w:val="0070471A"/>
    <w:rsid w:val="0070471C"/>
    <w:rsid w:val="007048A3"/>
    <w:rsid w:val="007048D9"/>
    <w:rsid w:val="007048F7"/>
    <w:rsid w:val="0070492D"/>
    <w:rsid w:val="0070492E"/>
    <w:rsid w:val="00704985"/>
    <w:rsid w:val="00704A3D"/>
    <w:rsid w:val="00704C37"/>
    <w:rsid w:val="00704C64"/>
    <w:rsid w:val="00704C79"/>
    <w:rsid w:val="00704C7E"/>
    <w:rsid w:val="00704D64"/>
    <w:rsid w:val="00704D7F"/>
    <w:rsid w:val="00704DB5"/>
    <w:rsid w:val="00704DF4"/>
    <w:rsid w:val="00704E40"/>
    <w:rsid w:val="00704E6C"/>
    <w:rsid w:val="00704E80"/>
    <w:rsid w:val="00704E9C"/>
    <w:rsid w:val="00704ECE"/>
    <w:rsid w:val="00704F0A"/>
    <w:rsid w:val="00704F6D"/>
    <w:rsid w:val="00704FBE"/>
    <w:rsid w:val="00704FBF"/>
    <w:rsid w:val="00704FC6"/>
    <w:rsid w:val="00705073"/>
    <w:rsid w:val="0070507C"/>
    <w:rsid w:val="00705086"/>
    <w:rsid w:val="00705087"/>
    <w:rsid w:val="0070509D"/>
    <w:rsid w:val="0070515F"/>
    <w:rsid w:val="00705195"/>
    <w:rsid w:val="007051E5"/>
    <w:rsid w:val="007051EE"/>
    <w:rsid w:val="0070522B"/>
    <w:rsid w:val="0070526B"/>
    <w:rsid w:val="007052DB"/>
    <w:rsid w:val="0070534F"/>
    <w:rsid w:val="007053F2"/>
    <w:rsid w:val="00705527"/>
    <w:rsid w:val="007055B6"/>
    <w:rsid w:val="007055CB"/>
    <w:rsid w:val="00705666"/>
    <w:rsid w:val="00705668"/>
    <w:rsid w:val="0070569A"/>
    <w:rsid w:val="0070569F"/>
    <w:rsid w:val="007056C2"/>
    <w:rsid w:val="007056EE"/>
    <w:rsid w:val="0070579B"/>
    <w:rsid w:val="007057D5"/>
    <w:rsid w:val="00705834"/>
    <w:rsid w:val="0070587B"/>
    <w:rsid w:val="0070590E"/>
    <w:rsid w:val="007059A4"/>
    <w:rsid w:val="00705A54"/>
    <w:rsid w:val="00705A8C"/>
    <w:rsid w:val="00705A96"/>
    <w:rsid w:val="00705A97"/>
    <w:rsid w:val="00705AA0"/>
    <w:rsid w:val="00705AA4"/>
    <w:rsid w:val="00705AD7"/>
    <w:rsid w:val="00705B16"/>
    <w:rsid w:val="00705B3C"/>
    <w:rsid w:val="00705B41"/>
    <w:rsid w:val="00705B56"/>
    <w:rsid w:val="00705BB9"/>
    <w:rsid w:val="00705C15"/>
    <w:rsid w:val="00705C37"/>
    <w:rsid w:val="00705C3F"/>
    <w:rsid w:val="00705C55"/>
    <w:rsid w:val="00705C91"/>
    <w:rsid w:val="00705CA7"/>
    <w:rsid w:val="00705CC5"/>
    <w:rsid w:val="00705CED"/>
    <w:rsid w:val="00705D54"/>
    <w:rsid w:val="00705D89"/>
    <w:rsid w:val="00705EB4"/>
    <w:rsid w:val="00705EE9"/>
    <w:rsid w:val="00705F1B"/>
    <w:rsid w:val="00705F4B"/>
    <w:rsid w:val="00705F59"/>
    <w:rsid w:val="0070604B"/>
    <w:rsid w:val="0070605A"/>
    <w:rsid w:val="007060E3"/>
    <w:rsid w:val="00706122"/>
    <w:rsid w:val="00706153"/>
    <w:rsid w:val="00706167"/>
    <w:rsid w:val="007061EE"/>
    <w:rsid w:val="00706207"/>
    <w:rsid w:val="00706229"/>
    <w:rsid w:val="0070626D"/>
    <w:rsid w:val="007062B3"/>
    <w:rsid w:val="007062C2"/>
    <w:rsid w:val="00706306"/>
    <w:rsid w:val="0070632A"/>
    <w:rsid w:val="00706345"/>
    <w:rsid w:val="007063F3"/>
    <w:rsid w:val="00706457"/>
    <w:rsid w:val="0070649D"/>
    <w:rsid w:val="00706500"/>
    <w:rsid w:val="0070656E"/>
    <w:rsid w:val="007065EA"/>
    <w:rsid w:val="0070660D"/>
    <w:rsid w:val="00706678"/>
    <w:rsid w:val="007066A6"/>
    <w:rsid w:val="007067A2"/>
    <w:rsid w:val="007067CF"/>
    <w:rsid w:val="007067E6"/>
    <w:rsid w:val="007068E5"/>
    <w:rsid w:val="00706933"/>
    <w:rsid w:val="00706961"/>
    <w:rsid w:val="00706AAF"/>
    <w:rsid w:val="00706AC2"/>
    <w:rsid w:val="00706B2C"/>
    <w:rsid w:val="00706B49"/>
    <w:rsid w:val="00706C10"/>
    <w:rsid w:val="00706C20"/>
    <w:rsid w:val="00706C61"/>
    <w:rsid w:val="00706C6A"/>
    <w:rsid w:val="00706C71"/>
    <w:rsid w:val="00706CA3"/>
    <w:rsid w:val="00706D10"/>
    <w:rsid w:val="00706D19"/>
    <w:rsid w:val="00706D66"/>
    <w:rsid w:val="00706D71"/>
    <w:rsid w:val="00706D94"/>
    <w:rsid w:val="00706D96"/>
    <w:rsid w:val="00706E6B"/>
    <w:rsid w:val="00706F5E"/>
    <w:rsid w:val="00706FA3"/>
    <w:rsid w:val="00707151"/>
    <w:rsid w:val="00707178"/>
    <w:rsid w:val="007071CE"/>
    <w:rsid w:val="007071D0"/>
    <w:rsid w:val="0070722F"/>
    <w:rsid w:val="00707280"/>
    <w:rsid w:val="007072BB"/>
    <w:rsid w:val="00707334"/>
    <w:rsid w:val="00707428"/>
    <w:rsid w:val="0070742C"/>
    <w:rsid w:val="00707477"/>
    <w:rsid w:val="00707565"/>
    <w:rsid w:val="00707665"/>
    <w:rsid w:val="007076C0"/>
    <w:rsid w:val="007076FD"/>
    <w:rsid w:val="00707792"/>
    <w:rsid w:val="007077BD"/>
    <w:rsid w:val="007077D4"/>
    <w:rsid w:val="00707844"/>
    <w:rsid w:val="007078A3"/>
    <w:rsid w:val="007078CF"/>
    <w:rsid w:val="0070793C"/>
    <w:rsid w:val="00707963"/>
    <w:rsid w:val="0070797C"/>
    <w:rsid w:val="007079D2"/>
    <w:rsid w:val="007079EA"/>
    <w:rsid w:val="00707A04"/>
    <w:rsid w:val="00707A38"/>
    <w:rsid w:val="00707A7B"/>
    <w:rsid w:val="00707B3A"/>
    <w:rsid w:val="00707B54"/>
    <w:rsid w:val="00707BE0"/>
    <w:rsid w:val="00707C0F"/>
    <w:rsid w:val="00707CAD"/>
    <w:rsid w:val="00707CE4"/>
    <w:rsid w:val="00707D18"/>
    <w:rsid w:val="00707D39"/>
    <w:rsid w:val="00707D3C"/>
    <w:rsid w:val="00707E45"/>
    <w:rsid w:val="00707E52"/>
    <w:rsid w:val="00707E84"/>
    <w:rsid w:val="00707EB4"/>
    <w:rsid w:val="00707EC9"/>
    <w:rsid w:val="00707F1D"/>
    <w:rsid w:val="00707F6D"/>
    <w:rsid w:val="00707F7A"/>
    <w:rsid w:val="00707FD3"/>
    <w:rsid w:val="00707FF9"/>
    <w:rsid w:val="00710003"/>
    <w:rsid w:val="0071004F"/>
    <w:rsid w:val="0071005F"/>
    <w:rsid w:val="00710086"/>
    <w:rsid w:val="007100ED"/>
    <w:rsid w:val="007100EE"/>
    <w:rsid w:val="007101F6"/>
    <w:rsid w:val="00710243"/>
    <w:rsid w:val="00710253"/>
    <w:rsid w:val="007102BB"/>
    <w:rsid w:val="007102E8"/>
    <w:rsid w:val="007102FF"/>
    <w:rsid w:val="0071041E"/>
    <w:rsid w:val="00710462"/>
    <w:rsid w:val="007104D4"/>
    <w:rsid w:val="007104EB"/>
    <w:rsid w:val="0071059B"/>
    <w:rsid w:val="007105CD"/>
    <w:rsid w:val="00710681"/>
    <w:rsid w:val="007106B6"/>
    <w:rsid w:val="007106E1"/>
    <w:rsid w:val="00710735"/>
    <w:rsid w:val="00710742"/>
    <w:rsid w:val="0071075F"/>
    <w:rsid w:val="00710793"/>
    <w:rsid w:val="007107A4"/>
    <w:rsid w:val="0071083D"/>
    <w:rsid w:val="0071088D"/>
    <w:rsid w:val="007108D4"/>
    <w:rsid w:val="007108D7"/>
    <w:rsid w:val="0071094C"/>
    <w:rsid w:val="00710951"/>
    <w:rsid w:val="007109C4"/>
    <w:rsid w:val="007109DA"/>
    <w:rsid w:val="00710A02"/>
    <w:rsid w:val="00710A41"/>
    <w:rsid w:val="00710B4E"/>
    <w:rsid w:val="00710B57"/>
    <w:rsid w:val="00710B7A"/>
    <w:rsid w:val="00710B94"/>
    <w:rsid w:val="00710BFC"/>
    <w:rsid w:val="00710C42"/>
    <w:rsid w:val="00710C69"/>
    <w:rsid w:val="00710D3F"/>
    <w:rsid w:val="00710D49"/>
    <w:rsid w:val="00710D76"/>
    <w:rsid w:val="00710D97"/>
    <w:rsid w:val="00710D9F"/>
    <w:rsid w:val="00710DA3"/>
    <w:rsid w:val="00710DC2"/>
    <w:rsid w:val="00710E2C"/>
    <w:rsid w:val="00710E97"/>
    <w:rsid w:val="00710E9B"/>
    <w:rsid w:val="00710F5E"/>
    <w:rsid w:val="00710FC5"/>
    <w:rsid w:val="00711194"/>
    <w:rsid w:val="00711208"/>
    <w:rsid w:val="0071122B"/>
    <w:rsid w:val="00711240"/>
    <w:rsid w:val="007112A6"/>
    <w:rsid w:val="007112AC"/>
    <w:rsid w:val="007112DF"/>
    <w:rsid w:val="00711344"/>
    <w:rsid w:val="00711366"/>
    <w:rsid w:val="00711386"/>
    <w:rsid w:val="007113B6"/>
    <w:rsid w:val="007113BE"/>
    <w:rsid w:val="00711447"/>
    <w:rsid w:val="0071144F"/>
    <w:rsid w:val="00711499"/>
    <w:rsid w:val="0071149D"/>
    <w:rsid w:val="00711515"/>
    <w:rsid w:val="00711532"/>
    <w:rsid w:val="00711535"/>
    <w:rsid w:val="0071154F"/>
    <w:rsid w:val="00711552"/>
    <w:rsid w:val="00711585"/>
    <w:rsid w:val="00711675"/>
    <w:rsid w:val="007116D1"/>
    <w:rsid w:val="007116E1"/>
    <w:rsid w:val="007116E8"/>
    <w:rsid w:val="00711755"/>
    <w:rsid w:val="00711889"/>
    <w:rsid w:val="007118D4"/>
    <w:rsid w:val="007119B0"/>
    <w:rsid w:val="007119C4"/>
    <w:rsid w:val="007119D4"/>
    <w:rsid w:val="00711A04"/>
    <w:rsid w:val="00711AB1"/>
    <w:rsid w:val="00711BEC"/>
    <w:rsid w:val="00711CEB"/>
    <w:rsid w:val="00711DBE"/>
    <w:rsid w:val="00711DE0"/>
    <w:rsid w:val="00711E71"/>
    <w:rsid w:val="00711ECF"/>
    <w:rsid w:val="00711F83"/>
    <w:rsid w:val="00711FA5"/>
    <w:rsid w:val="00712041"/>
    <w:rsid w:val="00712050"/>
    <w:rsid w:val="00712070"/>
    <w:rsid w:val="0071208F"/>
    <w:rsid w:val="00712141"/>
    <w:rsid w:val="0071229D"/>
    <w:rsid w:val="007122C1"/>
    <w:rsid w:val="0071235E"/>
    <w:rsid w:val="0071239B"/>
    <w:rsid w:val="007123F6"/>
    <w:rsid w:val="00712470"/>
    <w:rsid w:val="0071248F"/>
    <w:rsid w:val="007124D0"/>
    <w:rsid w:val="007124EE"/>
    <w:rsid w:val="007124F1"/>
    <w:rsid w:val="00712546"/>
    <w:rsid w:val="0071257D"/>
    <w:rsid w:val="00712589"/>
    <w:rsid w:val="007125F3"/>
    <w:rsid w:val="00712618"/>
    <w:rsid w:val="0071262A"/>
    <w:rsid w:val="007126D4"/>
    <w:rsid w:val="00712713"/>
    <w:rsid w:val="007127E4"/>
    <w:rsid w:val="007127F4"/>
    <w:rsid w:val="00712846"/>
    <w:rsid w:val="0071284B"/>
    <w:rsid w:val="0071286F"/>
    <w:rsid w:val="0071289E"/>
    <w:rsid w:val="007128E9"/>
    <w:rsid w:val="007129C3"/>
    <w:rsid w:val="007129DC"/>
    <w:rsid w:val="007129ED"/>
    <w:rsid w:val="007129FE"/>
    <w:rsid w:val="00712AAB"/>
    <w:rsid w:val="00712AE7"/>
    <w:rsid w:val="00712AEF"/>
    <w:rsid w:val="00712B43"/>
    <w:rsid w:val="00712B9B"/>
    <w:rsid w:val="00712C37"/>
    <w:rsid w:val="00712C46"/>
    <w:rsid w:val="00712DC9"/>
    <w:rsid w:val="00712E34"/>
    <w:rsid w:val="00712E3B"/>
    <w:rsid w:val="00712EDF"/>
    <w:rsid w:val="00712FAE"/>
    <w:rsid w:val="00712FB4"/>
    <w:rsid w:val="0071300D"/>
    <w:rsid w:val="00713056"/>
    <w:rsid w:val="0071305D"/>
    <w:rsid w:val="007130D1"/>
    <w:rsid w:val="0071312B"/>
    <w:rsid w:val="007131B0"/>
    <w:rsid w:val="007131DB"/>
    <w:rsid w:val="007131EB"/>
    <w:rsid w:val="007132AA"/>
    <w:rsid w:val="007132DE"/>
    <w:rsid w:val="0071334F"/>
    <w:rsid w:val="007133E2"/>
    <w:rsid w:val="00713421"/>
    <w:rsid w:val="0071343E"/>
    <w:rsid w:val="00713475"/>
    <w:rsid w:val="00713487"/>
    <w:rsid w:val="007134B4"/>
    <w:rsid w:val="0071351D"/>
    <w:rsid w:val="0071356E"/>
    <w:rsid w:val="007135A4"/>
    <w:rsid w:val="007135D6"/>
    <w:rsid w:val="007135FD"/>
    <w:rsid w:val="0071365C"/>
    <w:rsid w:val="0071366B"/>
    <w:rsid w:val="007136FC"/>
    <w:rsid w:val="0071370B"/>
    <w:rsid w:val="00713736"/>
    <w:rsid w:val="00713791"/>
    <w:rsid w:val="007137B8"/>
    <w:rsid w:val="0071387D"/>
    <w:rsid w:val="007138CA"/>
    <w:rsid w:val="0071397D"/>
    <w:rsid w:val="00713A69"/>
    <w:rsid w:val="00713A99"/>
    <w:rsid w:val="00713B13"/>
    <w:rsid w:val="00713B71"/>
    <w:rsid w:val="00713B78"/>
    <w:rsid w:val="00713BA7"/>
    <w:rsid w:val="00713C20"/>
    <w:rsid w:val="00713C29"/>
    <w:rsid w:val="00713CF1"/>
    <w:rsid w:val="00713DAE"/>
    <w:rsid w:val="00713E22"/>
    <w:rsid w:val="00713E41"/>
    <w:rsid w:val="00713E6C"/>
    <w:rsid w:val="00713E7D"/>
    <w:rsid w:val="00713EBE"/>
    <w:rsid w:val="00713F24"/>
    <w:rsid w:val="007140D6"/>
    <w:rsid w:val="007140DC"/>
    <w:rsid w:val="007140F8"/>
    <w:rsid w:val="00714113"/>
    <w:rsid w:val="007141C3"/>
    <w:rsid w:val="007141CF"/>
    <w:rsid w:val="00714209"/>
    <w:rsid w:val="00714212"/>
    <w:rsid w:val="00714293"/>
    <w:rsid w:val="007142B2"/>
    <w:rsid w:val="00714357"/>
    <w:rsid w:val="007143B4"/>
    <w:rsid w:val="007143F2"/>
    <w:rsid w:val="007144EF"/>
    <w:rsid w:val="0071450F"/>
    <w:rsid w:val="0071451A"/>
    <w:rsid w:val="00714539"/>
    <w:rsid w:val="00714542"/>
    <w:rsid w:val="0071456A"/>
    <w:rsid w:val="0071456C"/>
    <w:rsid w:val="00714588"/>
    <w:rsid w:val="0071460F"/>
    <w:rsid w:val="00714629"/>
    <w:rsid w:val="00714678"/>
    <w:rsid w:val="00714680"/>
    <w:rsid w:val="007146A9"/>
    <w:rsid w:val="007146B0"/>
    <w:rsid w:val="007147AE"/>
    <w:rsid w:val="007147BC"/>
    <w:rsid w:val="007147BF"/>
    <w:rsid w:val="007147E2"/>
    <w:rsid w:val="00714875"/>
    <w:rsid w:val="00714880"/>
    <w:rsid w:val="007148A2"/>
    <w:rsid w:val="007148B4"/>
    <w:rsid w:val="007148D9"/>
    <w:rsid w:val="007148FD"/>
    <w:rsid w:val="0071499D"/>
    <w:rsid w:val="007149B8"/>
    <w:rsid w:val="007149F1"/>
    <w:rsid w:val="00714A31"/>
    <w:rsid w:val="00714AF4"/>
    <w:rsid w:val="00714BE6"/>
    <w:rsid w:val="00714C2C"/>
    <w:rsid w:val="00714C6B"/>
    <w:rsid w:val="00714C90"/>
    <w:rsid w:val="00714DE0"/>
    <w:rsid w:val="00714DEE"/>
    <w:rsid w:val="00714EE7"/>
    <w:rsid w:val="00714EF1"/>
    <w:rsid w:val="00714FA1"/>
    <w:rsid w:val="007151F4"/>
    <w:rsid w:val="007152C9"/>
    <w:rsid w:val="007152D5"/>
    <w:rsid w:val="007153D5"/>
    <w:rsid w:val="00715463"/>
    <w:rsid w:val="0071546B"/>
    <w:rsid w:val="007154C3"/>
    <w:rsid w:val="0071556E"/>
    <w:rsid w:val="0071557D"/>
    <w:rsid w:val="0071560F"/>
    <w:rsid w:val="00715613"/>
    <w:rsid w:val="0071561D"/>
    <w:rsid w:val="00715645"/>
    <w:rsid w:val="007156CB"/>
    <w:rsid w:val="007156E2"/>
    <w:rsid w:val="0071577B"/>
    <w:rsid w:val="007157B3"/>
    <w:rsid w:val="007157E1"/>
    <w:rsid w:val="0071584C"/>
    <w:rsid w:val="007158F6"/>
    <w:rsid w:val="0071592B"/>
    <w:rsid w:val="007159D1"/>
    <w:rsid w:val="007159D7"/>
    <w:rsid w:val="00715A4C"/>
    <w:rsid w:val="00715A6E"/>
    <w:rsid w:val="00715AB0"/>
    <w:rsid w:val="00715AB5"/>
    <w:rsid w:val="00715AC6"/>
    <w:rsid w:val="00715B94"/>
    <w:rsid w:val="00715BD3"/>
    <w:rsid w:val="00715BEB"/>
    <w:rsid w:val="00715BEF"/>
    <w:rsid w:val="00715CCB"/>
    <w:rsid w:val="00715CEE"/>
    <w:rsid w:val="00715CFF"/>
    <w:rsid w:val="00715D0C"/>
    <w:rsid w:val="00715D27"/>
    <w:rsid w:val="00715D2E"/>
    <w:rsid w:val="00715DE2"/>
    <w:rsid w:val="00715DF4"/>
    <w:rsid w:val="00715E09"/>
    <w:rsid w:val="00715EB0"/>
    <w:rsid w:val="00715EB1"/>
    <w:rsid w:val="00715F43"/>
    <w:rsid w:val="00715F49"/>
    <w:rsid w:val="00715F62"/>
    <w:rsid w:val="00715F81"/>
    <w:rsid w:val="00715FAD"/>
    <w:rsid w:val="00715FD4"/>
    <w:rsid w:val="0071602D"/>
    <w:rsid w:val="0071606F"/>
    <w:rsid w:val="007160A0"/>
    <w:rsid w:val="007160C3"/>
    <w:rsid w:val="007160C5"/>
    <w:rsid w:val="00716113"/>
    <w:rsid w:val="00716135"/>
    <w:rsid w:val="0071613C"/>
    <w:rsid w:val="0071616E"/>
    <w:rsid w:val="007161C9"/>
    <w:rsid w:val="00716200"/>
    <w:rsid w:val="00716210"/>
    <w:rsid w:val="00716240"/>
    <w:rsid w:val="007162CC"/>
    <w:rsid w:val="007162D5"/>
    <w:rsid w:val="007162E8"/>
    <w:rsid w:val="007162E9"/>
    <w:rsid w:val="00716389"/>
    <w:rsid w:val="007163B7"/>
    <w:rsid w:val="0071644D"/>
    <w:rsid w:val="00716612"/>
    <w:rsid w:val="0071665B"/>
    <w:rsid w:val="00716678"/>
    <w:rsid w:val="00716682"/>
    <w:rsid w:val="0071678C"/>
    <w:rsid w:val="007167AE"/>
    <w:rsid w:val="007167B1"/>
    <w:rsid w:val="00716863"/>
    <w:rsid w:val="00716938"/>
    <w:rsid w:val="00716954"/>
    <w:rsid w:val="0071698F"/>
    <w:rsid w:val="00716A42"/>
    <w:rsid w:val="00716A6C"/>
    <w:rsid w:val="00716AE4"/>
    <w:rsid w:val="00716B1E"/>
    <w:rsid w:val="00716B55"/>
    <w:rsid w:val="00716B85"/>
    <w:rsid w:val="00716B87"/>
    <w:rsid w:val="00716BDA"/>
    <w:rsid w:val="00716C28"/>
    <w:rsid w:val="00716C61"/>
    <w:rsid w:val="00716C6B"/>
    <w:rsid w:val="00716CCE"/>
    <w:rsid w:val="00716DF9"/>
    <w:rsid w:val="00716EA5"/>
    <w:rsid w:val="00716EFA"/>
    <w:rsid w:val="00716F39"/>
    <w:rsid w:val="00716FE2"/>
    <w:rsid w:val="00716FEE"/>
    <w:rsid w:val="00717007"/>
    <w:rsid w:val="00717031"/>
    <w:rsid w:val="00717070"/>
    <w:rsid w:val="0071711C"/>
    <w:rsid w:val="0071714A"/>
    <w:rsid w:val="00717194"/>
    <w:rsid w:val="007171C0"/>
    <w:rsid w:val="007172AC"/>
    <w:rsid w:val="007172DE"/>
    <w:rsid w:val="00717311"/>
    <w:rsid w:val="00717340"/>
    <w:rsid w:val="0071738A"/>
    <w:rsid w:val="00717414"/>
    <w:rsid w:val="0071751B"/>
    <w:rsid w:val="00717577"/>
    <w:rsid w:val="0071759A"/>
    <w:rsid w:val="0071766A"/>
    <w:rsid w:val="0071769D"/>
    <w:rsid w:val="007176A6"/>
    <w:rsid w:val="007176BC"/>
    <w:rsid w:val="0071772E"/>
    <w:rsid w:val="007177CD"/>
    <w:rsid w:val="0071780A"/>
    <w:rsid w:val="0071782A"/>
    <w:rsid w:val="00717895"/>
    <w:rsid w:val="007178A3"/>
    <w:rsid w:val="0071799C"/>
    <w:rsid w:val="007179AE"/>
    <w:rsid w:val="007179D4"/>
    <w:rsid w:val="007179F8"/>
    <w:rsid w:val="00717A0A"/>
    <w:rsid w:val="00717A19"/>
    <w:rsid w:val="00717A2E"/>
    <w:rsid w:val="00717A49"/>
    <w:rsid w:val="00717AF8"/>
    <w:rsid w:val="00717B60"/>
    <w:rsid w:val="00717C2B"/>
    <w:rsid w:val="00717CE7"/>
    <w:rsid w:val="00717DBC"/>
    <w:rsid w:val="00717E50"/>
    <w:rsid w:val="00717E61"/>
    <w:rsid w:val="00717F90"/>
    <w:rsid w:val="0072004C"/>
    <w:rsid w:val="00720081"/>
    <w:rsid w:val="0072009A"/>
    <w:rsid w:val="00720113"/>
    <w:rsid w:val="00720143"/>
    <w:rsid w:val="00720144"/>
    <w:rsid w:val="00720196"/>
    <w:rsid w:val="0072030E"/>
    <w:rsid w:val="0072031B"/>
    <w:rsid w:val="00720351"/>
    <w:rsid w:val="0072037A"/>
    <w:rsid w:val="0072037E"/>
    <w:rsid w:val="007203B1"/>
    <w:rsid w:val="0072043E"/>
    <w:rsid w:val="0072050D"/>
    <w:rsid w:val="0072053A"/>
    <w:rsid w:val="00720561"/>
    <w:rsid w:val="007205B1"/>
    <w:rsid w:val="007205FF"/>
    <w:rsid w:val="0072063C"/>
    <w:rsid w:val="00720870"/>
    <w:rsid w:val="0072089A"/>
    <w:rsid w:val="00720900"/>
    <w:rsid w:val="00720973"/>
    <w:rsid w:val="007209A0"/>
    <w:rsid w:val="007209EE"/>
    <w:rsid w:val="00720B14"/>
    <w:rsid w:val="00720BBE"/>
    <w:rsid w:val="00720BFE"/>
    <w:rsid w:val="00720C21"/>
    <w:rsid w:val="00720C57"/>
    <w:rsid w:val="00720C5E"/>
    <w:rsid w:val="00720CBB"/>
    <w:rsid w:val="00720CF9"/>
    <w:rsid w:val="00720D36"/>
    <w:rsid w:val="00720D50"/>
    <w:rsid w:val="00720DC5"/>
    <w:rsid w:val="00720E09"/>
    <w:rsid w:val="00720EAF"/>
    <w:rsid w:val="00720F0B"/>
    <w:rsid w:val="00720F1D"/>
    <w:rsid w:val="00720F62"/>
    <w:rsid w:val="00720F85"/>
    <w:rsid w:val="00720F9B"/>
    <w:rsid w:val="007210E0"/>
    <w:rsid w:val="00721132"/>
    <w:rsid w:val="00721137"/>
    <w:rsid w:val="00721154"/>
    <w:rsid w:val="00721168"/>
    <w:rsid w:val="00721194"/>
    <w:rsid w:val="007211B6"/>
    <w:rsid w:val="00721200"/>
    <w:rsid w:val="0072127B"/>
    <w:rsid w:val="0072128E"/>
    <w:rsid w:val="00721295"/>
    <w:rsid w:val="0072130B"/>
    <w:rsid w:val="0072139A"/>
    <w:rsid w:val="007213A2"/>
    <w:rsid w:val="007213E0"/>
    <w:rsid w:val="00721412"/>
    <w:rsid w:val="0072142C"/>
    <w:rsid w:val="00721512"/>
    <w:rsid w:val="00721592"/>
    <w:rsid w:val="0072165F"/>
    <w:rsid w:val="007216E6"/>
    <w:rsid w:val="0072171A"/>
    <w:rsid w:val="007217C3"/>
    <w:rsid w:val="0072192C"/>
    <w:rsid w:val="007219CC"/>
    <w:rsid w:val="00721A84"/>
    <w:rsid w:val="00721AD6"/>
    <w:rsid w:val="00721AED"/>
    <w:rsid w:val="00721BB0"/>
    <w:rsid w:val="00721BE0"/>
    <w:rsid w:val="00721C2E"/>
    <w:rsid w:val="00721C79"/>
    <w:rsid w:val="00721CAA"/>
    <w:rsid w:val="00721CB2"/>
    <w:rsid w:val="00721CBE"/>
    <w:rsid w:val="00721D47"/>
    <w:rsid w:val="00721D98"/>
    <w:rsid w:val="00721D9D"/>
    <w:rsid w:val="00721DB6"/>
    <w:rsid w:val="00721ED6"/>
    <w:rsid w:val="00721F03"/>
    <w:rsid w:val="00721F48"/>
    <w:rsid w:val="00721F80"/>
    <w:rsid w:val="00721FB4"/>
    <w:rsid w:val="00721FFA"/>
    <w:rsid w:val="0072203F"/>
    <w:rsid w:val="007220C1"/>
    <w:rsid w:val="007220D8"/>
    <w:rsid w:val="007220DC"/>
    <w:rsid w:val="00722103"/>
    <w:rsid w:val="00722188"/>
    <w:rsid w:val="007221C0"/>
    <w:rsid w:val="007221ED"/>
    <w:rsid w:val="0072228E"/>
    <w:rsid w:val="007222D6"/>
    <w:rsid w:val="007222EE"/>
    <w:rsid w:val="0072230B"/>
    <w:rsid w:val="0072236C"/>
    <w:rsid w:val="00722438"/>
    <w:rsid w:val="00722483"/>
    <w:rsid w:val="007224A6"/>
    <w:rsid w:val="00722542"/>
    <w:rsid w:val="007225F1"/>
    <w:rsid w:val="0072267A"/>
    <w:rsid w:val="007226AE"/>
    <w:rsid w:val="007226E7"/>
    <w:rsid w:val="007226FC"/>
    <w:rsid w:val="00722760"/>
    <w:rsid w:val="00722764"/>
    <w:rsid w:val="007227CD"/>
    <w:rsid w:val="00722821"/>
    <w:rsid w:val="00722875"/>
    <w:rsid w:val="007228F6"/>
    <w:rsid w:val="00722912"/>
    <w:rsid w:val="0072291E"/>
    <w:rsid w:val="0072296A"/>
    <w:rsid w:val="00722A75"/>
    <w:rsid w:val="00722A9D"/>
    <w:rsid w:val="00722B10"/>
    <w:rsid w:val="00722B56"/>
    <w:rsid w:val="00722B68"/>
    <w:rsid w:val="00722B73"/>
    <w:rsid w:val="00722C15"/>
    <w:rsid w:val="00722C5B"/>
    <w:rsid w:val="00722C9F"/>
    <w:rsid w:val="00722D47"/>
    <w:rsid w:val="00722D78"/>
    <w:rsid w:val="00722DB3"/>
    <w:rsid w:val="00722DE6"/>
    <w:rsid w:val="00722E71"/>
    <w:rsid w:val="00722EAC"/>
    <w:rsid w:val="00722F1A"/>
    <w:rsid w:val="00722F2A"/>
    <w:rsid w:val="00722FC3"/>
    <w:rsid w:val="00722FD1"/>
    <w:rsid w:val="00722FEE"/>
    <w:rsid w:val="00722FF0"/>
    <w:rsid w:val="00723055"/>
    <w:rsid w:val="007230CB"/>
    <w:rsid w:val="007230D8"/>
    <w:rsid w:val="00723139"/>
    <w:rsid w:val="00723168"/>
    <w:rsid w:val="0072316D"/>
    <w:rsid w:val="007231D1"/>
    <w:rsid w:val="007231F6"/>
    <w:rsid w:val="00723200"/>
    <w:rsid w:val="0072323B"/>
    <w:rsid w:val="00723242"/>
    <w:rsid w:val="00723340"/>
    <w:rsid w:val="00723343"/>
    <w:rsid w:val="00723368"/>
    <w:rsid w:val="0072344A"/>
    <w:rsid w:val="0072346D"/>
    <w:rsid w:val="007234A1"/>
    <w:rsid w:val="007234C4"/>
    <w:rsid w:val="007234F1"/>
    <w:rsid w:val="0072350A"/>
    <w:rsid w:val="0072356C"/>
    <w:rsid w:val="00723633"/>
    <w:rsid w:val="0072368F"/>
    <w:rsid w:val="007236A2"/>
    <w:rsid w:val="007236BC"/>
    <w:rsid w:val="007236CD"/>
    <w:rsid w:val="007236F1"/>
    <w:rsid w:val="00723808"/>
    <w:rsid w:val="00723899"/>
    <w:rsid w:val="0072398C"/>
    <w:rsid w:val="007239DC"/>
    <w:rsid w:val="00723AE1"/>
    <w:rsid w:val="00723AF0"/>
    <w:rsid w:val="00723AFC"/>
    <w:rsid w:val="00723B4D"/>
    <w:rsid w:val="00723B78"/>
    <w:rsid w:val="00723BEB"/>
    <w:rsid w:val="00723C58"/>
    <w:rsid w:val="00723CAE"/>
    <w:rsid w:val="00723CB2"/>
    <w:rsid w:val="00723D81"/>
    <w:rsid w:val="00723DF4"/>
    <w:rsid w:val="00723E2F"/>
    <w:rsid w:val="00723E77"/>
    <w:rsid w:val="00723E93"/>
    <w:rsid w:val="00723EAE"/>
    <w:rsid w:val="00723EB6"/>
    <w:rsid w:val="00723F0C"/>
    <w:rsid w:val="00723F7E"/>
    <w:rsid w:val="00723FE0"/>
    <w:rsid w:val="007240B1"/>
    <w:rsid w:val="007240C9"/>
    <w:rsid w:val="007240EA"/>
    <w:rsid w:val="007240EF"/>
    <w:rsid w:val="00724105"/>
    <w:rsid w:val="007241A0"/>
    <w:rsid w:val="007241D1"/>
    <w:rsid w:val="00724200"/>
    <w:rsid w:val="007242BD"/>
    <w:rsid w:val="00724314"/>
    <w:rsid w:val="007243C7"/>
    <w:rsid w:val="007243CD"/>
    <w:rsid w:val="00724490"/>
    <w:rsid w:val="007244BC"/>
    <w:rsid w:val="007244D8"/>
    <w:rsid w:val="0072454F"/>
    <w:rsid w:val="00724557"/>
    <w:rsid w:val="00724585"/>
    <w:rsid w:val="007245A8"/>
    <w:rsid w:val="0072465C"/>
    <w:rsid w:val="0072468C"/>
    <w:rsid w:val="00724690"/>
    <w:rsid w:val="00724717"/>
    <w:rsid w:val="0072472B"/>
    <w:rsid w:val="00724737"/>
    <w:rsid w:val="00724806"/>
    <w:rsid w:val="00724911"/>
    <w:rsid w:val="00724952"/>
    <w:rsid w:val="007249D6"/>
    <w:rsid w:val="00724A4E"/>
    <w:rsid w:val="00724A77"/>
    <w:rsid w:val="00724A99"/>
    <w:rsid w:val="00724AAC"/>
    <w:rsid w:val="00724ADF"/>
    <w:rsid w:val="00724B15"/>
    <w:rsid w:val="00724B83"/>
    <w:rsid w:val="00724C97"/>
    <w:rsid w:val="00724CE9"/>
    <w:rsid w:val="00724DAF"/>
    <w:rsid w:val="00724DC5"/>
    <w:rsid w:val="00724E11"/>
    <w:rsid w:val="00724E16"/>
    <w:rsid w:val="00724EA0"/>
    <w:rsid w:val="00724FCD"/>
    <w:rsid w:val="00724FDB"/>
    <w:rsid w:val="00724FDC"/>
    <w:rsid w:val="00725003"/>
    <w:rsid w:val="0072504B"/>
    <w:rsid w:val="00725080"/>
    <w:rsid w:val="00725088"/>
    <w:rsid w:val="007251B0"/>
    <w:rsid w:val="007251BA"/>
    <w:rsid w:val="0072527F"/>
    <w:rsid w:val="007252C9"/>
    <w:rsid w:val="00725379"/>
    <w:rsid w:val="007253C7"/>
    <w:rsid w:val="0072542C"/>
    <w:rsid w:val="00725451"/>
    <w:rsid w:val="00725496"/>
    <w:rsid w:val="0072551D"/>
    <w:rsid w:val="00725542"/>
    <w:rsid w:val="00725563"/>
    <w:rsid w:val="007255C5"/>
    <w:rsid w:val="007255E0"/>
    <w:rsid w:val="0072560D"/>
    <w:rsid w:val="007256ED"/>
    <w:rsid w:val="007256F0"/>
    <w:rsid w:val="007256F8"/>
    <w:rsid w:val="007256FD"/>
    <w:rsid w:val="00725758"/>
    <w:rsid w:val="00725769"/>
    <w:rsid w:val="007257B2"/>
    <w:rsid w:val="007257E9"/>
    <w:rsid w:val="0072595E"/>
    <w:rsid w:val="0072598A"/>
    <w:rsid w:val="00725A68"/>
    <w:rsid w:val="00725B1C"/>
    <w:rsid w:val="00725BD3"/>
    <w:rsid w:val="00725BE0"/>
    <w:rsid w:val="00725CA5"/>
    <w:rsid w:val="00725CAA"/>
    <w:rsid w:val="00725CD0"/>
    <w:rsid w:val="00725D38"/>
    <w:rsid w:val="00725DB5"/>
    <w:rsid w:val="00725E1A"/>
    <w:rsid w:val="00725EF5"/>
    <w:rsid w:val="00725F69"/>
    <w:rsid w:val="00726024"/>
    <w:rsid w:val="007260CF"/>
    <w:rsid w:val="007260D9"/>
    <w:rsid w:val="00726137"/>
    <w:rsid w:val="0072613A"/>
    <w:rsid w:val="00726175"/>
    <w:rsid w:val="00726197"/>
    <w:rsid w:val="007261B1"/>
    <w:rsid w:val="00726286"/>
    <w:rsid w:val="007262A5"/>
    <w:rsid w:val="007262B8"/>
    <w:rsid w:val="0072635E"/>
    <w:rsid w:val="007263AF"/>
    <w:rsid w:val="007263C0"/>
    <w:rsid w:val="00726403"/>
    <w:rsid w:val="007265C5"/>
    <w:rsid w:val="007265E9"/>
    <w:rsid w:val="00726610"/>
    <w:rsid w:val="0072664E"/>
    <w:rsid w:val="0072665F"/>
    <w:rsid w:val="007266AE"/>
    <w:rsid w:val="007266C8"/>
    <w:rsid w:val="007266F2"/>
    <w:rsid w:val="0072670F"/>
    <w:rsid w:val="007267A3"/>
    <w:rsid w:val="007268C5"/>
    <w:rsid w:val="00726907"/>
    <w:rsid w:val="00726921"/>
    <w:rsid w:val="0072696B"/>
    <w:rsid w:val="0072696F"/>
    <w:rsid w:val="00726978"/>
    <w:rsid w:val="007269EC"/>
    <w:rsid w:val="00726A2A"/>
    <w:rsid w:val="00726A7D"/>
    <w:rsid w:val="00726A9D"/>
    <w:rsid w:val="00726B22"/>
    <w:rsid w:val="00726B62"/>
    <w:rsid w:val="00726B9C"/>
    <w:rsid w:val="00726BDB"/>
    <w:rsid w:val="00726C36"/>
    <w:rsid w:val="00726C98"/>
    <w:rsid w:val="00726CCC"/>
    <w:rsid w:val="00726E55"/>
    <w:rsid w:val="00726E61"/>
    <w:rsid w:val="00726E8F"/>
    <w:rsid w:val="00726F0D"/>
    <w:rsid w:val="00726F1D"/>
    <w:rsid w:val="00726F5C"/>
    <w:rsid w:val="00726F91"/>
    <w:rsid w:val="00726FE0"/>
    <w:rsid w:val="00727068"/>
    <w:rsid w:val="0072708D"/>
    <w:rsid w:val="007270AE"/>
    <w:rsid w:val="00727110"/>
    <w:rsid w:val="0072715E"/>
    <w:rsid w:val="007272A3"/>
    <w:rsid w:val="007272D7"/>
    <w:rsid w:val="00727315"/>
    <w:rsid w:val="0072737A"/>
    <w:rsid w:val="00727502"/>
    <w:rsid w:val="00727511"/>
    <w:rsid w:val="0072758D"/>
    <w:rsid w:val="00727634"/>
    <w:rsid w:val="00727669"/>
    <w:rsid w:val="007276B2"/>
    <w:rsid w:val="0072779F"/>
    <w:rsid w:val="007277AB"/>
    <w:rsid w:val="0072780D"/>
    <w:rsid w:val="00727810"/>
    <w:rsid w:val="00727900"/>
    <w:rsid w:val="00727987"/>
    <w:rsid w:val="007279EE"/>
    <w:rsid w:val="00727A82"/>
    <w:rsid w:val="00727AC6"/>
    <w:rsid w:val="00727AE5"/>
    <w:rsid w:val="00727AEB"/>
    <w:rsid w:val="00727B3C"/>
    <w:rsid w:val="00727BA3"/>
    <w:rsid w:val="00727C5D"/>
    <w:rsid w:val="00727C91"/>
    <w:rsid w:val="00727CF4"/>
    <w:rsid w:val="00727D9E"/>
    <w:rsid w:val="00727DB7"/>
    <w:rsid w:val="00727DE7"/>
    <w:rsid w:val="00727DE8"/>
    <w:rsid w:val="00727E23"/>
    <w:rsid w:val="00727E86"/>
    <w:rsid w:val="00727F46"/>
    <w:rsid w:val="00727F52"/>
    <w:rsid w:val="00727FB1"/>
    <w:rsid w:val="00730053"/>
    <w:rsid w:val="00730060"/>
    <w:rsid w:val="007300C9"/>
    <w:rsid w:val="007300E9"/>
    <w:rsid w:val="0073013E"/>
    <w:rsid w:val="0073014E"/>
    <w:rsid w:val="0073016D"/>
    <w:rsid w:val="007301B1"/>
    <w:rsid w:val="0073025B"/>
    <w:rsid w:val="007302D7"/>
    <w:rsid w:val="0073038A"/>
    <w:rsid w:val="007303CD"/>
    <w:rsid w:val="007303E2"/>
    <w:rsid w:val="00730428"/>
    <w:rsid w:val="0073047F"/>
    <w:rsid w:val="00730547"/>
    <w:rsid w:val="00730615"/>
    <w:rsid w:val="0073072A"/>
    <w:rsid w:val="00730849"/>
    <w:rsid w:val="007308AA"/>
    <w:rsid w:val="00730911"/>
    <w:rsid w:val="0073091B"/>
    <w:rsid w:val="007309AB"/>
    <w:rsid w:val="00730A3C"/>
    <w:rsid w:val="00730ADD"/>
    <w:rsid w:val="00730B04"/>
    <w:rsid w:val="00730BA1"/>
    <w:rsid w:val="00730C7C"/>
    <w:rsid w:val="00730D06"/>
    <w:rsid w:val="00730DF3"/>
    <w:rsid w:val="00730DFE"/>
    <w:rsid w:val="00730EEE"/>
    <w:rsid w:val="00730FB2"/>
    <w:rsid w:val="00731021"/>
    <w:rsid w:val="007310BC"/>
    <w:rsid w:val="007310D3"/>
    <w:rsid w:val="007310FE"/>
    <w:rsid w:val="007311CA"/>
    <w:rsid w:val="007311D8"/>
    <w:rsid w:val="007311FB"/>
    <w:rsid w:val="00731230"/>
    <w:rsid w:val="00731331"/>
    <w:rsid w:val="007313B1"/>
    <w:rsid w:val="007313C5"/>
    <w:rsid w:val="00731415"/>
    <w:rsid w:val="00731454"/>
    <w:rsid w:val="00731490"/>
    <w:rsid w:val="007314E0"/>
    <w:rsid w:val="00731596"/>
    <w:rsid w:val="007315BD"/>
    <w:rsid w:val="007315BF"/>
    <w:rsid w:val="007315EA"/>
    <w:rsid w:val="00731663"/>
    <w:rsid w:val="007316B2"/>
    <w:rsid w:val="007316FE"/>
    <w:rsid w:val="0073172E"/>
    <w:rsid w:val="007317E8"/>
    <w:rsid w:val="007317F4"/>
    <w:rsid w:val="007317F5"/>
    <w:rsid w:val="00731859"/>
    <w:rsid w:val="00731910"/>
    <w:rsid w:val="0073195E"/>
    <w:rsid w:val="00731981"/>
    <w:rsid w:val="00731988"/>
    <w:rsid w:val="0073198F"/>
    <w:rsid w:val="007319F4"/>
    <w:rsid w:val="007319FF"/>
    <w:rsid w:val="00731A19"/>
    <w:rsid w:val="00731AC4"/>
    <w:rsid w:val="00731B03"/>
    <w:rsid w:val="00731B2E"/>
    <w:rsid w:val="00731B34"/>
    <w:rsid w:val="00731B7E"/>
    <w:rsid w:val="00731B93"/>
    <w:rsid w:val="00731C11"/>
    <w:rsid w:val="00731CDC"/>
    <w:rsid w:val="00731D07"/>
    <w:rsid w:val="00731DF9"/>
    <w:rsid w:val="00731E12"/>
    <w:rsid w:val="00731E2D"/>
    <w:rsid w:val="00731ECD"/>
    <w:rsid w:val="00731ED4"/>
    <w:rsid w:val="00731EF5"/>
    <w:rsid w:val="00731F46"/>
    <w:rsid w:val="00731F78"/>
    <w:rsid w:val="00731F7F"/>
    <w:rsid w:val="0073203D"/>
    <w:rsid w:val="00732113"/>
    <w:rsid w:val="0073217B"/>
    <w:rsid w:val="007321D2"/>
    <w:rsid w:val="0073225F"/>
    <w:rsid w:val="007322EC"/>
    <w:rsid w:val="00732301"/>
    <w:rsid w:val="00732324"/>
    <w:rsid w:val="00732334"/>
    <w:rsid w:val="007323B4"/>
    <w:rsid w:val="0073240F"/>
    <w:rsid w:val="00732427"/>
    <w:rsid w:val="0073242D"/>
    <w:rsid w:val="0073245C"/>
    <w:rsid w:val="007324D8"/>
    <w:rsid w:val="00732519"/>
    <w:rsid w:val="0073258A"/>
    <w:rsid w:val="007325CF"/>
    <w:rsid w:val="007325D6"/>
    <w:rsid w:val="00732661"/>
    <w:rsid w:val="007326D9"/>
    <w:rsid w:val="00732708"/>
    <w:rsid w:val="00732835"/>
    <w:rsid w:val="007328EB"/>
    <w:rsid w:val="007328FC"/>
    <w:rsid w:val="00732918"/>
    <w:rsid w:val="00732929"/>
    <w:rsid w:val="00732953"/>
    <w:rsid w:val="007329A6"/>
    <w:rsid w:val="007329C0"/>
    <w:rsid w:val="00732A14"/>
    <w:rsid w:val="00732A1B"/>
    <w:rsid w:val="00732AA0"/>
    <w:rsid w:val="00732AFD"/>
    <w:rsid w:val="00732BFF"/>
    <w:rsid w:val="00732C17"/>
    <w:rsid w:val="00732D09"/>
    <w:rsid w:val="00732D10"/>
    <w:rsid w:val="00732DD4"/>
    <w:rsid w:val="00732E09"/>
    <w:rsid w:val="00732E10"/>
    <w:rsid w:val="00732E4A"/>
    <w:rsid w:val="00732E62"/>
    <w:rsid w:val="00732E81"/>
    <w:rsid w:val="00732FE0"/>
    <w:rsid w:val="0073304B"/>
    <w:rsid w:val="0073310C"/>
    <w:rsid w:val="00733167"/>
    <w:rsid w:val="00733174"/>
    <w:rsid w:val="0073317C"/>
    <w:rsid w:val="007331F4"/>
    <w:rsid w:val="0073327F"/>
    <w:rsid w:val="007332A4"/>
    <w:rsid w:val="007332BF"/>
    <w:rsid w:val="007332EA"/>
    <w:rsid w:val="0073338E"/>
    <w:rsid w:val="007333E7"/>
    <w:rsid w:val="007333F3"/>
    <w:rsid w:val="007333F9"/>
    <w:rsid w:val="00733462"/>
    <w:rsid w:val="00733632"/>
    <w:rsid w:val="00733683"/>
    <w:rsid w:val="007336CF"/>
    <w:rsid w:val="0073380D"/>
    <w:rsid w:val="007338EC"/>
    <w:rsid w:val="0073391B"/>
    <w:rsid w:val="007339B2"/>
    <w:rsid w:val="007339B7"/>
    <w:rsid w:val="007339C3"/>
    <w:rsid w:val="00733A86"/>
    <w:rsid w:val="00733A8D"/>
    <w:rsid w:val="00733AA6"/>
    <w:rsid w:val="00733B92"/>
    <w:rsid w:val="00733C36"/>
    <w:rsid w:val="00733C4D"/>
    <w:rsid w:val="00733C91"/>
    <w:rsid w:val="00733CA6"/>
    <w:rsid w:val="00733D12"/>
    <w:rsid w:val="00733D22"/>
    <w:rsid w:val="00733DAC"/>
    <w:rsid w:val="00733DDC"/>
    <w:rsid w:val="00733E89"/>
    <w:rsid w:val="00733EA2"/>
    <w:rsid w:val="00733EA7"/>
    <w:rsid w:val="00733EBF"/>
    <w:rsid w:val="00733FFB"/>
    <w:rsid w:val="00734027"/>
    <w:rsid w:val="0073405C"/>
    <w:rsid w:val="00734078"/>
    <w:rsid w:val="00734112"/>
    <w:rsid w:val="007341CC"/>
    <w:rsid w:val="007341FE"/>
    <w:rsid w:val="0073422E"/>
    <w:rsid w:val="00734288"/>
    <w:rsid w:val="0073435D"/>
    <w:rsid w:val="007343EC"/>
    <w:rsid w:val="0073449F"/>
    <w:rsid w:val="007344D1"/>
    <w:rsid w:val="0073453C"/>
    <w:rsid w:val="0073458C"/>
    <w:rsid w:val="00734591"/>
    <w:rsid w:val="00734605"/>
    <w:rsid w:val="00734661"/>
    <w:rsid w:val="007346FE"/>
    <w:rsid w:val="00734966"/>
    <w:rsid w:val="0073496F"/>
    <w:rsid w:val="007349CC"/>
    <w:rsid w:val="00734A54"/>
    <w:rsid w:val="00734A81"/>
    <w:rsid w:val="00734BAE"/>
    <w:rsid w:val="00734BCE"/>
    <w:rsid w:val="00734BF5"/>
    <w:rsid w:val="00734C61"/>
    <w:rsid w:val="00734D6C"/>
    <w:rsid w:val="00734DA0"/>
    <w:rsid w:val="00734DA8"/>
    <w:rsid w:val="00734E40"/>
    <w:rsid w:val="00734E4A"/>
    <w:rsid w:val="00734EB9"/>
    <w:rsid w:val="00734EDB"/>
    <w:rsid w:val="00734EF7"/>
    <w:rsid w:val="00734F18"/>
    <w:rsid w:val="00734F64"/>
    <w:rsid w:val="0073503B"/>
    <w:rsid w:val="0073511E"/>
    <w:rsid w:val="00735129"/>
    <w:rsid w:val="00735251"/>
    <w:rsid w:val="00735252"/>
    <w:rsid w:val="0073527B"/>
    <w:rsid w:val="007352C9"/>
    <w:rsid w:val="007352DF"/>
    <w:rsid w:val="007353E9"/>
    <w:rsid w:val="0073544D"/>
    <w:rsid w:val="00735459"/>
    <w:rsid w:val="007354C7"/>
    <w:rsid w:val="00735524"/>
    <w:rsid w:val="00735560"/>
    <w:rsid w:val="00735697"/>
    <w:rsid w:val="007356AE"/>
    <w:rsid w:val="007356E3"/>
    <w:rsid w:val="00735770"/>
    <w:rsid w:val="0073581E"/>
    <w:rsid w:val="00735951"/>
    <w:rsid w:val="00735A44"/>
    <w:rsid w:val="00735AB0"/>
    <w:rsid w:val="00735B37"/>
    <w:rsid w:val="00735B65"/>
    <w:rsid w:val="00735BAB"/>
    <w:rsid w:val="00735C13"/>
    <w:rsid w:val="00735C45"/>
    <w:rsid w:val="00735C7B"/>
    <w:rsid w:val="00735CAB"/>
    <w:rsid w:val="00735CD1"/>
    <w:rsid w:val="00735E0D"/>
    <w:rsid w:val="00735E97"/>
    <w:rsid w:val="00735EDA"/>
    <w:rsid w:val="00735EE0"/>
    <w:rsid w:val="00735FCA"/>
    <w:rsid w:val="007360FD"/>
    <w:rsid w:val="00736144"/>
    <w:rsid w:val="0073616E"/>
    <w:rsid w:val="00736173"/>
    <w:rsid w:val="007361A6"/>
    <w:rsid w:val="00736225"/>
    <w:rsid w:val="0073623B"/>
    <w:rsid w:val="0073626B"/>
    <w:rsid w:val="00736311"/>
    <w:rsid w:val="0073634F"/>
    <w:rsid w:val="00736350"/>
    <w:rsid w:val="00736351"/>
    <w:rsid w:val="00736369"/>
    <w:rsid w:val="00736432"/>
    <w:rsid w:val="0073646C"/>
    <w:rsid w:val="00736534"/>
    <w:rsid w:val="0073657B"/>
    <w:rsid w:val="007365E0"/>
    <w:rsid w:val="007365E9"/>
    <w:rsid w:val="0073663C"/>
    <w:rsid w:val="007367BF"/>
    <w:rsid w:val="0073682A"/>
    <w:rsid w:val="0073683C"/>
    <w:rsid w:val="0073685F"/>
    <w:rsid w:val="00736936"/>
    <w:rsid w:val="00736972"/>
    <w:rsid w:val="00736979"/>
    <w:rsid w:val="0073697D"/>
    <w:rsid w:val="007369CA"/>
    <w:rsid w:val="00736A1B"/>
    <w:rsid w:val="00736B98"/>
    <w:rsid w:val="00736BA9"/>
    <w:rsid w:val="00736C5C"/>
    <w:rsid w:val="00736CAE"/>
    <w:rsid w:val="00736D21"/>
    <w:rsid w:val="00736D2E"/>
    <w:rsid w:val="00736D3A"/>
    <w:rsid w:val="00736D84"/>
    <w:rsid w:val="00736E70"/>
    <w:rsid w:val="00736EE2"/>
    <w:rsid w:val="00736EFB"/>
    <w:rsid w:val="00736F1C"/>
    <w:rsid w:val="00736F55"/>
    <w:rsid w:val="00737053"/>
    <w:rsid w:val="00737063"/>
    <w:rsid w:val="00737064"/>
    <w:rsid w:val="007370F0"/>
    <w:rsid w:val="00737104"/>
    <w:rsid w:val="00737141"/>
    <w:rsid w:val="007371E0"/>
    <w:rsid w:val="007371E8"/>
    <w:rsid w:val="00737208"/>
    <w:rsid w:val="00737233"/>
    <w:rsid w:val="00737279"/>
    <w:rsid w:val="007372AB"/>
    <w:rsid w:val="0073731C"/>
    <w:rsid w:val="00737372"/>
    <w:rsid w:val="007373CD"/>
    <w:rsid w:val="0073744F"/>
    <w:rsid w:val="00737483"/>
    <w:rsid w:val="007374F2"/>
    <w:rsid w:val="007374FB"/>
    <w:rsid w:val="00737553"/>
    <w:rsid w:val="0073764A"/>
    <w:rsid w:val="00737685"/>
    <w:rsid w:val="007376AD"/>
    <w:rsid w:val="007376DD"/>
    <w:rsid w:val="007376FB"/>
    <w:rsid w:val="007376FD"/>
    <w:rsid w:val="00737738"/>
    <w:rsid w:val="00737770"/>
    <w:rsid w:val="00737795"/>
    <w:rsid w:val="007377B7"/>
    <w:rsid w:val="0073787F"/>
    <w:rsid w:val="00737881"/>
    <w:rsid w:val="007378DA"/>
    <w:rsid w:val="00737998"/>
    <w:rsid w:val="007379D2"/>
    <w:rsid w:val="007379D3"/>
    <w:rsid w:val="00737A4E"/>
    <w:rsid w:val="00737B30"/>
    <w:rsid w:val="00737C0B"/>
    <w:rsid w:val="00737CE9"/>
    <w:rsid w:val="00737D19"/>
    <w:rsid w:val="00737D29"/>
    <w:rsid w:val="00737E19"/>
    <w:rsid w:val="00737ED7"/>
    <w:rsid w:val="00740067"/>
    <w:rsid w:val="007400C2"/>
    <w:rsid w:val="007400E3"/>
    <w:rsid w:val="007400FB"/>
    <w:rsid w:val="0074018C"/>
    <w:rsid w:val="00740217"/>
    <w:rsid w:val="0074022C"/>
    <w:rsid w:val="00740270"/>
    <w:rsid w:val="00740307"/>
    <w:rsid w:val="007403A0"/>
    <w:rsid w:val="007403CD"/>
    <w:rsid w:val="0074046C"/>
    <w:rsid w:val="0074047C"/>
    <w:rsid w:val="007404D6"/>
    <w:rsid w:val="00740554"/>
    <w:rsid w:val="0074062C"/>
    <w:rsid w:val="0074065C"/>
    <w:rsid w:val="00740679"/>
    <w:rsid w:val="00740692"/>
    <w:rsid w:val="00740701"/>
    <w:rsid w:val="007407FA"/>
    <w:rsid w:val="00740930"/>
    <w:rsid w:val="007409D8"/>
    <w:rsid w:val="007409DB"/>
    <w:rsid w:val="00740AA9"/>
    <w:rsid w:val="00740B5E"/>
    <w:rsid w:val="00740C59"/>
    <w:rsid w:val="00740CAC"/>
    <w:rsid w:val="00740E7B"/>
    <w:rsid w:val="00740F83"/>
    <w:rsid w:val="00741015"/>
    <w:rsid w:val="0074104C"/>
    <w:rsid w:val="00741054"/>
    <w:rsid w:val="0074106B"/>
    <w:rsid w:val="007410D9"/>
    <w:rsid w:val="007410E6"/>
    <w:rsid w:val="00741106"/>
    <w:rsid w:val="00741127"/>
    <w:rsid w:val="0074112F"/>
    <w:rsid w:val="00741146"/>
    <w:rsid w:val="00741208"/>
    <w:rsid w:val="0074128E"/>
    <w:rsid w:val="00741296"/>
    <w:rsid w:val="00741393"/>
    <w:rsid w:val="00741396"/>
    <w:rsid w:val="007413B7"/>
    <w:rsid w:val="007413C6"/>
    <w:rsid w:val="007413F6"/>
    <w:rsid w:val="007413FC"/>
    <w:rsid w:val="00741423"/>
    <w:rsid w:val="00741435"/>
    <w:rsid w:val="007414CD"/>
    <w:rsid w:val="007415DC"/>
    <w:rsid w:val="00741630"/>
    <w:rsid w:val="00741682"/>
    <w:rsid w:val="007416A2"/>
    <w:rsid w:val="007416B2"/>
    <w:rsid w:val="007416C9"/>
    <w:rsid w:val="00741754"/>
    <w:rsid w:val="0074177C"/>
    <w:rsid w:val="0074183E"/>
    <w:rsid w:val="0074186D"/>
    <w:rsid w:val="00741883"/>
    <w:rsid w:val="007418BB"/>
    <w:rsid w:val="007419D6"/>
    <w:rsid w:val="00741AA4"/>
    <w:rsid w:val="00741AB9"/>
    <w:rsid w:val="00741BE3"/>
    <w:rsid w:val="00741CC4"/>
    <w:rsid w:val="00741CD1"/>
    <w:rsid w:val="00741D8B"/>
    <w:rsid w:val="00741E41"/>
    <w:rsid w:val="00741E4E"/>
    <w:rsid w:val="00741EFA"/>
    <w:rsid w:val="00741F9C"/>
    <w:rsid w:val="00742020"/>
    <w:rsid w:val="0074207C"/>
    <w:rsid w:val="00742177"/>
    <w:rsid w:val="00742205"/>
    <w:rsid w:val="00742265"/>
    <w:rsid w:val="007422E9"/>
    <w:rsid w:val="00742353"/>
    <w:rsid w:val="00742407"/>
    <w:rsid w:val="00742414"/>
    <w:rsid w:val="00742442"/>
    <w:rsid w:val="00742453"/>
    <w:rsid w:val="007424BF"/>
    <w:rsid w:val="0074252A"/>
    <w:rsid w:val="0074259C"/>
    <w:rsid w:val="007425F7"/>
    <w:rsid w:val="007427A8"/>
    <w:rsid w:val="007427CC"/>
    <w:rsid w:val="00742835"/>
    <w:rsid w:val="00742840"/>
    <w:rsid w:val="00742855"/>
    <w:rsid w:val="00742939"/>
    <w:rsid w:val="0074294E"/>
    <w:rsid w:val="0074297F"/>
    <w:rsid w:val="007429F1"/>
    <w:rsid w:val="00742A5D"/>
    <w:rsid w:val="00742A89"/>
    <w:rsid w:val="00742B1E"/>
    <w:rsid w:val="00742BFA"/>
    <w:rsid w:val="00742C21"/>
    <w:rsid w:val="00742C48"/>
    <w:rsid w:val="00742C5B"/>
    <w:rsid w:val="00742C87"/>
    <w:rsid w:val="00742CAB"/>
    <w:rsid w:val="00742CE3"/>
    <w:rsid w:val="00742D0E"/>
    <w:rsid w:val="00742D44"/>
    <w:rsid w:val="00742D9B"/>
    <w:rsid w:val="00742F2E"/>
    <w:rsid w:val="007430A3"/>
    <w:rsid w:val="007430C0"/>
    <w:rsid w:val="007430F5"/>
    <w:rsid w:val="007431BB"/>
    <w:rsid w:val="007431BC"/>
    <w:rsid w:val="007431D6"/>
    <w:rsid w:val="0074326B"/>
    <w:rsid w:val="0074327C"/>
    <w:rsid w:val="0074329F"/>
    <w:rsid w:val="007432A3"/>
    <w:rsid w:val="00743350"/>
    <w:rsid w:val="00743493"/>
    <w:rsid w:val="007434B1"/>
    <w:rsid w:val="007434E7"/>
    <w:rsid w:val="00743572"/>
    <w:rsid w:val="007436D6"/>
    <w:rsid w:val="007436D9"/>
    <w:rsid w:val="007437BA"/>
    <w:rsid w:val="007437BF"/>
    <w:rsid w:val="0074382E"/>
    <w:rsid w:val="007438A5"/>
    <w:rsid w:val="0074397A"/>
    <w:rsid w:val="007439AB"/>
    <w:rsid w:val="007439D8"/>
    <w:rsid w:val="00743A07"/>
    <w:rsid w:val="00743A26"/>
    <w:rsid w:val="00743ADC"/>
    <w:rsid w:val="00743B34"/>
    <w:rsid w:val="00743BAA"/>
    <w:rsid w:val="00743C8F"/>
    <w:rsid w:val="00743CAD"/>
    <w:rsid w:val="00743CCF"/>
    <w:rsid w:val="00743D16"/>
    <w:rsid w:val="00743D2D"/>
    <w:rsid w:val="00743D4C"/>
    <w:rsid w:val="00743D64"/>
    <w:rsid w:val="00743D66"/>
    <w:rsid w:val="00743D7F"/>
    <w:rsid w:val="00743E54"/>
    <w:rsid w:val="00743F30"/>
    <w:rsid w:val="00743F9C"/>
    <w:rsid w:val="00743FAA"/>
    <w:rsid w:val="00743FCF"/>
    <w:rsid w:val="007440D5"/>
    <w:rsid w:val="00744110"/>
    <w:rsid w:val="0074413D"/>
    <w:rsid w:val="007441B8"/>
    <w:rsid w:val="0074421C"/>
    <w:rsid w:val="00744249"/>
    <w:rsid w:val="00744260"/>
    <w:rsid w:val="007442B3"/>
    <w:rsid w:val="007442C8"/>
    <w:rsid w:val="00744320"/>
    <w:rsid w:val="007443BD"/>
    <w:rsid w:val="007443D0"/>
    <w:rsid w:val="00744400"/>
    <w:rsid w:val="00744405"/>
    <w:rsid w:val="0074443E"/>
    <w:rsid w:val="0074456B"/>
    <w:rsid w:val="0074456D"/>
    <w:rsid w:val="0074457E"/>
    <w:rsid w:val="007445DE"/>
    <w:rsid w:val="00744759"/>
    <w:rsid w:val="0074478B"/>
    <w:rsid w:val="00744994"/>
    <w:rsid w:val="0074499B"/>
    <w:rsid w:val="007449D4"/>
    <w:rsid w:val="007449F6"/>
    <w:rsid w:val="00744A30"/>
    <w:rsid w:val="00744A52"/>
    <w:rsid w:val="00744ADA"/>
    <w:rsid w:val="00744B08"/>
    <w:rsid w:val="00744B37"/>
    <w:rsid w:val="00744B6A"/>
    <w:rsid w:val="00744B85"/>
    <w:rsid w:val="00744BCC"/>
    <w:rsid w:val="00744BFE"/>
    <w:rsid w:val="00744C36"/>
    <w:rsid w:val="00744C65"/>
    <w:rsid w:val="00744CEF"/>
    <w:rsid w:val="00744D17"/>
    <w:rsid w:val="00744D81"/>
    <w:rsid w:val="00744DF5"/>
    <w:rsid w:val="00744FAB"/>
    <w:rsid w:val="00744FF2"/>
    <w:rsid w:val="00745038"/>
    <w:rsid w:val="00745066"/>
    <w:rsid w:val="0074506E"/>
    <w:rsid w:val="00745076"/>
    <w:rsid w:val="007450BF"/>
    <w:rsid w:val="007450CA"/>
    <w:rsid w:val="007451B2"/>
    <w:rsid w:val="007451FF"/>
    <w:rsid w:val="00745265"/>
    <w:rsid w:val="007452C1"/>
    <w:rsid w:val="007452CB"/>
    <w:rsid w:val="007452D0"/>
    <w:rsid w:val="0074538C"/>
    <w:rsid w:val="00745459"/>
    <w:rsid w:val="0074550A"/>
    <w:rsid w:val="00745581"/>
    <w:rsid w:val="007455BB"/>
    <w:rsid w:val="007455EA"/>
    <w:rsid w:val="007456F5"/>
    <w:rsid w:val="00745748"/>
    <w:rsid w:val="00745808"/>
    <w:rsid w:val="0074588D"/>
    <w:rsid w:val="00745894"/>
    <w:rsid w:val="007459B6"/>
    <w:rsid w:val="00745A71"/>
    <w:rsid w:val="00745A78"/>
    <w:rsid w:val="00745A86"/>
    <w:rsid w:val="00745A9A"/>
    <w:rsid w:val="00745AF4"/>
    <w:rsid w:val="00745BA2"/>
    <w:rsid w:val="00745BCE"/>
    <w:rsid w:val="00745C4E"/>
    <w:rsid w:val="00745C71"/>
    <w:rsid w:val="00745CC7"/>
    <w:rsid w:val="00745D52"/>
    <w:rsid w:val="00745D86"/>
    <w:rsid w:val="00745DFE"/>
    <w:rsid w:val="00745ED5"/>
    <w:rsid w:val="00745F06"/>
    <w:rsid w:val="00745F62"/>
    <w:rsid w:val="00746075"/>
    <w:rsid w:val="0074608B"/>
    <w:rsid w:val="007460EB"/>
    <w:rsid w:val="00746192"/>
    <w:rsid w:val="0074621F"/>
    <w:rsid w:val="00746220"/>
    <w:rsid w:val="0074622D"/>
    <w:rsid w:val="0074623C"/>
    <w:rsid w:val="00746259"/>
    <w:rsid w:val="00746270"/>
    <w:rsid w:val="007462CC"/>
    <w:rsid w:val="007462ED"/>
    <w:rsid w:val="0074630F"/>
    <w:rsid w:val="00746360"/>
    <w:rsid w:val="0074643B"/>
    <w:rsid w:val="0074647B"/>
    <w:rsid w:val="00746534"/>
    <w:rsid w:val="0074655D"/>
    <w:rsid w:val="0074667E"/>
    <w:rsid w:val="007466BD"/>
    <w:rsid w:val="007466CE"/>
    <w:rsid w:val="007467AD"/>
    <w:rsid w:val="007467C3"/>
    <w:rsid w:val="007467E8"/>
    <w:rsid w:val="007467F3"/>
    <w:rsid w:val="00746818"/>
    <w:rsid w:val="00746834"/>
    <w:rsid w:val="00746850"/>
    <w:rsid w:val="0074685C"/>
    <w:rsid w:val="0074686C"/>
    <w:rsid w:val="0074688E"/>
    <w:rsid w:val="007468BB"/>
    <w:rsid w:val="007468F2"/>
    <w:rsid w:val="00746953"/>
    <w:rsid w:val="00746A8F"/>
    <w:rsid w:val="00746A90"/>
    <w:rsid w:val="00746B5B"/>
    <w:rsid w:val="00746BB4"/>
    <w:rsid w:val="00746C04"/>
    <w:rsid w:val="00746D46"/>
    <w:rsid w:val="00746DDF"/>
    <w:rsid w:val="00746E1D"/>
    <w:rsid w:val="00746E24"/>
    <w:rsid w:val="00746EA2"/>
    <w:rsid w:val="00746EDC"/>
    <w:rsid w:val="00746F94"/>
    <w:rsid w:val="00746FA2"/>
    <w:rsid w:val="00746FC1"/>
    <w:rsid w:val="0074706E"/>
    <w:rsid w:val="007470B7"/>
    <w:rsid w:val="00747204"/>
    <w:rsid w:val="0074721F"/>
    <w:rsid w:val="00747366"/>
    <w:rsid w:val="007473C6"/>
    <w:rsid w:val="007473C7"/>
    <w:rsid w:val="007473F0"/>
    <w:rsid w:val="007473FD"/>
    <w:rsid w:val="00747406"/>
    <w:rsid w:val="0074746D"/>
    <w:rsid w:val="00747555"/>
    <w:rsid w:val="0074762B"/>
    <w:rsid w:val="007476AF"/>
    <w:rsid w:val="007476DA"/>
    <w:rsid w:val="00747715"/>
    <w:rsid w:val="00747743"/>
    <w:rsid w:val="0074779D"/>
    <w:rsid w:val="007478D1"/>
    <w:rsid w:val="007478D5"/>
    <w:rsid w:val="007479B3"/>
    <w:rsid w:val="007479B5"/>
    <w:rsid w:val="007479D2"/>
    <w:rsid w:val="007479D7"/>
    <w:rsid w:val="00747A6D"/>
    <w:rsid w:val="00747ADE"/>
    <w:rsid w:val="00747B7F"/>
    <w:rsid w:val="00747BF0"/>
    <w:rsid w:val="00747C34"/>
    <w:rsid w:val="00747C5A"/>
    <w:rsid w:val="00747C79"/>
    <w:rsid w:val="00747CA9"/>
    <w:rsid w:val="00747D4C"/>
    <w:rsid w:val="00747DCF"/>
    <w:rsid w:val="00747F41"/>
    <w:rsid w:val="00747F90"/>
    <w:rsid w:val="00750009"/>
    <w:rsid w:val="00750145"/>
    <w:rsid w:val="007501DA"/>
    <w:rsid w:val="007501DE"/>
    <w:rsid w:val="007501EF"/>
    <w:rsid w:val="0075039D"/>
    <w:rsid w:val="007503CD"/>
    <w:rsid w:val="007503D2"/>
    <w:rsid w:val="007503FC"/>
    <w:rsid w:val="00750424"/>
    <w:rsid w:val="00750427"/>
    <w:rsid w:val="00750501"/>
    <w:rsid w:val="007506A5"/>
    <w:rsid w:val="007506C5"/>
    <w:rsid w:val="007506DB"/>
    <w:rsid w:val="007506E8"/>
    <w:rsid w:val="0075070F"/>
    <w:rsid w:val="0075073C"/>
    <w:rsid w:val="0075079A"/>
    <w:rsid w:val="0075086F"/>
    <w:rsid w:val="0075095C"/>
    <w:rsid w:val="00750982"/>
    <w:rsid w:val="007509C7"/>
    <w:rsid w:val="007509E6"/>
    <w:rsid w:val="00750A97"/>
    <w:rsid w:val="00750B32"/>
    <w:rsid w:val="00750B84"/>
    <w:rsid w:val="00750C23"/>
    <w:rsid w:val="00750D3C"/>
    <w:rsid w:val="00750D4A"/>
    <w:rsid w:val="00750DBD"/>
    <w:rsid w:val="00750E07"/>
    <w:rsid w:val="00750E8F"/>
    <w:rsid w:val="00750EA1"/>
    <w:rsid w:val="00750EB1"/>
    <w:rsid w:val="00750EE1"/>
    <w:rsid w:val="00750F2A"/>
    <w:rsid w:val="00750F81"/>
    <w:rsid w:val="00750FDA"/>
    <w:rsid w:val="00751016"/>
    <w:rsid w:val="00751025"/>
    <w:rsid w:val="00751034"/>
    <w:rsid w:val="007510BC"/>
    <w:rsid w:val="0075116C"/>
    <w:rsid w:val="00751195"/>
    <w:rsid w:val="00751279"/>
    <w:rsid w:val="007512B1"/>
    <w:rsid w:val="007512C5"/>
    <w:rsid w:val="0075139C"/>
    <w:rsid w:val="0075143C"/>
    <w:rsid w:val="00751444"/>
    <w:rsid w:val="0075144D"/>
    <w:rsid w:val="00751486"/>
    <w:rsid w:val="0075148E"/>
    <w:rsid w:val="00751500"/>
    <w:rsid w:val="0075155D"/>
    <w:rsid w:val="00751562"/>
    <w:rsid w:val="00751572"/>
    <w:rsid w:val="007515B3"/>
    <w:rsid w:val="00751660"/>
    <w:rsid w:val="007516E7"/>
    <w:rsid w:val="00751745"/>
    <w:rsid w:val="00751747"/>
    <w:rsid w:val="007517BB"/>
    <w:rsid w:val="0075181E"/>
    <w:rsid w:val="0075184D"/>
    <w:rsid w:val="00751882"/>
    <w:rsid w:val="00751894"/>
    <w:rsid w:val="00751993"/>
    <w:rsid w:val="007519B1"/>
    <w:rsid w:val="007519E5"/>
    <w:rsid w:val="007519FE"/>
    <w:rsid w:val="00751B98"/>
    <w:rsid w:val="00751BC5"/>
    <w:rsid w:val="00751CA8"/>
    <w:rsid w:val="00751CFA"/>
    <w:rsid w:val="00751DB7"/>
    <w:rsid w:val="00751F7B"/>
    <w:rsid w:val="00751FA6"/>
    <w:rsid w:val="00752033"/>
    <w:rsid w:val="00752164"/>
    <w:rsid w:val="007521AA"/>
    <w:rsid w:val="00752246"/>
    <w:rsid w:val="0075234C"/>
    <w:rsid w:val="0075239A"/>
    <w:rsid w:val="007523A5"/>
    <w:rsid w:val="007523B2"/>
    <w:rsid w:val="00752403"/>
    <w:rsid w:val="00752422"/>
    <w:rsid w:val="0075245C"/>
    <w:rsid w:val="007524EC"/>
    <w:rsid w:val="007524EE"/>
    <w:rsid w:val="00752503"/>
    <w:rsid w:val="00752514"/>
    <w:rsid w:val="0075258E"/>
    <w:rsid w:val="007525DF"/>
    <w:rsid w:val="00752637"/>
    <w:rsid w:val="00752645"/>
    <w:rsid w:val="0075265E"/>
    <w:rsid w:val="00752740"/>
    <w:rsid w:val="0075275A"/>
    <w:rsid w:val="00752870"/>
    <w:rsid w:val="007528F6"/>
    <w:rsid w:val="00752924"/>
    <w:rsid w:val="00752964"/>
    <w:rsid w:val="007529D0"/>
    <w:rsid w:val="00752A73"/>
    <w:rsid w:val="00752B0F"/>
    <w:rsid w:val="00752B86"/>
    <w:rsid w:val="00752C57"/>
    <w:rsid w:val="00752C59"/>
    <w:rsid w:val="00752CAB"/>
    <w:rsid w:val="00752CC9"/>
    <w:rsid w:val="00752D89"/>
    <w:rsid w:val="00752E34"/>
    <w:rsid w:val="00752E91"/>
    <w:rsid w:val="00752F9B"/>
    <w:rsid w:val="00752F9E"/>
    <w:rsid w:val="00753069"/>
    <w:rsid w:val="00753135"/>
    <w:rsid w:val="00753137"/>
    <w:rsid w:val="00753181"/>
    <w:rsid w:val="007532C4"/>
    <w:rsid w:val="007533B3"/>
    <w:rsid w:val="007533C0"/>
    <w:rsid w:val="007533E4"/>
    <w:rsid w:val="00753476"/>
    <w:rsid w:val="00753491"/>
    <w:rsid w:val="007534BB"/>
    <w:rsid w:val="007534C3"/>
    <w:rsid w:val="00753507"/>
    <w:rsid w:val="00753531"/>
    <w:rsid w:val="0075353D"/>
    <w:rsid w:val="007535E4"/>
    <w:rsid w:val="00753639"/>
    <w:rsid w:val="0075365B"/>
    <w:rsid w:val="007536B0"/>
    <w:rsid w:val="007536B7"/>
    <w:rsid w:val="0075370C"/>
    <w:rsid w:val="007537EA"/>
    <w:rsid w:val="0075384E"/>
    <w:rsid w:val="007538F4"/>
    <w:rsid w:val="007538FA"/>
    <w:rsid w:val="0075392C"/>
    <w:rsid w:val="00753947"/>
    <w:rsid w:val="00753959"/>
    <w:rsid w:val="00753993"/>
    <w:rsid w:val="007539CF"/>
    <w:rsid w:val="007539DA"/>
    <w:rsid w:val="00753AAB"/>
    <w:rsid w:val="00753BF3"/>
    <w:rsid w:val="00753C34"/>
    <w:rsid w:val="00753C5B"/>
    <w:rsid w:val="00753C87"/>
    <w:rsid w:val="00753D3C"/>
    <w:rsid w:val="00753D9A"/>
    <w:rsid w:val="00753E04"/>
    <w:rsid w:val="00753E24"/>
    <w:rsid w:val="00753E56"/>
    <w:rsid w:val="00753E7D"/>
    <w:rsid w:val="00753EA7"/>
    <w:rsid w:val="00753EE0"/>
    <w:rsid w:val="00753F65"/>
    <w:rsid w:val="007540DD"/>
    <w:rsid w:val="00754115"/>
    <w:rsid w:val="00754164"/>
    <w:rsid w:val="007541EE"/>
    <w:rsid w:val="0075420B"/>
    <w:rsid w:val="00754307"/>
    <w:rsid w:val="0075432D"/>
    <w:rsid w:val="00754359"/>
    <w:rsid w:val="007543D9"/>
    <w:rsid w:val="00754443"/>
    <w:rsid w:val="00754454"/>
    <w:rsid w:val="0075446A"/>
    <w:rsid w:val="007544B5"/>
    <w:rsid w:val="0075451D"/>
    <w:rsid w:val="00754525"/>
    <w:rsid w:val="00754577"/>
    <w:rsid w:val="00754635"/>
    <w:rsid w:val="00754695"/>
    <w:rsid w:val="00754706"/>
    <w:rsid w:val="0075471B"/>
    <w:rsid w:val="007547D6"/>
    <w:rsid w:val="00754879"/>
    <w:rsid w:val="00754884"/>
    <w:rsid w:val="007548E6"/>
    <w:rsid w:val="0075492F"/>
    <w:rsid w:val="007549A1"/>
    <w:rsid w:val="00754A48"/>
    <w:rsid w:val="00754A59"/>
    <w:rsid w:val="00754A62"/>
    <w:rsid w:val="00754A7A"/>
    <w:rsid w:val="00754B43"/>
    <w:rsid w:val="00754B4A"/>
    <w:rsid w:val="00754B4E"/>
    <w:rsid w:val="00754BB4"/>
    <w:rsid w:val="00754C25"/>
    <w:rsid w:val="00754C7F"/>
    <w:rsid w:val="00754E2A"/>
    <w:rsid w:val="00754EC2"/>
    <w:rsid w:val="00754ECD"/>
    <w:rsid w:val="00754F60"/>
    <w:rsid w:val="00754F7C"/>
    <w:rsid w:val="00754FB3"/>
    <w:rsid w:val="00754FBD"/>
    <w:rsid w:val="0075504F"/>
    <w:rsid w:val="00755087"/>
    <w:rsid w:val="007550A6"/>
    <w:rsid w:val="007550B2"/>
    <w:rsid w:val="00755148"/>
    <w:rsid w:val="0075514E"/>
    <w:rsid w:val="00755190"/>
    <w:rsid w:val="0075524A"/>
    <w:rsid w:val="00755262"/>
    <w:rsid w:val="007552EE"/>
    <w:rsid w:val="00755363"/>
    <w:rsid w:val="007553BC"/>
    <w:rsid w:val="00755449"/>
    <w:rsid w:val="007554C1"/>
    <w:rsid w:val="007554E4"/>
    <w:rsid w:val="007554E9"/>
    <w:rsid w:val="00755506"/>
    <w:rsid w:val="0075554C"/>
    <w:rsid w:val="0075555A"/>
    <w:rsid w:val="00755568"/>
    <w:rsid w:val="00755595"/>
    <w:rsid w:val="007555AF"/>
    <w:rsid w:val="007555CF"/>
    <w:rsid w:val="0075563F"/>
    <w:rsid w:val="0075587A"/>
    <w:rsid w:val="007558DA"/>
    <w:rsid w:val="0075592C"/>
    <w:rsid w:val="00755952"/>
    <w:rsid w:val="007559C8"/>
    <w:rsid w:val="00755A0C"/>
    <w:rsid w:val="00755A5D"/>
    <w:rsid w:val="00755A6F"/>
    <w:rsid w:val="00755A75"/>
    <w:rsid w:val="00755AD2"/>
    <w:rsid w:val="00755B09"/>
    <w:rsid w:val="00755BF6"/>
    <w:rsid w:val="00755C82"/>
    <w:rsid w:val="00755CFD"/>
    <w:rsid w:val="00755D31"/>
    <w:rsid w:val="00755D90"/>
    <w:rsid w:val="00755DBC"/>
    <w:rsid w:val="00755DDD"/>
    <w:rsid w:val="00755EB0"/>
    <w:rsid w:val="00755ECA"/>
    <w:rsid w:val="00755EE8"/>
    <w:rsid w:val="00755F0D"/>
    <w:rsid w:val="00755F29"/>
    <w:rsid w:val="00755F30"/>
    <w:rsid w:val="00755F36"/>
    <w:rsid w:val="00755F5E"/>
    <w:rsid w:val="00755F77"/>
    <w:rsid w:val="00755FE7"/>
    <w:rsid w:val="00756060"/>
    <w:rsid w:val="00756061"/>
    <w:rsid w:val="00756081"/>
    <w:rsid w:val="0075611A"/>
    <w:rsid w:val="00756183"/>
    <w:rsid w:val="007562F0"/>
    <w:rsid w:val="0075632C"/>
    <w:rsid w:val="0075636A"/>
    <w:rsid w:val="00756399"/>
    <w:rsid w:val="007563C8"/>
    <w:rsid w:val="00756404"/>
    <w:rsid w:val="0075646A"/>
    <w:rsid w:val="0075656C"/>
    <w:rsid w:val="00756570"/>
    <w:rsid w:val="00756575"/>
    <w:rsid w:val="00756596"/>
    <w:rsid w:val="007565A9"/>
    <w:rsid w:val="007565D9"/>
    <w:rsid w:val="007566A9"/>
    <w:rsid w:val="0075677B"/>
    <w:rsid w:val="007567AC"/>
    <w:rsid w:val="0075686D"/>
    <w:rsid w:val="007568C9"/>
    <w:rsid w:val="00756965"/>
    <w:rsid w:val="00756993"/>
    <w:rsid w:val="00756A35"/>
    <w:rsid w:val="00756A6B"/>
    <w:rsid w:val="00756A77"/>
    <w:rsid w:val="00756ABD"/>
    <w:rsid w:val="00756B0F"/>
    <w:rsid w:val="00756C1C"/>
    <w:rsid w:val="00756C2B"/>
    <w:rsid w:val="00756C5E"/>
    <w:rsid w:val="00756CA3"/>
    <w:rsid w:val="00756CBF"/>
    <w:rsid w:val="00756D80"/>
    <w:rsid w:val="00756DED"/>
    <w:rsid w:val="00756E6C"/>
    <w:rsid w:val="00756E78"/>
    <w:rsid w:val="00756E85"/>
    <w:rsid w:val="00756EAB"/>
    <w:rsid w:val="00756EBD"/>
    <w:rsid w:val="00756ED9"/>
    <w:rsid w:val="00756F82"/>
    <w:rsid w:val="00756F9F"/>
    <w:rsid w:val="00756FC4"/>
    <w:rsid w:val="00757062"/>
    <w:rsid w:val="0075706F"/>
    <w:rsid w:val="0075707D"/>
    <w:rsid w:val="0075708A"/>
    <w:rsid w:val="007570E6"/>
    <w:rsid w:val="007570F7"/>
    <w:rsid w:val="00757108"/>
    <w:rsid w:val="007571A4"/>
    <w:rsid w:val="0075723F"/>
    <w:rsid w:val="0075724A"/>
    <w:rsid w:val="00757267"/>
    <w:rsid w:val="007572BC"/>
    <w:rsid w:val="00757329"/>
    <w:rsid w:val="007573AE"/>
    <w:rsid w:val="007573CA"/>
    <w:rsid w:val="007574AA"/>
    <w:rsid w:val="00757516"/>
    <w:rsid w:val="00757586"/>
    <w:rsid w:val="007575D3"/>
    <w:rsid w:val="007575D8"/>
    <w:rsid w:val="00757640"/>
    <w:rsid w:val="00757677"/>
    <w:rsid w:val="007576C5"/>
    <w:rsid w:val="00757728"/>
    <w:rsid w:val="00757766"/>
    <w:rsid w:val="007577B7"/>
    <w:rsid w:val="00757917"/>
    <w:rsid w:val="0075793E"/>
    <w:rsid w:val="007579E2"/>
    <w:rsid w:val="00757A11"/>
    <w:rsid w:val="00757A2F"/>
    <w:rsid w:val="00757B7D"/>
    <w:rsid w:val="00757BF8"/>
    <w:rsid w:val="00757C16"/>
    <w:rsid w:val="00757C28"/>
    <w:rsid w:val="00757C30"/>
    <w:rsid w:val="00757CE5"/>
    <w:rsid w:val="00757CF2"/>
    <w:rsid w:val="00757CFF"/>
    <w:rsid w:val="00757D1B"/>
    <w:rsid w:val="00757D4F"/>
    <w:rsid w:val="00757D61"/>
    <w:rsid w:val="00757F04"/>
    <w:rsid w:val="00757F1F"/>
    <w:rsid w:val="00757F97"/>
    <w:rsid w:val="00757F9B"/>
    <w:rsid w:val="00757FB3"/>
    <w:rsid w:val="00757FEF"/>
    <w:rsid w:val="007600CB"/>
    <w:rsid w:val="00760164"/>
    <w:rsid w:val="00760289"/>
    <w:rsid w:val="007602F8"/>
    <w:rsid w:val="0076038B"/>
    <w:rsid w:val="00760402"/>
    <w:rsid w:val="00760403"/>
    <w:rsid w:val="00760413"/>
    <w:rsid w:val="0076046C"/>
    <w:rsid w:val="007604C1"/>
    <w:rsid w:val="00760538"/>
    <w:rsid w:val="00760542"/>
    <w:rsid w:val="00760585"/>
    <w:rsid w:val="00760683"/>
    <w:rsid w:val="0076068A"/>
    <w:rsid w:val="007606D1"/>
    <w:rsid w:val="00760702"/>
    <w:rsid w:val="0076070E"/>
    <w:rsid w:val="00760809"/>
    <w:rsid w:val="00760849"/>
    <w:rsid w:val="00760861"/>
    <w:rsid w:val="00760888"/>
    <w:rsid w:val="007608E9"/>
    <w:rsid w:val="0076098C"/>
    <w:rsid w:val="007609D2"/>
    <w:rsid w:val="007609EC"/>
    <w:rsid w:val="00760A0D"/>
    <w:rsid w:val="00760A1B"/>
    <w:rsid w:val="00760ACA"/>
    <w:rsid w:val="00760C77"/>
    <w:rsid w:val="00760D9B"/>
    <w:rsid w:val="00760DDA"/>
    <w:rsid w:val="00760DFA"/>
    <w:rsid w:val="00760EB5"/>
    <w:rsid w:val="00760EDB"/>
    <w:rsid w:val="00760F90"/>
    <w:rsid w:val="00760FDF"/>
    <w:rsid w:val="00761052"/>
    <w:rsid w:val="0076105A"/>
    <w:rsid w:val="0076107B"/>
    <w:rsid w:val="00761087"/>
    <w:rsid w:val="00761106"/>
    <w:rsid w:val="007611B5"/>
    <w:rsid w:val="00761268"/>
    <w:rsid w:val="0076128E"/>
    <w:rsid w:val="007612B7"/>
    <w:rsid w:val="007612BD"/>
    <w:rsid w:val="007612CF"/>
    <w:rsid w:val="007612D7"/>
    <w:rsid w:val="007612FA"/>
    <w:rsid w:val="0076132C"/>
    <w:rsid w:val="007613A3"/>
    <w:rsid w:val="007613DB"/>
    <w:rsid w:val="00761400"/>
    <w:rsid w:val="00761484"/>
    <w:rsid w:val="00761548"/>
    <w:rsid w:val="007615C3"/>
    <w:rsid w:val="007615EF"/>
    <w:rsid w:val="00761690"/>
    <w:rsid w:val="007616A1"/>
    <w:rsid w:val="0076170A"/>
    <w:rsid w:val="0076174D"/>
    <w:rsid w:val="0076176D"/>
    <w:rsid w:val="0076176F"/>
    <w:rsid w:val="007617A5"/>
    <w:rsid w:val="007617CC"/>
    <w:rsid w:val="007617ED"/>
    <w:rsid w:val="00761813"/>
    <w:rsid w:val="00761832"/>
    <w:rsid w:val="00761858"/>
    <w:rsid w:val="007618FC"/>
    <w:rsid w:val="00761909"/>
    <w:rsid w:val="00761981"/>
    <w:rsid w:val="00761A9A"/>
    <w:rsid w:val="00761B02"/>
    <w:rsid w:val="00761B28"/>
    <w:rsid w:val="00761BD9"/>
    <w:rsid w:val="00761C00"/>
    <w:rsid w:val="00761C32"/>
    <w:rsid w:val="00761C4A"/>
    <w:rsid w:val="00761CEB"/>
    <w:rsid w:val="00761D8C"/>
    <w:rsid w:val="00761D9F"/>
    <w:rsid w:val="00761DAD"/>
    <w:rsid w:val="00761DD1"/>
    <w:rsid w:val="00761E55"/>
    <w:rsid w:val="00761E6B"/>
    <w:rsid w:val="00761ED2"/>
    <w:rsid w:val="00761EE8"/>
    <w:rsid w:val="0076208F"/>
    <w:rsid w:val="007620CC"/>
    <w:rsid w:val="0076212F"/>
    <w:rsid w:val="00762271"/>
    <w:rsid w:val="00762282"/>
    <w:rsid w:val="007622A3"/>
    <w:rsid w:val="0076233E"/>
    <w:rsid w:val="00762354"/>
    <w:rsid w:val="00762389"/>
    <w:rsid w:val="007623EE"/>
    <w:rsid w:val="007623F4"/>
    <w:rsid w:val="00762403"/>
    <w:rsid w:val="00762436"/>
    <w:rsid w:val="00762499"/>
    <w:rsid w:val="007624B6"/>
    <w:rsid w:val="00762577"/>
    <w:rsid w:val="007625B5"/>
    <w:rsid w:val="007625F4"/>
    <w:rsid w:val="0076263F"/>
    <w:rsid w:val="007626DC"/>
    <w:rsid w:val="007626F1"/>
    <w:rsid w:val="007626FF"/>
    <w:rsid w:val="0076270D"/>
    <w:rsid w:val="0076274F"/>
    <w:rsid w:val="00762779"/>
    <w:rsid w:val="0076278F"/>
    <w:rsid w:val="00762794"/>
    <w:rsid w:val="007627D6"/>
    <w:rsid w:val="00762824"/>
    <w:rsid w:val="00762832"/>
    <w:rsid w:val="0076284A"/>
    <w:rsid w:val="00762855"/>
    <w:rsid w:val="00762964"/>
    <w:rsid w:val="007629C6"/>
    <w:rsid w:val="007629E7"/>
    <w:rsid w:val="00762A8B"/>
    <w:rsid w:val="00762A8D"/>
    <w:rsid w:val="00762AB2"/>
    <w:rsid w:val="00762AE8"/>
    <w:rsid w:val="00762B86"/>
    <w:rsid w:val="00762C34"/>
    <w:rsid w:val="00762C79"/>
    <w:rsid w:val="00762C81"/>
    <w:rsid w:val="00762CA4"/>
    <w:rsid w:val="00762CD4"/>
    <w:rsid w:val="00762D32"/>
    <w:rsid w:val="00762D49"/>
    <w:rsid w:val="00762E3B"/>
    <w:rsid w:val="00762F19"/>
    <w:rsid w:val="00762F29"/>
    <w:rsid w:val="00762F65"/>
    <w:rsid w:val="007630C6"/>
    <w:rsid w:val="007630DD"/>
    <w:rsid w:val="0076313D"/>
    <w:rsid w:val="0076313E"/>
    <w:rsid w:val="007631BC"/>
    <w:rsid w:val="00763210"/>
    <w:rsid w:val="00763236"/>
    <w:rsid w:val="00763314"/>
    <w:rsid w:val="0076336F"/>
    <w:rsid w:val="00763388"/>
    <w:rsid w:val="007633B4"/>
    <w:rsid w:val="00763429"/>
    <w:rsid w:val="00763475"/>
    <w:rsid w:val="0076351E"/>
    <w:rsid w:val="0076355E"/>
    <w:rsid w:val="00763634"/>
    <w:rsid w:val="00763641"/>
    <w:rsid w:val="0076366D"/>
    <w:rsid w:val="0076367A"/>
    <w:rsid w:val="00763774"/>
    <w:rsid w:val="00763779"/>
    <w:rsid w:val="0076379A"/>
    <w:rsid w:val="0076389C"/>
    <w:rsid w:val="0076394B"/>
    <w:rsid w:val="00763956"/>
    <w:rsid w:val="007639DB"/>
    <w:rsid w:val="00763ABF"/>
    <w:rsid w:val="00763B33"/>
    <w:rsid w:val="00763B8C"/>
    <w:rsid w:val="00763B98"/>
    <w:rsid w:val="00763BC1"/>
    <w:rsid w:val="00763C15"/>
    <w:rsid w:val="00763C6D"/>
    <w:rsid w:val="00763CB6"/>
    <w:rsid w:val="00763CD5"/>
    <w:rsid w:val="00763D17"/>
    <w:rsid w:val="00763D56"/>
    <w:rsid w:val="00763DC2"/>
    <w:rsid w:val="00763DCC"/>
    <w:rsid w:val="00763E21"/>
    <w:rsid w:val="00763E33"/>
    <w:rsid w:val="00763E36"/>
    <w:rsid w:val="00763E45"/>
    <w:rsid w:val="00763ED6"/>
    <w:rsid w:val="00763F90"/>
    <w:rsid w:val="00763F9A"/>
    <w:rsid w:val="00763FD1"/>
    <w:rsid w:val="0076401D"/>
    <w:rsid w:val="0076403D"/>
    <w:rsid w:val="0076404B"/>
    <w:rsid w:val="007640E4"/>
    <w:rsid w:val="00764119"/>
    <w:rsid w:val="00764179"/>
    <w:rsid w:val="00764188"/>
    <w:rsid w:val="007641CF"/>
    <w:rsid w:val="007641E7"/>
    <w:rsid w:val="007642D8"/>
    <w:rsid w:val="007642FE"/>
    <w:rsid w:val="00764301"/>
    <w:rsid w:val="00764368"/>
    <w:rsid w:val="00764408"/>
    <w:rsid w:val="00764430"/>
    <w:rsid w:val="00764432"/>
    <w:rsid w:val="007644BA"/>
    <w:rsid w:val="007644D7"/>
    <w:rsid w:val="00764520"/>
    <w:rsid w:val="007645A1"/>
    <w:rsid w:val="00764623"/>
    <w:rsid w:val="00764632"/>
    <w:rsid w:val="0076466A"/>
    <w:rsid w:val="0076471B"/>
    <w:rsid w:val="00764747"/>
    <w:rsid w:val="007647E5"/>
    <w:rsid w:val="007647E6"/>
    <w:rsid w:val="00764984"/>
    <w:rsid w:val="007649CC"/>
    <w:rsid w:val="007649F5"/>
    <w:rsid w:val="00764AAE"/>
    <w:rsid w:val="00764B48"/>
    <w:rsid w:val="00764B55"/>
    <w:rsid w:val="00764BD4"/>
    <w:rsid w:val="00764BEA"/>
    <w:rsid w:val="00764C18"/>
    <w:rsid w:val="00764C8D"/>
    <w:rsid w:val="00764CD9"/>
    <w:rsid w:val="00764D0E"/>
    <w:rsid w:val="00764DC2"/>
    <w:rsid w:val="00764DCA"/>
    <w:rsid w:val="00764E3B"/>
    <w:rsid w:val="00764E83"/>
    <w:rsid w:val="00764F64"/>
    <w:rsid w:val="00764F6B"/>
    <w:rsid w:val="00764F6C"/>
    <w:rsid w:val="00764F73"/>
    <w:rsid w:val="00764FA7"/>
    <w:rsid w:val="00764FF2"/>
    <w:rsid w:val="007650C5"/>
    <w:rsid w:val="00765142"/>
    <w:rsid w:val="0076518B"/>
    <w:rsid w:val="007651BF"/>
    <w:rsid w:val="0076526F"/>
    <w:rsid w:val="0076537A"/>
    <w:rsid w:val="00765394"/>
    <w:rsid w:val="00765448"/>
    <w:rsid w:val="00765485"/>
    <w:rsid w:val="007654C6"/>
    <w:rsid w:val="007654C7"/>
    <w:rsid w:val="00765506"/>
    <w:rsid w:val="00765534"/>
    <w:rsid w:val="00765578"/>
    <w:rsid w:val="007655A5"/>
    <w:rsid w:val="0076562B"/>
    <w:rsid w:val="00765662"/>
    <w:rsid w:val="0076566E"/>
    <w:rsid w:val="007656B3"/>
    <w:rsid w:val="00765737"/>
    <w:rsid w:val="0076576F"/>
    <w:rsid w:val="00765778"/>
    <w:rsid w:val="0076579B"/>
    <w:rsid w:val="007657C7"/>
    <w:rsid w:val="007658AB"/>
    <w:rsid w:val="007658E1"/>
    <w:rsid w:val="0076597A"/>
    <w:rsid w:val="007659FF"/>
    <w:rsid w:val="00765A19"/>
    <w:rsid w:val="00765A68"/>
    <w:rsid w:val="00765A85"/>
    <w:rsid w:val="00765A9B"/>
    <w:rsid w:val="00765B90"/>
    <w:rsid w:val="00765BB4"/>
    <w:rsid w:val="00765C75"/>
    <w:rsid w:val="00765C96"/>
    <w:rsid w:val="00765CC5"/>
    <w:rsid w:val="00765D7F"/>
    <w:rsid w:val="00765E54"/>
    <w:rsid w:val="00765E5D"/>
    <w:rsid w:val="00765F08"/>
    <w:rsid w:val="00765F27"/>
    <w:rsid w:val="00765F80"/>
    <w:rsid w:val="00765FC7"/>
    <w:rsid w:val="00765FD0"/>
    <w:rsid w:val="00765FF1"/>
    <w:rsid w:val="0076603A"/>
    <w:rsid w:val="00766091"/>
    <w:rsid w:val="00766266"/>
    <w:rsid w:val="007662AA"/>
    <w:rsid w:val="0076635F"/>
    <w:rsid w:val="00766398"/>
    <w:rsid w:val="007663C3"/>
    <w:rsid w:val="007663E6"/>
    <w:rsid w:val="007663E8"/>
    <w:rsid w:val="00766444"/>
    <w:rsid w:val="00766457"/>
    <w:rsid w:val="0076648F"/>
    <w:rsid w:val="00766595"/>
    <w:rsid w:val="0076663A"/>
    <w:rsid w:val="007666C4"/>
    <w:rsid w:val="00766787"/>
    <w:rsid w:val="007667B1"/>
    <w:rsid w:val="00766857"/>
    <w:rsid w:val="0076691D"/>
    <w:rsid w:val="00766978"/>
    <w:rsid w:val="0076698C"/>
    <w:rsid w:val="00766A86"/>
    <w:rsid w:val="00766C49"/>
    <w:rsid w:val="00766C4D"/>
    <w:rsid w:val="00766D0B"/>
    <w:rsid w:val="00766D25"/>
    <w:rsid w:val="00766E24"/>
    <w:rsid w:val="00766E79"/>
    <w:rsid w:val="00766EA4"/>
    <w:rsid w:val="00766F14"/>
    <w:rsid w:val="00766F26"/>
    <w:rsid w:val="00766F59"/>
    <w:rsid w:val="00766F93"/>
    <w:rsid w:val="00766FFC"/>
    <w:rsid w:val="007670E4"/>
    <w:rsid w:val="00767121"/>
    <w:rsid w:val="007671BB"/>
    <w:rsid w:val="0076721E"/>
    <w:rsid w:val="007672AD"/>
    <w:rsid w:val="00767375"/>
    <w:rsid w:val="00767396"/>
    <w:rsid w:val="00767428"/>
    <w:rsid w:val="0076743E"/>
    <w:rsid w:val="00767442"/>
    <w:rsid w:val="0076749C"/>
    <w:rsid w:val="007674E0"/>
    <w:rsid w:val="007675D8"/>
    <w:rsid w:val="007675E1"/>
    <w:rsid w:val="00767629"/>
    <w:rsid w:val="00767693"/>
    <w:rsid w:val="007676C5"/>
    <w:rsid w:val="007676E3"/>
    <w:rsid w:val="0076770D"/>
    <w:rsid w:val="0076772B"/>
    <w:rsid w:val="0076772D"/>
    <w:rsid w:val="00767733"/>
    <w:rsid w:val="00767761"/>
    <w:rsid w:val="007677E5"/>
    <w:rsid w:val="007677EA"/>
    <w:rsid w:val="00767819"/>
    <w:rsid w:val="0076783B"/>
    <w:rsid w:val="0076787C"/>
    <w:rsid w:val="00767945"/>
    <w:rsid w:val="0076796E"/>
    <w:rsid w:val="00767972"/>
    <w:rsid w:val="00767A07"/>
    <w:rsid w:val="00767A4A"/>
    <w:rsid w:val="00767A5B"/>
    <w:rsid w:val="00767AA2"/>
    <w:rsid w:val="00767B0E"/>
    <w:rsid w:val="00767B45"/>
    <w:rsid w:val="00767B67"/>
    <w:rsid w:val="00767C70"/>
    <w:rsid w:val="00767C74"/>
    <w:rsid w:val="00767D2D"/>
    <w:rsid w:val="00767D88"/>
    <w:rsid w:val="00767E09"/>
    <w:rsid w:val="00767E39"/>
    <w:rsid w:val="00767F1D"/>
    <w:rsid w:val="00767F21"/>
    <w:rsid w:val="00767FC5"/>
    <w:rsid w:val="00767FCA"/>
    <w:rsid w:val="0077002B"/>
    <w:rsid w:val="00770034"/>
    <w:rsid w:val="00770064"/>
    <w:rsid w:val="00770082"/>
    <w:rsid w:val="00770168"/>
    <w:rsid w:val="00770183"/>
    <w:rsid w:val="007701B0"/>
    <w:rsid w:val="00770306"/>
    <w:rsid w:val="00770312"/>
    <w:rsid w:val="00770323"/>
    <w:rsid w:val="0077032C"/>
    <w:rsid w:val="007703A6"/>
    <w:rsid w:val="007703E6"/>
    <w:rsid w:val="00770400"/>
    <w:rsid w:val="0077046A"/>
    <w:rsid w:val="007704B1"/>
    <w:rsid w:val="00770558"/>
    <w:rsid w:val="00770596"/>
    <w:rsid w:val="00770621"/>
    <w:rsid w:val="0077064D"/>
    <w:rsid w:val="00770698"/>
    <w:rsid w:val="007706AF"/>
    <w:rsid w:val="00770789"/>
    <w:rsid w:val="00770791"/>
    <w:rsid w:val="00770795"/>
    <w:rsid w:val="00770815"/>
    <w:rsid w:val="007708B6"/>
    <w:rsid w:val="007708FD"/>
    <w:rsid w:val="00770921"/>
    <w:rsid w:val="00770932"/>
    <w:rsid w:val="00770963"/>
    <w:rsid w:val="007709AB"/>
    <w:rsid w:val="007709E2"/>
    <w:rsid w:val="007709F8"/>
    <w:rsid w:val="00770A08"/>
    <w:rsid w:val="00770A40"/>
    <w:rsid w:val="00770A8F"/>
    <w:rsid w:val="00770AA6"/>
    <w:rsid w:val="00770B07"/>
    <w:rsid w:val="00770B53"/>
    <w:rsid w:val="00770B6E"/>
    <w:rsid w:val="00770BA2"/>
    <w:rsid w:val="00770BDB"/>
    <w:rsid w:val="00770C3D"/>
    <w:rsid w:val="00770C55"/>
    <w:rsid w:val="00770CA8"/>
    <w:rsid w:val="00770CC9"/>
    <w:rsid w:val="00770CEF"/>
    <w:rsid w:val="00770E80"/>
    <w:rsid w:val="00770EA7"/>
    <w:rsid w:val="00770EDF"/>
    <w:rsid w:val="00770F13"/>
    <w:rsid w:val="00770F27"/>
    <w:rsid w:val="00770F2C"/>
    <w:rsid w:val="00770FC8"/>
    <w:rsid w:val="00771080"/>
    <w:rsid w:val="0077109E"/>
    <w:rsid w:val="007710B1"/>
    <w:rsid w:val="007710D7"/>
    <w:rsid w:val="00771173"/>
    <w:rsid w:val="007711D6"/>
    <w:rsid w:val="00771234"/>
    <w:rsid w:val="007712AC"/>
    <w:rsid w:val="007712DC"/>
    <w:rsid w:val="007712DF"/>
    <w:rsid w:val="007712F0"/>
    <w:rsid w:val="00771308"/>
    <w:rsid w:val="00771338"/>
    <w:rsid w:val="0077134F"/>
    <w:rsid w:val="00771373"/>
    <w:rsid w:val="007713AD"/>
    <w:rsid w:val="007713C2"/>
    <w:rsid w:val="0077146D"/>
    <w:rsid w:val="00771484"/>
    <w:rsid w:val="007714C8"/>
    <w:rsid w:val="007714DA"/>
    <w:rsid w:val="0077153F"/>
    <w:rsid w:val="007715B9"/>
    <w:rsid w:val="00771636"/>
    <w:rsid w:val="00771667"/>
    <w:rsid w:val="007716E8"/>
    <w:rsid w:val="007716FB"/>
    <w:rsid w:val="00771728"/>
    <w:rsid w:val="00771754"/>
    <w:rsid w:val="0077186D"/>
    <w:rsid w:val="007718B3"/>
    <w:rsid w:val="007718E6"/>
    <w:rsid w:val="0077190A"/>
    <w:rsid w:val="00771934"/>
    <w:rsid w:val="0077193E"/>
    <w:rsid w:val="00771953"/>
    <w:rsid w:val="00771999"/>
    <w:rsid w:val="007719B7"/>
    <w:rsid w:val="007719D2"/>
    <w:rsid w:val="00771A1D"/>
    <w:rsid w:val="00771AF9"/>
    <w:rsid w:val="00771BF4"/>
    <w:rsid w:val="00771C91"/>
    <w:rsid w:val="00771CC3"/>
    <w:rsid w:val="00771CF5"/>
    <w:rsid w:val="00771D20"/>
    <w:rsid w:val="00771DC7"/>
    <w:rsid w:val="00771DF7"/>
    <w:rsid w:val="00771E0E"/>
    <w:rsid w:val="00771F1A"/>
    <w:rsid w:val="0077213A"/>
    <w:rsid w:val="0077215A"/>
    <w:rsid w:val="007721AE"/>
    <w:rsid w:val="007721EF"/>
    <w:rsid w:val="0077221F"/>
    <w:rsid w:val="007722B8"/>
    <w:rsid w:val="007722C6"/>
    <w:rsid w:val="007723AB"/>
    <w:rsid w:val="0077246B"/>
    <w:rsid w:val="0077247A"/>
    <w:rsid w:val="0077255C"/>
    <w:rsid w:val="0077257B"/>
    <w:rsid w:val="00772623"/>
    <w:rsid w:val="00772679"/>
    <w:rsid w:val="0077269B"/>
    <w:rsid w:val="00772755"/>
    <w:rsid w:val="0077277E"/>
    <w:rsid w:val="0077278B"/>
    <w:rsid w:val="00772867"/>
    <w:rsid w:val="0077286C"/>
    <w:rsid w:val="007728E7"/>
    <w:rsid w:val="00772913"/>
    <w:rsid w:val="00772BDB"/>
    <w:rsid w:val="00772BFA"/>
    <w:rsid w:val="00772C35"/>
    <w:rsid w:val="00772D22"/>
    <w:rsid w:val="00772D51"/>
    <w:rsid w:val="00772FB1"/>
    <w:rsid w:val="00772FB9"/>
    <w:rsid w:val="00772FC5"/>
    <w:rsid w:val="00773157"/>
    <w:rsid w:val="0077316A"/>
    <w:rsid w:val="0077318D"/>
    <w:rsid w:val="00773405"/>
    <w:rsid w:val="007734C6"/>
    <w:rsid w:val="007734CE"/>
    <w:rsid w:val="00773506"/>
    <w:rsid w:val="00773520"/>
    <w:rsid w:val="00773534"/>
    <w:rsid w:val="0077353C"/>
    <w:rsid w:val="00773546"/>
    <w:rsid w:val="007735C5"/>
    <w:rsid w:val="00773663"/>
    <w:rsid w:val="00773724"/>
    <w:rsid w:val="00773728"/>
    <w:rsid w:val="0077378F"/>
    <w:rsid w:val="007737CE"/>
    <w:rsid w:val="00773997"/>
    <w:rsid w:val="00773A77"/>
    <w:rsid w:val="00773A97"/>
    <w:rsid w:val="00773ACA"/>
    <w:rsid w:val="00773ADA"/>
    <w:rsid w:val="00773B0F"/>
    <w:rsid w:val="00773B1E"/>
    <w:rsid w:val="00773B60"/>
    <w:rsid w:val="00773B64"/>
    <w:rsid w:val="00773B82"/>
    <w:rsid w:val="00773BE0"/>
    <w:rsid w:val="00773C0F"/>
    <w:rsid w:val="00773C4B"/>
    <w:rsid w:val="00773C52"/>
    <w:rsid w:val="00773CC2"/>
    <w:rsid w:val="00773CE8"/>
    <w:rsid w:val="00773CF0"/>
    <w:rsid w:val="00773D1E"/>
    <w:rsid w:val="00773D6D"/>
    <w:rsid w:val="00773D72"/>
    <w:rsid w:val="00773D75"/>
    <w:rsid w:val="00773D97"/>
    <w:rsid w:val="00773DDE"/>
    <w:rsid w:val="00773DE7"/>
    <w:rsid w:val="00773E34"/>
    <w:rsid w:val="00773E40"/>
    <w:rsid w:val="00773EEE"/>
    <w:rsid w:val="00773EF9"/>
    <w:rsid w:val="00773F4F"/>
    <w:rsid w:val="00773F7D"/>
    <w:rsid w:val="00773F90"/>
    <w:rsid w:val="00774012"/>
    <w:rsid w:val="00774091"/>
    <w:rsid w:val="007740D8"/>
    <w:rsid w:val="007740F0"/>
    <w:rsid w:val="00774140"/>
    <w:rsid w:val="00774199"/>
    <w:rsid w:val="007741A3"/>
    <w:rsid w:val="0077423F"/>
    <w:rsid w:val="007742EE"/>
    <w:rsid w:val="00774302"/>
    <w:rsid w:val="007743D8"/>
    <w:rsid w:val="00774566"/>
    <w:rsid w:val="00774581"/>
    <w:rsid w:val="00774597"/>
    <w:rsid w:val="007745C2"/>
    <w:rsid w:val="007746AE"/>
    <w:rsid w:val="007746DA"/>
    <w:rsid w:val="007746F6"/>
    <w:rsid w:val="0077484B"/>
    <w:rsid w:val="0077498B"/>
    <w:rsid w:val="0077498E"/>
    <w:rsid w:val="007749FB"/>
    <w:rsid w:val="00774A77"/>
    <w:rsid w:val="00774B0A"/>
    <w:rsid w:val="00774B1F"/>
    <w:rsid w:val="00774BCA"/>
    <w:rsid w:val="00774BCD"/>
    <w:rsid w:val="00774C64"/>
    <w:rsid w:val="00774C69"/>
    <w:rsid w:val="00774CD9"/>
    <w:rsid w:val="00774D2C"/>
    <w:rsid w:val="00774DAE"/>
    <w:rsid w:val="00774DD6"/>
    <w:rsid w:val="00774EE4"/>
    <w:rsid w:val="00774F24"/>
    <w:rsid w:val="00774F7C"/>
    <w:rsid w:val="00774F92"/>
    <w:rsid w:val="00775021"/>
    <w:rsid w:val="00775038"/>
    <w:rsid w:val="00775060"/>
    <w:rsid w:val="007750E2"/>
    <w:rsid w:val="0077516A"/>
    <w:rsid w:val="0077519D"/>
    <w:rsid w:val="007751C3"/>
    <w:rsid w:val="00775202"/>
    <w:rsid w:val="0077520A"/>
    <w:rsid w:val="00775226"/>
    <w:rsid w:val="00775249"/>
    <w:rsid w:val="0077526A"/>
    <w:rsid w:val="00775277"/>
    <w:rsid w:val="007752C7"/>
    <w:rsid w:val="007752C9"/>
    <w:rsid w:val="007752E1"/>
    <w:rsid w:val="0077532D"/>
    <w:rsid w:val="00775377"/>
    <w:rsid w:val="007753E0"/>
    <w:rsid w:val="007753FE"/>
    <w:rsid w:val="0077544D"/>
    <w:rsid w:val="0077549D"/>
    <w:rsid w:val="00775702"/>
    <w:rsid w:val="007757D3"/>
    <w:rsid w:val="007757FC"/>
    <w:rsid w:val="0077586D"/>
    <w:rsid w:val="007758F7"/>
    <w:rsid w:val="007759F3"/>
    <w:rsid w:val="00775B1C"/>
    <w:rsid w:val="00775B80"/>
    <w:rsid w:val="00775C7F"/>
    <w:rsid w:val="00775CC9"/>
    <w:rsid w:val="00775CF4"/>
    <w:rsid w:val="00775DBE"/>
    <w:rsid w:val="00775DCF"/>
    <w:rsid w:val="00775E7C"/>
    <w:rsid w:val="00775F66"/>
    <w:rsid w:val="00775FB9"/>
    <w:rsid w:val="00775FC8"/>
    <w:rsid w:val="00775FCD"/>
    <w:rsid w:val="00776013"/>
    <w:rsid w:val="0077601D"/>
    <w:rsid w:val="0077604B"/>
    <w:rsid w:val="007760A9"/>
    <w:rsid w:val="007760E7"/>
    <w:rsid w:val="007761F4"/>
    <w:rsid w:val="007762F4"/>
    <w:rsid w:val="00776396"/>
    <w:rsid w:val="00776404"/>
    <w:rsid w:val="00776531"/>
    <w:rsid w:val="00776568"/>
    <w:rsid w:val="0077656E"/>
    <w:rsid w:val="007766C9"/>
    <w:rsid w:val="007766D7"/>
    <w:rsid w:val="007766DF"/>
    <w:rsid w:val="0077684B"/>
    <w:rsid w:val="007768BD"/>
    <w:rsid w:val="0077690D"/>
    <w:rsid w:val="00776939"/>
    <w:rsid w:val="00776964"/>
    <w:rsid w:val="0077696B"/>
    <w:rsid w:val="007769A3"/>
    <w:rsid w:val="007769BF"/>
    <w:rsid w:val="007769CD"/>
    <w:rsid w:val="007769F2"/>
    <w:rsid w:val="00776A73"/>
    <w:rsid w:val="00776A9F"/>
    <w:rsid w:val="00776AF4"/>
    <w:rsid w:val="00776B2B"/>
    <w:rsid w:val="00776B59"/>
    <w:rsid w:val="00776B5C"/>
    <w:rsid w:val="00776B83"/>
    <w:rsid w:val="00776BE5"/>
    <w:rsid w:val="00776C19"/>
    <w:rsid w:val="00776CA9"/>
    <w:rsid w:val="00776D6C"/>
    <w:rsid w:val="00776E0A"/>
    <w:rsid w:val="00776E9A"/>
    <w:rsid w:val="00776EFA"/>
    <w:rsid w:val="00776F28"/>
    <w:rsid w:val="00776F86"/>
    <w:rsid w:val="00776FDC"/>
    <w:rsid w:val="00776FF1"/>
    <w:rsid w:val="00777003"/>
    <w:rsid w:val="0077706D"/>
    <w:rsid w:val="0077712D"/>
    <w:rsid w:val="00777185"/>
    <w:rsid w:val="00777287"/>
    <w:rsid w:val="007772E0"/>
    <w:rsid w:val="00777353"/>
    <w:rsid w:val="00777389"/>
    <w:rsid w:val="007773D9"/>
    <w:rsid w:val="00777477"/>
    <w:rsid w:val="0077751F"/>
    <w:rsid w:val="007775E2"/>
    <w:rsid w:val="00777612"/>
    <w:rsid w:val="0077762D"/>
    <w:rsid w:val="0077769C"/>
    <w:rsid w:val="007776F6"/>
    <w:rsid w:val="0077770E"/>
    <w:rsid w:val="00777766"/>
    <w:rsid w:val="007777A2"/>
    <w:rsid w:val="00777841"/>
    <w:rsid w:val="0077784C"/>
    <w:rsid w:val="007778AC"/>
    <w:rsid w:val="007778FB"/>
    <w:rsid w:val="00777958"/>
    <w:rsid w:val="0077798A"/>
    <w:rsid w:val="00777A07"/>
    <w:rsid w:val="00777A41"/>
    <w:rsid w:val="00777A45"/>
    <w:rsid w:val="00777A5C"/>
    <w:rsid w:val="00777B36"/>
    <w:rsid w:val="00777BBA"/>
    <w:rsid w:val="00777BE7"/>
    <w:rsid w:val="00777BF6"/>
    <w:rsid w:val="00777C45"/>
    <w:rsid w:val="00777CFF"/>
    <w:rsid w:val="00777D54"/>
    <w:rsid w:val="00777E39"/>
    <w:rsid w:val="00777E6F"/>
    <w:rsid w:val="00777F11"/>
    <w:rsid w:val="00777F7C"/>
    <w:rsid w:val="00777FB5"/>
    <w:rsid w:val="00777FE5"/>
    <w:rsid w:val="0078004F"/>
    <w:rsid w:val="0078011F"/>
    <w:rsid w:val="00780138"/>
    <w:rsid w:val="007801CC"/>
    <w:rsid w:val="00780267"/>
    <w:rsid w:val="00780351"/>
    <w:rsid w:val="00780360"/>
    <w:rsid w:val="007803CD"/>
    <w:rsid w:val="007804BF"/>
    <w:rsid w:val="0078058C"/>
    <w:rsid w:val="007805FE"/>
    <w:rsid w:val="00780624"/>
    <w:rsid w:val="007806A0"/>
    <w:rsid w:val="007806E0"/>
    <w:rsid w:val="007806F2"/>
    <w:rsid w:val="0078071F"/>
    <w:rsid w:val="0078077F"/>
    <w:rsid w:val="00780786"/>
    <w:rsid w:val="0078085C"/>
    <w:rsid w:val="007808BD"/>
    <w:rsid w:val="00780996"/>
    <w:rsid w:val="007809B2"/>
    <w:rsid w:val="00780A6B"/>
    <w:rsid w:val="00780A85"/>
    <w:rsid w:val="00780A9C"/>
    <w:rsid w:val="00780B0F"/>
    <w:rsid w:val="00780B6E"/>
    <w:rsid w:val="00780BD9"/>
    <w:rsid w:val="00780BFA"/>
    <w:rsid w:val="00780CE8"/>
    <w:rsid w:val="00780D31"/>
    <w:rsid w:val="00780D74"/>
    <w:rsid w:val="00780D85"/>
    <w:rsid w:val="00780D89"/>
    <w:rsid w:val="00780E12"/>
    <w:rsid w:val="00780E49"/>
    <w:rsid w:val="00780ED1"/>
    <w:rsid w:val="00780EF2"/>
    <w:rsid w:val="00780F6A"/>
    <w:rsid w:val="00780FB6"/>
    <w:rsid w:val="00780FDD"/>
    <w:rsid w:val="007811FC"/>
    <w:rsid w:val="0078124B"/>
    <w:rsid w:val="00781259"/>
    <w:rsid w:val="0078126E"/>
    <w:rsid w:val="007812F6"/>
    <w:rsid w:val="00781356"/>
    <w:rsid w:val="007813E7"/>
    <w:rsid w:val="0078150D"/>
    <w:rsid w:val="007816CE"/>
    <w:rsid w:val="007816DE"/>
    <w:rsid w:val="007816FF"/>
    <w:rsid w:val="00781752"/>
    <w:rsid w:val="007817B1"/>
    <w:rsid w:val="007817E6"/>
    <w:rsid w:val="007817F4"/>
    <w:rsid w:val="00781828"/>
    <w:rsid w:val="007818FE"/>
    <w:rsid w:val="00781995"/>
    <w:rsid w:val="00781A4E"/>
    <w:rsid w:val="00781B37"/>
    <w:rsid w:val="00781C3E"/>
    <w:rsid w:val="00781C4D"/>
    <w:rsid w:val="00781C73"/>
    <w:rsid w:val="00781C8A"/>
    <w:rsid w:val="00781CFE"/>
    <w:rsid w:val="00781D5B"/>
    <w:rsid w:val="00781D99"/>
    <w:rsid w:val="00781DB2"/>
    <w:rsid w:val="00781DB9"/>
    <w:rsid w:val="00781E24"/>
    <w:rsid w:val="00781E39"/>
    <w:rsid w:val="00781E3B"/>
    <w:rsid w:val="00781E66"/>
    <w:rsid w:val="00781F53"/>
    <w:rsid w:val="00782018"/>
    <w:rsid w:val="0078202E"/>
    <w:rsid w:val="00782109"/>
    <w:rsid w:val="00782121"/>
    <w:rsid w:val="0078212C"/>
    <w:rsid w:val="0078213F"/>
    <w:rsid w:val="007821A2"/>
    <w:rsid w:val="007821B3"/>
    <w:rsid w:val="007821C4"/>
    <w:rsid w:val="0078222A"/>
    <w:rsid w:val="007822E6"/>
    <w:rsid w:val="00782321"/>
    <w:rsid w:val="00782390"/>
    <w:rsid w:val="00782398"/>
    <w:rsid w:val="0078239E"/>
    <w:rsid w:val="007823A1"/>
    <w:rsid w:val="007823D7"/>
    <w:rsid w:val="007823DB"/>
    <w:rsid w:val="007823E9"/>
    <w:rsid w:val="00782469"/>
    <w:rsid w:val="0078249E"/>
    <w:rsid w:val="007824C8"/>
    <w:rsid w:val="007825DC"/>
    <w:rsid w:val="007825FA"/>
    <w:rsid w:val="0078266A"/>
    <w:rsid w:val="007826A2"/>
    <w:rsid w:val="007826DA"/>
    <w:rsid w:val="0078273C"/>
    <w:rsid w:val="00782790"/>
    <w:rsid w:val="00782818"/>
    <w:rsid w:val="00782867"/>
    <w:rsid w:val="00782875"/>
    <w:rsid w:val="0078289E"/>
    <w:rsid w:val="007828C6"/>
    <w:rsid w:val="0078297D"/>
    <w:rsid w:val="00782A0B"/>
    <w:rsid w:val="00782A50"/>
    <w:rsid w:val="00782AD4"/>
    <w:rsid w:val="00782B49"/>
    <w:rsid w:val="00782B50"/>
    <w:rsid w:val="00782B57"/>
    <w:rsid w:val="00782C41"/>
    <w:rsid w:val="00782D4E"/>
    <w:rsid w:val="00782D6C"/>
    <w:rsid w:val="00782E77"/>
    <w:rsid w:val="00782F8D"/>
    <w:rsid w:val="00782FA7"/>
    <w:rsid w:val="0078302F"/>
    <w:rsid w:val="00783041"/>
    <w:rsid w:val="0078306F"/>
    <w:rsid w:val="00783070"/>
    <w:rsid w:val="007830FE"/>
    <w:rsid w:val="0078315F"/>
    <w:rsid w:val="007831A6"/>
    <w:rsid w:val="007831AC"/>
    <w:rsid w:val="007831BC"/>
    <w:rsid w:val="007832F3"/>
    <w:rsid w:val="00783375"/>
    <w:rsid w:val="007833BF"/>
    <w:rsid w:val="0078344F"/>
    <w:rsid w:val="0078346B"/>
    <w:rsid w:val="00783485"/>
    <w:rsid w:val="007834D1"/>
    <w:rsid w:val="0078353F"/>
    <w:rsid w:val="00783658"/>
    <w:rsid w:val="0078370A"/>
    <w:rsid w:val="0078373D"/>
    <w:rsid w:val="0078376F"/>
    <w:rsid w:val="007837E0"/>
    <w:rsid w:val="007837FD"/>
    <w:rsid w:val="00783815"/>
    <w:rsid w:val="00783951"/>
    <w:rsid w:val="00783A2E"/>
    <w:rsid w:val="00783AB7"/>
    <w:rsid w:val="00783C00"/>
    <w:rsid w:val="00783C0C"/>
    <w:rsid w:val="00783C69"/>
    <w:rsid w:val="00783DDA"/>
    <w:rsid w:val="00783DED"/>
    <w:rsid w:val="00783E1C"/>
    <w:rsid w:val="00783E32"/>
    <w:rsid w:val="00783F2C"/>
    <w:rsid w:val="00783FD1"/>
    <w:rsid w:val="00783FD2"/>
    <w:rsid w:val="00784032"/>
    <w:rsid w:val="0078405C"/>
    <w:rsid w:val="00784091"/>
    <w:rsid w:val="00784129"/>
    <w:rsid w:val="0078417B"/>
    <w:rsid w:val="0078419A"/>
    <w:rsid w:val="007841B4"/>
    <w:rsid w:val="007842B4"/>
    <w:rsid w:val="007843E2"/>
    <w:rsid w:val="0078444D"/>
    <w:rsid w:val="00784480"/>
    <w:rsid w:val="00784482"/>
    <w:rsid w:val="0078449E"/>
    <w:rsid w:val="007844A0"/>
    <w:rsid w:val="00784604"/>
    <w:rsid w:val="0078462A"/>
    <w:rsid w:val="007846AB"/>
    <w:rsid w:val="00784753"/>
    <w:rsid w:val="00784766"/>
    <w:rsid w:val="00784773"/>
    <w:rsid w:val="00784792"/>
    <w:rsid w:val="00784793"/>
    <w:rsid w:val="007847BD"/>
    <w:rsid w:val="007847F6"/>
    <w:rsid w:val="00784841"/>
    <w:rsid w:val="007848A2"/>
    <w:rsid w:val="007848A9"/>
    <w:rsid w:val="00784A02"/>
    <w:rsid w:val="00784A73"/>
    <w:rsid w:val="00784A9C"/>
    <w:rsid w:val="00784B38"/>
    <w:rsid w:val="00784B60"/>
    <w:rsid w:val="00784B74"/>
    <w:rsid w:val="00784B97"/>
    <w:rsid w:val="00784BB2"/>
    <w:rsid w:val="00784D88"/>
    <w:rsid w:val="00784DCC"/>
    <w:rsid w:val="00784E17"/>
    <w:rsid w:val="00784E67"/>
    <w:rsid w:val="00784F11"/>
    <w:rsid w:val="00784F1F"/>
    <w:rsid w:val="00784FD9"/>
    <w:rsid w:val="0078500E"/>
    <w:rsid w:val="00785030"/>
    <w:rsid w:val="00785048"/>
    <w:rsid w:val="00785069"/>
    <w:rsid w:val="0078507D"/>
    <w:rsid w:val="007850AF"/>
    <w:rsid w:val="007850EC"/>
    <w:rsid w:val="0078514F"/>
    <w:rsid w:val="0078515A"/>
    <w:rsid w:val="00785165"/>
    <w:rsid w:val="007851F1"/>
    <w:rsid w:val="007852F7"/>
    <w:rsid w:val="0078531C"/>
    <w:rsid w:val="007853A2"/>
    <w:rsid w:val="007853AE"/>
    <w:rsid w:val="007853C9"/>
    <w:rsid w:val="0078544C"/>
    <w:rsid w:val="00785474"/>
    <w:rsid w:val="0078548B"/>
    <w:rsid w:val="00785564"/>
    <w:rsid w:val="00785669"/>
    <w:rsid w:val="007856A3"/>
    <w:rsid w:val="007856E2"/>
    <w:rsid w:val="00785779"/>
    <w:rsid w:val="0078577B"/>
    <w:rsid w:val="00785897"/>
    <w:rsid w:val="007858F4"/>
    <w:rsid w:val="00785927"/>
    <w:rsid w:val="00785991"/>
    <w:rsid w:val="007859CC"/>
    <w:rsid w:val="00785AB3"/>
    <w:rsid w:val="00785AC3"/>
    <w:rsid w:val="00785AEB"/>
    <w:rsid w:val="00785B35"/>
    <w:rsid w:val="00785B93"/>
    <w:rsid w:val="00785BEE"/>
    <w:rsid w:val="00785C6C"/>
    <w:rsid w:val="00785CB0"/>
    <w:rsid w:val="00785D22"/>
    <w:rsid w:val="00785E48"/>
    <w:rsid w:val="00785E84"/>
    <w:rsid w:val="00785EBC"/>
    <w:rsid w:val="00785EBE"/>
    <w:rsid w:val="00785EEC"/>
    <w:rsid w:val="00785F01"/>
    <w:rsid w:val="00785F05"/>
    <w:rsid w:val="00785F6D"/>
    <w:rsid w:val="00785FE9"/>
    <w:rsid w:val="00785FFF"/>
    <w:rsid w:val="00786082"/>
    <w:rsid w:val="007860AE"/>
    <w:rsid w:val="00786123"/>
    <w:rsid w:val="0078619C"/>
    <w:rsid w:val="0078621E"/>
    <w:rsid w:val="00786281"/>
    <w:rsid w:val="0078632D"/>
    <w:rsid w:val="0078633A"/>
    <w:rsid w:val="00786424"/>
    <w:rsid w:val="007864C8"/>
    <w:rsid w:val="00786503"/>
    <w:rsid w:val="00786551"/>
    <w:rsid w:val="00786598"/>
    <w:rsid w:val="007865B0"/>
    <w:rsid w:val="0078661E"/>
    <w:rsid w:val="00786698"/>
    <w:rsid w:val="007866A8"/>
    <w:rsid w:val="0078679A"/>
    <w:rsid w:val="007867A4"/>
    <w:rsid w:val="007868B9"/>
    <w:rsid w:val="00786917"/>
    <w:rsid w:val="00786963"/>
    <w:rsid w:val="00786992"/>
    <w:rsid w:val="007869A1"/>
    <w:rsid w:val="007869D6"/>
    <w:rsid w:val="00786AD0"/>
    <w:rsid w:val="00786AEC"/>
    <w:rsid w:val="00786B2D"/>
    <w:rsid w:val="00786C2C"/>
    <w:rsid w:val="00786C8C"/>
    <w:rsid w:val="00786C94"/>
    <w:rsid w:val="00786CDE"/>
    <w:rsid w:val="00786D42"/>
    <w:rsid w:val="00786E7C"/>
    <w:rsid w:val="00786E96"/>
    <w:rsid w:val="00786EDD"/>
    <w:rsid w:val="00786EF4"/>
    <w:rsid w:val="00786F26"/>
    <w:rsid w:val="00787035"/>
    <w:rsid w:val="00787083"/>
    <w:rsid w:val="00787093"/>
    <w:rsid w:val="007870A1"/>
    <w:rsid w:val="007870DC"/>
    <w:rsid w:val="007871BE"/>
    <w:rsid w:val="007871FC"/>
    <w:rsid w:val="00787257"/>
    <w:rsid w:val="00787295"/>
    <w:rsid w:val="007872B3"/>
    <w:rsid w:val="00787314"/>
    <w:rsid w:val="0078738C"/>
    <w:rsid w:val="00787425"/>
    <w:rsid w:val="00787494"/>
    <w:rsid w:val="007874E4"/>
    <w:rsid w:val="00787527"/>
    <w:rsid w:val="007875C0"/>
    <w:rsid w:val="00787656"/>
    <w:rsid w:val="007876DF"/>
    <w:rsid w:val="0078777E"/>
    <w:rsid w:val="0078788B"/>
    <w:rsid w:val="007878C6"/>
    <w:rsid w:val="00787930"/>
    <w:rsid w:val="0078798C"/>
    <w:rsid w:val="00787A75"/>
    <w:rsid w:val="00787A93"/>
    <w:rsid w:val="00787ACE"/>
    <w:rsid w:val="00787B2D"/>
    <w:rsid w:val="00787B39"/>
    <w:rsid w:val="00787B4B"/>
    <w:rsid w:val="00787B75"/>
    <w:rsid w:val="00787B8F"/>
    <w:rsid w:val="00787BAD"/>
    <w:rsid w:val="00787C0B"/>
    <w:rsid w:val="00787C13"/>
    <w:rsid w:val="00787CB2"/>
    <w:rsid w:val="00787CE8"/>
    <w:rsid w:val="00787CFD"/>
    <w:rsid w:val="00787D66"/>
    <w:rsid w:val="00787D8E"/>
    <w:rsid w:val="00787DAB"/>
    <w:rsid w:val="00787DF0"/>
    <w:rsid w:val="00787E04"/>
    <w:rsid w:val="00787E2C"/>
    <w:rsid w:val="00787EAF"/>
    <w:rsid w:val="00790043"/>
    <w:rsid w:val="00790054"/>
    <w:rsid w:val="0079005B"/>
    <w:rsid w:val="0079006B"/>
    <w:rsid w:val="0079007C"/>
    <w:rsid w:val="007900B1"/>
    <w:rsid w:val="007900FC"/>
    <w:rsid w:val="00790126"/>
    <w:rsid w:val="00790133"/>
    <w:rsid w:val="00790146"/>
    <w:rsid w:val="0079024B"/>
    <w:rsid w:val="00790253"/>
    <w:rsid w:val="00790291"/>
    <w:rsid w:val="007902BB"/>
    <w:rsid w:val="00790315"/>
    <w:rsid w:val="00790328"/>
    <w:rsid w:val="007904A7"/>
    <w:rsid w:val="00790545"/>
    <w:rsid w:val="00790569"/>
    <w:rsid w:val="00790575"/>
    <w:rsid w:val="007905AA"/>
    <w:rsid w:val="007905F4"/>
    <w:rsid w:val="007906E8"/>
    <w:rsid w:val="00790754"/>
    <w:rsid w:val="00790820"/>
    <w:rsid w:val="0079082E"/>
    <w:rsid w:val="00790839"/>
    <w:rsid w:val="007908AB"/>
    <w:rsid w:val="007908CC"/>
    <w:rsid w:val="00790949"/>
    <w:rsid w:val="007909B3"/>
    <w:rsid w:val="007909F4"/>
    <w:rsid w:val="00790A10"/>
    <w:rsid w:val="00790A75"/>
    <w:rsid w:val="00790AC9"/>
    <w:rsid w:val="00790ACE"/>
    <w:rsid w:val="00790B7E"/>
    <w:rsid w:val="00790C4D"/>
    <w:rsid w:val="00790DAF"/>
    <w:rsid w:val="00790DC5"/>
    <w:rsid w:val="00790EB9"/>
    <w:rsid w:val="00790F38"/>
    <w:rsid w:val="0079102D"/>
    <w:rsid w:val="0079103C"/>
    <w:rsid w:val="00791042"/>
    <w:rsid w:val="00791055"/>
    <w:rsid w:val="00791067"/>
    <w:rsid w:val="00791108"/>
    <w:rsid w:val="0079117F"/>
    <w:rsid w:val="0079118F"/>
    <w:rsid w:val="007911C0"/>
    <w:rsid w:val="007911EC"/>
    <w:rsid w:val="00791264"/>
    <w:rsid w:val="00791342"/>
    <w:rsid w:val="00791349"/>
    <w:rsid w:val="0079134C"/>
    <w:rsid w:val="0079138B"/>
    <w:rsid w:val="0079147C"/>
    <w:rsid w:val="007914A7"/>
    <w:rsid w:val="007914B3"/>
    <w:rsid w:val="007914C0"/>
    <w:rsid w:val="007914D3"/>
    <w:rsid w:val="007915C8"/>
    <w:rsid w:val="007915DD"/>
    <w:rsid w:val="0079163D"/>
    <w:rsid w:val="0079164B"/>
    <w:rsid w:val="0079174D"/>
    <w:rsid w:val="00791785"/>
    <w:rsid w:val="00791798"/>
    <w:rsid w:val="00791837"/>
    <w:rsid w:val="0079183B"/>
    <w:rsid w:val="007919E0"/>
    <w:rsid w:val="007919F4"/>
    <w:rsid w:val="00791A43"/>
    <w:rsid w:val="00791B31"/>
    <w:rsid w:val="00791B60"/>
    <w:rsid w:val="00791B85"/>
    <w:rsid w:val="00791B88"/>
    <w:rsid w:val="00791C02"/>
    <w:rsid w:val="00791C33"/>
    <w:rsid w:val="00791C61"/>
    <w:rsid w:val="00791C82"/>
    <w:rsid w:val="00791CA4"/>
    <w:rsid w:val="00791DEC"/>
    <w:rsid w:val="00791E34"/>
    <w:rsid w:val="00791E7F"/>
    <w:rsid w:val="00791EBF"/>
    <w:rsid w:val="00791EDA"/>
    <w:rsid w:val="00791F33"/>
    <w:rsid w:val="00791FC1"/>
    <w:rsid w:val="00791FDC"/>
    <w:rsid w:val="00792155"/>
    <w:rsid w:val="00792160"/>
    <w:rsid w:val="00792176"/>
    <w:rsid w:val="00792184"/>
    <w:rsid w:val="007921AB"/>
    <w:rsid w:val="007921E8"/>
    <w:rsid w:val="007921EA"/>
    <w:rsid w:val="007922A8"/>
    <w:rsid w:val="007922C3"/>
    <w:rsid w:val="00792403"/>
    <w:rsid w:val="0079248E"/>
    <w:rsid w:val="0079249A"/>
    <w:rsid w:val="007924A2"/>
    <w:rsid w:val="007924C9"/>
    <w:rsid w:val="007924F4"/>
    <w:rsid w:val="0079262C"/>
    <w:rsid w:val="0079263E"/>
    <w:rsid w:val="0079265D"/>
    <w:rsid w:val="00792695"/>
    <w:rsid w:val="007926E3"/>
    <w:rsid w:val="007926E9"/>
    <w:rsid w:val="00792810"/>
    <w:rsid w:val="00792830"/>
    <w:rsid w:val="0079285D"/>
    <w:rsid w:val="0079286E"/>
    <w:rsid w:val="0079290F"/>
    <w:rsid w:val="0079298B"/>
    <w:rsid w:val="00792A72"/>
    <w:rsid w:val="00792A7E"/>
    <w:rsid w:val="00792AD1"/>
    <w:rsid w:val="00792AE2"/>
    <w:rsid w:val="00792AE8"/>
    <w:rsid w:val="00792B79"/>
    <w:rsid w:val="00792BAB"/>
    <w:rsid w:val="00792BC5"/>
    <w:rsid w:val="00792BD3"/>
    <w:rsid w:val="00792C09"/>
    <w:rsid w:val="00792C37"/>
    <w:rsid w:val="00792CA4"/>
    <w:rsid w:val="00792D3A"/>
    <w:rsid w:val="00792E07"/>
    <w:rsid w:val="00792E6A"/>
    <w:rsid w:val="00792E90"/>
    <w:rsid w:val="00792EC9"/>
    <w:rsid w:val="00792F2C"/>
    <w:rsid w:val="00792F4D"/>
    <w:rsid w:val="00792F53"/>
    <w:rsid w:val="00792F74"/>
    <w:rsid w:val="00792FDC"/>
    <w:rsid w:val="00792FF9"/>
    <w:rsid w:val="00793014"/>
    <w:rsid w:val="00793146"/>
    <w:rsid w:val="0079318D"/>
    <w:rsid w:val="007931DB"/>
    <w:rsid w:val="007931EB"/>
    <w:rsid w:val="00793218"/>
    <w:rsid w:val="0079325F"/>
    <w:rsid w:val="00793267"/>
    <w:rsid w:val="00793337"/>
    <w:rsid w:val="00793398"/>
    <w:rsid w:val="007933CA"/>
    <w:rsid w:val="007933F8"/>
    <w:rsid w:val="0079341C"/>
    <w:rsid w:val="00793451"/>
    <w:rsid w:val="0079347F"/>
    <w:rsid w:val="0079351C"/>
    <w:rsid w:val="0079362B"/>
    <w:rsid w:val="00793651"/>
    <w:rsid w:val="007936D3"/>
    <w:rsid w:val="007936F8"/>
    <w:rsid w:val="00793760"/>
    <w:rsid w:val="00793792"/>
    <w:rsid w:val="007937CA"/>
    <w:rsid w:val="007938C4"/>
    <w:rsid w:val="007938D4"/>
    <w:rsid w:val="007938E0"/>
    <w:rsid w:val="00793958"/>
    <w:rsid w:val="0079398A"/>
    <w:rsid w:val="007939CC"/>
    <w:rsid w:val="007939E5"/>
    <w:rsid w:val="00793A08"/>
    <w:rsid w:val="00793A2A"/>
    <w:rsid w:val="00793AFE"/>
    <w:rsid w:val="00793B28"/>
    <w:rsid w:val="00793B3B"/>
    <w:rsid w:val="00793BF7"/>
    <w:rsid w:val="00793C1A"/>
    <w:rsid w:val="00793C6E"/>
    <w:rsid w:val="00793C87"/>
    <w:rsid w:val="00793CA3"/>
    <w:rsid w:val="00793D0F"/>
    <w:rsid w:val="00793D2A"/>
    <w:rsid w:val="00793D66"/>
    <w:rsid w:val="00793D70"/>
    <w:rsid w:val="00793E89"/>
    <w:rsid w:val="00793E8A"/>
    <w:rsid w:val="00793ECA"/>
    <w:rsid w:val="00793ED2"/>
    <w:rsid w:val="00793EF8"/>
    <w:rsid w:val="00793F2D"/>
    <w:rsid w:val="00793FB9"/>
    <w:rsid w:val="00794011"/>
    <w:rsid w:val="0079401A"/>
    <w:rsid w:val="00794057"/>
    <w:rsid w:val="00794111"/>
    <w:rsid w:val="00794174"/>
    <w:rsid w:val="00794181"/>
    <w:rsid w:val="007941FE"/>
    <w:rsid w:val="0079420D"/>
    <w:rsid w:val="00794215"/>
    <w:rsid w:val="0079421E"/>
    <w:rsid w:val="00794299"/>
    <w:rsid w:val="0079437A"/>
    <w:rsid w:val="00794399"/>
    <w:rsid w:val="007943E8"/>
    <w:rsid w:val="00794473"/>
    <w:rsid w:val="00794526"/>
    <w:rsid w:val="007945D0"/>
    <w:rsid w:val="00794604"/>
    <w:rsid w:val="00794627"/>
    <w:rsid w:val="00794632"/>
    <w:rsid w:val="00794780"/>
    <w:rsid w:val="00794878"/>
    <w:rsid w:val="00794961"/>
    <w:rsid w:val="00794962"/>
    <w:rsid w:val="007949F7"/>
    <w:rsid w:val="00794B22"/>
    <w:rsid w:val="00794C27"/>
    <w:rsid w:val="00794C29"/>
    <w:rsid w:val="00794CC0"/>
    <w:rsid w:val="00794CDC"/>
    <w:rsid w:val="00794D45"/>
    <w:rsid w:val="00794DB7"/>
    <w:rsid w:val="00794DD9"/>
    <w:rsid w:val="00794E24"/>
    <w:rsid w:val="00794E47"/>
    <w:rsid w:val="00794E62"/>
    <w:rsid w:val="00794E96"/>
    <w:rsid w:val="00794F91"/>
    <w:rsid w:val="00794FE3"/>
    <w:rsid w:val="00794FE4"/>
    <w:rsid w:val="00795005"/>
    <w:rsid w:val="0079508E"/>
    <w:rsid w:val="00795098"/>
    <w:rsid w:val="007950AC"/>
    <w:rsid w:val="007950FC"/>
    <w:rsid w:val="00795129"/>
    <w:rsid w:val="007951B8"/>
    <w:rsid w:val="00795217"/>
    <w:rsid w:val="00795259"/>
    <w:rsid w:val="00795294"/>
    <w:rsid w:val="00795364"/>
    <w:rsid w:val="0079537F"/>
    <w:rsid w:val="007953BC"/>
    <w:rsid w:val="007953DA"/>
    <w:rsid w:val="007953E5"/>
    <w:rsid w:val="00795467"/>
    <w:rsid w:val="007954E8"/>
    <w:rsid w:val="00795540"/>
    <w:rsid w:val="0079557A"/>
    <w:rsid w:val="007956E5"/>
    <w:rsid w:val="00795724"/>
    <w:rsid w:val="0079583B"/>
    <w:rsid w:val="007958B5"/>
    <w:rsid w:val="0079593A"/>
    <w:rsid w:val="007959F3"/>
    <w:rsid w:val="00795A1D"/>
    <w:rsid w:val="00795A9B"/>
    <w:rsid w:val="00795AA2"/>
    <w:rsid w:val="00795AB7"/>
    <w:rsid w:val="00795B35"/>
    <w:rsid w:val="00795B55"/>
    <w:rsid w:val="00795B7F"/>
    <w:rsid w:val="00795BB9"/>
    <w:rsid w:val="00795BC9"/>
    <w:rsid w:val="00795BDC"/>
    <w:rsid w:val="00795C3F"/>
    <w:rsid w:val="00795D30"/>
    <w:rsid w:val="00795D8A"/>
    <w:rsid w:val="00795DC8"/>
    <w:rsid w:val="00795DCC"/>
    <w:rsid w:val="00795DFF"/>
    <w:rsid w:val="00795E63"/>
    <w:rsid w:val="00795F00"/>
    <w:rsid w:val="00795FB9"/>
    <w:rsid w:val="00795FF2"/>
    <w:rsid w:val="00796019"/>
    <w:rsid w:val="00796052"/>
    <w:rsid w:val="00796088"/>
    <w:rsid w:val="007960C6"/>
    <w:rsid w:val="007960D8"/>
    <w:rsid w:val="00796165"/>
    <w:rsid w:val="007961DA"/>
    <w:rsid w:val="00796225"/>
    <w:rsid w:val="00796240"/>
    <w:rsid w:val="00796355"/>
    <w:rsid w:val="007963AF"/>
    <w:rsid w:val="007963C2"/>
    <w:rsid w:val="007963EC"/>
    <w:rsid w:val="007963FE"/>
    <w:rsid w:val="0079648C"/>
    <w:rsid w:val="007964C2"/>
    <w:rsid w:val="007964DA"/>
    <w:rsid w:val="0079655F"/>
    <w:rsid w:val="007965B4"/>
    <w:rsid w:val="0079661F"/>
    <w:rsid w:val="00796625"/>
    <w:rsid w:val="00796693"/>
    <w:rsid w:val="0079678D"/>
    <w:rsid w:val="007967D1"/>
    <w:rsid w:val="007967E7"/>
    <w:rsid w:val="007967ED"/>
    <w:rsid w:val="00796876"/>
    <w:rsid w:val="0079695F"/>
    <w:rsid w:val="007969CC"/>
    <w:rsid w:val="00796A0F"/>
    <w:rsid w:val="00796AF4"/>
    <w:rsid w:val="00796B52"/>
    <w:rsid w:val="00796BF2"/>
    <w:rsid w:val="00796C81"/>
    <w:rsid w:val="00796D04"/>
    <w:rsid w:val="00796D46"/>
    <w:rsid w:val="00796DD2"/>
    <w:rsid w:val="00796E47"/>
    <w:rsid w:val="00796E52"/>
    <w:rsid w:val="00796E7D"/>
    <w:rsid w:val="00796F80"/>
    <w:rsid w:val="00796F8F"/>
    <w:rsid w:val="00796FB3"/>
    <w:rsid w:val="00796FCF"/>
    <w:rsid w:val="00796FD4"/>
    <w:rsid w:val="00796FF8"/>
    <w:rsid w:val="00797021"/>
    <w:rsid w:val="00797045"/>
    <w:rsid w:val="007970D0"/>
    <w:rsid w:val="0079713F"/>
    <w:rsid w:val="00797187"/>
    <w:rsid w:val="00797246"/>
    <w:rsid w:val="00797254"/>
    <w:rsid w:val="007972BE"/>
    <w:rsid w:val="0079734C"/>
    <w:rsid w:val="007973AD"/>
    <w:rsid w:val="0079745C"/>
    <w:rsid w:val="0079750E"/>
    <w:rsid w:val="007975BD"/>
    <w:rsid w:val="007975D0"/>
    <w:rsid w:val="007977CD"/>
    <w:rsid w:val="007977DF"/>
    <w:rsid w:val="007977F7"/>
    <w:rsid w:val="00797814"/>
    <w:rsid w:val="007978AE"/>
    <w:rsid w:val="007978C8"/>
    <w:rsid w:val="00797978"/>
    <w:rsid w:val="007979AF"/>
    <w:rsid w:val="00797A0C"/>
    <w:rsid w:val="00797A98"/>
    <w:rsid w:val="00797B0D"/>
    <w:rsid w:val="00797B12"/>
    <w:rsid w:val="00797B41"/>
    <w:rsid w:val="00797B59"/>
    <w:rsid w:val="00797C49"/>
    <w:rsid w:val="00797C75"/>
    <w:rsid w:val="00797CA1"/>
    <w:rsid w:val="00797CA2"/>
    <w:rsid w:val="00797D38"/>
    <w:rsid w:val="00797D56"/>
    <w:rsid w:val="00797D82"/>
    <w:rsid w:val="00797DDD"/>
    <w:rsid w:val="00797E2B"/>
    <w:rsid w:val="00797EE8"/>
    <w:rsid w:val="00797FF3"/>
    <w:rsid w:val="00797FF8"/>
    <w:rsid w:val="007A00EA"/>
    <w:rsid w:val="007A00EE"/>
    <w:rsid w:val="007A0163"/>
    <w:rsid w:val="007A017B"/>
    <w:rsid w:val="007A0197"/>
    <w:rsid w:val="007A01E0"/>
    <w:rsid w:val="007A0208"/>
    <w:rsid w:val="007A0276"/>
    <w:rsid w:val="007A027B"/>
    <w:rsid w:val="007A02FB"/>
    <w:rsid w:val="007A0321"/>
    <w:rsid w:val="007A0433"/>
    <w:rsid w:val="007A0477"/>
    <w:rsid w:val="007A047E"/>
    <w:rsid w:val="007A04B5"/>
    <w:rsid w:val="007A04E8"/>
    <w:rsid w:val="007A054F"/>
    <w:rsid w:val="007A0579"/>
    <w:rsid w:val="007A057E"/>
    <w:rsid w:val="007A0589"/>
    <w:rsid w:val="007A05CD"/>
    <w:rsid w:val="007A074E"/>
    <w:rsid w:val="007A07C2"/>
    <w:rsid w:val="007A07F1"/>
    <w:rsid w:val="007A0849"/>
    <w:rsid w:val="007A084C"/>
    <w:rsid w:val="007A087F"/>
    <w:rsid w:val="007A094A"/>
    <w:rsid w:val="007A0951"/>
    <w:rsid w:val="007A0ACA"/>
    <w:rsid w:val="007A0AE5"/>
    <w:rsid w:val="007A0B3D"/>
    <w:rsid w:val="007A0BA5"/>
    <w:rsid w:val="007A0C05"/>
    <w:rsid w:val="007A0C70"/>
    <w:rsid w:val="007A0C9D"/>
    <w:rsid w:val="007A0D00"/>
    <w:rsid w:val="007A0DC8"/>
    <w:rsid w:val="007A0E22"/>
    <w:rsid w:val="007A0E96"/>
    <w:rsid w:val="007A0ED3"/>
    <w:rsid w:val="007A0ED7"/>
    <w:rsid w:val="007A0EF0"/>
    <w:rsid w:val="007A0F01"/>
    <w:rsid w:val="007A0F21"/>
    <w:rsid w:val="007A0F9B"/>
    <w:rsid w:val="007A0FB9"/>
    <w:rsid w:val="007A1022"/>
    <w:rsid w:val="007A103C"/>
    <w:rsid w:val="007A1043"/>
    <w:rsid w:val="007A105A"/>
    <w:rsid w:val="007A107C"/>
    <w:rsid w:val="007A10D0"/>
    <w:rsid w:val="007A1173"/>
    <w:rsid w:val="007A117D"/>
    <w:rsid w:val="007A125F"/>
    <w:rsid w:val="007A12B7"/>
    <w:rsid w:val="007A130F"/>
    <w:rsid w:val="007A138D"/>
    <w:rsid w:val="007A139D"/>
    <w:rsid w:val="007A13D3"/>
    <w:rsid w:val="007A140F"/>
    <w:rsid w:val="007A1487"/>
    <w:rsid w:val="007A1515"/>
    <w:rsid w:val="007A151C"/>
    <w:rsid w:val="007A1523"/>
    <w:rsid w:val="007A15A5"/>
    <w:rsid w:val="007A15DF"/>
    <w:rsid w:val="007A1622"/>
    <w:rsid w:val="007A1648"/>
    <w:rsid w:val="007A1667"/>
    <w:rsid w:val="007A1670"/>
    <w:rsid w:val="007A16B8"/>
    <w:rsid w:val="007A17E1"/>
    <w:rsid w:val="007A181F"/>
    <w:rsid w:val="007A1907"/>
    <w:rsid w:val="007A1977"/>
    <w:rsid w:val="007A1999"/>
    <w:rsid w:val="007A19CE"/>
    <w:rsid w:val="007A1A2D"/>
    <w:rsid w:val="007A1A70"/>
    <w:rsid w:val="007A1C69"/>
    <w:rsid w:val="007A1C76"/>
    <w:rsid w:val="007A1CC4"/>
    <w:rsid w:val="007A1D22"/>
    <w:rsid w:val="007A1E58"/>
    <w:rsid w:val="007A1E70"/>
    <w:rsid w:val="007A1E73"/>
    <w:rsid w:val="007A1E90"/>
    <w:rsid w:val="007A1F0C"/>
    <w:rsid w:val="007A1F10"/>
    <w:rsid w:val="007A1FBD"/>
    <w:rsid w:val="007A200B"/>
    <w:rsid w:val="007A202D"/>
    <w:rsid w:val="007A2149"/>
    <w:rsid w:val="007A21A9"/>
    <w:rsid w:val="007A21F2"/>
    <w:rsid w:val="007A22BC"/>
    <w:rsid w:val="007A2388"/>
    <w:rsid w:val="007A23A8"/>
    <w:rsid w:val="007A24AB"/>
    <w:rsid w:val="007A2567"/>
    <w:rsid w:val="007A25BE"/>
    <w:rsid w:val="007A26E2"/>
    <w:rsid w:val="007A2748"/>
    <w:rsid w:val="007A275B"/>
    <w:rsid w:val="007A280D"/>
    <w:rsid w:val="007A2897"/>
    <w:rsid w:val="007A28A9"/>
    <w:rsid w:val="007A28AF"/>
    <w:rsid w:val="007A28DA"/>
    <w:rsid w:val="007A28E3"/>
    <w:rsid w:val="007A290D"/>
    <w:rsid w:val="007A2916"/>
    <w:rsid w:val="007A2917"/>
    <w:rsid w:val="007A2930"/>
    <w:rsid w:val="007A2A0F"/>
    <w:rsid w:val="007A2A2A"/>
    <w:rsid w:val="007A2B4A"/>
    <w:rsid w:val="007A2B8E"/>
    <w:rsid w:val="007A2BB6"/>
    <w:rsid w:val="007A2BE4"/>
    <w:rsid w:val="007A2BE8"/>
    <w:rsid w:val="007A2CC1"/>
    <w:rsid w:val="007A2CDD"/>
    <w:rsid w:val="007A2D17"/>
    <w:rsid w:val="007A2D31"/>
    <w:rsid w:val="007A2D54"/>
    <w:rsid w:val="007A2D7B"/>
    <w:rsid w:val="007A2D7E"/>
    <w:rsid w:val="007A2DB7"/>
    <w:rsid w:val="007A2E9E"/>
    <w:rsid w:val="007A2F11"/>
    <w:rsid w:val="007A2F1B"/>
    <w:rsid w:val="007A2FD2"/>
    <w:rsid w:val="007A307F"/>
    <w:rsid w:val="007A30CE"/>
    <w:rsid w:val="007A30D9"/>
    <w:rsid w:val="007A3153"/>
    <w:rsid w:val="007A31C7"/>
    <w:rsid w:val="007A31D2"/>
    <w:rsid w:val="007A3239"/>
    <w:rsid w:val="007A32F8"/>
    <w:rsid w:val="007A3325"/>
    <w:rsid w:val="007A3337"/>
    <w:rsid w:val="007A33CE"/>
    <w:rsid w:val="007A3406"/>
    <w:rsid w:val="007A34E9"/>
    <w:rsid w:val="007A3570"/>
    <w:rsid w:val="007A35B4"/>
    <w:rsid w:val="007A35D7"/>
    <w:rsid w:val="007A3608"/>
    <w:rsid w:val="007A3621"/>
    <w:rsid w:val="007A363E"/>
    <w:rsid w:val="007A366F"/>
    <w:rsid w:val="007A36BB"/>
    <w:rsid w:val="007A36C2"/>
    <w:rsid w:val="007A36D6"/>
    <w:rsid w:val="007A372B"/>
    <w:rsid w:val="007A3963"/>
    <w:rsid w:val="007A3994"/>
    <w:rsid w:val="007A39A9"/>
    <w:rsid w:val="007A39C1"/>
    <w:rsid w:val="007A39DE"/>
    <w:rsid w:val="007A3A92"/>
    <w:rsid w:val="007A3A9F"/>
    <w:rsid w:val="007A3AB2"/>
    <w:rsid w:val="007A3BAD"/>
    <w:rsid w:val="007A3BAF"/>
    <w:rsid w:val="007A3BB2"/>
    <w:rsid w:val="007A3C02"/>
    <w:rsid w:val="007A3D72"/>
    <w:rsid w:val="007A3DC8"/>
    <w:rsid w:val="007A3E2F"/>
    <w:rsid w:val="007A3EFE"/>
    <w:rsid w:val="007A3F2C"/>
    <w:rsid w:val="007A3FDE"/>
    <w:rsid w:val="007A407F"/>
    <w:rsid w:val="007A414E"/>
    <w:rsid w:val="007A41F4"/>
    <w:rsid w:val="007A4238"/>
    <w:rsid w:val="007A4305"/>
    <w:rsid w:val="007A4336"/>
    <w:rsid w:val="007A4353"/>
    <w:rsid w:val="007A43B7"/>
    <w:rsid w:val="007A43DF"/>
    <w:rsid w:val="007A4483"/>
    <w:rsid w:val="007A448D"/>
    <w:rsid w:val="007A45D7"/>
    <w:rsid w:val="007A45E6"/>
    <w:rsid w:val="007A461F"/>
    <w:rsid w:val="007A463A"/>
    <w:rsid w:val="007A46D3"/>
    <w:rsid w:val="007A472B"/>
    <w:rsid w:val="007A477E"/>
    <w:rsid w:val="007A4793"/>
    <w:rsid w:val="007A479F"/>
    <w:rsid w:val="007A47FA"/>
    <w:rsid w:val="007A486C"/>
    <w:rsid w:val="007A48AD"/>
    <w:rsid w:val="007A48D0"/>
    <w:rsid w:val="007A48E3"/>
    <w:rsid w:val="007A49E5"/>
    <w:rsid w:val="007A49F1"/>
    <w:rsid w:val="007A4A8D"/>
    <w:rsid w:val="007A4ABF"/>
    <w:rsid w:val="007A4B16"/>
    <w:rsid w:val="007A4B75"/>
    <w:rsid w:val="007A4C00"/>
    <w:rsid w:val="007A4C61"/>
    <w:rsid w:val="007A4C98"/>
    <w:rsid w:val="007A4CBD"/>
    <w:rsid w:val="007A4CE7"/>
    <w:rsid w:val="007A4D6C"/>
    <w:rsid w:val="007A4D71"/>
    <w:rsid w:val="007A4E58"/>
    <w:rsid w:val="007A4E92"/>
    <w:rsid w:val="007A4F29"/>
    <w:rsid w:val="007A4F8C"/>
    <w:rsid w:val="007A4FA2"/>
    <w:rsid w:val="007A4FE1"/>
    <w:rsid w:val="007A5007"/>
    <w:rsid w:val="007A5014"/>
    <w:rsid w:val="007A5098"/>
    <w:rsid w:val="007A50DE"/>
    <w:rsid w:val="007A5108"/>
    <w:rsid w:val="007A517A"/>
    <w:rsid w:val="007A51BA"/>
    <w:rsid w:val="007A51FF"/>
    <w:rsid w:val="007A5200"/>
    <w:rsid w:val="007A526F"/>
    <w:rsid w:val="007A5278"/>
    <w:rsid w:val="007A531C"/>
    <w:rsid w:val="007A533E"/>
    <w:rsid w:val="007A5486"/>
    <w:rsid w:val="007A54F9"/>
    <w:rsid w:val="007A551A"/>
    <w:rsid w:val="007A5656"/>
    <w:rsid w:val="007A56AC"/>
    <w:rsid w:val="007A576D"/>
    <w:rsid w:val="007A57D3"/>
    <w:rsid w:val="007A5872"/>
    <w:rsid w:val="007A5876"/>
    <w:rsid w:val="007A58E1"/>
    <w:rsid w:val="007A590D"/>
    <w:rsid w:val="007A5996"/>
    <w:rsid w:val="007A59D7"/>
    <w:rsid w:val="007A5A13"/>
    <w:rsid w:val="007A5A28"/>
    <w:rsid w:val="007A5A3A"/>
    <w:rsid w:val="007A5AB3"/>
    <w:rsid w:val="007A5B4A"/>
    <w:rsid w:val="007A5B6A"/>
    <w:rsid w:val="007A5B7E"/>
    <w:rsid w:val="007A5BAA"/>
    <w:rsid w:val="007A5BF5"/>
    <w:rsid w:val="007A5C06"/>
    <w:rsid w:val="007A5C7D"/>
    <w:rsid w:val="007A5D3C"/>
    <w:rsid w:val="007A5D94"/>
    <w:rsid w:val="007A5DBE"/>
    <w:rsid w:val="007A5DE3"/>
    <w:rsid w:val="007A5E34"/>
    <w:rsid w:val="007A5E36"/>
    <w:rsid w:val="007A5FB9"/>
    <w:rsid w:val="007A5FCA"/>
    <w:rsid w:val="007A5FE4"/>
    <w:rsid w:val="007A603D"/>
    <w:rsid w:val="007A609E"/>
    <w:rsid w:val="007A60A4"/>
    <w:rsid w:val="007A610B"/>
    <w:rsid w:val="007A6119"/>
    <w:rsid w:val="007A61CA"/>
    <w:rsid w:val="007A6234"/>
    <w:rsid w:val="007A6244"/>
    <w:rsid w:val="007A626E"/>
    <w:rsid w:val="007A6272"/>
    <w:rsid w:val="007A62FE"/>
    <w:rsid w:val="007A6374"/>
    <w:rsid w:val="007A6392"/>
    <w:rsid w:val="007A63DF"/>
    <w:rsid w:val="007A63F1"/>
    <w:rsid w:val="007A642F"/>
    <w:rsid w:val="007A6474"/>
    <w:rsid w:val="007A64D7"/>
    <w:rsid w:val="007A6512"/>
    <w:rsid w:val="007A6534"/>
    <w:rsid w:val="007A653D"/>
    <w:rsid w:val="007A65CA"/>
    <w:rsid w:val="007A65D8"/>
    <w:rsid w:val="007A65E7"/>
    <w:rsid w:val="007A66A0"/>
    <w:rsid w:val="007A66A6"/>
    <w:rsid w:val="007A66C6"/>
    <w:rsid w:val="007A66D5"/>
    <w:rsid w:val="007A671B"/>
    <w:rsid w:val="007A6781"/>
    <w:rsid w:val="007A6783"/>
    <w:rsid w:val="007A6791"/>
    <w:rsid w:val="007A6828"/>
    <w:rsid w:val="007A6843"/>
    <w:rsid w:val="007A6887"/>
    <w:rsid w:val="007A68BB"/>
    <w:rsid w:val="007A6911"/>
    <w:rsid w:val="007A6974"/>
    <w:rsid w:val="007A69A2"/>
    <w:rsid w:val="007A69F8"/>
    <w:rsid w:val="007A69FA"/>
    <w:rsid w:val="007A6A33"/>
    <w:rsid w:val="007A6A4B"/>
    <w:rsid w:val="007A6ACA"/>
    <w:rsid w:val="007A6AE8"/>
    <w:rsid w:val="007A6AF1"/>
    <w:rsid w:val="007A6B16"/>
    <w:rsid w:val="007A6B52"/>
    <w:rsid w:val="007A6B55"/>
    <w:rsid w:val="007A6BBF"/>
    <w:rsid w:val="007A6BCF"/>
    <w:rsid w:val="007A6C39"/>
    <w:rsid w:val="007A6C40"/>
    <w:rsid w:val="007A6CA0"/>
    <w:rsid w:val="007A6CB4"/>
    <w:rsid w:val="007A6CDC"/>
    <w:rsid w:val="007A6D29"/>
    <w:rsid w:val="007A6D75"/>
    <w:rsid w:val="007A6DCA"/>
    <w:rsid w:val="007A6E20"/>
    <w:rsid w:val="007A6E6A"/>
    <w:rsid w:val="007A6E6B"/>
    <w:rsid w:val="007A6ED1"/>
    <w:rsid w:val="007A6F5A"/>
    <w:rsid w:val="007A6F6C"/>
    <w:rsid w:val="007A7092"/>
    <w:rsid w:val="007A70F4"/>
    <w:rsid w:val="007A7109"/>
    <w:rsid w:val="007A7136"/>
    <w:rsid w:val="007A71F0"/>
    <w:rsid w:val="007A71FA"/>
    <w:rsid w:val="007A7233"/>
    <w:rsid w:val="007A727A"/>
    <w:rsid w:val="007A7298"/>
    <w:rsid w:val="007A72AC"/>
    <w:rsid w:val="007A731A"/>
    <w:rsid w:val="007A7337"/>
    <w:rsid w:val="007A7397"/>
    <w:rsid w:val="007A748F"/>
    <w:rsid w:val="007A74BE"/>
    <w:rsid w:val="007A754B"/>
    <w:rsid w:val="007A758A"/>
    <w:rsid w:val="007A7597"/>
    <w:rsid w:val="007A75B4"/>
    <w:rsid w:val="007A75B6"/>
    <w:rsid w:val="007A75EE"/>
    <w:rsid w:val="007A75F1"/>
    <w:rsid w:val="007A7635"/>
    <w:rsid w:val="007A76AA"/>
    <w:rsid w:val="007A76B2"/>
    <w:rsid w:val="007A7709"/>
    <w:rsid w:val="007A771D"/>
    <w:rsid w:val="007A7732"/>
    <w:rsid w:val="007A77C0"/>
    <w:rsid w:val="007A77E3"/>
    <w:rsid w:val="007A783F"/>
    <w:rsid w:val="007A7994"/>
    <w:rsid w:val="007A79B9"/>
    <w:rsid w:val="007A7A78"/>
    <w:rsid w:val="007A7A82"/>
    <w:rsid w:val="007A7ACE"/>
    <w:rsid w:val="007A7BA8"/>
    <w:rsid w:val="007A7C93"/>
    <w:rsid w:val="007A7CB5"/>
    <w:rsid w:val="007A7DFF"/>
    <w:rsid w:val="007A7E4D"/>
    <w:rsid w:val="007A7E54"/>
    <w:rsid w:val="007A7E58"/>
    <w:rsid w:val="007A7EBA"/>
    <w:rsid w:val="007A7EE7"/>
    <w:rsid w:val="007A7FE9"/>
    <w:rsid w:val="007B0121"/>
    <w:rsid w:val="007B012B"/>
    <w:rsid w:val="007B0195"/>
    <w:rsid w:val="007B019A"/>
    <w:rsid w:val="007B01F1"/>
    <w:rsid w:val="007B022C"/>
    <w:rsid w:val="007B0237"/>
    <w:rsid w:val="007B0259"/>
    <w:rsid w:val="007B0299"/>
    <w:rsid w:val="007B02AB"/>
    <w:rsid w:val="007B034E"/>
    <w:rsid w:val="007B03B9"/>
    <w:rsid w:val="007B0412"/>
    <w:rsid w:val="007B0487"/>
    <w:rsid w:val="007B04B6"/>
    <w:rsid w:val="007B0507"/>
    <w:rsid w:val="007B0651"/>
    <w:rsid w:val="007B065A"/>
    <w:rsid w:val="007B065B"/>
    <w:rsid w:val="007B069F"/>
    <w:rsid w:val="007B06E5"/>
    <w:rsid w:val="007B075C"/>
    <w:rsid w:val="007B07A3"/>
    <w:rsid w:val="007B07DE"/>
    <w:rsid w:val="007B08BC"/>
    <w:rsid w:val="007B08EF"/>
    <w:rsid w:val="007B08FD"/>
    <w:rsid w:val="007B0948"/>
    <w:rsid w:val="007B099C"/>
    <w:rsid w:val="007B0A2F"/>
    <w:rsid w:val="007B0A36"/>
    <w:rsid w:val="007B0A83"/>
    <w:rsid w:val="007B0BB8"/>
    <w:rsid w:val="007B0BBD"/>
    <w:rsid w:val="007B0BF6"/>
    <w:rsid w:val="007B0C12"/>
    <w:rsid w:val="007B0C21"/>
    <w:rsid w:val="007B0C4C"/>
    <w:rsid w:val="007B0C58"/>
    <w:rsid w:val="007B0C8B"/>
    <w:rsid w:val="007B0CB7"/>
    <w:rsid w:val="007B0D14"/>
    <w:rsid w:val="007B0D49"/>
    <w:rsid w:val="007B0DB4"/>
    <w:rsid w:val="007B0E03"/>
    <w:rsid w:val="007B0E56"/>
    <w:rsid w:val="007B0E76"/>
    <w:rsid w:val="007B0E85"/>
    <w:rsid w:val="007B0EB3"/>
    <w:rsid w:val="007B1183"/>
    <w:rsid w:val="007B11A3"/>
    <w:rsid w:val="007B11AF"/>
    <w:rsid w:val="007B11B2"/>
    <w:rsid w:val="007B11F2"/>
    <w:rsid w:val="007B11F7"/>
    <w:rsid w:val="007B1210"/>
    <w:rsid w:val="007B1266"/>
    <w:rsid w:val="007B1289"/>
    <w:rsid w:val="007B1296"/>
    <w:rsid w:val="007B136B"/>
    <w:rsid w:val="007B136D"/>
    <w:rsid w:val="007B13B1"/>
    <w:rsid w:val="007B1433"/>
    <w:rsid w:val="007B14EC"/>
    <w:rsid w:val="007B1570"/>
    <w:rsid w:val="007B1583"/>
    <w:rsid w:val="007B15F6"/>
    <w:rsid w:val="007B1600"/>
    <w:rsid w:val="007B163C"/>
    <w:rsid w:val="007B1678"/>
    <w:rsid w:val="007B16BB"/>
    <w:rsid w:val="007B16F7"/>
    <w:rsid w:val="007B1815"/>
    <w:rsid w:val="007B188D"/>
    <w:rsid w:val="007B18C1"/>
    <w:rsid w:val="007B18CC"/>
    <w:rsid w:val="007B18D9"/>
    <w:rsid w:val="007B1960"/>
    <w:rsid w:val="007B1990"/>
    <w:rsid w:val="007B1B19"/>
    <w:rsid w:val="007B1B46"/>
    <w:rsid w:val="007B1C01"/>
    <w:rsid w:val="007B1C77"/>
    <w:rsid w:val="007B1CBB"/>
    <w:rsid w:val="007B1CC3"/>
    <w:rsid w:val="007B1CFA"/>
    <w:rsid w:val="007B1D5C"/>
    <w:rsid w:val="007B1D68"/>
    <w:rsid w:val="007B1DFB"/>
    <w:rsid w:val="007B1E3E"/>
    <w:rsid w:val="007B1E69"/>
    <w:rsid w:val="007B1FBF"/>
    <w:rsid w:val="007B2027"/>
    <w:rsid w:val="007B204D"/>
    <w:rsid w:val="007B206C"/>
    <w:rsid w:val="007B20C0"/>
    <w:rsid w:val="007B211E"/>
    <w:rsid w:val="007B218B"/>
    <w:rsid w:val="007B2191"/>
    <w:rsid w:val="007B225D"/>
    <w:rsid w:val="007B22E8"/>
    <w:rsid w:val="007B23D8"/>
    <w:rsid w:val="007B23FE"/>
    <w:rsid w:val="007B2425"/>
    <w:rsid w:val="007B2427"/>
    <w:rsid w:val="007B2431"/>
    <w:rsid w:val="007B2500"/>
    <w:rsid w:val="007B2565"/>
    <w:rsid w:val="007B2570"/>
    <w:rsid w:val="007B25D0"/>
    <w:rsid w:val="007B25EE"/>
    <w:rsid w:val="007B265B"/>
    <w:rsid w:val="007B2661"/>
    <w:rsid w:val="007B26C9"/>
    <w:rsid w:val="007B2712"/>
    <w:rsid w:val="007B2717"/>
    <w:rsid w:val="007B2774"/>
    <w:rsid w:val="007B2789"/>
    <w:rsid w:val="007B27F4"/>
    <w:rsid w:val="007B280A"/>
    <w:rsid w:val="007B287A"/>
    <w:rsid w:val="007B287F"/>
    <w:rsid w:val="007B2882"/>
    <w:rsid w:val="007B2910"/>
    <w:rsid w:val="007B2955"/>
    <w:rsid w:val="007B2A61"/>
    <w:rsid w:val="007B2AE4"/>
    <w:rsid w:val="007B2B6F"/>
    <w:rsid w:val="007B2B94"/>
    <w:rsid w:val="007B2BBF"/>
    <w:rsid w:val="007B2BCC"/>
    <w:rsid w:val="007B2C1E"/>
    <w:rsid w:val="007B2C67"/>
    <w:rsid w:val="007B2C8B"/>
    <w:rsid w:val="007B2C8F"/>
    <w:rsid w:val="007B2D2F"/>
    <w:rsid w:val="007B2D7A"/>
    <w:rsid w:val="007B2DE6"/>
    <w:rsid w:val="007B2E16"/>
    <w:rsid w:val="007B2E5B"/>
    <w:rsid w:val="007B2E62"/>
    <w:rsid w:val="007B2EDE"/>
    <w:rsid w:val="007B2F2B"/>
    <w:rsid w:val="007B2F42"/>
    <w:rsid w:val="007B2F4B"/>
    <w:rsid w:val="007B30B8"/>
    <w:rsid w:val="007B30E1"/>
    <w:rsid w:val="007B311B"/>
    <w:rsid w:val="007B311C"/>
    <w:rsid w:val="007B317F"/>
    <w:rsid w:val="007B3205"/>
    <w:rsid w:val="007B3222"/>
    <w:rsid w:val="007B3258"/>
    <w:rsid w:val="007B32CE"/>
    <w:rsid w:val="007B32E5"/>
    <w:rsid w:val="007B3384"/>
    <w:rsid w:val="007B3395"/>
    <w:rsid w:val="007B33AC"/>
    <w:rsid w:val="007B3454"/>
    <w:rsid w:val="007B3459"/>
    <w:rsid w:val="007B3497"/>
    <w:rsid w:val="007B3589"/>
    <w:rsid w:val="007B35F5"/>
    <w:rsid w:val="007B364E"/>
    <w:rsid w:val="007B3684"/>
    <w:rsid w:val="007B3762"/>
    <w:rsid w:val="007B3775"/>
    <w:rsid w:val="007B3804"/>
    <w:rsid w:val="007B3862"/>
    <w:rsid w:val="007B3886"/>
    <w:rsid w:val="007B3952"/>
    <w:rsid w:val="007B397E"/>
    <w:rsid w:val="007B39AE"/>
    <w:rsid w:val="007B39B7"/>
    <w:rsid w:val="007B39EB"/>
    <w:rsid w:val="007B3A57"/>
    <w:rsid w:val="007B3A89"/>
    <w:rsid w:val="007B3AAA"/>
    <w:rsid w:val="007B3B47"/>
    <w:rsid w:val="007B3BD9"/>
    <w:rsid w:val="007B3D0B"/>
    <w:rsid w:val="007B3D99"/>
    <w:rsid w:val="007B3E04"/>
    <w:rsid w:val="007B3E6B"/>
    <w:rsid w:val="007B3EA3"/>
    <w:rsid w:val="007B3ED2"/>
    <w:rsid w:val="007B3EDF"/>
    <w:rsid w:val="007B3F02"/>
    <w:rsid w:val="007B3F24"/>
    <w:rsid w:val="007B3FB7"/>
    <w:rsid w:val="007B3FE2"/>
    <w:rsid w:val="007B4066"/>
    <w:rsid w:val="007B40AA"/>
    <w:rsid w:val="007B413E"/>
    <w:rsid w:val="007B4145"/>
    <w:rsid w:val="007B4184"/>
    <w:rsid w:val="007B419E"/>
    <w:rsid w:val="007B41FC"/>
    <w:rsid w:val="007B4215"/>
    <w:rsid w:val="007B4288"/>
    <w:rsid w:val="007B4318"/>
    <w:rsid w:val="007B43BD"/>
    <w:rsid w:val="007B4409"/>
    <w:rsid w:val="007B4443"/>
    <w:rsid w:val="007B44BF"/>
    <w:rsid w:val="007B4552"/>
    <w:rsid w:val="007B4570"/>
    <w:rsid w:val="007B45EC"/>
    <w:rsid w:val="007B4698"/>
    <w:rsid w:val="007B46FA"/>
    <w:rsid w:val="007B4754"/>
    <w:rsid w:val="007B475F"/>
    <w:rsid w:val="007B47BC"/>
    <w:rsid w:val="007B47FA"/>
    <w:rsid w:val="007B481A"/>
    <w:rsid w:val="007B4848"/>
    <w:rsid w:val="007B4871"/>
    <w:rsid w:val="007B4881"/>
    <w:rsid w:val="007B48BB"/>
    <w:rsid w:val="007B499E"/>
    <w:rsid w:val="007B49C0"/>
    <w:rsid w:val="007B49D6"/>
    <w:rsid w:val="007B4A89"/>
    <w:rsid w:val="007B4A99"/>
    <w:rsid w:val="007B4B1A"/>
    <w:rsid w:val="007B4B61"/>
    <w:rsid w:val="007B4B8B"/>
    <w:rsid w:val="007B4B8D"/>
    <w:rsid w:val="007B4BDF"/>
    <w:rsid w:val="007B4CD1"/>
    <w:rsid w:val="007B4D14"/>
    <w:rsid w:val="007B4DDD"/>
    <w:rsid w:val="007B4E1F"/>
    <w:rsid w:val="007B4F25"/>
    <w:rsid w:val="007B4F3C"/>
    <w:rsid w:val="007B4F4C"/>
    <w:rsid w:val="007B4F59"/>
    <w:rsid w:val="007B4F9F"/>
    <w:rsid w:val="007B4FE2"/>
    <w:rsid w:val="007B501E"/>
    <w:rsid w:val="007B5040"/>
    <w:rsid w:val="007B50E5"/>
    <w:rsid w:val="007B5131"/>
    <w:rsid w:val="007B515F"/>
    <w:rsid w:val="007B5171"/>
    <w:rsid w:val="007B519D"/>
    <w:rsid w:val="007B51EB"/>
    <w:rsid w:val="007B5256"/>
    <w:rsid w:val="007B525F"/>
    <w:rsid w:val="007B52C7"/>
    <w:rsid w:val="007B52DF"/>
    <w:rsid w:val="007B5341"/>
    <w:rsid w:val="007B5355"/>
    <w:rsid w:val="007B537B"/>
    <w:rsid w:val="007B537D"/>
    <w:rsid w:val="007B539A"/>
    <w:rsid w:val="007B53E8"/>
    <w:rsid w:val="007B53FF"/>
    <w:rsid w:val="007B54EC"/>
    <w:rsid w:val="007B5524"/>
    <w:rsid w:val="007B5574"/>
    <w:rsid w:val="007B5583"/>
    <w:rsid w:val="007B5725"/>
    <w:rsid w:val="007B576B"/>
    <w:rsid w:val="007B57A0"/>
    <w:rsid w:val="007B5818"/>
    <w:rsid w:val="007B5829"/>
    <w:rsid w:val="007B583D"/>
    <w:rsid w:val="007B5899"/>
    <w:rsid w:val="007B58A4"/>
    <w:rsid w:val="007B58AC"/>
    <w:rsid w:val="007B591E"/>
    <w:rsid w:val="007B5924"/>
    <w:rsid w:val="007B59D1"/>
    <w:rsid w:val="007B5A66"/>
    <w:rsid w:val="007B5A6D"/>
    <w:rsid w:val="007B5ABE"/>
    <w:rsid w:val="007B5B20"/>
    <w:rsid w:val="007B5B30"/>
    <w:rsid w:val="007B5B3C"/>
    <w:rsid w:val="007B5B92"/>
    <w:rsid w:val="007B5BB6"/>
    <w:rsid w:val="007B5C78"/>
    <w:rsid w:val="007B5C7F"/>
    <w:rsid w:val="007B5CEC"/>
    <w:rsid w:val="007B5D94"/>
    <w:rsid w:val="007B5DEC"/>
    <w:rsid w:val="007B5FA7"/>
    <w:rsid w:val="007B614D"/>
    <w:rsid w:val="007B6180"/>
    <w:rsid w:val="007B61AB"/>
    <w:rsid w:val="007B61B3"/>
    <w:rsid w:val="007B61D2"/>
    <w:rsid w:val="007B6218"/>
    <w:rsid w:val="007B6229"/>
    <w:rsid w:val="007B6284"/>
    <w:rsid w:val="007B62A2"/>
    <w:rsid w:val="007B62AE"/>
    <w:rsid w:val="007B631A"/>
    <w:rsid w:val="007B63E4"/>
    <w:rsid w:val="007B63E5"/>
    <w:rsid w:val="007B64A0"/>
    <w:rsid w:val="007B64BD"/>
    <w:rsid w:val="007B6697"/>
    <w:rsid w:val="007B673B"/>
    <w:rsid w:val="007B677C"/>
    <w:rsid w:val="007B67B7"/>
    <w:rsid w:val="007B6812"/>
    <w:rsid w:val="007B6872"/>
    <w:rsid w:val="007B68D4"/>
    <w:rsid w:val="007B68F1"/>
    <w:rsid w:val="007B6918"/>
    <w:rsid w:val="007B69C4"/>
    <w:rsid w:val="007B69F3"/>
    <w:rsid w:val="007B69FD"/>
    <w:rsid w:val="007B69FF"/>
    <w:rsid w:val="007B6A3B"/>
    <w:rsid w:val="007B6A7C"/>
    <w:rsid w:val="007B6B49"/>
    <w:rsid w:val="007B6C1C"/>
    <w:rsid w:val="007B6D19"/>
    <w:rsid w:val="007B6D46"/>
    <w:rsid w:val="007B6DC8"/>
    <w:rsid w:val="007B6F74"/>
    <w:rsid w:val="007B6F95"/>
    <w:rsid w:val="007B6FF6"/>
    <w:rsid w:val="007B7058"/>
    <w:rsid w:val="007B70EA"/>
    <w:rsid w:val="007B70FE"/>
    <w:rsid w:val="007B7124"/>
    <w:rsid w:val="007B71DB"/>
    <w:rsid w:val="007B71EF"/>
    <w:rsid w:val="007B7208"/>
    <w:rsid w:val="007B725C"/>
    <w:rsid w:val="007B7281"/>
    <w:rsid w:val="007B72FA"/>
    <w:rsid w:val="007B7308"/>
    <w:rsid w:val="007B732F"/>
    <w:rsid w:val="007B7410"/>
    <w:rsid w:val="007B742F"/>
    <w:rsid w:val="007B7494"/>
    <w:rsid w:val="007B7498"/>
    <w:rsid w:val="007B74DB"/>
    <w:rsid w:val="007B7510"/>
    <w:rsid w:val="007B7523"/>
    <w:rsid w:val="007B7682"/>
    <w:rsid w:val="007B76C5"/>
    <w:rsid w:val="007B7768"/>
    <w:rsid w:val="007B784C"/>
    <w:rsid w:val="007B78AF"/>
    <w:rsid w:val="007B7966"/>
    <w:rsid w:val="007B799E"/>
    <w:rsid w:val="007B79DD"/>
    <w:rsid w:val="007B7A13"/>
    <w:rsid w:val="007B7A33"/>
    <w:rsid w:val="007B7A39"/>
    <w:rsid w:val="007B7A62"/>
    <w:rsid w:val="007B7A63"/>
    <w:rsid w:val="007B7ABC"/>
    <w:rsid w:val="007B7B32"/>
    <w:rsid w:val="007B7BE6"/>
    <w:rsid w:val="007B7C09"/>
    <w:rsid w:val="007B7C12"/>
    <w:rsid w:val="007B7CE4"/>
    <w:rsid w:val="007B7CEE"/>
    <w:rsid w:val="007B7D86"/>
    <w:rsid w:val="007B7D93"/>
    <w:rsid w:val="007B7DBA"/>
    <w:rsid w:val="007B7EA2"/>
    <w:rsid w:val="007B7EDC"/>
    <w:rsid w:val="007B7EE5"/>
    <w:rsid w:val="007B7FE5"/>
    <w:rsid w:val="007C006C"/>
    <w:rsid w:val="007C0086"/>
    <w:rsid w:val="007C0156"/>
    <w:rsid w:val="007C01CD"/>
    <w:rsid w:val="007C024F"/>
    <w:rsid w:val="007C028D"/>
    <w:rsid w:val="007C02C3"/>
    <w:rsid w:val="007C02D2"/>
    <w:rsid w:val="007C0303"/>
    <w:rsid w:val="007C037A"/>
    <w:rsid w:val="007C03FC"/>
    <w:rsid w:val="007C045C"/>
    <w:rsid w:val="007C0498"/>
    <w:rsid w:val="007C0566"/>
    <w:rsid w:val="007C060C"/>
    <w:rsid w:val="007C0664"/>
    <w:rsid w:val="007C0665"/>
    <w:rsid w:val="007C066A"/>
    <w:rsid w:val="007C0725"/>
    <w:rsid w:val="007C078A"/>
    <w:rsid w:val="007C0856"/>
    <w:rsid w:val="007C0870"/>
    <w:rsid w:val="007C0974"/>
    <w:rsid w:val="007C0988"/>
    <w:rsid w:val="007C09C9"/>
    <w:rsid w:val="007C0A6E"/>
    <w:rsid w:val="007C0A72"/>
    <w:rsid w:val="007C0ADF"/>
    <w:rsid w:val="007C0AF0"/>
    <w:rsid w:val="007C0B02"/>
    <w:rsid w:val="007C0B1C"/>
    <w:rsid w:val="007C0B90"/>
    <w:rsid w:val="007C0BD6"/>
    <w:rsid w:val="007C0C03"/>
    <w:rsid w:val="007C0C13"/>
    <w:rsid w:val="007C0D30"/>
    <w:rsid w:val="007C0D95"/>
    <w:rsid w:val="007C0DA3"/>
    <w:rsid w:val="007C0E89"/>
    <w:rsid w:val="007C0EB2"/>
    <w:rsid w:val="007C0EC2"/>
    <w:rsid w:val="007C0EEE"/>
    <w:rsid w:val="007C0F6B"/>
    <w:rsid w:val="007C0F8D"/>
    <w:rsid w:val="007C1025"/>
    <w:rsid w:val="007C102E"/>
    <w:rsid w:val="007C10EE"/>
    <w:rsid w:val="007C10F4"/>
    <w:rsid w:val="007C111E"/>
    <w:rsid w:val="007C1138"/>
    <w:rsid w:val="007C117C"/>
    <w:rsid w:val="007C118D"/>
    <w:rsid w:val="007C11C0"/>
    <w:rsid w:val="007C1328"/>
    <w:rsid w:val="007C134E"/>
    <w:rsid w:val="007C1471"/>
    <w:rsid w:val="007C1497"/>
    <w:rsid w:val="007C14F7"/>
    <w:rsid w:val="007C151E"/>
    <w:rsid w:val="007C1520"/>
    <w:rsid w:val="007C157C"/>
    <w:rsid w:val="007C15F1"/>
    <w:rsid w:val="007C1658"/>
    <w:rsid w:val="007C1740"/>
    <w:rsid w:val="007C1751"/>
    <w:rsid w:val="007C175F"/>
    <w:rsid w:val="007C17FF"/>
    <w:rsid w:val="007C1803"/>
    <w:rsid w:val="007C1832"/>
    <w:rsid w:val="007C19FE"/>
    <w:rsid w:val="007C1ACB"/>
    <w:rsid w:val="007C1B07"/>
    <w:rsid w:val="007C1B4B"/>
    <w:rsid w:val="007C1B56"/>
    <w:rsid w:val="007C1BE4"/>
    <w:rsid w:val="007C1C06"/>
    <w:rsid w:val="007C1C69"/>
    <w:rsid w:val="007C1C8D"/>
    <w:rsid w:val="007C1CB8"/>
    <w:rsid w:val="007C1CDA"/>
    <w:rsid w:val="007C1CDF"/>
    <w:rsid w:val="007C1CFD"/>
    <w:rsid w:val="007C1E11"/>
    <w:rsid w:val="007C1E57"/>
    <w:rsid w:val="007C2030"/>
    <w:rsid w:val="007C2038"/>
    <w:rsid w:val="007C20C2"/>
    <w:rsid w:val="007C217F"/>
    <w:rsid w:val="007C218D"/>
    <w:rsid w:val="007C225B"/>
    <w:rsid w:val="007C2285"/>
    <w:rsid w:val="007C22BA"/>
    <w:rsid w:val="007C23F6"/>
    <w:rsid w:val="007C2480"/>
    <w:rsid w:val="007C257F"/>
    <w:rsid w:val="007C25A1"/>
    <w:rsid w:val="007C2638"/>
    <w:rsid w:val="007C26C2"/>
    <w:rsid w:val="007C2723"/>
    <w:rsid w:val="007C2746"/>
    <w:rsid w:val="007C2840"/>
    <w:rsid w:val="007C2870"/>
    <w:rsid w:val="007C2916"/>
    <w:rsid w:val="007C293C"/>
    <w:rsid w:val="007C2A87"/>
    <w:rsid w:val="007C2AFD"/>
    <w:rsid w:val="007C2B0A"/>
    <w:rsid w:val="007C2C59"/>
    <w:rsid w:val="007C2C6D"/>
    <w:rsid w:val="007C2C8B"/>
    <w:rsid w:val="007C2C97"/>
    <w:rsid w:val="007C2CAD"/>
    <w:rsid w:val="007C2CF4"/>
    <w:rsid w:val="007C2D89"/>
    <w:rsid w:val="007C2D8A"/>
    <w:rsid w:val="007C2EB4"/>
    <w:rsid w:val="007C2EBD"/>
    <w:rsid w:val="007C2F6B"/>
    <w:rsid w:val="007C308E"/>
    <w:rsid w:val="007C30B7"/>
    <w:rsid w:val="007C314D"/>
    <w:rsid w:val="007C3150"/>
    <w:rsid w:val="007C319D"/>
    <w:rsid w:val="007C31A4"/>
    <w:rsid w:val="007C328C"/>
    <w:rsid w:val="007C32B8"/>
    <w:rsid w:val="007C3412"/>
    <w:rsid w:val="007C3416"/>
    <w:rsid w:val="007C3452"/>
    <w:rsid w:val="007C3493"/>
    <w:rsid w:val="007C3507"/>
    <w:rsid w:val="007C3514"/>
    <w:rsid w:val="007C352B"/>
    <w:rsid w:val="007C35A5"/>
    <w:rsid w:val="007C35C9"/>
    <w:rsid w:val="007C3624"/>
    <w:rsid w:val="007C3645"/>
    <w:rsid w:val="007C3653"/>
    <w:rsid w:val="007C3708"/>
    <w:rsid w:val="007C3884"/>
    <w:rsid w:val="007C38F9"/>
    <w:rsid w:val="007C397A"/>
    <w:rsid w:val="007C3A6A"/>
    <w:rsid w:val="007C3A89"/>
    <w:rsid w:val="007C3AB6"/>
    <w:rsid w:val="007C3AD5"/>
    <w:rsid w:val="007C3AF5"/>
    <w:rsid w:val="007C3B27"/>
    <w:rsid w:val="007C3B51"/>
    <w:rsid w:val="007C3B9C"/>
    <w:rsid w:val="007C3C0E"/>
    <w:rsid w:val="007C3C18"/>
    <w:rsid w:val="007C3CA4"/>
    <w:rsid w:val="007C3CCF"/>
    <w:rsid w:val="007C3D02"/>
    <w:rsid w:val="007C3D44"/>
    <w:rsid w:val="007C3D5D"/>
    <w:rsid w:val="007C3D88"/>
    <w:rsid w:val="007C3DB5"/>
    <w:rsid w:val="007C3DBC"/>
    <w:rsid w:val="007C3DF3"/>
    <w:rsid w:val="007C3E56"/>
    <w:rsid w:val="007C3FC9"/>
    <w:rsid w:val="007C3FCB"/>
    <w:rsid w:val="007C401D"/>
    <w:rsid w:val="007C4031"/>
    <w:rsid w:val="007C403D"/>
    <w:rsid w:val="007C4054"/>
    <w:rsid w:val="007C406C"/>
    <w:rsid w:val="007C409A"/>
    <w:rsid w:val="007C411E"/>
    <w:rsid w:val="007C4179"/>
    <w:rsid w:val="007C41B8"/>
    <w:rsid w:val="007C41CC"/>
    <w:rsid w:val="007C4245"/>
    <w:rsid w:val="007C42BA"/>
    <w:rsid w:val="007C42C0"/>
    <w:rsid w:val="007C4364"/>
    <w:rsid w:val="007C43A1"/>
    <w:rsid w:val="007C4437"/>
    <w:rsid w:val="007C4491"/>
    <w:rsid w:val="007C45A6"/>
    <w:rsid w:val="007C468B"/>
    <w:rsid w:val="007C46D4"/>
    <w:rsid w:val="007C4706"/>
    <w:rsid w:val="007C47BB"/>
    <w:rsid w:val="007C48FD"/>
    <w:rsid w:val="007C4941"/>
    <w:rsid w:val="007C4954"/>
    <w:rsid w:val="007C4969"/>
    <w:rsid w:val="007C49A6"/>
    <w:rsid w:val="007C49AB"/>
    <w:rsid w:val="007C49DA"/>
    <w:rsid w:val="007C4A27"/>
    <w:rsid w:val="007C4A9E"/>
    <w:rsid w:val="007C4B3F"/>
    <w:rsid w:val="007C4C23"/>
    <w:rsid w:val="007C4C40"/>
    <w:rsid w:val="007C4C74"/>
    <w:rsid w:val="007C4CDF"/>
    <w:rsid w:val="007C4CEA"/>
    <w:rsid w:val="007C4CF0"/>
    <w:rsid w:val="007C4D3B"/>
    <w:rsid w:val="007C4E07"/>
    <w:rsid w:val="007C4EB9"/>
    <w:rsid w:val="007C4F8B"/>
    <w:rsid w:val="007C4FC2"/>
    <w:rsid w:val="007C5055"/>
    <w:rsid w:val="007C5075"/>
    <w:rsid w:val="007C5158"/>
    <w:rsid w:val="007C5170"/>
    <w:rsid w:val="007C5176"/>
    <w:rsid w:val="007C51AE"/>
    <w:rsid w:val="007C51E4"/>
    <w:rsid w:val="007C5209"/>
    <w:rsid w:val="007C5229"/>
    <w:rsid w:val="007C5317"/>
    <w:rsid w:val="007C532D"/>
    <w:rsid w:val="007C53C2"/>
    <w:rsid w:val="007C5564"/>
    <w:rsid w:val="007C5571"/>
    <w:rsid w:val="007C5572"/>
    <w:rsid w:val="007C560A"/>
    <w:rsid w:val="007C5620"/>
    <w:rsid w:val="007C5678"/>
    <w:rsid w:val="007C570A"/>
    <w:rsid w:val="007C5768"/>
    <w:rsid w:val="007C577A"/>
    <w:rsid w:val="007C57EF"/>
    <w:rsid w:val="007C5820"/>
    <w:rsid w:val="007C585F"/>
    <w:rsid w:val="007C58BB"/>
    <w:rsid w:val="007C58BD"/>
    <w:rsid w:val="007C59AF"/>
    <w:rsid w:val="007C59E3"/>
    <w:rsid w:val="007C5A4D"/>
    <w:rsid w:val="007C5A69"/>
    <w:rsid w:val="007C5A85"/>
    <w:rsid w:val="007C5B33"/>
    <w:rsid w:val="007C5B3C"/>
    <w:rsid w:val="007C5B52"/>
    <w:rsid w:val="007C5BBC"/>
    <w:rsid w:val="007C5C12"/>
    <w:rsid w:val="007C5C43"/>
    <w:rsid w:val="007C5C64"/>
    <w:rsid w:val="007C5CF7"/>
    <w:rsid w:val="007C5D84"/>
    <w:rsid w:val="007C5DCA"/>
    <w:rsid w:val="007C5DEB"/>
    <w:rsid w:val="007C5EB5"/>
    <w:rsid w:val="007C5EBC"/>
    <w:rsid w:val="007C5F47"/>
    <w:rsid w:val="007C5F4C"/>
    <w:rsid w:val="007C5F90"/>
    <w:rsid w:val="007C5FA3"/>
    <w:rsid w:val="007C6052"/>
    <w:rsid w:val="007C6150"/>
    <w:rsid w:val="007C6151"/>
    <w:rsid w:val="007C61EA"/>
    <w:rsid w:val="007C620F"/>
    <w:rsid w:val="007C6212"/>
    <w:rsid w:val="007C621F"/>
    <w:rsid w:val="007C6231"/>
    <w:rsid w:val="007C6271"/>
    <w:rsid w:val="007C62A5"/>
    <w:rsid w:val="007C634B"/>
    <w:rsid w:val="007C636F"/>
    <w:rsid w:val="007C63F2"/>
    <w:rsid w:val="007C650D"/>
    <w:rsid w:val="007C6528"/>
    <w:rsid w:val="007C658A"/>
    <w:rsid w:val="007C6670"/>
    <w:rsid w:val="007C6710"/>
    <w:rsid w:val="007C6770"/>
    <w:rsid w:val="007C67C8"/>
    <w:rsid w:val="007C6812"/>
    <w:rsid w:val="007C6833"/>
    <w:rsid w:val="007C68DB"/>
    <w:rsid w:val="007C68E7"/>
    <w:rsid w:val="007C693B"/>
    <w:rsid w:val="007C69BC"/>
    <w:rsid w:val="007C69C8"/>
    <w:rsid w:val="007C69D4"/>
    <w:rsid w:val="007C69F2"/>
    <w:rsid w:val="007C6A03"/>
    <w:rsid w:val="007C6A42"/>
    <w:rsid w:val="007C6AA9"/>
    <w:rsid w:val="007C6AC2"/>
    <w:rsid w:val="007C6AC5"/>
    <w:rsid w:val="007C6AFF"/>
    <w:rsid w:val="007C6B4C"/>
    <w:rsid w:val="007C6B5D"/>
    <w:rsid w:val="007C6BDA"/>
    <w:rsid w:val="007C6C2E"/>
    <w:rsid w:val="007C6D07"/>
    <w:rsid w:val="007C6D12"/>
    <w:rsid w:val="007C6D3C"/>
    <w:rsid w:val="007C6D9F"/>
    <w:rsid w:val="007C6E5D"/>
    <w:rsid w:val="007C6F68"/>
    <w:rsid w:val="007C6F91"/>
    <w:rsid w:val="007C7023"/>
    <w:rsid w:val="007C7093"/>
    <w:rsid w:val="007C7094"/>
    <w:rsid w:val="007C7169"/>
    <w:rsid w:val="007C71AD"/>
    <w:rsid w:val="007C71D5"/>
    <w:rsid w:val="007C71F2"/>
    <w:rsid w:val="007C72C9"/>
    <w:rsid w:val="007C7303"/>
    <w:rsid w:val="007C7311"/>
    <w:rsid w:val="007C7356"/>
    <w:rsid w:val="007C7368"/>
    <w:rsid w:val="007C7467"/>
    <w:rsid w:val="007C74D3"/>
    <w:rsid w:val="007C75A8"/>
    <w:rsid w:val="007C7702"/>
    <w:rsid w:val="007C7714"/>
    <w:rsid w:val="007C7738"/>
    <w:rsid w:val="007C777E"/>
    <w:rsid w:val="007C78C5"/>
    <w:rsid w:val="007C79AE"/>
    <w:rsid w:val="007C79EA"/>
    <w:rsid w:val="007C7A39"/>
    <w:rsid w:val="007C7B58"/>
    <w:rsid w:val="007C7B5F"/>
    <w:rsid w:val="007C7BFE"/>
    <w:rsid w:val="007C7C60"/>
    <w:rsid w:val="007C7CC2"/>
    <w:rsid w:val="007C7CCB"/>
    <w:rsid w:val="007C7D3E"/>
    <w:rsid w:val="007C7D50"/>
    <w:rsid w:val="007C7E12"/>
    <w:rsid w:val="007C7E1D"/>
    <w:rsid w:val="007C7E5F"/>
    <w:rsid w:val="007C7E67"/>
    <w:rsid w:val="007C7EA0"/>
    <w:rsid w:val="007C7ED8"/>
    <w:rsid w:val="007C7F7B"/>
    <w:rsid w:val="007D0068"/>
    <w:rsid w:val="007D00D6"/>
    <w:rsid w:val="007D01B9"/>
    <w:rsid w:val="007D01C6"/>
    <w:rsid w:val="007D01D9"/>
    <w:rsid w:val="007D0245"/>
    <w:rsid w:val="007D0294"/>
    <w:rsid w:val="007D02D6"/>
    <w:rsid w:val="007D0382"/>
    <w:rsid w:val="007D0476"/>
    <w:rsid w:val="007D04CC"/>
    <w:rsid w:val="007D0505"/>
    <w:rsid w:val="007D0528"/>
    <w:rsid w:val="007D0553"/>
    <w:rsid w:val="007D05DD"/>
    <w:rsid w:val="007D0673"/>
    <w:rsid w:val="007D0741"/>
    <w:rsid w:val="007D07AD"/>
    <w:rsid w:val="007D07C8"/>
    <w:rsid w:val="007D07DD"/>
    <w:rsid w:val="007D082D"/>
    <w:rsid w:val="007D08FF"/>
    <w:rsid w:val="007D0922"/>
    <w:rsid w:val="007D0965"/>
    <w:rsid w:val="007D0981"/>
    <w:rsid w:val="007D0A01"/>
    <w:rsid w:val="007D0A40"/>
    <w:rsid w:val="007D0B3D"/>
    <w:rsid w:val="007D0B3E"/>
    <w:rsid w:val="007D0D42"/>
    <w:rsid w:val="007D0DB3"/>
    <w:rsid w:val="007D0DD0"/>
    <w:rsid w:val="007D0DF4"/>
    <w:rsid w:val="007D0E1E"/>
    <w:rsid w:val="007D0E3D"/>
    <w:rsid w:val="007D0F29"/>
    <w:rsid w:val="007D0F8E"/>
    <w:rsid w:val="007D0FA6"/>
    <w:rsid w:val="007D0FAB"/>
    <w:rsid w:val="007D0FD6"/>
    <w:rsid w:val="007D100F"/>
    <w:rsid w:val="007D106F"/>
    <w:rsid w:val="007D108F"/>
    <w:rsid w:val="007D111F"/>
    <w:rsid w:val="007D1166"/>
    <w:rsid w:val="007D1210"/>
    <w:rsid w:val="007D1288"/>
    <w:rsid w:val="007D13AC"/>
    <w:rsid w:val="007D1441"/>
    <w:rsid w:val="007D148D"/>
    <w:rsid w:val="007D14DF"/>
    <w:rsid w:val="007D1532"/>
    <w:rsid w:val="007D1546"/>
    <w:rsid w:val="007D15BF"/>
    <w:rsid w:val="007D15C8"/>
    <w:rsid w:val="007D15DA"/>
    <w:rsid w:val="007D15EE"/>
    <w:rsid w:val="007D16B3"/>
    <w:rsid w:val="007D16B5"/>
    <w:rsid w:val="007D1737"/>
    <w:rsid w:val="007D1819"/>
    <w:rsid w:val="007D1848"/>
    <w:rsid w:val="007D18E0"/>
    <w:rsid w:val="007D19F9"/>
    <w:rsid w:val="007D1A3C"/>
    <w:rsid w:val="007D1A87"/>
    <w:rsid w:val="007D1A8B"/>
    <w:rsid w:val="007D1AA2"/>
    <w:rsid w:val="007D1ABD"/>
    <w:rsid w:val="007D1BAC"/>
    <w:rsid w:val="007D1C43"/>
    <w:rsid w:val="007D1CD2"/>
    <w:rsid w:val="007D1CFA"/>
    <w:rsid w:val="007D1D60"/>
    <w:rsid w:val="007D1DB7"/>
    <w:rsid w:val="007D1DD3"/>
    <w:rsid w:val="007D1DDF"/>
    <w:rsid w:val="007D1DEC"/>
    <w:rsid w:val="007D1E00"/>
    <w:rsid w:val="007D1E28"/>
    <w:rsid w:val="007D1ED5"/>
    <w:rsid w:val="007D1EDD"/>
    <w:rsid w:val="007D1F20"/>
    <w:rsid w:val="007D1F61"/>
    <w:rsid w:val="007D1F65"/>
    <w:rsid w:val="007D1FC1"/>
    <w:rsid w:val="007D20C3"/>
    <w:rsid w:val="007D2198"/>
    <w:rsid w:val="007D21B2"/>
    <w:rsid w:val="007D230F"/>
    <w:rsid w:val="007D235F"/>
    <w:rsid w:val="007D23CE"/>
    <w:rsid w:val="007D2425"/>
    <w:rsid w:val="007D2474"/>
    <w:rsid w:val="007D247F"/>
    <w:rsid w:val="007D24F8"/>
    <w:rsid w:val="007D2541"/>
    <w:rsid w:val="007D25B1"/>
    <w:rsid w:val="007D25BA"/>
    <w:rsid w:val="007D2627"/>
    <w:rsid w:val="007D26A5"/>
    <w:rsid w:val="007D2723"/>
    <w:rsid w:val="007D2746"/>
    <w:rsid w:val="007D2761"/>
    <w:rsid w:val="007D27C1"/>
    <w:rsid w:val="007D2822"/>
    <w:rsid w:val="007D28BB"/>
    <w:rsid w:val="007D29DC"/>
    <w:rsid w:val="007D2A34"/>
    <w:rsid w:val="007D2A3D"/>
    <w:rsid w:val="007D2AC7"/>
    <w:rsid w:val="007D2B12"/>
    <w:rsid w:val="007D2BAB"/>
    <w:rsid w:val="007D2C22"/>
    <w:rsid w:val="007D2C75"/>
    <w:rsid w:val="007D2D7A"/>
    <w:rsid w:val="007D2E16"/>
    <w:rsid w:val="007D2ECD"/>
    <w:rsid w:val="007D2EEC"/>
    <w:rsid w:val="007D2F07"/>
    <w:rsid w:val="007D301A"/>
    <w:rsid w:val="007D3068"/>
    <w:rsid w:val="007D311C"/>
    <w:rsid w:val="007D315C"/>
    <w:rsid w:val="007D31A8"/>
    <w:rsid w:val="007D31C9"/>
    <w:rsid w:val="007D31E7"/>
    <w:rsid w:val="007D3235"/>
    <w:rsid w:val="007D3267"/>
    <w:rsid w:val="007D330F"/>
    <w:rsid w:val="007D33A7"/>
    <w:rsid w:val="007D348E"/>
    <w:rsid w:val="007D34AB"/>
    <w:rsid w:val="007D353F"/>
    <w:rsid w:val="007D3570"/>
    <w:rsid w:val="007D35F3"/>
    <w:rsid w:val="007D362B"/>
    <w:rsid w:val="007D3689"/>
    <w:rsid w:val="007D376D"/>
    <w:rsid w:val="007D37A6"/>
    <w:rsid w:val="007D37D7"/>
    <w:rsid w:val="007D3811"/>
    <w:rsid w:val="007D3833"/>
    <w:rsid w:val="007D38C9"/>
    <w:rsid w:val="007D38E5"/>
    <w:rsid w:val="007D3A2A"/>
    <w:rsid w:val="007D3A49"/>
    <w:rsid w:val="007D3A75"/>
    <w:rsid w:val="007D3B92"/>
    <w:rsid w:val="007D3BDD"/>
    <w:rsid w:val="007D3C11"/>
    <w:rsid w:val="007D3C2C"/>
    <w:rsid w:val="007D3C5A"/>
    <w:rsid w:val="007D3C87"/>
    <w:rsid w:val="007D3CA9"/>
    <w:rsid w:val="007D3CBE"/>
    <w:rsid w:val="007D3CCE"/>
    <w:rsid w:val="007D3CEF"/>
    <w:rsid w:val="007D3D51"/>
    <w:rsid w:val="007D3EDA"/>
    <w:rsid w:val="007D3F3E"/>
    <w:rsid w:val="007D4003"/>
    <w:rsid w:val="007D4053"/>
    <w:rsid w:val="007D40A4"/>
    <w:rsid w:val="007D4137"/>
    <w:rsid w:val="007D41DA"/>
    <w:rsid w:val="007D41F2"/>
    <w:rsid w:val="007D4219"/>
    <w:rsid w:val="007D426B"/>
    <w:rsid w:val="007D437A"/>
    <w:rsid w:val="007D438B"/>
    <w:rsid w:val="007D4440"/>
    <w:rsid w:val="007D4447"/>
    <w:rsid w:val="007D455B"/>
    <w:rsid w:val="007D456F"/>
    <w:rsid w:val="007D46A2"/>
    <w:rsid w:val="007D46D1"/>
    <w:rsid w:val="007D4710"/>
    <w:rsid w:val="007D47FC"/>
    <w:rsid w:val="007D4811"/>
    <w:rsid w:val="007D482C"/>
    <w:rsid w:val="007D487C"/>
    <w:rsid w:val="007D4948"/>
    <w:rsid w:val="007D49A7"/>
    <w:rsid w:val="007D49DA"/>
    <w:rsid w:val="007D4A4B"/>
    <w:rsid w:val="007D4B1C"/>
    <w:rsid w:val="007D4B46"/>
    <w:rsid w:val="007D4B6C"/>
    <w:rsid w:val="007D4CCC"/>
    <w:rsid w:val="007D4D1D"/>
    <w:rsid w:val="007D4D46"/>
    <w:rsid w:val="007D4DF4"/>
    <w:rsid w:val="007D4EDA"/>
    <w:rsid w:val="007D5004"/>
    <w:rsid w:val="007D502F"/>
    <w:rsid w:val="007D50A1"/>
    <w:rsid w:val="007D50CD"/>
    <w:rsid w:val="007D50D8"/>
    <w:rsid w:val="007D50F3"/>
    <w:rsid w:val="007D5113"/>
    <w:rsid w:val="007D5180"/>
    <w:rsid w:val="007D51A1"/>
    <w:rsid w:val="007D51AB"/>
    <w:rsid w:val="007D51E5"/>
    <w:rsid w:val="007D5215"/>
    <w:rsid w:val="007D529A"/>
    <w:rsid w:val="007D52A6"/>
    <w:rsid w:val="007D52B0"/>
    <w:rsid w:val="007D52C0"/>
    <w:rsid w:val="007D5348"/>
    <w:rsid w:val="007D5364"/>
    <w:rsid w:val="007D546A"/>
    <w:rsid w:val="007D5513"/>
    <w:rsid w:val="007D551C"/>
    <w:rsid w:val="007D55A5"/>
    <w:rsid w:val="007D55C9"/>
    <w:rsid w:val="007D56FA"/>
    <w:rsid w:val="007D574F"/>
    <w:rsid w:val="007D5899"/>
    <w:rsid w:val="007D58D5"/>
    <w:rsid w:val="007D5952"/>
    <w:rsid w:val="007D5990"/>
    <w:rsid w:val="007D5A33"/>
    <w:rsid w:val="007D5A4C"/>
    <w:rsid w:val="007D5AA1"/>
    <w:rsid w:val="007D5AB5"/>
    <w:rsid w:val="007D5B2A"/>
    <w:rsid w:val="007D5C16"/>
    <w:rsid w:val="007D5C43"/>
    <w:rsid w:val="007D5C92"/>
    <w:rsid w:val="007D5D62"/>
    <w:rsid w:val="007D5D77"/>
    <w:rsid w:val="007D5DE5"/>
    <w:rsid w:val="007D5E15"/>
    <w:rsid w:val="007D5E8B"/>
    <w:rsid w:val="007D5E9C"/>
    <w:rsid w:val="007D5EE9"/>
    <w:rsid w:val="007D5EEC"/>
    <w:rsid w:val="007D5F57"/>
    <w:rsid w:val="007D608B"/>
    <w:rsid w:val="007D60EA"/>
    <w:rsid w:val="007D6121"/>
    <w:rsid w:val="007D617C"/>
    <w:rsid w:val="007D61D4"/>
    <w:rsid w:val="007D6210"/>
    <w:rsid w:val="007D62E4"/>
    <w:rsid w:val="007D62FF"/>
    <w:rsid w:val="007D63CE"/>
    <w:rsid w:val="007D63D1"/>
    <w:rsid w:val="007D6429"/>
    <w:rsid w:val="007D6448"/>
    <w:rsid w:val="007D649D"/>
    <w:rsid w:val="007D64DE"/>
    <w:rsid w:val="007D64E1"/>
    <w:rsid w:val="007D64E5"/>
    <w:rsid w:val="007D6542"/>
    <w:rsid w:val="007D65B6"/>
    <w:rsid w:val="007D65E9"/>
    <w:rsid w:val="007D66BB"/>
    <w:rsid w:val="007D6726"/>
    <w:rsid w:val="007D6731"/>
    <w:rsid w:val="007D67AE"/>
    <w:rsid w:val="007D67FE"/>
    <w:rsid w:val="007D6804"/>
    <w:rsid w:val="007D6896"/>
    <w:rsid w:val="007D68CE"/>
    <w:rsid w:val="007D68D9"/>
    <w:rsid w:val="007D68F2"/>
    <w:rsid w:val="007D68FB"/>
    <w:rsid w:val="007D6911"/>
    <w:rsid w:val="007D691A"/>
    <w:rsid w:val="007D6983"/>
    <w:rsid w:val="007D69DC"/>
    <w:rsid w:val="007D6A24"/>
    <w:rsid w:val="007D6A54"/>
    <w:rsid w:val="007D6AA6"/>
    <w:rsid w:val="007D6AFF"/>
    <w:rsid w:val="007D6B0C"/>
    <w:rsid w:val="007D6B58"/>
    <w:rsid w:val="007D6B70"/>
    <w:rsid w:val="007D6B8F"/>
    <w:rsid w:val="007D6BAB"/>
    <w:rsid w:val="007D6BEB"/>
    <w:rsid w:val="007D6BFB"/>
    <w:rsid w:val="007D6C4E"/>
    <w:rsid w:val="007D6C76"/>
    <w:rsid w:val="007D6C99"/>
    <w:rsid w:val="007D6CA5"/>
    <w:rsid w:val="007D6CB0"/>
    <w:rsid w:val="007D6CBD"/>
    <w:rsid w:val="007D6CE6"/>
    <w:rsid w:val="007D6CFF"/>
    <w:rsid w:val="007D6DCE"/>
    <w:rsid w:val="007D6E23"/>
    <w:rsid w:val="007D6EAA"/>
    <w:rsid w:val="007D6F45"/>
    <w:rsid w:val="007D6F80"/>
    <w:rsid w:val="007D6FA8"/>
    <w:rsid w:val="007D701B"/>
    <w:rsid w:val="007D7094"/>
    <w:rsid w:val="007D70B7"/>
    <w:rsid w:val="007D70B8"/>
    <w:rsid w:val="007D7233"/>
    <w:rsid w:val="007D72BD"/>
    <w:rsid w:val="007D739F"/>
    <w:rsid w:val="007D7407"/>
    <w:rsid w:val="007D7506"/>
    <w:rsid w:val="007D7521"/>
    <w:rsid w:val="007D7526"/>
    <w:rsid w:val="007D75AE"/>
    <w:rsid w:val="007D75ED"/>
    <w:rsid w:val="007D7659"/>
    <w:rsid w:val="007D7669"/>
    <w:rsid w:val="007D7743"/>
    <w:rsid w:val="007D7759"/>
    <w:rsid w:val="007D77C6"/>
    <w:rsid w:val="007D785A"/>
    <w:rsid w:val="007D7908"/>
    <w:rsid w:val="007D791B"/>
    <w:rsid w:val="007D79E1"/>
    <w:rsid w:val="007D7A98"/>
    <w:rsid w:val="007D7AA3"/>
    <w:rsid w:val="007D7ADE"/>
    <w:rsid w:val="007D7B5B"/>
    <w:rsid w:val="007D7B99"/>
    <w:rsid w:val="007D7B9E"/>
    <w:rsid w:val="007D7BA4"/>
    <w:rsid w:val="007D7BBA"/>
    <w:rsid w:val="007D7C68"/>
    <w:rsid w:val="007D7C6C"/>
    <w:rsid w:val="007D7CA7"/>
    <w:rsid w:val="007D7D16"/>
    <w:rsid w:val="007D7DCC"/>
    <w:rsid w:val="007D7EB9"/>
    <w:rsid w:val="007D7F6D"/>
    <w:rsid w:val="007E0008"/>
    <w:rsid w:val="007E001B"/>
    <w:rsid w:val="007E0037"/>
    <w:rsid w:val="007E0042"/>
    <w:rsid w:val="007E008C"/>
    <w:rsid w:val="007E00D6"/>
    <w:rsid w:val="007E0152"/>
    <w:rsid w:val="007E0171"/>
    <w:rsid w:val="007E01AF"/>
    <w:rsid w:val="007E020D"/>
    <w:rsid w:val="007E0216"/>
    <w:rsid w:val="007E021A"/>
    <w:rsid w:val="007E02B1"/>
    <w:rsid w:val="007E03DC"/>
    <w:rsid w:val="007E0448"/>
    <w:rsid w:val="007E04C5"/>
    <w:rsid w:val="007E056F"/>
    <w:rsid w:val="007E05A8"/>
    <w:rsid w:val="007E06E4"/>
    <w:rsid w:val="007E06FA"/>
    <w:rsid w:val="007E071A"/>
    <w:rsid w:val="007E073B"/>
    <w:rsid w:val="007E07F4"/>
    <w:rsid w:val="007E0824"/>
    <w:rsid w:val="007E0865"/>
    <w:rsid w:val="007E0969"/>
    <w:rsid w:val="007E09E5"/>
    <w:rsid w:val="007E0A2A"/>
    <w:rsid w:val="007E0A56"/>
    <w:rsid w:val="007E0A90"/>
    <w:rsid w:val="007E0ACC"/>
    <w:rsid w:val="007E0C6B"/>
    <w:rsid w:val="007E0CD3"/>
    <w:rsid w:val="007E0CD8"/>
    <w:rsid w:val="007E0D2D"/>
    <w:rsid w:val="007E0EB8"/>
    <w:rsid w:val="007E0F30"/>
    <w:rsid w:val="007E0F58"/>
    <w:rsid w:val="007E0FBF"/>
    <w:rsid w:val="007E106E"/>
    <w:rsid w:val="007E10C5"/>
    <w:rsid w:val="007E10D9"/>
    <w:rsid w:val="007E10ED"/>
    <w:rsid w:val="007E1143"/>
    <w:rsid w:val="007E11C7"/>
    <w:rsid w:val="007E11EF"/>
    <w:rsid w:val="007E1203"/>
    <w:rsid w:val="007E12F4"/>
    <w:rsid w:val="007E134A"/>
    <w:rsid w:val="007E1376"/>
    <w:rsid w:val="007E1386"/>
    <w:rsid w:val="007E13BB"/>
    <w:rsid w:val="007E13E9"/>
    <w:rsid w:val="007E145F"/>
    <w:rsid w:val="007E146F"/>
    <w:rsid w:val="007E1533"/>
    <w:rsid w:val="007E159E"/>
    <w:rsid w:val="007E15BF"/>
    <w:rsid w:val="007E1684"/>
    <w:rsid w:val="007E169C"/>
    <w:rsid w:val="007E170E"/>
    <w:rsid w:val="007E177C"/>
    <w:rsid w:val="007E1790"/>
    <w:rsid w:val="007E1830"/>
    <w:rsid w:val="007E185C"/>
    <w:rsid w:val="007E18A1"/>
    <w:rsid w:val="007E18A9"/>
    <w:rsid w:val="007E18DE"/>
    <w:rsid w:val="007E192A"/>
    <w:rsid w:val="007E1991"/>
    <w:rsid w:val="007E19B5"/>
    <w:rsid w:val="007E19DA"/>
    <w:rsid w:val="007E1A8E"/>
    <w:rsid w:val="007E1B9E"/>
    <w:rsid w:val="007E1BB2"/>
    <w:rsid w:val="007E1CD3"/>
    <w:rsid w:val="007E1D38"/>
    <w:rsid w:val="007E1DD2"/>
    <w:rsid w:val="007E1E16"/>
    <w:rsid w:val="007E1E1D"/>
    <w:rsid w:val="007E1E30"/>
    <w:rsid w:val="007E1E89"/>
    <w:rsid w:val="007E1EB1"/>
    <w:rsid w:val="007E1EB2"/>
    <w:rsid w:val="007E1F54"/>
    <w:rsid w:val="007E1F76"/>
    <w:rsid w:val="007E1FFC"/>
    <w:rsid w:val="007E2008"/>
    <w:rsid w:val="007E20CD"/>
    <w:rsid w:val="007E2163"/>
    <w:rsid w:val="007E2194"/>
    <w:rsid w:val="007E21A4"/>
    <w:rsid w:val="007E21F7"/>
    <w:rsid w:val="007E223C"/>
    <w:rsid w:val="007E226A"/>
    <w:rsid w:val="007E226C"/>
    <w:rsid w:val="007E227A"/>
    <w:rsid w:val="007E22DF"/>
    <w:rsid w:val="007E22E5"/>
    <w:rsid w:val="007E237A"/>
    <w:rsid w:val="007E2578"/>
    <w:rsid w:val="007E25BF"/>
    <w:rsid w:val="007E25CB"/>
    <w:rsid w:val="007E25D5"/>
    <w:rsid w:val="007E2651"/>
    <w:rsid w:val="007E2680"/>
    <w:rsid w:val="007E26CB"/>
    <w:rsid w:val="007E2774"/>
    <w:rsid w:val="007E27A9"/>
    <w:rsid w:val="007E27D0"/>
    <w:rsid w:val="007E28E7"/>
    <w:rsid w:val="007E2966"/>
    <w:rsid w:val="007E2A17"/>
    <w:rsid w:val="007E2A68"/>
    <w:rsid w:val="007E2AD2"/>
    <w:rsid w:val="007E2ADC"/>
    <w:rsid w:val="007E2B3F"/>
    <w:rsid w:val="007E2B4F"/>
    <w:rsid w:val="007E2BC7"/>
    <w:rsid w:val="007E2C20"/>
    <w:rsid w:val="007E2C33"/>
    <w:rsid w:val="007E2CA0"/>
    <w:rsid w:val="007E2CBE"/>
    <w:rsid w:val="007E2CD0"/>
    <w:rsid w:val="007E2D09"/>
    <w:rsid w:val="007E2D14"/>
    <w:rsid w:val="007E2D36"/>
    <w:rsid w:val="007E2D58"/>
    <w:rsid w:val="007E2D80"/>
    <w:rsid w:val="007E2E42"/>
    <w:rsid w:val="007E2E4E"/>
    <w:rsid w:val="007E2F39"/>
    <w:rsid w:val="007E2F41"/>
    <w:rsid w:val="007E2FA6"/>
    <w:rsid w:val="007E2FE1"/>
    <w:rsid w:val="007E3042"/>
    <w:rsid w:val="007E30AE"/>
    <w:rsid w:val="007E31A3"/>
    <w:rsid w:val="007E31B8"/>
    <w:rsid w:val="007E3254"/>
    <w:rsid w:val="007E32CE"/>
    <w:rsid w:val="007E32E6"/>
    <w:rsid w:val="007E334E"/>
    <w:rsid w:val="007E33A2"/>
    <w:rsid w:val="007E346D"/>
    <w:rsid w:val="007E34D7"/>
    <w:rsid w:val="007E3520"/>
    <w:rsid w:val="007E363C"/>
    <w:rsid w:val="007E368C"/>
    <w:rsid w:val="007E36A0"/>
    <w:rsid w:val="007E3705"/>
    <w:rsid w:val="007E37BD"/>
    <w:rsid w:val="007E37F2"/>
    <w:rsid w:val="007E3987"/>
    <w:rsid w:val="007E39CD"/>
    <w:rsid w:val="007E39DF"/>
    <w:rsid w:val="007E3AFA"/>
    <w:rsid w:val="007E3B4E"/>
    <w:rsid w:val="007E3B81"/>
    <w:rsid w:val="007E3C2C"/>
    <w:rsid w:val="007E3C9E"/>
    <w:rsid w:val="007E3CAA"/>
    <w:rsid w:val="007E3D07"/>
    <w:rsid w:val="007E3E09"/>
    <w:rsid w:val="007E3EBC"/>
    <w:rsid w:val="007E3EDE"/>
    <w:rsid w:val="007E3F34"/>
    <w:rsid w:val="007E3F59"/>
    <w:rsid w:val="007E3F7D"/>
    <w:rsid w:val="007E3FEB"/>
    <w:rsid w:val="007E4063"/>
    <w:rsid w:val="007E4065"/>
    <w:rsid w:val="007E41C9"/>
    <w:rsid w:val="007E41CE"/>
    <w:rsid w:val="007E4327"/>
    <w:rsid w:val="007E4386"/>
    <w:rsid w:val="007E439B"/>
    <w:rsid w:val="007E4402"/>
    <w:rsid w:val="007E4422"/>
    <w:rsid w:val="007E444D"/>
    <w:rsid w:val="007E444E"/>
    <w:rsid w:val="007E4450"/>
    <w:rsid w:val="007E452B"/>
    <w:rsid w:val="007E459F"/>
    <w:rsid w:val="007E45D4"/>
    <w:rsid w:val="007E4601"/>
    <w:rsid w:val="007E4686"/>
    <w:rsid w:val="007E46B2"/>
    <w:rsid w:val="007E46D6"/>
    <w:rsid w:val="007E46F5"/>
    <w:rsid w:val="007E471C"/>
    <w:rsid w:val="007E472E"/>
    <w:rsid w:val="007E4767"/>
    <w:rsid w:val="007E47D1"/>
    <w:rsid w:val="007E480A"/>
    <w:rsid w:val="007E4841"/>
    <w:rsid w:val="007E4843"/>
    <w:rsid w:val="007E48BF"/>
    <w:rsid w:val="007E48E8"/>
    <w:rsid w:val="007E4902"/>
    <w:rsid w:val="007E4935"/>
    <w:rsid w:val="007E493C"/>
    <w:rsid w:val="007E495C"/>
    <w:rsid w:val="007E4996"/>
    <w:rsid w:val="007E49A0"/>
    <w:rsid w:val="007E49A9"/>
    <w:rsid w:val="007E4A8B"/>
    <w:rsid w:val="007E4AE9"/>
    <w:rsid w:val="007E4B7F"/>
    <w:rsid w:val="007E4BCB"/>
    <w:rsid w:val="007E4C8A"/>
    <w:rsid w:val="007E4E0F"/>
    <w:rsid w:val="007E4E49"/>
    <w:rsid w:val="007E4EDE"/>
    <w:rsid w:val="007E4F16"/>
    <w:rsid w:val="007E4FD7"/>
    <w:rsid w:val="007E4FEB"/>
    <w:rsid w:val="007E4FF0"/>
    <w:rsid w:val="007E4FFD"/>
    <w:rsid w:val="007E507B"/>
    <w:rsid w:val="007E50F8"/>
    <w:rsid w:val="007E5143"/>
    <w:rsid w:val="007E52C4"/>
    <w:rsid w:val="007E5301"/>
    <w:rsid w:val="007E5311"/>
    <w:rsid w:val="007E5382"/>
    <w:rsid w:val="007E538A"/>
    <w:rsid w:val="007E544E"/>
    <w:rsid w:val="007E5468"/>
    <w:rsid w:val="007E54DE"/>
    <w:rsid w:val="007E5501"/>
    <w:rsid w:val="007E5575"/>
    <w:rsid w:val="007E560D"/>
    <w:rsid w:val="007E5642"/>
    <w:rsid w:val="007E5684"/>
    <w:rsid w:val="007E570F"/>
    <w:rsid w:val="007E5723"/>
    <w:rsid w:val="007E5724"/>
    <w:rsid w:val="007E57AF"/>
    <w:rsid w:val="007E5868"/>
    <w:rsid w:val="007E5899"/>
    <w:rsid w:val="007E58D8"/>
    <w:rsid w:val="007E58E4"/>
    <w:rsid w:val="007E58ED"/>
    <w:rsid w:val="007E59EA"/>
    <w:rsid w:val="007E5A05"/>
    <w:rsid w:val="007E5A61"/>
    <w:rsid w:val="007E5A8C"/>
    <w:rsid w:val="007E5B20"/>
    <w:rsid w:val="007E5D2F"/>
    <w:rsid w:val="007E5DD6"/>
    <w:rsid w:val="007E5E1E"/>
    <w:rsid w:val="007E5E74"/>
    <w:rsid w:val="007E5F3C"/>
    <w:rsid w:val="007E5F75"/>
    <w:rsid w:val="007E6009"/>
    <w:rsid w:val="007E60E5"/>
    <w:rsid w:val="007E6130"/>
    <w:rsid w:val="007E613A"/>
    <w:rsid w:val="007E61F1"/>
    <w:rsid w:val="007E61F5"/>
    <w:rsid w:val="007E6239"/>
    <w:rsid w:val="007E62E8"/>
    <w:rsid w:val="007E6419"/>
    <w:rsid w:val="007E641E"/>
    <w:rsid w:val="007E659B"/>
    <w:rsid w:val="007E65F6"/>
    <w:rsid w:val="007E669C"/>
    <w:rsid w:val="007E66B0"/>
    <w:rsid w:val="007E66CF"/>
    <w:rsid w:val="007E66FA"/>
    <w:rsid w:val="007E66FD"/>
    <w:rsid w:val="007E6757"/>
    <w:rsid w:val="007E675E"/>
    <w:rsid w:val="007E675F"/>
    <w:rsid w:val="007E67BE"/>
    <w:rsid w:val="007E67E7"/>
    <w:rsid w:val="007E6811"/>
    <w:rsid w:val="007E6840"/>
    <w:rsid w:val="007E688F"/>
    <w:rsid w:val="007E68B8"/>
    <w:rsid w:val="007E6942"/>
    <w:rsid w:val="007E6950"/>
    <w:rsid w:val="007E6975"/>
    <w:rsid w:val="007E697F"/>
    <w:rsid w:val="007E69AE"/>
    <w:rsid w:val="007E69DD"/>
    <w:rsid w:val="007E6A5B"/>
    <w:rsid w:val="007E6A70"/>
    <w:rsid w:val="007E6B56"/>
    <w:rsid w:val="007E6B9A"/>
    <w:rsid w:val="007E6C6B"/>
    <w:rsid w:val="007E6CD1"/>
    <w:rsid w:val="007E6D44"/>
    <w:rsid w:val="007E6D7A"/>
    <w:rsid w:val="007E6E1A"/>
    <w:rsid w:val="007E6E75"/>
    <w:rsid w:val="007E6E9F"/>
    <w:rsid w:val="007E6F0B"/>
    <w:rsid w:val="007E6F19"/>
    <w:rsid w:val="007E6FF9"/>
    <w:rsid w:val="007E7009"/>
    <w:rsid w:val="007E7051"/>
    <w:rsid w:val="007E7066"/>
    <w:rsid w:val="007E7071"/>
    <w:rsid w:val="007E7080"/>
    <w:rsid w:val="007E7085"/>
    <w:rsid w:val="007E708E"/>
    <w:rsid w:val="007E7091"/>
    <w:rsid w:val="007E70F7"/>
    <w:rsid w:val="007E713F"/>
    <w:rsid w:val="007E716F"/>
    <w:rsid w:val="007E7174"/>
    <w:rsid w:val="007E724B"/>
    <w:rsid w:val="007E72A8"/>
    <w:rsid w:val="007E735A"/>
    <w:rsid w:val="007E7368"/>
    <w:rsid w:val="007E7376"/>
    <w:rsid w:val="007E738F"/>
    <w:rsid w:val="007E73DA"/>
    <w:rsid w:val="007E7433"/>
    <w:rsid w:val="007E7598"/>
    <w:rsid w:val="007E75F9"/>
    <w:rsid w:val="007E7674"/>
    <w:rsid w:val="007E772C"/>
    <w:rsid w:val="007E77DA"/>
    <w:rsid w:val="007E77E9"/>
    <w:rsid w:val="007E7831"/>
    <w:rsid w:val="007E7919"/>
    <w:rsid w:val="007E7928"/>
    <w:rsid w:val="007E7968"/>
    <w:rsid w:val="007E79D6"/>
    <w:rsid w:val="007E79DD"/>
    <w:rsid w:val="007E7A08"/>
    <w:rsid w:val="007E7A19"/>
    <w:rsid w:val="007E7A34"/>
    <w:rsid w:val="007E7A66"/>
    <w:rsid w:val="007E7A7D"/>
    <w:rsid w:val="007E7AC0"/>
    <w:rsid w:val="007E7B08"/>
    <w:rsid w:val="007E7B14"/>
    <w:rsid w:val="007E7B4D"/>
    <w:rsid w:val="007E7B98"/>
    <w:rsid w:val="007E7C1B"/>
    <w:rsid w:val="007E7CBE"/>
    <w:rsid w:val="007E7CCA"/>
    <w:rsid w:val="007E7CF3"/>
    <w:rsid w:val="007E7D2B"/>
    <w:rsid w:val="007E7D54"/>
    <w:rsid w:val="007E7E3E"/>
    <w:rsid w:val="007E7E62"/>
    <w:rsid w:val="007E7EE6"/>
    <w:rsid w:val="007E7F20"/>
    <w:rsid w:val="007E7FD2"/>
    <w:rsid w:val="007F0099"/>
    <w:rsid w:val="007F00A7"/>
    <w:rsid w:val="007F01BB"/>
    <w:rsid w:val="007F01C1"/>
    <w:rsid w:val="007F01C6"/>
    <w:rsid w:val="007F02BE"/>
    <w:rsid w:val="007F032C"/>
    <w:rsid w:val="007F0354"/>
    <w:rsid w:val="007F0359"/>
    <w:rsid w:val="007F03A3"/>
    <w:rsid w:val="007F03B9"/>
    <w:rsid w:val="007F03D4"/>
    <w:rsid w:val="007F0459"/>
    <w:rsid w:val="007F047D"/>
    <w:rsid w:val="007F04E5"/>
    <w:rsid w:val="007F0564"/>
    <w:rsid w:val="007F05A6"/>
    <w:rsid w:val="007F0622"/>
    <w:rsid w:val="007F0635"/>
    <w:rsid w:val="007F0648"/>
    <w:rsid w:val="007F06AA"/>
    <w:rsid w:val="007F06F4"/>
    <w:rsid w:val="007F0720"/>
    <w:rsid w:val="007F07BD"/>
    <w:rsid w:val="007F08A5"/>
    <w:rsid w:val="007F098D"/>
    <w:rsid w:val="007F09AE"/>
    <w:rsid w:val="007F09BC"/>
    <w:rsid w:val="007F0AA2"/>
    <w:rsid w:val="007F0AE7"/>
    <w:rsid w:val="007F0B4D"/>
    <w:rsid w:val="007F0BE8"/>
    <w:rsid w:val="007F0C22"/>
    <w:rsid w:val="007F0C34"/>
    <w:rsid w:val="007F0C6F"/>
    <w:rsid w:val="007F0C86"/>
    <w:rsid w:val="007F0C9F"/>
    <w:rsid w:val="007F0CA0"/>
    <w:rsid w:val="007F0CD0"/>
    <w:rsid w:val="007F0D48"/>
    <w:rsid w:val="007F0D93"/>
    <w:rsid w:val="007F0DE2"/>
    <w:rsid w:val="007F0E3D"/>
    <w:rsid w:val="007F0E56"/>
    <w:rsid w:val="007F0E62"/>
    <w:rsid w:val="007F0F56"/>
    <w:rsid w:val="007F0FFE"/>
    <w:rsid w:val="007F1071"/>
    <w:rsid w:val="007F1073"/>
    <w:rsid w:val="007F107F"/>
    <w:rsid w:val="007F10AA"/>
    <w:rsid w:val="007F10B4"/>
    <w:rsid w:val="007F10E4"/>
    <w:rsid w:val="007F1153"/>
    <w:rsid w:val="007F115D"/>
    <w:rsid w:val="007F1183"/>
    <w:rsid w:val="007F11FF"/>
    <w:rsid w:val="007F12B1"/>
    <w:rsid w:val="007F12BE"/>
    <w:rsid w:val="007F130A"/>
    <w:rsid w:val="007F1337"/>
    <w:rsid w:val="007F13C9"/>
    <w:rsid w:val="007F13E4"/>
    <w:rsid w:val="007F14B3"/>
    <w:rsid w:val="007F14C1"/>
    <w:rsid w:val="007F155E"/>
    <w:rsid w:val="007F1577"/>
    <w:rsid w:val="007F1584"/>
    <w:rsid w:val="007F158D"/>
    <w:rsid w:val="007F15D3"/>
    <w:rsid w:val="007F15DD"/>
    <w:rsid w:val="007F161A"/>
    <w:rsid w:val="007F168A"/>
    <w:rsid w:val="007F1744"/>
    <w:rsid w:val="007F1790"/>
    <w:rsid w:val="007F17EC"/>
    <w:rsid w:val="007F182F"/>
    <w:rsid w:val="007F183C"/>
    <w:rsid w:val="007F183F"/>
    <w:rsid w:val="007F186C"/>
    <w:rsid w:val="007F1951"/>
    <w:rsid w:val="007F199D"/>
    <w:rsid w:val="007F1A98"/>
    <w:rsid w:val="007F1B10"/>
    <w:rsid w:val="007F1B4D"/>
    <w:rsid w:val="007F1B79"/>
    <w:rsid w:val="007F1B87"/>
    <w:rsid w:val="007F1C26"/>
    <w:rsid w:val="007F1CC0"/>
    <w:rsid w:val="007F1DB4"/>
    <w:rsid w:val="007F1EA4"/>
    <w:rsid w:val="007F1F0D"/>
    <w:rsid w:val="007F1F91"/>
    <w:rsid w:val="007F1FAE"/>
    <w:rsid w:val="007F212A"/>
    <w:rsid w:val="007F21A8"/>
    <w:rsid w:val="007F21DD"/>
    <w:rsid w:val="007F2214"/>
    <w:rsid w:val="007F226F"/>
    <w:rsid w:val="007F22C0"/>
    <w:rsid w:val="007F22E4"/>
    <w:rsid w:val="007F23A9"/>
    <w:rsid w:val="007F23BA"/>
    <w:rsid w:val="007F246D"/>
    <w:rsid w:val="007F2497"/>
    <w:rsid w:val="007F24BC"/>
    <w:rsid w:val="007F24CD"/>
    <w:rsid w:val="007F24D7"/>
    <w:rsid w:val="007F24ED"/>
    <w:rsid w:val="007F2594"/>
    <w:rsid w:val="007F25A1"/>
    <w:rsid w:val="007F261D"/>
    <w:rsid w:val="007F2648"/>
    <w:rsid w:val="007F2699"/>
    <w:rsid w:val="007F270D"/>
    <w:rsid w:val="007F2733"/>
    <w:rsid w:val="007F275B"/>
    <w:rsid w:val="007F286F"/>
    <w:rsid w:val="007F2899"/>
    <w:rsid w:val="007F28E6"/>
    <w:rsid w:val="007F28F5"/>
    <w:rsid w:val="007F2939"/>
    <w:rsid w:val="007F295A"/>
    <w:rsid w:val="007F29B2"/>
    <w:rsid w:val="007F2A26"/>
    <w:rsid w:val="007F2A93"/>
    <w:rsid w:val="007F2A95"/>
    <w:rsid w:val="007F2AC9"/>
    <w:rsid w:val="007F2AD6"/>
    <w:rsid w:val="007F2AD8"/>
    <w:rsid w:val="007F2DF8"/>
    <w:rsid w:val="007F2E1F"/>
    <w:rsid w:val="007F2E9C"/>
    <w:rsid w:val="007F2EAD"/>
    <w:rsid w:val="007F2F33"/>
    <w:rsid w:val="007F2F5D"/>
    <w:rsid w:val="007F2F9E"/>
    <w:rsid w:val="007F2FC6"/>
    <w:rsid w:val="007F30A4"/>
    <w:rsid w:val="007F30B6"/>
    <w:rsid w:val="007F30F6"/>
    <w:rsid w:val="007F3128"/>
    <w:rsid w:val="007F3140"/>
    <w:rsid w:val="007F315D"/>
    <w:rsid w:val="007F3182"/>
    <w:rsid w:val="007F3197"/>
    <w:rsid w:val="007F31E0"/>
    <w:rsid w:val="007F3220"/>
    <w:rsid w:val="007F3233"/>
    <w:rsid w:val="007F3284"/>
    <w:rsid w:val="007F32FF"/>
    <w:rsid w:val="007F34E9"/>
    <w:rsid w:val="007F354C"/>
    <w:rsid w:val="007F35A7"/>
    <w:rsid w:val="007F35E5"/>
    <w:rsid w:val="007F36A8"/>
    <w:rsid w:val="007F36D8"/>
    <w:rsid w:val="007F36E8"/>
    <w:rsid w:val="007F372D"/>
    <w:rsid w:val="007F3857"/>
    <w:rsid w:val="007F38A1"/>
    <w:rsid w:val="007F3939"/>
    <w:rsid w:val="007F393C"/>
    <w:rsid w:val="007F3A06"/>
    <w:rsid w:val="007F3A41"/>
    <w:rsid w:val="007F3B7F"/>
    <w:rsid w:val="007F3B93"/>
    <w:rsid w:val="007F3BE7"/>
    <w:rsid w:val="007F3C20"/>
    <w:rsid w:val="007F3C25"/>
    <w:rsid w:val="007F3C74"/>
    <w:rsid w:val="007F3CBE"/>
    <w:rsid w:val="007F3CCE"/>
    <w:rsid w:val="007F3D44"/>
    <w:rsid w:val="007F3D6E"/>
    <w:rsid w:val="007F3DD5"/>
    <w:rsid w:val="007F3E70"/>
    <w:rsid w:val="007F3EF6"/>
    <w:rsid w:val="007F3F4A"/>
    <w:rsid w:val="007F3FB4"/>
    <w:rsid w:val="007F405A"/>
    <w:rsid w:val="007F408A"/>
    <w:rsid w:val="007F414F"/>
    <w:rsid w:val="007F4190"/>
    <w:rsid w:val="007F4193"/>
    <w:rsid w:val="007F4196"/>
    <w:rsid w:val="007F419D"/>
    <w:rsid w:val="007F41A9"/>
    <w:rsid w:val="007F4244"/>
    <w:rsid w:val="007F424A"/>
    <w:rsid w:val="007F42FC"/>
    <w:rsid w:val="007F4327"/>
    <w:rsid w:val="007F433D"/>
    <w:rsid w:val="007F4344"/>
    <w:rsid w:val="007F4459"/>
    <w:rsid w:val="007F44DC"/>
    <w:rsid w:val="007F45A3"/>
    <w:rsid w:val="007F45B2"/>
    <w:rsid w:val="007F45FF"/>
    <w:rsid w:val="007F4610"/>
    <w:rsid w:val="007F4618"/>
    <w:rsid w:val="007F4629"/>
    <w:rsid w:val="007F4676"/>
    <w:rsid w:val="007F4680"/>
    <w:rsid w:val="007F46C7"/>
    <w:rsid w:val="007F46D7"/>
    <w:rsid w:val="007F46E8"/>
    <w:rsid w:val="007F4774"/>
    <w:rsid w:val="007F47D5"/>
    <w:rsid w:val="007F47DC"/>
    <w:rsid w:val="007F4852"/>
    <w:rsid w:val="007F4865"/>
    <w:rsid w:val="007F489A"/>
    <w:rsid w:val="007F489D"/>
    <w:rsid w:val="007F4956"/>
    <w:rsid w:val="007F496E"/>
    <w:rsid w:val="007F4970"/>
    <w:rsid w:val="007F49D8"/>
    <w:rsid w:val="007F49F5"/>
    <w:rsid w:val="007F49F7"/>
    <w:rsid w:val="007F4A18"/>
    <w:rsid w:val="007F4A88"/>
    <w:rsid w:val="007F4AA5"/>
    <w:rsid w:val="007F4AC3"/>
    <w:rsid w:val="007F4AE8"/>
    <w:rsid w:val="007F4B2B"/>
    <w:rsid w:val="007F4B41"/>
    <w:rsid w:val="007F4BBD"/>
    <w:rsid w:val="007F4C3B"/>
    <w:rsid w:val="007F4D4C"/>
    <w:rsid w:val="007F4D89"/>
    <w:rsid w:val="007F4D8D"/>
    <w:rsid w:val="007F4DAF"/>
    <w:rsid w:val="007F4DE5"/>
    <w:rsid w:val="007F4E45"/>
    <w:rsid w:val="007F4E52"/>
    <w:rsid w:val="007F4F03"/>
    <w:rsid w:val="007F4FA0"/>
    <w:rsid w:val="007F4FC2"/>
    <w:rsid w:val="007F4FD3"/>
    <w:rsid w:val="007F4FDA"/>
    <w:rsid w:val="007F506B"/>
    <w:rsid w:val="007F511F"/>
    <w:rsid w:val="007F5237"/>
    <w:rsid w:val="007F5240"/>
    <w:rsid w:val="007F52EE"/>
    <w:rsid w:val="007F52FA"/>
    <w:rsid w:val="007F53CE"/>
    <w:rsid w:val="007F541D"/>
    <w:rsid w:val="007F549F"/>
    <w:rsid w:val="007F54CD"/>
    <w:rsid w:val="007F5529"/>
    <w:rsid w:val="007F553C"/>
    <w:rsid w:val="007F56CD"/>
    <w:rsid w:val="007F56E4"/>
    <w:rsid w:val="007F56E7"/>
    <w:rsid w:val="007F5711"/>
    <w:rsid w:val="007F5714"/>
    <w:rsid w:val="007F578D"/>
    <w:rsid w:val="007F57DE"/>
    <w:rsid w:val="007F5874"/>
    <w:rsid w:val="007F58BC"/>
    <w:rsid w:val="007F58F1"/>
    <w:rsid w:val="007F5962"/>
    <w:rsid w:val="007F5A37"/>
    <w:rsid w:val="007F5A3C"/>
    <w:rsid w:val="007F5A6A"/>
    <w:rsid w:val="007F5A8F"/>
    <w:rsid w:val="007F5A90"/>
    <w:rsid w:val="007F5AB4"/>
    <w:rsid w:val="007F5AB9"/>
    <w:rsid w:val="007F5AE8"/>
    <w:rsid w:val="007F5AFB"/>
    <w:rsid w:val="007F5B66"/>
    <w:rsid w:val="007F5CA0"/>
    <w:rsid w:val="007F5CA5"/>
    <w:rsid w:val="007F5CAA"/>
    <w:rsid w:val="007F5CF5"/>
    <w:rsid w:val="007F5D5C"/>
    <w:rsid w:val="007F5DA4"/>
    <w:rsid w:val="007F5DF3"/>
    <w:rsid w:val="007F5E0E"/>
    <w:rsid w:val="007F5EB3"/>
    <w:rsid w:val="007F5F0F"/>
    <w:rsid w:val="007F5F44"/>
    <w:rsid w:val="007F6032"/>
    <w:rsid w:val="007F6034"/>
    <w:rsid w:val="007F6064"/>
    <w:rsid w:val="007F60FF"/>
    <w:rsid w:val="007F6108"/>
    <w:rsid w:val="007F6124"/>
    <w:rsid w:val="007F613E"/>
    <w:rsid w:val="007F6140"/>
    <w:rsid w:val="007F6177"/>
    <w:rsid w:val="007F6293"/>
    <w:rsid w:val="007F62AF"/>
    <w:rsid w:val="007F62DB"/>
    <w:rsid w:val="007F62DE"/>
    <w:rsid w:val="007F630D"/>
    <w:rsid w:val="007F634D"/>
    <w:rsid w:val="007F6386"/>
    <w:rsid w:val="007F63C5"/>
    <w:rsid w:val="007F6489"/>
    <w:rsid w:val="007F6576"/>
    <w:rsid w:val="007F659E"/>
    <w:rsid w:val="007F6615"/>
    <w:rsid w:val="007F662B"/>
    <w:rsid w:val="007F66DD"/>
    <w:rsid w:val="007F6737"/>
    <w:rsid w:val="007F67D2"/>
    <w:rsid w:val="007F68FA"/>
    <w:rsid w:val="007F6928"/>
    <w:rsid w:val="007F6AA1"/>
    <w:rsid w:val="007F6AAE"/>
    <w:rsid w:val="007F6ABE"/>
    <w:rsid w:val="007F6B11"/>
    <w:rsid w:val="007F6B4F"/>
    <w:rsid w:val="007F6B5D"/>
    <w:rsid w:val="007F6C3C"/>
    <w:rsid w:val="007F6C50"/>
    <w:rsid w:val="007F6C52"/>
    <w:rsid w:val="007F6CC3"/>
    <w:rsid w:val="007F6D09"/>
    <w:rsid w:val="007F6DD1"/>
    <w:rsid w:val="007F6E33"/>
    <w:rsid w:val="007F6E67"/>
    <w:rsid w:val="007F6E75"/>
    <w:rsid w:val="007F6E92"/>
    <w:rsid w:val="007F6ED3"/>
    <w:rsid w:val="007F6EEF"/>
    <w:rsid w:val="007F6EF5"/>
    <w:rsid w:val="007F7001"/>
    <w:rsid w:val="007F70FD"/>
    <w:rsid w:val="007F715E"/>
    <w:rsid w:val="007F7179"/>
    <w:rsid w:val="007F71EB"/>
    <w:rsid w:val="007F7301"/>
    <w:rsid w:val="007F7316"/>
    <w:rsid w:val="007F739E"/>
    <w:rsid w:val="007F73C3"/>
    <w:rsid w:val="007F73C5"/>
    <w:rsid w:val="007F73E6"/>
    <w:rsid w:val="007F74A1"/>
    <w:rsid w:val="007F7560"/>
    <w:rsid w:val="007F75E8"/>
    <w:rsid w:val="007F764A"/>
    <w:rsid w:val="007F764D"/>
    <w:rsid w:val="007F76BA"/>
    <w:rsid w:val="007F76DB"/>
    <w:rsid w:val="007F7802"/>
    <w:rsid w:val="007F7861"/>
    <w:rsid w:val="007F7882"/>
    <w:rsid w:val="007F78D9"/>
    <w:rsid w:val="007F7934"/>
    <w:rsid w:val="007F7972"/>
    <w:rsid w:val="007F7996"/>
    <w:rsid w:val="007F7A07"/>
    <w:rsid w:val="007F7A1E"/>
    <w:rsid w:val="007F7A2E"/>
    <w:rsid w:val="007F7A31"/>
    <w:rsid w:val="007F7A5E"/>
    <w:rsid w:val="007F7A7D"/>
    <w:rsid w:val="007F7A80"/>
    <w:rsid w:val="007F7AAF"/>
    <w:rsid w:val="007F7B30"/>
    <w:rsid w:val="007F7BB7"/>
    <w:rsid w:val="007F7C24"/>
    <w:rsid w:val="007F7C2F"/>
    <w:rsid w:val="007F7CBA"/>
    <w:rsid w:val="007F7D3D"/>
    <w:rsid w:val="007F7D79"/>
    <w:rsid w:val="007F7DDC"/>
    <w:rsid w:val="007F7E1C"/>
    <w:rsid w:val="007F7E6E"/>
    <w:rsid w:val="007F7F4D"/>
    <w:rsid w:val="00800013"/>
    <w:rsid w:val="0080002A"/>
    <w:rsid w:val="00800128"/>
    <w:rsid w:val="008001A5"/>
    <w:rsid w:val="0080021F"/>
    <w:rsid w:val="00800259"/>
    <w:rsid w:val="0080027B"/>
    <w:rsid w:val="008002FF"/>
    <w:rsid w:val="00800360"/>
    <w:rsid w:val="00800368"/>
    <w:rsid w:val="00800372"/>
    <w:rsid w:val="00800379"/>
    <w:rsid w:val="008003D6"/>
    <w:rsid w:val="00800440"/>
    <w:rsid w:val="008004FC"/>
    <w:rsid w:val="00800512"/>
    <w:rsid w:val="0080052A"/>
    <w:rsid w:val="0080054D"/>
    <w:rsid w:val="0080066C"/>
    <w:rsid w:val="008006C5"/>
    <w:rsid w:val="0080075E"/>
    <w:rsid w:val="008007F0"/>
    <w:rsid w:val="00800838"/>
    <w:rsid w:val="008008CD"/>
    <w:rsid w:val="008008E2"/>
    <w:rsid w:val="0080093C"/>
    <w:rsid w:val="00800A86"/>
    <w:rsid w:val="00800AAC"/>
    <w:rsid w:val="00800AE8"/>
    <w:rsid w:val="00800B1E"/>
    <w:rsid w:val="00800BD1"/>
    <w:rsid w:val="00800C53"/>
    <w:rsid w:val="00800C80"/>
    <w:rsid w:val="00800DE7"/>
    <w:rsid w:val="00800DF3"/>
    <w:rsid w:val="00800E15"/>
    <w:rsid w:val="00800ECB"/>
    <w:rsid w:val="00800EE9"/>
    <w:rsid w:val="0080105B"/>
    <w:rsid w:val="00801085"/>
    <w:rsid w:val="00801093"/>
    <w:rsid w:val="008010A0"/>
    <w:rsid w:val="008010D5"/>
    <w:rsid w:val="00801160"/>
    <w:rsid w:val="008011CC"/>
    <w:rsid w:val="00801211"/>
    <w:rsid w:val="0080124B"/>
    <w:rsid w:val="008012CD"/>
    <w:rsid w:val="00801347"/>
    <w:rsid w:val="008013C7"/>
    <w:rsid w:val="0080141D"/>
    <w:rsid w:val="00801467"/>
    <w:rsid w:val="008014E6"/>
    <w:rsid w:val="00801651"/>
    <w:rsid w:val="008016F6"/>
    <w:rsid w:val="00801762"/>
    <w:rsid w:val="0080176B"/>
    <w:rsid w:val="00801803"/>
    <w:rsid w:val="00801888"/>
    <w:rsid w:val="0080188B"/>
    <w:rsid w:val="008018EF"/>
    <w:rsid w:val="0080190C"/>
    <w:rsid w:val="008019DF"/>
    <w:rsid w:val="008019E5"/>
    <w:rsid w:val="00801A0D"/>
    <w:rsid w:val="00801A9A"/>
    <w:rsid w:val="00801AA4"/>
    <w:rsid w:val="00801ABF"/>
    <w:rsid w:val="00801AC4"/>
    <w:rsid w:val="00801B31"/>
    <w:rsid w:val="00801B80"/>
    <w:rsid w:val="00801BA2"/>
    <w:rsid w:val="00801BA6"/>
    <w:rsid w:val="00801CCD"/>
    <w:rsid w:val="00801D0E"/>
    <w:rsid w:val="00801DC5"/>
    <w:rsid w:val="00801DCB"/>
    <w:rsid w:val="00801DD7"/>
    <w:rsid w:val="00801E31"/>
    <w:rsid w:val="00801F1F"/>
    <w:rsid w:val="00801F5B"/>
    <w:rsid w:val="00801F83"/>
    <w:rsid w:val="00801F8A"/>
    <w:rsid w:val="00802012"/>
    <w:rsid w:val="00802015"/>
    <w:rsid w:val="00802065"/>
    <w:rsid w:val="00802084"/>
    <w:rsid w:val="008020E4"/>
    <w:rsid w:val="00802144"/>
    <w:rsid w:val="00802157"/>
    <w:rsid w:val="0080216C"/>
    <w:rsid w:val="00802274"/>
    <w:rsid w:val="00802284"/>
    <w:rsid w:val="00802391"/>
    <w:rsid w:val="008023BC"/>
    <w:rsid w:val="008023F8"/>
    <w:rsid w:val="00802414"/>
    <w:rsid w:val="0080243D"/>
    <w:rsid w:val="008024B2"/>
    <w:rsid w:val="008024C0"/>
    <w:rsid w:val="008024F7"/>
    <w:rsid w:val="00802523"/>
    <w:rsid w:val="00802549"/>
    <w:rsid w:val="008025C9"/>
    <w:rsid w:val="008025E6"/>
    <w:rsid w:val="008025EB"/>
    <w:rsid w:val="008025FC"/>
    <w:rsid w:val="00802649"/>
    <w:rsid w:val="008026A7"/>
    <w:rsid w:val="008026C4"/>
    <w:rsid w:val="008026F8"/>
    <w:rsid w:val="00802724"/>
    <w:rsid w:val="0080278A"/>
    <w:rsid w:val="008027BF"/>
    <w:rsid w:val="00802817"/>
    <w:rsid w:val="00802859"/>
    <w:rsid w:val="008028CC"/>
    <w:rsid w:val="008028D3"/>
    <w:rsid w:val="00802925"/>
    <w:rsid w:val="0080292A"/>
    <w:rsid w:val="0080296E"/>
    <w:rsid w:val="008029F1"/>
    <w:rsid w:val="00802AA5"/>
    <w:rsid w:val="00802AB6"/>
    <w:rsid w:val="00802B37"/>
    <w:rsid w:val="00802BA7"/>
    <w:rsid w:val="00802BD9"/>
    <w:rsid w:val="00802DDA"/>
    <w:rsid w:val="00802EAC"/>
    <w:rsid w:val="00802F26"/>
    <w:rsid w:val="00803038"/>
    <w:rsid w:val="0080305A"/>
    <w:rsid w:val="00803060"/>
    <w:rsid w:val="00803069"/>
    <w:rsid w:val="00803071"/>
    <w:rsid w:val="008030D4"/>
    <w:rsid w:val="00803119"/>
    <w:rsid w:val="008031ED"/>
    <w:rsid w:val="008032E5"/>
    <w:rsid w:val="00803361"/>
    <w:rsid w:val="0080350A"/>
    <w:rsid w:val="0080352B"/>
    <w:rsid w:val="00803571"/>
    <w:rsid w:val="008035A4"/>
    <w:rsid w:val="008035CA"/>
    <w:rsid w:val="008035FB"/>
    <w:rsid w:val="0080360E"/>
    <w:rsid w:val="00803612"/>
    <w:rsid w:val="0080366F"/>
    <w:rsid w:val="008036AF"/>
    <w:rsid w:val="008036CA"/>
    <w:rsid w:val="008036D3"/>
    <w:rsid w:val="008036D4"/>
    <w:rsid w:val="008036DB"/>
    <w:rsid w:val="00803711"/>
    <w:rsid w:val="00803785"/>
    <w:rsid w:val="008037D6"/>
    <w:rsid w:val="0080382C"/>
    <w:rsid w:val="0080386F"/>
    <w:rsid w:val="00803888"/>
    <w:rsid w:val="00803897"/>
    <w:rsid w:val="008038B3"/>
    <w:rsid w:val="008038B8"/>
    <w:rsid w:val="00803916"/>
    <w:rsid w:val="00803932"/>
    <w:rsid w:val="008039C5"/>
    <w:rsid w:val="00803A17"/>
    <w:rsid w:val="00803AA8"/>
    <w:rsid w:val="00803AD8"/>
    <w:rsid w:val="00803AF5"/>
    <w:rsid w:val="00803B3E"/>
    <w:rsid w:val="00803BDD"/>
    <w:rsid w:val="00803C3E"/>
    <w:rsid w:val="00803C46"/>
    <w:rsid w:val="00803C86"/>
    <w:rsid w:val="00803CB1"/>
    <w:rsid w:val="00803D48"/>
    <w:rsid w:val="00803D6D"/>
    <w:rsid w:val="00803D92"/>
    <w:rsid w:val="00803E3A"/>
    <w:rsid w:val="00803E48"/>
    <w:rsid w:val="00803E4D"/>
    <w:rsid w:val="00803EBD"/>
    <w:rsid w:val="00803ECC"/>
    <w:rsid w:val="00803F9C"/>
    <w:rsid w:val="00803FC7"/>
    <w:rsid w:val="00803FF8"/>
    <w:rsid w:val="00804001"/>
    <w:rsid w:val="0080400B"/>
    <w:rsid w:val="00804019"/>
    <w:rsid w:val="00804106"/>
    <w:rsid w:val="008041D2"/>
    <w:rsid w:val="008041DD"/>
    <w:rsid w:val="008042F3"/>
    <w:rsid w:val="0080431D"/>
    <w:rsid w:val="008043F5"/>
    <w:rsid w:val="008043FA"/>
    <w:rsid w:val="008044AA"/>
    <w:rsid w:val="008044B3"/>
    <w:rsid w:val="008044EF"/>
    <w:rsid w:val="008045D6"/>
    <w:rsid w:val="008045EE"/>
    <w:rsid w:val="00804644"/>
    <w:rsid w:val="0080467A"/>
    <w:rsid w:val="008046BA"/>
    <w:rsid w:val="008046C2"/>
    <w:rsid w:val="0080471F"/>
    <w:rsid w:val="0080474D"/>
    <w:rsid w:val="008047A7"/>
    <w:rsid w:val="008047DD"/>
    <w:rsid w:val="008047F8"/>
    <w:rsid w:val="008047FF"/>
    <w:rsid w:val="00804854"/>
    <w:rsid w:val="00804888"/>
    <w:rsid w:val="00804904"/>
    <w:rsid w:val="008049C3"/>
    <w:rsid w:val="008049DB"/>
    <w:rsid w:val="00804A1D"/>
    <w:rsid w:val="00804B0E"/>
    <w:rsid w:val="00804B92"/>
    <w:rsid w:val="00804C19"/>
    <w:rsid w:val="00804C26"/>
    <w:rsid w:val="00804C82"/>
    <w:rsid w:val="00804C94"/>
    <w:rsid w:val="00804CD2"/>
    <w:rsid w:val="00804DEA"/>
    <w:rsid w:val="00804E13"/>
    <w:rsid w:val="00804F47"/>
    <w:rsid w:val="00804F55"/>
    <w:rsid w:val="00804FF1"/>
    <w:rsid w:val="0080517F"/>
    <w:rsid w:val="008051FE"/>
    <w:rsid w:val="008052DC"/>
    <w:rsid w:val="0080539F"/>
    <w:rsid w:val="00805411"/>
    <w:rsid w:val="008054CD"/>
    <w:rsid w:val="0080553F"/>
    <w:rsid w:val="00805625"/>
    <w:rsid w:val="0080564C"/>
    <w:rsid w:val="00805664"/>
    <w:rsid w:val="00805693"/>
    <w:rsid w:val="008056E8"/>
    <w:rsid w:val="0080579D"/>
    <w:rsid w:val="008057C5"/>
    <w:rsid w:val="008057CB"/>
    <w:rsid w:val="00805843"/>
    <w:rsid w:val="0080584B"/>
    <w:rsid w:val="00805883"/>
    <w:rsid w:val="008058D1"/>
    <w:rsid w:val="00805910"/>
    <w:rsid w:val="00805939"/>
    <w:rsid w:val="00805974"/>
    <w:rsid w:val="00805988"/>
    <w:rsid w:val="00805A0E"/>
    <w:rsid w:val="00805A26"/>
    <w:rsid w:val="00805A5C"/>
    <w:rsid w:val="00805A63"/>
    <w:rsid w:val="00805A79"/>
    <w:rsid w:val="00805AAA"/>
    <w:rsid w:val="00805AC7"/>
    <w:rsid w:val="00805B6E"/>
    <w:rsid w:val="00805B90"/>
    <w:rsid w:val="00805BDC"/>
    <w:rsid w:val="00805C1D"/>
    <w:rsid w:val="00805C47"/>
    <w:rsid w:val="00805D8E"/>
    <w:rsid w:val="00805E48"/>
    <w:rsid w:val="00805E4A"/>
    <w:rsid w:val="00805EAF"/>
    <w:rsid w:val="00805F1C"/>
    <w:rsid w:val="00805F48"/>
    <w:rsid w:val="00806093"/>
    <w:rsid w:val="0080609E"/>
    <w:rsid w:val="0080618F"/>
    <w:rsid w:val="00806195"/>
    <w:rsid w:val="00806204"/>
    <w:rsid w:val="00806215"/>
    <w:rsid w:val="008062B6"/>
    <w:rsid w:val="0080649D"/>
    <w:rsid w:val="008064B4"/>
    <w:rsid w:val="0080650E"/>
    <w:rsid w:val="0080651E"/>
    <w:rsid w:val="0080655D"/>
    <w:rsid w:val="00806681"/>
    <w:rsid w:val="00806687"/>
    <w:rsid w:val="008066B0"/>
    <w:rsid w:val="008066CC"/>
    <w:rsid w:val="00806726"/>
    <w:rsid w:val="00806738"/>
    <w:rsid w:val="0080679B"/>
    <w:rsid w:val="00806812"/>
    <w:rsid w:val="0080688D"/>
    <w:rsid w:val="008068D1"/>
    <w:rsid w:val="0080692E"/>
    <w:rsid w:val="00806984"/>
    <w:rsid w:val="008069D0"/>
    <w:rsid w:val="00806A05"/>
    <w:rsid w:val="00806ABB"/>
    <w:rsid w:val="00806AFE"/>
    <w:rsid w:val="00806B1C"/>
    <w:rsid w:val="00806B89"/>
    <w:rsid w:val="00806C50"/>
    <w:rsid w:val="00806C76"/>
    <w:rsid w:val="00806CD6"/>
    <w:rsid w:val="00806CE5"/>
    <w:rsid w:val="00806D05"/>
    <w:rsid w:val="00806D9C"/>
    <w:rsid w:val="00806DAC"/>
    <w:rsid w:val="00806E6B"/>
    <w:rsid w:val="00806F05"/>
    <w:rsid w:val="00806F48"/>
    <w:rsid w:val="00806FBD"/>
    <w:rsid w:val="00806FD4"/>
    <w:rsid w:val="00806FD9"/>
    <w:rsid w:val="00806FDA"/>
    <w:rsid w:val="008070BF"/>
    <w:rsid w:val="008070D0"/>
    <w:rsid w:val="0080720F"/>
    <w:rsid w:val="00807228"/>
    <w:rsid w:val="0080725E"/>
    <w:rsid w:val="008072AB"/>
    <w:rsid w:val="008072F0"/>
    <w:rsid w:val="0080733A"/>
    <w:rsid w:val="008073F7"/>
    <w:rsid w:val="008073FD"/>
    <w:rsid w:val="0080746F"/>
    <w:rsid w:val="008074AC"/>
    <w:rsid w:val="00807503"/>
    <w:rsid w:val="008075FB"/>
    <w:rsid w:val="00807621"/>
    <w:rsid w:val="0080762D"/>
    <w:rsid w:val="0080765B"/>
    <w:rsid w:val="00807679"/>
    <w:rsid w:val="008076CB"/>
    <w:rsid w:val="00807896"/>
    <w:rsid w:val="008078A6"/>
    <w:rsid w:val="008078AE"/>
    <w:rsid w:val="008078C1"/>
    <w:rsid w:val="008078D7"/>
    <w:rsid w:val="008078FC"/>
    <w:rsid w:val="00807902"/>
    <w:rsid w:val="00807942"/>
    <w:rsid w:val="00807970"/>
    <w:rsid w:val="0080797C"/>
    <w:rsid w:val="008079B1"/>
    <w:rsid w:val="008079C4"/>
    <w:rsid w:val="00807A01"/>
    <w:rsid w:val="00807B83"/>
    <w:rsid w:val="00807C1B"/>
    <w:rsid w:val="00807C56"/>
    <w:rsid w:val="00807C99"/>
    <w:rsid w:val="00807C9A"/>
    <w:rsid w:val="00807CBC"/>
    <w:rsid w:val="00807D3E"/>
    <w:rsid w:val="00807DCF"/>
    <w:rsid w:val="00807E1D"/>
    <w:rsid w:val="00807E72"/>
    <w:rsid w:val="00807EB1"/>
    <w:rsid w:val="00807ECA"/>
    <w:rsid w:val="00807EDB"/>
    <w:rsid w:val="00807FA8"/>
    <w:rsid w:val="008100F4"/>
    <w:rsid w:val="0081012E"/>
    <w:rsid w:val="00810130"/>
    <w:rsid w:val="0081015A"/>
    <w:rsid w:val="0081019F"/>
    <w:rsid w:val="008101BB"/>
    <w:rsid w:val="008101D8"/>
    <w:rsid w:val="008102AB"/>
    <w:rsid w:val="008102CC"/>
    <w:rsid w:val="00810308"/>
    <w:rsid w:val="00810451"/>
    <w:rsid w:val="00810523"/>
    <w:rsid w:val="00810566"/>
    <w:rsid w:val="008105AD"/>
    <w:rsid w:val="008105F3"/>
    <w:rsid w:val="0081061A"/>
    <w:rsid w:val="00810675"/>
    <w:rsid w:val="0081067F"/>
    <w:rsid w:val="00810734"/>
    <w:rsid w:val="0081075C"/>
    <w:rsid w:val="00810760"/>
    <w:rsid w:val="0081077A"/>
    <w:rsid w:val="008107B7"/>
    <w:rsid w:val="00810885"/>
    <w:rsid w:val="008108A3"/>
    <w:rsid w:val="0081097A"/>
    <w:rsid w:val="00810A9E"/>
    <w:rsid w:val="00810AAA"/>
    <w:rsid w:val="00810ADB"/>
    <w:rsid w:val="00810AEC"/>
    <w:rsid w:val="00810B42"/>
    <w:rsid w:val="00810D3D"/>
    <w:rsid w:val="00810D87"/>
    <w:rsid w:val="00810DFD"/>
    <w:rsid w:val="00810EED"/>
    <w:rsid w:val="00810F1D"/>
    <w:rsid w:val="00810FE9"/>
    <w:rsid w:val="0081103E"/>
    <w:rsid w:val="00811077"/>
    <w:rsid w:val="008110B8"/>
    <w:rsid w:val="0081118C"/>
    <w:rsid w:val="008112C2"/>
    <w:rsid w:val="008112FE"/>
    <w:rsid w:val="008113B5"/>
    <w:rsid w:val="008113F1"/>
    <w:rsid w:val="00811435"/>
    <w:rsid w:val="0081143B"/>
    <w:rsid w:val="00811443"/>
    <w:rsid w:val="00811452"/>
    <w:rsid w:val="00811494"/>
    <w:rsid w:val="008114A8"/>
    <w:rsid w:val="008114B5"/>
    <w:rsid w:val="00811515"/>
    <w:rsid w:val="0081152E"/>
    <w:rsid w:val="00811550"/>
    <w:rsid w:val="00811559"/>
    <w:rsid w:val="008115B3"/>
    <w:rsid w:val="008115F0"/>
    <w:rsid w:val="00811632"/>
    <w:rsid w:val="008116E5"/>
    <w:rsid w:val="00811736"/>
    <w:rsid w:val="008117F1"/>
    <w:rsid w:val="00811809"/>
    <w:rsid w:val="0081190B"/>
    <w:rsid w:val="00811915"/>
    <w:rsid w:val="0081192C"/>
    <w:rsid w:val="0081195A"/>
    <w:rsid w:val="00811A3A"/>
    <w:rsid w:val="00811A5B"/>
    <w:rsid w:val="00811ABA"/>
    <w:rsid w:val="00811AEB"/>
    <w:rsid w:val="00811BA2"/>
    <w:rsid w:val="00811BE4"/>
    <w:rsid w:val="00811BF4"/>
    <w:rsid w:val="00811C02"/>
    <w:rsid w:val="00811CC7"/>
    <w:rsid w:val="00811D3D"/>
    <w:rsid w:val="00811D40"/>
    <w:rsid w:val="00811DB3"/>
    <w:rsid w:val="00811DCC"/>
    <w:rsid w:val="00811E64"/>
    <w:rsid w:val="00811E7B"/>
    <w:rsid w:val="00811E96"/>
    <w:rsid w:val="00811F66"/>
    <w:rsid w:val="00811F6B"/>
    <w:rsid w:val="00811FA8"/>
    <w:rsid w:val="00812095"/>
    <w:rsid w:val="008120AE"/>
    <w:rsid w:val="008120F4"/>
    <w:rsid w:val="00812114"/>
    <w:rsid w:val="008121CA"/>
    <w:rsid w:val="008121E8"/>
    <w:rsid w:val="00812220"/>
    <w:rsid w:val="00812262"/>
    <w:rsid w:val="00812348"/>
    <w:rsid w:val="0081235E"/>
    <w:rsid w:val="0081237D"/>
    <w:rsid w:val="008123C6"/>
    <w:rsid w:val="008123D1"/>
    <w:rsid w:val="0081241D"/>
    <w:rsid w:val="00812459"/>
    <w:rsid w:val="00812469"/>
    <w:rsid w:val="008124A4"/>
    <w:rsid w:val="00812531"/>
    <w:rsid w:val="0081254D"/>
    <w:rsid w:val="0081257B"/>
    <w:rsid w:val="0081259E"/>
    <w:rsid w:val="008125DC"/>
    <w:rsid w:val="00812640"/>
    <w:rsid w:val="008126E7"/>
    <w:rsid w:val="008126EA"/>
    <w:rsid w:val="0081276A"/>
    <w:rsid w:val="008127AE"/>
    <w:rsid w:val="008127F9"/>
    <w:rsid w:val="00812842"/>
    <w:rsid w:val="00812879"/>
    <w:rsid w:val="0081290D"/>
    <w:rsid w:val="008129C4"/>
    <w:rsid w:val="00812A1B"/>
    <w:rsid w:val="00812ACC"/>
    <w:rsid w:val="00812AD8"/>
    <w:rsid w:val="00812B0E"/>
    <w:rsid w:val="00812B0F"/>
    <w:rsid w:val="00812B3C"/>
    <w:rsid w:val="00812C2C"/>
    <w:rsid w:val="00812CA5"/>
    <w:rsid w:val="00812CA7"/>
    <w:rsid w:val="00812CC1"/>
    <w:rsid w:val="00812D24"/>
    <w:rsid w:val="00812D78"/>
    <w:rsid w:val="00812E35"/>
    <w:rsid w:val="00812E91"/>
    <w:rsid w:val="00812EB0"/>
    <w:rsid w:val="00812EFB"/>
    <w:rsid w:val="00812F38"/>
    <w:rsid w:val="00812F8E"/>
    <w:rsid w:val="00812FA4"/>
    <w:rsid w:val="00812FB8"/>
    <w:rsid w:val="00813029"/>
    <w:rsid w:val="00813031"/>
    <w:rsid w:val="0081304C"/>
    <w:rsid w:val="00813088"/>
    <w:rsid w:val="00813091"/>
    <w:rsid w:val="0081313F"/>
    <w:rsid w:val="008131A5"/>
    <w:rsid w:val="0081323D"/>
    <w:rsid w:val="008133AD"/>
    <w:rsid w:val="008133D7"/>
    <w:rsid w:val="008133E0"/>
    <w:rsid w:val="0081347D"/>
    <w:rsid w:val="00813482"/>
    <w:rsid w:val="008134D5"/>
    <w:rsid w:val="00813517"/>
    <w:rsid w:val="00813546"/>
    <w:rsid w:val="0081361D"/>
    <w:rsid w:val="0081363A"/>
    <w:rsid w:val="00813655"/>
    <w:rsid w:val="00813682"/>
    <w:rsid w:val="00813687"/>
    <w:rsid w:val="00813736"/>
    <w:rsid w:val="00813797"/>
    <w:rsid w:val="008137E7"/>
    <w:rsid w:val="00813802"/>
    <w:rsid w:val="00813858"/>
    <w:rsid w:val="00813976"/>
    <w:rsid w:val="00813998"/>
    <w:rsid w:val="008139E0"/>
    <w:rsid w:val="00813A1F"/>
    <w:rsid w:val="00813B2E"/>
    <w:rsid w:val="00813C23"/>
    <w:rsid w:val="00813C6E"/>
    <w:rsid w:val="00813C89"/>
    <w:rsid w:val="00813CF9"/>
    <w:rsid w:val="00813D7E"/>
    <w:rsid w:val="00813D81"/>
    <w:rsid w:val="00813D94"/>
    <w:rsid w:val="00813DEE"/>
    <w:rsid w:val="00813DFC"/>
    <w:rsid w:val="00813E06"/>
    <w:rsid w:val="00813EA8"/>
    <w:rsid w:val="00813F3C"/>
    <w:rsid w:val="00813F9D"/>
    <w:rsid w:val="00813FC9"/>
    <w:rsid w:val="008140BD"/>
    <w:rsid w:val="008140D9"/>
    <w:rsid w:val="008140E1"/>
    <w:rsid w:val="0081426B"/>
    <w:rsid w:val="008142E3"/>
    <w:rsid w:val="008142F8"/>
    <w:rsid w:val="00814305"/>
    <w:rsid w:val="0081439A"/>
    <w:rsid w:val="0081443B"/>
    <w:rsid w:val="008146DD"/>
    <w:rsid w:val="008146FB"/>
    <w:rsid w:val="00814706"/>
    <w:rsid w:val="00814740"/>
    <w:rsid w:val="00814762"/>
    <w:rsid w:val="00814837"/>
    <w:rsid w:val="0081483F"/>
    <w:rsid w:val="0081485B"/>
    <w:rsid w:val="00814860"/>
    <w:rsid w:val="008148A6"/>
    <w:rsid w:val="008148C7"/>
    <w:rsid w:val="00814925"/>
    <w:rsid w:val="0081498F"/>
    <w:rsid w:val="00814995"/>
    <w:rsid w:val="008149E1"/>
    <w:rsid w:val="00814A10"/>
    <w:rsid w:val="00814ACD"/>
    <w:rsid w:val="00814B82"/>
    <w:rsid w:val="00814BF3"/>
    <w:rsid w:val="00814C0F"/>
    <w:rsid w:val="00814CB0"/>
    <w:rsid w:val="00814CB6"/>
    <w:rsid w:val="00814D26"/>
    <w:rsid w:val="00814D34"/>
    <w:rsid w:val="00814D90"/>
    <w:rsid w:val="00814E15"/>
    <w:rsid w:val="00814E1F"/>
    <w:rsid w:val="00814E34"/>
    <w:rsid w:val="00814E3A"/>
    <w:rsid w:val="00814ECC"/>
    <w:rsid w:val="00814EED"/>
    <w:rsid w:val="00814F15"/>
    <w:rsid w:val="00814F84"/>
    <w:rsid w:val="00814FE1"/>
    <w:rsid w:val="00814FFB"/>
    <w:rsid w:val="00815021"/>
    <w:rsid w:val="0081509D"/>
    <w:rsid w:val="008151BC"/>
    <w:rsid w:val="0081521B"/>
    <w:rsid w:val="00815274"/>
    <w:rsid w:val="008152EC"/>
    <w:rsid w:val="00815308"/>
    <w:rsid w:val="0081536D"/>
    <w:rsid w:val="008153A4"/>
    <w:rsid w:val="0081540C"/>
    <w:rsid w:val="00815428"/>
    <w:rsid w:val="00815443"/>
    <w:rsid w:val="008155B7"/>
    <w:rsid w:val="00815617"/>
    <w:rsid w:val="0081569D"/>
    <w:rsid w:val="008156A3"/>
    <w:rsid w:val="008156BC"/>
    <w:rsid w:val="0081571C"/>
    <w:rsid w:val="008157D3"/>
    <w:rsid w:val="00815801"/>
    <w:rsid w:val="0081583B"/>
    <w:rsid w:val="00815845"/>
    <w:rsid w:val="008158AD"/>
    <w:rsid w:val="008158C7"/>
    <w:rsid w:val="0081595B"/>
    <w:rsid w:val="008159BA"/>
    <w:rsid w:val="008159CA"/>
    <w:rsid w:val="00815A5E"/>
    <w:rsid w:val="00815B90"/>
    <w:rsid w:val="00815BB6"/>
    <w:rsid w:val="00815BF8"/>
    <w:rsid w:val="00815CC9"/>
    <w:rsid w:val="00815D56"/>
    <w:rsid w:val="00815E0A"/>
    <w:rsid w:val="00815E34"/>
    <w:rsid w:val="00815F22"/>
    <w:rsid w:val="00815F97"/>
    <w:rsid w:val="00816004"/>
    <w:rsid w:val="0081603A"/>
    <w:rsid w:val="008160AF"/>
    <w:rsid w:val="008160BC"/>
    <w:rsid w:val="008160F3"/>
    <w:rsid w:val="00816155"/>
    <w:rsid w:val="0081616C"/>
    <w:rsid w:val="008161C6"/>
    <w:rsid w:val="00816231"/>
    <w:rsid w:val="0081624D"/>
    <w:rsid w:val="00816347"/>
    <w:rsid w:val="0081636D"/>
    <w:rsid w:val="00816372"/>
    <w:rsid w:val="00816375"/>
    <w:rsid w:val="008163DE"/>
    <w:rsid w:val="00816400"/>
    <w:rsid w:val="00816457"/>
    <w:rsid w:val="008164A7"/>
    <w:rsid w:val="008164AA"/>
    <w:rsid w:val="008164B9"/>
    <w:rsid w:val="00816510"/>
    <w:rsid w:val="00816535"/>
    <w:rsid w:val="008165C3"/>
    <w:rsid w:val="008165E0"/>
    <w:rsid w:val="00816620"/>
    <w:rsid w:val="00816655"/>
    <w:rsid w:val="008166A4"/>
    <w:rsid w:val="0081677C"/>
    <w:rsid w:val="00816838"/>
    <w:rsid w:val="0081685A"/>
    <w:rsid w:val="0081688D"/>
    <w:rsid w:val="008168AC"/>
    <w:rsid w:val="008168BA"/>
    <w:rsid w:val="008168E0"/>
    <w:rsid w:val="0081691B"/>
    <w:rsid w:val="00816949"/>
    <w:rsid w:val="00816952"/>
    <w:rsid w:val="0081696B"/>
    <w:rsid w:val="00816A63"/>
    <w:rsid w:val="00816A79"/>
    <w:rsid w:val="00816AC7"/>
    <w:rsid w:val="00816AFA"/>
    <w:rsid w:val="00816C18"/>
    <w:rsid w:val="00816C87"/>
    <w:rsid w:val="00816C91"/>
    <w:rsid w:val="00816C94"/>
    <w:rsid w:val="00816CBB"/>
    <w:rsid w:val="00816CE0"/>
    <w:rsid w:val="00816D0D"/>
    <w:rsid w:val="00816D23"/>
    <w:rsid w:val="00816D3B"/>
    <w:rsid w:val="00816D74"/>
    <w:rsid w:val="00816D9D"/>
    <w:rsid w:val="00816E82"/>
    <w:rsid w:val="00816EBD"/>
    <w:rsid w:val="00816EC4"/>
    <w:rsid w:val="00816EEC"/>
    <w:rsid w:val="00816F5B"/>
    <w:rsid w:val="00816F6A"/>
    <w:rsid w:val="00816F7C"/>
    <w:rsid w:val="00816FEA"/>
    <w:rsid w:val="00816FF5"/>
    <w:rsid w:val="00817001"/>
    <w:rsid w:val="0081702F"/>
    <w:rsid w:val="0081704D"/>
    <w:rsid w:val="008170CA"/>
    <w:rsid w:val="008170D5"/>
    <w:rsid w:val="008171A7"/>
    <w:rsid w:val="00817250"/>
    <w:rsid w:val="00817256"/>
    <w:rsid w:val="00817262"/>
    <w:rsid w:val="0081728C"/>
    <w:rsid w:val="0081729E"/>
    <w:rsid w:val="00817362"/>
    <w:rsid w:val="0081736A"/>
    <w:rsid w:val="00817378"/>
    <w:rsid w:val="00817387"/>
    <w:rsid w:val="008173AC"/>
    <w:rsid w:val="008173B1"/>
    <w:rsid w:val="00817402"/>
    <w:rsid w:val="00817425"/>
    <w:rsid w:val="00817494"/>
    <w:rsid w:val="0081750A"/>
    <w:rsid w:val="0081753F"/>
    <w:rsid w:val="00817611"/>
    <w:rsid w:val="0081762D"/>
    <w:rsid w:val="0081763F"/>
    <w:rsid w:val="0081767C"/>
    <w:rsid w:val="0081769B"/>
    <w:rsid w:val="008176C0"/>
    <w:rsid w:val="00817716"/>
    <w:rsid w:val="0081772A"/>
    <w:rsid w:val="00817739"/>
    <w:rsid w:val="00817767"/>
    <w:rsid w:val="00817768"/>
    <w:rsid w:val="0081779E"/>
    <w:rsid w:val="008177CA"/>
    <w:rsid w:val="008177DC"/>
    <w:rsid w:val="008177EC"/>
    <w:rsid w:val="008177F2"/>
    <w:rsid w:val="00817880"/>
    <w:rsid w:val="0081788A"/>
    <w:rsid w:val="008178C3"/>
    <w:rsid w:val="0081790D"/>
    <w:rsid w:val="008179A3"/>
    <w:rsid w:val="008179B5"/>
    <w:rsid w:val="00817AF8"/>
    <w:rsid w:val="00817B21"/>
    <w:rsid w:val="00817B82"/>
    <w:rsid w:val="00817BB1"/>
    <w:rsid w:val="00817BF4"/>
    <w:rsid w:val="00817C02"/>
    <w:rsid w:val="00817C2B"/>
    <w:rsid w:val="00817CD3"/>
    <w:rsid w:val="00817D9D"/>
    <w:rsid w:val="00817DFD"/>
    <w:rsid w:val="00817E00"/>
    <w:rsid w:val="00817EF3"/>
    <w:rsid w:val="00817F00"/>
    <w:rsid w:val="00817F15"/>
    <w:rsid w:val="00817F57"/>
    <w:rsid w:val="00817F67"/>
    <w:rsid w:val="00817FE8"/>
    <w:rsid w:val="0082005B"/>
    <w:rsid w:val="008200F6"/>
    <w:rsid w:val="008201C3"/>
    <w:rsid w:val="008201DE"/>
    <w:rsid w:val="0082022D"/>
    <w:rsid w:val="008202F1"/>
    <w:rsid w:val="00820321"/>
    <w:rsid w:val="008203F5"/>
    <w:rsid w:val="008203FA"/>
    <w:rsid w:val="00820497"/>
    <w:rsid w:val="0082049A"/>
    <w:rsid w:val="0082050B"/>
    <w:rsid w:val="0082054D"/>
    <w:rsid w:val="00820552"/>
    <w:rsid w:val="0082066A"/>
    <w:rsid w:val="008206BE"/>
    <w:rsid w:val="00820717"/>
    <w:rsid w:val="00820756"/>
    <w:rsid w:val="00820759"/>
    <w:rsid w:val="0082076B"/>
    <w:rsid w:val="00820770"/>
    <w:rsid w:val="008207DB"/>
    <w:rsid w:val="008208AC"/>
    <w:rsid w:val="008208B4"/>
    <w:rsid w:val="00820969"/>
    <w:rsid w:val="00820BB5"/>
    <w:rsid w:val="00820BBF"/>
    <w:rsid w:val="00820BE2"/>
    <w:rsid w:val="00820C8E"/>
    <w:rsid w:val="00820CF4"/>
    <w:rsid w:val="00820D34"/>
    <w:rsid w:val="00820D4F"/>
    <w:rsid w:val="00820D79"/>
    <w:rsid w:val="00820DAF"/>
    <w:rsid w:val="00820DE7"/>
    <w:rsid w:val="00820E01"/>
    <w:rsid w:val="00820E0C"/>
    <w:rsid w:val="00820E65"/>
    <w:rsid w:val="00820E89"/>
    <w:rsid w:val="00820EFD"/>
    <w:rsid w:val="00821006"/>
    <w:rsid w:val="0082103D"/>
    <w:rsid w:val="00821050"/>
    <w:rsid w:val="00821066"/>
    <w:rsid w:val="008211F1"/>
    <w:rsid w:val="00821202"/>
    <w:rsid w:val="008212A4"/>
    <w:rsid w:val="008212AC"/>
    <w:rsid w:val="008212B7"/>
    <w:rsid w:val="008212E7"/>
    <w:rsid w:val="0082131D"/>
    <w:rsid w:val="00821375"/>
    <w:rsid w:val="008214D4"/>
    <w:rsid w:val="0082155F"/>
    <w:rsid w:val="00821582"/>
    <w:rsid w:val="00821585"/>
    <w:rsid w:val="008215DC"/>
    <w:rsid w:val="008215DD"/>
    <w:rsid w:val="00821629"/>
    <w:rsid w:val="00821636"/>
    <w:rsid w:val="00821641"/>
    <w:rsid w:val="00821678"/>
    <w:rsid w:val="0082168D"/>
    <w:rsid w:val="008216B0"/>
    <w:rsid w:val="008216B4"/>
    <w:rsid w:val="008216BD"/>
    <w:rsid w:val="008217A4"/>
    <w:rsid w:val="00821891"/>
    <w:rsid w:val="008218FD"/>
    <w:rsid w:val="00821921"/>
    <w:rsid w:val="00821972"/>
    <w:rsid w:val="00821A5D"/>
    <w:rsid w:val="00821AD5"/>
    <w:rsid w:val="00821AE5"/>
    <w:rsid w:val="00821B1B"/>
    <w:rsid w:val="00821B8B"/>
    <w:rsid w:val="00821BC4"/>
    <w:rsid w:val="00821C36"/>
    <w:rsid w:val="00821C51"/>
    <w:rsid w:val="00821C93"/>
    <w:rsid w:val="00821CB9"/>
    <w:rsid w:val="00821D58"/>
    <w:rsid w:val="00821E11"/>
    <w:rsid w:val="00821E59"/>
    <w:rsid w:val="00821F4D"/>
    <w:rsid w:val="00822003"/>
    <w:rsid w:val="00822047"/>
    <w:rsid w:val="00822060"/>
    <w:rsid w:val="0082210C"/>
    <w:rsid w:val="0082211E"/>
    <w:rsid w:val="00822155"/>
    <w:rsid w:val="008221BB"/>
    <w:rsid w:val="008221C3"/>
    <w:rsid w:val="00822206"/>
    <w:rsid w:val="0082224A"/>
    <w:rsid w:val="0082225F"/>
    <w:rsid w:val="008223B2"/>
    <w:rsid w:val="0082243A"/>
    <w:rsid w:val="0082246F"/>
    <w:rsid w:val="0082247C"/>
    <w:rsid w:val="008224A5"/>
    <w:rsid w:val="008224D1"/>
    <w:rsid w:val="008224E3"/>
    <w:rsid w:val="008225D2"/>
    <w:rsid w:val="00822643"/>
    <w:rsid w:val="00822653"/>
    <w:rsid w:val="008226C6"/>
    <w:rsid w:val="008226C9"/>
    <w:rsid w:val="0082276E"/>
    <w:rsid w:val="0082287E"/>
    <w:rsid w:val="008228E2"/>
    <w:rsid w:val="00822911"/>
    <w:rsid w:val="0082294C"/>
    <w:rsid w:val="0082298D"/>
    <w:rsid w:val="00822AB4"/>
    <w:rsid w:val="00822AD1"/>
    <w:rsid w:val="00822B1F"/>
    <w:rsid w:val="00822B76"/>
    <w:rsid w:val="00822BE0"/>
    <w:rsid w:val="00822BFC"/>
    <w:rsid w:val="00822C63"/>
    <w:rsid w:val="00822CDA"/>
    <w:rsid w:val="00822DA0"/>
    <w:rsid w:val="00822E9D"/>
    <w:rsid w:val="00822F0C"/>
    <w:rsid w:val="00822F73"/>
    <w:rsid w:val="00823002"/>
    <w:rsid w:val="00823132"/>
    <w:rsid w:val="00823134"/>
    <w:rsid w:val="00823166"/>
    <w:rsid w:val="008231D0"/>
    <w:rsid w:val="008231DE"/>
    <w:rsid w:val="008234C6"/>
    <w:rsid w:val="0082351C"/>
    <w:rsid w:val="0082355A"/>
    <w:rsid w:val="00823712"/>
    <w:rsid w:val="00823775"/>
    <w:rsid w:val="008237DD"/>
    <w:rsid w:val="00823866"/>
    <w:rsid w:val="0082386C"/>
    <w:rsid w:val="0082387A"/>
    <w:rsid w:val="00823956"/>
    <w:rsid w:val="008239DF"/>
    <w:rsid w:val="00823AEF"/>
    <w:rsid w:val="00823B4D"/>
    <w:rsid w:val="00823B63"/>
    <w:rsid w:val="00823BDC"/>
    <w:rsid w:val="00823C19"/>
    <w:rsid w:val="00823C7F"/>
    <w:rsid w:val="00823D1A"/>
    <w:rsid w:val="00823DA3"/>
    <w:rsid w:val="00823DF3"/>
    <w:rsid w:val="00823E1C"/>
    <w:rsid w:val="00823F1B"/>
    <w:rsid w:val="00823F61"/>
    <w:rsid w:val="00823F82"/>
    <w:rsid w:val="008240D5"/>
    <w:rsid w:val="0082418F"/>
    <w:rsid w:val="0082423E"/>
    <w:rsid w:val="0082426B"/>
    <w:rsid w:val="00824284"/>
    <w:rsid w:val="0082428B"/>
    <w:rsid w:val="0082435B"/>
    <w:rsid w:val="00824372"/>
    <w:rsid w:val="00824376"/>
    <w:rsid w:val="008243DC"/>
    <w:rsid w:val="00824420"/>
    <w:rsid w:val="0082444E"/>
    <w:rsid w:val="0082450A"/>
    <w:rsid w:val="008245C7"/>
    <w:rsid w:val="008245CB"/>
    <w:rsid w:val="00824644"/>
    <w:rsid w:val="00824655"/>
    <w:rsid w:val="0082466B"/>
    <w:rsid w:val="008246B7"/>
    <w:rsid w:val="0082473E"/>
    <w:rsid w:val="0082475D"/>
    <w:rsid w:val="0082476B"/>
    <w:rsid w:val="00824779"/>
    <w:rsid w:val="00824852"/>
    <w:rsid w:val="008248D0"/>
    <w:rsid w:val="0082490F"/>
    <w:rsid w:val="0082497F"/>
    <w:rsid w:val="00824997"/>
    <w:rsid w:val="008249F2"/>
    <w:rsid w:val="00824A15"/>
    <w:rsid w:val="00824A83"/>
    <w:rsid w:val="00824AE8"/>
    <w:rsid w:val="00824AFF"/>
    <w:rsid w:val="00824B15"/>
    <w:rsid w:val="00824B1E"/>
    <w:rsid w:val="00824B77"/>
    <w:rsid w:val="00824B7F"/>
    <w:rsid w:val="00824BE9"/>
    <w:rsid w:val="00824BF9"/>
    <w:rsid w:val="00824C07"/>
    <w:rsid w:val="00824C6A"/>
    <w:rsid w:val="00824CD5"/>
    <w:rsid w:val="00824D96"/>
    <w:rsid w:val="00824DE2"/>
    <w:rsid w:val="00824DFB"/>
    <w:rsid w:val="00824E07"/>
    <w:rsid w:val="00824E1B"/>
    <w:rsid w:val="00824ECA"/>
    <w:rsid w:val="00824F2B"/>
    <w:rsid w:val="00824F9C"/>
    <w:rsid w:val="0082503E"/>
    <w:rsid w:val="00825105"/>
    <w:rsid w:val="00825172"/>
    <w:rsid w:val="0082524B"/>
    <w:rsid w:val="008252DC"/>
    <w:rsid w:val="008253D3"/>
    <w:rsid w:val="00825458"/>
    <w:rsid w:val="008254DC"/>
    <w:rsid w:val="008254EB"/>
    <w:rsid w:val="00825554"/>
    <w:rsid w:val="0082556B"/>
    <w:rsid w:val="0082559A"/>
    <w:rsid w:val="00825673"/>
    <w:rsid w:val="008256AC"/>
    <w:rsid w:val="0082575F"/>
    <w:rsid w:val="00825787"/>
    <w:rsid w:val="0082580E"/>
    <w:rsid w:val="0082582D"/>
    <w:rsid w:val="008258B5"/>
    <w:rsid w:val="008258BF"/>
    <w:rsid w:val="0082591A"/>
    <w:rsid w:val="00825948"/>
    <w:rsid w:val="008259A5"/>
    <w:rsid w:val="008259EC"/>
    <w:rsid w:val="00825A19"/>
    <w:rsid w:val="00825A2F"/>
    <w:rsid w:val="00825A33"/>
    <w:rsid w:val="00825A71"/>
    <w:rsid w:val="00825A7E"/>
    <w:rsid w:val="00825ABA"/>
    <w:rsid w:val="00825ACA"/>
    <w:rsid w:val="00825AE0"/>
    <w:rsid w:val="00825C00"/>
    <w:rsid w:val="00825C22"/>
    <w:rsid w:val="00825C3C"/>
    <w:rsid w:val="00825C73"/>
    <w:rsid w:val="00825CA7"/>
    <w:rsid w:val="00825D17"/>
    <w:rsid w:val="00825D18"/>
    <w:rsid w:val="00825DDC"/>
    <w:rsid w:val="00825E19"/>
    <w:rsid w:val="00825E2A"/>
    <w:rsid w:val="00825E55"/>
    <w:rsid w:val="00825F76"/>
    <w:rsid w:val="00825F86"/>
    <w:rsid w:val="00825FEA"/>
    <w:rsid w:val="00825FEF"/>
    <w:rsid w:val="008260CC"/>
    <w:rsid w:val="008260E7"/>
    <w:rsid w:val="0082611D"/>
    <w:rsid w:val="0082615C"/>
    <w:rsid w:val="008261A0"/>
    <w:rsid w:val="0082624E"/>
    <w:rsid w:val="00826265"/>
    <w:rsid w:val="00826361"/>
    <w:rsid w:val="0082637B"/>
    <w:rsid w:val="008263C1"/>
    <w:rsid w:val="008263D1"/>
    <w:rsid w:val="008264CC"/>
    <w:rsid w:val="00826669"/>
    <w:rsid w:val="00826701"/>
    <w:rsid w:val="008267D0"/>
    <w:rsid w:val="008267E9"/>
    <w:rsid w:val="0082683F"/>
    <w:rsid w:val="008268AC"/>
    <w:rsid w:val="008268D4"/>
    <w:rsid w:val="008268DD"/>
    <w:rsid w:val="00826915"/>
    <w:rsid w:val="00826986"/>
    <w:rsid w:val="008269F6"/>
    <w:rsid w:val="00826A1A"/>
    <w:rsid w:val="00826A22"/>
    <w:rsid w:val="00826B56"/>
    <w:rsid w:val="00826B63"/>
    <w:rsid w:val="00826B9E"/>
    <w:rsid w:val="00826BAF"/>
    <w:rsid w:val="00826BBC"/>
    <w:rsid w:val="00826BE6"/>
    <w:rsid w:val="00826BF7"/>
    <w:rsid w:val="00826C37"/>
    <w:rsid w:val="00826C83"/>
    <w:rsid w:val="00826C88"/>
    <w:rsid w:val="00826C9A"/>
    <w:rsid w:val="00826CC7"/>
    <w:rsid w:val="00826D8A"/>
    <w:rsid w:val="00826DBF"/>
    <w:rsid w:val="00826E2B"/>
    <w:rsid w:val="00826E7E"/>
    <w:rsid w:val="00826E9B"/>
    <w:rsid w:val="00826EB0"/>
    <w:rsid w:val="00826EB8"/>
    <w:rsid w:val="00826EC7"/>
    <w:rsid w:val="00826F30"/>
    <w:rsid w:val="00826FEA"/>
    <w:rsid w:val="00827014"/>
    <w:rsid w:val="008270A7"/>
    <w:rsid w:val="008270E4"/>
    <w:rsid w:val="00827114"/>
    <w:rsid w:val="0082711C"/>
    <w:rsid w:val="00827133"/>
    <w:rsid w:val="00827168"/>
    <w:rsid w:val="008271EB"/>
    <w:rsid w:val="008272CB"/>
    <w:rsid w:val="0082735C"/>
    <w:rsid w:val="008273BA"/>
    <w:rsid w:val="008274DC"/>
    <w:rsid w:val="00827663"/>
    <w:rsid w:val="00827737"/>
    <w:rsid w:val="00827756"/>
    <w:rsid w:val="00827785"/>
    <w:rsid w:val="00827922"/>
    <w:rsid w:val="00827924"/>
    <w:rsid w:val="00827A11"/>
    <w:rsid w:val="00827AB7"/>
    <w:rsid w:val="00827AFE"/>
    <w:rsid w:val="00827B11"/>
    <w:rsid w:val="00827B17"/>
    <w:rsid w:val="00827B49"/>
    <w:rsid w:val="00827B7C"/>
    <w:rsid w:val="00827B92"/>
    <w:rsid w:val="00827BC6"/>
    <w:rsid w:val="00827CC6"/>
    <w:rsid w:val="00827CFB"/>
    <w:rsid w:val="00827D0E"/>
    <w:rsid w:val="00827D86"/>
    <w:rsid w:val="00827DA7"/>
    <w:rsid w:val="00827DB8"/>
    <w:rsid w:val="00827E45"/>
    <w:rsid w:val="00827ED3"/>
    <w:rsid w:val="00827F0C"/>
    <w:rsid w:val="00830000"/>
    <w:rsid w:val="00830060"/>
    <w:rsid w:val="00830070"/>
    <w:rsid w:val="008300FF"/>
    <w:rsid w:val="00830169"/>
    <w:rsid w:val="0083037E"/>
    <w:rsid w:val="008303AF"/>
    <w:rsid w:val="008303CA"/>
    <w:rsid w:val="008303F2"/>
    <w:rsid w:val="0083043B"/>
    <w:rsid w:val="00830590"/>
    <w:rsid w:val="0083059B"/>
    <w:rsid w:val="0083064C"/>
    <w:rsid w:val="00830668"/>
    <w:rsid w:val="00830694"/>
    <w:rsid w:val="008306D6"/>
    <w:rsid w:val="008306E9"/>
    <w:rsid w:val="00830707"/>
    <w:rsid w:val="0083077F"/>
    <w:rsid w:val="008307E4"/>
    <w:rsid w:val="008307FA"/>
    <w:rsid w:val="0083086D"/>
    <w:rsid w:val="00830879"/>
    <w:rsid w:val="00830880"/>
    <w:rsid w:val="00830884"/>
    <w:rsid w:val="00830899"/>
    <w:rsid w:val="00830947"/>
    <w:rsid w:val="008309BB"/>
    <w:rsid w:val="008309ED"/>
    <w:rsid w:val="008309FB"/>
    <w:rsid w:val="00830A3C"/>
    <w:rsid w:val="00830A40"/>
    <w:rsid w:val="00830AB7"/>
    <w:rsid w:val="00830AFC"/>
    <w:rsid w:val="00830B55"/>
    <w:rsid w:val="00830C52"/>
    <w:rsid w:val="00830C8E"/>
    <w:rsid w:val="00830C9C"/>
    <w:rsid w:val="00830D48"/>
    <w:rsid w:val="00830DD7"/>
    <w:rsid w:val="00830E24"/>
    <w:rsid w:val="00830E2E"/>
    <w:rsid w:val="00830E6C"/>
    <w:rsid w:val="00830F12"/>
    <w:rsid w:val="00830F82"/>
    <w:rsid w:val="00830F9E"/>
    <w:rsid w:val="00830FC7"/>
    <w:rsid w:val="00831077"/>
    <w:rsid w:val="008310E6"/>
    <w:rsid w:val="0083112D"/>
    <w:rsid w:val="00831148"/>
    <w:rsid w:val="008311BB"/>
    <w:rsid w:val="00831273"/>
    <w:rsid w:val="008312C7"/>
    <w:rsid w:val="0083134B"/>
    <w:rsid w:val="008313C1"/>
    <w:rsid w:val="008313C8"/>
    <w:rsid w:val="00831439"/>
    <w:rsid w:val="00831457"/>
    <w:rsid w:val="008314C8"/>
    <w:rsid w:val="008314DE"/>
    <w:rsid w:val="008314E1"/>
    <w:rsid w:val="0083159B"/>
    <w:rsid w:val="008315A5"/>
    <w:rsid w:val="008315C8"/>
    <w:rsid w:val="008315E1"/>
    <w:rsid w:val="008315FD"/>
    <w:rsid w:val="00831657"/>
    <w:rsid w:val="00831664"/>
    <w:rsid w:val="008316A6"/>
    <w:rsid w:val="00831776"/>
    <w:rsid w:val="00831798"/>
    <w:rsid w:val="008317D9"/>
    <w:rsid w:val="00831872"/>
    <w:rsid w:val="008318B7"/>
    <w:rsid w:val="008318D0"/>
    <w:rsid w:val="008318DF"/>
    <w:rsid w:val="008318E4"/>
    <w:rsid w:val="008318F3"/>
    <w:rsid w:val="0083192B"/>
    <w:rsid w:val="00831AD0"/>
    <w:rsid w:val="00831AE5"/>
    <w:rsid w:val="00831B3C"/>
    <w:rsid w:val="00831B56"/>
    <w:rsid w:val="00831B5B"/>
    <w:rsid w:val="00831B7F"/>
    <w:rsid w:val="00831B8E"/>
    <w:rsid w:val="00831CD1"/>
    <w:rsid w:val="00831CE0"/>
    <w:rsid w:val="00831D0A"/>
    <w:rsid w:val="00831D0F"/>
    <w:rsid w:val="00831D14"/>
    <w:rsid w:val="00831D1A"/>
    <w:rsid w:val="00831D20"/>
    <w:rsid w:val="00831D99"/>
    <w:rsid w:val="00831D9B"/>
    <w:rsid w:val="00831E47"/>
    <w:rsid w:val="00831E6B"/>
    <w:rsid w:val="00831E8C"/>
    <w:rsid w:val="00831EBD"/>
    <w:rsid w:val="00831EED"/>
    <w:rsid w:val="00831F15"/>
    <w:rsid w:val="00831F58"/>
    <w:rsid w:val="00832027"/>
    <w:rsid w:val="00832054"/>
    <w:rsid w:val="008320AB"/>
    <w:rsid w:val="0083215B"/>
    <w:rsid w:val="0083220E"/>
    <w:rsid w:val="008322C3"/>
    <w:rsid w:val="008322C7"/>
    <w:rsid w:val="008322EB"/>
    <w:rsid w:val="008322F7"/>
    <w:rsid w:val="0083232F"/>
    <w:rsid w:val="008323AE"/>
    <w:rsid w:val="00832401"/>
    <w:rsid w:val="00832444"/>
    <w:rsid w:val="008324D4"/>
    <w:rsid w:val="008325B0"/>
    <w:rsid w:val="00832617"/>
    <w:rsid w:val="00832672"/>
    <w:rsid w:val="0083269C"/>
    <w:rsid w:val="0083271C"/>
    <w:rsid w:val="00832740"/>
    <w:rsid w:val="00832744"/>
    <w:rsid w:val="008327D8"/>
    <w:rsid w:val="008327E4"/>
    <w:rsid w:val="00832933"/>
    <w:rsid w:val="00832A26"/>
    <w:rsid w:val="00832A65"/>
    <w:rsid w:val="00832A73"/>
    <w:rsid w:val="00832A7B"/>
    <w:rsid w:val="00832AD2"/>
    <w:rsid w:val="00832B34"/>
    <w:rsid w:val="00832C34"/>
    <w:rsid w:val="00832CB6"/>
    <w:rsid w:val="00832D21"/>
    <w:rsid w:val="00832D51"/>
    <w:rsid w:val="00832D56"/>
    <w:rsid w:val="00832DF9"/>
    <w:rsid w:val="00832EAC"/>
    <w:rsid w:val="00832F79"/>
    <w:rsid w:val="00832FBB"/>
    <w:rsid w:val="00833008"/>
    <w:rsid w:val="008330A5"/>
    <w:rsid w:val="008330A8"/>
    <w:rsid w:val="008330B3"/>
    <w:rsid w:val="008330E8"/>
    <w:rsid w:val="008331A0"/>
    <w:rsid w:val="008331F8"/>
    <w:rsid w:val="0083331B"/>
    <w:rsid w:val="0083333E"/>
    <w:rsid w:val="0083334B"/>
    <w:rsid w:val="0083339B"/>
    <w:rsid w:val="008333DC"/>
    <w:rsid w:val="008333DE"/>
    <w:rsid w:val="008334B7"/>
    <w:rsid w:val="0083350D"/>
    <w:rsid w:val="00833528"/>
    <w:rsid w:val="0083354A"/>
    <w:rsid w:val="00833566"/>
    <w:rsid w:val="008335E0"/>
    <w:rsid w:val="008335FD"/>
    <w:rsid w:val="0083367C"/>
    <w:rsid w:val="0083368D"/>
    <w:rsid w:val="008336CC"/>
    <w:rsid w:val="008336E3"/>
    <w:rsid w:val="0083372A"/>
    <w:rsid w:val="00833772"/>
    <w:rsid w:val="008337DE"/>
    <w:rsid w:val="008337E2"/>
    <w:rsid w:val="0083388C"/>
    <w:rsid w:val="008338F4"/>
    <w:rsid w:val="0083397C"/>
    <w:rsid w:val="00833A00"/>
    <w:rsid w:val="00833AB2"/>
    <w:rsid w:val="00833AEF"/>
    <w:rsid w:val="00833B43"/>
    <w:rsid w:val="00833B6D"/>
    <w:rsid w:val="00833BF6"/>
    <w:rsid w:val="00833BFD"/>
    <w:rsid w:val="00833C02"/>
    <w:rsid w:val="00833C3A"/>
    <w:rsid w:val="00833C5E"/>
    <w:rsid w:val="00833C5F"/>
    <w:rsid w:val="00833CD1"/>
    <w:rsid w:val="00833CE7"/>
    <w:rsid w:val="00833D19"/>
    <w:rsid w:val="00833D2A"/>
    <w:rsid w:val="00833D33"/>
    <w:rsid w:val="00833D55"/>
    <w:rsid w:val="00833D89"/>
    <w:rsid w:val="00833DC3"/>
    <w:rsid w:val="00833EAC"/>
    <w:rsid w:val="00833EE1"/>
    <w:rsid w:val="00833EF6"/>
    <w:rsid w:val="00833F26"/>
    <w:rsid w:val="00833F6D"/>
    <w:rsid w:val="00833FBD"/>
    <w:rsid w:val="008340EB"/>
    <w:rsid w:val="008340EE"/>
    <w:rsid w:val="00834101"/>
    <w:rsid w:val="008341BC"/>
    <w:rsid w:val="008342EB"/>
    <w:rsid w:val="008342FF"/>
    <w:rsid w:val="00834385"/>
    <w:rsid w:val="00834395"/>
    <w:rsid w:val="00834402"/>
    <w:rsid w:val="0083442C"/>
    <w:rsid w:val="0083448A"/>
    <w:rsid w:val="008344A9"/>
    <w:rsid w:val="008344E2"/>
    <w:rsid w:val="008344FA"/>
    <w:rsid w:val="00834585"/>
    <w:rsid w:val="00834591"/>
    <w:rsid w:val="008345FB"/>
    <w:rsid w:val="008346FD"/>
    <w:rsid w:val="00834729"/>
    <w:rsid w:val="0083474A"/>
    <w:rsid w:val="0083474D"/>
    <w:rsid w:val="00834772"/>
    <w:rsid w:val="008347C5"/>
    <w:rsid w:val="008348F6"/>
    <w:rsid w:val="008349E5"/>
    <w:rsid w:val="008349EC"/>
    <w:rsid w:val="00834A17"/>
    <w:rsid w:val="00834A31"/>
    <w:rsid w:val="00834A47"/>
    <w:rsid w:val="00834A86"/>
    <w:rsid w:val="00834AD1"/>
    <w:rsid w:val="00834B5E"/>
    <w:rsid w:val="00834B63"/>
    <w:rsid w:val="00834C86"/>
    <w:rsid w:val="00834D24"/>
    <w:rsid w:val="00834D61"/>
    <w:rsid w:val="00834DA8"/>
    <w:rsid w:val="00834EBD"/>
    <w:rsid w:val="00834ED7"/>
    <w:rsid w:val="00834FA1"/>
    <w:rsid w:val="00834FAA"/>
    <w:rsid w:val="0083513E"/>
    <w:rsid w:val="008351B1"/>
    <w:rsid w:val="008351C4"/>
    <w:rsid w:val="00835284"/>
    <w:rsid w:val="008352C5"/>
    <w:rsid w:val="00835364"/>
    <w:rsid w:val="0083536D"/>
    <w:rsid w:val="0083538A"/>
    <w:rsid w:val="0083539F"/>
    <w:rsid w:val="00835430"/>
    <w:rsid w:val="00835463"/>
    <w:rsid w:val="008354A7"/>
    <w:rsid w:val="008354B2"/>
    <w:rsid w:val="008356E4"/>
    <w:rsid w:val="008356F7"/>
    <w:rsid w:val="0083572D"/>
    <w:rsid w:val="00835745"/>
    <w:rsid w:val="0083580D"/>
    <w:rsid w:val="00835931"/>
    <w:rsid w:val="00835959"/>
    <w:rsid w:val="008359F5"/>
    <w:rsid w:val="00835A11"/>
    <w:rsid w:val="00835A34"/>
    <w:rsid w:val="00835A6D"/>
    <w:rsid w:val="00835AF9"/>
    <w:rsid w:val="00835B3B"/>
    <w:rsid w:val="00835C30"/>
    <w:rsid w:val="00835C4F"/>
    <w:rsid w:val="00835C89"/>
    <w:rsid w:val="00835CDD"/>
    <w:rsid w:val="00835D10"/>
    <w:rsid w:val="00835D1A"/>
    <w:rsid w:val="00835D75"/>
    <w:rsid w:val="00835DA3"/>
    <w:rsid w:val="00835DE1"/>
    <w:rsid w:val="00835E6A"/>
    <w:rsid w:val="00835E9F"/>
    <w:rsid w:val="00835EA8"/>
    <w:rsid w:val="00835EDE"/>
    <w:rsid w:val="00835F4D"/>
    <w:rsid w:val="00835F5A"/>
    <w:rsid w:val="0083605F"/>
    <w:rsid w:val="008360B0"/>
    <w:rsid w:val="008360B8"/>
    <w:rsid w:val="00836150"/>
    <w:rsid w:val="008361BC"/>
    <w:rsid w:val="008361D8"/>
    <w:rsid w:val="00836300"/>
    <w:rsid w:val="0083634A"/>
    <w:rsid w:val="00836387"/>
    <w:rsid w:val="008363A3"/>
    <w:rsid w:val="00836413"/>
    <w:rsid w:val="008365A4"/>
    <w:rsid w:val="0083668B"/>
    <w:rsid w:val="008366B6"/>
    <w:rsid w:val="00836702"/>
    <w:rsid w:val="0083673C"/>
    <w:rsid w:val="00836756"/>
    <w:rsid w:val="00836849"/>
    <w:rsid w:val="0083692F"/>
    <w:rsid w:val="00836947"/>
    <w:rsid w:val="00836974"/>
    <w:rsid w:val="008369CC"/>
    <w:rsid w:val="00836C33"/>
    <w:rsid w:val="00836C4B"/>
    <w:rsid w:val="00836CAC"/>
    <w:rsid w:val="00836CB6"/>
    <w:rsid w:val="00836D45"/>
    <w:rsid w:val="00836D5B"/>
    <w:rsid w:val="00836DA0"/>
    <w:rsid w:val="00836E8E"/>
    <w:rsid w:val="00836F8D"/>
    <w:rsid w:val="00836F96"/>
    <w:rsid w:val="00836FBF"/>
    <w:rsid w:val="00837035"/>
    <w:rsid w:val="0083703D"/>
    <w:rsid w:val="00837053"/>
    <w:rsid w:val="0083706A"/>
    <w:rsid w:val="00837087"/>
    <w:rsid w:val="008370C0"/>
    <w:rsid w:val="008370D3"/>
    <w:rsid w:val="00837113"/>
    <w:rsid w:val="00837139"/>
    <w:rsid w:val="0083713B"/>
    <w:rsid w:val="008371FA"/>
    <w:rsid w:val="00837258"/>
    <w:rsid w:val="0083728F"/>
    <w:rsid w:val="00837293"/>
    <w:rsid w:val="0083738B"/>
    <w:rsid w:val="00837396"/>
    <w:rsid w:val="00837441"/>
    <w:rsid w:val="0083746D"/>
    <w:rsid w:val="00837498"/>
    <w:rsid w:val="00837499"/>
    <w:rsid w:val="008374C0"/>
    <w:rsid w:val="008374D9"/>
    <w:rsid w:val="00837584"/>
    <w:rsid w:val="00837594"/>
    <w:rsid w:val="008375A4"/>
    <w:rsid w:val="008375D5"/>
    <w:rsid w:val="00837604"/>
    <w:rsid w:val="00837645"/>
    <w:rsid w:val="00837692"/>
    <w:rsid w:val="008376F0"/>
    <w:rsid w:val="00837756"/>
    <w:rsid w:val="008377C3"/>
    <w:rsid w:val="00837988"/>
    <w:rsid w:val="008379A1"/>
    <w:rsid w:val="008379D6"/>
    <w:rsid w:val="00837A3C"/>
    <w:rsid w:val="00837A63"/>
    <w:rsid w:val="00837AA1"/>
    <w:rsid w:val="00837AD0"/>
    <w:rsid w:val="00837AD5"/>
    <w:rsid w:val="00837AED"/>
    <w:rsid w:val="00837B21"/>
    <w:rsid w:val="00837BEF"/>
    <w:rsid w:val="00837C13"/>
    <w:rsid w:val="00837C8F"/>
    <w:rsid w:val="00837CDD"/>
    <w:rsid w:val="00837D08"/>
    <w:rsid w:val="00837D0A"/>
    <w:rsid w:val="00837E23"/>
    <w:rsid w:val="00837E53"/>
    <w:rsid w:val="00837EF4"/>
    <w:rsid w:val="00837F6C"/>
    <w:rsid w:val="00837F83"/>
    <w:rsid w:val="00840046"/>
    <w:rsid w:val="00840057"/>
    <w:rsid w:val="008401B9"/>
    <w:rsid w:val="008401CC"/>
    <w:rsid w:val="008401F8"/>
    <w:rsid w:val="0084020F"/>
    <w:rsid w:val="0084022C"/>
    <w:rsid w:val="00840375"/>
    <w:rsid w:val="0084038B"/>
    <w:rsid w:val="008403BE"/>
    <w:rsid w:val="00840407"/>
    <w:rsid w:val="00840436"/>
    <w:rsid w:val="00840437"/>
    <w:rsid w:val="00840475"/>
    <w:rsid w:val="00840480"/>
    <w:rsid w:val="0084048F"/>
    <w:rsid w:val="0084049A"/>
    <w:rsid w:val="00840553"/>
    <w:rsid w:val="008405B7"/>
    <w:rsid w:val="008406B0"/>
    <w:rsid w:val="008406DF"/>
    <w:rsid w:val="0084070A"/>
    <w:rsid w:val="0084074F"/>
    <w:rsid w:val="008407E0"/>
    <w:rsid w:val="00840866"/>
    <w:rsid w:val="00840906"/>
    <w:rsid w:val="008409FA"/>
    <w:rsid w:val="00840A15"/>
    <w:rsid w:val="00840A66"/>
    <w:rsid w:val="00840A6A"/>
    <w:rsid w:val="00840BC3"/>
    <w:rsid w:val="00840C09"/>
    <w:rsid w:val="00840C54"/>
    <w:rsid w:val="00840CED"/>
    <w:rsid w:val="00840D88"/>
    <w:rsid w:val="00840E25"/>
    <w:rsid w:val="00840E97"/>
    <w:rsid w:val="00840ED0"/>
    <w:rsid w:val="00840EE7"/>
    <w:rsid w:val="00840F61"/>
    <w:rsid w:val="00840FF6"/>
    <w:rsid w:val="0084105F"/>
    <w:rsid w:val="008410BB"/>
    <w:rsid w:val="008411D5"/>
    <w:rsid w:val="008411E1"/>
    <w:rsid w:val="008411F8"/>
    <w:rsid w:val="00841257"/>
    <w:rsid w:val="008412CF"/>
    <w:rsid w:val="00841390"/>
    <w:rsid w:val="00841391"/>
    <w:rsid w:val="00841438"/>
    <w:rsid w:val="00841455"/>
    <w:rsid w:val="0084149B"/>
    <w:rsid w:val="008414DF"/>
    <w:rsid w:val="008415D8"/>
    <w:rsid w:val="0084161E"/>
    <w:rsid w:val="008416FA"/>
    <w:rsid w:val="00841749"/>
    <w:rsid w:val="00841751"/>
    <w:rsid w:val="008417D3"/>
    <w:rsid w:val="0084183B"/>
    <w:rsid w:val="008418CB"/>
    <w:rsid w:val="0084193E"/>
    <w:rsid w:val="008419DC"/>
    <w:rsid w:val="008419E9"/>
    <w:rsid w:val="00841AEA"/>
    <w:rsid w:val="00841B2D"/>
    <w:rsid w:val="00841B84"/>
    <w:rsid w:val="00841BEB"/>
    <w:rsid w:val="00841BF6"/>
    <w:rsid w:val="00841C40"/>
    <w:rsid w:val="00841C54"/>
    <w:rsid w:val="00841CA4"/>
    <w:rsid w:val="00841CE3"/>
    <w:rsid w:val="00841CF2"/>
    <w:rsid w:val="00841D0E"/>
    <w:rsid w:val="00841D4F"/>
    <w:rsid w:val="00841D68"/>
    <w:rsid w:val="00841DF0"/>
    <w:rsid w:val="00841E9B"/>
    <w:rsid w:val="00841F13"/>
    <w:rsid w:val="00841F15"/>
    <w:rsid w:val="00841F48"/>
    <w:rsid w:val="00841F91"/>
    <w:rsid w:val="008420DD"/>
    <w:rsid w:val="008421C5"/>
    <w:rsid w:val="0084222A"/>
    <w:rsid w:val="00842230"/>
    <w:rsid w:val="0084228C"/>
    <w:rsid w:val="00842341"/>
    <w:rsid w:val="00842383"/>
    <w:rsid w:val="0084238E"/>
    <w:rsid w:val="008423DC"/>
    <w:rsid w:val="00842472"/>
    <w:rsid w:val="00842476"/>
    <w:rsid w:val="008424AB"/>
    <w:rsid w:val="008424CA"/>
    <w:rsid w:val="008425DC"/>
    <w:rsid w:val="008425E6"/>
    <w:rsid w:val="00842615"/>
    <w:rsid w:val="00842667"/>
    <w:rsid w:val="00842673"/>
    <w:rsid w:val="008426C3"/>
    <w:rsid w:val="00842776"/>
    <w:rsid w:val="008427D3"/>
    <w:rsid w:val="008427DE"/>
    <w:rsid w:val="00842838"/>
    <w:rsid w:val="00842884"/>
    <w:rsid w:val="00842928"/>
    <w:rsid w:val="00842958"/>
    <w:rsid w:val="00842963"/>
    <w:rsid w:val="00842977"/>
    <w:rsid w:val="008429AF"/>
    <w:rsid w:val="00842A5F"/>
    <w:rsid w:val="00842A67"/>
    <w:rsid w:val="00842A96"/>
    <w:rsid w:val="00842AA1"/>
    <w:rsid w:val="00842AB3"/>
    <w:rsid w:val="00842BBD"/>
    <w:rsid w:val="00842BD7"/>
    <w:rsid w:val="00842C14"/>
    <w:rsid w:val="00842C41"/>
    <w:rsid w:val="00842CC8"/>
    <w:rsid w:val="00842D08"/>
    <w:rsid w:val="00842D3F"/>
    <w:rsid w:val="00842DAD"/>
    <w:rsid w:val="00842DD5"/>
    <w:rsid w:val="00842DE7"/>
    <w:rsid w:val="00842E00"/>
    <w:rsid w:val="00842E02"/>
    <w:rsid w:val="00842E0B"/>
    <w:rsid w:val="00842ED6"/>
    <w:rsid w:val="00842F5D"/>
    <w:rsid w:val="00842FAE"/>
    <w:rsid w:val="00842FD3"/>
    <w:rsid w:val="0084305C"/>
    <w:rsid w:val="008430DC"/>
    <w:rsid w:val="008430FC"/>
    <w:rsid w:val="0084312C"/>
    <w:rsid w:val="0084312E"/>
    <w:rsid w:val="00843197"/>
    <w:rsid w:val="008431A1"/>
    <w:rsid w:val="0084324C"/>
    <w:rsid w:val="00843257"/>
    <w:rsid w:val="008432B1"/>
    <w:rsid w:val="0084333B"/>
    <w:rsid w:val="0084335A"/>
    <w:rsid w:val="008433AC"/>
    <w:rsid w:val="008433F3"/>
    <w:rsid w:val="0084343E"/>
    <w:rsid w:val="00843451"/>
    <w:rsid w:val="00843489"/>
    <w:rsid w:val="0084351C"/>
    <w:rsid w:val="0084356E"/>
    <w:rsid w:val="008435F9"/>
    <w:rsid w:val="00843638"/>
    <w:rsid w:val="00843673"/>
    <w:rsid w:val="008436AE"/>
    <w:rsid w:val="008436EE"/>
    <w:rsid w:val="00843754"/>
    <w:rsid w:val="0084379D"/>
    <w:rsid w:val="0084383C"/>
    <w:rsid w:val="008438C5"/>
    <w:rsid w:val="0084393C"/>
    <w:rsid w:val="00843953"/>
    <w:rsid w:val="00843A49"/>
    <w:rsid w:val="00843A6C"/>
    <w:rsid w:val="00843AD8"/>
    <w:rsid w:val="00843B88"/>
    <w:rsid w:val="00843BC8"/>
    <w:rsid w:val="00843BE9"/>
    <w:rsid w:val="00843C7D"/>
    <w:rsid w:val="00843C9B"/>
    <w:rsid w:val="00843D1D"/>
    <w:rsid w:val="00843D4E"/>
    <w:rsid w:val="00843D50"/>
    <w:rsid w:val="00843D63"/>
    <w:rsid w:val="00843D8F"/>
    <w:rsid w:val="00843E5C"/>
    <w:rsid w:val="00843F5B"/>
    <w:rsid w:val="00843FD7"/>
    <w:rsid w:val="00843FE7"/>
    <w:rsid w:val="0084403D"/>
    <w:rsid w:val="00844055"/>
    <w:rsid w:val="0084406A"/>
    <w:rsid w:val="008440C7"/>
    <w:rsid w:val="0084410E"/>
    <w:rsid w:val="00844138"/>
    <w:rsid w:val="0084422B"/>
    <w:rsid w:val="008442BA"/>
    <w:rsid w:val="008442D0"/>
    <w:rsid w:val="0084431E"/>
    <w:rsid w:val="0084437E"/>
    <w:rsid w:val="0084437F"/>
    <w:rsid w:val="008443AB"/>
    <w:rsid w:val="00844436"/>
    <w:rsid w:val="00844442"/>
    <w:rsid w:val="00844466"/>
    <w:rsid w:val="008444B0"/>
    <w:rsid w:val="008444FE"/>
    <w:rsid w:val="00844549"/>
    <w:rsid w:val="0084458E"/>
    <w:rsid w:val="00844657"/>
    <w:rsid w:val="00844662"/>
    <w:rsid w:val="0084469E"/>
    <w:rsid w:val="008446F1"/>
    <w:rsid w:val="00844723"/>
    <w:rsid w:val="00844766"/>
    <w:rsid w:val="008448B6"/>
    <w:rsid w:val="0084491E"/>
    <w:rsid w:val="0084495D"/>
    <w:rsid w:val="00844982"/>
    <w:rsid w:val="008449AE"/>
    <w:rsid w:val="00844A70"/>
    <w:rsid w:val="00844A9F"/>
    <w:rsid w:val="00844B79"/>
    <w:rsid w:val="00844B97"/>
    <w:rsid w:val="00844C1F"/>
    <w:rsid w:val="00844C20"/>
    <w:rsid w:val="00844D08"/>
    <w:rsid w:val="00844D23"/>
    <w:rsid w:val="00844D54"/>
    <w:rsid w:val="00844DBF"/>
    <w:rsid w:val="00844E04"/>
    <w:rsid w:val="00844E0A"/>
    <w:rsid w:val="00844E20"/>
    <w:rsid w:val="00844E58"/>
    <w:rsid w:val="00844EB3"/>
    <w:rsid w:val="00844F17"/>
    <w:rsid w:val="00844F4C"/>
    <w:rsid w:val="00844FDB"/>
    <w:rsid w:val="00845000"/>
    <w:rsid w:val="00845057"/>
    <w:rsid w:val="00845062"/>
    <w:rsid w:val="00845140"/>
    <w:rsid w:val="0084514C"/>
    <w:rsid w:val="008451D6"/>
    <w:rsid w:val="00845227"/>
    <w:rsid w:val="00845261"/>
    <w:rsid w:val="008452C4"/>
    <w:rsid w:val="008452DF"/>
    <w:rsid w:val="00845323"/>
    <w:rsid w:val="00845342"/>
    <w:rsid w:val="0084536B"/>
    <w:rsid w:val="00845392"/>
    <w:rsid w:val="0084539E"/>
    <w:rsid w:val="0084541F"/>
    <w:rsid w:val="00845442"/>
    <w:rsid w:val="00845459"/>
    <w:rsid w:val="0084545D"/>
    <w:rsid w:val="0084549F"/>
    <w:rsid w:val="008454CF"/>
    <w:rsid w:val="00845518"/>
    <w:rsid w:val="0084551D"/>
    <w:rsid w:val="008455B5"/>
    <w:rsid w:val="008455FA"/>
    <w:rsid w:val="00845652"/>
    <w:rsid w:val="008456F1"/>
    <w:rsid w:val="008457ED"/>
    <w:rsid w:val="00845857"/>
    <w:rsid w:val="008458AC"/>
    <w:rsid w:val="008458FA"/>
    <w:rsid w:val="00845919"/>
    <w:rsid w:val="0084598E"/>
    <w:rsid w:val="008459B4"/>
    <w:rsid w:val="008459C7"/>
    <w:rsid w:val="00845A2E"/>
    <w:rsid w:val="00845AB7"/>
    <w:rsid w:val="00845AD2"/>
    <w:rsid w:val="00845B08"/>
    <w:rsid w:val="00845B8F"/>
    <w:rsid w:val="00845BB2"/>
    <w:rsid w:val="00845BC9"/>
    <w:rsid w:val="00845C61"/>
    <w:rsid w:val="00845CEC"/>
    <w:rsid w:val="00845D12"/>
    <w:rsid w:val="00845D1D"/>
    <w:rsid w:val="00845D65"/>
    <w:rsid w:val="00845D97"/>
    <w:rsid w:val="00845DD3"/>
    <w:rsid w:val="00845DDE"/>
    <w:rsid w:val="00845E82"/>
    <w:rsid w:val="00845E88"/>
    <w:rsid w:val="00845F0F"/>
    <w:rsid w:val="00845F8B"/>
    <w:rsid w:val="00845F98"/>
    <w:rsid w:val="00846011"/>
    <w:rsid w:val="00846077"/>
    <w:rsid w:val="008460C3"/>
    <w:rsid w:val="00846123"/>
    <w:rsid w:val="00846331"/>
    <w:rsid w:val="00846349"/>
    <w:rsid w:val="00846368"/>
    <w:rsid w:val="008463E6"/>
    <w:rsid w:val="008464BC"/>
    <w:rsid w:val="00846541"/>
    <w:rsid w:val="008465AA"/>
    <w:rsid w:val="008465C0"/>
    <w:rsid w:val="008465F2"/>
    <w:rsid w:val="00846628"/>
    <w:rsid w:val="008466C6"/>
    <w:rsid w:val="008466DE"/>
    <w:rsid w:val="00846710"/>
    <w:rsid w:val="00846734"/>
    <w:rsid w:val="008467C9"/>
    <w:rsid w:val="00846864"/>
    <w:rsid w:val="00846890"/>
    <w:rsid w:val="008468E9"/>
    <w:rsid w:val="00846910"/>
    <w:rsid w:val="00846977"/>
    <w:rsid w:val="008469A8"/>
    <w:rsid w:val="008469D2"/>
    <w:rsid w:val="00846AFB"/>
    <w:rsid w:val="00846B09"/>
    <w:rsid w:val="00846B3D"/>
    <w:rsid w:val="00846BF4"/>
    <w:rsid w:val="00846BF5"/>
    <w:rsid w:val="00846C32"/>
    <w:rsid w:val="00846C34"/>
    <w:rsid w:val="00846D1A"/>
    <w:rsid w:val="00846D29"/>
    <w:rsid w:val="00846D34"/>
    <w:rsid w:val="00846D5E"/>
    <w:rsid w:val="00846D66"/>
    <w:rsid w:val="00846D6D"/>
    <w:rsid w:val="00846D91"/>
    <w:rsid w:val="00846E0B"/>
    <w:rsid w:val="00846E76"/>
    <w:rsid w:val="00846F28"/>
    <w:rsid w:val="00846F77"/>
    <w:rsid w:val="00846F8C"/>
    <w:rsid w:val="0084702B"/>
    <w:rsid w:val="0084704D"/>
    <w:rsid w:val="0084707B"/>
    <w:rsid w:val="00847097"/>
    <w:rsid w:val="008470F3"/>
    <w:rsid w:val="00847108"/>
    <w:rsid w:val="008471D4"/>
    <w:rsid w:val="008471DA"/>
    <w:rsid w:val="0084721C"/>
    <w:rsid w:val="00847262"/>
    <w:rsid w:val="008472B8"/>
    <w:rsid w:val="008472F4"/>
    <w:rsid w:val="0084733C"/>
    <w:rsid w:val="0084745F"/>
    <w:rsid w:val="00847565"/>
    <w:rsid w:val="0084756F"/>
    <w:rsid w:val="008475E7"/>
    <w:rsid w:val="00847646"/>
    <w:rsid w:val="0084768A"/>
    <w:rsid w:val="00847696"/>
    <w:rsid w:val="0084772C"/>
    <w:rsid w:val="0084776B"/>
    <w:rsid w:val="00847797"/>
    <w:rsid w:val="00847982"/>
    <w:rsid w:val="0084798B"/>
    <w:rsid w:val="008479BC"/>
    <w:rsid w:val="008479FF"/>
    <w:rsid w:val="00847A03"/>
    <w:rsid w:val="00847B9E"/>
    <w:rsid w:val="00847BB5"/>
    <w:rsid w:val="00847BF0"/>
    <w:rsid w:val="00847C58"/>
    <w:rsid w:val="00847C71"/>
    <w:rsid w:val="00847CCB"/>
    <w:rsid w:val="00847CDE"/>
    <w:rsid w:val="00847D02"/>
    <w:rsid w:val="00847D4E"/>
    <w:rsid w:val="00847D9A"/>
    <w:rsid w:val="00847DA9"/>
    <w:rsid w:val="00847E0A"/>
    <w:rsid w:val="0085001E"/>
    <w:rsid w:val="00850028"/>
    <w:rsid w:val="0085010F"/>
    <w:rsid w:val="00850153"/>
    <w:rsid w:val="00850184"/>
    <w:rsid w:val="00850199"/>
    <w:rsid w:val="00850210"/>
    <w:rsid w:val="00850213"/>
    <w:rsid w:val="00850236"/>
    <w:rsid w:val="0085028B"/>
    <w:rsid w:val="00850398"/>
    <w:rsid w:val="008503BB"/>
    <w:rsid w:val="00850448"/>
    <w:rsid w:val="008504D5"/>
    <w:rsid w:val="0085052C"/>
    <w:rsid w:val="0085052F"/>
    <w:rsid w:val="00850681"/>
    <w:rsid w:val="00850711"/>
    <w:rsid w:val="00850721"/>
    <w:rsid w:val="00850776"/>
    <w:rsid w:val="008507FC"/>
    <w:rsid w:val="008508F7"/>
    <w:rsid w:val="00850907"/>
    <w:rsid w:val="0085090F"/>
    <w:rsid w:val="0085091B"/>
    <w:rsid w:val="00850993"/>
    <w:rsid w:val="008509EB"/>
    <w:rsid w:val="008509F2"/>
    <w:rsid w:val="008509F5"/>
    <w:rsid w:val="00850A83"/>
    <w:rsid w:val="00850D3A"/>
    <w:rsid w:val="00850D45"/>
    <w:rsid w:val="00850D83"/>
    <w:rsid w:val="00850DC1"/>
    <w:rsid w:val="00850EC9"/>
    <w:rsid w:val="00850EEC"/>
    <w:rsid w:val="00850F1A"/>
    <w:rsid w:val="00850F40"/>
    <w:rsid w:val="00850F75"/>
    <w:rsid w:val="00850FB4"/>
    <w:rsid w:val="00851047"/>
    <w:rsid w:val="00851114"/>
    <w:rsid w:val="0085114E"/>
    <w:rsid w:val="008511A4"/>
    <w:rsid w:val="008511A7"/>
    <w:rsid w:val="008512C2"/>
    <w:rsid w:val="008513FA"/>
    <w:rsid w:val="00851428"/>
    <w:rsid w:val="0085144E"/>
    <w:rsid w:val="008514B6"/>
    <w:rsid w:val="008514F0"/>
    <w:rsid w:val="008514FE"/>
    <w:rsid w:val="0085153E"/>
    <w:rsid w:val="00851659"/>
    <w:rsid w:val="008516D3"/>
    <w:rsid w:val="0085176D"/>
    <w:rsid w:val="00851791"/>
    <w:rsid w:val="008517EB"/>
    <w:rsid w:val="0085180D"/>
    <w:rsid w:val="00851815"/>
    <w:rsid w:val="0085183A"/>
    <w:rsid w:val="0085183B"/>
    <w:rsid w:val="0085185D"/>
    <w:rsid w:val="008518AF"/>
    <w:rsid w:val="008518E4"/>
    <w:rsid w:val="0085194B"/>
    <w:rsid w:val="00851985"/>
    <w:rsid w:val="008519AE"/>
    <w:rsid w:val="00851A40"/>
    <w:rsid w:val="00851A74"/>
    <w:rsid w:val="00851B01"/>
    <w:rsid w:val="00851B75"/>
    <w:rsid w:val="00851B97"/>
    <w:rsid w:val="00851BA0"/>
    <w:rsid w:val="00851C45"/>
    <w:rsid w:val="00851D18"/>
    <w:rsid w:val="00851D35"/>
    <w:rsid w:val="00851D6D"/>
    <w:rsid w:val="00851D74"/>
    <w:rsid w:val="00851DD3"/>
    <w:rsid w:val="00851E58"/>
    <w:rsid w:val="00851EC0"/>
    <w:rsid w:val="00851EE2"/>
    <w:rsid w:val="00851EFA"/>
    <w:rsid w:val="00851F1E"/>
    <w:rsid w:val="00851F20"/>
    <w:rsid w:val="00851F3A"/>
    <w:rsid w:val="00851F59"/>
    <w:rsid w:val="00851F94"/>
    <w:rsid w:val="00851FFC"/>
    <w:rsid w:val="00852059"/>
    <w:rsid w:val="0085206B"/>
    <w:rsid w:val="00852081"/>
    <w:rsid w:val="008520B9"/>
    <w:rsid w:val="0085214A"/>
    <w:rsid w:val="008521B3"/>
    <w:rsid w:val="008521BF"/>
    <w:rsid w:val="00852232"/>
    <w:rsid w:val="00852249"/>
    <w:rsid w:val="00852254"/>
    <w:rsid w:val="00852257"/>
    <w:rsid w:val="008522AF"/>
    <w:rsid w:val="0085232B"/>
    <w:rsid w:val="008523A9"/>
    <w:rsid w:val="008524F4"/>
    <w:rsid w:val="0085253C"/>
    <w:rsid w:val="00852632"/>
    <w:rsid w:val="0085271F"/>
    <w:rsid w:val="00852743"/>
    <w:rsid w:val="00852757"/>
    <w:rsid w:val="0085276B"/>
    <w:rsid w:val="008527BA"/>
    <w:rsid w:val="008527E0"/>
    <w:rsid w:val="0085282D"/>
    <w:rsid w:val="008528C9"/>
    <w:rsid w:val="0085291F"/>
    <w:rsid w:val="00852942"/>
    <w:rsid w:val="008529AF"/>
    <w:rsid w:val="00852A73"/>
    <w:rsid w:val="00852AD2"/>
    <w:rsid w:val="00852B10"/>
    <w:rsid w:val="00852B4C"/>
    <w:rsid w:val="00852B4D"/>
    <w:rsid w:val="00852BCA"/>
    <w:rsid w:val="00852C1F"/>
    <w:rsid w:val="00852C6B"/>
    <w:rsid w:val="00852D18"/>
    <w:rsid w:val="00852D1B"/>
    <w:rsid w:val="00852E35"/>
    <w:rsid w:val="00852E9C"/>
    <w:rsid w:val="00852EAD"/>
    <w:rsid w:val="00852F58"/>
    <w:rsid w:val="00852F5F"/>
    <w:rsid w:val="00852F84"/>
    <w:rsid w:val="00852FB0"/>
    <w:rsid w:val="00852FFA"/>
    <w:rsid w:val="008530CF"/>
    <w:rsid w:val="00853340"/>
    <w:rsid w:val="0085337F"/>
    <w:rsid w:val="008533CC"/>
    <w:rsid w:val="00853414"/>
    <w:rsid w:val="00853435"/>
    <w:rsid w:val="0085344B"/>
    <w:rsid w:val="00853452"/>
    <w:rsid w:val="0085346E"/>
    <w:rsid w:val="00853491"/>
    <w:rsid w:val="008534CB"/>
    <w:rsid w:val="008534E7"/>
    <w:rsid w:val="008534F7"/>
    <w:rsid w:val="008535C5"/>
    <w:rsid w:val="008535F4"/>
    <w:rsid w:val="00853618"/>
    <w:rsid w:val="008536A0"/>
    <w:rsid w:val="00853786"/>
    <w:rsid w:val="0085381C"/>
    <w:rsid w:val="008538A1"/>
    <w:rsid w:val="008538C4"/>
    <w:rsid w:val="008538DD"/>
    <w:rsid w:val="00853A2E"/>
    <w:rsid w:val="00853A5E"/>
    <w:rsid w:val="00853AB9"/>
    <w:rsid w:val="00853AE9"/>
    <w:rsid w:val="00853B8A"/>
    <w:rsid w:val="00853BAA"/>
    <w:rsid w:val="00853C2F"/>
    <w:rsid w:val="00853C5D"/>
    <w:rsid w:val="00853CF1"/>
    <w:rsid w:val="00853D3C"/>
    <w:rsid w:val="00853D55"/>
    <w:rsid w:val="00853D72"/>
    <w:rsid w:val="00853DB6"/>
    <w:rsid w:val="00853E01"/>
    <w:rsid w:val="00853E35"/>
    <w:rsid w:val="00853E88"/>
    <w:rsid w:val="00853FC3"/>
    <w:rsid w:val="00854125"/>
    <w:rsid w:val="0085413A"/>
    <w:rsid w:val="00854221"/>
    <w:rsid w:val="00854248"/>
    <w:rsid w:val="008542B7"/>
    <w:rsid w:val="0085432D"/>
    <w:rsid w:val="00854357"/>
    <w:rsid w:val="008543A2"/>
    <w:rsid w:val="008545FC"/>
    <w:rsid w:val="00854601"/>
    <w:rsid w:val="0085464E"/>
    <w:rsid w:val="00854685"/>
    <w:rsid w:val="008546A5"/>
    <w:rsid w:val="008546E3"/>
    <w:rsid w:val="00854742"/>
    <w:rsid w:val="008547B0"/>
    <w:rsid w:val="008547C4"/>
    <w:rsid w:val="0085487B"/>
    <w:rsid w:val="00854881"/>
    <w:rsid w:val="00854884"/>
    <w:rsid w:val="008548F9"/>
    <w:rsid w:val="0085496E"/>
    <w:rsid w:val="00854972"/>
    <w:rsid w:val="00854976"/>
    <w:rsid w:val="00854978"/>
    <w:rsid w:val="008549DF"/>
    <w:rsid w:val="00854A78"/>
    <w:rsid w:val="00854B27"/>
    <w:rsid w:val="00854B94"/>
    <w:rsid w:val="00854BDC"/>
    <w:rsid w:val="00854D31"/>
    <w:rsid w:val="00854D5E"/>
    <w:rsid w:val="00854DCE"/>
    <w:rsid w:val="00854E1C"/>
    <w:rsid w:val="00854E4A"/>
    <w:rsid w:val="00854E58"/>
    <w:rsid w:val="00854ECB"/>
    <w:rsid w:val="00854F4C"/>
    <w:rsid w:val="00854FC7"/>
    <w:rsid w:val="0085505A"/>
    <w:rsid w:val="008550B2"/>
    <w:rsid w:val="008550D0"/>
    <w:rsid w:val="00855124"/>
    <w:rsid w:val="00855127"/>
    <w:rsid w:val="008551E0"/>
    <w:rsid w:val="008551EA"/>
    <w:rsid w:val="008552AD"/>
    <w:rsid w:val="008553A0"/>
    <w:rsid w:val="00855430"/>
    <w:rsid w:val="008554A7"/>
    <w:rsid w:val="008554AE"/>
    <w:rsid w:val="00855597"/>
    <w:rsid w:val="008555D7"/>
    <w:rsid w:val="00855609"/>
    <w:rsid w:val="008556A1"/>
    <w:rsid w:val="008556D4"/>
    <w:rsid w:val="008556E3"/>
    <w:rsid w:val="008556EF"/>
    <w:rsid w:val="008556F6"/>
    <w:rsid w:val="00855751"/>
    <w:rsid w:val="008557BE"/>
    <w:rsid w:val="00855813"/>
    <w:rsid w:val="00855866"/>
    <w:rsid w:val="0085587A"/>
    <w:rsid w:val="008558D0"/>
    <w:rsid w:val="00855954"/>
    <w:rsid w:val="00855990"/>
    <w:rsid w:val="008559E3"/>
    <w:rsid w:val="008559E6"/>
    <w:rsid w:val="008559F1"/>
    <w:rsid w:val="00855A89"/>
    <w:rsid w:val="00855AA9"/>
    <w:rsid w:val="00855AB4"/>
    <w:rsid w:val="00855B90"/>
    <w:rsid w:val="00855C10"/>
    <w:rsid w:val="00855CC3"/>
    <w:rsid w:val="00855D16"/>
    <w:rsid w:val="00855D57"/>
    <w:rsid w:val="00855D5D"/>
    <w:rsid w:val="00855DC3"/>
    <w:rsid w:val="00855E46"/>
    <w:rsid w:val="00855EFE"/>
    <w:rsid w:val="00855F20"/>
    <w:rsid w:val="00855F67"/>
    <w:rsid w:val="00855F6A"/>
    <w:rsid w:val="00855F6B"/>
    <w:rsid w:val="00856121"/>
    <w:rsid w:val="008561F0"/>
    <w:rsid w:val="00856242"/>
    <w:rsid w:val="00856247"/>
    <w:rsid w:val="00856308"/>
    <w:rsid w:val="0085634E"/>
    <w:rsid w:val="0085640F"/>
    <w:rsid w:val="00856413"/>
    <w:rsid w:val="0085643C"/>
    <w:rsid w:val="00856441"/>
    <w:rsid w:val="00856484"/>
    <w:rsid w:val="00856490"/>
    <w:rsid w:val="0085654F"/>
    <w:rsid w:val="008565E3"/>
    <w:rsid w:val="00856651"/>
    <w:rsid w:val="008566C5"/>
    <w:rsid w:val="00856749"/>
    <w:rsid w:val="008568A1"/>
    <w:rsid w:val="00856912"/>
    <w:rsid w:val="00856920"/>
    <w:rsid w:val="00856A34"/>
    <w:rsid w:val="00856A4A"/>
    <w:rsid w:val="00856ACD"/>
    <w:rsid w:val="00856B11"/>
    <w:rsid w:val="00856B77"/>
    <w:rsid w:val="00856BCC"/>
    <w:rsid w:val="00856C22"/>
    <w:rsid w:val="00856D05"/>
    <w:rsid w:val="00856DC6"/>
    <w:rsid w:val="00856DD1"/>
    <w:rsid w:val="00856E16"/>
    <w:rsid w:val="00856E8B"/>
    <w:rsid w:val="00856E9F"/>
    <w:rsid w:val="00856F15"/>
    <w:rsid w:val="00856F84"/>
    <w:rsid w:val="00856FB2"/>
    <w:rsid w:val="00856FB5"/>
    <w:rsid w:val="00856FC3"/>
    <w:rsid w:val="0085703C"/>
    <w:rsid w:val="008570F1"/>
    <w:rsid w:val="00857175"/>
    <w:rsid w:val="00857179"/>
    <w:rsid w:val="00857186"/>
    <w:rsid w:val="0085718D"/>
    <w:rsid w:val="00857245"/>
    <w:rsid w:val="008572BF"/>
    <w:rsid w:val="008572E4"/>
    <w:rsid w:val="00857314"/>
    <w:rsid w:val="00857484"/>
    <w:rsid w:val="008574F7"/>
    <w:rsid w:val="0085755C"/>
    <w:rsid w:val="00857561"/>
    <w:rsid w:val="00857581"/>
    <w:rsid w:val="00857584"/>
    <w:rsid w:val="008575D2"/>
    <w:rsid w:val="008576DC"/>
    <w:rsid w:val="00857720"/>
    <w:rsid w:val="0085775A"/>
    <w:rsid w:val="008577A3"/>
    <w:rsid w:val="008577B4"/>
    <w:rsid w:val="008577D2"/>
    <w:rsid w:val="008577D7"/>
    <w:rsid w:val="008577FD"/>
    <w:rsid w:val="008578B8"/>
    <w:rsid w:val="008578BC"/>
    <w:rsid w:val="0085791B"/>
    <w:rsid w:val="0085794D"/>
    <w:rsid w:val="008579B0"/>
    <w:rsid w:val="00857A02"/>
    <w:rsid w:val="00857A95"/>
    <w:rsid w:val="00857B36"/>
    <w:rsid w:val="00857B7E"/>
    <w:rsid w:val="00857BE2"/>
    <w:rsid w:val="00857C26"/>
    <w:rsid w:val="00857DD8"/>
    <w:rsid w:val="00857DE6"/>
    <w:rsid w:val="00857FC6"/>
    <w:rsid w:val="0085FF73"/>
    <w:rsid w:val="0086006B"/>
    <w:rsid w:val="008600A4"/>
    <w:rsid w:val="008600D4"/>
    <w:rsid w:val="008600DA"/>
    <w:rsid w:val="0086015E"/>
    <w:rsid w:val="008601F2"/>
    <w:rsid w:val="0086020E"/>
    <w:rsid w:val="00860226"/>
    <w:rsid w:val="0086026F"/>
    <w:rsid w:val="008602DD"/>
    <w:rsid w:val="008603C6"/>
    <w:rsid w:val="00860404"/>
    <w:rsid w:val="00860434"/>
    <w:rsid w:val="008604BD"/>
    <w:rsid w:val="00860551"/>
    <w:rsid w:val="0086058F"/>
    <w:rsid w:val="00860591"/>
    <w:rsid w:val="008605D9"/>
    <w:rsid w:val="008605E1"/>
    <w:rsid w:val="00860620"/>
    <w:rsid w:val="00860668"/>
    <w:rsid w:val="008606E9"/>
    <w:rsid w:val="00860712"/>
    <w:rsid w:val="0086072E"/>
    <w:rsid w:val="0086073D"/>
    <w:rsid w:val="00860748"/>
    <w:rsid w:val="00860749"/>
    <w:rsid w:val="00860753"/>
    <w:rsid w:val="00860767"/>
    <w:rsid w:val="0086080B"/>
    <w:rsid w:val="0086082E"/>
    <w:rsid w:val="008609BC"/>
    <w:rsid w:val="008609DC"/>
    <w:rsid w:val="00860A54"/>
    <w:rsid w:val="00860AC1"/>
    <w:rsid w:val="00860AC2"/>
    <w:rsid w:val="00860ACD"/>
    <w:rsid w:val="00860AD8"/>
    <w:rsid w:val="00860B06"/>
    <w:rsid w:val="00860B2B"/>
    <w:rsid w:val="00860B5B"/>
    <w:rsid w:val="00860B89"/>
    <w:rsid w:val="00860B98"/>
    <w:rsid w:val="00860C51"/>
    <w:rsid w:val="00860CAD"/>
    <w:rsid w:val="00860CE4"/>
    <w:rsid w:val="00860CEE"/>
    <w:rsid w:val="00860D15"/>
    <w:rsid w:val="00860D2A"/>
    <w:rsid w:val="00860DCB"/>
    <w:rsid w:val="00860DF2"/>
    <w:rsid w:val="00860E4F"/>
    <w:rsid w:val="00860E96"/>
    <w:rsid w:val="00860E98"/>
    <w:rsid w:val="00860E9C"/>
    <w:rsid w:val="00860FCE"/>
    <w:rsid w:val="0086102E"/>
    <w:rsid w:val="008610F9"/>
    <w:rsid w:val="008611B1"/>
    <w:rsid w:val="008611DC"/>
    <w:rsid w:val="008612B5"/>
    <w:rsid w:val="008612FF"/>
    <w:rsid w:val="0086132C"/>
    <w:rsid w:val="008613B2"/>
    <w:rsid w:val="00861458"/>
    <w:rsid w:val="0086146E"/>
    <w:rsid w:val="008614DB"/>
    <w:rsid w:val="0086158A"/>
    <w:rsid w:val="008615A4"/>
    <w:rsid w:val="008615CA"/>
    <w:rsid w:val="008615E9"/>
    <w:rsid w:val="00861619"/>
    <w:rsid w:val="00861721"/>
    <w:rsid w:val="0086172B"/>
    <w:rsid w:val="008617BF"/>
    <w:rsid w:val="00861809"/>
    <w:rsid w:val="0086188C"/>
    <w:rsid w:val="008618CA"/>
    <w:rsid w:val="008619D0"/>
    <w:rsid w:val="00861ABD"/>
    <w:rsid w:val="00861B18"/>
    <w:rsid w:val="00861B45"/>
    <w:rsid w:val="00861BA8"/>
    <w:rsid w:val="00861C11"/>
    <w:rsid w:val="00861C22"/>
    <w:rsid w:val="00861C49"/>
    <w:rsid w:val="00861C83"/>
    <w:rsid w:val="00861C88"/>
    <w:rsid w:val="00861CD9"/>
    <w:rsid w:val="00861E08"/>
    <w:rsid w:val="00861E24"/>
    <w:rsid w:val="00861EA5"/>
    <w:rsid w:val="00861ED5"/>
    <w:rsid w:val="00861F63"/>
    <w:rsid w:val="00861F91"/>
    <w:rsid w:val="00861F92"/>
    <w:rsid w:val="00861F9A"/>
    <w:rsid w:val="00861FEB"/>
    <w:rsid w:val="00862059"/>
    <w:rsid w:val="008620DB"/>
    <w:rsid w:val="008620FB"/>
    <w:rsid w:val="00862232"/>
    <w:rsid w:val="00862238"/>
    <w:rsid w:val="008622A9"/>
    <w:rsid w:val="008623EA"/>
    <w:rsid w:val="00862440"/>
    <w:rsid w:val="00862449"/>
    <w:rsid w:val="008624E1"/>
    <w:rsid w:val="0086255B"/>
    <w:rsid w:val="0086258A"/>
    <w:rsid w:val="008625EA"/>
    <w:rsid w:val="0086269A"/>
    <w:rsid w:val="008626CA"/>
    <w:rsid w:val="00862717"/>
    <w:rsid w:val="00862753"/>
    <w:rsid w:val="00862761"/>
    <w:rsid w:val="00862799"/>
    <w:rsid w:val="0086283E"/>
    <w:rsid w:val="00862940"/>
    <w:rsid w:val="008629B8"/>
    <w:rsid w:val="008629B9"/>
    <w:rsid w:val="008629EB"/>
    <w:rsid w:val="008629F4"/>
    <w:rsid w:val="00862A94"/>
    <w:rsid w:val="00862BA1"/>
    <w:rsid w:val="00862BF4"/>
    <w:rsid w:val="00862C36"/>
    <w:rsid w:val="00862C3C"/>
    <w:rsid w:val="00862C8C"/>
    <w:rsid w:val="00862CE7"/>
    <w:rsid w:val="00862D2F"/>
    <w:rsid w:val="00862D62"/>
    <w:rsid w:val="00862D89"/>
    <w:rsid w:val="00862DBA"/>
    <w:rsid w:val="00862E2A"/>
    <w:rsid w:val="00862EF8"/>
    <w:rsid w:val="00862EFB"/>
    <w:rsid w:val="00862F1C"/>
    <w:rsid w:val="00862FB2"/>
    <w:rsid w:val="00863016"/>
    <w:rsid w:val="00863047"/>
    <w:rsid w:val="0086306C"/>
    <w:rsid w:val="008630EB"/>
    <w:rsid w:val="008630FA"/>
    <w:rsid w:val="0086311A"/>
    <w:rsid w:val="00863165"/>
    <w:rsid w:val="008631B4"/>
    <w:rsid w:val="0086320A"/>
    <w:rsid w:val="00863265"/>
    <w:rsid w:val="0086329A"/>
    <w:rsid w:val="0086332E"/>
    <w:rsid w:val="0086335C"/>
    <w:rsid w:val="008634F2"/>
    <w:rsid w:val="0086355B"/>
    <w:rsid w:val="008635CD"/>
    <w:rsid w:val="008636ED"/>
    <w:rsid w:val="00863717"/>
    <w:rsid w:val="00863719"/>
    <w:rsid w:val="008637BB"/>
    <w:rsid w:val="008637F4"/>
    <w:rsid w:val="0086389A"/>
    <w:rsid w:val="00863952"/>
    <w:rsid w:val="00863986"/>
    <w:rsid w:val="008639B4"/>
    <w:rsid w:val="00863A30"/>
    <w:rsid w:val="00863A65"/>
    <w:rsid w:val="00863A90"/>
    <w:rsid w:val="00863A9D"/>
    <w:rsid w:val="00863ADF"/>
    <w:rsid w:val="00863B07"/>
    <w:rsid w:val="00863B45"/>
    <w:rsid w:val="00863B4E"/>
    <w:rsid w:val="00863B52"/>
    <w:rsid w:val="00863B7E"/>
    <w:rsid w:val="00863B90"/>
    <w:rsid w:val="00863BCE"/>
    <w:rsid w:val="00863C53"/>
    <w:rsid w:val="00863CD6"/>
    <w:rsid w:val="00863D0A"/>
    <w:rsid w:val="00863D18"/>
    <w:rsid w:val="00863D9D"/>
    <w:rsid w:val="00863DF9"/>
    <w:rsid w:val="00863E09"/>
    <w:rsid w:val="00863E37"/>
    <w:rsid w:val="00863F05"/>
    <w:rsid w:val="00863F3A"/>
    <w:rsid w:val="00863F40"/>
    <w:rsid w:val="00863F4C"/>
    <w:rsid w:val="00863F81"/>
    <w:rsid w:val="00864028"/>
    <w:rsid w:val="0086403C"/>
    <w:rsid w:val="008640FC"/>
    <w:rsid w:val="00864137"/>
    <w:rsid w:val="00864165"/>
    <w:rsid w:val="0086422E"/>
    <w:rsid w:val="0086423C"/>
    <w:rsid w:val="00864282"/>
    <w:rsid w:val="00864286"/>
    <w:rsid w:val="008642DF"/>
    <w:rsid w:val="00864391"/>
    <w:rsid w:val="00864393"/>
    <w:rsid w:val="008643C8"/>
    <w:rsid w:val="00864431"/>
    <w:rsid w:val="008644D9"/>
    <w:rsid w:val="00864579"/>
    <w:rsid w:val="008645B6"/>
    <w:rsid w:val="008645CE"/>
    <w:rsid w:val="008645EB"/>
    <w:rsid w:val="00864665"/>
    <w:rsid w:val="00864679"/>
    <w:rsid w:val="00864737"/>
    <w:rsid w:val="0086475A"/>
    <w:rsid w:val="008647D6"/>
    <w:rsid w:val="00864805"/>
    <w:rsid w:val="0086486B"/>
    <w:rsid w:val="00864897"/>
    <w:rsid w:val="00864899"/>
    <w:rsid w:val="008648D4"/>
    <w:rsid w:val="0086492D"/>
    <w:rsid w:val="00864A20"/>
    <w:rsid w:val="00864A74"/>
    <w:rsid w:val="00864AA4"/>
    <w:rsid w:val="00864B2F"/>
    <w:rsid w:val="00864B56"/>
    <w:rsid w:val="00864B5B"/>
    <w:rsid w:val="00864BD3"/>
    <w:rsid w:val="00864C25"/>
    <w:rsid w:val="00864C27"/>
    <w:rsid w:val="00864C2D"/>
    <w:rsid w:val="00864CFF"/>
    <w:rsid w:val="00864D0A"/>
    <w:rsid w:val="00864D29"/>
    <w:rsid w:val="00864E0C"/>
    <w:rsid w:val="00864E6C"/>
    <w:rsid w:val="00864F99"/>
    <w:rsid w:val="0086508F"/>
    <w:rsid w:val="00865119"/>
    <w:rsid w:val="008651CF"/>
    <w:rsid w:val="0086524A"/>
    <w:rsid w:val="008652CF"/>
    <w:rsid w:val="00865317"/>
    <w:rsid w:val="008654F5"/>
    <w:rsid w:val="0086558B"/>
    <w:rsid w:val="008655ED"/>
    <w:rsid w:val="00865667"/>
    <w:rsid w:val="00865683"/>
    <w:rsid w:val="0086568A"/>
    <w:rsid w:val="0086568F"/>
    <w:rsid w:val="00865694"/>
    <w:rsid w:val="008657F3"/>
    <w:rsid w:val="00865836"/>
    <w:rsid w:val="0086587B"/>
    <w:rsid w:val="008659E8"/>
    <w:rsid w:val="00865A46"/>
    <w:rsid w:val="00865A50"/>
    <w:rsid w:val="00865A52"/>
    <w:rsid w:val="00865AA3"/>
    <w:rsid w:val="00865AA5"/>
    <w:rsid w:val="00865AEF"/>
    <w:rsid w:val="00865B15"/>
    <w:rsid w:val="00865B35"/>
    <w:rsid w:val="00865B8D"/>
    <w:rsid w:val="00865B8F"/>
    <w:rsid w:val="00865BD5"/>
    <w:rsid w:val="00865BDD"/>
    <w:rsid w:val="00865CE9"/>
    <w:rsid w:val="00865CED"/>
    <w:rsid w:val="00865D61"/>
    <w:rsid w:val="00865DCC"/>
    <w:rsid w:val="00865ECD"/>
    <w:rsid w:val="00865EED"/>
    <w:rsid w:val="00865F2F"/>
    <w:rsid w:val="00865FFE"/>
    <w:rsid w:val="00866047"/>
    <w:rsid w:val="00866087"/>
    <w:rsid w:val="00866103"/>
    <w:rsid w:val="00866118"/>
    <w:rsid w:val="00866185"/>
    <w:rsid w:val="008662EB"/>
    <w:rsid w:val="0086630E"/>
    <w:rsid w:val="00866328"/>
    <w:rsid w:val="0086639C"/>
    <w:rsid w:val="008663FD"/>
    <w:rsid w:val="0086640E"/>
    <w:rsid w:val="00866515"/>
    <w:rsid w:val="0086651E"/>
    <w:rsid w:val="00866595"/>
    <w:rsid w:val="008665B1"/>
    <w:rsid w:val="0086661C"/>
    <w:rsid w:val="00866620"/>
    <w:rsid w:val="0086665C"/>
    <w:rsid w:val="0086666B"/>
    <w:rsid w:val="008666DA"/>
    <w:rsid w:val="008666E9"/>
    <w:rsid w:val="008666EF"/>
    <w:rsid w:val="008666FD"/>
    <w:rsid w:val="00866764"/>
    <w:rsid w:val="0086677C"/>
    <w:rsid w:val="008667D8"/>
    <w:rsid w:val="00866873"/>
    <w:rsid w:val="008668B3"/>
    <w:rsid w:val="008669D4"/>
    <w:rsid w:val="008669EA"/>
    <w:rsid w:val="00866A43"/>
    <w:rsid w:val="00866A48"/>
    <w:rsid w:val="00866A76"/>
    <w:rsid w:val="00866B47"/>
    <w:rsid w:val="00866C54"/>
    <w:rsid w:val="00866CAA"/>
    <w:rsid w:val="00866CF6"/>
    <w:rsid w:val="00866CFC"/>
    <w:rsid w:val="00866D80"/>
    <w:rsid w:val="00866DB7"/>
    <w:rsid w:val="00866DC6"/>
    <w:rsid w:val="00866DC8"/>
    <w:rsid w:val="00866DF8"/>
    <w:rsid w:val="00866F0F"/>
    <w:rsid w:val="00866F59"/>
    <w:rsid w:val="00866F7A"/>
    <w:rsid w:val="00866F92"/>
    <w:rsid w:val="00866FF0"/>
    <w:rsid w:val="00867077"/>
    <w:rsid w:val="008670C0"/>
    <w:rsid w:val="008670DD"/>
    <w:rsid w:val="0086717F"/>
    <w:rsid w:val="00867182"/>
    <w:rsid w:val="008671A7"/>
    <w:rsid w:val="008671DC"/>
    <w:rsid w:val="00867209"/>
    <w:rsid w:val="0086735C"/>
    <w:rsid w:val="008673CC"/>
    <w:rsid w:val="00867472"/>
    <w:rsid w:val="0086749B"/>
    <w:rsid w:val="008674B1"/>
    <w:rsid w:val="0086751A"/>
    <w:rsid w:val="008675C8"/>
    <w:rsid w:val="008675D5"/>
    <w:rsid w:val="00867650"/>
    <w:rsid w:val="0086766D"/>
    <w:rsid w:val="00867670"/>
    <w:rsid w:val="008676B5"/>
    <w:rsid w:val="008676DB"/>
    <w:rsid w:val="008676DE"/>
    <w:rsid w:val="00867731"/>
    <w:rsid w:val="008677C4"/>
    <w:rsid w:val="00867820"/>
    <w:rsid w:val="0086783C"/>
    <w:rsid w:val="00867860"/>
    <w:rsid w:val="00867879"/>
    <w:rsid w:val="008678A0"/>
    <w:rsid w:val="008678B6"/>
    <w:rsid w:val="00867976"/>
    <w:rsid w:val="008679A9"/>
    <w:rsid w:val="008679E6"/>
    <w:rsid w:val="00867A0F"/>
    <w:rsid w:val="00867A44"/>
    <w:rsid w:val="00867AA1"/>
    <w:rsid w:val="00867AFA"/>
    <w:rsid w:val="00867B84"/>
    <w:rsid w:val="00867C20"/>
    <w:rsid w:val="00867C4B"/>
    <w:rsid w:val="00867C85"/>
    <w:rsid w:val="00867CF2"/>
    <w:rsid w:val="00867D53"/>
    <w:rsid w:val="00867DDE"/>
    <w:rsid w:val="00867E03"/>
    <w:rsid w:val="00867E0D"/>
    <w:rsid w:val="00867E72"/>
    <w:rsid w:val="00867E77"/>
    <w:rsid w:val="00867E83"/>
    <w:rsid w:val="00867F63"/>
    <w:rsid w:val="00867F9B"/>
    <w:rsid w:val="00867FC3"/>
    <w:rsid w:val="00870061"/>
    <w:rsid w:val="008701EB"/>
    <w:rsid w:val="00870261"/>
    <w:rsid w:val="00870277"/>
    <w:rsid w:val="008702B2"/>
    <w:rsid w:val="00870308"/>
    <w:rsid w:val="00870320"/>
    <w:rsid w:val="00870352"/>
    <w:rsid w:val="0087037A"/>
    <w:rsid w:val="008704A1"/>
    <w:rsid w:val="008704BE"/>
    <w:rsid w:val="00870578"/>
    <w:rsid w:val="0087059F"/>
    <w:rsid w:val="008705AA"/>
    <w:rsid w:val="008705D7"/>
    <w:rsid w:val="00870645"/>
    <w:rsid w:val="0087066F"/>
    <w:rsid w:val="008706CA"/>
    <w:rsid w:val="008706EF"/>
    <w:rsid w:val="0087073E"/>
    <w:rsid w:val="008707BE"/>
    <w:rsid w:val="008707CD"/>
    <w:rsid w:val="008707DD"/>
    <w:rsid w:val="008707E2"/>
    <w:rsid w:val="00870831"/>
    <w:rsid w:val="00870832"/>
    <w:rsid w:val="0087084B"/>
    <w:rsid w:val="008708EE"/>
    <w:rsid w:val="00870913"/>
    <w:rsid w:val="008709AB"/>
    <w:rsid w:val="008709B6"/>
    <w:rsid w:val="008709C8"/>
    <w:rsid w:val="00870A04"/>
    <w:rsid w:val="00870A49"/>
    <w:rsid w:val="00870A70"/>
    <w:rsid w:val="00870B78"/>
    <w:rsid w:val="00870B96"/>
    <w:rsid w:val="00870BC3"/>
    <w:rsid w:val="00870D2D"/>
    <w:rsid w:val="00870D57"/>
    <w:rsid w:val="00870E12"/>
    <w:rsid w:val="00870E1F"/>
    <w:rsid w:val="00870EEA"/>
    <w:rsid w:val="00870FAF"/>
    <w:rsid w:val="00870FB0"/>
    <w:rsid w:val="00870FF9"/>
    <w:rsid w:val="0087104B"/>
    <w:rsid w:val="00871061"/>
    <w:rsid w:val="008710DA"/>
    <w:rsid w:val="008710EF"/>
    <w:rsid w:val="008711EC"/>
    <w:rsid w:val="00871201"/>
    <w:rsid w:val="0087131C"/>
    <w:rsid w:val="0087134C"/>
    <w:rsid w:val="00871354"/>
    <w:rsid w:val="008713A3"/>
    <w:rsid w:val="008713D0"/>
    <w:rsid w:val="00871495"/>
    <w:rsid w:val="00871499"/>
    <w:rsid w:val="008714E1"/>
    <w:rsid w:val="008715B7"/>
    <w:rsid w:val="00871601"/>
    <w:rsid w:val="00871605"/>
    <w:rsid w:val="00871675"/>
    <w:rsid w:val="00871685"/>
    <w:rsid w:val="008716EA"/>
    <w:rsid w:val="0087176A"/>
    <w:rsid w:val="00871770"/>
    <w:rsid w:val="0087177D"/>
    <w:rsid w:val="008717AB"/>
    <w:rsid w:val="008717D7"/>
    <w:rsid w:val="00871855"/>
    <w:rsid w:val="008718D0"/>
    <w:rsid w:val="008719B1"/>
    <w:rsid w:val="008719E8"/>
    <w:rsid w:val="00871A5C"/>
    <w:rsid w:val="00871ACF"/>
    <w:rsid w:val="00871B5D"/>
    <w:rsid w:val="00871BCC"/>
    <w:rsid w:val="00871BF5"/>
    <w:rsid w:val="00871CB8"/>
    <w:rsid w:val="00871D6A"/>
    <w:rsid w:val="00871DAE"/>
    <w:rsid w:val="00871DD2"/>
    <w:rsid w:val="00871E30"/>
    <w:rsid w:val="00871E76"/>
    <w:rsid w:val="00871EB3"/>
    <w:rsid w:val="00871EB4"/>
    <w:rsid w:val="00871FBD"/>
    <w:rsid w:val="0087201C"/>
    <w:rsid w:val="00872032"/>
    <w:rsid w:val="00872054"/>
    <w:rsid w:val="00872116"/>
    <w:rsid w:val="00872176"/>
    <w:rsid w:val="00872182"/>
    <w:rsid w:val="008721AD"/>
    <w:rsid w:val="0087220E"/>
    <w:rsid w:val="0087223F"/>
    <w:rsid w:val="0087225D"/>
    <w:rsid w:val="008722BA"/>
    <w:rsid w:val="0087236C"/>
    <w:rsid w:val="008723EC"/>
    <w:rsid w:val="008723F6"/>
    <w:rsid w:val="0087244C"/>
    <w:rsid w:val="0087247A"/>
    <w:rsid w:val="00872498"/>
    <w:rsid w:val="008724B1"/>
    <w:rsid w:val="008724D4"/>
    <w:rsid w:val="00872551"/>
    <w:rsid w:val="008725A6"/>
    <w:rsid w:val="008725F7"/>
    <w:rsid w:val="00872636"/>
    <w:rsid w:val="00872698"/>
    <w:rsid w:val="00872742"/>
    <w:rsid w:val="00872792"/>
    <w:rsid w:val="00872847"/>
    <w:rsid w:val="0087287C"/>
    <w:rsid w:val="00872898"/>
    <w:rsid w:val="008728C5"/>
    <w:rsid w:val="008728E3"/>
    <w:rsid w:val="0087293D"/>
    <w:rsid w:val="0087294E"/>
    <w:rsid w:val="00872951"/>
    <w:rsid w:val="0087298A"/>
    <w:rsid w:val="008729FD"/>
    <w:rsid w:val="00872A3C"/>
    <w:rsid w:val="00872AD2"/>
    <w:rsid w:val="00872B40"/>
    <w:rsid w:val="00872B45"/>
    <w:rsid w:val="00872B69"/>
    <w:rsid w:val="00872B93"/>
    <w:rsid w:val="00872C53"/>
    <w:rsid w:val="00872CE7"/>
    <w:rsid w:val="00872D4F"/>
    <w:rsid w:val="00872D58"/>
    <w:rsid w:val="00872D59"/>
    <w:rsid w:val="00872DEA"/>
    <w:rsid w:val="00872DEE"/>
    <w:rsid w:val="00872E18"/>
    <w:rsid w:val="00872E26"/>
    <w:rsid w:val="00872E83"/>
    <w:rsid w:val="00872EB3"/>
    <w:rsid w:val="00872F05"/>
    <w:rsid w:val="00873081"/>
    <w:rsid w:val="008730B9"/>
    <w:rsid w:val="0087312A"/>
    <w:rsid w:val="008731A8"/>
    <w:rsid w:val="008731FE"/>
    <w:rsid w:val="00873226"/>
    <w:rsid w:val="008732E4"/>
    <w:rsid w:val="008732EF"/>
    <w:rsid w:val="008733DA"/>
    <w:rsid w:val="008733FE"/>
    <w:rsid w:val="00873407"/>
    <w:rsid w:val="0087341A"/>
    <w:rsid w:val="008734A0"/>
    <w:rsid w:val="00873534"/>
    <w:rsid w:val="00873643"/>
    <w:rsid w:val="008736B3"/>
    <w:rsid w:val="008736C2"/>
    <w:rsid w:val="0087370A"/>
    <w:rsid w:val="0087374B"/>
    <w:rsid w:val="00873754"/>
    <w:rsid w:val="0087376F"/>
    <w:rsid w:val="0087377A"/>
    <w:rsid w:val="00873789"/>
    <w:rsid w:val="00873805"/>
    <w:rsid w:val="00873861"/>
    <w:rsid w:val="0087398C"/>
    <w:rsid w:val="008739DE"/>
    <w:rsid w:val="00873A38"/>
    <w:rsid w:val="00873A96"/>
    <w:rsid w:val="00873AE6"/>
    <w:rsid w:val="00873B10"/>
    <w:rsid w:val="00873CD2"/>
    <w:rsid w:val="00873CE0"/>
    <w:rsid w:val="00873D8D"/>
    <w:rsid w:val="00873E24"/>
    <w:rsid w:val="00873E92"/>
    <w:rsid w:val="00873F5E"/>
    <w:rsid w:val="0087402E"/>
    <w:rsid w:val="00874045"/>
    <w:rsid w:val="008740C2"/>
    <w:rsid w:val="00874176"/>
    <w:rsid w:val="00874198"/>
    <w:rsid w:val="0087419B"/>
    <w:rsid w:val="00874358"/>
    <w:rsid w:val="0087435D"/>
    <w:rsid w:val="008743F8"/>
    <w:rsid w:val="0087440C"/>
    <w:rsid w:val="0087441A"/>
    <w:rsid w:val="00874470"/>
    <w:rsid w:val="008744E8"/>
    <w:rsid w:val="008744F1"/>
    <w:rsid w:val="00874595"/>
    <w:rsid w:val="008745B5"/>
    <w:rsid w:val="008745D3"/>
    <w:rsid w:val="0087464D"/>
    <w:rsid w:val="00874698"/>
    <w:rsid w:val="00874702"/>
    <w:rsid w:val="00874761"/>
    <w:rsid w:val="008747D1"/>
    <w:rsid w:val="00874808"/>
    <w:rsid w:val="0087480D"/>
    <w:rsid w:val="00874905"/>
    <w:rsid w:val="0087497D"/>
    <w:rsid w:val="008749DC"/>
    <w:rsid w:val="00874A6B"/>
    <w:rsid w:val="00874AD0"/>
    <w:rsid w:val="00874AE8"/>
    <w:rsid w:val="00874B81"/>
    <w:rsid w:val="00874BB5"/>
    <w:rsid w:val="00874BB6"/>
    <w:rsid w:val="00874BCF"/>
    <w:rsid w:val="00874D75"/>
    <w:rsid w:val="00874D7E"/>
    <w:rsid w:val="00874D86"/>
    <w:rsid w:val="00874E1E"/>
    <w:rsid w:val="00874E29"/>
    <w:rsid w:val="00874E3D"/>
    <w:rsid w:val="00874EE7"/>
    <w:rsid w:val="00874EE9"/>
    <w:rsid w:val="00874F28"/>
    <w:rsid w:val="00874FA6"/>
    <w:rsid w:val="00874FC9"/>
    <w:rsid w:val="008750DB"/>
    <w:rsid w:val="00875225"/>
    <w:rsid w:val="0087528E"/>
    <w:rsid w:val="0087529A"/>
    <w:rsid w:val="008752C9"/>
    <w:rsid w:val="008752E3"/>
    <w:rsid w:val="0087532A"/>
    <w:rsid w:val="008753A2"/>
    <w:rsid w:val="0087541D"/>
    <w:rsid w:val="00875473"/>
    <w:rsid w:val="00875474"/>
    <w:rsid w:val="0087549D"/>
    <w:rsid w:val="0087550E"/>
    <w:rsid w:val="00875541"/>
    <w:rsid w:val="0087557A"/>
    <w:rsid w:val="00875586"/>
    <w:rsid w:val="008755D0"/>
    <w:rsid w:val="0087560D"/>
    <w:rsid w:val="00875614"/>
    <w:rsid w:val="008756AB"/>
    <w:rsid w:val="008756F6"/>
    <w:rsid w:val="0087573B"/>
    <w:rsid w:val="00875767"/>
    <w:rsid w:val="008757D1"/>
    <w:rsid w:val="008757E2"/>
    <w:rsid w:val="008757EA"/>
    <w:rsid w:val="0087581A"/>
    <w:rsid w:val="00875866"/>
    <w:rsid w:val="008758DB"/>
    <w:rsid w:val="0087594A"/>
    <w:rsid w:val="00875A54"/>
    <w:rsid w:val="00875AE8"/>
    <w:rsid w:val="00875AFD"/>
    <w:rsid w:val="00875B18"/>
    <w:rsid w:val="00875BD6"/>
    <w:rsid w:val="00875BEA"/>
    <w:rsid w:val="00875C62"/>
    <w:rsid w:val="00875C9F"/>
    <w:rsid w:val="00875CEE"/>
    <w:rsid w:val="00875D61"/>
    <w:rsid w:val="00875D6A"/>
    <w:rsid w:val="00875DC7"/>
    <w:rsid w:val="00875DC8"/>
    <w:rsid w:val="00875E3E"/>
    <w:rsid w:val="00875EA0"/>
    <w:rsid w:val="00875EEF"/>
    <w:rsid w:val="00875F38"/>
    <w:rsid w:val="00875F41"/>
    <w:rsid w:val="00876076"/>
    <w:rsid w:val="008760E3"/>
    <w:rsid w:val="0087621B"/>
    <w:rsid w:val="00876226"/>
    <w:rsid w:val="00876265"/>
    <w:rsid w:val="00876271"/>
    <w:rsid w:val="00876286"/>
    <w:rsid w:val="008762BF"/>
    <w:rsid w:val="008762DF"/>
    <w:rsid w:val="0087633E"/>
    <w:rsid w:val="00876398"/>
    <w:rsid w:val="008763C1"/>
    <w:rsid w:val="008763C8"/>
    <w:rsid w:val="00876422"/>
    <w:rsid w:val="0087649F"/>
    <w:rsid w:val="008764DB"/>
    <w:rsid w:val="008764E4"/>
    <w:rsid w:val="00876559"/>
    <w:rsid w:val="008765CC"/>
    <w:rsid w:val="0087665E"/>
    <w:rsid w:val="00876669"/>
    <w:rsid w:val="00876685"/>
    <w:rsid w:val="008766E0"/>
    <w:rsid w:val="00876706"/>
    <w:rsid w:val="0087679F"/>
    <w:rsid w:val="00876848"/>
    <w:rsid w:val="0087687D"/>
    <w:rsid w:val="00876896"/>
    <w:rsid w:val="008768AB"/>
    <w:rsid w:val="008768CA"/>
    <w:rsid w:val="00876923"/>
    <w:rsid w:val="00876A0F"/>
    <w:rsid w:val="00876A7D"/>
    <w:rsid w:val="00876AE1"/>
    <w:rsid w:val="00876B92"/>
    <w:rsid w:val="00876B9A"/>
    <w:rsid w:val="00876BA1"/>
    <w:rsid w:val="00876BAF"/>
    <w:rsid w:val="00876C1F"/>
    <w:rsid w:val="00876C30"/>
    <w:rsid w:val="00876C41"/>
    <w:rsid w:val="00876D04"/>
    <w:rsid w:val="00876D6F"/>
    <w:rsid w:val="00876E0A"/>
    <w:rsid w:val="00876EEE"/>
    <w:rsid w:val="00876F41"/>
    <w:rsid w:val="00877042"/>
    <w:rsid w:val="00877053"/>
    <w:rsid w:val="0087705B"/>
    <w:rsid w:val="00877090"/>
    <w:rsid w:val="00877098"/>
    <w:rsid w:val="008770E8"/>
    <w:rsid w:val="00877122"/>
    <w:rsid w:val="0087714D"/>
    <w:rsid w:val="0087717D"/>
    <w:rsid w:val="0087719C"/>
    <w:rsid w:val="00877250"/>
    <w:rsid w:val="0087725A"/>
    <w:rsid w:val="0087729B"/>
    <w:rsid w:val="0087729D"/>
    <w:rsid w:val="00877361"/>
    <w:rsid w:val="0087741C"/>
    <w:rsid w:val="0087746A"/>
    <w:rsid w:val="008774CB"/>
    <w:rsid w:val="008774D6"/>
    <w:rsid w:val="0087750A"/>
    <w:rsid w:val="008775AF"/>
    <w:rsid w:val="00877628"/>
    <w:rsid w:val="008776CE"/>
    <w:rsid w:val="008776D5"/>
    <w:rsid w:val="00877758"/>
    <w:rsid w:val="00877778"/>
    <w:rsid w:val="0087777E"/>
    <w:rsid w:val="008777DE"/>
    <w:rsid w:val="008778FD"/>
    <w:rsid w:val="00877904"/>
    <w:rsid w:val="00877981"/>
    <w:rsid w:val="008779A7"/>
    <w:rsid w:val="00877A46"/>
    <w:rsid w:val="00877A4C"/>
    <w:rsid w:val="00877AFB"/>
    <w:rsid w:val="00877B03"/>
    <w:rsid w:val="00877B5E"/>
    <w:rsid w:val="00877BAE"/>
    <w:rsid w:val="00877BD5"/>
    <w:rsid w:val="00877BF6"/>
    <w:rsid w:val="00877C17"/>
    <w:rsid w:val="00877C49"/>
    <w:rsid w:val="00877CE6"/>
    <w:rsid w:val="00877D2F"/>
    <w:rsid w:val="00877D34"/>
    <w:rsid w:val="00877E2A"/>
    <w:rsid w:val="00877EA9"/>
    <w:rsid w:val="00877F13"/>
    <w:rsid w:val="00877FD9"/>
    <w:rsid w:val="00880054"/>
    <w:rsid w:val="0088007E"/>
    <w:rsid w:val="008800A8"/>
    <w:rsid w:val="008800CA"/>
    <w:rsid w:val="0088012A"/>
    <w:rsid w:val="00880148"/>
    <w:rsid w:val="0088019A"/>
    <w:rsid w:val="008801ED"/>
    <w:rsid w:val="0088020F"/>
    <w:rsid w:val="00880256"/>
    <w:rsid w:val="008802E4"/>
    <w:rsid w:val="00880307"/>
    <w:rsid w:val="008803B7"/>
    <w:rsid w:val="00880418"/>
    <w:rsid w:val="008804AC"/>
    <w:rsid w:val="008804BD"/>
    <w:rsid w:val="008804E5"/>
    <w:rsid w:val="008804FC"/>
    <w:rsid w:val="00880532"/>
    <w:rsid w:val="00880562"/>
    <w:rsid w:val="008805A1"/>
    <w:rsid w:val="00880641"/>
    <w:rsid w:val="00880705"/>
    <w:rsid w:val="008807CF"/>
    <w:rsid w:val="00880808"/>
    <w:rsid w:val="00880837"/>
    <w:rsid w:val="008808A1"/>
    <w:rsid w:val="008808CC"/>
    <w:rsid w:val="00880959"/>
    <w:rsid w:val="008809A2"/>
    <w:rsid w:val="008809E0"/>
    <w:rsid w:val="00880A93"/>
    <w:rsid w:val="00880A97"/>
    <w:rsid w:val="00880AB1"/>
    <w:rsid w:val="00880B13"/>
    <w:rsid w:val="00880BCC"/>
    <w:rsid w:val="00880BE4"/>
    <w:rsid w:val="00880C81"/>
    <w:rsid w:val="00880CC0"/>
    <w:rsid w:val="00880D27"/>
    <w:rsid w:val="00880D51"/>
    <w:rsid w:val="00880E8E"/>
    <w:rsid w:val="00880EDE"/>
    <w:rsid w:val="008810F9"/>
    <w:rsid w:val="0088115A"/>
    <w:rsid w:val="00881188"/>
    <w:rsid w:val="008811BA"/>
    <w:rsid w:val="00881264"/>
    <w:rsid w:val="00881333"/>
    <w:rsid w:val="0088135F"/>
    <w:rsid w:val="0088142D"/>
    <w:rsid w:val="00881456"/>
    <w:rsid w:val="0088145C"/>
    <w:rsid w:val="0088146D"/>
    <w:rsid w:val="0088150B"/>
    <w:rsid w:val="00881523"/>
    <w:rsid w:val="0088152F"/>
    <w:rsid w:val="008815A1"/>
    <w:rsid w:val="008815CD"/>
    <w:rsid w:val="0088165F"/>
    <w:rsid w:val="0088166B"/>
    <w:rsid w:val="008816B8"/>
    <w:rsid w:val="008816C4"/>
    <w:rsid w:val="00881700"/>
    <w:rsid w:val="00881769"/>
    <w:rsid w:val="0088183C"/>
    <w:rsid w:val="00881892"/>
    <w:rsid w:val="008818B5"/>
    <w:rsid w:val="0088190E"/>
    <w:rsid w:val="008819FF"/>
    <w:rsid w:val="00881A5E"/>
    <w:rsid w:val="00881A69"/>
    <w:rsid w:val="00881A85"/>
    <w:rsid w:val="00881A98"/>
    <w:rsid w:val="00881ABA"/>
    <w:rsid w:val="00881B0F"/>
    <w:rsid w:val="00881B29"/>
    <w:rsid w:val="00881B30"/>
    <w:rsid w:val="00881B5C"/>
    <w:rsid w:val="00881B98"/>
    <w:rsid w:val="00881BEC"/>
    <w:rsid w:val="00881BF9"/>
    <w:rsid w:val="00881C37"/>
    <w:rsid w:val="00881CCC"/>
    <w:rsid w:val="00881CE0"/>
    <w:rsid w:val="00881D25"/>
    <w:rsid w:val="00881D34"/>
    <w:rsid w:val="00881E60"/>
    <w:rsid w:val="00881E77"/>
    <w:rsid w:val="00881E85"/>
    <w:rsid w:val="00881ECB"/>
    <w:rsid w:val="00881ED5"/>
    <w:rsid w:val="00881F8B"/>
    <w:rsid w:val="00881F96"/>
    <w:rsid w:val="00882247"/>
    <w:rsid w:val="0088224A"/>
    <w:rsid w:val="008822D2"/>
    <w:rsid w:val="0088239C"/>
    <w:rsid w:val="00882400"/>
    <w:rsid w:val="0088240D"/>
    <w:rsid w:val="008824D6"/>
    <w:rsid w:val="008824E1"/>
    <w:rsid w:val="008825D1"/>
    <w:rsid w:val="0088260C"/>
    <w:rsid w:val="00882686"/>
    <w:rsid w:val="008826AC"/>
    <w:rsid w:val="008826C3"/>
    <w:rsid w:val="008826F0"/>
    <w:rsid w:val="00882848"/>
    <w:rsid w:val="00882852"/>
    <w:rsid w:val="00882988"/>
    <w:rsid w:val="00882A05"/>
    <w:rsid w:val="00882A41"/>
    <w:rsid w:val="00882A5B"/>
    <w:rsid w:val="00882ACF"/>
    <w:rsid w:val="00882ADF"/>
    <w:rsid w:val="00882B4C"/>
    <w:rsid w:val="00882B82"/>
    <w:rsid w:val="00882BD3"/>
    <w:rsid w:val="00882BE5"/>
    <w:rsid w:val="00882C15"/>
    <w:rsid w:val="00882CBF"/>
    <w:rsid w:val="00882CDD"/>
    <w:rsid w:val="00882CF5"/>
    <w:rsid w:val="00882EA4"/>
    <w:rsid w:val="00882F5F"/>
    <w:rsid w:val="00882F9C"/>
    <w:rsid w:val="00882FD4"/>
    <w:rsid w:val="008830B1"/>
    <w:rsid w:val="00883168"/>
    <w:rsid w:val="00883183"/>
    <w:rsid w:val="008831E4"/>
    <w:rsid w:val="00883201"/>
    <w:rsid w:val="0088321D"/>
    <w:rsid w:val="0088322F"/>
    <w:rsid w:val="00883234"/>
    <w:rsid w:val="00883248"/>
    <w:rsid w:val="00883274"/>
    <w:rsid w:val="008832B5"/>
    <w:rsid w:val="00883363"/>
    <w:rsid w:val="00883373"/>
    <w:rsid w:val="008833B1"/>
    <w:rsid w:val="008833EA"/>
    <w:rsid w:val="00883427"/>
    <w:rsid w:val="0088347B"/>
    <w:rsid w:val="008834CB"/>
    <w:rsid w:val="0088354A"/>
    <w:rsid w:val="00883557"/>
    <w:rsid w:val="008835FF"/>
    <w:rsid w:val="0088361A"/>
    <w:rsid w:val="008836CE"/>
    <w:rsid w:val="00883712"/>
    <w:rsid w:val="0088373B"/>
    <w:rsid w:val="0088376B"/>
    <w:rsid w:val="00883866"/>
    <w:rsid w:val="008838B1"/>
    <w:rsid w:val="008838FF"/>
    <w:rsid w:val="0088392C"/>
    <w:rsid w:val="008839CC"/>
    <w:rsid w:val="008839FA"/>
    <w:rsid w:val="00883A31"/>
    <w:rsid w:val="00883B6B"/>
    <w:rsid w:val="00883B86"/>
    <w:rsid w:val="00883B91"/>
    <w:rsid w:val="00883C16"/>
    <w:rsid w:val="00883C42"/>
    <w:rsid w:val="00883CA3"/>
    <w:rsid w:val="00883CC7"/>
    <w:rsid w:val="00883D1C"/>
    <w:rsid w:val="00883D76"/>
    <w:rsid w:val="00883DBA"/>
    <w:rsid w:val="00883DF7"/>
    <w:rsid w:val="00883EE1"/>
    <w:rsid w:val="00883FB6"/>
    <w:rsid w:val="00884019"/>
    <w:rsid w:val="00884026"/>
    <w:rsid w:val="0088415C"/>
    <w:rsid w:val="008841C5"/>
    <w:rsid w:val="00884307"/>
    <w:rsid w:val="00884342"/>
    <w:rsid w:val="00884377"/>
    <w:rsid w:val="008843DD"/>
    <w:rsid w:val="0088440E"/>
    <w:rsid w:val="00884450"/>
    <w:rsid w:val="0088447C"/>
    <w:rsid w:val="008844BB"/>
    <w:rsid w:val="008844F9"/>
    <w:rsid w:val="00884529"/>
    <w:rsid w:val="0088455C"/>
    <w:rsid w:val="008845A6"/>
    <w:rsid w:val="00884615"/>
    <w:rsid w:val="00884686"/>
    <w:rsid w:val="00884695"/>
    <w:rsid w:val="008847C3"/>
    <w:rsid w:val="00884838"/>
    <w:rsid w:val="008848B1"/>
    <w:rsid w:val="008848F6"/>
    <w:rsid w:val="008848F7"/>
    <w:rsid w:val="00884914"/>
    <w:rsid w:val="00884932"/>
    <w:rsid w:val="0088495F"/>
    <w:rsid w:val="008849C9"/>
    <w:rsid w:val="00884A27"/>
    <w:rsid w:val="00884A55"/>
    <w:rsid w:val="00884AD8"/>
    <w:rsid w:val="00884B28"/>
    <w:rsid w:val="00884B43"/>
    <w:rsid w:val="00884BCE"/>
    <w:rsid w:val="00884BD7"/>
    <w:rsid w:val="00884C4D"/>
    <w:rsid w:val="00884C59"/>
    <w:rsid w:val="00884CDE"/>
    <w:rsid w:val="00884CEA"/>
    <w:rsid w:val="00884D17"/>
    <w:rsid w:val="00884D71"/>
    <w:rsid w:val="00884DC5"/>
    <w:rsid w:val="00884DF7"/>
    <w:rsid w:val="00884E2C"/>
    <w:rsid w:val="00884EFA"/>
    <w:rsid w:val="00884F26"/>
    <w:rsid w:val="00884FA3"/>
    <w:rsid w:val="0088508A"/>
    <w:rsid w:val="008850C7"/>
    <w:rsid w:val="0088510E"/>
    <w:rsid w:val="008852B8"/>
    <w:rsid w:val="008852D0"/>
    <w:rsid w:val="008852E0"/>
    <w:rsid w:val="0088547A"/>
    <w:rsid w:val="008854C3"/>
    <w:rsid w:val="00885551"/>
    <w:rsid w:val="0088557A"/>
    <w:rsid w:val="008855C2"/>
    <w:rsid w:val="0088562C"/>
    <w:rsid w:val="0088566C"/>
    <w:rsid w:val="008856FA"/>
    <w:rsid w:val="00885769"/>
    <w:rsid w:val="00885787"/>
    <w:rsid w:val="008857CD"/>
    <w:rsid w:val="0088580C"/>
    <w:rsid w:val="00885873"/>
    <w:rsid w:val="008858BC"/>
    <w:rsid w:val="00885923"/>
    <w:rsid w:val="00885974"/>
    <w:rsid w:val="00885A33"/>
    <w:rsid w:val="00885AFA"/>
    <w:rsid w:val="00885B29"/>
    <w:rsid w:val="00885B35"/>
    <w:rsid w:val="00885B91"/>
    <w:rsid w:val="00885C11"/>
    <w:rsid w:val="00885C4E"/>
    <w:rsid w:val="00885C9B"/>
    <w:rsid w:val="00885CEF"/>
    <w:rsid w:val="00885D05"/>
    <w:rsid w:val="00885D3F"/>
    <w:rsid w:val="00885E07"/>
    <w:rsid w:val="00885E27"/>
    <w:rsid w:val="00885E85"/>
    <w:rsid w:val="00885EDF"/>
    <w:rsid w:val="00885F81"/>
    <w:rsid w:val="00885FEF"/>
    <w:rsid w:val="00886085"/>
    <w:rsid w:val="008861B1"/>
    <w:rsid w:val="008861CC"/>
    <w:rsid w:val="008862DF"/>
    <w:rsid w:val="008863B7"/>
    <w:rsid w:val="0088642A"/>
    <w:rsid w:val="0088644C"/>
    <w:rsid w:val="00886472"/>
    <w:rsid w:val="008864C4"/>
    <w:rsid w:val="00886501"/>
    <w:rsid w:val="00886560"/>
    <w:rsid w:val="00886568"/>
    <w:rsid w:val="00886596"/>
    <w:rsid w:val="008865AC"/>
    <w:rsid w:val="008865BB"/>
    <w:rsid w:val="008865D5"/>
    <w:rsid w:val="00886687"/>
    <w:rsid w:val="008866A8"/>
    <w:rsid w:val="008866D7"/>
    <w:rsid w:val="008866DF"/>
    <w:rsid w:val="0088670D"/>
    <w:rsid w:val="00886726"/>
    <w:rsid w:val="00886778"/>
    <w:rsid w:val="008867E0"/>
    <w:rsid w:val="00886817"/>
    <w:rsid w:val="0088681D"/>
    <w:rsid w:val="00886847"/>
    <w:rsid w:val="00886866"/>
    <w:rsid w:val="00886915"/>
    <w:rsid w:val="00886A20"/>
    <w:rsid w:val="00886A97"/>
    <w:rsid w:val="00886AB7"/>
    <w:rsid w:val="00886B0D"/>
    <w:rsid w:val="00886B1D"/>
    <w:rsid w:val="00886CDD"/>
    <w:rsid w:val="00886DB1"/>
    <w:rsid w:val="00886E03"/>
    <w:rsid w:val="00886E4B"/>
    <w:rsid w:val="00886E73"/>
    <w:rsid w:val="00886F02"/>
    <w:rsid w:val="00886F69"/>
    <w:rsid w:val="00886FD5"/>
    <w:rsid w:val="00887042"/>
    <w:rsid w:val="008870AB"/>
    <w:rsid w:val="008870E2"/>
    <w:rsid w:val="00887196"/>
    <w:rsid w:val="008871DC"/>
    <w:rsid w:val="008871F7"/>
    <w:rsid w:val="0088724C"/>
    <w:rsid w:val="00887260"/>
    <w:rsid w:val="008872C0"/>
    <w:rsid w:val="00887325"/>
    <w:rsid w:val="00887337"/>
    <w:rsid w:val="00887430"/>
    <w:rsid w:val="008874EA"/>
    <w:rsid w:val="0088753F"/>
    <w:rsid w:val="00887572"/>
    <w:rsid w:val="008875B1"/>
    <w:rsid w:val="008875F8"/>
    <w:rsid w:val="0088767F"/>
    <w:rsid w:val="0088776B"/>
    <w:rsid w:val="00887795"/>
    <w:rsid w:val="008878EB"/>
    <w:rsid w:val="008879B8"/>
    <w:rsid w:val="008879C7"/>
    <w:rsid w:val="008879D6"/>
    <w:rsid w:val="008879E5"/>
    <w:rsid w:val="00887A20"/>
    <w:rsid w:val="00887A66"/>
    <w:rsid w:val="00887AE8"/>
    <w:rsid w:val="00887BAC"/>
    <w:rsid w:val="00887BEF"/>
    <w:rsid w:val="00887BF6"/>
    <w:rsid w:val="00887BFF"/>
    <w:rsid w:val="00887C32"/>
    <w:rsid w:val="00887CBA"/>
    <w:rsid w:val="00887CC6"/>
    <w:rsid w:val="00887D2E"/>
    <w:rsid w:val="00887DCE"/>
    <w:rsid w:val="00887DFE"/>
    <w:rsid w:val="00887EE1"/>
    <w:rsid w:val="00887EED"/>
    <w:rsid w:val="00887EFF"/>
    <w:rsid w:val="00887F17"/>
    <w:rsid w:val="00887F26"/>
    <w:rsid w:val="00887F9F"/>
    <w:rsid w:val="00887FF1"/>
    <w:rsid w:val="0089008F"/>
    <w:rsid w:val="008900A0"/>
    <w:rsid w:val="0089014A"/>
    <w:rsid w:val="0089016B"/>
    <w:rsid w:val="008901D4"/>
    <w:rsid w:val="00890206"/>
    <w:rsid w:val="008902D8"/>
    <w:rsid w:val="008902F2"/>
    <w:rsid w:val="00890326"/>
    <w:rsid w:val="0089033F"/>
    <w:rsid w:val="008903A2"/>
    <w:rsid w:val="008903FD"/>
    <w:rsid w:val="008904D6"/>
    <w:rsid w:val="00890547"/>
    <w:rsid w:val="00890718"/>
    <w:rsid w:val="00890762"/>
    <w:rsid w:val="008907B0"/>
    <w:rsid w:val="008907E0"/>
    <w:rsid w:val="008907F1"/>
    <w:rsid w:val="00890808"/>
    <w:rsid w:val="00890824"/>
    <w:rsid w:val="00890890"/>
    <w:rsid w:val="00890896"/>
    <w:rsid w:val="00890958"/>
    <w:rsid w:val="00890988"/>
    <w:rsid w:val="0089098B"/>
    <w:rsid w:val="00890A4F"/>
    <w:rsid w:val="00890A65"/>
    <w:rsid w:val="00890AE3"/>
    <w:rsid w:val="00890B47"/>
    <w:rsid w:val="00890BA5"/>
    <w:rsid w:val="00890BAB"/>
    <w:rsid w:val="00890C4E"/>
    <w:rsid w:val="00890CDE"/>
    <w:rsid w:val="00890DFC"/>
    <w:rsid w:val="00890E1D"/>
    <w:rsid w:val="00890E2B"/>
    <w:rsid w:val="00890FA4"/>
    <w:rsid w:val="00890FC3"/>
    <w:rsid w:val="008910F7"/>
    <w:rsid w:val="00891133"/>
    <w:rsid w:val="00891240"/>
    <w:rsid w:val="0089134A"/>
    <w:rsid w:val="0089146F"/>
    <w:rsid w:val="00891471"/>
    <w:rsid w:val="00891530"/>
    <w:rsid w:val="00891536"/>
    <w:rsid w:val="00891587"/>
    <w:rsid w:val="008915CB"/>
    <w:rsid w:val="008916F8"/>
    <w:rsid w:val="00891720"/>
    <w:rsid w:val="00891753"/>
    <w:rsid w:val="008917A9"/>
    <w:rsid w:val="008917CE"/>
    <w:rsid w:val="00891809"/>
    <w:rsid w:val="0089188A"/>
    <w:rsid w:val="008918D9"/>
    <w:rsid w:val="008918E4"/>
    <w:rsid w:val="00891981"/>
    <w:rsid w:val="008919B0"/>
    <w:rsid w:val="00891A27"/>
    <w:rsid w:val="00891A89"/>
    <w:rsid w:val="00891AD2"/>
    <w:rsid w:val="00891AED"/>
    <w:rsid w:val="00891B11"/>
    <w:rsid w:val="00891B1B"/>
    <w:rsid w:val="00891BA7"/>
    <w:rsid w:val="00891BB1"/>
    <w:rsid w:val="00891BD0"/>
    <w:rsid w:val="00891C13"/>
    <w:rsid w:val="00891C61"/>
    <w:rsid w:val="00891CB0"/>
    <w:rsid w:val="00891E1F"/>
    <w:rsid w:val="00891E73"/>
    <w:rsid w:val="00891E80"/>
    <w:rsid w:val="00891EFA"/>
    <w:rsid w:val="00891F4B"/>
    <w:rsid w:val="00892033"/>
    <w:rsid w:val="008920CB"/>
    <w:rsid w:val="008920D3"/>
    <w:rsid w:val="0089216E"/>
    <w:rsid w:val="00892182"/>
    <w:rsid w:val="008921EB"/>
    <w:rsid w:val="0089220B"/>
    <w:rsid w:val="00892227"/>
    <w:rsid w:val="0089227B"/>
    <w:rsid w:val="0089228C"/>
    <w:rsid w:val="0089233E"/>
    <w:rsid w:val="00892366"/>
    <w:rsid w:val="0089239C"/>
    <w:rsid w:val="008923DB"/>
    <w:rsid w:val="00892449"/>
    <w:rsid w:val="008925E2"/>
    <w:rsid w:val="00892601"/>
    <w:rsid w:val="0089262A"/>
    <w:rsid w:val="008926CD"/>
    <w:rsid w:val="00892724"/>
    <w:rsid w:val="0089276C"/>
    <w:rsid w:val="0089282F"/>
    <w:rsid w:val="0089286B"/>
    <w:rsid w:val="008928C7"/>
    <w:rsid w:val="008928C8"/>
    <w:rsid w:val="00892907"/>
    <w:rsid w:val="0089293A"/>
    <w:rsid w:val="00892964"/>
    <w:rsid w:val="00892A27"/>
    <w:rsid w:val="00892A7D"/>
    <w:rsid w:val="00892C17"/>
    <w:rsid w:val="00892C55"/>
    <w:rsid w:val="00892CD8"/>
    <w:rsid w:val="00892CDA"/>
    <w:rsid w:val="00892CF6"/>
    <w:rsid w:val="00892D1B"/>
    <w:rsid w:val="00892E3C"/>
    <w:rsid w:val="00892E50"/>
    <w:rsid w:val="00892E63"/>
    <w:rsid w:val="00892EB0"/>
    <w:rsid w:val="00892EC7"/>
    <w:rsid w:val="00892F75"/>
    <w:rsid w:val="00892FDA"/>
    <w:rsid w:val="00892FF9"/>
    <w:rsid w:val="0089300E"/>
    <w:rsid w:val="00893024"/>
    <w:rsid w:val="00893090"/>
    <w:rsid w:val="008930DB"/>
    <w:rsid w:val="00893162"/>
    <w:rsid w:val="0089316F"/>
    <w:rsid w:val="008931A7"/>
    <w:rsid w:val="008931AA"/>
    <w:rsid w:val="00893232"/>
    <w:rsid w:val="008932B7"/>
    <w:rsid w:val="008932E2"/>
    <w:rsid w:val="008932EC"/>
    <w:rsid w:val="008933B7"/>
    <w:rsid w:val="0089342C"/>
    <w:rsid w:val="00893497"/>
    <w:rsid w:val="008934B9"/>
    <w:rsid w:val="008934FD"/>
    <w:rsid w:val="00893606"/>
    <w:rsid w:val="00893626"/>
    <w:rsid w:val="00893630"/>
    <w:rsid w:val="00893795"/>
    <w:rsid w:val="008937A4"/>
    <w:rsid w:val="008937DD"/>
    <w:rsid w:val="008937FB"/>
    <w:rsid w:val="0089382C"/>
    <w:rsid w:val="008938B0"/>
    <w:rsid w:val="008938DE"/>
    <w:rsid w:val="00893907"/>
    <w:rsid w:val="00893917"/>
    <w:rsid w:val="00893934"/>
    <w:rsid w:val="008939F3"/>
    <w:rsid w:val="00893A04"/>
    <w:rsid w:val="00893A2D"/>
    <w:rsid w:val="00893A4B"/>
    <w:rsid w:val="00893ABA"/>
    <w:rsid w:val="00893AD5"/>
    <w:rsid w:val="00893B56"/>
    <w:rsid w:val="00893B9E"/>
    <w:rsid w:val="00893C3D"/>
    <w:rsid w:val="00893C58"/>
    <w:rsid w:val="00893C78"/>
    <w:rsid w:val="00893CA0"/>
    <w:rsid w:val="00893CB0"/>
    <w:rsid w:val="00893CBA"/>
    <w:rsid w:val="00893CE3"/>
    <w:rsid w:val="00893DBE"/>
    <w:rsid w:val="00893E8B"/>
    <w:rsid w:val="00893EAB"/>
    <w:rsid w:val="00893EB9"/>
    <w:rsid w:val="00893EEF"/>
    <w:rsid w:val="00893EFE"/>
    <w:rsid w:val="00893F09"/>
    <w:rsid w:val="00893F0D"/>
    <w:rsid w:val="00893F91"/>
    <w:rsid w:val="008940E2"/>
    <w:rsid w:val="008940F2"/>
    <w:rsid w:val="008940F4"/>
    <w:rsid w:val="008942A1"/>
    <w:rsid w:val="008942E3"/>
    <w:rsid w:val="0089436E"/>
    <w:rsid w:val="008943A3"/>
    <w:rsid w:val="008943E7"/>
    <w:rsid w:val="00894484"/>
    <w:rsid w:val="00894555"/>
    <w:rsid w:val="0089457A"/>
    <w:rsid w:val="00894615"/>
    <w:rsid w:val="00894734"/>
    <w:rsid w:val="008948A0"/>
    <w:rsid w:val="008948A8"/>
    <w:rsid w:val="008948F3"/>
    <w:rsid w:val="00894915"/>
    <w:rsid w:val="0089492A"/>
    <w:rsid w:val="0089499C"/>
    <w:rsid w:val="00894A3F"/>
    <w:rsid w:val="00894AE3"/>
    <w:rsid w:val="00894AEB"/>
    <w:rsid w:val="00894AFE"/>
    <w:rsid w:val="00894B17"/>
    <w:rsid w:val="00894B4D"/>
    <w:rsid w:val="00894B55"/>
    <w:rsid w:val="00894B6A"/>
    <w:rsid w:val="00894BA6"/>
    <w:rsid w:val="00894C53"/>
    <w:rsid w:val="00894C55"/>
    <w:rsid w:val="00894C74"/>
    <w:rsid w:val="00894CB3"/>
    <w:rsid w:val="00894E20"/>
    <w:rsid w:val="00894E8E"/>
    <w:rsid w:val="00894F18"/>
    <w:rsid w:val="00894F81"/>
    <w:rsid w:val="00894FE4"/>
    <w:rsid w:val="00895003"/>
    <w:rsid w:val="00895010"/>
    <w:rsid w:val="0089502F"/>
    <w:rsid w:val="008950DC"/>
    <w:rsid w:val="0089512F"/>
    <w:rsid w:val="00895174"/>
    <w:rsid w:val="008951CE"/>
    <w:rsid w:val="008951EB"/>
    <w:rsid w:val="008951F5"/>
    <w:rsid w:val="00895261"/>
    <w:rsid w:val="00895287"/>
    <w:rsid w:val="0089528C"/>
    <w:rsid w:val="008953A4"/>
    <w:rsid w:val="008953A5"/>
    <w:rsid w:val="008953CA"/>
    <w:rsid w:val="008954E9"/>
    <w:rsid w:val="008954FD"/>
    <w:rsid w:val="0089551C"/>
    <w:rsid w:val="00895594"/>
    <w:rsid w:val="008955A6"/>
    <w:rsid w:val="008955B7"/>
    <w:rsid w:val="008955D6"/>
    <w:rsid w:val="008956ED"/>
    <w:rsid w:val="008956F4"/>
    <w:rsid w:val="008957C4"/>
    <w:rsid w:val="0089587C"/>
    <w:rsid w:val="008958F4"/>
    <w:rsid w:val="008959CB"/>
    <w:rsid w:val="008959EF"/>
    <w:rsid w:val="00895A01"/>
    <w:rsid w:val="00895A10"/>
    <w:rsid w:val="00895A76"/>
    <w:rsid w:val="00895AC2"/>
    <w:rsid w:val="00895AEA"/>
    <w:rsid w:val="00895B00"/>
    <w:rsid w:val="00895BF7"/>
    <w:rsid w:val="00895C77"/>
    <w:rsid w:val="00895C93"/>
    <w:rsid w:val="00895D20"/>
    <w:rsid w:val="00895DAC"/>
    <w:rsid w:val="00895DE6"/>
    <w:rsid w:val="00895DEF"/>
    <w:rsid w:val="00895E32"/>
    <w:rsid w:val="00895EAD"/>
    <w:rsid w:val="00895ECA"/>
    <w:rsid w:val="00895F7D"/>
    <w:rsid w:val="00895FE5"/>
    <w:rsid w:val="0089602F"/>
    <w:rsid w:val="0089603C"/>
    <w:rsid w:val="0089606F"/>
    <w:rsid w:val="0089609F"/>
    <w:rsid w:val="008960C1"/>
    <w:rsid w:val="00896152"/>
    <w:rsid w:val="008962C5"/>
    <w:rsid w:val="008963A2"/>
    <w:rsid w:val="008963E1"/>
    <w:rsid w:val="0089642B"/>
    <w:rsid w:val="00896434"/>
    <w:rsid w:val="00896438"/>
    <w:rsid w:val="008964D8"/>
    <w:rsid w:val="0089653C"/>
    <w:rsid w:val="008965A2"/>
    <w:rsid w:val="00896621"/>
    <w:rsid w:val="00896627"/>
    <w:rsid w:val="00896651"/>
    <w:rsid w:val="0089669D"/>
    <w:rsid w:val="008966EE"/>
    <w:rsid w:val="008967A7"/>
    <w:rsid w:val="008967CB"/>
    <w:rsid w:val="0089680F"/>
    <w:rsid w:val="0089687E"/>
    <w:rsid w:val="008968E1"/>
    <w:rsid w:val="008969AE"/>
    <w:rsid w:val="008969E4"/>
    <w:rsid w:val="00896A8E"/>
    <w:rsid w:val="00896C2B"/>
    <w:rsid w:val="00896C57"/>
    <w:rsid w:val="00896CCC"/>
    <w:rsid w:val="00896D75"/>
    <w:rsid w:val="00896DFA"/>
    <w:rsid w:val="00896E9F"/>
    <w:rsid w:val="00896EDB"/>
    <w:rsid w:val="00896EE2"/>
    <w:rsid w:val="00896F17"/>
    <w:rsid w:val="00896F3E"/>
    <w:rsid w:val="00896F7D"/>
    <w:rsid w:val="00897032"/>
    <w:rsid w:val="0089703F"/>
    <w:rsid w:val="0089705E"/>
    <w:rsid w:val="0089707B"/>
    <w:rsid w:val="008970DD"/>
    <w:rsid w:val="00897107"/>
    <w:rsid w:val="0089726D"/>
    <w:rsid w:val="00897274"/>
    <w:rsid w:val="0089729F"/>
    <w:rsid w:val="008973D3"/>
    <w:rsid w:val="00897418"/>
    <w:rsid w:val="00897431"/>
    <w:rsid w:val="0089744C"/>
    <w:rsid w:val="008974D0"/>
    <w:rsid w:val="00897534"/>
    <w:rsid w:val="00897575"/>
    <w:rsid w:val="008975A1"/>
    <w:rsid w:val="008975D2"/>
    <w:rsid w:val="008975F2"/>
    <w:rsid w:val="00897647"/>
    <w:rsid w:val="00897714"/>
    <w:rsid w:val="0089771F"/>
    <w:rsid w:val="008977F6"/>
    <w:rsid w:val="00897875"/>
    <w:rsid w:val="008978DF"/>
    <w:rsid w:val="00897985"/>
    <w:rsid w:val="00897988"/>
    <w:rsid w:val="00897A03"/>
    <w:rsid w:val="00897A43"/>
    <w:rsid w:val="00897AE0"/>
    <w:rsid w:val="00897B19"/>
    <w:rsid w:val="00897B22"/>
    <w:rsid w:val="00897B55"/>
    <w:rsid w:val="00897BFC"/>
    <w:rsid w:val="00897C12"/>
    <w:rsid w:val="00897C4E"/>
    <w:rsid w:val="00897CD8"/>
    <w:rsid w:val="00897D60"/>
    <w:rsid w:val="00897D97"/>
    <w:rsid w:val="00897DB1"/>
    <w:rsid w:val="00897E14"/>
    <w:rsid w:val="00897E7E"/>
    <w:rsid w:val="00897E8E"/>
    <w:rsid w:val="00897EB0"/>
    <w:rsid w:val="00897F39"/>
    <w:rsid w:val="00897F48"/>
    <w:rsid w:val="00897FA3"/>
    <w:rsid w:val="008A0083"/>
    <w:rsid w:val="008A0285"/>
    <w:rsid w:val="008A02F4"/>
    <w:rsid w:val="008A0356"/>
    <w:rsid w:val="008A0376"/>
    <w:rsid w:val="008A03BF"/>
    <w:rsid w:val="008A03D6"/>
    <w:rsid w:val="008A043F"/>
    <w:rsid w:val="008A04B0"/>
    <w:rsid w:val="008A04D1"/>
    <w:rsid w:val="008A051B"/>
    <w:rsid w:val="008A055E"/>
    <w:rsid w:val="008A05DD"/>
    <w:rsid w:val="008A06BA"/>
    <w:rsid w:val="008A06C1"/>
    <w:rsid w:val="008A06D1"/>
    <w:rsid w:val="008A06DB"/>
    <w:rsid w:val="008A0752"/>
    <w:rsid w:val="008A0754"/>
    <w:rsid w:val="008A0760"/>
    <w:rsid w:val="008A076D"/>
    <w:rsid w:val="008A07AF"/>
    <w:rsid w:val="008A0821"/>
    <w:rsid w:val="008A087D"/>
    <w:rsid w:val="008A096D"/>
    <w:rsid w:val="008A097E"/>
    <w:rsid w:val="008A09A4"/>
    <w:rsid w:val="008A09F8"/>
    <w:rsid w:val="008A0AA6"/>
    <w:rsid w:val="008A0AA9"/>
    <w:rsid w:val="008A0B70"/>
    <w:rsid w:val="008A0BD2"/>
    <w:rsid w:val="008A0BD3"/>
    <w:rsid w:val="008A0C19"/>
    <w:rsid w:val="008A0C22"/>
    <w:rsid w:val="008A0CEA"/>
    <w:rsid w:val="008A0D70"/>
    <w:rsid w:val="008A0D73"/>
    <w:rsid w:val="008A0DA3"/>
    <w:rsid w:val="008A0DA6"/>
    <w:rsid w:val="008A0E65"/>
    <w:rsid w:val="008A0E8E"/>
    <w:rsid w:val="008A0EDA"/>
    <w:rsid w:val="008A0EDC"/>
    <w:rsid w:val="008A0F60"/>
    <w:rsid w:val="008A0F66"/>
    <w:rsid w:val="008A1006"/>
    <w:rsid w:val="008A10C7"/>
    <w:rsid w:val="008A10FB"/>
    <w:rsid w:val="008A11B2"/>
    <w:rsid w:val="008A11EB"/>
    <w:rsid w:val="008A1202"/>
    <w:rsid w:val="008A126C"/>
    <w:rsid w:val="008A127A"/>
    <w:rsid w:val="008A12B0"/>
    <w:rsid w:val="008A12B9"/>
    <w:rsid w:val="008A1342"/>
    <w:rsid w:val="008A1377"/>
    <w:rsid w:val="008A139F"/>
    <w:rsid w:val="008A1408"/>
    <w:rsid w:val="008A1479"/>
    <w:rsid w:val="008A14B9"/>
    <w:rsid w:val="008A14ED"/>
    <w:rsid w:val="008A1505"/>
    <w:rsid w:val="008A1518"/>
    <w:rsid w:val="008A1573"/>
    <w:rsid w:val="008A1593"/>
    <w:rsid w:val="008A15A4"/>
    <w:rsid w:val="008A15F0"/>
    <w:rsid w:val="008A1662"/>
    <w:rsid w:val="008A16E8"/>
    <w:rsid w:val="008A1712"/>
    <w:rsid w:val="008A171A"/>
    <w:rsid w:val="008A17C7"/>
    <w:rsid w:val="008A17D4"/>
    <w:rsid w:val="008A18AB"/>
    <w:rsid w:val="008A18D7"/>
    <w:rsid w:val="008A18D8"/>
    <w:rsid w:val="008A1916"/>
    <w:rsid w:val="008A193E"/>
    <w:rsid w:val="008A1960"/>
    <w:rsid w:val="008A197D"/>
    <w:rsid w:val="008A1A82"/>
    <w:rsid w:val="008A1B27"/>
    <w:rsid w:val="008A1B78"/>
    <w:rsid w:val="008A1BD5"/>
    <w:rsid w:val="008A1C38"/>
    <w:rsid w:val="008A1DA4"/>
    <w:rsid w:val="008A1DB4"/>
    <w:rsid w:val="008A1DCF"/>
    <w:rsid w:val="008A1DF0"/>
    <w:rsid w:val="008A1E38"/>
    <w:rsid w:val="008A1EA4"/>
    <w:rsid w:val="008A1F08"/>
    <w:rsid w:val="008A1F0E"/>
    <w:rsid w:val="008A1F23"/>
    <w:rsid w:val="008A1F73"/>
    <w:rsid w:val="008A1FA1"/>
    <w:rsid w:val="008A1FCA"/>
    <w:rsid w:val="008A1FCB"/>
    <w:rsid w:val="008A1FE9"/>
    <w:rsid w:val="008A2007"/>
    <w:rsid w:val="008A2014"/>
    <w:rsid w:val="008A2017"/>
    <w:rsid w:val="008A2022"/>
    <w:rsid w:val="008A2050"/>
    <w:rsid w:val="008A2086"/>
    <w:rsid w:val="008A208B"/>
    <w:rsid w:val="008A20A2"/>
    <w:rsid w:val="008A20E7"/>
    <w:rsid w:val="008A217E"/>
    <w:rsid w:val="008A21AA"/>
    <w:rsid w:val="008A21AD"/>
    <w:rsid w:val="008A21EC"/>
    <w:rsid w:val="008A2207"/>
    <w:rsid w:val="008A2208"/>
    <w:rsid w:val="008A2273"/>
    <w:rsid w:val="008A22C0"/>
    <w:rsid w:val="008A230B"/>
    <w:rsid w:val="008A233B"/>
    <w:rsid w:val="008A23AC"/>
    <w:rsid w:val="008A23E3"/>
    <w:rsid w:val="008A2428"/>
    <w:rsid w:val="008A2443"/>
    <w:rsid w:val="008A246A"/>
    <w:rsid w:val="008A2484"/>
    <w:rsid w:val="008A24A3"/>
    <w:rsid w:val="008A2507"/>
    <w:rsid w:val="008A254B"/>
    <w:rsid w:val="008A25C5"/>
    <w:rsid w:val="008A2670"/>
    <w:rsid w:val="008A267E"/>
    <w:rsid w:val="008A26EC"/>
    <w:rsid w:val="008A2759"/>
    <w:rsid w:val="008A2767"/>
    <w:rsid w:val="008A279A"/>
    <w:rsid w:val="008A27AB"/>
    <w:rsid w:val="008A27CA"/>
    <w:rsid w:val="008A2812"/>
    <w:rsid w:val="008A28FE"/>
    <w:rsid w:val="008A2908"/>
    <w:rsid w:val="008A2962"/>
    <w:rsid w:val="008A299E"/>
    <w:rsid w:val="008A29D7"/>
    <w:rsid w:val="008A29E2"/>
    <w:rsid w:val="008A2A59"/>
    <w:rsid w:val="008A2B66"/>
    <w:rsid w:val="008A2BD7"/>
    <w:rsid w:val="008A2C59"/>
    <w:rsid w:val="008A2C7D"/>
    <w:rsid w:val="008A2C99"/>
    <w:rsid w:val="008A2CF0"/>
    <w:rsid w:val="008A2D19"/>
    <w:rsid w:val="008A2DA2"/>
    <w:rsid w:val="008A2DA6"/>
    <w:rsid w:val="008A2E36"/>
    <w:rsid w:val="008A2E71"/>
    <w:rsid w:val="008A2E84"/>
    <w:rsid w:val="008A2F2C"/>
    <w:rsid w:val="008A2F6E"/>
    <w:rsid w:val="008A2FD4"/>
    <w:rsid w:val="008A3010"/>
    <w:rsid w:val="008A3030"/>
    <w:rsid w:val="008A30C5"/>
    <w:rsid w:val="008A30F0"/>
    <w:rsid w:val="008A329E"/>
    <w:rsid w:val="008A32F8"/>
    <w:rsid w:val="008A3301"/>
    <w:rsid w:val="008A33D0"/>
    <w:rsid w:val="008A34E4"/>
    <w:rsid w:val="008A35D5"/>
    <w:rsid w:val="008A3651"/>
    <w:rsid w:val="008A36BA"/>
    <w:rsid w:val="008A36EA"/>
    <w:rsid w:val="008A370C"/>
    <w:rsid w:val="008A3727"/>
    <w:rsid w:val="008A3733"/>
    <w:rsid w:val="008A3738"/>
    <w:rsid w:val="008A3770"/>
    <w:rsid w:val="008A3778"/>
    <w:rsid w:val="008A37C7"/>
    <w:rsid w:val="008A3802"/>
    <w:rsid w:val="008A3840"/>
    <w:rsid w:val="008A389B"/>
    <w:rsid w:val="008A38E9"/>
    <w:rsid w:val="008A3A08"/>
    <w:rsid w:val="008A3A1D"/>
    <w:rsid w:val="008A3A50"/>
    <w:rsid w:val="008A3A99"/>
    <w:rsid w:val="008A3AC1"/>
    <w:rsid w:val="008A3AD5"/>
    <w:rsid w:val="008A3B45"/>
    <w:rsid w:val="008A3B71"/>
    <w:rsid w:val="008A3B98"/>
    <w:rsid w:val="008A3C6C"/>
    <w:rsid w:val="008A3C9A"/>
    <w:rsid w:val="008A3CB9"/>
    <w:rsid w:val="008A3D08"/>
    <w:rsid w:val="008A3D7B"/>
    <w:rsid w:val="008A3E90"/>
    <w:rsid w:val="008A3EA7"/>
    <w:rsid w:val="008A3EBE"/>
    <w:rsid w:val="008A3F24"/>
    <w:rsid w:val="008A3F67"/>
    <w:rsid w:val="008A3FBD"/>
    <w:rsid w:val="008A3FFD"/>
    <w:rsid w:val="008A400A"/>
    <w:rsid w:val="008A404B"/>
    <w:rsid w:val="008A4053"/>
    <w:rsid w:val="008A4054"/>
    <w:rsid w:val="008A405C"/>
    <w:rsid w:val="008A40CF"/>
    <w:rsid w:val="008A4164"/>
    <w:rsid w:val="008A4166"/>
    <w:rsid w:val="008A421F"/>
    <w:rsid w:val="008A4230"/>
    <w:rsid w:val="008A42E8"/>
    <w:rsid w:val="008A431E"/>
    <w:rsid w:val="008A4367"/>
    <w:rsid w:val="008A441F"/>
    <w:rsid w:val="008A4425"/>
    <w:rsid w:val="008A4562"/>
    <w:rsid w:val="008A456D"/>
    <w:rsid w:val="008A45D3"/>
    <w:rsid w:val="008A46CB"/>
    <w:rsid w:val="008A46FD"/>
    <w:rsid w:val="008A487A"/>
    <w:rsid w:val="008A48CC"/>
    <w:rsid w:val="008A49A7"/>
    <w:rsid w:val="008A49DE"/>
    <w:rsid w:val="008A4A30"/>
    <w:rsid w:val="008A4A85"/>
    <w:rsid w:val="008A4BE4"/>
    <w:rsid w:val="008A4C3F"/>
    <w:rsid w:val="008A4D15"/>
    <w:rsid w:val="008A4D17"/>
    <w:rsid w:val="008A4D5C"/>
    <w:rsid w:val="008A4DE8"/>
    <w:rsid w:val="008A4E59"/>
    <w:rsid w:val="008A4ED6"/>
    <w:rsid w:val="008A4EF9"/>
    <w:rsid w:val="008A4EFD"/>
    <w:rsid w:val="008A4F0D"/>
    <w:rsid w:val="008A4F1C"/>
    <w:rsid w:val="008A4F2B"/>
    <w:rsid w:val="008A4F5A"/>
    <w:rsid w:val="008A4F71"/>
    <w:rsid w:val="008A506B"/>
    <w:rsid w:val="008A5166"/>
    <w:rsid w:val="008A517A"/>
    <w:rsid w:val="008A525F"/>
    <w:rsid w:val="008A52B0"/>
    <w:rsid w:val="008A52F3"/>
    <w:rsid w:val="008A5330"/>
    <w:rsid w:val="008A537D"/>
    <w:rsid w:val="008A5390"/>
    <w:rsid w:val="008A53CF"/>
    <w:rsid w:val="008A53EB"/>
    <w:rsid w:val="008A540B"/>
    <w:rsid w:val="008A544A"/>
    <w:rsid w:val="008A547D"/>
    <w:rsid w:val="008A5491"/>
    <w:rsid w:val="008A5510"/>
    <w:rsid w:val="008A5548"/>
    <w:rsid w:val="008A5679"/>
    <w:rsid w:val="008A567F"/>
    <w:rsid w:val="008A5720"/>
    <w:rsid w:val="008A574C"/>
    <w:rsid w:val="008A577F"/>
    <w:rsid w:val="008A57E3"/>
    <w:rsid w:val="008A584F"/>
    <w:rsid w:val="008A5877"/>
    <w:rsid w:val="008A58A8"/>
    <w:rsid w:val="008A58F1"/>
    <w:rsid w:val="008A599E"/>
    <w:rsid w:val="008A59DF"/>
    <w:rsid w:val="008A5A1D"/>
    <w:rsid w:val="008A5AB7"/>
    <w:rsid w:val="008A5BB6"/>
    <w:rsid w:val="008A5C3A"/>
    <w:rsid w:val="008A5D25"/>
    <w:rsid w:val="008A5D8F"/>
    <w:rsid w:val="008A5E25"/>
    <w:rsid w:val="008A5E6A"/>
    <w:rsid w:val="008A5E9C"/>
    <w:rsid w:val="008A5F21"/>
    <w:rsid w:val="008A5F54"/>
    <w:rsid w:val="008A5F60"/>
    <w:rsid w:val="008A602A"/>
    <w:rsid w:val="008A603D"/>
    <w:rsid w:val="008A609A"/>
    <w:rsid w:val="008A60AE"/>
    <w:rsid w:val="008A60CE"/>
    <w:rsid w:val="008A61F6"/>
    <w:rsid w:val="008A626A"/>
    <w:rsid w:val="008A62C4"/>
    <w:rsid w:val="008A6320"/>
    <w:rsid w:val="008A6327"/>
    <w:rsid w:val="008A632E"/>
    <w:rsid w:val="008A6397"/>
    <w:rsid w:val="008A64B2"/>
    <w:rsid w:val="008A64C7"/>
    <w:rsid w:val="008A64C9"/>
    <w:rsid w:val="008A64FD"/>
    <w:rsid w:val="008A6518"/>
    <w:rsid w:val="008A6538"/>
    <w:rsid w:val="008A66E1"/>
    <w:rsid w:val="008A66F9"/>
    <w:rsid w:val="008A674C"/>
    <w:rsid w:val="008A67BF"/>
    <w:rsid w:val="008A67E8"/>
    <w:rsid w:val="008A67EA"/>
    <w:rsid w:val="008A67FA"/>
    <w:rsid w:val="008A681B"/>
    <w:rsid w:val="008A6831"/>
    <w:rsid w:val="008A68B6"/>
    <w:rsid w:val="008A6ABB"/>
    <w:rsid w:val="008A6ACC"/>
    <w:rsid w:val="008A6B76"/>
    <w:rsid w:val="008A6BB0"/>
    <w:rsid w:val="008A6C00"/>
    <w:rsid w:val="008A6CA1"/>
    <w:rsid w:val="008A6D7C"/>
    <w:rsid w:val="008A6D91"/>
    <w:rsid w:val="008A6DA5"/>
    <w:rsid w:val="008A6DA6"/>
    <w:rsid w:val="008A6E1A"/>
    <w:rsid w:val="008A6E85"/>
    <w:rsid w:val="008A6F19"/>
    <w:rsid w:val="008A6F1E"/>
    <w:rsid w:val="008A6FA4"/>
    <w:rsid w:val="008A6FBF"/>
    <w:rsid w:val="008A7009"/>
    <w:rsid w:val="008A707C"/>
    <w:rsid w:val="008A70F0"/>
    <w:rsid w:val="008A7154"/>
    <w:rsid w:val="008A729E"/>
    <w:rsid w:val="008A732A"/>
    <w:rsid w:val="008A7335"/>
    <w:rsid w:val="008A7372"/>
    <w:rsid w:val="008A73B4"/>
    <w:rsid w:val="008A73DC"/>
    <w:rsid w:val="008A746E"/>
    <w:rsid w:val="008A7488"/>
    <w:rsid w:val="008A7503"/>
    <w:rsid w:val="008A75E6"/>
    <w:rsid w:val="008A763E"/>
    <w:rsid w:val="008A7674"/>
    <w:rsid w:val="008A76B0"/>
    <w:rsid w:val="008A771B"/>
    <w:rsid w:val="008A773C"/>
    <w:rsid w:val="008A773D"/>
    <w:rsid w:val="008A7792"/>
    <w:rsid w:val="008A78B3"/>
    <w:rsid w:val="008A7906"/>
    <w:rsid w:val="008A79B8"/>
    <w:rsid w:val="008A7A77"/>
    <w:rsid w:val="008A7A82"/>
    <w:rsid w:val="008A7AB3"/>
    <w:rsid w:val="008A7B03"/>
    <w:rsid w:val="008A7B1C"/>
    <w:rsid w:val="008A7B78"/>
    <w:rsid w:val="008A7BAA"/>
    <w:rsid w:val="008A7BC2"/>
    <w:rsid w:val="008A7C61"/>
    <w:rsid w:val="008A7C6E"/>
    <w:rsid w:val="008A7C7C"/>
    <w:rsid w:val="008A7CCA"/>
    <w:rsid w:val="008A7CDA"/>
    <w:rsid w:val="008A7D35"/>
    <w:rsid w:val="008A7D98"/>
    <w:rsid w:val="008A7E34"/>
    <w:rsid w:val="008A7E5E"/>
    <w:rsid w:val="008A7E8F"/>
    <w:rsid w:val="008A7EF1"/>
    <w:rsid w:val="008A7F72"/>
    <w:rsid w:val="008A7FD5"/>
    <w:rsid w:val="008B0062"/>
    <w:rsid w:val="008B018B"/>
    <w:rsid w:val="008B01C2"/>
    <w:rsid w:val="008B01CF"/>
    <w:rsid w:val="008B0225"/>
    <w:rsid w:val="008B0328"/>
    <w:rsid w:val="008B0340"/>
    <w:rsid w:val="008B0350"/>
    <w:rsid w:val="008B0359"/>
    <w:rsid w:val="008B0365"/>
    <w:rsid w:val="008B04BC"/>
    <w:rsid w:val="008B04D0"/>
    <w:rsid w:val="008B0510"/>
    <w:rsid w:val="008B0525"/>
    <w:rsid w:val="008B0540"/>
    <w:rsid w:val="008B054B"/>
    <w:rsid w:val="008B05E9"/>
    <w:rsid w:val="008B069D"/>
    <w:rsid w:val="008B06B5"/>
    <w:rsid w:val="008B06BC"/>
    <w:rsid w:val="008B0734"/>
    <w:rsid w:val="008B074D"/>
    <w:rsid w:val="008B0792"/>
    <w:rsid w:val="008B07A9"/>
    <w:rsid w:val="008B07ED"/>
    <w:rsid w:val="008B0832"/>
    <w:rsid w:val="008B08A7"/>
    <w:rsid w:val="008B08B5"/>
    <w:rsid w:val="008B0906"/>
    <w:rsid w:val="008B09B9"/>
    <w:rsid w:val="008B0B80"/>
    <w:rsid w:val="008B0BBE"/>
    <w:rsid w:val="008B0C65"/>
    <w:rsid w:val="008B0C9B"/>
    <w:rsid w:val="008B0D9D"/>
    <w:rsid w:val="008B0E16"/>
    <w:rsid w:val="008B0E21"/>
    <w:rsid w:val="008B0E2A"/>
    <w:rsid w:val="008B0E9A"/>
    <w:rsid w:val="008B0F5B"/>
    <w:rsid w:val="008B0F8B"/>
    <w:rsid w:val="008B0FA3"/>
    <w:rsid w:val="008B0FB3"/>
    <w:rsid w:val="008B101D"/>
    <w:rsid w:val="008B103D"/>
    <w:rsid w:val="008B10F7"/>
    <w:rsid w:val="008B111A"/>
    <w:rsid w:val="008B1141"/>
    <w:rsid w:val="008B1175"/>
    <w:rsid w:val="008B11BA"/>
    <w:rsid w:val="008B1200"/>
    <w:rsid w:val="008B121A"/>
    <w:rsid w:val="008B121C"/>
    <w:rsid w:val="008B125C"/>
    <w:rsid w:val="008B12A8"/>
    <w:rsid w:val="008B12EF"/>
    <w:rsid w:val="008B12F4"/>
    <w:rsid w:val="008B12F8"/>
    <w:rsid w:val="008B1474"/>
    <w:rsid w:val="008B14A4"/>
    <w:rsid w:val="008B14B2"/>
    <w:rsid w:val="008B157A"/>
    <w:rsid w:val="008B1594"/>
    <w:rsid w:val="008B15A0"/>
    <w:rsid w:val="008B1607"/>
    <w:rsid w:val="008B160D"/>
    <w:rsid w:val="008B1639"/>
    <w:rsid w:val="008B170D"/>
    <w:rsid w:val="008B17B3"/>
    <w:rsid w:val="008B17B7"/>
    <w:rsid w:val="008B17F5"/>
    <w:rsid w:val="008B1825"/>
    <w:rsid w:val="008B1842"/>
    <w:rsid w:val="008B1849"/>
    <w:rsid w:val="008B197E"/>
    <w:rsid w:val="008B1A1E"/>
    <w:rsid w:val="008B1A85"/>
    <w:rsid w:val="008B1A9E"/>
    <w:rsid w:val="008B1AD7"/>
    <w:rsid w:val="008B1B11"/>
    <w:rsid w:val="008B1B74"/>
    <w:rsid w:val="008B1B82"/>
    <w:rsid w:val="008B1BDF"/>
    <w:rsid w:val="008B1BED"/>
    <w:rsid w:val="008B1C06"/>
    <w:rsid w:val="008B1C2C"/>
    <w:rsid w:val="008B1CAB"/>
    <w:rsid w:val="008B1CF3"/>
    <w:rsid w:val="008B1D1D"/>
    <w:rsid w:val="008B1DAE"/>
    <w:rsid w:val="008B1EA4"/>
    <w:rsid w:val="008B1F08"/>
    <w:rsid w:val="008B1F3B"/>
    <w:rsid w:val="008B1F8A"/>
    <w:rsid w:val="008B1F99"/>
    <w:rsid w:val="008B1F9E"/>
    <w:rsid w:val="008B1FFD"/>
    <w:rsid w:val="008B203F"/>
    <w:rsid w:val="008B20AE"/>
    <w:rsid w:val="008B20E6"/>
    <w:rsid w:val="008B20EB"/>
    <w:rsid w:val="008B20F4"/>
    <w:rsid w:val="008B215C"/>
    <w:rsid w:val="008B2197"/>
    <w:rsid w:val="008B21A5"/>
    <w:rsid w:val="008B21F3"/>
    <w:rsid w:val="008B2223"/>
    <w:rsid w:val="008B22A1"/>
    <w:rsid w:val="008B2378"/>
    <w:rsid w:val="008B23F4"/>
    <w:rsid w:val="008B2530"/>
    <w:rsid w:val="008B2545"/>
    <w:rsid w:val="008B264F"/>
    <w:rsid w:val="008B2690"/>
    <w:rsid w:val="008B26FC"/>
    <w:rsid w:val="008B274B"/>
    <w:rsid w:val="008B2854"/>
    <w:rsid w:val="008B28C2"/>
    <w:rsid w:val="008B293B"/>
    <w:rsid w:val="008B298E"/>
    <w:rsid w:val="008B29C5"/>
    <w:rsid w:val="008B2A56"/>
    <w:rsid w:val="008B2AE1"/>
    <w:rsid w:val="008B2AEE"/>
    <w:rsid w:val="008B2B68"/>
    <w:rsid w:val="008B2C54"/>
    <w:rsid w:val="008B2C58"/>
    <w:rsid w:val="008B2D7E"/>
    <w:rsid w:val="008B2DE6"/>
    <w:rsid w:val="008B2E1A"/>
    <w:rsid w:val="008B2E58"/>
    <w:rsid w:val="008B2F9D"/>
    <w:rsid w:val="008B2F9F"/>
    <w:rsid w:val="008B2FA2"/>
    <w:rsid w:val="008B2FA5"/>
    <w:rsid w:val="008B309C"/>
    <w:rsid w:val="008B30AA"/>
    <w:rsid w:val="008B30D8"/>
    <w:rsid w:val="008B325D"/>
    <w:rsid w:val="008B333E"/>
    <w:rsid w:val="008B3353"/>
    <w:rsid w:val="008B3358"/>
    <w:rsid w:val="008B336C"/>
    <w:rsid w:val="008B33A2"/>
    <w:rsid w:val="008B33DE"/>
    <w:rsid w:val="008B33F2"/>
    <w:rsid w:val="008B34D1"/>
    <w:rsid w:val="008B3528"/>
    <w:rsid w:val="008B35D0"/>
    <w:rsid w:val="008B35E5"/>
    <w:rsid w:val="008B3626"/>
    <w:rsid w:val="008B36F5"/>
    <w:rsid w:val="008B37A6"/>
    <w:rsid w:val="008B3876"/>
    <w:rsid w:val="008B3881"/>
    <w:rsid w:val="008B3952"/>
    <w:rsid w:val="008B3999"/>
    <w:rsid w:val="008B399A"/>
    <w:rsid w:val="008B39B0"/>
    <w:rsid w:val="008B39FB"/>
    <w:rsid w:val="008B3A6C"/>
    <w:rsid w:val="008B3A77"/>
    <w:rsid w:val="008B3AB6"/>
    <w:rsid w:val="008B3B57"/>
    <w:rsid w:val="008B3B9B"/>
    <w:rsid w:val="008B3BCA"/>
    <w:rsid w:val="008B3BEA"/>
    <w:rsid w:val="008B3D1A"/>
    <w:rsid w:val="008B3D2E"/>
    <w:rsid w:val="008B3D76"/>
    <w:rsid w:val="008B3DBA"/>
    <w:rsid w:val="008B3E1C"/>
    <w:rsid w:val="008B3E98"/>
    <w:rsid w:val="008B3EB3"/>
    <w:rsid w:val="008B3EDB"/>
    <w:rsid w:val="008B3EFC"/>
    <w:rsid w:val="008B3F95"/>
    <w:rsid w:val="008B3FB5"/>
    <w:rsid w:val="008B3FCA"/>
    <w:rsid w:val="008B3FFC"/>
    <w:rsid w:val="008B40DD"/>
    <w:rsid w:val="008B41B9"/>
    <w:rsid w:val="008B41E0"/>
    <w:rsid w:val="008B4203"/>
    <w:rsid w:val="008B4210"/>
    <w:rsid w:val="008B4215"/>
    <w:rsid w:val="008B4240"/>
    <w:rsid w:val="008B4246"/>
    <w:rsid w:val="008B4280"/>
    <w:rsid w:val="008B4334"/>
    <w:rsid w:val="008B4370"/>
    <w:rsid w:val="008B43B0"/>
    <w:rsid w:val="008B4482"/>
    <w:rsid w:val="008B44B4"/>
    <w:rsid w:val="008B44E3"/>
    <w:rsid w:val="008B456B"/>
    <w:rsid w:val="008B4664"/>
    <w:rsid w:val="008B47A1"/>
    <w:rsid w:val="008B47F5"/>
    <w:rsid w:val="008B4818"/>
    <w:rsid w:val="008B485E"/>
    <w:rsid w:val="008B4896"/>
    <w:rsid w:val="008B48A3"/>
    <w:rsid w:val="008B48CD"/>
    <w:rsid w:val="008B48D9"/>
    <w:rsid w:val="008B490F"/>
    <w:rsid w:val="008B4949"/>
    <w:rsid w:val="008B49D7"/>
    <w:rsid w:val="008B49F1"/>
    <w:rsid w:val="008B4A68"/>
    <w:rsid w:val="008B4A6F"/>
    <w:rsid w:val="008B4A9D"/>
    <w:rsid w:val="008B4AE5"/>
    <w:rsid w:val="008B4B82"/>
    <w:rsid w:val="008B4C2C"/>
    <w:rsid w:val="008B4C34"/>
    <w:rsid w:val="008B4C6D"/>
    <w:rsid w:val="008B4CD0"/>
    <w:rsid w:val="008B4CF9"/>
    <w:rsid w:val="008B4D5F"/>
    <w:rsid w:val="008B4D8B"/>
    <w:rsid w:val="008B4E82"/>
    <w:rsid w:val="008B4EA4"/>
    <w:rsid w:val="008B4F1A"/>
    <w:rsid w:val="008B4F42"/>
    <w:rsid w:val="008B4F70"/>
    <w:rsid w:val="008B4F93"/>
    <w:rsid w:val="008B4FBF"/>
    <w:rsid w:val="008B505C"/>
    <w:rsid w:val="008B5067"/>
    <w:rsid w:val="008B5091"/>
    <w:rsid w:val="008B50AB"/>
    <w:rsid w:val="008B5186"/>
    <w:rsid w:val="008B524B"/>
    <w:rsid w:val="008B5267"/>
    <w:rsid w:val="008B52E2"/>
    <w:rsid w:val="008B5339"/>
    <w:rsid w:val="008B538C"/>
    <w:rsid w:val="008B5404"/>
    <w:rsid w:val="008B543A"/>
    <w:rsid w:val="008B545B"/>
    <w:rsid w:val="008B545C"/>
    <w:rsid w:val="008B549D"/>
    <w:rsid w:val="008B54BE"/>
    <w:rsid w:val="008B554A"/>
    <w:rsid w:val="008B55B7"/>
    <w:rsid w:val="008B55FD"/>
    <w:rsid w:val="008B5607"/>
    <w:rsid w:val="008B5640"/>
    <w:rsid w:val="008B56A8"/>
    <w:rsid w:val="008B56C3"/>
    <w:rsid w:val="008B5725"/>
    <w:rsid w:val="008B5729"/>
    <w:rsid w:val="008B5763"/>
    <w:rsid w:val="008B577E"/>
    <w:rsid w:val="008B583D"/>
    <w:rsid w:val="008B58B7"/>
    <w:rsid w:val="008B5901"/>
    <w:rsid w:val="008B5941"/>
    <w:rsid w:val="008B598E"/>
    <w:rsid w:val="008B59B2"/>
    <w:rsid w:val="008B59EE"/>
    <w:rsid w:val="008B59F4"/>
    <w:rsid w:val="008B5AA4"/>
    <w:rsid w:val="008B5AC9"/>
    <w:rsid w:val="008B5AE6"/>
    <w:rsid w:val="008B5C2A"/>
    <w:rsid w:val="008B5C4C"/>
    <w:rsid w:val="008B5CF6"/>
    <w:rsid w:val="008B5CF9"/>
    <w:rsid w:val="008B5D03"/>
    <w:rsid w:val="008B5D80"/>
    <w:rsid w:val="008B5E18"/>
    <w:rsid w:val="008B5E6E"/>
    <w:rsid w:val="008B5ED1"/>
    <w:rsid w:val="008B5F11"/>
    <w:rsid w:val="008B5F21"/>
    <w:rsid w:val="008B5F46"/>
    <w:rsid w:val="008B5FD7"/>
    <w:rsid w:val="008B6170"/>
    <w:rsid w:val="008B61EF"/>
    <w:rsid w:val="008B6225"/>
    <w:rsid w:val="008B622C"/>
    <w:rsid w:val="008B629C"/>
    <w:rsid w:val="008B6339"/>
    <w:rsid w:val="008B6436"/>
    <w:rsid w:val="008B6448"/>
    <w:rsid w:val="008B64F4"/>
    <w:rsid w:val="008B657F"/>
    <w:rsid w:val="008B6581"/>
    <w:rsid w:val="008B65BB"/>
    <w:rsid w:val="008B65C6"/>
    <w:rsid w:val="008B6604"/>
    <w:rsid w:val="008B664E"/>
    <w:rsid w:val="008B6677"/>
    <w:rsid w:val="008B66B1"/>
    <w:rsid w:val="008B6723"/>
    <w:rsid w:val="008B675A"/>
    <w:rsid w:val="008B6775"/>
    <w:rsid w:val="008B6787"/>
    <w:rsid w:val="008B67E1"/>
    <w:rsid w:val="008B690C"/>
    <w:rsid w:val="008B6929"/>
    <w:rsid w:val="008B69B6"/>
    <w:rsid w:val="008B6AB0"/>
    <w:rsid w:val="008B6ABC"/>
    <w:rsid w:val="008B6AE8"/>
    <w:rsid w:val="008B6B41"/>
    <w:rsid w:val="008B6B77"/>
    <w:rsid w:val="008B6C24"/>
    <w:rsid w:val="008B6C92"/>
    <w:rsid w:val="008B6CB4"/>
    <w:rsid w:val="008B6CC7"/>
    <w:rsid w:val="008B6D16"/>
    <w:rsid w:val="008B6DD7"/>
    <w:rsid w:val="008B6E38"/>
    <w:rsid w:val="008B6E73"/>
    <w:rsid w:val="008B6EFC"/>
    <w:rsid w:val="008B6F11"/>
    <w:rsid w:val="008B6F26"/>
    <w:rsid w:val="008B6F2F"/>
    <w:rsid w:val="008B6FC6"/>
    <w:rsid w:val="008B6FDA"/>
    <w:rsid w:val="008B6FE6"/>
    <w:rsid w:val="008B70B3"/>
    <w:rsid w:val="008B70B5"/>
    <w:rsid w:val="008B7111"/>
    <w:rsid w:val="008B7125"/>
    <w:rsid w:val="008B714E"/>
    <w:rsid w:val="008B7158"/>
    <w:rsid w:val="008B7161"/>
    <w:rsid w:val="008B71C7"/>
    <w:rsid w:val="008B71D2"/>
    <w:rsid w:val="008B7203"/>
    <w:rsid w:val="008B7212"/>
    <w:rsid w:val="008B72AC"/>
    <w:rsid w:val="008B72B7"/>
    <w:rsid w:val="008B733D"/>
    <w:rsid w:val="008B735D"/>
    <w:rsid w:val="008B7391"/>
    <w:rsid w:val="008B7400"/>
    <w:rsid w:val="008B7416"/>
    <w:rsid w:val="008B74A0"/>
    <w:rsid w:val="008B7507"/>
    <w:rsid w:val="008B7567"/>
    <w:rsid w:val="008B75AB"/>
    <w:rsid w:val="008B75B0"/>
    <w:rsid w:val="008B762C"/>
    <w:rsid w:val="008B76F2"/>
    <w:rsid w:val="008B76FC"/>
    <w:rsid w:val="008B7703"/>
    <w:rsid w:val="008B7734"/>
    <w:rsid w:val="008B7760"/>
    <w:rsid w:val="008B77A9"/>
    <w:rsid w:val="008B7887"/>
    <w:rsid w:val="008B7937"/>
    <w:rsid w:val="008B797B"/>
    <w:rsid w:val="008B79D6"/>
    <w:rsid w:val="008B7A4C"/>
    <w:rsid w:val="008B7A58"/>
    <w:rsid w:val="008B7AA5"/>
    <w:rsid w:val="008B7AA7"/>
    <w:rsid w:val="008B7AD9"/>
    <w:rsid w:val="008B7AE0"/>
    <w:rsid w:val="008B7B23"/>
    <w:rsid w:val="008B7B86"/>
    <w:rsid w:val="008B7B8D"/>
    <w:rsid w:val="008B7B94"/>
    <w:rsid w:val="008B7C26"/>
    <w:rsid w:val="008B7C78"/>
    <w:rsid w:val="008B7CA8"/>
    <w:rsid w:val="008B7CED"/>
    <w:rsid w:val="008B7D89"/>
    <w:rsid w:val="008B7DDA"/>
    <w:rsid w:val="008B7F88"/>
    <w:rsid w:val="008B7FC1"/>
    <w:rsid w:val="008B7FC3"/>
    <w:rsid w:val="008B7FD1"/>
    <w:rsid w:val="008B7FF7"/>
    <w:rsid w:val="008C0013"/>
    <w:rsid w:val="008C0080"/>
    <w:rsid w:val="008C0178"/>
    <w:rsid w:val="008C01BD"/>
    <w:rsid w:val="008C01FF"/>
    <w:rsid w:val="008C0208"/>
    <w:rsid w:val="008C0232"/>
    <w:rsid w:val="008C02AB"/>
    <w:rsid w:val="008C02D6"/>
    <w:rsid w:val="008C02FA"/>
    <w:rsid w:val="008C0300"/>
    <w:rsid w:val="008C0337"/>
    <w:rsid w:val="008C03CC"/>
    <w:rsid w:val="008C03DC"/>
    <w:rsid w:val="008C0423"/>
    <w:rsid w:val="008C0483"/>
    <w:rsid w:val="008C0499"/>
    <w:rsid w:val="008C04EF"/>
    <w:rsid w:val="008C058C"/>
    <w:rsid w:val="008C074B"/>
    <w:rsid w:val="008C0760"/>
    <w:rsid w:val="008C07AE"/>
    <w:rsid w:val="008C0954"/>
    <w:rsid w:val="008C0966"/>
    <w:rsid w:val="008C096E"/>
    <w:rsid w:val="008C09BD"/>
    <w:rsid w:val="008C09CC"/>
    <w:rsid w:val="008C09D3"/>
    <w:rsid w:val="008C0ADB"/>
    <w:rsid w:val="008C0AF5"/>
    <w:rsid w:val="008C0B1C"/>
    <w:rsid w:val="008C0BCF"/>
    <w:rsid w:val="008C0CF2"/>
    <w:rsid w:val="008C0D13"/>
    <w:rsid w:val="008C0D1A"/>
    <w:rsid w:val="008C0DE4"/>
    <w:rsid w:val="008C0E06"/>
    <w:rsid w:val="008C0E18"/>
    <w:rsid w:val="008C0E3E"/>
    <w:rsid w:val="008C0EE7"/>
    <w:rsid w:val="008C0F33"/>
    <w:rsid w:val="008C0FC0"/>
    <w:rsid w:val="008C0FDB"/>
    <w:rsid w:val="008C101F"/>
    <w:rsid w:val="008C1062"/>
    <w:rsid w:val="008C1085"/>
    <w:rsid w:val="008C113F"/>
    <w:rsid w:val="008C115B"/>
    <w:rsid w:val="008C1190"/>
    <w:rsid w:val="008C119E"/>
    <w:rsid w:val="008C1200"/>
    <w:rsid w:val="008C125C"/>
    <w:rsid w:val="008C12C4"/>
    <w:rsid w:val="008C131C"/>
    <w:rsid w:val="008C1358"/>
    <w:rsid w:val="008C1362"/>
    <w:rsid w:val="008C1368"/>
    <w:rsid w:val="008C13B0"/>
    <w:rsid w:val="008C1438"/>
    <w:rsid w:val="008C146E"/>
    <w:rsid w:val="008C14EC"/>
    <w:rsid w:val="008C1527"/>
    <w:rsid w:val="008C1635"/>
    <w:rsid w:val="008C165C"/>
    <w:rsid w:val="008C166C"/>
    <w:rsid w:val="008C16C5"/>
    <w:rsid w:val="008C17B5"/>
    <w:rsid w:val="008C17BB"/>
    <w:rsid w:val="008C17D4"/>
    <w:rsid w:val="008C17F4"/>
    <w:rsid w:val="008C1816"/>
    <w:rsid w:val="008C18BE"/>
    <w:rsid w:val="008C1921"/>
    <w:rsid w:val="008C1950"/>
    <w:rsid w:val="008C1993"/>
    <w:rsid w:val="008C19C1"/>
    <w:rsid w:val="008C19DF"/>
    <w:rsid w:val="008C1A25"/>
    <w:rsid w:val="008C1A37"/>
    <w:rsid w:val="008C1A56"/>
    <w:rsid w:val="008C1A61"/>
    <w:rsid w:val="008C1A6D"/>
    <w:rsid w:val="008C1AB6"/>
    <w:rsid w:val="008C1B11"/>
    <w:rsid w:val="008C1CDF"/>
    <w:rsid w:val="008C1CF5"/>
    <w:rsid w:val="008C1E09"/>
    <w:rsid w:val="008C1E7F"/>
    <w:rsid w:val="008C1E80"/>
    <w:rsid w:val="008C1E92"/>
    <w:rsid w:val="008C1F15"/>
    <w:rsid w:val="008C1F56"/>
    <w:rsid w:val="008C1F61"/>
    <w:rsid w:val="008C2005"/>
    <w:rsid w:val="008C2033"/>
    <w:rsid w:val="008C2117"/>
    <w:rsid w:val="008C215D"/>
    <w:rsid w:val="008C2188"/>
    <w:rsid w:val="008C2267"/>
    <w:rsid w:val="008C2274"/>
    <w:rsid w:val="008C2288"/>
    <w:rsid w:val="008C22A3"/>
    <w:rsid w:val="008C22AF"/>
    <w:rsid w:val="008C22C2"/>
    <w:rsid w:val="008C233D"/>
    <w:rsid w:val="008C2354"/>
    <w:rsid w:val="008C23C3"/>
    <w:rsid w:val="008C243D"/>
    <w:rsid w:val="008C246C"/>
    <w:rsid w:val="008C249A"/>
    <w:rsid w:val="008C24B5"/>
    <w:rsid w:val="008C252D"/>
    <w:rsid w:val="008C2585"/>
    <w:rsid w:val="008C2588"/>
    <w:rsid w:val="008C2601"/>
    <w:rsid w:val="008C26A0"/>
    <w:rsid w:val="008C26D4"/>
    <w:rsid w:val="008C277B"/>
    <w:rsid w:val="008C2789"/>
    <w:rsid w:val="008C27B7"/>
    <w:rsid w:val="008C2802"/>
    <w:rsid w:val="008C2814"/>
    <w:rsid w:val="008C2832"/>
    <w:rsid w:val="008C287B"/>
    <w:rsid w:val="008C2885"/>
    <w:rsid w:val="008C28DA"/>
    <w:rsid w:val="008C2A4E"/>
    <w:rsid w:val="008C2ABE"/>
    <w:rsid w:val="008C2B0E"/>
    <w:rsid w:val="008C2BF6"/>
    <w:rsid w:val="008C2C10"/>
    <w:rsid w:val="008C2CBB"/>
    <w:rsid w:val="008C2CDF"/>
    <w:rsid w:val="008C2D48"/>
    <w:rsid w:val="008C2DD7"/>
    <w:rsid w:val="008C2DE1"/>
    <w:rsid w:val="008C2E1B"/>
    <w:rsid w:val="008C2F1E"/>
    <w:rsid w:val="008C2F46"/>
    <w:rsid w:val="008C2FFE"/>
    <w:rsid w:val="008C302A"/>
    <w:rsid w:val="008C305F"/>
    <w:rsid w:val="008C309A"/>
    <w:rsid w:val="008C30EB"/>
    <w:rsid w:val="008C31CD"/>
    <w:rsid w:val="008C3227"/>
    <w:rsid w:val="008C329E"/>
    <w:rsid w:val="008C3329"/>
    <w:rsid w:val="008C3397"/>
    <w:rsid w:val="008C33B6"/>
    <w:rsid w:val="008C33F0"/>
    <w:rsid w:val="008C33F9"/>
    <w:rsid w:val="008C3427"/>
    <w:rsid w:val="008C3451"/>
    <w:rsid w:val="008C3499"/>
    <w:rsid w:val="008C34DD"/>
    <w:rsid w:val="008C3529"/>
    <w:rsid w:val="008C35F8"/>
    <w:rsid w:val="008C360F"/>
    <w:rsid w:val="008C3620"/>
    <w:rsid w:val="008C36EE"/>
    <w:rsid w:val="008C3750"/>
    <w:rsid w:val="008C3770"/>
    <w:rsid w:val="008C37B5"/>
    <w:rsid w:val="008C3828"/>
    <w:rsid w:val="008C384D"/>
    <w:rsid w:val="008C3857"/>
    <w:rsid w:val="008C38B4"/>
    <w:rsid w:val="008C3915"/>
    <w:rsid w:val="008C392F"/>
    <w:rsid w:val="008C3967"/>
    <w:rsid w:val="008C39E2"/>
    <w:rsid w:val="008C39F3"/>
    <w:rsid w:val="008C3AE9"/>
    <w:rsid w:val="008C3B1C"/>
    <w:rsid w:val="008C3BF6"/>
    <w:rsid w:val="008C3C4E"/>
    <w:rsid w:val="008C3CC4"/>
    <w:rsid w:val="008C3CDB"/>
    <w:rsid w:val="008C3EC1"/>
    <w:rsid w:val="008C3ECA"/>
    <w:rsid w:val="008C3F33"/>
    <w:rsid w:val="008C3FC5"/>
    <w:rsid w:val="008C4048"/>
    <w:rsid w:val="008C40AC"/>
    <w:rsid w:val="008C40EC"/>
    <w:rsid w:val="008C40ED"/>
    <w:rsid w:val="008C4100"/>
    <w:rsid w:val="008C41AE"/>
    <w:rsid w:val="008C4215"/>
    <w:rsid w:val="008C4298"/>
    <w:rsid w:val="008C42BE"/>
    <w:rsid w:val="008C43CD"/>
    <w:rsid w:val="008C4407"/>
    <w:rsid w:val="008C4482"/>
    <w:rsid w:val="008C44BB"/>
    <w:rsid w:val="008C4651"/>
    <w:rsid w:val="008C4683"/>
    <w:rsid w:val="008C46AA"/>
    <w:rsid w:val="008C46DD"/>
    <w:rsid w:val="008C4738"/>
    <w:rsid w:val="008C47AB"/>
    <w:rsid w:val="008C47E8"/>
    <w:rsid w:val="008C480D"/>
    <w:rsid w:val="008C4827"/>
    <w:rsid w:val="008C4831"/>
    <w:rsid w:val="008C4848"/>
    <w:rsid w:val="008C487D"/>
    <w:rsid w:val="008C49B2"/>
    <w:rsid w:val="008C49DE"/>
    <w:rsid w:val="008C4A20"/>
    <w:rsid w:val="008C4A68"/>
    <w:rsid w:val="008C4A83"/>
    <w:rsid w:val="008C4B5C"/>
    <w:rsid w:val="008C4BA6"/>
    <w:rsid w:val="008C4C29"/>
    <w:rsid w:val="008C4C3A"/>
    <w:rsid w:val="008C4CCD"/>
    <w:rsid w:val="008C4D5B"/>
    <w:rsid w:val="008C4D71"/>
    <w:rsid w:val="008C4EE3"/>
    <w:rsid w:val="008C4F67"/>
    <w:rsid w:val="008C508F"/>
    <w:rsid w:val="008C5124"/>
    <w:rsid w:val="008C5161"/>
    <w:rsid w:val="008C51AA"/>
    <w:rsid w:val="008C529A"/>
    <w:rsid w:val="008C52E9"/>
    <w:rsid w:val="008C5303"/>
    <w:rsid w:val="008C5314"/>
    <w:rsid w:val="008C5316"/>
    <w:rsid w:val="008C5356"/>
    <w:rsid w:val="008C5377"/>
    <w:rsid w:val="008C53AB"/>
    <w:rsid w:val="008C53E5"/>
    <w:rsid w:val="008C542A"/>
    <w:rsid w:val="008C5451"/>
    <w:rsid w:val="008C5467"/>
    <w:rsid w:val="008C546E"/>
    <w:rsid w:val="008C5513"/>
    <w:rsid w:val="008C5595"/>
    <w:rsid w:val="008C55BD"/>
    <w:rsid w:val="008C5656"/>
    <w:rsid w:val="008C5690"/>
    <w:rsid w:val="008C56E7"/>
    <w:rsid w:val="008C56EE"/>
    <w:rsid w:val="008C572D"/>
    <w:rsid w:val="008C577A"/>
    <w:rsid w:val="008C57B2"/>
    <w:rsid w:val="008C57FB"/>
    <w:rsid w:val="008C5850"/>
    <w:rsid w:val="008C5856"/>
    <w:rsid w:val="008C58C9"/>
    <w:rsid w:val="008C58EA"/>
    <w:rsid w:val="008C596A"/>
    <w:rsid w:val="008C598E"/>
    <w:rsid w:val="008C59AC"/>
    <w:rsid w:val="008C59C0"/>
    <w:rsid w:val="008C5A77"/>
    <w:rsid w:val="008C5A87"/>
    <w:rsid w:val="008C5AD6"/>
    <w:rsid w:val="008C5AF5"/>
    <w:rsid w:val="008C5C2B"/>
    <w:rsid w:val="008C5C2E"/>
    <w:rsid w:val="008C5C9A"/>
    <w:rsid w:val="008C5CC4"/>
    <w:rsid w:val="008C5CE5"/>
    <w:rsid w:val="008C5D70"/>
    <w:rsid w:val="008C5E27"/>
    <w:rsid w:val="008C5E39"/>
    <w:rsid w:val="008C5E3F"/>
    <w:rsid w:val="008C5E6D"/>
    <w:rsid w:val="008C5EEB"/>
    <w:rsid w:val="008C5EEE"/>
    <w:rsid w:val="008C5F67"/>
    <w:rsid w:val="008C5FB1"/>
    <w:rsid w:val="008C5FB2"/>
    <w:rsid w:val="008C5FDE"/>
    <w:rsid w:val="008C5FEB"/>
    <w:rsid w:val="008C5FFA"/>
    <w:rsid w:val="008C60FA"/>
    <w:rsid w:val="008C6148"/>
    <w:rsid w:val="008C616A"/>
    <w:rsid w:val="008C61CC"/>
    <w:rsid w:val="008C62A0"/>
    <w:rsid w:val="008C62AC"/>
    <w:rsid w:val="008C62C9"/>
    <w:rsid w:val="008C62F7"/>
    <w:rsid w:val="008C6306"/>
    <w:rsid w:val="008C6331"/>
    <w:rsid w:val="008C635C"/>
    <w:rsid w:val="008C6439"/>
    <w:rsid w:val="008C64A0"/>
    <w:rsid w:val="008C651E"/>
    <w:rsid w:val="008C6557"/>
    <w:rsid w:val="008C6577"/>
    <w:rsid w:val="008C6583"/>
    <w:rsid w:val="008C65FE"/>
    <w:rsid w:val="008C66D4"/>
    <w:rsid w:val="008C673F"/>
    <w:rsid w:val="008C675A"/>
    <w:rsid w:val="008C67F9"/>
    <w:rsid w:val="008C68F0"/>
    <w:rsid w:val="008C6919"/>
    <w:rsid w:val="008C69AC"/>
    <w:rsid w:val="008C69E6"/>
    <w:rsid w:val="008C6A07"/>
    <w:rsid w:val="008C6A8D"/>
    <w:rsid w:val="008C6B17"/>
    <w:rsid w:val="008C6B1A"/>
    <w:rsid w:val="008C6B40"/>
    <w:rsid w:val="008C6B4C"/>
    <w:rsid w:val="008C6C20"/>
    <w:rsid w:val="008C6C4C"/>
    <w:rsid w:val="008C6C66"/>
    <w:rsid w:val="008C6C79"/>
    <w:rsid w:val="008C6CD9"/>
    <w:rsid w:val="008C6D30"/>
    <w:rsid w:val="008C6D51"/>
    <w:rsid w:val="008C6DCD"/>
    <w:rsid w:val="008C6E04"/>
    <w:rsid w:val="008C6E11"/>
    <w:rsid w:val="008C6E1E"/>
    <w:rsid w:val="008C6E56"/>
    <w:rsid w:val="008C6EBF"/>
    <w:rsid w:val="008C6EF2"/>
    <w:rsid w:val="008C6FD0"/>
    <w:rsid w:val="008C7078"/>
    <w:rsid w:val="008C7080"/>
    <w:rsid w:val="008C717F"/>
    <w:rsid w:val="008C71AC"/>
    <w:rsid w:val="008C723C"/>
    <w:rsid w:val="008C731D"/>
    <w:rsid w:val="008C7353"/>
    <w:rsid w:val="008C741A"/>
    <w:rsid w:val="008C7425"/>
    <w:rsid w:val="008C743A"/>
    <w:rsid w:val="008C74D9"/>
    <w:rsid w:val="008C7517"/>
    <w:rsid w:val="008C7620"/>
    <w:rsid w:val="008C7629"/>
    <w:rsid w:val="008C7634"/>
    <w:rsid w:val="008C7639"/>
    <w:rsid w:val="008C77E9"/>
    <w:rsid w:val="008C79A1"/>
    <w:rsid w:val="008C79BA"/>
    <w:rsid w:val="008C7A11"/>
    <w:rsid w:val="008C7A87"/>
    <w:rsid w:val="008C7B0D"/>
    <w:rsid w:val="008C7B54"/>
    <w:rsid w:val="008C7B5D"/>
    <w:rsid w:val="008C7C59"/>
    <w:rsid w:val="008C7C6A"/>
    <w:rsid w:val="008C7CA8"/>
    <w:rsid w:val="008C7D24"/>
    <w:rsid w:val="008C7D4D"/>
    <w:rsid w:val="008C7D91"/>
    <w:rsid w:val="008C7E8A"/>
    <w:rsid w:val="008C7ED0"/>
    <w:rsid w:val="008C7F48"/>
    <w:rsid w:val="008C7F69"/>
    <w:rsid w:val="008C7F84"/>
    <w:rsid w:val="008C7FBD"/>
    <w:rsid w:val="008C7FE3"/>
    <w:rsid w:val="008C7FFB"/>
    <w:rsid w:val="008D0050"/>
    <w:rsid w:val="008D00C4"/>
    <w:rsid w:val="008D017F"/>
    <w:rsid w:val="008D0188"/>
    <w:rsid w:val="008D01B2"/>
    <w:rsid w:val="008D0258"/>
    <w:rsid w:val="008D0283"/>
    <w:rsid w:val="008D029C"/>
    <w:rsid w:val="008D02EF"/>
    <w:rsid w:val="008D02FA"/>
    <w:rsid w:val="008D0305"/>
    <w:rsid w:val="008D03C3"/>
    <w:rsid w:val="008D04E4"/>
    <w:rsid w:val="008D0558"/>
    <w:rsid w:val="008D05EE"/>
    <w:rsid w:val="008D0648"/>
    <w:rsid w:val="008D066F"/>
    <w:rsid w:val="008D0676"/>
    <w:rsid w:val="008D06B2"/>
    <w:rsid w:val="008D084A"/>
    <w:rsid w:val="008D0864"/>
    <w:rsid w:val="008D088C"/>
    <w:rsid w:val="008D089E"/>
    <w:rsid w:val="008D09E6"/>
    <w:rsid w:val="008D0A67"/>
    <w:rsid w:val="008D0ADB"/>
    <w:rsid w:val="008D0B03"/>
    <w:rsid w:val="008D0B70"/>
    <w:rsid w:val="008D0C08"/>
    <w:rsid w:val="008D0C75"/>
    <w:rsid w:val="008D0CAB"/>
    <w:rsid w:val="008D0CD2"/>
    <w:rsid w:val="008D0D95"/>
    <w:rsid w:val="008D0E1C"/>
    <w:rsid w:val="008D0E2E"/>
    <w:rsid w:val="008D0E3C"/>
    <w:rsid w:val="008D0E3E"/>
    <w:rsid w:val="008D0E43"/>
    <w:rsid w:val="008D0E5D"/>
    <w:rsid w:val="008D0E73"/>
    <w:rsid w:val="008D0EFC"/>
    <w:rsid w:val="008D106D"/>
    <w:rsid w:val="008D10AE"/>
    <w:rsid w:val="008D115C"/>
    <w:rsid w:val="008D1168"/>
    <w:rsid w:val="008D11A7"/>
    <w:rsid w:val="008D11F0"/>
    <w:rsid w:val="008D1243"/>
    <w:rsid w:val="008D1364"/>
    <w:rsid w:val="008D1393"/>
    <w:rsid w:val="008D13B7"/>
    <w:rsid w:val="008D13BB"/>
    <w:rsid w:val="008D1495"/>
    <w:rsid w:val="008D153A"/>
    <w:rsid w:val="008D1547"/>
    <w:rsid w:val="008D1594"/>
    <w:rsid w:val="008D166F"/>
    <w:rsid w:val="008D1676"/>
    <w:rsid w:val="008D1684"/>
    <w:rsid w:val="008D16BD"/>
    <w:rsid w:val="008D16CA"/>
    <w:rsid w:val="008D1708"/>
    <w:rsid w:val="008D1714"/>
    <w:rsid w:val="008D172B"/>
    <w:rsid w:val="008D1756"/>
    <w:rsid w:val="008D17A5"/>
    <w:rsid w:val="008D17C5"/>
    <w:rsid w:val="008D17DC"/>
    <w:rsid w:val="008D186E"/>
    <w:rsid w:val="008D18A0"/>
    <w:rsid w:val="008D18A6"/>
    <w:rsid w:val="008D191B"/>
    <w:rsid w:val="008D1929"/>
    <w:rsid w:val="008D1A06"/>
    <w:rsid w:val="008D1A10"/>
    <w:rsid w:val="008D1A61"/>
    <w:rsid w:val="008D1A69"/>
    <w:rsid w:val="008D1AB4"/>
    <w:rsid w:val="008D1AC7"/>
    <w:rsid w:val="008D1AD3"/>
    <w:rsid w:val="008D1B04"/>
    <w:rsid w:val="008D1BEC"/>
    <w:rsid w:val="008D1BEF"/>
    <w:rsid w:val="008D1C2D"/>
    <w:rsid w:val="008D1C93"/>
    <w:rsid w:val="008D1CBD"/>
    <w:rsid w:val="008D1D53"/>
    <w:rsid w:val="008D1D6C"/>
    <w:rsid w:val="008D1DB2"/>
    <w:rsid w:val="008D1E9D"/>
    <w:rsid w:val="008D1EC6"/>
    <w:rsid w:val="008D2002"/>
    <w:rsid w:val="008D208F"/>
    <w:rsid w:val="008D2125"/>
    <w:rsid w:val="008D212D"/>
    <w:rsid w:val="008D214E"/>
    <w:rsid w:val="008D2160"/>
    <w:rsid w:val="008D224A"/>
    <w:rsid w:val="008D22BD"/>
    <w:rsid w:val="008D22DF"/>
    <w:rsid w:val="008D22F6"/>
    <w:rsid w:val="008D2467"/>
    <w:rsid w:val="008D249A"/>
    <w:rsid w:val="008D24A8"/>
    <w:rsid w:val="008D2570"/>
    <w:rsid w:val="008D25B8"/>
    <w:rsid w:val="008D25D6"/>
    <w:rsid w:val="008D25E3"/>
    <w:rsid w:val="008D261F"/>
    <w:rsid w:val="008D2622"/>
    <w:rsid w:val="008D2660"/>
    <w:rsid w:val="008D266B"/>
    <w:rsid w:val="008D26F9"/>
    <w:rsid w:val="008D2707"/>
    <w:rsid w:val="008D27CA"/>
    <w:rsid w:val="008D27F2"/>
    <w:rsid w:val="008D280C"/>
    <w:rsid w:val="008D2825"/>
    <w:rsid w:val="008D284C"/>
    <w:rsid w:val="008D2892"/>
    <w:rsid w:val="008D29AA"/>
    <w:rsid w:val="008D2A08"/>
    <w:rsid w:val="008D2A40"/>
    <w:rsid w:val="008D2AD6"/>
    <w:rsid w:val="008D2AE1"/>
    <w:rsid w:val="008D2BDD"/>
    <w:rsid w:val="008D2BFB"/>
    <w:rsid w:val="008D2CDF"/>
    <w:rsid w:val="008D2D40"/>
    <w:rsid w:val="008D2D61"/>
    <w:rsid w:val="008D2DB4"/>
    <w:rsid w:val="008D2DBF"/>
    <w:rsid w:val="008D2DDC"/>
    <w:rsid w:val="008D2F03"/>
    <w:rsid w:val="008D2F38"/>
    <w:rsid w:val="008D2F61"/>
    <w:rsid w:val="008D3016"/>
    <w:rsid w:val="008D3059"/>
    <w:rsid w:val="008D3086"/>
    <w:rsid w:val="008D30BE"/>
    <w:rsid w:val="008D3139"/>
    <w:rsid w:val="008D313B"/>
    <w:rsid w:val="008D313C"/>
    <w:rsid w:val="008D3160"/>
    <w:rsid w:val="008D31B0"/>
    <w:rsid w:val="008D32DC"/>
    <w:rsid w:val="008D332D"/>
    <w:rsid w:val="008D3349"/>
    <w:rsid w:val="008D334F"/>
    <w:rsid w:val="008D3366"/>
    <w:rsid w:val="008D336D"/>
    <w:rsid w:val="008D33FC"/>
    <w:rsid w:val="008D343C"/>
    <w:rsid w:val="008D346A"/>
    <w:rsid w:val="008D34B6"/>
    <w:rsid w:val="008D3532"/>
    <w:rsid w:val="008D3547"/>
    <w:rsid w:val="008D3566"/>
    <w:rsid w:val="008D35A5"/>
    <w:rsid w:val="008D3625"/>
    <w:rsid w:val="008D3668"/>
    <w:rsid w:val="008D3669"/>
    <w:rsid w:val="008D36C4"/>
    <w:rsid w:val="008D36C9"/>
    <w:rsid w:val="008D36EF"/>
    <w:rsid w:val="008D3759"/>
    <w:rsid w:val="008D383A"/>
    <w:rsid w:val="008D386D"/>
    <w:rsid w:val="008D38FF"/>
    <w:rsid w:val="008D39AD"/>
    <w:rsid w:val="008D3AD4"/>
    <w:rsid w:val="008D3B03"/>
    <w:rsid w:val="008D3C29"/>
    <w:rsid w:val="008D3C4E"/>
    <w:rsid w:val="008D3C54"/>
    <w:rsid w:val="008D3C59"/>
    <w:rsid w:val="008D3C80"/>
    <w:rsid w:val="008D3D08"/>
    <w:rsid w:val="008D3D5D"/>
    <w:rsid w:val="008D3D62"/>
    <w:rsid w:val="008D3E1E"/>
    <w:rsid w:val="008D3EC5"/>
    <w:rsid w:val="008D3EDB"/>
    <w:rsid w:val="008D3F8D"/>
    <w:rsid w:val="008D4079"/>
    <w:rsid w:val="008D409E"/>
    <w:rsid w:val="008D412A"/>
    <w:rsid w:val="008D4130"/>
    <w:rsid w:val="008D4153"/>
    <w:rsid w:val="008D419B"/>
    <w:rsid w:val="008D41AD"/>
    <w:rsid w:val="008D41AE"/>
    <w:rsid w:val="008D4203"/>
    <w:rsid w:val="008D4230"/>
    <w:rsid w:val="008D4256"/>
    <w:rsid w:val="008D425F"/>
    <w:rsid w:val="008D4264"/>
    <w:rsid w:val="008D42F9"/>
    <w:rsid w:val="008D4374"/>
    <w:rsid w:val="008D438D"/>
    <w:rsid w:val="008D43E3"/>
    <w:rsid w:val="008D4447"/>
    <w:rsid w:val="008D444C"/>
    <w:rsid w:val="008D449C"/>
    <w:rsid w:val="008D44B0"/>
    <w:rsid w:val="008D44D8"/>
    <w:rsid w:val="008D4512"/>
    <w:rsid w:val="008D4567"/>
    <w:rsid w:val="008D4605"/>
    <w:rsid w:val="008D4631"/>
    <w:rsid w:val="008D4669"/>
    <w:rsid w:val="008D4716"/>
    <w:rsid w:val="008D47BA"/>
    <w:rsid w:val="008D47C9"/>
    <w:rsid w:val="008D47DD"/>
    <w:rsid w:val="008D483C"/>
    <w:rsid w:val="008D4865"/>
    <w:rsid w:val="008D48AC"/>
    <w:rsid w:val="008D4949"/>
    <w:rsid w:val="008D494F"/>
    <w:rsid w:val="008D4986"/>
    <w:rsid w:val="008D49A4"/>
    <w:rsid w:val="008D49B2"/>
    <w:rsid w:val="008D49D1"/>
    <w:rsid w:val="008D49E9"/>
    <w:rsid w:val="008D4A03"/>
    <w:rsid w:val="008D4A48"/>
    <w:rsid w:val="008D4B4B"/>
    <w:rsid w:val="008D4B58"/>
    <w:rsid w:val="008D4C38"/>
    <w:rsid w:val="008D4C53"/>
    <w:rsid w:val="008D4CFB"/>
    <w:rsid w:val="008D4D1C"/>
    <w:rsid w:val="008D4D8B"/>
    <w:rsid w:val="008D4D90"/>
    <w:rsid w:val="008D4DBB"/>
    <w:rsid w:val="008D4EA4"/>
    <w:rsid w:val="008D4EB2"/>
    <w:rsid w:val="008D4F43"/>
    <w:rsid w:val="008D4F46"/>
    <w:rsid w:val="008D4FD4"/>
    <w:rsid w:val="008D50D2"/>
    <w:rsid w:val="008D5128"/>
    <w:rsid w:val="008D512F"/>
    <w:rsid w:val="008D516B"/>
    <w:rsid w:val="008D51AC"/>
    <w:rsid w:val="008D5249"/>
    <w:rsid w:val="008D525C"/>
    <w:rsid w:val="008D52FF"/>
    <w:rsid w:val="008D5393"/>
    <w:rsid w:val="008D539E"/>
    <w:rsid w:val="008D53A8"/>
    <w:rsid w:val="008D53B7"/>
    <w:rsid w:val="008D53B9"/>
    <w:rsid w:val="008D5472"/>
    <w:rsid w:val="008D54CE"/>
    <w:rsid w:val="008D54E2"/>
    <w:rsid w:val="008D55A8"/>
    <w:rsid w:val="008D55CB"/>
    <w:rsid w:val="008D5698"/>
    <w:rsid w:val="008D56F3"/>
    <w:rsid w:val="008D573D"/>
    <w:rsid w:val="008D577B"/>
    <w:rsid w:val="008D5783"/>
    <w:rsid w:val="008D5786"/>
    <w:rsid w:val="008D57BC"/>
    <w:rsid w:val="008D57C2"/>
    <w:rsid w:val="008D57FA"/>
    <w:rsid w:val="008D588C"/>
    <w:rsid w:val="008D5927"/>
    <w:rsid w:val="008D592D"/>
    <w:rsid w:val="008D5938"/>
    <w:rsid w:val="008D594B"/>
    <w:rsid w:val="008D5997"/>
    <w:rsid w:val="008D5A0B"/>
    <w:rsid w:val="008D5A60"/>
    <w:rsid w:val="008D5AEE"/>
    <w:rsid w:val="008D5B1A"/>
    <w:rsid w:val="008D5BBF"/>
    <w:rsid w:val="008D5BC4"/>
    <w:rsid w:val="008D5C77"/>
    <w:rsid w:val="008D5D55"/>
    <w:rsid w:val="008D5D67"/>
    <w:rsid w:val="008D5D9D"/>
    <w:rsid w:val="008D5DBA"/>
    <w:rsid w:val="008D5F65"/>
    <w:rsid w:val="008D5F6F"/>
    <w:rsid w:val="008D5F7A"/>
    <w:rsid w:val="008D5FBC"/>
    <w:rsid w:val="008D6032"/>
    <w:rsid w:val="008D6053"/>
    <w:rsid w:val="008D607C"/>
    <w:rsid w:val="008D612B"/>
    <w:rsid w:val="008D612E"/>
    <w:rsid w:val="008D6152"/>
    <w:rsid w:val="008D61FD"/>
    <w:rsid w:val="008D6264"/>
    <w:rsid w:val="008D62C6"/>
    <w:rsid w:val="008D62F8"/>
    <w:rsid w:val="008D6354"/>
    <w:rsid w:val="008D6395"/>
    <w:rsid w:val="008D63E9"/>
    <w:rsid w:val="008D63F7"/>
    <w:rsid w:val="008D6414"/>
    <w:rsid w:val="008D6493"/>
    <w:rsid w:val="008D6495"/>
    <w:rsid w:val="008D6503"/>
    <w:rsid w:val="008D65DC"/>
    <w:rsid w:val="008D662C"/>
    <w:rsid w:val="008D664F"/>
    <w:rsid w:val="008D665E"/>
    <w:rsid w:val="008D66E3"/>
    <w:rsid w:val="008D68A0"/>
    <w:rsid w:val="008D69C7"/>
    <w:rsid w:val="008D6A2D"/>
    <w:rsid w:val="008D6A82"/>
    <w:rsid w:val="008D6AA2"/>
    <w:rsid w:val="008D6AC2"/>
    <w:rsid w:val="008D6AE5"/>
    <w:rsid w:val="008D6B22"/>
    <w:rsid w:val="008D6B56"/>
    <w:rsid w:val="008D6B76"/>
    <w:rsid w:val="008D6BB4"/>
    <w:rsid w:val="008D6BEA"/>
    <w:rsid w:val="008D6C2D"/>
    <w:rsid w:val="008D6C3B"/>
    <w:rsid w:val="008D6C88"/>
    <w:rsid w:val="008D6CC1"/>
    <w:rsid w:val="008D6D6D"/>
    <w:rsid w:val="008D6DFC"/>
    <w:rsid w:val="008D6E3C"/>
    <w:rsid w:val="008D6E95"/>
    <w:rsid w:val="008D6EAF"/>
    <w:rsid w:val="008D6F19"/>
    <w:rsid w:val="008D6F70"/>
    <w:rsid w:val="008D6F78"/>
    <w:rsid w:val="008D6F7B"/>
    <w:rsid w:val="008D6FBE"/>
    <w:rsid w:val="008D7003"/>
    <w:rsid w:val="008D7054"/>
    <w:rsid w:val="008D7072"/>
    <w:rsid w:val="008D7099"/>
    <w:rsid w:val="008D70C4"/>
    <w:rsid w:val="008D70D1"/>
    <w:rsid w:val="008D70F1"/>
    <w:rsid w:val="008D710B"/>
    <w:rsid w:val="008D7146"/>
    <w:rsid w:val="008D7174"/>
    <w:rsid w:val="008D71EF"/>
    <w:rsid w:val="008D71F5"/>
    <w:rsid w:val="008D723C"/>
    <w:rsid w:val="008D7389"/>
    <w:rsid w:val="008D73BD"/>
    <w:rsid w:val="008D73E0"/>
    <w:rsid w:val="008D740D"/>
    <w:rsid w:val="008D74CD"/>
    <w:rsid w:val="008D751D"/>
    <w:rsid w:val="008D758C"/>
    <w:rsid w:val="008D762C"/>
    <w:rsid w:val="008D764E"/>
    <w:rsid w:val="008D764F"/>
    <w:rsid w:val="008D76B8"/>
    <w:rsid w:val="008D7739"/>
    <w:rsid w:val="008D7748"/>
    <w:rsid w:val="008D774D"/>
    <w:rsid w:val="008D7790"/>
    <w:rsid w:val="008D77AF"/>
    <w:rsid w:val="008D77FA"/>
    <w:rsid w:val="008D7814"/>
    <w:rsid w:val="008D7877"/>
    <w:rsid w:val="008D78C0"/>
    <w:rsid w:val="008D79C1"/>
    <w:rsid w:val="008D79FC"/>
    <w:rsid w:val="008D7B45"/>
    <w:rsid w:val="008D7B62"/>
    <w:rsid w:val="008D7B72"/>
    <w:rsid w:val="008D7B9D"/>
    <w:rsid w:val="008D7BBA"/>
    <w:rsid w:val="008D7BDB"/>
    <w:rsid w:val="008D7C6C"/>
    <w:rsid w:val="008D7D4F"/>
    <w:rsid w:val="008D7D94"/>
    <w:rsid w:val="008D7E1E"/>
    <w:rsid w:val="008D7E57"/>
    <w:rsid w:val="008D7E76"/>
    <w:rsid w:val="008D7E9E"/>
    <w:rsid w:val="008D7EEB"/>
    <w:rsid w:val="008D7F3A"/>
    <w:rsid w:val="008D7F7F"/>
    <w:rsid w:val="008D7FB6"/>
    <w:rsid w:val="008E0054"/>
    <w:rsid w:val="008E00A4"/>
    <w:rsid w:val="008E00E2"/>
    <w:rsid w:val="008E0140"/>
    <w:rsid w:val="008E0178"/>
    <w:rsid w:val="008E0200"/>
    <w:rsid w:val="008E029F"/>
    <w:rsid w:val="008E02A7"/>
    <w:rsid w:val="008E0384"/>
    <w:rsid w:val="008E03C2"/>
    <w:rsid w:val="008E03D4"/>
    <w:rsid w:val="008E04E3"/>
    <w:rsid w:val="008E051A"/>
    <w:rsid w:val="008E0558"/>
    <w:rsid w:val="008E05A4"/>
    <w:rsid w:val="008E0651"/>
    <w:rsid w:val="008E0671"/>
    <w:rsid w:val="008E0720"/>
    <w:rsid w:val="008E0799"/>
    <w:rsid w:val="008E07A9"/>
    <w:rsid w:val="008E0801"/>
    <w:rsid w:val="008E08D4"/>
    <w:rsid w:val="008E08E3"/>
    <w:rsid w:val="008E091D"/>
    <w:rsid w:val="008E0AA4"/>
    <w:rsid w:val="008E0B4D"/>
    <w:rsid w:val="008E0B9A"/>
    <w:rsid w:val="008E0BA1"/>
    <w:rsid w:val="008E0BA6"/>
    <w:rsid w:val="008E0BF0"/>
    <w:rsid w:val="008E0C3F"/>
    <w:rsid w:val="008E0CC4"/>
    <w:rsid w:val="008E0D79"/>
    <w:rsid w:val="008E0D7C"/>
    <w:rsid w:val="008E0E56"/>
    <w:rsid w:val="008E0F11"/>
    <w:rsid w:val="008E0F38"/>
    <w:rsid w:val="008E0F87"/>
    <w:rsid w:val="008E0F94"/>
    <w:rsid w:val="008E1034"/>
    <w:rsid w:val="008E1046"/>
    <w:rsid w:val="008E10E1"/>
    <w:rsid w:val="008E1133"/>
    <w:rsid w:val="008E118B"/>
    <w:rsid w:val="008E1270"/>
    <w:rsid w:val="008E12D1"/>
    <w:rsid w:val="008E1380"/>
    <w:rsid w:val="008E139B"/>
    <w:rsid w:val="008E13D2"/>
    <w:rsid w:val="008E1514"/>
    <w:rsid w:val="008E153D"/>
    <w:rsid w:val="008E15A1"/>
    <w:rsid w:val="008E1620"/>
    <w:rsid w:val="008E171C"/>
    <w:rsid w:val="008E1769"/>
    <w:rsid w:val="008E18A4"/>
    <w:rsid w:val="008E18D7"/>
    <w:rsid w:val="008E18E7"/>
    <w:rsid w:val="008E1A27"/>
    <w:rsid w:val="008E1A94"/>
    <w:rsid w:val="008E1AA4"/>
    <w:rsid w:val="008E1AB6"/>
    <w:rsid w:val="008E1ACD"/>
    <w:rsid w:val="008E1ADD"/>
    <w:rsid w:val="008E1ADE"/>
    <w:rsid w:val="008E1B2A"/>
    <w:rsid w:val="008E1BE5"/>
    <w:rsid w:val="008E1C25"/>
    <w:rsid w:val="008E1C2A"/>
    <w:rsid w:val="008E1CC3"/>
    <w:rsid w:val="008E1D7F"/>
    <w:rsid w:val="008E1F3A"/>
    <w:rsid w:val="008E1F56"/>
    <w:rsid w:val="008E1FE5"/>
    <w:rsid w:val="008E20A5"/>
    <w:rsid w:val="008E212C"/>
    <w:rsid w:val="008E222E"/>
    <w:rsid w:val="008E22BD"/>
    <w:rsid w:val="008E22C1"/>
    <w:rsid w:val="008E22EF"/>
    <w:rsid w:val="008E22F9"/>
    <w:rsid w:val="008E22FE"/>
    <w:rsid w:val="008E2361"/>
    <w:rsid w:val="008E2373"/>
    <w:rsid w:val="008E2378"/>
    <w:rsid w:val="008E23D7"/>
    <w:rsid w:val="008E23DC"/>
    <w:rsid w:val="008E2436"/>
    <w:rsid w:val="008E2450"/>
    <w:rsid w:val="008E25D7"/>
    <w:rsid w:val="008E25EE"/>
    <w:rsid w:val="008E277E"/>
    <w:rsid w:val="008E27DA"/>
    <w:rsid w:val="008E2825"/>
    <w:rsid w:val="008E28CF"/>
    <w:rsid w:val="008E28E2"/>
    <w:rsid w:val="008E2905"/>
    <w:rsid w:val="008E2936"/>
    <w:rsid w:val="008E2A00"/>
    <w:rsid w:val="008E2AB8"/>
    <w:rsid w:val="008E2AF1"/>
    <w:rsid w:val="008E2B6E"/>
    <w:rsid w:val="008E2BCE"/>
    <w:rsid w:val="008E2C0C"/>
    <w:rsid w:val="008E2C3E"/>
    <w:rsid w:val="008E2C5D"/>
    <w:rsid w:val="008E2CC9"/>
    <w:rsid w:val="008E2CEE"/>
    <w:rsid w:val="008E2D0F"/>
    <w:rsid w:val="008E2D49"/>
    <w:rsid w:val="008E2D4D"/>
    <w:rsid w:val="008E2D7B"/>
    <w:rsid w:val="008E2DF3"/>
    <w:rsid w:val="008E2EA9"/>
    <w:rsid w:val="008E2EED"/>
    <w:rsid w:val="008E2F1F"/>
    <w:rsid w:val="008E2F65"/>
    <w:rsid w:val="008E2FDC"/>
    <w:rsid w:val="008E3001"/>
    <w:rsid w:val="008E3088"/>
    <w:rsid w:val="008E3098"/>
    <w:rsid w:val="008E30D7"/>
    <w:rsid w:val="008E31B1"/>
    <w:rsid w:val="008E31DB"/>
    <w:rsid w:val="008E321A"/>
    <w:rsid w:val="008E3295"/>
    <w:rsid w:val="008E33A8"/>
    <w:rsid w:val="008E33DB"/>
    <w:rsid w:val="008E33DE"/>
    <w:rsid w:val="008E3417"/>
    <w:rsid w:val="008E349C"/>
    <w:rsid w:val="008E3542"/>
    <w:rsid w:val="008E3595"/>
    <w:rsid w:val="008E35BE"/>
    <w:rsid w:val="008E35C6"/>
    <w:rsid w:val="008E35CB"/>
    <w:rsid w:val="008E3643"/>
    <w:rsid w:val="008E3663"/>
    <w:rsid w:val="008E36C7"/>
    <w:rsid w:val="008E374A"/>
    <w:rsid w:val="008E375D"/>
    <w:rsid w:val="008E379F"/>
    <w:rsid w:val="008E37AB"/>
    <w:rsid w:val="008E37BD"/>
    <w:rsid w:val="008E382A"/>
    <w:rsid w:val="008E382B"/>
    <w:rsid w:val="008E3898"/>
    <w:rsid w:val="008E38EE"/>
    <w:rsid w:val="008E3943"/>
    <w:rsid w:val="008E3990"/>
    <w:rsid w:val="008E3A51"/>
    <w:rsid w:val="008E3B21"/>
    <w:rsid w:val="008E3B33"/>
    <w:rsid w:val="008E3BA9"/>
    <w:rsid w:val="008E3BC2"/>
    <w:rsid w:val="008E3CA7"/>
    <w:rsid w:val="008E3D98"/>
    <w:rsid w:val="008E3ED6"/>
    <w:rsid w:val="008E3F32"/>
    <w:rsid w:val="008E3FBB"/>
    <w:rsid w:val="008E3FEB"/>
    <w:rsid w:val="008E407C"/>
    <w:rsid w:val="008E40E1"/>
    <w:rsid w:val="008E412A"/>
    <w:rsid w:val="008E41B7"/>
    <w:rsid w:val="008E41CE"/>
    <w:rsid w:val="008E41EF"/>
    <w:rsid w:val="008E424E"/>
    <w:rsid w:val="008E4255"/>
    <w:rsid w:val="008E431C"/>
    <w:rsid w:val="008E431F"/>
    <w:rsid w:val="008E4333"/>
    <w:rsid w:val="008E436B"/>
    <w:rsid w:val="008E4434"/>
    <w:rsid w:val="008E443A"/>
    <w:rsid w:val="008E4518"/>
    <w:rsid w:val="008E451A"/>
    <w:rsid w:val="008E45B0"/>
    <w:rsid w:val="008E4654"/>
    <w:rsid w:val="008E465B"/>
    <w:rsid w:val="008E46D2"/>
    <w:rsid w:val="008E46F1"/>
    <w:rsid w:val="008E47B0"/>
    <w:rsid w:val="008E480D"/>
    <w:rsid w:val="008E4841"/>
    <w:rsid w:val="008E4868"/>
    <w:rsid w:val="008E48E6"/>
    <w:rsid w:val="008E492D"/>
    <w:rsid w:val="008E4944"/>
    <w:rsid w:val="008E4961"/>
    <w:rsid w:val="008E496B"/>
    <w:rsid w:val="008E49B1"/>
    <w:rsid w:val="008E49E2"/>
    <w:rsid w:val="008E4ABC"/>
    <w:rsid w:val="008E4AC0"/>
    <w:rsid w:val="008E4B66"/>
    <w:rsid w:val="008E4BA4"/>
    <w:rsid w:val="008E4C01"/>
    <w:rsid w:val="008E4C5F"/>
    <w:rsid w:val="008E4C60"/>
    <w:rsid w:val="008E4CE9"/>
    <w:rsid w:val="008E4CFB"/>
    <w:rsid w:val="008E4D05"/>
    <w:rsid w:val="008E4D11"/>
    <w:rsid w:val="008E4D68"/>
    <w:rsid w:val="008E4D90"/>
    <w:rsid w:val="008E4E14"/>
    <w:rsid w:val="008E4E3B"/>
    <w:rsid w:val="008E4E3F"/>
    <w:rsid w:val="008E4E50"/>
    <w:rsid w:val="008E4F6A"/>
    <w:rsid w:val="008E4FE9"/>
    <w:rsid w:val="008E5027"/>
    <w:rsid w:val="008E5066"/>
    <w:rsid w:val="008E50B1"/>
    <w:rsid w:val="008E50C8"/>
    <w:rsid w:val="008E514F"/>
    <w:rsid w:val="008E515E"/>
    <w:rsid w:val="008E516A"/>
    <w:rsid w:val="008E516F"/>
    <w:rsid w:val="008E5182"/>
    <w:rsid w:val="008E5205"/>
    <w:rsid w:val="008E523B"/>
    <w:rsid w:val="008E527C"/>
    <w:rsid w:val="008E529A"/>
    <w:rsid w:val="008E52DE"/>
    <w:rsid w:val="008E5359"/>
    <w:rsid w:val="008E5384"/>
    <w:rsid w:val="008E53D2"/>
    <w:rsid w:val="008E543A"/>
    <w:rsid w:val="008E54A3"/>
    <w:rsid w:val="008E55E7"/>
    <w:rsid w:val="008E5606"/>
    <w:rsid w:val="008E56D8"/>
    <w:rsid w:val="008E570F"/>
    <w:rsid w:val="008E5953"/>
    <w:rsid w:val="008E5A1F"/>
    <w:rsid w:val="008E5A35"/>
    <w:rsid w:val="008E5A41"/>
    <w:rsid w:val="008E5A4B"/>
    <w:rsid w:val="008E5A96"/>
    <w:rsid w:val="008E5B0C"/>
    <w:rsid w:val="008E5B8E"/>
    <w:rsid w:val="008E5CAF"/>
    <w:rsid w:val="008E5CB3"/>
    <w:rsid w:val="008E5CB8"/>
    <w:rsid w:val="008E5D1A"/>
    <w:rsid w:val="008E5E66"/>
    <w:rsid w:val="008E5F3F"/>
    <w:rsid w:val="008E5F68"/>
    <w:rsid w:val="008E5FA7"/>
    <w:rsid w:val="008E5FBD"/>
    <w:rsid w:val="008E5FFA"/>
    <w:rsid w:val="008E602C"/>
    <w:rsid w:val="008E60A9"/>
    <w:rsid w:val="008E60FA"/>
    <w:rsid w:val="008E6197"/>
    <w:rsid w:val="008E61BC"/>
    <w:rsid w:val="008E62B1"/>
    <w:rsid w:val="008E63A1"/>
    <w:rsid w:val="008E63EF"/>
    <w:rsid w:val="008E64B3"/>
    <w:rsid w:val="008E64C3"/>
    <w:rsid w:val="008E64D0"/>
    <w:rsid w:val="008E64DA"/>
    <w:rsid w:val="008E6532"/>
    <w:rsid w:val="008E6582"/>
    <w:rsid w:val="008E6589"/>
    <w:rsid w:val="008E658B"/>
    <w:rsid w:val="008E65CB"/>
    <w:rsid w:val="008E65DA"/>
    <w:rsid w:val="008E66A2"/>
    <w:rsid w:val="008E671B"/>
    <w:rsid w:val="008E6757"/>
    <w:rsid w:val="008E67BC"/>
    <w:rsid w:val="008E683E"/>
    <w:rsid w:val="008E6893"/>
    <w:rsid w:val="008E689C"/>
    <w:rsid w:val="008E68E9"/>
    <w:rsid w:val="008E69D3"/>
    <w:rsid w:val="008E6A99"/>
    <w:rsid w:val="008E6AB8"/>
    <w:rsid w:val="008E6B8D"/>
    <w:rsid w:val="008E6B99"/>
    <w:rsid w:val="008E6B9F"/>
    <w:rsid w:val="008E6BAC"/>
    <w:rsid w:val="008E6C9F"/>
    <w:rsid w:val="008E6D34"/>
    <w:rsid w:val="008E6D49"/>
    <w:rsid w:val="008E6ED3"/>
    <w:rsid w:val="008E6EEF"/>
    <w:rsid w:val="008E6F1B"/>
    <w:rsid w:val="008E6F37"/>
    <w:rsid w:val="008E6F49"/>
    <w:rsid w:val="008E6F9B"/>
    <w:rsid w:val="008E6FCC"/>
    <w:rsid w:val="008E6FEB"/>
    <w:rsid w:val="008E7000"/>
    <w:rsid w:val="008E7026"/>
    <w:rsid w:val="008E7027"/>
    <w:rsid w:val="008E7032"/>
    <w:rsid w:val="008E7040"/>
    <w:rsid w:val="008E7063"/>
    <w:rsid w:val="008E7114"/>
    <w:rsid w:val="008E71ED"/>
    <w:rsid w:val="008E7243"/>
    <w:rsid w:val="008E7286"/>
    <w:rsid w:val="008E73C9"/>
    <w:rsid w:val="008E749B"/>
    <w:rsid w:val="008E74AB"/>
    <w:rsid w:val="008E74ED"/>
    <w:rsid w:val="008E74F4"/>
    <w:rsid w:val="008E74F9"/>
    <w:rsid w:val="008E750F"/>
    <w:rsid w:val="008E75A7"/>
    <w:rsid w:val="008E75B9"/>
    <w:rsid w:val="008E7603"/>
    <w:rsid w:val="008E7605"/>
    <w:rsid w:val="008E7668"/>
    <w:rsid w:val="008E767F"/>
    <w:rsid w:val="008E76E9"/>
    <w:rsid w:val="008E7824"/>
    <w:rsid w:val="008E7829"/>
    <w:rsid w:val="008E786A"/>
    <w:rsid w:val="008E788F"/>
    <w:rsid w:val="008E7A04"/>
    <w:rsid w:val="008E7AD3"/>
    <w:rsid w:val="008E7BDF"/>
    <w:rsid w:val="008E7C83"/>
    <w:rsid w:val="008E7C9E"/>
    <w:rsid w:val="008E7CA0"/>
    <w:rsid w:val="008E7D72"/>
    <w:rsid w:val="008E7D88"/>
    <w:rsid w:val="008E7D90"/>
    <w:rsid w:val="008E7DA0"/>
    <w:rsid w:val="008E7DF5"/>
    <w:rsid w:val="008E7DFD"/>
    <w:rsid w:val="008E7E24"/>
    <w:rsid w:val="008E7E4A"/>
    <w:rsid w:val="008E7E84"/>
    <w:rsid w:val="008E7E86"/>
    <w:rsid w:val="008E7EC5"/>
    <w:rsid w:val="008E7ED0"/>
    <w:rsid w:val="008E7FEE"/>
    <w:rsid w:val="008F00DC"/>
    <w:rsid w:val="008F0189"/>
    <w:rsid w:val="008F0216"/>
    <w:rsid w:val="008F0217"/>
    <w:rsid w:val="008F0232"/>
    <w:rsid w:val="008F024B"/>
    <w:rsid w:val="008F027C"/>
    <w:rsid w:val="008F0306"/>
    <w:rsid w:val="008F0318"/>
    <w:rsid w:val="008F037B"/>
    <w:rsid w:val="008F038D"/>
    <w:rsid w:val="008F03EA"/>
    <w:rsid w:val="008F0499"/>
    <w:rsid w:val="008F04CB"/>
    <w:rsid w:val="008F04F0"/>
    <w:rsid w:val="008F0507"/>
    <w:rsid w:val="008F056A"/>
    <w:rsid w:val="008F0577"/>
    <w:rsid w:val="008F0586"/>
    <w:rsid w:val="008F05DA"/>
    <w:rsid w:val="008F067F"/>
    <w:rsid w:val="008F07AD"/>
    <w:rsid w:val="008F07FE"/>
    <w:rsid w:val="008F0829"/>
    <w:rsid w:val="008F0862"/>
    <w:rsid w:val="008F0898"/>
    <w:rsid w:val="008F08B6"/>
    <w:rsid w:val="008F0950"/>
    <w:rsid w:val="008F0A06"/>
    <w:rsid w:val="008F0A8D"/>
    <w:rsid w:val="008F0AAB"/>
    <w:rsid w:val="008F0B49"/>
    <w:rsid w:val="008F0B80"/>
    <w:rsid w:val="008F0B82"/>
    <w:rsid w:val="008F0BB6"/>
    <w:rsid w:val="008F0C1E"/>
    <w:rsid w:val="008F0C57"/>
    <w:rsid w:val="008F0D25"/>
    <w:rsid w:val="008F0DA4"/>
    <w:rsid w:val="008F0DEC"/>
    <w:rsid w:val="008F0DF9"/>
    <w:rsid w:val="008F0E1C"/>
    <w:rsid w:val="008F0EA7"/>
    <w:rsid w:val="008F0FA8"/>
    <w:rsid w:val="008F1042"/>
    <w:rsid w:val="008F114E"/>
    <w:rsid w:val="008F118C"/>
    <w:rsid w:val="008F11C5"/>
    <w:rsid w:val="008F1255"/>
    <w:rsid w:val="008F1279"/>
    <w:rsid w:val="008F1487"/>
    <w:rsid w:val="008F14A0"/>
    <w:rsid w:val="008F14AA"/>
    <w:rsid w:val="008F154F"/>
    <w:rsid w:val="008F155A"/>
    <w:rsid w:val="008F15C9"/>
    <w:rsid w:val="008F163B"/>
    <w:rsid w:val="008F1649"/>
    <w:rsid w:val="008F1654"/>
    <w:rsid w:val="008F1697"/>
    <w:rsid w:val="008F16A5"/>
    <w:rsid w:val="008F172E"/>
    <w:rsid w:val="008F1746"/>
    <w:rsid w:val="008F1797"/>
    <w:rsid w:val="008F1804"/>
    <w:rsid w:val="008F1893"/>
    <w:rsid w:val="008F191D"/>
    <w:rsid w:val="008F192D"/>
    <w:rsid w:val="008F1952"/>
    <w:rsid w:val="008F1962"/>
    <w:rsid w:val="008F1981"/>
    <w:rsid w:val="008F19AA"/>
    <w:rsid w:val="008F1A0C"/>
    <w:rsid w:val="008F1A94"/>
    <w:rsid w:val="008F1AB4"/>
    <w:rsid w:val="008F1ADD"/>
    <w:rsid w:val="008F1B83"/>
    <w:rsid w:val="008F1C76"/>
    <w:rsid w:val="008F1D34"/>
    <w:rsid w:val="008F1D93"/>
    <w:rsid w:val="008F1DD1"/>
    <w:rsid w:val="008F1E37"/>
    <w:rsid w:val="008F1E5E"/>
    <w:rsid w:val="008F1EAE"/>
    <w:rsid w:val="008F1F2D"/>
    <w:rsid w:val="008F1F34"/>
    <w:rsid w:val="008F1FA8"/>
    <w:rsid w:val="008F209D"/>
    <w:rsid w:val="008F20CE"/>
    <w:rsid w:val="008F21BF"/>
    <w:rsid w:val="008F21DB"/>
    <w:rsid w:val="008F21E8"/>
    <w:rsid w:val="008F2231"/>
    <w:rsid w:val="008F2308"/>
    <w:rsid w:val="008F23E7"/>
    <w:rsid w:val="008F2444"/>
    <w:rsid w:val="008F2515"/>
    <w:rsid w:val="008F252F"/>
    <w:rsid w:val="008F2584"/>
    <w:rsid w:val="008F25B7"/>
    <w:rsid w:val="008F25C2"/>
    <w:rsid w:val="008F25F9"/>
    <w:rsid w:val="008F2680"/>
    <w:rsid w:val="008F2684"/>
    <w:rsid w:val="008F2798"/>
    <w:rsid w:val="008F27B4"/>
    <w:rsid w:val="008F287C"/>
    <w:rsid w:val="008F289E"/>
    <w:rsid w:val="008F28BB"/>
    <w:rsid w:val="008F2912"/>
    <w:rsid w:val="008F291E"/>
    <w:rsid w:val="008F291F"/>
    <w:rsid w:val="008F2940"/>
    <w:rsid w:val="008F2A25"/>
    <w:rsid w:val="008F2A48"/>
    <w:rsid w:val="008F2AEA"/>
    <w:rsid w:val="008F2B6F"/>
    <w:rsid w:val="008F2BD5"/>
    <w:rsid w:val="008F2C06"/>
    <w:rsid w:val="008F2C0D"/>
    <w:rsid w:val="008F2C6A"/>
    <w:rsid w:val="008F2C8B"/>
    <w:rsid w:val="008F2CA5"/>
    <w:rsid w:val="008F2CE1"/>
    <w:rsid w:val="008F2D84"/>
    <w:rsid w:val="008F2DC2"/>
    <w:rsid w:val="008F2DFC"/>
    <w:rsid w:val="008F2E3C"/>
    <w:rsid w:val="008F2EEE"/>
    <w:rsid w:val="008F2EF1"/>
    <w:rsid w:val="008F2F5C"/>
    <w:rsid w:val="008F3070"/>
    <w:rsid w:val="008F314C"/>
    <w:rsid w:val="008F31BD"/>
    <w:rsid w:val="008F3254"/>
    <w:rsid w:val="008F3259"/>
    <w:rsid w:val="008F32A5"/>
    <w:rsid w:val="008F32CF"/>
    <w:rsid w:val="008F3376"/>
    <w:rsid w:val="008F33CA"/>
    <w:rsid w:val="008F348B"/>
    <w:rsid w:val="008F34E8"/>
    <w:rsid w:val="008F34ED"/>
    <w:rsid w:val="008F357D"/>
    <w:rsid w:val="008F3588"/>
    <w:rsid w:val="008F35A4"/>
    <w:rsid w:val="008F35BA"/>
    <w:rsid w:val="008F3763"/>
    <w:rsid w:val="008F3785"/>
    <w:rsid w:val="008F37BF"/>
    <w:rsid w:val="008F381B"/>
    <w:rsid w:val="008F387B"/>
    <w:rsid w:val="008F38B1"/>
    <w:rsid w:val="008F38F3"/>
    <w:rsid w:val="008F3944"/>
    <w:rsid w:val="008F3954"/>
    <w:rsid w:val="008F3AC6"/>
    <w:rsid w:val="008F3B03"/>
    <w:rsid w:val="008F3B6D"/>
    <w:rsid w:val="008F3B9F"/>
    <w:rsid w:val="008F3BE1"/>
    <w:rsid w:val="008F3C3F"/>
    <w:rsid w:val="008F3C8B"/>
    <w:rsid w:val="008F3DB1"/>
    <w:rsid w:val="008F3DD3"/>
    <w:rsid w:val="008F3E29"/>
    <w:rsid w:val="008F3EE0"/>
    <w:rsid w:val="008F3F41"/>
    <w:rsid w:val="008F3FBC"/>
    <w:rsid w:val="008F3FE3"/>
    <w:rsid w:val="008F406A"/>
    <w:rsid w:val="008F4106"/>
    <w:rsid w:val="008F4153"/>
    <w:rsid w:val="008F4189"/>
    <w:rsid w:val="008F419B"/>
    <w:rsid w:val="008F41A6"/>
    <w:rsid w:val="008F42CC"/>
    <w:rsid w:val="008F42DD"/>
    <w:rsid w:val="008F42F1"/>
    <w:rsid w:val="008F4347"/>
    <w:rsid w:val="008F44C8"/>
    <w:rsid w:val="008F44DB"/>
    <w:rsid w:val="008F452C"/>
    <w:rsid w:val="008F4567"/>
    <w:rsid w:val="008F45C1"/>
    <w:rsid w:val="008F461A"/>
    <w:rsid w:val="008F465F"/>
    <w:rsid w:val="008F4668"/>
    <w:rsid w:val="008F470B"/>
    <w:rsid w:val="008F47A8"/>
    <w:rsid w:val="008F47B5"/>
    <w:rsid w:val="008F480F"/>
    <w:rsid w:val="008F481E"/>
    <w:rsid w:val="008F4861"/>
    <w:rsid w:val="008F486D"/>
    <w:rsid w:val="008F48BF"/>
    <w:rsid w:val="008F48CB"/>
    <w:rsid w:val="008F48D9"/>
    <w:rsid w:val="008F4953"/>
    <w:rsid w:val="008F495F"/>
    <w:rsid w:val="008F49A2"/>
    <w:rsid w:val="008F4A03"/>
    <w:rsid w:val="008F4AAA"/>
    <w:rsid w:val="008F4AE3"/>
    <w:rsid w:val="008F4B4D"/>
    <w:rsid w:val="008F4C37"/>
    <w:rsid w:val="008F4D15"/>
    <w:rsid w:val="008F4D9B"/>
    <w:rsid w:val="008F4DC2"/>
    <w:rsid w:val="008F4DC8"/>
    <w:rsid w:val="008F4DCE"/>
    <w:rsid w:val="008F4E10"/>
    <w:rsid w:val="008F4E38"/>
    <w:rsid w:val="008F4E6E"/>
    <w:rsid w:val="008F4E72"/>
    <w:rsid w:val="008F4EFA"/>
    <w:rsid w:val="008F4F06"/>
    <w:rsid w:val="008F4F2A"/>
    <w:rsid w:val="008F4F9C"/>
    <w:rsid w:val="008F5014"/>
    <w:rsid w:val="008F505A"/>
    <w:rsid w:val="008F5088"/>
    <w:rsid w:val="008F5115"/>
    <w:rsid w:val="008F5140"/>
    <w:rsid w:val="008F5143"/>
    <w:rsid w:val="008F51F2"/>
    <w:rsid w:val="008F5241"/>
    <w:rsid w:val="008F5265"/>
    <w:rsid w:val="008F526A"/>
    <w:rsid w:val="008F52A0"/>
    <w:rsid w:val="008F52BF"/>
    <w:rsid w:val="008F5416"/>
    <w:rsid w:val="008F5493"/>
    <w:rsid w:val="008F550F"/>
    <w:rsid w:val="008F5560"/>
    <w:rsid w:val="008F55DB"/>
    <w:rsid w:val="008F55F9"/>
    <w:rsid w:val="008F5610"/>
    <w:rsid w:val="008F56E3"/>
    <w:rsid w:val="008F5702"/>
    <w:rsid w:val="008F57AC"/>
    <w:rsid w:val="008F582A"/>
    <w:rsid w:val="008F584D"/>
    <w:rsid w:val="008F595E"/>
    <w:rsid w:val="008F5A3A"/>
    <w:rsid w:val="008F5A6D"/>
    <w:rsid w:val="008F5AA3"/>
    <w:rsid w:val="008F5ADC"/>
    <w:rsid w:val="008F5ADD"/>
    <w:rsid w:val="008F5B16"/>
    <w:rsid w:val="008F5B1D"/>
    <w:rsid w:val="008F5B95"/>
    <w:rsid w:val="008F5BB3"/>
    <w:rsid w:val="008F5CE9"/>
    <w:rsid w:val="008F5D3F"/>
    <w:rsid w:val="008F5D45"/>
    <w:rsid w:val="008F5D66"/>
    <w:rsid w:val="008F5D6E"/>
    <w:rsid w:val="008F5DB7"/>
    <w:rsid w:val="008F5E41"/>
    <w:rsid w:val="008F5E59"/>
    <w:rsid w:val="008F5E6B"/>
    <w:rsid w:val="008F5EC7"/>
    <w:rsid w:val="008F5EE5"/>
    <w:rsid w:val="008F5F05"/>
    <w:rsid w:val="008F5F2B"/>
    <w:rsid w:val="008F5F4C"/>
    <w:rsid w:val="008F6024"/>
    <w:rsid w:val="008F6092"/>
    <w:rsid w:val="008F60E2"/>
    <w:rsid w:val="008F610D"/>
    <w:rsid w:val="008F6187"/>
    <w:rsid w:val="008F6202"/>
    <w:rsid w:val="008F62DF"/>
    <w:rsid w:val="008F6325"/>
    <w:rsid w:val="008F6332"/>
    <w:rsid w:val="008F6406"/>
    <w:rsid w:val="008F64D8"/>
    <w:rsid w:val="008F6502"/>
    <w:rsid w:val="008F6533"/>
    <w:rsid w:val="008F657C"/>
    <w:rsid w:val="008F6594"/>
    <w:rsid w:val="008F65DA"/>
    <w:rsid w:val="008F664B"/>
    <w:rsid w:val="008F66D1"/>
    <w:rsid w:val="008F6700"/>
    <w:rsid w:val="008F6730"/>
    <w:rsid w:val="008F678A"/>
    <w:rsid w:val="008F67AF"/>
    <w:rsid w:val="008F681D"/>
    <w:rsid w:val="008F68B7"/>
    <w:rsid w:val="008F68E7"/>
    <w:rsid w:val="008F6A12"/>
    <w:rsid w:val="008F6A35"/>
    <w:rsid w:val="008F6A7D"/>
    <w:rsid w:val="008F6A87"/>
    <w:rsid w:val="008F6BC9"/>
    <w:rsid w:val="008F6BD7"/>
    <w:rsid w:val="008F6C08"/>
    <w:rsid w:val="008F6C7D"/>
    <w:rsid w:val="008F6D7C"/>
    <w:rsid w:val="008F6DEB"/>
    <w:rsid w:val="008F6EB1"/>
    <w:rsid w:val="008F6F74"/>
    <w:rsid w:val="008F6FE4"/>
    <w:rsid w:val="008F707C"/>
    <w:rsid w:val="008F7083"/>
    <w:rsid w:val="008F70D7"/>
    <w:rsid w:val="008F714C"/>
    <w:rsid w:val="008F7285"/>
    <w:rsid w:val="008F7327"/>
    <w:rsid w:val="008F73CF"/>
    <w:rsid w:val="008F7403"/>
    <w:rsid w:val="008F7459"/>
    <w:rsid w:val="008F74EB"/>
    <w:rsid w:val="008F7540"/>
    <w:rsid w:val="008F75A4"/>
    <w:rsid w:val="008F75BF"/>
    <w:rsid w:val="008F75C5"/>
    <w:rsid w:val="008F75E3"/>
    <w:rsid w:val="008F7645"/>
    <w:rsid w:val="008F7675"/>
    <w:rsid w:val="008F76B1"/>
    <w:rsid w:val="008F7707"/>
    <w:rsid w:val="008F7722"/>
    <w:rsid w:val="008F77B9"/>
    <w:rsid w:val="008F780C"/>
    <w:rsid w:val="008F7896"/>
    <w:rsid w:val="008F78C3"/>
    <w:rsid w:val="008F78C4"/>
    <w:rsid w:val="008F78E2"/>
    <w:rsid w:val="008F790B"/>
    <w:rsid w:val="008F7915"/>
    <w:rsid w:val="008F7946"/>
    <w:rsid w:val="008F7988"/>
    <w:rsid w:val="008F79FD"/>
    <w:rsid w:val="008F7A53"/>
    <w:rsid w:val="008F7A6D"/>
    <w:rsid w:val="008F7A92"/>
    <w:rsid w:val="008F7AA6"/>
    <w:rsid w:val="008F7C0A"/>
    <w:rsid w:val="008F7D65"/>
    <w:rsid w:val="008F7D8F"/>
    <w:rsid w:val="008F7E38"/>
    <w:rsid w:val="008F7E68"/>
    <w:rsid w:val="008F7EBF"/>
    <w:rsid w:val="008F7F39"/>
    <w:rsid w:val="00900056"/>
    <w:rsid w:val="00900088"/>
    <w:rsid w:val="00900103"/>
    <w:rsid w:val="0090016F"/>
    <w:rsid w:val="0090021A"/>
    <w:rsid w:val="0090023C"/>
    <w:rsid w:val="0090026E"/>
    <w:rsid w:val="0090026F"/>
    <w:rsid w:val="009002F1"/>
    <w:rsid w:val="00900375"/>
    <w:rsid w:val="0090045C"/>
    <w:rsid w:val="0090049B"/>
    <w:rsid w:val="0090049C"/>
    <w:rsid w:val="009004AA"/>
    <w:rsid w:val="0090058B"/>
    <w:rsid w:val="009005A8"/>
    <w:rsid w:val="009005DB"/>
    <w:rsid w:val="0090061F"/>
    <w:rsid w:val="0090063F"/>
    <w:rsid w:val="0090068D"/>
    <w:rsid w:val="009006A3"/>
    <w:rsid w:val="009006B0"/>
    <w:rsid w:val="00900740"/>
    <w:rsid w:val="0090079F"/>
    <w:rsid w:val="0090081F"/>
    <w:rsid w:val="0090094D"/>
    <w:rsid w:val="00900BC3"/>
    <w:rsid w:val="00900CE8"/>
    <w:rsid w:val="00900E27"/>
    <w:rsid w:val="00900E47"/>
    <w:rsid w:val="00900EB1"/>
    <w:rsid w:val="00900F1C"/>
    <w:rsid w:val="00900F35"/>
    <w:rsid w:val="00900F7E"/>
    <w:rsid w:val="00901030"/>
    <w:rsid w:val="0090104C"/>
    <w:rsid w:val="0090105F"/>
    <w:rsid w:val="0090110E"/>
    <w:rsid w:val="009011EB"/>
    <w:rsid w:val="009011F6"/>
    <w:rsid w:val="00901271"/>
    <w:rsid w:val="009012C5"/>
    <w:rsid w:val="00901302"/>
    <w:rsid w:val="0090132D"/>
    <w:rsid w:val="0090136A"/>
    <w:rsid w:val="009013A4"/>
    <w:rsid w:val="009013D8"/>
    <w:rsid w:val="009013DB"/>
    <w:rsid w:val="00901438"/>
    <w:rsid w:val="009014D1"/>
    <w:rsid w:val="00901513"/>
    <w:rsid w:val="00901516"/>
    <w:rsid w:val="00901562"/>
    <w:rsid w:val="00901660"/>
    <w:rsid w:val="009016EB"/>
    <w:rsid w:val="0090171B"/>
    <w:rsid w:val="00901740"/>
    <w:rsid w:val="0090178A"/>
    <w:rsid w:val="00901812"/>
    <w:rsid w:val="009018E8"/>
    <w:rsid w:val="009018FC"/>
    <w:rsid w:val="0090198F"/>
    <w:rsid w:val="009019E6"/>
    <w:rsid w:val="00901AAC"/>
    <w:rsid w:val="00901B29"/>
    <w:rsid w:val="00901BC5"/>
    <w:rsid w:val="00901C44"/>
    <w:rsid w:val="00901CF2"/>
    <w:rsid w:val="00901F52"/>
    <w:rsid w:val="00901F54"/>
    <w:rsid w:val="00901F60"/>
    <w:rsid w:val="00901F9E"/>
    <w:rsid w:val="00901FC5"/>
    <w:rsid w:val="00901FE0"/>
    <w:rsid w:val="00902072"/>
    <w:rsid w:val="009020A1"/>
    <w:rsid w:val="009020C3"/>
    <w:rsid w:val="00902175"/>
    <w:rsid w:val="00902188"/>
    <w:rsid w:val="009021D6"/>
    <w:rsid w:val="009021EE"/>
    <w:rsid w:val="009022D0"/>
    <w:rsid w:val="00902302"/>
    <w:rsid w:val="009023F4"/>
    <w:rsid w:val="00902412"/>
    <w:rsid w:val="0090241B"/>
    <w:rsid w:val="00902482"/>
    <w:rsid w:val="00902501"/>
    <w:rsid w:val="0090253C"/>
    <w:rsid w:val="009025DC"/>
    <w:rsid w:val="009025E2"/>
    <w:rsid w:val="00902631"/>
    <w:rsid w:val="0090267A"/>
    <w:rsid w:val="00902734"/>
    <w:rsid w:val="00902788"/>
    <w:rsid w:val="00902823"/>
    <w:rsid w:val="009028BF"/>
    <w:rsid w:val="0090297B"/>
    <w:rsid w:val="009029AE"/>
    <w:rsid w:val="009029C2"/>
    <w:rsid w:val="00902A24"/>
    <w:rsid w:val="00902A38"/>
    <w:rsid w:val="00902AC9"/>
    <w:rsid w:val="00902B76"/>
    <w:rsid w:val="00902D1E"/>
    <w:rsid w:val="00902DB5"/>
    <w:rsid w:val="00902DCD"/>
    <w:rsid w:val="00902E4D"/>
    <w:rsid w:val="00902E6B"/>
    <w:rsid w:val="00902E81"/>
    <w:rsid w:val="00902EA2"/>
    <w:rsid w:val="00902EB3"/>
    <w:rsid w:val="00902EDF"/>
    <w:rsid w:val="009030EE"/>
    <w:rsid w:val="00903103"/>
    <w:rsid w:val="00903151"/>
    <w:rsid w:val="009031A9"/>
    <w:rsid w:val="009031C6"/>
    <w:rsid w:val="009031FD"/>
    <w:rsid w:val="00903228"/>
    <w:rsid w:val="00903264"/>
    <w:rsid w:val="009032F4"/>
    <w:rsid w:val="0090339C"/>
    <w:rsid w:val="0090339E"/>
    <w:rsid w:val="0090342C"/>
    <w:rsid w:val="009034A3"/>
    <w:rsid w:val="00903528"/>
    <w:rsid w:val="009035C8"/>
    <w:rsid w:val="0090366D"/>
    <w:rsid w:val="009036AD"/>
    <w:rsid w:val="00903792"/>
    <w:rsid w:val="0090383D"/>
    <w:rsid w:val="009038CD"/>
    <w:rsid w:val="009038E1"/>
    <w:rsid w:val="00903904"/>
    <w:rsid w:val="0090390F"/>
    <w:rsid w:val="00903913"/>
    <w:rsid w:val="00903945"/>
    <w:rsid w:val="00903972"/>
    <w:rsid w:val="00903993"/>
    <w:rsid w:val="009039E7"/>
    <w:rsid w:val="00903AA7"/>
    <w:rsid w:val="00903BB1"/>
    <w:rsid w:val="00903BBC"/>
    <w:rsid w:val="00903C1E"/>
    <w:rsid w:val="00903CD5"/>
    <w:rsid w:val="00903CEB"/>
    <w:rsid w:val="00903D37"/>
    <w:rsid w:val="00903D48"/>
    <w:rsid w:val="00903E6F"/>
    <w:rsid w:val="00903EB8"/>
    <w:rsid w:val="00903EF6"/>
    <w:rsid w:val="00903FE4"/>
    <w:rsid w:val="00904028"/>
    <w:rsid w:val="00904052"/>
    <w:rsid w:val="009040C4"/>
    <w:rsid w:val="0090411D"/>
    <w:rsid w:val="00904177"/>
    <w:rsid w:val="009041BF"/>
    <w:rsid w:val="0090423E"/>
    <w:rsid w:val="00904260"/>
    <w:rsid w:val="00904335"/>
    <w:rsid w:val="0090433D"/>
    <w:rsid w:val="0090435A"/>
    <w:rsid w:val="00904360"/>
    <w:rsid w:val="009043AE"/>
    <w:rsid w:val="009043BD"/>
    <w:rsid w:val="00904467"/>
    <w:rsid w:val="009044C8"/>
    <w:rsid w:val="009044F8"/>
    <w:rsid w:val="0090459D"/>
    <w:rsid w:val="0090461F"/>
    <w:rsid w:val="0090468E"/>
    <w:rsid w:val="009046C1"/>
    <w:rsid w:val="009046DE"/>
    <w:rsid w:val="0090470E"/>
    <w:rsid w:val="00904710"/>
    <w:rsid w:val="00904717"/>
    <w:rsid w:val="0090471C"/>
    <w:rsid w:val="0090473A"/>
    <w:rsid w:val="00904793"/>
    <w:rsid w:val="0090482C"/>
    <w:rsid w:val="0090482D"/>
    <w:rsid w:val="0090486C"/>
    <w:rsid w:val="00904940"/>
    <w:rsid w:val="00904986"/>
    <w:rsid w:val="009049E4"/>
    <w:rsid w:val="00904A17"/>
    <w:rsid w:val="00904A6C"/>
    <w:rsid w:val="00904AA6"/>
    <w:rsid w:val="00904B8B"/>
    <w:rsid w:val="00904BBD"/>
    <w:rsid w:val="00904BD6"/>
    <w:rsid w:val="00904BFA"/>
    <w:rsid w:val="00904CFF"/>
    <w:rsid w:val="00904D01"/>
    <w:rsid w:val="00904D2B"/>
    <w:rsid w:val="00904D4E"/>
    <w:rsid w:val="00904D54"/>
    <w:rsid w:val="00904DC3"/>
    <w:rsid w:val="00904DCA"/>
    <w:rsid w:val="00904E7B"/>
    <w:rsid w:val="00904EF3"/>
    <w:rsid w:val="00904F3B"/>
    <w:rsid w:val="00904F61"/>
    <w:rsid w:val="00904F7C"/>
    <w:rsid w:val="00904FA9"/>
    <w:rsid w:val="00905074"/>
    <w:rsid w:val="0090507F"/>
    <w:rsid w:val="009051A6"/>
    <w:rsid w:val="009051EE"/>
    <w:rsid w:val="009052C7"/>
    <w:rsid w:val="009052F3"/>
    <w:rsid w:val="00905390"/>
    <w:rsid w:val="0090545E"/>
    <w:rsid w:val="00905497"/>
    <w:rsid w:val="009054FA"/>
    <w:rsid w:val="00905525"/>
    <w:rsid w:val="0090553C"/>
    <w:rsid w:val="0090557D"/>
    <w:rsid w:val="0090558E"/>
    <w:rsid w:val="0090559B"/>
    <w:rsid w:val="009055B3"/>
    <w:rsid w:val="009055CF"/>
    <w:rsid w:val="0090563D"/>
    <w:rsid w:val="0090568F"/>
    <w:rsid w:val="009056D6"/>
    <w:rsid w:val="00905734"/>
    <w:rsid w:val="009058A8"/>
    <w:rsid w:val="009058B9"/>
    <w:rsid w:val="009059F7"/>
    <w:rsid w:val="00905ABD"/>
    <w:rsid w:val="00905B37"/>
    <w:rsid w:val="00905B9B"/>
    <w:rsid w:val="00905C16"/>
    <w:rsid w:val="00905C72"/>
    <w:rsid w:val="00905C90"/>
    <w:rsid w:val="00905C97"/>
    <w:rsid w:val="00905E07"/>
    <w:rsid w:val="00905E13"/>
    <w:rsid w:val="00905E48"/>
    <w:rsid w:val="00905EB2"/>
    <w:rsid w:val="00905EFF"/>
    <w:rsid w:val="00905F6A"/>
    <w:rsid w:val="00906127"/>
    <w:rsid w:val="00906141"/>
    <w:rsid w:val="009061B9"/>
    <w:rsid w:val="0090622E"/>
    <w:rsid w:val="00906274"/>
    <w:rsid w:val="00906276"/>
    <w:rsid w:val="009062EB"/>
    <w:rsid w:val="0090630A"/>
    <w:rsid w:val="00906333"/>
    <w:rsid w:val="00906377"/>
    <w:rsid w:val="00906510"/>
    <w:rsid w:val="009065B8"/>
    <w:rsid w:val="0090661A"/>
    <w:rsid w:val="0090663B"/>
    <w:rsid w:val="00906693"/>
    <w:rsid w:val="009066AE"/>
    <w:rsid w:val="00906720"/>
    <w:rsid w:val="009068AB"/>
    <w:rsid w:val="009068AD"/>
    <w:rsid w:val="009068D7"/>
    <w:rsid w:val="00906940"/>
    <w:rsid w:val="00906970"/>
    <w:rsid w:val="00906980"/>
    <w:rsid w:val="00906A0A"/>
    <w:rsid w:val="00906A2A"/>
    <w:rsid w:val="00906A5C"/>
    <w:rsid w:val="00906A5E"/>
    <w:rsid w:val="00906B13"/>
    <w:rsid w:val="00906B47"/>
    <w:rsid w:val="00906BBA"/>
    <w:rsid w:val="00906BCB"/>
    <w:rsid w:val="00906C93"/>
    <w:rsid w:val="00906D75"/>
    <w:rsid w:val="00906D9A"/>
    <w:rsid w:val="00906DD3"/>
    <w:rsid w:val="00906EB1"/>
    <w:rsid w:val="00906F16"/>
    <w:rsid w:val="00906FAD"/>
    <w:rsid w:val="00906FC7"/>
    <w:rsid w:val="00906FE5"/>
    <w:rsid w:val="0090707D"/>
    <w:rsid w:val="00907082"/>
    <w:rsid w:val="0090709D"/>
    <w:rsid w:val="009070F1"/>
    <w:rsid w:val="0090726E"/>
    <w:rsid w:val="00907292"/>
    <w:rsid w:val="009072A6"/>
    <w:rsid w:val="009073A0"/>
    <w:rsid w:val="009073B0"/>
    <w:rsid w:val="009073E0"/>
    <w:rsid w:val="009073F1"/>
    <w:rsid w:val="0090745A"/>
    <w:rsid w:val="009074F2"/>
    <w:rsid w:val="0090761B"/>
    <w:rsid w:val="00907673"/>
    <w:rsid w:val="00907679"/>
    <w:rsid w:val="009076B2"/>
    <w:rsid w:val="009076FA"/>
    <w:rsid w:val="0090771E"/>
    <w:rsid w:val="0090776A"/>
    <w:rsid w:val="009077BD"/>
    <w:rsid w:val="009077CE"/>
    <w:rsid w:val="009077D0"/>
    <w:rsid w:val="009077DA"/>
    <w:rsid w:val="00907892"/>
    <w:rsid w:val="009078AB"/>
    <w:rsid w:val="009078BA"/>
    <w:rsid w:val="009078BB"/>
    <w:rsid w:val="00907941"/>
    <w:rsid w:val="00907973"/>
    <w:rsid w:val="0090798E"/>
    <w:rsid w:val="0090799D"/>
    <w:rsid w:val="009079A8"/>
    <w:rsid w:val="00907A0E"/>
    <w:rsid w:val="00907A8D"/>
    <w:rsid w:val="00907AB1"/>
    <w:rsid w:val="00907B49"/>
    <w:rsid w:val="00907B94"/>
    <w:rsid w:val="00907BAF"/>
    <w:rsid w:val="00907C0B"/>
    <w:rsid w:val="00907C2F"/>
    <w:rsid w:val="00907C3E"/>
    <w:rsid w:val="00907C54"/>
    <w:rsid w:val="00907C92"/>
    <w:rsid w:val="00907C9E"/>
    <w:rsid w:val="00907CD0"/>
    <w:rsid w:val="00907D17"/>
    <w:rsid w:val="00907D43"/>
    <w:rsid w:val="00907D5B"/>
    <w:rsid w:val="00907D68"/>
    <w:rsid w:val="00907D6C"/>
    <w:rsid w:val="00907D9B"/>
    <w:rsid w:val="00907DCC"/>
    <w:rsid w:val="00907DDC"/>
    <w:rsid w:val="00907EE4"/>
    <w:rsid w:val="00907F59"/>
    <w:rsid w:val="00907F61"/>
    <w:rsid w:val="00907FB7"/>
    <w:rsid w:val="00910149"/>
    <w:rsid w:val="00910183"/>
    <w:rsid w:val="009101FF"/>
    <w:rsid w:val="00910204"/>
    <w:rsid w:val="0091020A"/>
    <w:rsid w:val="0091026C"/>
    <w:rsid w:val="00910286"/>
    <w:rsid w:val="0091029F"/>
    <w:rsid w:val="00910304"/>
    <w:rsid w:val="0091031A"/>
    <w:rsid w:val="009104B6"/>
    <w:rsid w:val="009104C4"/>
    <w:rsid w:val="00910520"/>
    <w:rsid w:val="0091052F"/>
    <w:rsid w:val="00910579"/>
    <w:rsid w:val="009105F4"/>
    <w:rsid w:val="009105FA"/>
    <w:rsid w:val="009106C9"/>
    <w:rsid w:val="009107D5"/>
    <w:rsid w:val="009107D7"/>
    <w:rsid w:val="009107EA"/>
    <w:rsid w:val="00910882"/>
    <w:rsid w:val="009108F7"/>
    <w:rsid w:val="00910988"/>
    <w:rsid w:val="00910AA7"/>
    <w:rsid w:val="00910B21"/>
    <w:rsid w:val="00910B3D"/>
    <w:rsid w:val="00910BE2"/>
    <w:rsid w:val="00910C08"/>
    <w:rsid w:val="00910C11"/>
    <w:rsid w:val="00910D0B"/>
    <w:rsid w:val="00910D44"/>
    <w:rsid w:val="00910DA7"/>
    <w:rsid w:val="00910DB4"/>
    <w:rsid w:val="00910DDC"/>
    <w:rsid w:val="00910E7B"/>
    <w:rsid w:val="00910E9C"/>
    <w:rsid w:val="00910F02"/>
    <w:rsid w:val="00910F4E"/>
    <w:rsid w:val="00910F91"/>
    <w:rsid w:val="00910FF9"/>
    <w:rsid w:val="00911001"/>
    <w:rsid w:val="00911015"/>
    <w:rsid w:val="0091105A"/>
    <w:rsid w:val="009110C5"/>
    <w:rsid w:val="009110EF"/>
    <w:rsid w:val="00911111"/>
    <w:rsid w:val="00911119"/>
    <w:rsid w:val="00911128"/>
    <w:rsid w:val="0091113D"/>
    <w:rsid w:val="00911167"/>
    <w:rsid w:val="00911206"/>
    <w:rsid w:val="00911208"/>
    <w:rsid w:val="0091120D"/>
    <w:rsid w:val="009112F2"/>
    <w:rsid w:val="0091134C"/>
    <w:rsid w:val="00911422"/>
    <w:rsid w:val="00911441"/>
    <w:rsid w:val="00911448"/>
    <w:rsid w:val="009114DC"/>
    <w:rsid w:val="00911526"/>
    <w:rsid w:val="00911542"/>
    <w:rsid w:val="0091158D"/>
    <w:rsid w:val="009115AB"/>
    <w:rsid w:val="0091167B"/>
    <w:rsid w:val="009116B0"/>
    <w:rsid w:val="009116BB"/>
    <w:rsid w:val="009116BE"/>
    <w:rsid w:val="009116DF"/>
    <w:rsid w:val="00911781"/>
    <w:rsid w:val="009117B3"/>
    <w:rsid w:val="009117D7"/>
    <w:rsid w:val="00911872"/>
    <w:rsid w:val="009118BC"/>
    <w:rsid w:val="009118DF"/>
    <w:rsid w:val="009118F4"/>
    <w:rsid w:val="00911912"/>
    <w:rsid w:val="0091196F"/>
    <w:rsid w:val="0091197D"/>
    <w:rsid w:val="009119C8"/>
    <w:rsid w:val="00911A06"/>
    <w:rsid w:val="00911A95"/>
    <w:rsid w:val="00911AB1"/>
    <w:rsid w:val="00911B1D"/>
    <w:rsid w:val="00911BCD"/>
    <w:rsid w:val="00911BCE"/>
    <w:rsid w:val="00911BDF"/>
    <w:rsid w:val="00911C02"/>
    <w:rsid w:val="00911C08"/>
    <w:rsid w:val="00911C2E"/>
    <w:rsid w:val="00911C48"/>
    <w:rsid w:val="00911D48"/>
    <w:rsid w:val="00911D5E"/>
    <w:rsid w:val="00911EFE"/>
    <w:rsid w:val="00911F59"/>
    <w:rsid w:val="00911F5F"/>
    <w:rsid w:val="00911FBB"/>
    <w:rsid w:val="00911FCA"/>
    <w:rsid w:val="00912143"/>
    <w:rsid w:val="00912148"/>
    <w:rsid w:val="0091214F"/>
    <w:rsid w:val="0091215F"/>
    <w:rsid w:val="0091216A"/>
    <w:rsid w:val="009121F9"/>
    <w:rsid w:val="00912231"/>
    <w:rsid w:val="0091226A"/>
    <w:rsid w:val="009122BC"/>
    <w:rsid w:val="009122F3"/>
    <w:rsid w:val="00912300"/>
    <w:rsid w:val="0091231D"/>
    <w:rsid w:val="009123E2"/>
    <w:rsid w:val="009123F7"/>
    <w:rsid w:val="00912425"/>
    <w:rsid w:val="00912435"/>
    <w:rsid w:val="00912445"/>
    <w:rsid w:val="0091247C"/>
    <w:rsid w:val="009124D4"/>
    <w:rsid w:val="009124F2"/>
    <w:rsid w:val="00912501"/>
    <w:rsid w:val="0091253B"/>
    <w:rsid w:val="0091259C"/>
    <w:rsid w:val="00912683"/>
    <w:rsid w:val="009127B9"/>
    <w:rsid w:val="009127CF"/>
    <w:rsid w:val="009128C3"/>
    <w:rsid w:val="0091292F"/>
    <w:rsid w:val="009129C7"/>
    <w:rsid w:val="00912AAF"/>
    <w:rsid w:val="00912ACD"/>
    <w:rsid w:val="00912AEA"/>
    <w:rsid w:val="00912AF9"/>
    <w:rsid w:val="00912AFF"/>
    <w:rsid w:val="00912B04"/>
    <w:rsid w:val="00912C0D"/>
    <w:rsid w:val="00912C10"/>
    <w:rsid w:val="00912C1F"/>
    <w:rsid w:val="00912C23"/>
    <w:rsid w:val="00912C4D"/>
    <w:rsid w:val="00912CDC"/>
    <w:rsid w:val="00912D61"/>
    <w:rsid w:val="00912D65"/>
    <w:rsid w:val="00912D9D"/>
    <w:rsid w:val="0091302E"/>
    <w:rsid w:val="00913064"/>
    <w:rsid w:val="00913080"/>
    <w:rsid w:val="00913081"/>
    <w:rsid w:val="0091310B"/>
    <w:rsid w:val="00913160"/>
    <w:rsid w:val="009132FA"/>
    <w:rsid w:val="00913341"/>
    <w:rsid w:val="0091334E"/>
    <w:rsid w:val="0091335E"/>
    <w:rsid w:val="00913437"/>
    <w:rsid w:val="0091344D"/>
    <w:rsid w:val="009134A2"/>
    <w:rsid w:val="009134CB"/>
    <w:rsid w:val="00913563"/>
    <w:rsid w:val="00913661"/>
    <w:rsid w:val="00913699"/>
    <w:rsid w:val="00913791"/>
    <w:rsid w:val="00913804"/>
    <w:rsid w:val="0091389E"/>
    <w:rsid w:val="009138BB"/>
    <w:rsid w:val="00913976"/>
    <w:rsid w:val="00913A18"/>
    <w:rsid w:val="00913B32"/>
    <w:rsid w:val="00913B43"/>
    <w:rsid w:val="00913B69"/>
    <w:rsid w:val="00913C4D"/>
    <w:rsid w:val="00913C54"/>
    <w:rsid w:val="00913DB0"/>
    <w:rsid w:val="00913DE2"/>
    <w:rsid w:val="00913E13"/>
    <w:rsid w:val="00913E22"/>
    <w:rsid w:val="00913E32"/>
    <w:rsid w:val="00913F91"/>
    <w:rsid w:val="00913FF2"/>
    <w:rsid w:val="009140B3"/>
    <w:rsid w:val="009140B6"/>
    <w:rsid w:val="00914135"/>
    <w:rsid w:val="00914140"/>
    <w:rsid w:val="00914169"/>
    <w:rsid w:val="00914199"/>
    <w:rsid w:val="009141DC"/>
    <w:rsid w:val="00914202"/>
    <w:rsid w:val="009142B3"/>
    <w:rsid w:val="009142CA"/>
    <w:rsid w:val="00914365"/>
    <w:rsid w:val="009143A3"/>
    <w:rsid w:val="0091440F"/>
    <w:rsid w:val="0091445D"/>
    <w:rsid w:val="00914471"/>
    <w:rsid w:val="0091451A"/>
    <w:rsid w:val="00914530"/>
    <w:rsid w:val="00914580"/>
    <w:rsid w:val="009145DE"/>
    <w:rsid w:val="009145E8"/>
    <w:rsid w:val="009145F9"/>
    <w:rsid w:val="009145FD"/>
    <w:rsid w:val="0091460D"/>
    <w:rsid w:val="00914618"/>
    <w:rsid w:val="0091464A"/>
    <w:rsid w:val="009146B4"/>
    <w:rsid w:val="00914727"/>
    <w:rsid w:val="0091472E"/>
    <w:rsid w:val="00914788"/>
    <w:rsid w:val="00914882"/>
    <w:rsid w:val="00914946"/>
    <w:rsid w:val="0091496B"/>
    <w:rsid w:val="0091497D"/>
    <w:rsid w:val="009149CC"/>
    <w:rsid w:val="009149D3"/>
    <w:rsid w:val="009149D4"/>
    <w:rsid w:val="009149F9"/>
    <w:rsid w:val="00914A2B"/>
    <w:rsid w:val="00914A36"/>
    <w:rsid w:val="00914A54"/>
    <w:rsid w:val="00914AD1"/>
    <w:rsid w:val="00914AD9"/>
    <w:rsid w:val="00914B36"/>
    <w:rsid w:val="00914BDE"/>
    <w:rsid w:val="00914C16"/>
    <w:rsid w:val="00914C5B"/>
    <w:rsid w:val="00914D23"/>
    <w:rsid w:val="00914D43"/>
    <w:rsid w:val="00914DE5"/>
    <w:rsid w:val="00914E07"/>
    <w:rsid w:val="00914EAB"/>
    <w:rsid w:val="00914EC0"/>
    <w:rsid w:val="00914EEC"/>
    <w:rsid w:val="00914F41"/>
    <w:rsid w:val="00914F4B"/>
    <w:rsid w:val="00914F54"/>
    <w:rsid w:val="00914F55"/>
    <w:rsid w:val="00914F9C"/>
    <w:rsid w:val="00914FA1"/>
    <w:rsid w:val="00914FF4"/>
    <w:rsid w:val="009150D0"/>
    <w:rsid w:val="009150D8"/>
    <w:rsid w:val="00915173"/>
    <w:rsid w:val="009151B0"/>
    <w:rsid w:val="009151B1"/>
    <w:rsid w:val="009151E9"/>
    <w:rsid w:val="0091523B"/>
    <w:rsid w:val="0091524C"/>
    <w:rsid w:val="00915389"/>
    <w:rsid w:val="00915414"/>
    <w:rsid w:val="00915440"/>
    <w:rsid w:val="00915452"/>
    <w:rsid w:val="00915547"/>
    <w:rsid w:val="00915551"/>
    <w:rsid w:val="0091555E"/>
    <w:rsid w:val="0091558F"/>
    <w:rsid w:val="009155A1"/>
    <w:rsid w:val="009155CD"/>
    <w:rsid w:val="009155D7"/>
    <w:rsid w:val="009155E6"/>
    <w:rsid w:val="0091560C"/>
    <w:rsid w:val="00915626"/>
    <w:rsid w:val="0091562E"/>
    <w:rsid w:val="0091564C"/>
    <w:rsid w:val="0091574F"/>
    <w:rsid w:val="00915759"/>
    <w:rsid w:val="009157E3"/>
    <w:rsid w:val="0091587D"/>
    <w:rsid w:val="0091590B"/>
    <w:rsid w:val="00915924"/>
    <w:rsid w:val="00915AF9"/>
    <w:rsid w:val="00915B04"/>
    <w:rsid w:val="00915B35"/>
    <w:rsid w:val="00915B49"/>
    <w:rsid w:val="00915B58"/>
    <w:rsid w:val="00915BA2"/>
    <w:rsid w:val="00915BC2"/>
    <w:rsid w:val="00915BC6"/>
    <w:rsid w:val="00915C2A"/>
    <w:rsid w:val="00915C6C"/>
    <w:rsid w:val="00915CE4"/>
    <w:rsid w:val="00915CE8"/>
    <w:rsid w:val="00915CEB"/>
    <w:rsid w:val="00915D91"/>
    <w:rsid w:val="00915DC4"/>
    <w:rsid w:val="00915DF5"/>
    <w:rsid w:val="00915E7B"/>
    <w:rsid w:val="00915F07"/>
    <w:rsid w:val="00915FDF"/>
    <w:rsid w:val="00916018"/>
    <w:rsid w:val="00916037"/>
    <w:rsid w:val="0091606A"/>
    <w:rsid w:val="009160B9"/>
    <w:rsid w:val="009162A5"/>
    <w:rsid w:val="009162B8"/>
    <w:rsid w:val="009162F6"/>
    <w:rsid w:val="00916344"/>
    <w:rsid w:val="0091639E"/>
    <w:rsid w:val="00916414"/>
    <w:rsid w:val="00916448"/>
    <w:rsid w:val="0091646F"/>
    <w:rsid w:val="009164A4"/>
    <w:rsid w:val="009164E6"/>
    <w:rsid w:val="00916512"/>
    <w:rsid w:val="00916537"/>
    <w:rsid w:val="009165A6"/>
    <w:rsid w:val="009166F9"/>
    <w:rsid w:val="00916703"/>
    <w:rsid w:val="0091670E"/>
    <w:rsid w:val="00916729"/>
    <w:rsid w:val="0091678D"/>
    <w:rsid w:val="009167D7"/>
    <w:rsid w:val="00916837"/>
    <w:rsid w:val="00916845"/>
    <w:rsid w:val="009168E5"/>
    <w:rsid w:val="0091693D"/>
    <w:rsid w:val="00916959"/>
    <w:rsid w:val="00916970"/>
    <w:rsid w:val="009169A6"/>
    <w:rsid w:val="00916A0E"/>
    <w:rsid w:val="00916A28"/>
    <w:rsid w:val="00916A53"/>
    <w:rsid w:val="00916A57"/>
    <w:rsid w:val="00916A95"/>
    <w:rsid w:val="00916AF5"/>
    <w:rsid w:val="00916B2D"/>
    <w:rsid w:val="00916B40"/>
    <w:rsid w:val="00916B60"/>
    <w:rsid w:val="00916BDB"/>
    <w:rsid w:val="00916BE4"/>
    <w:rsid w:val="00916C5A"/>
    <w:rsid w:val="00916CB5"/>
    <w:rsid w:val="00916CEF"/>
    <w:rsid w:val="00916D11"/>
    <w:rsid w:val="00916E7E"/>
    <w:rsid w:val="00916EA6"/>
    <w:rsid w:val="00916F65"/>
    <w:rsid w:val="0091701F"/>
    <w:rsid w:val="00917033"/>
    <w:rsid w:val="00917050"/>
    <w:rsid w:val="009170E0"/>
    <w:rsid w:val="00917117"/>
    <w:rsid w:val="00917179"/>
    <w:rsid w:val="009171D2"/>
    <w:rsid w:val="00917203"/>
    <w:rsid w:val="009172AB"/>
    <w:rsid w:val="009172BE"/>
    <w:rsid w:val="009172F4"/>
    <w:rsid w:val="00917348"/>
    <w:rsid w:val="0091737D"/>
    <w:rsid w:val="0091739F"/>
    <w:rsid w:val="009173B4"/>
    <w:rsid w:val="009173DD"/>
    <w:rsid w:val="009174E7"/>
    <w:rsid w:val="00917517"/>
    <w:rsid w:val="00917564"/>
    <w:rsid w:val="0091756E"/>
    <w:rsid w:val="009175AB"/>
    <w:rsid w:val="009175FD"/>
    <w:rsid w:val="009176A5"/>
    <w:rsid w:val="009176CE"/>
    <w:rsid w:val="009176DA"/>
    <w:rsid w:val="009176FE"/>
    <w:rsid w:val="0091772D"/>
    <w:rsid w:val="00917758"/>
    <w:rsid w:val="0091776C"/>
    <w:rsid w:val="00917837"/>
    <w:rsid w:val="00917840"/>
    <w:rsid w:val="00917849"/>
    <w:rsid w:val="00917855"/>
    <w:rsid w:val="009179D8"/>
    <w:rsid w:val="00917A1D"/>
    <w:rsid w:val="00917B09"/>
    <w:rsid w:val="00917B18"/>
    <w:rsid w:val="00917B2D"/>
    <w:rsid w:val="00917B42"/>
    <w:rsid w:val="00917BE0"/>
    <w:rsid w:val="00917BF0"/>
    <w:rsid w:val="00917C43"/>
    <w:rsid w:val="00917C5F"/>
    <w:rsid w:val="00917C75"/>
    <w:rsid w:val="00917C9E"/>
    <w:rsid w:val="00917D31"/>
    <w:rsid w:val="00917DC2"/>
    <w:rsid w:val="00917E86"/>
    <w:rsid w:val="00917F57"/>
    <w:rsid w:val="009200C4"/>
    <w:rsid w:val="0092011B"/>
    <w:rsid w:val="00920123"/>
    <w:rsid w:val="00920162"/>
    <w:rsid w:val="0092016B"/>
    <w:rsid w:val="00920200"/>
    <w:rsid w:val="00920222"/>
    <w:rsid w:val="00920278"/>
    <w:rsid w:val="009202C7"/>
    <w:rsid w:val="009202CE"/>
    <w:rsid w:val="00920340"/>
    <w:rsid w:val="0092039F"/>
    <w:rsid w:val="00920447"/>
    <w:rsid w:val="00920451"/>
    <w:rsid w:val="00920494"/>
    <w:rsid w:val="00920549"/>
    <w:rsid w:val="009205B5"/>
    <w:rsid w:val="0092062A"/>
    <w:rsid w:val="009206AC"/>
    <w:rsid w:val="009206DB"/>
    <w:rsid w:val="0092072F"/>
    <w:rsid w:val="0092079A"/>
    <w:rsid w:val="00920847"/>
    <w:rsid w:val="009208D4"/>
    <w:rsid w:val="00920A7D"/>
    <w:rsid w:val="00920C06"/>
    <w:rsid w:val="00920C1C"/>
    <w:rsid w:val="00920C32"/>
    <w:rsid w:val="00920D38"/>
    <w:rsid w:val="00920D75"/>
    <w:rsid w:val="00920D87"/>
    <w:rsid w:val="00920DD5"/>
    <w:rsid w:val="00920E64"/>
    <w:rsid w:val="00920E91"/>
    <w:rsid w:val="00920F56"/>
    <w:rsid w:val="00920F60"/>
    <w:rsid w:val="00920F64"/>
    <w:rsid w:val="00921059"/>
    <w:rsid w:val="00921097"/>
    <w:rsid w:val="009210C2"/>
    <w:rsid w:val="00921124"/>
    <w:rsid w:val="0092114B"/>
    <w:rsid w:val="00921197"/>
    <w:rsid w:val="009211A9"/>
    <w:rsid w:val="0092123A"/>
    <w:rsid w:val="00921329"/>
    <w:rsid w:val="00921356"/>
    <w:rsid w:val="00921392"/>
    <w:rsid w:val="009213BF"/>
    <w:rsid w:val="009213E5"/>
    <w:rsid w:val="009214D2"/>
    <w:rsid w:val="00921585"/>
    <w:rsid w:val="009215E5"/>
    <w:rsid w:val="0092161B"/>
    <w:rsid w:val="00921702"/>
    <w:rsid w:val="00921789"/>
    <w:rsid w:val="009217E7"/>
    <w:rsid w:val="00921886"/>
    <w:rsid w:val="009218A8"/>
    <w:rsid w:val="009218D7"/>
    <w:rsid w:val="009218F4"/>
    <w:rsid w:val="0092190E"/>
    <w:rsid w:val="00921950"/>
    <w:rsid w:val="00921A2B"/>
    <w:rsid w:val="00921A8C"/>
    <w:rsid w:val="00921AA0"/>
    <w:rsid w:val="00921ADC"/>
    <w:rsid w:val="00921B2D"/>
    <w:rsid w:val="00921B64"/>
    <w:rsid w:val="00921C16"/>
    <w:rsid w:val="00921DF3"/>
    <w:rsid w:val="00921E63"/>
    <w:rsid w:val="00921E76"/>
    <w:rsid w:val="00921E8C"/>
    <w:rsid w:val="00921E8F"/>
    <w:rsid w:val="00921EBB"/>
    <w:rsid w:val="00921ED0"/>
    <w:rsid w:val="00921F5C"/>
    <w:rsid w:val="00921F5F"/>
    <w:rsid w:val="00921F63"/>
    <w:rsid w:val="00921FDA"/>
    <w:rsid w:val="009220E1"/>
    <w:rsid w:val="0092212B"/>
    <w:rsid w:val="0092216A"/>
    <w:rsid w:val="00922178"/>
    <w:rsid w:val="009221AF"/>
    <w:rsid w:val="009221F0"/>
    <w:rsid w:val="009222ED"/>
    <w:rsid w:val="00922316"/>
    <w:rsid w:val="009223FE"/>
    <w:rsid w:val="00922487"/>
    <w:rsid w:val="00922493"/>
    <w:rsid w:val="00922494"/>
    <w:rsid w:val="009224E9"/>
    <w:rsid w:val="009224FE"/>
    <w:rsid w:val="009225E3"/>
    <w:rsid w:val="00922713"/>
    <w:rsid w:val="009228B0"/>
    <w:rsid w:val="00922923"/>
    <w:rsid w:val="0092293A"/>
    <w:rsid w:val="00922975"/>
    <w:rsid w:val="009229A8"/>
    <w:rsid w:val="00922A3E"/>
    <w:rsid w:val="00922A82"/>
    <w:rsid w:val="00922AFE"/>
    <w:rsid w:val="00922BC2"/>
    <w:rsid w:val="00922CAD"/>
    <w:rsid w:val="00922CF6"/>
    <w:rsid w:val="00922D89"/>
    <w:rsid w:val="00922E1F"/>
    <w:rsid w:val="00922E37"/>
    <w:rsid w:val="00922E4A"/>
    <w:rsid w:val="00922E55"/>
    <w:rsid w:val="00922FEA"/>
    <w:rsid w:val="00922FF1"/>
    <w:rsid w:val="0092308B"/>
    <w:rsid w:val="009230F4"/>
    <w:rsid w:val="00923113"/>
    <w:rsid w:val="0092319C"/>
    <w:rsid w:val="0092325C"/>
    <w:rsid w:val="00923317"/>
    <w:rsid w:val="00923381"/>
    <w:rsid w:val="0092341F"/>
    <w:rsid w:val="0092343C"/>
    <w:rsid w:val="00923487"/>
    <w:rsid w:val="009234C6"/>
    <w:rsid w:val="00923535"/>
    <w:rsid w:val="0092355A"/>
    <w:rsid w:val="009235E7"/>
    <w:rsid w:val="009235EE"/>
    <w:rsid w:val="009235FF"/>
    <w:rsid w:val="00923646"/>
    <w:rsid w:val="009236B6"/>
    <w:rsid w:val="009236F4"/>
    <w:rsid w:val="0092373E"/>
    <w:rsid w:val="009237A7"/>
    <w:rsid w:val="009237AC"/>
    <w:rsid w:val="00923814"/>
    <w:rsid w:val="009238F3"/>
    <w:rsid w:val="00923938"/>
    <w:rsid w:val="00923961"/>
    <w:rsid w:val="00923983"/>
    <w:rsid w:val="00923AF4"/>
    <w:rsid w:val="00923B00"/>
    <w:rsid w:val="00923B0E"/>
    <w:rsid w:val="00923B76"/>
    <w:rsid w:val="00923B91"/>
    <w:rsid w:val="00923BA7"/>
    <w:rsid w:val="00923BBC"/>
    <w:rsid w:val="00923BE2"/>
    <w:rsid w:val="00923D1F"/>
    <w:rsid w:val="00923D30"/>
    <w:rsid w:val="00923D49"/>
    <w:rsid w:val="00923DDC"/>
    <w:rsid w:val="00923E25"/>
    <w:rsid w:val="00923EAC"/>
    <w:rsid w:val="00923EE2"/>
    <w:rsid w:val="00923F3A"/>
    <w:rsid w:val="00923F80"/>
    <w:rsid w:val="00924007"/>
    <w:rsid w:val="00924037"/>
    <w:rsid w:val="00924073"/>
    <w:rsid w:val="00924079"/>
    <w:rsid w:val="0092408E"/>
    <w:rsid w:val="009240B9"/>
    <w:rsid w:val="009240DF"/>
    <w:rsid w:val="009240E5"/>
    <w:rsid w:val="009240EF"/>
    <w:rsid w:val="00924180"/>
    <w:rsid w:val="00924259"/>
    <w:rsid w:val="009242AB"/>
    <w:rsid w:val="009242B9"/>
    <w:rsid w:val="009242F3"/>
    <w:rsid w:val="009243F6"/>
    <w:rsid w:val="00924408"/>
    <w:rsid w:val="0092447F"/>
    <w:rsid w:val="00924488"/>
    <w:rsid w:val="009244B4"/>
    <w:rsid w:val="0092457E"/>
    <w:rsid w:val="00924580"/>
    <w:rsid w:val="00924591"/>
    <w:rsid w:val="0092462A"/>
    <w:rsid w:val="00924674"/>
    <w:rsid w:val="0092467E"/>
    <w:rsid w:val="009246E4"/>
    <w:rsid w:val="009247D0"/>
    <w:rsid w:val="009247E8"/>
    <w:rsid w:val="009248D8"/>
    <w:rsid w:val="00924B2C"/>
    <w:rsid w:val="00924B50"/>
    <w:rsid w:val="00924D2F"/>
    <w:rsid w:val="00924E44"/>
    <w:rsid w:val="00924ED9"/>
    <w:rsid w:val="00924F23"/>
    <w:rsid w:val="00924F3E"/>
    <w:rsid w:val="00924F76"/>
    <w:rsid w:val="00924F9D"/>
    <w:rsid w:val="00924FDC"/>
    <w:rsid w:val="00925038"/>
    <w:rsid w:val="009250C9"/>
    <w:rsid w:val="0092512F"/>
    <w:rsid w:val="00925143"/>
    <w:rsid w:val="0092516E"/>
    <w:rsid w:val="009251BB"/>
    <w:rsid w:val="00925219"/>
    <w:rsid w:val="00925261"/>
    <w:rsid w:val="0092529A"/>
    <w:rsid w:val="00925309"/>
    <w:rsid w:val="0092531D"/>
    <w:rsid w:val="009253FE"/>
    <w:rsid w:val="00925441"/>
    <w:rsid w:val="00925479"/>
    <w:rsid w:val="009254F4"/>
    <w:rsid w:val="0092557C"/>
    <w:rsid w:val="009255C5"/>
    <w:rsid w:val="00925685"/>
    <w:rsid w:val="009256C7"/>
    <w:rsid w:val="009258B7"/>
    <w:rsid w:val="009258C2"/>
    <w:rsid w:val="009258DB"/>
    <w:rsid w:val="0092590F"/>
    <w:rsid w:val="0092594F"/>
    <w:rsid w:val="00925981"/>
    <w:rsid w:val="00925A1F"/>
    <w:rsid w:val="00925A60"/>
    <w:rsid w:val="00925AFC"/>
    <w:rsid w:val="00925B1B"/>
    <w:rsid w:val="00925B1E"/>
    <w:rsid w:val="00925B51"/>
    <w:rsid w:val="00925B9E"/>
    <w:rsid w:val="00925DB5"/>
    <w:rsid w:val="00925DE3"/>
    <w:rsid w:val="00925E37"/>
    <w:rsid w:val="00925E3B"/>
    <w:rsid w:val="00925F24"/>
    <w:rsid w:val="00925F2A"/>
    <w:rsid w:val="00925F4D"/>
    <w:rsid w:val="00925F54"/>
    <w:rsid w:val="00925F7D"/>
    <w:rsid w:val="00926118"/>
    <w:rsid w:val="0092614D"/>
    <w:rsid w:val="00926160"/>
    <w:rsid w:val="00926174"/>
    <w:rsid w:val="009261B8"/>
    <w:rsid w:val="009261FE"/>
    <w:rsid w:val="00926248"/>
    <w:rsid w:val="00926285"/>
    <w:rsid w:val="009262B7"/>
    <w:rsid w:val="009262E7"/>
    <w:rsid w:val="009264AB"/>
    <w:rsid w:val="009265CE"/>
    <w:rsid w:val="009265F3"/>
    <w:rsid w:val="009266EE"/>
    <w:rsid w:val="009266F5"/>
    <w:rsid w:val="0092671C"/>
    <w:rsid w:val="0092673E"/>
    <w:rsid w:val="009267B1"/>
    <w:rsid w:val="009267B8"/>
    <w:rsid w:val="00926908"/>
    <w:rsid w:val="00926A29"/>
    <w:rsid w:val="00926B14"/>
    <w:rsid w:val="00926B50"/>
    <w:rsid w:val="00926BA4"/>
    <w:rsid w:val="00926D21"/>
    <w:rsid w:val="00926D7E"/>
    <w:rsid w:val="00926EF7"/>
    <w:rsid w:val="00926F37"/>
    <w:rsid w:val="00926F55"/>
    <w:rsid w:val="00926F99"/>
    <w:rsid w:val="00926F9E"/>
    <w:rsid w:val="00926FC3"/>
    <w:rsid w:val="0092716B"/>
    <w:rsid w:val="00927177"/>
    <w:rsid w:val="009271D2"/>
    <w:rsid w:val="00927217"/>
    <w:rsid w:val="00927218"/>
    <w:rsid w:val="0092726F"/>
    <w:rsid w:val="009272EA"/>
    <w:rsid w:val="00927300"/>
    <w:rsid w:val="009273E3"/>
    <w:rsid w:val="00927459"/>
    <w:rsid w:val="009274A0"/>
    <w:rsid w:val="009274D9"/>
    <w:rsid w:val="009274E8"/>
    <w:rsid w:val="009275C2"/>
    <w:rsid w:val="00927603"/>
    <w:rsid w:val="00927608"/>
    <w:rsid w:val="0092761A"/>
    <w:rsid w:val="0092764B"/>
    <w:rsid w:val="00927754"/>
    <w:rsid w:val="009277D8"/>
    <w:rsid w:val="0092783F"/>
    <w:rsid w:val="00927855"/>
    <w:rsid w:val="009278B1"/>
    <w:rsid w:val="009278E0"/>
    <w:rsid w:val="00927964"/>
    <w:rsid w:val="0092798A"/>
    <w:rsid w:val="009279D5"/>
    <w:rsid w:val="009279FA"/>
    <w:rsid w:val="00927A15"/>
    <w:rsid w:val="00927A8C"/>
    <w:rsid w:val="00927AC9"/>
    <w:rsid w:val="00927ACD"/>
    <w:rsid w:val="00927B47"/>
    <w:rsid w:val="00927BFB"/>
    <w:rsid w:val="00927D5E"/>
    <w:rsid w:val="00927EB3"/>
    <w:rsid w:val="00927ED0"/>
    <w:rsid w:val="00927F58"/>
    <w:rsid w:val="0093000B"/>
    <w:rsid w:val="00930073"/>
    <w:rsid w:val="009300B8"/>
    <w:rsid w:val="009300D5"/>
    <w:rsid w:val="009300E4"/>
    <w:rsid w:val="0093015C"/>
    <w:rsid w:val="009301AE"/>
    <w:rsid w:val="00930276"/>
    <w:rsid w:val="0093028E"/>
    <w:rsid w:val="009302FD"/>
    <w:rsid w:val="00930326"/>
    <w:rsid w:val="00930380"/>
    <w:rsid w:val="009303C8"/>
    <w:rsid w:val="009304E4"/>
    <w:rsid w:val="0093055D"/>
    <w:rsid w:val="0093067A"/>
    <w:rsid w:val="00930685"/>
    <w:rsid w:val="009306A4"/>
    <w:rsid w:val="0093070A"/>
    <w:rsid w:val="0093070B"/>
    <w:rsid w:val="0093070F"/>
    <w:rsid w:val="0093073B"/>
    <w:rsid w:val="009307E6"/>
    <w:rsid w:val="009307EB"/>
    <w:rsid w:val="009307ED"/>
    <w:rsid w:val="00930836"/>
    <w:rsid w:val="0093083C"/>
    <w:rsid w:val="00930880"/>
    <w:rsid w:val="00930902"/>
    <w:rsid w:val="00930903"/>
    <w:rsid w:val="00930971"/>
    <w:rsid w:val="009309FF"/>
    <w:rsid w:val="00930A8B"/>
    <w:rsid w:val="00930A91"/>
    <w:rsid w:val="00930ADC"/>
    <w:rsid w:val="00930AE5"/>
    <w:rsid w:val="00930B28"/>
    <w:rsid w:val="00930C03"/>
    <w:rsid w:val="00930C3D"/>
    <w:rsid w:val="00930C45"/>
    <w:rsid w:val="00930C69"/>
    <w:rsid w:val="00930CA4"/>
    <w:rsid w:val="00930CCA"/>
    <w:rsid w:val="00930CFE"/>
    <w:rsid w:val="00930E0B"/>
    <w:rsid w:val="00930ECE"/>
    <w:rsid w:val="00930ECF"/>
    <w:rsid w:val="00930EE5"/>
    <w:rsid w:val="00930EFD"/>
    <w:rsid w:val="00930F2A"/>
    <w:rsid w:val="00930F91"/>
    <w:rsid w:val="00930FD7"/>
    <w:rsid w:val="00931043"/>
    <w:rsid w:val="00931064"/>
    <w:rsid w:val="0093110E"/>
    <w:rsid w:val="00931119"/>
    <w:rsid w:val="0093112D"/>
    <w:rsid w:val="0093115E"/>
    <w:rsid w:val="009311AE"/>
    <w:rsid w:val="0093136D"/>
    <w:rsid w:val="009313F5"/>
    <w:rsid w:val="00931414"/>
    <w:rsid w:val="009314AC"/>
    <w:rsid w:val="009314B2"/>
    <w:rsid w:val="00931589"/>
    <w:rsid w:val="009315DB"/>
    <w:rsid w:val="00931600"/>
    <w:rsid w:val="00931658"/>
    <w:rsid w:val="00931696"/>
    <w:rsid w:val="009316AB"/>
    <w:rsid w:val="009316E0"/>
    <w:rsid w:val="00931736"/>
    <w:rsid w:val="009317FF"/>
    <w:rsid w:val="00931805"/>
    <w:rsid w:val="00931820"/>
    <w:rsid w:val="00931861"/>
    <w:rsid w:val="0093189F"/>
    <w:rsid w:val="009318A4"/>
    <w:rsid w:val="009318D7"/>
    <w:rsid w:val="0093196E"/>
    <w:rsid w:val="00931989"/>
    <w:rsid w:val="00931A38"/>
    <w:rsid w:val="00931A99"/>
    <w:rsid w:val="00931AE3"/>
    <w:rsid w:val="00931BC6"/>
    <w:rsid w:val="00931BD7"/>
    <w:rsid w:val="00931CBF"/>
    <w:rsid w:val="00931CF0"/>
    <w:rsid w:val="00931D5D"/>
    <w:rsid w:val="00931D8E"/>
    <w:rsid w:val="00931E1F"/>
    <w:rsid w:val="00931E99"/>
    <w:rsid w:val="00931FA5"/>
    <w:rsid w:val="00932057"/>
    <w:rsid w:val="00932087"/>
    <w:rsid w:val="009320F4"/>
    <w:rsid w:val="0093213C"/>
    <w:rsid w:val="00932160"/>
    <w:rsid w:val="009321EC"/>
    <w:rsid w:val="009321FB"/>
    <w:rsid w:val="00932202"/>
    <w:rsid w:val="0093221A"/>
    <w:rsid w:val="00932230"/>
    <w:rsid w:val="009322AD"/>
    <w:rsid w:val="00932437"/>
    <w:rsid w:val="0093244F"/>
    <w:rsid w:val="00932488"/>
    <w:rsid w:val="0093248D"/>
    <w:rsid w:val="00932538"/>
    <w:rsid w:val="00932575"/>
    <w:rsid w:val="009325D2"/>
    <w:rsid w:val="0093262F"/>
    <w:rsid w:val="0093268F"/>
    <w:rsid w:val="009326A0"/>
    <w:rsid w:val="009326CC"/>
    <w:rsid w:val="00932725"/>
    <w:rsid w:val="0093272B"/>
    <w:rsid w:val="00932758"/>
    <w:rsid w:val="009327DC"/>
    <w:rsid w:val="009327E3"/>
    <w:rsid w:val="00932803"/>
    <w:rsid w:val="0093281C"/>
    <w:rsid w:val="00932821"/>
    <w:rsid w:val="0093284F"/>
    <w:rsid w:val="009328AE"/>
    <w:rsid w:val="009328B3"/>
    <w:rsid w:val="0093299E"/>
    <w:rsid w:val="009329CB"/>
    <w:rsid w:val="00932A8F"/>
    <w:rsid w:val="00932BD7"/>
    <w:rsid w:val="00932BF9"/>
    <w:rsid w:val="00932C32"/>
    <w:rsid w:val="00932CB1"/>
    <w:rsid w:val="00932D43"/>
    <w:rsid w:val="00932DCF"/>
    <w:rsid w:val="00932E38"/>
    <w:rsid w:val="00932EA9"/>
    <w:rsid w:val="00932EB6"/>
    <w:rsid w:val="00932EF8"/>
    <w:rsid w:val="00932F49"/>
    <w:rsid w:val="00932F4F"/>
    <w:rsid w:val="00932F67"/>
    <w:rsid w:val="00932FC7"/>
    <w:rsid w:val="00932FD7"/>
    <w:rsid w:val="009330A0"/>
    <w:rsid w:val="00933108"/>
    <w:rsid w:val="0093316E"/>
    <w:rsid w:val="009332D4"/>
    <w:rsid w:val="009332E6"/>
    <w:rsid w:val="00933328"/>
    <w:rsid w:val="00933507"/>
    <w:rsid w:val="0093351C"/>
    <w:rsid w:val="0093353E"/>
    <w:rsid w:val="0093358D"/>
    <w:rsid w:val="009335CC"/>
    <w:rsid w:val="00933614"/>
    <w:rsid w:val="0093363D"/>
    <w:rsid w:val="0093371C"/>
    <w:rsid w:val="00933731"/>
    <w:rsid w:val="009337F5"/>
    <w:rsid w:val="00933858"/>
    <w:rsid w:val="00933908"/>
    <w:rsid w:val="0093399C"/>
    <w:rsid w:val="009339AB"/>
    <w:rsid w:val="009339EE"/>
    <w:rsid w:val="00933A41"/>
    <w:rsid w:val="00933AA6"/>
    <w:rsid w:val="00933AF3"/>
    <w:rsid w:val="00933BB8"/>
    <w:rsid w:val="00933C62"/>
    <w:rsid w:val="00933C9A"/>
    <w:rsid w:val="00933CA6"/>
    <w:rsid w:val="00933DC6"/>
    <w:rsid w:val="00933E62"/>
    <w:rsid w:val="00933EC0"/>
    <w:rsid w:val="00933F48"/>
    <w:rsid w:val="00933FC5"/>
    <w:rsid w:val="00934008"/>
    <w:rsid w:val="00934065"/>
    <w:rsid w:val="009341AA"/>
    <w:rsid w:val="009341D7"/>
    <w:rsid w:val="009341FB"/>
    <w:rsid w:val="00934217"/>
    <w:rsid w:val="0093422E"/>
    <w:rsid w:val="00934244"/>
    <w:rsid w:val="00934257"/>
    <w:rsid w:val="0093426B"/>
    <w:rsid w:val="009342D3"/>
    <w:rsid w:val="009342F3"/>
    <w:rsid w:val="009343AA"/>
    <w:rsid w:val="009343D3"/>
    <w:rsid w:val="009343FB"/>
    <w:rsid w:val="00934420"/>
    <w:rsid w:val="00934426"/>
    <w:rsid w:val="009344B5"/>
    <w:rsid w:val="0093458F"/>
    <w:rsid w:val="009345AF"/>
    <w:rsid w:val="00934655"/>
    <w:rsid w:val="0093466D"/>
    <w:rsid w:val="009346C0"/>
    <w:rsid w:val="009346DF"/>
    <w:rsid w:val="0093472F"/>
    <w:rsid w:val="00934769"/>
    <w:rsid w:val="009347ED"/>
    <w:rsid w:val="00934870"/>
    <w:rsid w:val="009348D5"/>
    <w:rsid w:val="00934988"/>
    <w:rsid w:val="009349F1"/>
    <w:rsid w:val="00934A44"/>
    <w:rsid w:val="00934A70"/>
    <w:rsid w:val="00934A8B"/>
    <w:rsid w:val="00934B48"/>
    <w:rsid w:val="00934BE5"/>
    <w:rsid w:val="00934C13"/>
    <w:rsid w:val="00934C91"/>
    <w:rsid w:val="00934CAA"/>
    <w:rsid w:val="00934D16"/>
    <w:rsid w:val="00934D21"/>
    <w:rsid w:val="00934D65"/>
    <w:rsid w:val="00934DB2"/>
    <w:rsid w:val="00934E1D"/>
    <w:rsid w:val="00934E31"/>
    <w:rsid w:val="00934E46"/>
    <w:rsid w:val="00934EF3"/>
    <w:rsid w:val="00934F1E"/>
    <w:rsid w:val="00934F3E"/>
    <w:rsid w:val="00934FF3"/>
    <w:rsid w:val="00935076"/>
    <w:rsid w:val="009350A1"/>
    <w:rsid w:val="009350B7"/>
    <w:rsid w:val="00935164"/>
    <w:rsid w:val="00935195"/>
    <w:rsid w:val="0093519F"/>
    <w:rsid w:val="009351A7"/>
    <w:rsid w:val="009351B7"/>
    <w:rsid w:val="00935277"/>
    <w:rsid w:val="0093542D"/>
    <w:rsid w:val="0093546C"/>
    <w:rsid w:val="0093546E"/>
    <w:rsid w:val="00935483"/>
    <w:rsid w:val="00935485"/>
    <w:rsid w:val="00935491"/>
    <w:rsid w:val="009354F5"/>
    <w:rsid w:val="0093555B"/>
    <w:rsid w:val="00935659"/>
    <w:rsid w:val="0093565C"/>
    <w:rsid w:val="00935715"/>
    <w:rsid w:val="00935724"/>
    <w:rsid w:val="009357E8"/>
    <w:rsid w:val="00935821"/>
    <w:rsid w:val="0093592E"/>
    <w:rsid w:val="00935933"/>
    <w:rsid w:val="0093593B"/>
    <w:rsid w:val="0093593E"/>
    <w:rsid w:val="00935983"/>
    <w:rsid w:val="00935A43"/>
    <w:rsid w:val="00935A7F"/>
    <w:rsid w:val="00935A9D"/>
    <w:rsid w:val="00935C7A"/>
    <w:rsid w:val="00935C95"/>
    <w:rsid w:val="00935D19"/>
    <w:rsid w:val="00935D2E"/>
    <w:rsid w:val="00935D32"/>
    <w:rsid w:val="00935E04"/>
    <w:rsid w:val="00935EDD"/>
    <w:rsid w:val="00935EEC"/>
    <w:rsid w:val="00935F5A"/>
    <w:rsid w:val="00935F7E"/>
    <w:rsid w:val="00935FB7"/>
    <w:rsid w:val="00935FE6"/>
    <w:rsid w:val="0093606F"/>
    <w:rsid w:val="0093607E"/>
    <w:rsid w:val="00936097"/>
    <w:rsid w:val="0093609D"/>
    <w:rsid w:val="009360BB"/>
    <w:rsid w:val="00936208"/>
    <w:rsid w:val="00936224"/>
    <w:rsid w:val="00936269"/>
    <w:rsid w:val="009362EA"/>
    <w:rsid w:val="009362EF"/>
    <w:rsid w:val="0093630D"/>
    <w:rsid w:val="009363AC"/>
    <w:rsid w:val="009363C7"/>
    <w:rsid w:val="00936407"/>
    <w:rsid w:val="00936510"/>
    <w:rsid w:val="0093653B"/>
    <w:rsid w:val="009365AF"/>
    <w:rsid w:val="0093663C"/>
    <w:rsid w:val="00936653"/>
    <w:rsid w:val="009366A4"/>
    <w:rsid w:val="009366B3"/>
    <w:rsid w:val="009366FD"/>
    <w:rsid w:val="00936726"/>
    <w:rsid w:val="0093673E"/>
    <w:rsid w:val="0093686E"/>
    <w:rsid w:val="00936901"/>
    <w:rsid w:val="0093691D"/>
    <w:rsid w:val="009369D2"/>
    <w:rsid w:val="00936B53"/>
    <w:rsid w:val="00936C0A"/>
    <w:rsid w:val="00936C30"/>
    <w:rsid w:val="00936C90"/>
    <w:rsid w:val="00936CD6"/>
    <w:rsid w:val="00936D1F"/>
    <w:rsid w:val="00936D2A"/>
    <w:rsid w:val="00936DC5"/>
    <w:rsid w:val="00936DFD"/>
    <w:rsid w:val="00936E40"/>
    <w:rsid w:val="00936E57"/>
    <w:rsid w:val="00936E70"/>
    <w:rsid w:val="00936E74"/>
    <w:rsid w:val="00936EA3"/>
    <w:rsid w:val="00936F0D"/>
    <w:rsid w:val="00936F47"/>
    <w:rsid w:val="00936FA4"/>
    <w:rsid w:val="0093705A"/>
    <w:rsid w:val="0093709D"/>
    <w:rsid w:val="009370CE"/>
    <w:rsid w:val="00937197"/>
    <w:rsid w:val="009371E1"/>
    <w:rsid w:val="0093720A"/>
    <w:rsid w:val="00937254"/>
    <w:rsid w:val="00937297"/>
    <w:rsid w:val="009372AF"/>
    <w:rsid w:val="0093732D"/>
    <w:rsid w:val="00937346"/>
    <w:rsid w:val="0093743A"/>
    <w:rsid w:val="00937457"/>
    <w:rsid w:val="0093753B"/>
    <w:rsid w:val="009375C8"/>
    <w:rsid w:val="009375DC"/>
    <w:rsid w:val="009375E7"/>
    <w:rsid w:val="00937684"/>
    <w:rsid w:val="00937758"/>
    <w:rsid w:val="009377FE"/>
    <w:rsid w:val="00937800"/>
    <w:rsid w:val="00937840"/>
    <w:rsid w:val="00937851"/>
    <w:rsid w:val="00937878"/>
    <w:rsid w:val="009378B1"/>
    <w:rsid w:val="009379B0"/>
    <w:rsid w:val="009379CB"/>
    <w:rsid w:val="009379CD"/>
    <w:rsid w:val="009379D5"/>
    <w:rsid w:val="00937A18"/>
    <w:rsid w:val="00937AE3"/>
    <w:rsid w:val="00937B05"/>
    <w:rsid w:val="00937B78"/>
    <w:rsid w:val="00937BC2"/>
    <w:rsid w:val="00937BCA"/>
    <w:rsid w:val="00937BD3"/>
    <w:rsid w:val="00937BDD"/>
    <w:rsid w:val="00937BE3"/>
    <w:rsid w:val="00937C5F"/>
    <w:rsid w:val="00937CA9"/>
    <w:rsid w:val="00937D1A"/>
    <w:rsid w:val="00937D4B"/>
    <w:rsid w:val="00937D86"/>
    <w:rsid w:val="00937DAC"/>
    <w:rsid w:val="00937DC0"/>
    <w:rsid w:val="00937DCC"/>
    <w:rsid w:val="00937DE2"/>
    <w:rsid w:val="00937E6C"/>
    <w:rsid w:val="00937E94"/>
    <w:rsid w:val="00937EDB"/>
    <w:rsid w:val="00937F4B"/>
    <w:rsid w:val="00937F9D"/>
    <w:rsid w:val="009400AF"/>
    <w:rsid w:val="009400C8"/>
    <w:rsid w:val="009400D7"/>
    <w:rsid w:val="009400E4"/>
    <w:rsid w:val="00940117"/>
    <w:rsid w:val="00940242"/>
    <w:rsid w:val="0094024E"/>
    <w:rsid w:val="009402D5"/>
    <w:rsid w:val="00940387"/>
    <w:rsid w:val="009403DA"/>
    <w:rsid w:val="009403E8"/>
    <w:rsid w:val="0094042F"/>
    <w:rsid w:val="009404B1"/>
    <w:rsid w:val="00940515"/>
    <w:rsid w:val="00940563"/>
    <w:rsid w:val="009405FF"/>
    <w:rsid w:val="0094064C"/>
    <w:rsid w:val="009406DE"/>
    <w:rsid w:val="00940744"/>
    <w:rsid w:val="009407A5"/>
    <w:rsid w:val="009407C8"/>
    <w:rsid w:val="009407E8"/>
    <w:rsid w:val="00940807"/>
    <w:rsid w:val="009408AC"/>
    <w:rsid w:val="009408C3"/>
    <w:rsid w:val="00940921"/>
    <w:rsid w:val="00940956"/>
    <w:rsid w:val="009409AC"/>
    <w:rsid w:val="009409AE"/>
    <w:rsid w:val="00940A2A"/>
    <w:rsid w:val="00940A73"/>
    <w:rsid w:val="00940A93"/>
    <w:rsid w:val="00940AA9"/>
    <w:rsid w:val="00940AAA"/>
    <w:rsid w:val="00940B88"/>
    <w:rsid w:val="00940C25"/>
    <w:rsid w:val="00940C38"/>
    <w:rsid w:val="00940DCF"/>
    <w:rsid w:val="00940E31"/>
    <w:rsid w:val="00940EAD"/>
    <w:rsid w:val="00940EB0"/>
    <w:rsid w:val="00940EEF"/>
    <w:rsid w:val="00940FE5"/>
    <w:rsid w:val="00940FF7"/>
    <w:rsid w:val="00941039"/>
    <w:rsid w:val="00941153"/>
    <w:rsid w:val="009411A0"/>
    <w:rsid w:val="0094124D"/>
    <w:rsid w:val="009412D1"/>
    <w:rsid w:val="00941449"/>
    <w:rsid w:val="00941562"/>
    <w:rsid w:val="00941589"/>
    <w:rsid w:val="009415A0"/>
    <w:rsid w:val="009415CA"/>
    <w:rsid w:val="009415E0"/>
    <w:rsid w:val="009415F4"/>
    <w:rsid w:val="00941638"/>
    <w:rsid w:val="00941694"/>
    <w:rsid w:val="009416E6"/>
    <w:rsid w:val="0094177A"/>
    <w:rsid w:val="009417B4"/>
    <w:rsid w:val="009417FC"/>
    <w:rsid w:val="00941848"/>
    <w:rsid w:val="00941862"/>
    <w:rsid w:val="0094189B"/>
    <w:rsid w:val="009418E7"/>
    <w:rsid w:val="009418FE"/>
    <w:rsid w:val="0094193A"/>
    <w:rsid w:val="0094195C"/>
    <w:rsid w:val="009419A1"/>
    <w:rsid w:val="009419AF"/>
    <w:rsid w:val="009419FA"/>
    <w:rsid w:val="00941A8F"/>
    <w:rsid w:val="00941A9B"/>
    <w:rsid w:val="00941AF8"/>
    <w:rsid w:val="00941C2A"/>
    <w:rsid w:val="00941CB4"/>
    <w:rsid w:val="00941D04"/>
    <w:rsid w:val="00941D34"/>
    <w:rsid w:val="00941DCA"/>
    <w:rsid w:val="00941DDA"/>
    <w:rsid w:val="00941E17"/>
    <w:rsid w:val="00941E1D"/>
    <w:rsid w:val="00941E72"/>
    <w:rsid w:val="00941E79"/>
    <w:rsid w:val="00941EA4"/>
    <w:rsid w:val="00941F84"/>
    <w:rsid w:val="00941FDC"/>
    <w:rsid w:val="00941FEB"/>
    <w:rsid w:val="00942029"/>
    <w:rsid w:val="00942053"/>
    <w:rsid w:val="00942066"/>
    <w:rsid w:val="0094206F"/>
    <w:rsid w:val="00942074"/>
    <w:rsid w:val="009420A3"/>
    <w:rsid w:val="0094211A"/>
    <w:rsid w:val="00942128"/>
    <w:rsid w:val="00942154"/>
    <w:rsid w:val="00942161"/>
    <w:rsid w:val="009421BC"/>
    <w:rsid w:val="00942208"/>
    <w:rsid w:val="00942260"/>
    <w:rsid w:val="009423E9"/>
    <w:rsid w:val="0094240A"/>
    <w:rsid w:val="0094247C"/>
    <w:rsid w:val="0094248F"/>
    <w:rsid w:val="00942587"/>
    <w:rsid w:val="00942593"/>
    <w:rsid w:val="009425AC"/>
    <w:rsid w:val="00942616"/>
    <w:rsid w:val="009426A4"/>
    <w:rsid w:val="00942706"/>
    <w:rsid w:val="00942793"/>
    <w:rsid w:val="00942799"/>
    <w:rsid w:val="009427A6"/>
    <w:rsid w:val="00942853"/>
    <w:rsid w:val="00942858"/>
    <w:rsid w:val="00942867"/>
    <w:rsid w:val="00942871"/>
    <w:rsid w:val="00942882"/>
    <w:rsid w:val="0094289C"/>
    <w:rsid w:val="00942912"/>
    <w:rsid w:val="009429D6"/>
    <w:rsid w:val="009429E7"/>
    <w:rsid w:val="00942A4E"/>
    <w:rsid w:val="00942A77"/>
    <w:rsid w:val="00942AEF"/>
    <w:rsid w:val="00942B1B"/>
    <w:rsid w:val="00942BCC"/>
    <w:rsid w:val="00942C54"/>
    <w:rsid w:val="00942C67"/>
    <w:rsid w:val="00942C7F"/>
    <w:rsid w:val="00942CAC"/>
    <w:rsid w:val="00942D24"/>
    <w:rsid w:val="00942D2A"/>
    <w:rsid w:val="00942DA1"/>
    <w:rsid w:val="00942DAB"/>
    <w:rsid w:val="00942DF9"/>
    <w:rsid w:val="00942E08"/>
    <w:rsid w:val="00942E34"/>
    <w:rsid w:val="00942E44"/>
    <w:rsid w:val="00943055"/>
    <w:rsid w:val="00943062"/>
    <w:rsid w:val="0094306C"/>
    <w:rsid w:val="00943090"/>
    <w:rsid w:val="009430DD"/>
    <w:rsid w:val="0094310E"/>
    <w:rsid w:val="0094315D"/>
    <w:rsid w:val="009431C8"/>
    <w:rsid w:val="009431D5"/>
    <w:rsid w:val="00943252"/>
    <w:rsid w:val="0094325E"/>
    <w:rsid w:val="0094328A"/>
    <w:rsid w:val="009432D1"/>
    <w:rsid w:val="00943366"/>
    <w:rsid w:val="0094344E"/>
    <w:rsid w:val="009434A0"/>
    <w:rsid w:val="009434A4"/>
    <w:rsid w:val="009434BB"/>
    <w:rsid w:val="009434D2"/>
    <w:rsid w:val="009434E3"/>
    <w:rsid w:val="009434F0"/>
    <w:rsid w:val="009434F2"/>
    <w:rsid w:val="00943675"/>
    <w:rsid w:val="00943695"/>
    <w:rsid w:val="00943701"/>
    <w:rsid w:val="0094370B"/>
    <w:rsid w:val="0094370E"/>
    <w:rsid w:val="009437A6"/>
    <w:rsid w:val="00943838"/>
    <w:rsid w:val="009438CB"/>
    <w:rsid w:val="009438D8"/>
    <w:rsid w:val="009438E2"/>
    <w:rsid w:val="009438E6"/>
    <w:rsid w:val="00943981"/>
    <w:rsid w:val="00943B57"/>
    <w:rsid w:val="00943BA9"/>
    <w:rsid w:val="00943BDE"/>
    <w:rsid w:val="00943CDA"/>
    <w:rsid w:val="00943D16"/>
    <w:rsid w:val="00943DD9"/>
    <w:rsid w:val="00943E30"/>
    <w:rsid w:val="00943E46"/>
    <w:rsid w:val="00943E65"/>
    <w:rsid w:val="00943F3B"/>
    <w:rsid w:val="00943F66"/>
    <w:rsid w:val="00943F6C"/>
    <w:rsid w:val="00944007"/>
    <w:rsid w:val="00944022"/>
    <w:rsid w:val="00944096"/>
    <w:rsid w:val="00944134"/>
    <w:rsid w:val="00944137"/>
    <w:rsid w:val="0094414C"/>
    <w:rsid w:val="0094415B"/>
    <w:rsid w:val="009441B7"/>
    <w:rsid w:val="00944286"/>
    <w:rsid w:val="009442B9"/>
    <w:rsid w:val="00944317"/>
    <w:rsid w:val="0094440B"/>
    <w:rsid w:val="00944419"/>
    <w:rsid w:val="009444B2"/>
    <w:rsid w:val="009444C4"/>
    <w:rsid w:val="009444E8"/>
    <w:rsid w:val="0094454F"/>
    <w:rsid w:val="0094457E"/>
    <w:rsid w:val="009445CA"/>
    <w:rsid w:val="009445D1"/>
    <w:rsid w:val="009445FC"/>
    <w:rsid w:val="00944633"/>
    <w:rsid w:val="0094466B"/>
    <w:rsid w:val="00944674"/>
    <w:rsid w:val="00944747"/>
    <w:rsid w:val="0094477A"/>
    <w:rsid w:val="00944837"/>
    <w:rsid w:val="0094490B"/>
    <w:rsid w:val="00944912"/>
    <w:rsid w:val="0094496A"/>
    <w:rsid w:val="00944984"/>
    <w:rsid w:val="009449D6"/>
    <w:rsid w:val="00944A1B"/>
    <w:rsid w:val="00944A1E"/>
    <w:rsid w:val="00944A5E"/>
    <w:rsid w:val="00944A7D"/>
    <w:rsid w:val="00944A93"/>
    <w:rsid w:val="00944A9A"/>
    <w:rsid w:val="00944ABD"/>
    <w:rsid w:val="00944AF8"/>
    <w:rsid w:val="00944B1C"/>
    <w:rsid w:val="00944BBB"/>
    <w:rsid w:val="00944C14"/>
    <w:rsid w:val="00944C18"/>
    <w:rsid w:val="00944C3D"/>
    <w:rsid w:val="00944CD6"/>
    <w:rsid w:val="00944CE8"/>
    <w:rsid w:val="00944CE9"/>
    <w:rsid w:val="00944D70"/>
    <w:rsid w:val="00944DC4"/>
    <w:rsid w:val="00944E03"/>
    <w:rsid w:val="00944E3A"/>
    <w:rsid w:val="00944E55"/>
    <w:rsid w:val="00944E6C"/>
    <w:rsid w:val="00944E70"/>
    <w:rsid w:val="00944E76"/>
    <w:rsid w:val="00944EA3"/>
    <w:rsid w:val="00944ED3"/>
    <w:rsid w:val="00944EF8"/>
    <w:rsid w:val="00944F59"/>
    <w:rsid w:val="0094505C"/>
    <w:rsid w:val="00945130"/>
    <w:rsid w:val="00945188"/>
    <w:rsid w:val="0094519E"/>
    <w:rsid w:val="009451FD"/>
    <w:rsid w:val="00945225"/>
    <w:rsid w:val="0094528C"/>
    <w:rsid w:val="009452AF"/>
    <w:rsid w:val="009452DE"/>
    <w:rsid w:val="00945336"/>
    <w:rsid w:val="00945399"/>
    <w:rsid w:val="0094551A"/>
    <w:rsid w:val="0094564A"/>
    <w:rsid w:val="00945695"/>
    <w:rsid w:val="009456CC"/>
    <w:rsid w:val="00945754"/>
    <w:rsid w:val="0094578D"/>
    <w:rsid w:val="009457AA"/>
    <w:rsid w:val="00945830"/>
    <w:rsid w:val="009458EA"/>
    <w:rsid w:val="00945964"/>
    <w:rsid w:val="009459FD"/>
    <w:rsid w:val="00945A14"/>
    <w:rsid w:val="00945A1F"/>
    <w:rsid w:val="00945A9A"/>
    <w:rsid w:val="00945B80"/>
    <w:rsid w:val="00945BCF"/>
    <w:rsid w:val="00945C05"/>
    <w:rsid w:val="00945C4F"/>
    <w:rsid w:val="00945CB2"/>
    <w:rsid w:val="00945CDC"/>
    <w:rsid w:val="00945CF9"/>
    <w:rsid w:val="00945DB0"/>
    <w:rsid w:val="00945DBC"/>
    <w:rsid w:val="00945DDC"/>
    <w:rsid w:val="00945DE8"/>
    <w:rsid w:val="00945E6A"/>
    <w:rsid w:val="00945F21"/>
    <w:rsid w:val="00945FAF"/>
    <w:rsid w:val="00945FF3"/>
    <w:rsid w:val="00946002"/>
    <w:rsid w:val="0094606B"/>
    <w:rsid w:val="00946123"/>
    <w:rsid w:val="00946204"/>
    <w:rsid w:val="0094630C"/>
    <w:rsid w:val="0094632B"/>
    <w:rsid w:val="009463F7"/>
    <w:rsid w:val="009464C4"/>
    <w:rsid w:val="009464DA"/>
    <w:rsid w:val="0094653A"/>
    <w:rsid w:val="009465E7"/>
    <w:rsid w:val="00946644"/>
    <w:rsid w:val="009466F4"/>
    <w:rsid w:val="0094672D"/>
    <w:rsid w:val="009467C9"/>
    <w:rsid w:val="009467D1"/>
    <w:rsid w:val="00946869"/>
    <w:rsid w:val="00946888"/>
    <w:rsid w:val="00946898"/>
    <w:rsid w:val="009468AC"/>
    <w:rsid w:val="00946937"/>
    <w:rsid w:val="0094696D"/>
    <w:rsid w:val="00946A53"/>
    <w:rsid w:val="00946B30"/>
    <w:rsid w:val="00946B33"/>
    <w:rsid w:val="00946B5E"/>
    <w:rsid w:val="00946B69"/>
    <w:rsid w:val="00946B6A"/>
    <w:rsid w:val="00946BB4"/>
    <w:rsid w:val="00946D46"/>
    <w:rsid w:val="00946DB3"/>
    <w:rsid w:val="00946DB8"/>
    <w:rsid w:val="00946EE6"/>
    <w:rsid w:val="00946F06"/>
    <w:rsid w:val="00946F0B"/>
    <w:rsid w:val="00946F40"/>
    <w:rsid w:val="00946FB7"/>
    <w:rsid w:val="00946FCB"/>
    <w:rsid w:val="0094703B"/>
    <w:rsid w:val="009470D4"/>
    <w:rsid w:val="00947140"/>
    <w:rsid w:val="009471B1"/>
    <w:rsid w:val="00947235"/>
    <w:rsid w:val="00947356"/>
    <w:rsid w:val="009473FA"/>
    <w:rsid w:val="00947493"/>
    <w:rsid w:val="00947541"/>
    <w:rsid w:val="00947591"/>
    <w:rsid w:val="009475A9"/>
    <w:rsid w:val="009475E6"/>
    <w:rsid w:val="00947604"/>
    <w:rsid w:val="00947618"/>
    <w:rsid w:val="00947629"/>
    <w:rsid w:val="00947640"/>
    <w:rsid w:val="00947693"/>
    <w:rsid w:val="009476B6"/>
    <w:rsid w:val="009476D7"/>
    <w:rsid w:val="009476E5"/>
    <w:rsid w:val="0094776D"/>
    <w:rsid w:val="009477A2"/>
    <w:rsid w:val="009477D7"/>
    <w:rsid w:val="009477D8"/>
    <w:rsid w:val="009477DE"/>
    <w:rsid w:val="00947816"/>
    <w:rsid w:val="00947861"/>
    <w:rsid w:val="00947881"/>
    <w:rsid w:val="009478E6"/>
    <w:rsid w:val="009479A4"/>
    <w:rsid w:val="00947A02"/>
    <w:rsid w:val="00947A1F"/>
    <w:rsid w:val="00947A23"/>
    <w:rsid w:val="00947AEC"/>
    <w:rsid w:val="00947B35"/>
    <w:rsid w:val="00947C55"/>
    <w:rsid w:val="00947CE0"/>
    <w:rsid w:val="00947CE3"/>
    <w:rsid w:val="00947D58"/>
    <w:rsid w:val="00947D88"/>
    <w:rsid w:val="00947E4D"/>
    <w:rsid w:val="00947E56"/>
    <w:rsid w:val="00947EB7"/>
    <w:rsid w:val="00947F6D"/>
    <w:rsid w:val="00947F97"/>
    <w:rsid w:val="00947F9C"/>
    <w:rsid w:val="00947FAC"/>
    <w:rsid w:val="00947FE1"/>
    <w:rsid w:val="00950067"/>
    <w:rsid w:val="009500B0"/>
    <w:rsid w:val="00950121"/>
    <w:rsid w:val="0095016F"/>
    <w:rsid w:val="009501FE"/>
    <w:rsid w:val="00950205"/>
    <w:rsid w:val="00950222"/>
    <w:rsid w:val="00950254"/>
    <w:rsid w:val="009502B4"/>
    <w:rsid w:val="00950360"/>
    <w:rsid w:val="00950364"/>
    <w:rsid w:val="009503C4"/>
    <w:rsid w:val="009503EC"/>
    <w:rsid w:val="009504EC"/>
    <w:rsid w:val="00950512"/>
    <w:rsid w:val="0095065C"/>
    <w:rsid w:val="00950685"/>
    <w:rsid w:val="00950740"/>
    <w:rsid w:val="0095074F"/>
    <w:rsid w:val="00950787"/>
    <w:rsid w:val="00950832"/>
    <w:rsid w:val="009508E6"/>
    <w:rsid w:val="0095096D"/>
    <w:rsid w:val="009509EC"/>
    <w:rsid w:val="00950A05"/>
    <w:rsid w:val="00950A79"/>
    <w:rsid w:val="00950A8B"/>
    <w:rsid w:val="00950AAA"/>
    <w:rsid w:val="00950B59"/>
    <w:rsid w:val="00950B89"/>
    <w:rsid w:val="00950CF3"/>
    <w:rsid w:val="00950D61"/>
    <w:rsid w:val="00950D85"/>
    <w:rsid w:val="00950F02"/>
    <w:rsid w:val="00950F2E"/>
    <w:rsid w:val="00950F74"/>
    <w:rsid w:val="00950F9C"/>
    <w:rsid w:val="00950FD0"/>
    <w:rsid w:val="00950FE1"/>
    <w:rsid w:val="0095103D"/>
    <w:rsid w:val="0095106A"/>
    <w:rsid w:val="009510DD"/>
    <w:rsid w:val="00951126"/>
    <w:rsid w:val="0095112D"/>
    <w:rsid w:val="009511EA"/>
    <w:rsid w:val="009511F9"/>
    <w:rsid w:val="0095134C"/>
    <w:rsid w:val="00951384"/>
    <w:rsid w:val="009513BE"/>
    <w:rsid w:val="009513E6"/>
    <w:rsid w:val="0095143C"/>
    <w:rsid w:val="00951451"/>
    <w:rsid w:val="009514B3"/>
    <w:rsid w:val="009514C3"/>
    <w:rsid w:val="00951510"/>
    <w:rsid w:val="0095163F"/>
    <w:rsid w:val="00951659"/>
    <w:rsid w:val="009516B4"/>
    <w:rsid w:val="0095176D"/>
    <w:rsid w:val="00951782"/>
    <w:rsid w:val="00951800"/>
    <w:rsid w:val="00951817"/>
    <w:rsid w:val="00951872"/>
    <w:rsid w:val="009518C5"/>
    <w:rsid w:val="009518D8"/>
    <w:rsid w:val="009518E9"/>
    <w:rsid w:val="009518F2"/>
    <w:rsid w:val="00951A0C"/>
    <w:rsid w:val="00951A1B"/>
    <w:rsid w:val="00951ACD"/>
    <w:rsid w:val="00951B1E"/>
    <w:rsid w:val="00951B8D"/>
    <w:rsid w:val="00951BA7"/>
    <w:rsid w:val="00951BB7"/>
    <w:rsid w:val="00951BE0"/>
    <w:rsid w:val="00951C0D"/>
    <w:rsid w:val="00951CE8"/>
    <w:rsid w:val="00951DC1"/>
    <w:rsid w:val="00951E14"/>
    <w:rsid w:val="00951ED1"/>
    <w:rsid w:val="00951F90"/>
    <w:rsid w:val="00951FF4"/>
    <w:rsid w:val="00952023"/>
    <w:rsid w:val="009521AC"/>
    <w:rsid w:val="009522B3"/>
    <w:rsid w:val="009522DF"/>
    <w:rsid w:val="009522EF"/>
    <w:rsid w:val="00952431"/>
    <w:rsid w:val="009524FD"/>
    <w:rsid w:val="00952501"/>
    <w:rsid w:val="00952536"/>
    <w:rsid w:val="0095259B"/>
    <w:rsid w:val="009525AD"/>
    <w:rsid w:val="0095270E"/>
    <w:rsid w:val="0095270F"/>
    <w:rsid w:val="00952715"/>
    <w:rsid w:val="00952771"/>
    <w:rsid w:val="009527CA"/>
    <w:rsid w:val="0095287F"/>
    <w:rsid w:val="0095292D"/>
    <w:rsid w:val="0095293C"/>
    <w:rsid w:val="00952950"/>
    <w:rsid w:val="00952970"/>
    <w:rsid w:val="0095298E"/>
    <w:rsid w:val="00952AE7"/>
    <w:rsid w:val="00952B17"/>
    <w:rsid w:val="00952B71"/>
    <w:rsid w:val="00952C7E"/>
    <w:rsid w:val="00952D87"/>
    <w:rsid w:val="00952DC3"/>
    <w:rsid w:val="00952E5D"/>
    <w:rsid w:val="00952EB1"/>
    <w:rsid w:val="00952EE1"/>
    <w:rsid w:val="00952FF7"/>
    <w:rsid w:val="00953032"/>
    <w:rsid w:val="00953067"/>
    <w:rsid w:val="009531D2"/>
    <w:rsid w:val="009531F1"/>
    <w:rsid w:val="00953203"/>
    <w:rsid w:val="009532C2"/>
    <w:rsid w:val="009532FA"/>
    <w:rsid w:val="0095335C"/>
    <w:rsid w:val="00953394"/>
    <w:rsid w:val="0095340E"/>
    <w:rsid w:val="009534DC"/>
    <w:rsid w:val="009534E5"/>
    <w:rsid w:val="009534FD"/>
    <w:rsid w:val="0095353E"/>
    <w:rsid w:val="009535C0"/>
    <w:rsid w:val="0095372E"/>
    <w:rsid w:val="00953771"/>
    <w:rsid w:val="009537B4"/>
    <w:rsid w:val="009537FC"/>
    <w:rsid w:val="009538FD"/>
    <w:rsid w:val="0095393D"/>
    <w:rsid w:val="00953958"/>
    <w:rsid w:val="00953A2A"/>
    <w:rsid w:val="00953A84"/>
    <w:rsid w:val="00953A8D"/>
    <w:rsid w:val="00953AB8"/>
    <w:rsid w:val="00953C02"/>
    <w:rsid w:val="00953C60"/>
    <w:rsid w:val="00953C67"/>
    <w:rsid w:val="00953C7D"/>
    <w:rsid w:val="00953C98"/>
    <w:rsid w:val="00953D94"/>
    <w:rsid w:val="00953DDA"/>
    <w:rsid w:val="00953E49"/>
    <w:rsid w:val="00953E74"/>
    <w:rsid w:val="00953ED2"/>
    <w:rsid w:val="00953F76"/>
    <w:rsid w:val="0095403F"/>
    <w:rsid w:val="00954072"/>
    <w:rsid w:val="0095411B"/>
    <w:rsid w:val="009541B5"/>
    <w:rsid w:val="00954315"/>
    <w:rsid w:val="00954339"/>
    <w:rsid w:val="0095439A"/>
    <w:rsid w:val="009543A1"/>
    <w:rsid w:val="00954442"/>
    <w:rsid w:val="0095451D"/>
    <w:rsid w:val="00954536"/>
    <w:rsid w:val="00954597"/>
    <w:rsid w:val="00954662"/>
    <w:rsid w:val="0095469B"/>
    <w:rsid w:val="009546BE"/>
    <w:rsid w:val="00954724"/>
    <w:rsid w:val="0095475B"/>
    <w:rsid w:val="009547A4"/>
    <w:rsid w:val="009547A9"/>
    <w:rsid w:val="00954837"/>
    <w:rsid w:val="00954873"/>
    <w:rsid w:val="0095489E"/>
    <w:rsid w:val="009548FF"/>
    <w:rsid w:val="009549CE"/>
    <w:rsid w:val="009549EE"/>
    <w:rsid w:val="00954A7C"/>
    <w:rsid w:val="00954A98"/>
    <w:rsid w:val="00954ACA"/>
    <w:rsid w:val="00954AED"/>
    <w:rsid w:val="00954B20"/>
    <w:rsid w:val="00954BC6"/>
    <w:rsid w:val="00954C60"/>
    <w:rsid w:val="00954C81"/>
    <w:rsid w:val="00954D11"/>
    <w:rsid w:val="00954D6A"/>
    <w:rsid w:val="00954D9B"/>
    <w:rsid w:val="00954DBA"/>
    <w:rsid w:val="00954DDD"/>
    <w:rsid w:val="00954EFA"/>
    <w:rsid w:val="00954EFE"/>
    <w:rsid w:val="00954F74"/>
    <w:rsid w:val="00954FFC"/>
    <w:rsid w:val="00955030"/>
    <w:rsid w:val="00955044"/>
    <w:rsid w:val="009550B4"/>
    <w:rsid w:val="0095515E"/>
    <w:rsid w:val="00955175"/>
    <w:rsid w:val="009551AB"/>
    <w:rsid w:val="009551E0"/>
    <w:rsid w:val="009551E3"/>
    <w:rsid w:val="00955256"/>
    <w:rsid w:val="009552E8"/>
    <w:rsid w:val="009552FC"/>
    <w:rsid w:val="0095542A"/>
    <w:rsid w:val="0095542C"/>
    <w:rsid w:val="00955477"/>
    <w:rsid w:val="009554E1"/>
    <w:rsid w:val="009554E4"/>
    <w:rsid w:val="0095569A"/>
    <w:rsid w:val="009556A4"/>
    <w:rsid w:val="009556E3"/>
    <w:rsid w:val="00955718"/>
    <w:rsid w:val="00955745"/>
    <w:rsid w:val="009557DD"/>
    <w:rsid w:val="009557E6"/>
    <w:rsid w:val="0095580C"/>
    <w:rsid w:val="0095584A"/>
    <w:rsid w:val="0095584B"/>
    <w:rsid w:val="0095585F"/>
    <w:rsid w:val="009558EA"/>
    <w:rsid w:val="0095597F"/>
    <w:rsid w:val="00955A73"/>
    <w:rsid w:val="00955B3E"/>
    <w:rsid w:val="00955B58"/>
    <w:rsid w:val="00955BE3"/>
    <w:rsid w:val="00955BEF"/>
    <w:rsid w:val="00955C33"/>
    <w:rsid w:val="00955C41"/>
    <w:rsid w:val="00955CF5"/>
    <w:rsid w:val="00955D20"/>
    <w:rsid w:val="00955D48"/>
    <w:rsid w:val="00955D55"/>
    <w:rsid w:val="00955D7C"/>
    <w:rsid w:val="00955D85"/>
    <w:rsid w:val="00955EE0"/>
    <w:rsid w:val="00955FCA"/>
    <w:rsid w:val="0095600E"/>
    <w:rsid w:val="00956032"/>
    <w:rsid w:val="009560A8"/>
    <w:rsid w:val="0095612E"/>
    <w:rsid w:val="00956137"/>
    <w:rsid w:val="0095614A"/>
    <w:rsid w:val="00956212"/>
    <w:rsid w:val="00956287"/>
    <w:rsid w:val="009562A2"/>
    <w:rsid w:val="009562AC"/>
    <w:rsid w:val="00956306"/>
    <w:rsid w:val="0095631E"/>
    <w:rsid w:val="00956347"/>
    <w:rsid w:val="0095638A"/>
    <w:rsid w:val="0095641D"/>
    <w:rsid w:val="00956425"/>
    <w:rsid w:val="009564F6"/>
    <w:rsid w:val="009564FC"/>
    <w:rsid w:val="0095654D"/>
    <w:rsid w:val="0095659A"/>
    <w:rsid w:val="009565CA"/>
    <w:rsid w:val="009565EE"/>
    <w:rsid w:val="00956605"/>
    <w:rsid w:val="009566D1"/>
    <w:rsid w:val="00956742"/>
    <w:rsid w:val="009567AC"/>
    <w:rsid w:val="009567C2"/>
    <w:rsid w:val="00956827"/>
    <w:rsid w:val="0095686A"/>
    <w:rsid w:val="009568B5"/>
    <w:rsid w:val="009568F7"/>
    <w:rsid w:val="009568FB"/>
    <w:rsid w:val="00956917"/>
    <w:rsid w:val="0095695A"/>
    <w:rsid w:val="00956983"/>
    <w:rsid w:val="00956999"/>
    <w:rsid w:val="00956A80"/>
    <w:rsid w:val="00956B39"/>
    <w:rsid w:val="00956C19"/>
    <w:rsid w:val="00956C7E"/>
    <w:rsid w:val="00956C98"/>
    <w:rsid w:val="00956DBC"/>
    <w:rsid w:val="00956E1F"/>
    <w:rsid w:val="00956E83"/>
    <w:rsid w:val="00956ECA"/>
    <w:rsid w:val="00956ECD"/>
    <w:rsid w:val="00956F2E"/>
    <w:rsid w:val="00956F4D"/>
    <w:rsid w:val="0095701E"/>
    <w:rsid w:val="00957031"/>
    <w:rsid w:val="0095703D"/>
    <w:rsid w:val="00957046"/>
    <w:rsid w:val="009570B0"/>
    <w:rsid w:val="00957103"/>
    <w:rsid w:val="009571AD"/>
    <w:rsid w:val="0095721F"/>
    <w:rsid w:val="0095722E"/>
    <w:rsid w:val="00957262"/>
    <w:rsid w:val="00957266"/>
    <w:rsid w:val="00957291"/>
    <w:rsid w:val="009572BB"/>
    <w:rsid w:val="00957316"/>
    <w:rsid w:val="00957327"/>
    <w:rsid w:val="00957330"/>
    <w:rsid w:val="00957377"/>
    <w:rsid w:val="00957392"/>
    <w:rsid w:val="00957498"/>
    <w:rsid w:val="009574AF"/>
    <w:rsid w:val="009574DE"/>
    <w:rsid w:val="009575CA"/>
    <w:rsid w:val="009576C3"/>
    <w:rsid w:val="009576CE"/>
    <w:rsid w:val="009576E8"/>
    <w:rsid w:val="00957796"/>
    <w:rsid w:val="009577AB"/>
    <w:rsid w:val="009577CF"/>
    <w:rsid w:val="009577EA"/>
    <w:rsid w:val="00957846"/>
    <w:rsid w:val="00957850"/>
    <w:rsid w:val="00957856"/>
    <w:rsid w:val="0095787A"/>
    <w:rsid w:val="00957896"/>
    <w:rsid w:val="009578AE"/>
    <w:rsid w:val="009578C4"/>
    <w:rsid w:val="009578D8"/>
    <w:rsid w:val="00957981"/>
    <w:rsid w:val="00957991"/>
    <w:rsid w:val="0095799D"/>
    <w:rsid w:val="00957A88"/>
    <w:rsid w:val="00957ABA"/>
    <w:rsid w:val="00957AC8"/>
    <w:rsid w:val="00957ACF"/>
    <w:rsid w:val="00957AE6"/>
    <w:rsid w:val="00957BD3"/>
    <w:rsid w:val="00957C3D"/>
    <w:rsid w:val="00957C44"/>
    <w:rsid w:val="00957CC6"/>
    <w:rsid w:val="00957CE9"/>
    <w:rsid w:val="00957D8D"/>
    <w:rsid w:val="00957DEB"/>
    <w:rsid w:val="00957E28"/>
    <w:rsid w:val="00957E84"/>
    <w:rsid w:val="00957EEE"/>
    <w:rsid w:val="00957F1B"/>
    <w:rsid w:val="00957F88"/>
    <w:rsid w:val="00957FAD"/>
    <w:rsid w:val="00960087"/>
    <w:rsid w:val="009601B2"/>
    <w:rsid w:val="00960206"/>
    <w:rsid w:val="009602C6"/>
    <w:rsid w:val="009602D0"/>
    <w:rsid w:val="009602D5"/>
    <w:rsid w:val="009602EA"/>
    <w:rsid w:val="00960342"/>
    <w:rsid w:val="0096035F"/>
    <w:rsid w:val="0096038E"/>
    <w:rsid w:val="00960426"/>
    <w:rsid w:val="0096043E"/>
    <w:rsid w:val="00960449"/>
    <w:rsid w:val="009604B3"/>
    <w:rsid w:val="009604D2"/>
    <w:rsid w:val="009604F9"/>
    <w:rsid w:val="00960502"/>
    <w:rsid w:val="009605E1"/>
    <w:rsid w:val="009606E0"/>
    <w:rsid w:val="00960756"/>
    <w:rsid w:val="0096078C"/>
    <w:rsid w:val="009607B9"/>
    <w:rsid w:val="0096085E"/>
    <w:rsid w:val="009608F7"/>
    <w:rsid w:val="009608FE"/>
    <w:rsid w:val="00960924"/>
    <w:rsid w:val="009609CA"/>
    <w:rsid w:val="009609CE"/>
    <w:rsid w:val="00960A52"/>
    <w:rsid w:val="00960ACA"/>
    <w:rsid w:val="00960B7B"/>
    <w:rsid w:val="00960B7C"/>
    <w:rsid w:val="00960C89"/>
    <w:rsid w:val="00960CCE"/>
    <w:rsid w:val="00960D36"/>
    <w:rsid w:val="00960D51"/>
    <w:rsid w:val="00960D82"/>
    <w:rsid w:val="00960DD0"/>
    <w:rsid w:val="00960DF8"/>
    <w:rsid w:val="00960E25"/>
    <w:rsid w:val="00960E64"/>
    <w:rsid w:val="00960E74"/>
    <w:rsid w:val="00960F36"/>
    <w:rsid w:val="00960FAB"/>
    <w:rsid w:val="00960FAE"/>
    <w:rsid w:val="00960FBC"/>
    <w:rsid w:val="00961073"/>
    <w:rsid w:val="009610F6"/>
    <w:rsid w:val="009610FE"/>
    <w:rsid w:val="00961180"/>
    <w:rsid w:val="00961225"/>
    <w:rsid w:val="00961238"/>
    <w:rsid w:val="00961259"/>
    <w:rsid w:val="009612D0"/>
    <w:rsid w:val="0096134E"/>
    <w:rsid w:val="0096137B"/>
    <w:rsid w:val="009613BE"/>
    <w:rsid w:val="009614DC"/>
    <w:rsid w:val="009614F6"/>
    <w:rsid w:val="0096152A"/>
    <w:rsid w:val="00961617"/>
    <w:rsid w:val="00961621"/>
    <w:rsid w:val="0096169A"/>
    <w:rsid w:val="0096169F"/>
    <w:rsid w:val="00961735"/>
    <w:rsid w:val="009617C5"/>
    <w:rsid w:val="00961804"/>
    <w:rsid w:val="0096181D"/>
    <w:rsid w:val="0096189B"/>
    <w:rsid w:val="009618EE"/>
    <w:rsid w:val="00961901"/>
    <w:rsid w:val="00961955"/>
    <w:rsid w:val="00961958"/>
    <w:rsid w:val="00961969"/>
    <w:rsid w:val="009619DF"/>
    <w:rsid w:val="00961AC9"/>
    <w:rsid w:val="00961ADC"/>
    <w:rsid w:val="00961B5B"/>
    <w:rsid w:val="00961BDD"/>
    <w:rsid w:val="00961C05"/>
    <w:rsid w:val="00961C35"/>
    <w:rsid w:val="00961C45"/>
    <w:rsid w:val="00961CCB"/>
    <w:rsid w:val="00961CD1"/>
    <w:rsid w:val="00961D8A"/>
    <w:rsid w:val="00961E17"/>
    <w:rsid w:val="00961E5F"/>
    <w:rsid w:val="00961ECA"/>
    <w:rsid w:val="00961F41"/>
    <w:rsid w:val="00961F42"/>
    <w:rsid w:val="00961F82"/>
    <w:rsid w:val="00961FA1"/>
    <w:rsid w:val="0096202F"/>
    <w:rsid w:val="00962063"/>
    <w:rsid w:val="0096206B"/>
    <w:rsid w:val="0096216A"/>
    <w:rsid w:val="0096217C"/>
    <w:rsid w:val="00962198"/>
    <w:rsid w:val="009621D9"/>
    <w:rsid w:val="00962229"/>
    <w:rsid w:val="009622CB"/>
    <w:rsid w:val="00962336"/>
    <w:rsid w:val="00962363"/>
    <w:rsid w:val="009623CA"/>
    <w:rsid w:val="00962441"/>
    <w:rsid w:val="00962535"/>
    <w:rsid w:val="0096256E"/>
    <w:rsid w:val="009626CF"/>
    <w:rsid w:val="009626E0"/>
    <w:rsid w:val="009626E7"/>
    <w:rsid w:val="0096272B"/>
    <w:rsid w:val="0096277C"/>
    <w:rsid w:val="00962797"/>
    <w:rsid w:val="009627F4"/>
    <w:rsid w:val="0096280E"/>
    <w:rsid w:val="00962891"/>
    <w:rsid w:val="009628E4"/>
    <w:rsid w:val="009629A6"/>
    <w:rsid w:val="00962A41"/>
    <w:rsid w:val="00962A7F"/>
    <w:rsid w:val="00962AD9"/>
    <w:rsid w:val="00962B0F"/>
    <w:rsid w:val="00962BDD"/>
    <w:rsid w:val="00962BEE"/>
    <w:rsid w:val="00962BFA"/>
    <w:rsid w:val="00962C8F"/>
    <w:rsid w:val="00962D62"/>
    <w:rsid w:val="00962D78"/>
    <w:rsid w:val="00962E6F"/>
    <w:rsid w:val="00962EA0"/>
    <w:rsid w:val="00962EA3"/>
    <w:rsid w:val="00962F06"/>
    <w:rsid w:val="00962F11"/>
    <w:rsid w:val="00962F23"/>
    <w:rsid w:val="00962F7D"/>
    <w:rsid w:val="00962FA9"/>
    <w:rsid w:val="009630ED"/>
    <w:rsid w:val="00963122"/>
    <w:rsid w:val="009631BF"/>
    <w:rsid w:val="00963208"/>
    <w:rsid w:val="0096328A"/>
    <w:rsid w:val="0096328B"/>
    <w:rsid w:val="0096332F"/>
    <w:rsid w:val="00963358"/>
    <w:rsid w:val="0096336D"/>
    <w:rsid w:val="0096337C"/>
    <w:rsid w:val="009633A8"/>
    <w:rsid w:val="00963427"/>
    <w:rsid w:val="00963493"/>
    <w:rsid w:val="009634A0"/>
    <w:rsid w:val="009634A4"/>
    <w:rsid w:val="009634B5"/>
    <w:rsid w:val="009634E6"/>
    <w:rsid w:val="00963579"/>
    <w:rsid w:val="009635B7"/>
    <w:rsid w:val="009635FB"/>
    <w:rsid w:val="00963649"/>
    <w:rsid w:val="0096375C"/>
    <w:rsid w:val="00963760"/>
    <w:rsid w:val="009637B1"/>
    <w:rsid w:val="009637D2"/>
    <w:rsid w:val="00963805"/>
    <w:rsid w:val="00963826"/>
    <w:rsid w:val="00963853"/>
    <w:rsid w:val="009638D2"/>
    <w:rsid w:val="009638D7"/>
    <w:rsid w:val="0096392B"/>
    <w:rsid w:val="009639C4"/>
    <w:rsid w:val="009639F0"/>
    <w:rsid w:val="00963A27"/>
    <w:rsid w:val="00963B25"/>
    <w:rsid w:val="00963B61"/>
    <w:rsid w:val="00963C5D"/>
    <w:rsid w:val="00963C78"/>
    <w:rsid w:val="00963C8E"/>
    <w:rsid w:val="00963C91"/>
    <w:rsid w:val="00963D59"/>
    <w:rsid w:val="00963EA5"/>
    <w:rsid w:val="00963ECA"/>
    <w:rsid w:val="00963F50"/>
    <w:rsid w:val="009640A3"/>
    <w:rsid w:val="009640DA"/>
    <w:rsid w:val="00964134"/>
    <w:rsid w:val="00964279"/>
    <w:rsid w:val="00964348"/>
    <w:rsid w:val="0096440F"/>
    <w:rsid w:val="0096441E"/>
    <w:rsid w:val="00964480"/>
    <w:rsid w:val="009644DF"/>
    <w:rsid w:val="00964546"/>
    <w:rsid w:val="00964591"/>
    <w:rsid w:val="009645D4"/>
    <w:rsid w:val="009646BC"/>
    <w:rsid w:val="00964727"/>
    <w:rsid w:val="00964730"/>
    <w:rsid w:val="00964766"/>
    <w:rsid w:val="00964847"/>
    <w:rsid w:val="00964886"/>
    <w:rsid w:val="00964894"/>
    <w:rsid w:val="009648D4"/>
    <w:rsid w:val="00964918"/>
    <w:rsid w:val="00964945"/>
    <w:rsid w:val="0096495D"/>
    <w:rsid w:val="00964A14"/>
    <w:rsid w:val="00964AB1"/>
    <w:rsid w:val="00964AD0"/>
    <w:rsid w:val="00964AFF"/>
    <w:rsid w:val="00964B04"/>
    <w:rsid w:val="00964B2A"/>
    <w:rsid w:val="00964BC0"/>
    <w:rsid w:val="00964C4C"/>
    <w:rsid w:val="00964D89"/>
    <w:rsid w:val="00964D90"/>
    <w:rsid w:val="00964DB9"/>
    <w:rsid w:val="00964DC0"/>
    <w:rsid w:val="00964DC1"/>
    <w:rsid w:val="00964E04"/>
    <w:rsid w:val="00964E4E"/>
    <w:rsid w:val="00964E9B"/>
    <w:rsid w:val="00964EF1"/>
    <w:rsid w:val="00964F12"/>
    <w:rsid w:val="00964F33"/>
    <w:rsid w:val="00964FB0"/>
    <w:rsid w:val="0096502B"/>
    <w:rsid w:val="00965044"/>
    <w:rsid w:val="00965068"/>
    <w:rsid w:val="0096508E"/>
    <w:rsid w:val="00965099"/>
    <w:rsid w:val="009650B8"/>
    <w:rsid w:val="0096510C"/>
    <w:rsid w:val="00965125"/>
    <w:rsid w:val="0096524F"/>
    <w:rsid w:val="0096527A"/>
    <w:rsid w:val="00965298"/>
    <w:rsid w:val="009652ED"/>
    <w:rsid w:val="009652F7"/>
    <w:rsid w:val="0096538F"/>
    <w:rsid w:val="00965397"/>
    <w:rsid w:val="0096542C"/>
    <w:rsid w:val="009654DD"/>
    <w:rsid w:val="00965529"/>
    <w:rsid w:val="00965584"/>
    <w:rsid w:val="009655B4"/>
    <w:rsid w:val="009655EB"/>
    <w:rsid w:val="00965622"/>
    <w:rsid w:val="00965677"/>
    <w:rsid w:val="0096571B"/>
    <w:rsid w:val="00965721"/>
    <w:rsid w:val="00965725"/>
    <w:rsid w:val="0096576E"/>
    <w:rsid w:val="00965808"/>
    <w:rsid w:val="009658A6"/>
    <w:rsid w:val="009658E6"/>
    <w:rsid w:val="009658F2"/>
    <w:rsid w:val="0096591F"/>
    <w:rsid w:val="009659A7"/>
    <w:rsid w:val="00965A75"/>
    <w:rsid w:val="00965A7E"/>
    <w:rsid w:val="00965ADD"/>
    <w:rsid w:val="00965AEB"/>
    <w:rsid w:val="00965B49"/>
    <w:rsid w:val="00965BF5"/>
    <w:rsid w:val="00965C75"/>
    <w:rsid w:val="00965DB3"/>
    <w:rsid w:val="00965DDF"/>
    <w:rsid w:val="00965E27"/>
    <w:rsid w:val="00965E7B"/>
    <w:rsid w:val="00965F6F"/>
    <w:rsid w:val="00965F8E"/>
    <w:rsid w:val="00965F9C"/>
    <w:rsid w:val="00966100"/>
    <w:rsid w:val="0096611F"/>
    <w:rsid w:val="0096625F"/>
    <w:rsid w:val="0096626D"/>
    <w:rsid w:val="0096632B"/>
    <w:rsid w:val="009663A8"/>
    <w:rsid w:val="009663DF"/>
    <w:rsid w:val="00966439"/>
    <w:rsid w:val="0096649B"/>
    <w:rsid w:val="009664A0"/>
    <w:rsid w:val="009664D9"/>
    <w:rsid w:val="009664F5"/>
    <w:rsid w:val="0096650D"/>
    <w:rsid w:val="00966534"/>
    <w:rsid w:val="00966656"/>
    <w:rsid w:val="009666A3"/>
    <w:rsid w:val="009666BD"/>
    <w:rsid w:val="009667F8"/>
    <w:rsid w:val="00966828"/>
    <w:rsid w:val="00966912"/>
    <w:rsid w:val="0096691A"/>
    <w:rsid w:val="00966923"/>
    <w:rsid w:val="0096697F"/>
    <w:rsid w:val="00966983"/>
    <w:rsid w:val="00966A25"/>
    <w:rsid w:val="00966B9C"/>
    <w:rsid w:val="00966C6F"/>
    <w:rsid w:val="00966C85"/>
    <w:rsid w:val="00966CAD"/>
    <w:rsid w:val="00966D11"/>
    <w:rsid w:val="00966D1E"/>
    <w:rsid w:val="00966D51"/>
    <w:rsid w:val="00966E0C"/>
    <w:rsid w:val="00966E2F"/>
    <w:rsid w:val="00966E8F"/>
    <w:rsid w:val="00966EAA"/>
    <w:rsid w:val="00966EE9"/>
    <w:rsid w:val="00966EF3"/>
    <w:rsid w:val="00966F95"/>
    <w:rsid w:val="00966FC6"/>
    <w:rsid w:val="00966FDB"/>
    <w:rsid w:val="00966FE3"/>
    <w:rsid w:val="00967077"/>
    <w:rsid w:val="00967098"/>
    <w:rsid w:val="009670E7"/>
    <w:rsid w:val="0096721C"/>
    <w:rsid w:val="0096722B"/>
    <w:rsid w:val="00967349"/>
    <w:rsid w:val="00967355"/>
    <w:rsid w:val="009673AD"/>
    <w:rsid w:val="0096744A"/>
    <w:rsid w:val="00967555"/>
    <w:rsid w:val="00967561"/>
    <w:rsid w:val="00967647"/>
    <w:rsid w:val="0096768C"/>
    <w:rsid w:val="009676C3"/>
    <w:rsid w:val="00967797"/>
    <w:rsid w:val="00967817"/>
    <w:rsid w:val="0096787B"/>
    <w:rsid w:val="00967880"/>
    <w:rsid w:val="009678CF"/>
    <w:rsid w:val="009679A9"/>
    <w:rsid w:val="00967A53"/>
    <w:rsid w:val="00967A6D"/>
    <w:rsid w:val="00967A9C"/>
    <w:rsid w:val="00967AC3"/>
    <w:rsid w:val="00967B09"/>
    <w:rsid w:val="00967B3D"/>
    <w:rsid w:val="00967BAF"/>
    <w:rsid w:val="00967C5B"/>
    <w:rsid w:val="00967CE7"/>
    <w:rsid w:val="00967CEB"/>
    <w:rsid w:val="00967D46"/>
    <w:rsid w:val="00967D80"/>
    <w:rsid w:val="00967F6C"/>
    <w:rsid w:val="00967F75"/>
    <w:rsid w:val="00967FC3"/>
    <w:rsid w:val="0097006D"/>
    <w:rsid w:val="00970129"/>
    <w:rsid w:val="00970199"/>
    <w:rsid w:val="009701E3"/>
    <w:rsid w:val="00970226"/>
    <w:rsid w:val="0097024B"/>
    <w:rsid w:val="0097025A"/>
    <w:rsid w:val="009702D7"/>
    <w:rsid w:val="0097032B"/>
    <w:rsid w:val="00970363"/>
    <w:rsid w:val="0097036C"/>
    <w:rsid w:val="009703C0"/>
    <w:rsid w:val="009703F3"/>
    <w:rsid w:val="00970435"/>
    <w:rsid w:val="00970447"/>
    <w:rsid w:val="009704A5"/>
    <w:rsid w:val="009704B0"/>
    <w:rsid w:val="009704D5"/>
    <w:rsid w:val="0097055B"/>
    <w:rsid w:val="009705C0"/>
    <w:rsid w:val="00970643"/>
    <w:rsid w:val="009706DC"/>
    <w:rsid w:val="009706EC"/>
    <w:rsid w:val="00970702"/>
    <w:rsid w:val="00970725"/>
    <w:rsid w:val="0097075E"/>
    <w:rsid w:val="0097077B"/>
    <w:rsid w:val="0097077C"/>
    <w:rsid w:val="009707D0"/>
    <w:rsid w:val="00970881"/>
    <w:rsid w:val="009708AF"/>
    <w:rsid w:val="00970965"/>
    <w:rsid w:val="00970A89"/>
    <w:rsid w:val="00970A99"/>
    <w:rsid w:val="00970AA8"/>
    <w:rsid w:val="00970AC6"/>
    <w:rsid w:val="00970ACE"/>
    <w:rsid w:val="00970B77"/>
    <w:rsid w:val="00970B9F"/>
    <w:rsid w:val="00970BA7"/>
    <w:rsid w:val="00970C15"/>
    <w:rsid w:val="00970C38"/>
    <w:rsid w:val="00970C4F"/>
    <w:rsid w:val="00970C9C"/>
    <w:rsid w:val="00970CF5"/>
    <w:rsid w:val="00970D09"/>
    <w:rsid w:val="00970EC3"/>
    <w:rsid w:val="00970F35"/>
    <w:rsid w:val="00970FBD"/>
    <w:rsid w:val="00970FEF"/>
    <w:rsid w:val="00971101"/>
    <w:rsid w:val="00971158"/>
    <w:rsid w:val="009711B1"/>
    <w:rsid w:val="009711FC"/>
    <w:rsid w:val="009711FF"/>
    <w:rsid w:val="00971279"/>
    <w:rsid w:val="009712A6"/>
    <w:rsid w:val="00971304"/>
    <w:rsid w:val="0097130B"/>
    <w:rsid w:val="00971492"/>
    <w:rsid w:val="009714DB"/>
    <w:rsid w:val="0097153B"/>
    <w:rsid w:val="00971604"/>
    <w:rsid w:val="00971647"/>
    <w:rsid w:val="0097169A"/>
    <w:rsid w:val="0097169E"/>
    <w:rsid w:val="009716F6"/>
    <w:rsid w:val="00971703"/>
    <w:rsid w:val="00971726"/>
    <w:rsid w:val="00971737"/>
    <w:rsid w:val="0097173E"/>
    <w:rsid w:val="00971741"/>
    <w:rsid w:val="00971790"/>
    <w:rsid w:val="009718B5"/>
    <w:rsid w:val="009718BE"/>
    <w:rsid w:val="00971934"/>
    <w:rsid w:val="0097199F"/>
    <w:rsid w:val="009719A3"/>
    <w:rsid w:val="00971A53"/>
    <w:rsid w:val="00971A9D"/>
    <w:rsid w:val="00971ABB"/>
    <w:rsid w:val="00971AD9"/>
    <w:rsid w:val="00971B5B"/>
    <w:rsid w:val="00971B76"/>
    <w:rsid w:val="00971B7B"/>
    <w:rsid w:val="00971B88"/>
    <w:rsid w:val="00971C3F"/>
    <w:rsid w:val="00971C57"/>
    <w:rsid w:val="00971CAE"/>
    <w:rsid w:val="00971DAA"/>
    <w:rsid w:val="00971EA0"/>
    <w:rsid w:val="00971F40"/>
    <w:rsid w:val="00971F4D"/>
    <w:rsid w:val="00971F70"/>
    <w:rsid w:val="0097207C"/>
    <w:rsid w:val="00972090"/>
    <w:rsid w:val="0097216C"/>
    <w:rsid w:val="00972189"/>
    <w:rsid w:val="009721B2"/>
    <w:rsid w:val="009721FF"/>
    <w:rsid w:val="00972207"/>
    <w:rsid w:val="0097221B"/>
    <w:rsid w:val="0097221F"/>
    <w:rsid w:val="009722D2"/>
    <w:rsid w:val="00972313"/>
    <w:rsid w:val="00972319"/>
    <w:rsid w:val="0097234C"/>
    <w:rsid w:val="00972388"/>
    <w:rsid w:val="0097242C"/>
    <w:rsid w:val="009724AC"/>
    <w:rsid w:val="009724D7"/>
    <w:rsid w:val="009724E1"/>
    <w:rsid w:val="00972524"/>
    <w:rsid w:val="009725A8"/>
    <w:rsid w:val="009726FC"/>
    <w:rsid w:val="0097283A"/>
    <w:rsid w:val="009728BA"/>
    <w:rsid w:val="009728CE"/>
    <w:rsid w:val="00972943"/>
    <w:rsid w:val="0097295C"/>
    <w:rsid w:val="009729E0"/>
    <w:rsid w:val="00972AB1"/>
    <w:rsid w:val="00972C1C"/>
    <w:rsid w:val="00972C51"/>
    <w:rsid w:val="00972C56"/>
    <w:rsid w:val="00972CEE"/>
    <w:rsid w:val="00972D22"/>
    <w:rsid w:val="00972D3F"/>
    <w:rsid w:val="00972D66"/>
    <w:rsid w:val="00972DAD"/>
    <w:rsid w:val="00972DB2"/>
    <w:rsid w:val="00972DC4"/>
    <w:rsid w:val="00972DCF"/>
    <w:rsid w:val="00972EF7"/>
    <w:rsid w:val="00972F71"/>
    <w:rsid w:val="00972F72"/>
    <w:rsid w:val="00972F74"/>
    <w:rsid w:val="00973067"/>
    <w:rsid w:val="009730B0"/>
    <w:rsid w:val="00973117"/>
    <w:rsid w:val="00973166"/>
    <w:rsid w:val="00973182"/>
    <w:rsid w:val="00973352"/>
    <w:rsid w:val="00973431"/>
    <w:rsid w:val="0097345B"/>
    <w:rsid w:val="0097350A"/>
    <w:rsid w:val="00973516"/>
    <w:rsid w:val="0097357E"/>
    <w:rsid w:val="009735A6"/>
    <w:rsid w:val="00973719"/>
    <w:rsid w:val="0097373F"/>
    <w:rsid w:val="00973788"/>
    <w:rsid w:val="009738A7"/>
    <w:rsid w:val="00973986"/>
    <w:rsid w:val="009739D8"/>
    <w:rsid w:val="00973A17"/>
    <w:rsid w:val="00973A19"/>
    <w:rsid w:val="00973A64"/>
    <w:rsid w:val="00973A79"/>
    <w:rsid w:val="00973AC4"/>
    <w:rsid w:val="00973ACA"/>
    <w:rsid w:val="00973ACF"/>
    <w:rsid w:val="00973B07"/>
    <w:rsid w:val="00973BF0"/>
    <w:rsid w:val="00973BF9"/>
    <w:rsid w:val="00973C1F"/>
    <w:rsid w:val="00973C95"/>
    <w:rsid w:val="00973CAA"/>
    <w:rsid w:val="00973CCA"/>
    <w:rsid w:val="00973CFF"/>
    <w:rsid w:val="00973D17"/>
    <w:rsid w:val="00973D42"/>
    <w:rsid w:val="00973DD5"/>
    <w:rsid w:val="00973DF1"/>
    <w:rsid w:val="00973E01"/>
    <w:rsid w:val="00973E90"/>
    <w:rsid w:val="00973EF3"/>
    <w:rsid w:val="00973FAF"/>
    <w:rsid w:val="00973FB5"/>
    <w:rsid w:val="00973FCD"/>
    <w:rsid w:val="00973FD6"/>
    <w:rsid w:val="00973FE7"/>
    <w:rsid w:val="00974004"/>
    <w:rsid w:val="0097408F"/>
    <w:rsid w:val="009740A0"/>
    <w:rsid w:val="009740F4"/>
    <w:rsid w:val="0097417D"/>
    <w:rsid w:val="00974227"/>
    <w:rsid w:val="0097425C"/>
    <w:rsid w:val="009742C0"/>
    <w:rsid w:val="009742DB"/>
    <w:rsid w:val="00974354"/>
    <w:rsid w:val="0097445D"/>
    <w:rsid w:val="00974464"/>
    <w:rsid w:val="009744EB"/>
    <w:rsid w:val="009745B1"/>
    <w:rsid w:val="00974604"/>
    <w:rsid w:val="00974650"/>
    <w:rsid w:val="00974654"/>
    <w:rsid w:val="009746C2"/>
    <w:rsid w:val="009746F4"/>
    <w:rsid w:val="00974700"/>
    <w:rsid w:val="0097471C"/>
    <w:rsid w:val="00974751"/>
    <w:rsid w:val="009747DB"/>
    <w:rsid w:val="009747EE"/>
    <w:rsid w:val="0097484F"/>
    <w:rsid w:val="009748A1"/>
    <w:rsid w:val="009748BA"/>
    <w:rsid w:val="009748E9"/>
    <w:rsid w:val="00974947"/>
    <w:rsid w:val="009749D0"/>
    <w:rsid w:val="00974A03"/>
    <w:rsid w:val="00974A19"/>
    <w:rsid w:val="00974A40"/>
    <w:rsid w:val="00974A60"/>
    <w:rsid w:val="00974A99"/>
    <w:rsid w:val="00974B7D"/>
    <w:rsid w:val="00974B82"/>
    <w:rsid w:val="00974B93"/>
    <w:rsid w:val="00974C62"/>
    <w:rsid w:val="00974C91"/>
    <w:rsid w:val="00974CAC"/>
    <w:rsid w:val="00974CCB"/>
    <w:rsid w:val="00974D67"/>
    <w:rsid w:val="00974E99"/>
    <w:rsid w:val="00974EA6"/>
    <w:rsid w:val="00974F3B"/>
    <w:rsid w:val="00975050"/>
    <w:rsid w:val="00975064"/>
    <w:rsid w:val="00975158"/>
    <w:rsid w:val="0097518F"/>
    <w:rsid w:val="009751A7"/>
    <w:rsid w:val="00975211"/>
    <w:rsid w:val="00975222"/>
    <w:rsid w:val="00975230"/>
    <w:rsid w:val="0097524F"/>
    <w:rsid w:val="00975288"/>
    <w:rsid w:val="009752B8"/>
    <w:rsid w:val="009752C4"/>
    <w:rsid w:val="009752E8"/>
    <w:rsid w:val="009752ED"/>
    <w:rsid w:val="00975399"/>
    <w:rsid w:val="009753F8"/>
    <w:rsid w:val="009753F9"/>
    <w:rsid w:val="0097547C"/>
    <w:rsid w:val="00975484"/>
    <w:rsid w:val="00975491"/>
    <w:rsid w:val="009754EE"/>
    <w:rsid w:val="0097552B"/>
    <w:rsid w:val="00975579"/>
    <w:rsid w:val="00975591"/>
    <w:rsid w:val="00975593"/>
    <w:rsid w:val="00975651"/>
    <w:rsid w:val="0097567B"/>
    <w:rsid w:val="00975688"/>
    <w:rsid w:val="00975762"/>
    <w:rsid w:val="009757FC"/>
    <w:rsid w:val="0097583A"/>
    <w:rsid w:val="009758A5"/>
    <w:rsid w:val="009758C3"/>
    <w:rsid w:val="00975904"/>
    <w:rsid w:val="00975993"/>
    <w:rsid w:val="0097599B"/>
    <w:rsid w:val="009759B2"/>
    <w:rsid w:val="009759D5"/>
    <w:rsid w:val="00975A05"/>
    <w:rsid w:val="00975A1A"/>
    <w:rsid w:val="00975A5C"/>
    <w:rsid w:val="00975A7E"/>
    <w:rsid w:val="00975B17"/>
    <w:rsid w:val="00975BF0"/>
    <w:rsid w:val="00975C91"/>
    <w:rsid w:val="00975C95"/>
    <w:rsid w:val="00975CB3"/>
    <w:rsid w:val="00975CB6"/>
    <w:rsid w:val="00975D34"/>
    <w:rsid w:val="00975D8C"/>
    <w:rsid w:val="00975E30"/>
    <w:rsid w:val="00975EEA"/>
    <w:rsid w:val="00975F0D"/>
    <w:rsid w:val="00975FBC"/>
    <w:rsid w:val="00975FBD"/>
    <w:rsid w:val="00975FD3"/>
    <w:rsid w:val="00975FD7"/>
    <w:rsid w:val="00976109"/>
    <w:rsid w:val="00976110"/>
    <w:rsid w:val="00976120"/>
    <w:rsid w:val="00976132"/>
    <w:rsid w:val="00976200"/>
    <w:rsid w:val="00976299"/>
    <w:rsid w:val="009762DC"/>
    <w:rsid w:val="00976342"/>
    <w:rsid w:val="00976381"/>
    <w:rsid w:val="009763A1"/>
    <w:rsid w:val="00976422"/>
    <w:rsid w:val="00976427"/>
    <w:rsid w:val="00976460"/>
    <w:rsid w:val="009764B2"/>
    <w:rsid w:val="009764F4"/>
    <w:rsid w:val="00976520"/>
    <w:rsid w:val="0097652F"/>
    <w:rsid w:val="0097667D"/>
    <w:rsid w:val="009766E6"/>
    <w:rsid w:val="00976730"/>
    <w:rsid w:val="0097673D"/>
    <w:rsid w:val="00976773"/>
    <w:rsid w:val="0097678C"/>
    <w:rsid w:val="009767C6"/>
    <w:rsid w:val="009768B5"/>
    <w:rsid w:val="009768BE"/>
    <w:rsid w:val="00976A2D"/>
    <w:rsid w:val="00976A90"/>
    <w:rsid w:val="00976B0D"/>
    <w:rsid w:val="00976B65"/>
    <w:rsid w:val="00976B7C"/>
    <w:rsid w:val="00976B93"/>
    <w:rsid w:val="00976C13"/>
    <w:rsid w:val="00976CD9"/>
    <w:rsid w:val="00976CF3"/>
    <w:rsid w:val="00976D23"/>
    <w:rsid w:val="00976D8B"/>
    <w:rsid w:val="00976D9B"/>
    <w:rsid w:val="00976DBB"/>
    <w:rsid w:val="00976DC2"/>
    <w:rsid w:val="00976DCB"/>
    <w:rsid w:val="00976E9A"/>
    <w:rsid w:val="00976EDF"/>
    <w:rsid w:val="00976F1D"/>
    <w:rsid w:val="00976F31"/>
    <w:rsid w:val="00976FA0"/>
    <w:rsid w:val="00976FDE"/>
    <w:rsid w:val="0097718F"/>
    <w:rsid w:val="009771F0"/>
    <w:rsid w:val="009772E6"/>
    <w:rsid w:val="0097730D"/>
    <w:rsid w:val="0097732D"/>
    <w:rsid w:val="00977330"/>
    <w:rsid w:val="0097733D"/>
    <w:rsid w:val="00977397"/>
    <w:rsid w:val="00977400"/>
    <w:rsid w:val="00977461"/>
    <w:rsid w:val="0097749B"/>
    <w:rsid w:val="009776D8"/>
    <w:rsid w:val="009776E6"/>
    <w:rsid w:val="0097770B"/>
    <w:rsid w:val="0097779B"/>
    <w:rsid w:val="009777EE"/>
    <w:rsid w:val="0097780B"/>
    <w:rsid w:val="00977883"/>
    <w:rsid w:val="0097788D"/>
    <w:rsid w:val="00977899"/>
    <w:rsid w:val="0097789B"/>
    <w:rsid w:val="009778C9"/>
    <w:rsid w:val="0097794E"/>
    <w:rsid w:val="00977A5B"/>
    <w:rsid w:val="00977A75"/>
    <w:rsid w:val="00977A7A"/>
    <w:rsid w:val="00977A95"/>
    <w:rsid w:val="00977B50"/>
    <w:rsid w:val="00977B59"/>
    <w:rsid w:val="00977B68"/>
    <w:rsid w:val="00977C0B"/>
    <w:rsid w:val="00977C2B"/>
    <w:rsid w:val="00977CEE"/>
    <w:rsid w:val="00977D53"/>
    <w:rsid w:val="00977DD2"/>
    <w:rsid w:val="00977E41"/>
    <w:rsid w:val="00977E73"/>
    <w:rsid w:val="00977E8E"/>
    <w:rsid w:val="00977EC4"/>
    <w:rsid w:val="00977EE1"/>
    <w:rsid w:val="00977EE7"/>
    <w:rsid w:val="00977F2A"/>
    <w:rsid w:val="00977F2F"/>
    <w:rsid w:val="00977F64"/>
    <w:rsid w:val="00977FAE"/>
    <w:rsid w:val="00980008"/>
    <w:rsid w:val="0098003D"/>
    <w:rsid w:val="0098006B"/>
    <w:rsid w:val="009800DB"/>
    <w:rsid w:val="009800E7"/>
    <w:rsid w:val="00980106"/>
    <w:rsid w:val="00980190"/>
    <w:rsid w:val="009802C7"/>
    <w:rsid w:val="009802D3"/>
    <w:rsid w:val="00980356"/>
    <w:rsid w:val="00980364"/>
    <w:rsid w:val="0098037A"/>
    <w:rsid w:val="009803C8"/>
    <w:rsid w:val="009803DE"/>
    <w:rsid w:val="009803F5"/>
    <w:rsid w:val="0098043C"/>
    <w:rsid w:val="009804F8"/>
    <w:rsid w:val="0098051C"/>
    <w:rsid w:val="00980560"/>
    <w:rsid w:val="009805D7"/>
    <w:rsid w:val="009805DF"/>
    <w:rsid w:val="009805E2"/>
    <w:rsid w:val="00980748"/>
    <w:rsid w:val="0098080B"/>
    <w:rsid w:val="0098080D"/>
    <w:rsid w:val="00980880"/>
    <w:rsid w:val="009808AD"/>
    <w:rsid w:val="0098091C"/>
    <w:rsid w:val="00980976"/>
    <w:rsid w:val="009809DC"/>
    <w:rsid w:val="00980A50"/>
    <w:rsid w:val="00980AD2"/>
    <w:rsid w:val="00980AE7"/>
    <w:rsid w:val="00980DB1"/>
    <w:rsid w:val="00980EF0"/>
    <w:rsid w:val="00980F65"/>
    <w:rsid w:val="00980F85"/>
    <w:rsid w:val="00981029"/>
    <w:rsid w:val="00981034"/>
    <w:rsid w:val="009810E7"/>
    <w:rsid w:val="0098116D"/>
    <w:rsid w:val="00981226"/>
    <w:rsid w:val="0098128D"/>
    <w:rsid w:val="00981292"/>
    <w:rsid w:val="00981319"/>
    <w:rsid w:val="009813A9"/>
    <w:rsid w:val="0098149E"/>
    <w:rsid w:val="009814B2"/>
    <w:rsid w:val="00981583"/>
    <w:rsid w:val="009815C2"/>
    <w:rsid w:val="00981618"/>
    <w:rsid w:val="00981620"/>
    <w:rsid w:val="009816A1"/>
    <w:rsid w:val="009816B7"/>
    <w:rsid w:val="009816DF"/>
    <w:rsid w:val="009816F3"/>
    <w:rsid w:val="00981736"/>
    <w:rsid w:val="009817BE"/>
    <w:rsid w:val="0098180A"/>
    <w:rsid w:val="00981833"/>
    <w:rsid w:val="009818B1"/>
    <w:rsid w:val="00981907"/>
    <w:rsid w:val="00981924"/>
    <w:rsid w:val="00981962"/>
    <w:rsid w:val="009819B8"/>
    <w:rsid w:val="009819F8"/>
    <w:rsid w:val="00981B2C"/>
    <w:rsid w:val="00981BC8"/>
    <w:rsid w:val="00981BE6"/>
    <w:rsid w:val="00981C26"/>
    <w:rsid w:val="00981D13"/>
    <w:rsid w:val="00981D26"/>
    <w:rsid w:val="00981D2A"/>
    <w:rsid w:val="00981DBD"/>
    <w:rsid w:val="00981DD2"/>
    <w:rsid w:val="00981E38"/>
    <w:rsid w:val="00981EA7"/>
    <w:rsid w:val="00981ED6"/>
    <w:rsid w:val="00981FE7"/>
    <w:rsid w:val="0098200D"/>
    <w:rsid w:val="009820DC"/>
    <w:rsid w:val="009820E6"/>
    <w:rsid w:val="009821AB"/>
    <w:rsid w:val="009821F7"/>
    <w:rsid w:val="009821F8"/>
    <w:rsid w:val="00982260"/>
    <w:rsid w:val="00982296"/>
    <w:rsid w:val="009822E0"/>
    <w:rsid w:val="0098233D"/>
    <w:rsid w:val="00982377"/>
    <w:rsid w:val="00982386"/>
    <w:rsid w:val="009823AF"/>
    <w:rsid w:val="009823B2"/>
    <w:rsid w:val="009823F7"/>
    <w:rsid w:val="00982505"/>
    <w:rsid w:val="009825A8"/>
    <w:rsid w:val="00982649"/>
    <w:rsid w:val="00982660"/>
    <w:rsid w:val="009826A5"/>
    <w:rsid w:val="009826C9"/>
    <w:rsid w:val="009827B9"/>
    <w:rsid w:val="009827E6"/>
    <w:rsid w:val="00982811"/>
    <w:rsid w:val="00982818"/>
    <w:rsid w:val="00982843"/>
    <w:rsid w:val="00982875"/>
    <w:rsid w:val="0098287B"/>
    <w:rsid w:val="0098289D"/>
    <w:rsid w:val="0098292D"/>
    <w:rsid w:val="0098299B"/>
    <w:rsid w:val="009829CE"/>
    <w:rsid w:val="009829FC"/>
    <w:rsid w:val="00982A60"/>
    <w:rsid w:val="00982AC7"/>
    <w:rsid w:val="00982AF6"/>
    <w:rsid w:val="00982B4D"/>
    <w:rsid w:val="00982BA5"/>
    <w:rsid w:val="00982BB1"/>
    <w:rsid w:val="00982BDF"/>
    <w:rsid w:val="00982CA1"/>
    <w:rsid w:val="00982CF3"/>
    <w:rsid w:val="00982D05"/>
    <w:rsid w:val="00982D61"/>
    <w:rsid w:val="00982D6A"/>
    <w:rsid w:val="00982DEF"/>
    <w:rsid w:val="00982E02"/>
    <w:rsid w:val="00982EB9"/>
    <w:rsid w:val="00982EF7"/>
    <w:rsid w:val="00982F0A"/>
    <w:rsid w:val="00982F27"/>
    <w:rsid w:val="00982FDB"/>
    <w:rsid w:val="00982FFB"/>
    <w:rsid w:val="00983095"/>
    <w:rsid w:val="009830B3"/>
    <w:rsid w:val="00983101"/>
    <w:rsid w:val="00983163"/>
    <w:rsid w:val="009831AD"/>
    <w:rsid w:val="009831D8"/>
    <w:rsid w:val="009831EC"/>
    <w:rsid w:val="00983201"/>
    <w:rsid w:val="00983224"/>
    <w:rsid w:val="00983270"/>
    <w:rsid w:val="00983350"/>
    <w:rsid w:val="009833BC"/>
    <w:rsid w:val="00983415"/>
    <w:rsid w:val="00983435"/>
    <w:rsid w:val="0098346E"/>
    <w:rsid w:val="0098347A"/>
    <w:rsid w:val="00983514"/>
    <w:rsid w:val="00983565"/>
    <w:rsid w:val="009835C5"/>
    <w:rsid w:val="009835D4"/>
    <w:rsid w:val="00983605"/>
    <w:rsid w:val="00983652"/>
    <w:rsid w:val="00983663"/>
    <w:rsid w:val="00983691"/>
    <w:rsid w:val="009836EB"/>
    <w:rsid w:val="0098373C"/>
    <w:rsid w:val="0098373F"/>
    <w:rsid w:val="0098384F"/>
    <w:rsid w:val="00983852"/>
    <w:rsid w:val="00983899"/>
    <w:rsid w:val="009838A1"/>
    <w:rsid w:val="009838C5"/>
    <w:rsid w:val="0098391A"/>
    <w:rsid w:val="009839A3"/>
    <w:rsid w:val="00983A73"/>
    <w:rsid w:val="00983AA6"/>
    <w:rsid w:val="00983ABC"/>
    <w:rsid w:val="00983B0F"/>
    <w:rsid w:val="00983B51"/>
    <w:rsid w:val="00983D15"/>
    <w:rsid w:val="00983D95"/>
    <w:rsid w:val="00983DC1"/>
    <w:rsid w:val="00983E01"/>
    <w:rsid w:val="00983EC9"/>
    <w:rsid w:val="00983EE7"/>
    <w:rsid w:val="00983F19"/>
    <w:rsid w:val="00983F2B"/>
    <w:rsid w:val="00983F8E"/>
    <w:rsid w:val="00983FB0"/>
    <w:rsid w:val="0098413B"/>
    <w:rsid w:val="0098413E"/>
    <w:rsid w:val="00984141"/>
    <w:rsid w:val="0098418D"/>
    <w:rsid w:val="00984193"/>
    <w:rsid w:val="009841E5"/>
    <w:rsid w:val="0098426F"/>
    <w:rsid w:val="009842AD"/>
    <w:rsid w:val="009842FF"/>
    <w:rsid w:val="00984359"/>
    <w:rsid w:val="00984361"/>
    <w:rsid w:val="00984369"/>
    <w:rsid w:val="009843B2"/>
    <w:rsid w:val="009843F0"/>
    <w:rsid w:val="009843F7"/>
    <w:rsid w:val="0098440F"/>
    <w:rsid w:val="0098445F"/>
    <w:rsid w:val="00984518"/>
    <w:rsid w:val="009845F6"/>
    <w:rsid w:val="0098461E"/>
    <w:rsid w:val="00984637"/>
    <w:rsid w:val="0098464F"/>
    <w:rsid w:val="00984699"/>
    <w:rsid w:val="009847E8"/>
    <w:rsid w:val="009847F2"/>
    <w:rsid w:val="00984818"/>
    <w:rsid w:val="0098484C"/>
    <w:rsid w:val="00984878"/>
    <w:rsid w:val="00984897"/>
    <w:rsid w:val="009848A6"/>
    <w:rsid w:val="009848AA"/>
    <w:rsid w:val="00984911"/>
    <w:rsid w:val="0098492C"/>
    <w:rsid w:val="00984982"/>
    <w:rsid w:val="009849D5"/>
    <w:rsid w:val="009849E6"/>
    <w:rsid w:val="00984B3E"/>
    <w:rsid w:val="00984BE1"/>
    <w:rsid w:val="00984C49"/>
    <w:rsid w:val="00984CA0"/>
    <w:rsid w:val="00984DE3"/>
    <w:rsid w:val="00984E27"/>
    <w:rsid w:val="00984EDE"/>
    <w:rsid w:val="00984EF5"/>
    <w:rsid w:val="00984F8F"/>
    <w:rsid w:val="0098502E"/>
    <w:rsid w:val="00985053"/>
    <w:rsid w:val="00985076"/>
    <w:rsid w:val="00985078"/>
    <w:rsid w:val="009850AB"/>
    <w:rsid w:val="009850E9"/>
    <w:rsid w:val="009851E0"/>
    <w:rsid w:val="009852F4"/>
    <w:rsid w:val="00985345"/>
    <w:rsid w:val="00985381"/>
    <w:rsid w:val="009853D2"/>
    <w:rsid w:val="009855B6"/>
    <w:rsid w:val="0098566B"/>
    <w:rsid w:val="0098569C"/>
    <w:rsid w:val="009856EC"/>
    <w:rsid w:val="0098571F"/>
    <w:rsid w:val="00985778"/>
    <w:rsid w:val="00985781"/>
    <w:rsid w:val="00985787"/>
    <w:rsid w:val="00985816"/>
    <w:rsid w:val="00985887"/>
    <w:rsid w:val="009858A2"/>
    <w:rsid w:val="009858C0"/>
    <w:rsid w:val="00985902"/>
    <w:rsid w:val="0098593F"/>
    <w:rsid w:val="0098598D"/>
    <w:rsid w:val="009859BB"/>
    <w:rsid w:val="00985A4B"/>
    <w:rsid w:val="00985B65"/>
    <w:rsid w:val="00985B73"/>
    <w:rsid w:val="00985BF6"/>
    <w:rsid w:val="00985C91"/>
    <w:rsid w:val="00985C9B"/>
    <w:rsid w:val="00985CA0"/>
    <w:rsid w:val="00985CB6"/>
    <w:rsid w:val="00985CEA"/>
    <w:rsid w:val="00985D0E"/>
    <w:rsid w:val="00985D5D"/>
    <w:rsid w:val="00985D9B"/>
    <w:rsid w:val="00985E10"/>
    <w:rsid w:val="00985E45"/>
    <w:rsid w:val="00985F20"/>
    <w:rsid w:val="00985F40"/>
    <w:rsid w:val="00985F52"/>
    <w:rsid w:val="00985F9A"/>
    <w:rsid w:val="00985FEF"/>
    <w:rsid w:val="00985FF7"/>
    <w:rsid w:val="00986008"/>
    <w:rsid w:val="00986014"/>
    <w:rsid w:val="00986093"/>
    <w:rsid w:val="009860A5"/>
    <w:rsid w:val="009860CB"/>
    <w:rsid w:val="009860ED"/>
    <w:rsid w:val="00986179"/>
    <w:rsid w:val="009861E7"/>
    <w:rsid w:val="009861F8"/>
    <w:rsid w:val="00986227"/>
    <w:rsid w:val="009862A7"/>
    <w:rsid w:val="0098638B"/>
    <w:rsid w:val="00986441"/>
    <w:rsid w:val="00986455"/>
    <w:rsid w:val="0098654C"/>
    <w:rsid w:val="00986594"/>
    <w:rsid w:val="009865DF"/>
    <w:rsid w:val="00986654"/>
    <w:rsid w:val="00986699"/>
    <w:rsid w:val="009866DF"/>
    <w:rsid w:val="009866E0"/>
    <w:rsid w:val="00986726"/>
    <w:rsid w:val="00986743"/>
    <w:rsid w:val="00986765"/>
    <w:rsid w:val="00986783"/>
    <w:rsid w:val="00986785"/>
    <w:rsid w:val="00986883"/>
    <w:rsid w:val="0098689D"/>
    <w:rsid w:val="009868C1"/>
    <w:rsid w:val="0098697B"/>
    <w:rsid w:val="009869AC"/>
    <w:rsid w:val="009869AD"/>
    <w:rsid w:val="009869CF"/>
    <w:rsid w:val="00986A80"/>
    <w:rsid w:val="00986B3A"/>
    <w:rsid w:val="00986B6A"/>
    <w:rsid w:val="00986BA0"/>
    <w:rsid w:val="00986C1E"/>
    <w:rsid w:val="00986C55"/>
    <w:rsid w:val="00986CF8"/>
    <w:rsid w:val="00986D6F"/>
    <w:rsid w:val="00986D88"/>
    <w:rsid w:val="00986DE3"/>
    <w:rsid w:val="00986E37"/>
    <w:rsid w:val="00986E4D"/>
    <w:rsid w:val="00986F5E"/>
    <w:rsid w:val="009870A2"/>
    <w:rsid w:val="009870C7"/>
    <w:rsid w:val="00987102"/>
    <w:rsid w:val="009871C3"/>
    <w:rsid w:val="009871F4"/>
    <w:rsid w:val="009872D4"/>
    <w:rsid w:val="00987310"/>
    <w:rsid w:val="009873AD"/>
    <w:rsid w:val="009873B6"/>
    <w:rsid w:val="009873BB"/>
    <w:rsid w:val="009873C2"/>
    <w:rsid w:val="0098747D"/>
    <w:rsid w:val="009874C0"/>
    <w:rsid w:val="0098758F"/>
    <w:rsid w:val="009875A8"/>
    <w:rsid w:val="009875AB"/>
    <w:rsid w:val="0098762C"/>
    <w:rsid w:val="009876CA"/>
    <w:rsid w:val="00987711"/>
    <w:rsid w:val="00987780"/>
    <w:rsid w:val="00987849"/>
    <w:rsid w:val="009878E1"/>
    <w:rsid w:val="0098791A"/>
    <w:rsid w:val="00987989"/>
    <w:rsid w:val="009879AA"/>
    <w:rsid w:val="009879DF"/>
    <w:rsid w:val="009879FC"/>
    <w:rsid w:val="00987A17"/>
    <w:rsid w:val="00987A36"/>
    <w:rsid w:val="00987A8F"/>
    <w:rsid w:val="00987AA7"/>
    <w:rsid w:val="00987B21"/>
    <w:rsid w:val="00987B27"/>
    <w:rsid w:val="00987B6F"/>
    <w:rsid w:val="00987B8B"/>
    <w:rsid w:val="00987BC3"/>
    <w:rsid w:val="00987BD0"/>
    <w:rsid w:val="00987BDD"/>
    <w:rsid w:val="00987C0D"/>
    <w:rsid w:val="00987D3F"/>
    <w:rsid w:val="00987D97"/>
    <w:rsid w:val="00987DA2"/>
    <w:rsid w:val="00987DA5"/>
    <w:rsid w:val="00987DD0"/>
    <w:rsid w:val="00987F23"/>
    <w:rsid w:val="00987F58"/>
    <w:rsid w:val="0099003F"/>
    <w:rsid w:val="0099007E"/>
    <w:rsid w:val="00990152"/>
    <w:rsid w:val="00990236"/>
    <w:rsid w:val="0099030D"/>
    <w:rsid w:val="00990336"/>
    <w:rsid w:val="00990378"/>
    <w:rsid w:val="0099037D"/>
    <w:rsid w:val="00990393"/>
    <w:rsid w:val="009903E6"/>
    <w:rsid w:val="0099048B"/>
    <w:rsid w:val="0099048E"/>
    <w:rsid w:val="00990497"/>
    <w:rsid w:val="0099054A"/>
    <w:rsid w:val="00990563"/>
    <w:rsid w:val="009905AA"/>
    <w:rsid w:val="009905B2"/>
    <w:rsid w:val="0099063C"/>
    <w:rsid w:val="00990644"/>
    <w:rsid w:val="00990654"/>
    <w:rsid w:val="00990658"/>
    <w:rsid w:val="00990672"/>
    <w:rsid w:val="00990692"/>
    <w:rsid w:val="00990696"/>
    <w:rsid w:val="009906AB"/>
    <w:rsid w:val="00990709"/>
    <w:rsid w:val="00990748"/>
    <w:rsid w:val="009907B9"/>
    <w:rsid w:val="0099081D"/>
    <w:rsid w:val="0099087B"/>
    <w:rsid w:val="0099098F"/>
    <w:rsid w:val="009909BA"/>
    <w:rsid w:val="009909F4"/>
    <w:rsid w:val="00990A22"/>
    <w:rsid w:val="00990A7A"/>
    <w:rsid w:val="00990B30"/>
    <w:rsid w:val="00990B71"/>
    <w:rsid w:val="00990B8D"/>
    <w:rsid w:val="00990BA2"/>
    <w:rsid w:val="00990C2F"/>
    <w:rsid w:val="00990C82"/>
    <w:rsid w:val="00990CF9"/>
    <w:rsid w:val="00990D12"/>
    <w:rsid w:val="00990D30"/>
    <w:rsid w:val="00990DAB"/>
    <w:rsid w:val="00990DCA"/>
    <w:rsid w:val="00990DCE"/>
    <w:rsid w:val="00990DD8"/>
    <w:rsid w:val="00990E7D"/>
    <w:rsid w:val="00990E85"/>
    <w:rsid w:val="00990EF3"/>
    <w:rsid w:val="00990EFD"/>
    <w:rsid w:val="00990FAD"/>
    <w:rsid w:val="00990FC4"/>
    <w:rsid w:val="0099101B"/>
    <w:rsid w:val="00991023"/>
    <w:rsid w:val="00991026"/>
    <w:rsid w:val="009910DC"/>
    <w:rsid w:val="0099110B"/>
    <w:rsid w:val="0099112C"/>
    <w:rsid w:val="0099117D"/>
    <w:rsid w:val="009911F7"/>
    <w:rsid w:val="00991219"/>
    <w:rsid w:val="009912A8"/>
    <w:rsid w:val="009912E3"/>
    <w:rsid w:val="00991398"/>
    <w:rsid w:val="009913C7"/>
    <w:rsid w:val="009913D6"/>
    <w:rsid w:val="0099140F"/>
    <w:rsid w:val="0099143D"/>
    <w:rsid w:val="0099147D"/>
    <w:rsid w:val="009914CD"/>
    <w:rsid w:val="009914EA"/>
    <w:rsid w:val="0099152F"/>
    <w:rsid w:val="009915BA"/>
    <w:rsid w:val="00991626"/>
    <w:rsid w:val="00991639"/>
    <w:rsid w:val="00991643"/>
    <w:rsid w:val="00991673"/>
    <w:rsid w:val="0099169A"/>
    <w:rsid w:val="009916F0"/>
    <w:rsid w:val="00991713"/>
    <w:rsid w:val="00991753"/>
    <w:rsid w:val="00991764"/>
    <w:rsid w:val="009917B1"/>
    <w:rsid w:val="009917DE"/>
    <w:rsid w:val="009917F6"/>
    <w:rsid w:val="00991813"/>
    <w:rsid w:val="00991815"/>
    <w:rsid w:val="009918D1"/>
    <w:rsid w:val="009918D4"/>
    <w:rsid w:val="009918D6"/>
    <w:rsid w:val="009918DA"/>
    <w:rsid w:val="0099190D"/>
    <w:rsid w:val="00991914"/>
    <w:rsid w:val="0099199B"/>
    <w:rsid w:val="009919B4"/>
    <w:rsid w:val="009919EC"/>
    <w:rsid w:val="00991A7A"/>
    <w:rsid w:val="00991A9A"/>
    <w:rsid w:val="00991AB9"/>
    <w:rsid w:val="00991AC7"/>
    <w:rsid w:val="00991B18"/>
    <w:rsid w:val="00991B9F"/>
    <w:rsid w:val="00991BE8"/>
    <w:rsid w:val="00991BF7"/>
    <w:rsid w:val="00991C29"/>
    <w:rsid w:val="00991C81"/>
    <w:rsid w:val="00991CFD"/>
    <w:rsid w:val="00991D3D"/>
    <w:rsid w:val="00991D4F"/>
    <w:rsid w:val="00991D7B"/>
    <w:rsid w:val="00991D8B"/>
    <w:rsid w:val="00991DA0"/>
    <w:rsid w:val="00991DCB"/>
    <w:rsid w:val="00991DCC"/>
    <w:rsid w:val="00991E2A"/>
    <w:rsid w:val="00991EDC"/>
    <w:rsid w:val="00991F23"/>
    <w:rsid w:val="00992078"/>
    <w:rsid w:val="009920AB"/>
    <w:rsid w:val="00992214"/>
    <w:rsid w:val="0099227F"/>
    <w:rsid w:val="009922C0"/>
    <w:rsid w:val="00992300"/>
    <w:rsid w:val="00992306"/>
    <w:rsid w:val="00992337"/>
    <w:rsid w:val="00992484"/>
    <w:rsid w:val="0099249E"/>
    <w:rsid w:val="009924A8"/>
    <w:rsid w:val="009924B5"/>
    <w:rsid w:val="009924EF"/>
    <w:rsid w:val="009924F8"/>
    <w:rsid w:val="00992543"/>
    <w:rsid w:val="00992597"/>
    <w:rsid w:val="00992637"/>
    <w:rsid w:val="00992668"/>
    <w:rsid w:val="0099267A"/>
    <w:rsid w:val="009926D3"/>
    <w:rsid w:val="0099271A"/>
    <w:rsid w:val="00992774"/>
    <w:rsid w:val="009927A8"/>
    <w:rsid w:val="009927D4"/>
    <w:rsid w:val="009928A8"/>
    <w:rsid w:val="009928AC"/>
    <w:rsid w:val="0099297A"/>
    <w:rsid w:val="00992992"/>
    <w:rsid w:val="00992AD3"/>
    <w:rsid w:val="00992B5F"/>
    <w:rsid w:val="00992B79"/>
    <w:rsid w:val="00992BA0"/>
    <w:rsid w:val="00992BA6"/>
    <w:rsid w:val="00992BED"/>
    <w:rsid w:val="00992C0C"/>
    <w:rsid w:val="00992C7C"/>
    <w:rsid w:val="00992CBD"/>
    <w:rsid w:val="00992D0E"/>
    <w:rsid w:val="00992D1A"/>
    <w:rsid w:val="00992D44"/>
    <w:rsid w:val="00992F02"/>
    <w:rsid w:val="00992F0B"/>
    <w:rsid w:val="00992F35"/>
    <w:rsid w:val="00992F3D"/>
    <w:rsid w:val="00992FEA"/>
    <w:rsid w:val="00993024"/>
    <w:rsid w:val="00993077"/>
    <w:rsid w:val="009930EC"/>
    <w:rsid w:val="0099318A"/>
    <w:rsid w:val="00993194"/>
    <w:rsid w:val="009931C7"/>
    <w:rsid w:val="009931E6"/>
    <w:rsid w:val="00993216"/>
    <w:rsid w:val="0099321C"/>
    <w:rsid w:val="00993299"/>
    <w:rsid w:val="009932D6"/>
    <w:rsid w:val="00993324"/>
    <w:rsid w:val="00993397"/>
    <w:rsid w:val="009933F4"/>
    <w:rsid w:val="00993464"/>
    <w:rsid w:val="00993480"/>
    <w:rsid w:val="00993542"/>
    <w:rsid w:val="0099356F"/>
    <w:rsid w:val="009935CF"/>
    <w:rsid w:val="00993622"/>
    <w:rsid w:val="0099364D"/>
    <w:rsid w:val="00993677"/>
    <w:rsid w:val="009936BA"/>
    <w:rsid w:val="009936F0"/>
    <w:rsid w:val="0099384F"/>
    <w:rsid w:val="00993859"/>
    <w:rsid w:val="00993873"/>
    <w:rsid w:val="0099396B"/>
    <w:rsid w:val="00993A0A"/>
    <w:rsid w:val="00993A98"/>
    <w:rsid w:val="00993ABE"/>
    <w:rsid w:val="00993AD7"/>
    <w:rsid w:val="00993B1A"/>
    <w:rsid w:val="00993B36"/>
    <w:rsid w:val="00993CD4"/>
    <w:rsid w:val="00993CD6"/>
    <w:rsid w:val="00993CDB"/>
    <w:rsid w:val="00993D0F"/>
    <w:rsid w:val="00993D50"/>
    <w:rsid w:val="00993D6A"/>
    <w:rsid w:val="00993DA4"/>
    <w:rsid w:val="00993DB2"/>
    <w:rsid w:val="00993DCB"/>
    <w:rsid w:val="00993E14"/>
    <w:rsid w:val="00993E30"/>
    <w:rsid w:val="00993E34"/>
    <w:rsid w:val="00993ED6"/>
    <w:rsid w:val="00993FAC"/>
    <w:rsid w:val="00994113"/>
    <w:rsid w:val="00994117"/>
    <w:rsid w:val="009941E1"/>
    <w:rsid w:val="00994223"/>
    <w:rsid w:val="0099426D"/>
    <w:rsid w:val="009942A9"/>
    <w:rsid w:val="00994358"/>
    <w:rsid w:val="00994391"/>
    <w:rsid w:val="009943F8"/>
    <w:rsid w:val="00994451"/>
    <w:rsid w:val="009944C5"/>
    <w:rsid w:val="009944D4"/>
    <w:rsid w:val="009944F7"/>
    <w:rsid w:val="0099456F"/>
    <w:rsid w:val="009945CB"/>
    <w:rsid w:val="009946BF"/>
    <w:rsid w:val="0099473E"/>
    <w:rsid w:val="0099478D"/>
    <w:rsid w:val="009947A4"/>
    <w:rsid w:val="009947D3"/>
    <w:rsid w:val="009947DD"/>
    <w:rsid w:val="00994827"/>
    <w:rsid w:val="0099483B"/>
    <w:rsid w:val="009948FC"/>
    <w:rsid w:val="00994936"/>
    <w:rsid w:val="0099493D"/>
    <w:rsid w:val="009949A1"/>
    <w:rsid w:val="00994A18"/>
    <w:rsid w:val="00994A71"/>
    <w:rsid w:val="00994AA9"/>
    <w:rsid w:val="00994AB9"/>
    <w:rsid w:val="00994B20"/>
    <w:rsid w:val="00994B61"/>
    <w:rsid w:val="00994BC9"/>
    <w:rsid w:val="00994C01"/>
    <w:rsid w:val="00994C30"/>
    <w:rsid w:val="00994C60"/>
    <w:rsid w:val="00994CD9"/>
    <w:rsid w:val="00994D38"/>
    <w:rsid w:val="00994E0F"/>
    <w:rsid w:val="00994E32"/>
    <w:rsid w:val="00994F1A"/>
    <w:rsid w:val="00994F24"/>
    <w:rsid w:val="00994F84"/>
    <w:rsid w:val="00995039"/>
    <w:rsid w:val="0099508D"/>
    <w:rsid w:val="0099513F"/>
    <w:rsid w:val="00995170"/>
    <w:rsid w:val="00995213"/>
    <w:rsid w:val="00995262"/>
    <w:rsid w:val="009952E1"/>
    <w:rsid w:val="0099537A"/>
    <w:rsid w:val="0099542F"/>
    <w:rsid w:val="009954BD"/>
    <w:rsid w:val="00995519"/>
    <w:rsid w:val="00995527"/>
    <w:rsid w:val="009955B2"/>
    <w:rsid w:val="00995722"/>
    <w:rsid w:val="00995732"/>
    <w:rsid w:val="00995908"/>
    <w:rsid w:val="00995930"/>
    <w:rsid w:val="009959C3"/>
    <w:rsid w:val="009959E7"/>
    <w:rsid w:val="00995AA0"/>
    <w:rsid w:val="00995AB5"/>
    <w:rsid w:val="00995AC7"/>
    <w:rsid w:val="00995B09"/>
    <w:rsid w:val="00995B1D"/>
    <w:rsid w:val="00995B44"/>
    <w:rsid w:val="00995CE1"/>
    <w:rsid w:val="00995D43"/>
    <w:rsid w:val="00995DD0"/>
    <w:rsid w:val="00995E29"/>
    <w:rsid w:val="00995E2A"/>
    <w:rsid w:val="00995E41"/>
    <w:rsid w:val="00995E70"/>
    <w:rsid w:val="00995EAD"/>
    <w:rsid w:val="00995EBB"/>
    <w:rsid w:val="00995EC6"/>
    <w:rsid w:val="00995FB8"/>
    <w:rsid w:val="00996004"/>
    <w:rsid w:val="00996017"/>
    <w:rsid w:val="00996027"/>
    <w:rsid w:val="0099602E"/>
    <w:rsid w:val="00996169"/>
    <w:rsid w:val="0099619B"/>
    <w:rsid w:val="009961E7"/>
    <w:rsid w:val="009961F1"/>
    <w:rsid w:val="0099631A"/>
    <w:rsid w:val="0099633B"/>
    <w:rsid w:val="00996366"/>
    <w:rsid w:val="009963EF"/>
    <w:rsid w:val="00996527"/>
    <w:rsid w:val="009965C0"/>
    <w:rsid w:val="009965C7"/>
    <w:rsid w:val="009965EF"/>
    <w:rsid w:val="00996658"/>
    <w:rsid w:val="0099667A"/>
    <w:rsid w:val="009966CD"/>
    <w:rsid w:val="009966F1"/>
    <w:rsid w:val="00996731"/>
    <w:rsid w:val="00996824"/>
    <w:rsid w:val="00996861"/>
    <w:rsid w:val="00996946"/>
    <w:rsid w:val="0099697D"/>
    <w:rsid w:val="009969E9"/>
    <w:rsid w:val="00996A2B"/>
    <w:rsid w:val="00996A30"/>
    <w:rsid w:val="00996A81"/>
    <w:rsid w:val="00996A9B"/>
    <w:rsid w:val="00996ACA"/>
    <w:rsid w:val="00996AD3"/>
    <w:rsid w:val="00996B59"/>
    <w:rsid w:val="00996B6B"/>
    <w:rsid w:val="00996B92"/>
    <w:rsid w:val="00996BBF"/>
    <w:rsid w:val="00996BE2"/>
    <w:rsid w:val="00996BFE"/>
    <w:rsid w:val="00996C32"/>
    <w:rsid w:val="00996C71"/>
    <w:rsid w:val="00996C9A"/>
    <w:rsid w:val="00996CB9"/>
    <w:rsid w:val="00996CFC"/>
    <w:rsid w:val="00996D07"/>
    <w:rsid w:val="00996D69"/>
    <w:rsid w:val="00996D96"/>
    <w:rsid w:val="00996E0F"/>
    <w:rsid w:val="00996E31"/>
    <w:rsid w:val="00996E68"/>
    <w:rsid w:val="00996EEE"/>
    <w:rsid w:val="00996F84"/>
    <w:rsid w:val="00997065"/>
    <w:rsid w:val="009970B3"/>
    <w:rsid w:val="009970D2"/>
    <w:rsid w:val="009970D4"/>
    <w:rsid w:val="0099710B"/>
    <w:rsid w:val="00997188"/>
    <w:rsid w:val="009971BD"/>
    <w:rsid w:val="009971C9"/>
    <w:rsid w:val="00997228"/>
    <w:rsid w:val="0099722F"/>
    <w:rsid w:val="00997241"/>
    <w:rsid w:val="00997282"/>
    <w:rsid w:val="009972D1"/>
    <w:rsid w:val="0099742A"/>
    <w:rsid w:val="009974C0"/>
    <w:rsid w:val="009975F4"/>
    <w:rsid w:val="00997661"/>
    <w:rsid w:val="00997722"/>
    <w:rsid w:val="00997753"/>
    <w:rsid w:val="009977B1"/>
    <w:rsid w:val="009977B6"/>
    <w:rsid w:val="0099780B"/>
    <w:rsid w:val="0099788C"/>
    <w:rsid w:val="009978AB"/>
    <w:rsid w:val="009978C7"/>
    <w:rsid w:val="00997971"/>
    <w:rsid w:val="0099799B"/>
    <w:rsid w:val="00997A76"/>
    <w:rsid w:val="00997B2B"/>
    <w:rsid w:val="00997BA5"/>
    <w:rsid w:val="00997BB2"/>
    <w:rsid w:val="00997BD9"/>
    <w:rsid w:val="00997BEF"/>
    <w:rsid w:val="00997D99"/>
    <w:rsid w:val="00997E24"/>
    <w:rsid w:val="00997E30"/>
    <w:rsid w:val="00997EA6"/>
    <w:rsid w:val="00997ECB"/>
    <w:rsid w:val="00997EFE"/>
    <w:rsid w:val="00997F17"/>
    <w:rsid w:val="00997F63"/>
    <w:rsid w:val="00997F97"/>
    <w:rsid w:val="00997FC3"/>
    <w:rsid w:val="009A0020"/>
    <w:rsid w:val="009A004B"/>
    <w:rsid w:val="009A00BA"/>
    <w:rsid w:val="009A00BC"/>
    <w:rsid w:val="009A0141"/>
    <w:rsid w:val="009A02A3"/>
    <w:rsid w:val="009A02AA"/>
    <w:rsid w:val="009A035E"/>
    <w:rsid w:val="009A0377"/>
    <w:rsid w:val="009A03DA"/>
    <w:rsid w:val="009A03E6"/>
    <w:rsid w:val="009A0402"/>
    <w:rsid w:val="009A044C"/>
    <w:rsid w:val="009A049C"/>
    <w:rsid w:val="009A04E8"/>
    <w:rsid w:val="009A04F5"/>
    <w:rsid w:val="009A0562"/>
    <w:rsid w:val="009A05A4"/>
    <w:rsid w:val="009A063D"/>
    <w:rsid w:val="009A066C"/>
    <w:rsid w:val="009A0699"/>
    <w:rsid w:val="009A069D"/>
    <w:rsid w:val="009A0700"/>
    <w:rsid w:val="009A0701"/>
    <w:rsid w:val="009A0715"/>
    <w:rsid w:val="009A0728"/>
    <w:rsid w:val="009A074E"/>
    <w:rsid w:val="009A0769"/>
    <w:rsid w:val="009A07F3"/>
    <w:rsid w:val="009A0827"/>
    <w:rsid w:val="009A0933"/>
    <w:rsid w:val="009A0937"/>
    <w:rsid w:val="009A0964"/>
    <w:rsid w:val="009A09CE"/>
    <w:rsid w:val="009A0A24"/>
    <w:rsid w:val="009A0A37"/>
    <w:rsid w:val="009A0A6C"/>
    <w:rsid w:val="009A0A98"/>
    <w:rsid w:val="009A0ABF"/>
    <w:rsid w:val="009A0B23"/>
    <w:rsid w:val="009A0B94"/>
    <w:rsid w:val="009A0BC3"/>
    <w:rsid w:val="009A0C17"/>
    <w:rsid w:val="009A0C19"/>
    <w:rsid w:val="009A0CC2"/>
    <w:rsid w:val="009A0D1E"/>
    <w:rsid w:val="009A0E16"/>
    <w:rsid w:val="009A0F12"/>
    <w:rsid w:val="009A0F34"/>
    <w:rsid w:val="009A0F71"/>
    <w:rsid w:val="009A0F78"/>
    <w:rsid w:val="009A100E"/>
    <w:rsid w:val="009A10AA"/>
    <w:rsid w:val="009A1105"/>
    <w:rsid w:val="009A1157"/>
    <w:rsid w:val="009A1177"/>
    <w:rsid w:val="009A118A"/>
    <w:rsid w:val="009A1197"/>
    <w:rsid w:val="009A1235"/>
    <w:rsid w:val="009A1330"/>
    <w:rsid w:val="009A13B5"/>
    <w:rsid w:val="009A1467"/>
    <w:rsid w:val="009A1549"/>
    <w:rsid w:val="009A1566"/>
    <w:rsid w:val="009A15CB"/>
    <w:rsid w:val="009A1676"/>
    <w:rsid w:val="009A174A"/>
    <w:rsid w:val="009A1877"/>
    <w:rsid w:val="009A1974"/>
    <w:rsid w:val="009A19B7"/>
    <w:rsid w:val="009A19E7"/>
    <w:rsid w:val="009A1A2F"/>
    <w:rsid w:val="009A1AF2"/>
    <w:rsid w:val="009A1B43"/>
    <w:rsid w:val="009A1BED"/>
    <w:rsid w:val="009A1C3C"/>
    <w:rsid w:val="009A1D19"/>
    <w:rsid w:val="009A1D80"/>
    <w:rsid w:val="009A1DE8"/>
    <w:rsid w:val="009A1E07"/>
    <w:rsid w:val="009A1EF5"/>
    <w:rsid w:val="009A1EFF"/>
    <w:rsid w:val="009A1FFA"/>
    <w:rsid w:val="009A202E"/>
    <w:rsid w:val="009A20CA"/>
    <w:rsid w:val="009A214E"/>
    <w:rsid w:val="009A21E0"/>
    <w:rsid w:val="009A2230"/>
    <w:rsid w:val="009A224E"/>
    <w:rsid w:val="009A2269"/>
    <w:rsid w:val="009A2284"/>
    <w:rsid w:val="009A239D"/>
    <w:rsid w:val="009A23BB"/>
    <w:rsid w:val="009A23EE"/>
    <w:rsid w:val="009A24B6"/>
    <w:rsid w:val="009A24C6"/>
    <w:rsid w:val="009A24E4"/>
    <w:rsid w:val="009A2584"/>
    <w:rsid w:val="009A25FF"/>
    <w:rsid w:val="009A2660"/>
    <w:rsid w:val="009A26BA"/>
    <w:rsid w:val="009A26C8"/>
    <w:rsid w:val="009A2706"/>
    <w:rsid w:val="009A2732"/>
    <w:rsid w:val="009A2769"/>
    <w:rsid w:val="009A279A"/>
    <w:rsid w:val="009A27DB"/>
    <w:rsid w:val="009A2857"/>
    <w:rsid w:val="009A286B"/>
    <w:rsid w:val="009A294D"/>
    <w:rsid w:val="009A29AE"/>
    <w:rsid w:val="009A2A2E"/>
    <w:rsid w:val="009A2A2F"/>
    <w:rsid w:val="009A2A3E"/>
    <w:rsid w:val="009A2ACB"/>
    <w:rsid w:val="009A2B5E"/>
    <w:rsid w:val="009A2BBD"/>
    <w:rsid w:val="009A2BD0"/>
    <w:rsid w:val="009A2C30"/>
    <w:rsid w:val="009A2CEC"/>
    <w:rsid w:val="009A2D08"/>
    <w:rsid w:val="009A2DAE"/>
    <w:rsid w:val="009A2DD1"/>
    <w:rsid w:val="009A2E45"/>
    <w:rsid w:val="009A2F74"/>
    <w:rsid w:val="009A2FD6"/>
    <w:rsid w:val="009A2FDD"/>
    <w:rsid w:val="009A303B"/>
    <w:rsid w:val="009A303D"/>
    <w:rsid w:val="009A3070"/>
    <w:rsid w:val="009A311B"/>
    <w:rsid w:val="009A3169"/>
    <w:rsid w:val="009A317A"/>
    <w:rsid w:val="009A321F"/>
    <w:rsid w:val="009A3235"/>
    <w:rsid w:val="009A324C"/>
    <w:rsid w:val="009A3256"/>
    <w:rsid w:val="009A32A2"/>
    <w:rsid w:val="009A32BD"/>
    <w:rsid w:val="009A32DE"/>
    <w:rsid w:val="009A32F6"/>
    <w:rsid w:val="009A3311"/>
    <w:rsid w:val="009A3314"/>
    <w:rsid w:val="009A33DA"/>
    <w:rsid w:val="009A356D"/>
    <w:rsid w:val="009A3591"/>
    <w:rsid w:val="009A3677"/>
    <w:rsid w:val="009A3687"/>
    <w:rsid w:val="009A369B"/>
    <w:rsid w:val="009A36D8"/>
    <w:rsid w:val="009A371A"/>
    <w:rsid w:val="009A3791"/>
    <w:rsid w:val="009A3811"/>
    <w:rsid w:val="009A386F"/>
    <w:rsid w:val="009A387D"/>
    <w:rsid w:val="009A389F"/>
    <w:rsid w:val="009A38D7"/>
    <w:rsid w:val="009A3995"/>
    <w:rsid w:val="009A39D3"/>
    <w:rsid w:val="009A39F3"/>
    <w:rsid w:val="009A3A3D"/>
    <w:rsid w:val="009A3A6C"/>
    <w:rsid w:val="009A3A9C"/>
    <w:rsid w:val="009A3ABF"/>
    <w:rsid w:val="009A3ADF"/>
    <w:rsid w:val="009A3AF2"/>
    <w:rsid w:val="009A3B38"/>
    <w:rsid w:val="009A3CAB"/>
    <w:rsid w:val="009A3CDC"/>
    <w:rsid w:val="009A3D2F"/>
    <w:rsid w:val="009A3DEA"/>
    <w:rsid w:val="009A3E1C"/>
    <w:rsid w:val="009A3E4B"/>
    <w:rsid w:val="009A3E4D"/>
    <w:rsid w:val="009A3EAC"/>
    <w:rsid w:val="009A3EB7"/>
    <w:rsid w:val="009A3EDD"/>
    <w:rsid w:val="009A3EEF"/>
    <w:rsid w:val="009A3F87"/>
    <w:rsid w:val="009A3FD8"/>
    <w:rsid w:val="009A3FF9"/>
    <w:rsid w:val="009A4026"/>
    <w:rsid w:val="009A407B"/>
    <w:rsid w:val="009A409A"/>
    <w:rsid w:val="009A40C1"/>
    <w:rsid w:val="009A4110"/>
    <w:rsid w:val="009A4144"/>
    <w:rsid w:val="009A4147"/>
    <w:rsid w:val="009A41BF"/>
    <w:rsid w:val="009A420C"/>
    <w:rsid w:val="009A425F"/>
    <w:rsid w:val="009A42B1"/>
    <w:rsid w:val="009A42E6"/>
    <w:rsid w:val="009A4331"/>
    <w:rsid w:val="009A439A"/>
    <w:rsid w:val="009A43C7"/>
    <w:rsid w:val="009A443F"/>
    <w:rsid w:val="009A44F8"/>
    <w:rsid w:val="009A4534"/>
    <w:rsid w:val="009A4580"/>
    <w:rsid w:val="009A459D"/>
    <w:rsid w:val="009A467D"/>
    <w:rsid w:val="009A4784"/>
    <w:rsid w:val="009A481B"/>
    <w:rsid w:val="009A488D"/>
    <w:rsid w:val="009A4893"/>
    <w:rsid w:val="009A48A0"/>
    <w:rsid w:val="009A48A9"/>
    <w:rsid w:val="009A496E"/>
    <w:rsid w:val="009A4B4E"/>
    <w:rsid w:val="009A4B9A"/>
    <w:rsid w:val="009A4C8A"/>
    <w:rsid w:val="009A4CA8"/>
    <w:rsid w:val="009A4CF3"/>
    <w:rsid w:val="009A4E64"/>
    <w:rsid w:val="009A4E68"/>
    <w:rsid w:val="009A4E74"/>
    <w:rsid w:val="009A4EA8"/>
    <w:rsid w:val="009A5031"/>
    <w:rsid w:val="009A5076"/>
    <w:rsid w:val="009A5130"/>
    <w:rsid w:val="009A514D"/>
    <w:rsid w:val="009A5189"/>
    <w:rsid w:val="009A5211"/>
    <w:rsid w:val="009A523A"/>
    <w:rsid w:val="009A5263"/>
    <w:rsid w:val="009A526C"/>
    <w:rsid w:val="009A5292"/>
    <w:rsid w:val="009A5328"/>
    <w:rsid w:val="009A534E"/>
    <w:rsid w:val="009A5382"/>
    <w:rsid w:val="009A53ED"/>
    <w:rsid w:val="009A53F4"/>
    <w:rsid w:val="009A5446"/>
    <w:rsid w:val="009A5471"/>
    <w:rsid w:val="009A5478"/>
    <w:rsid w:val="009A5491"/>
    <w:rsid w:val="009A54D6"/>
    <w:rsid w:val="009A5537"/>
    <w:rsid w:val="009A5583"/>
    <w:rsid w:val="009A55C3"/>
    <w:rsid w:val="009A55DF"/>
    <w:rsid w:val="009A55F7"/>
    <w:rsid w:val="009A55FB"/>
    <w:rsid w:val="009A5614"/>
    <w:rsid w:val="009A5618"/>
    <w:rsid w:val="009A5694"/>
    <w:rsid w:val="009A5738"/>
    <w:rsid w:val="009A5782"/>
    <w:rsid w:val="009A5785"/>
    <w:rsid w:val="009A587E"/>
    <w:rsid w:val="009A58C7"/>
    <w:rsid w:val="009A58E4"/>
    <w:rsid w:val="009A5908"/>
    <w:rsid w:val="009A5A1C"/>
    <w:rsid w:val="009A5A1D"/>
    <w:rsid w:val="009A5A72"/>
    <w:rsid w:val="009A5AA9"/>
    <w:rsid w:val="009A5AC1"/>
    <w:rsid w:val="009A5AF8"/>
    <w:rsid w:val="009A5B55"/>
    <w:rsid w:val="009A5B56"/>
    <w:rsid w:val="009A5B5D"/>
    <w:rsid w:val="009A5B91"/>
    <w:rsid w:val="009A5B9D"/>
    <w:rsid w:val="009A5BAE"/>
    <w:rsid w:val="009A5BB5"/>
    <w:rsid w:val="009A5BE7"/>
    <w:rsid w:val="009A5BFC"/>
    <w:rsid w:val="009A5C55"/>
    <w:rsid w:val="009A5C7D"/>
    <w:rsid w:val="009A5C9F"/>
    <w:rsid w:val="009A5CB9"/>
    <w:rsid w:val="009A5DBC"/>
    <w:rsid w:val="009A5DCD"/>
    <w:rsid w:val="009A5DD5"/>
    <w:rsid w:val="009A5E19"/>
    <w:rsid w:val="009A5E61"/>
    <w:rsid w:val="009A5F1C"/>
    <w:rsid w:val="009A5F73"/>
    <w:rsid w:val="009A5F82"/>
    <w:rsid w:val="009A5FC8"/>
    <w:rsid w:val="009A5FF5"/>
    <w:rsid w:val="009A6024"/>
    <w:rsid w:val="009A6187"/>
    <w:rsid w:val="009A61C5"/>
    <w:rsid w:val="009A6208"/>
    <w:rsid w:val="009A621C"/>
    <w:rsid w:val="009A626D"/>
    <w:rsid w:val="009A6280"/>
    <w:rsid w:val="009A629C"/>
    <w:rsid w:val="009A62EF"/>
    <w:rsid w:val="009A6309"/>
    <w:rsid w:val="009A639B"/>
    <w:rsid w:val="009A63D2"/>
    <w:rsid w:val="009A642E"/>
    <w:rsid w:val="009A643F"/>
    <w:rsid w:val="009A6463"/>
    <w:rsid w:val="009A64CF"/>
    <w:rsid w:val="009A64D6"/>
    <w:rsid w:val="009A6502"/>
    <w:rsid w:val="009A660F"/>
    <w:rsid w:val="009A66CF"/>
    <w:rsid w:val="009A66FA"/>
    <w:rsid w:val="009A67DD"/>
    <w:rsid w:val="009A6836"/>
    <w:rsid w:val="009A68AA"/>
    <w:rsid w:val="009A68D0"/>
    <w:rsid w:val="009A68D3"/>
    <w:rsid w:val="009A68F6"/>
    <w:rsid w:val="009A6905"/>
    <w:rsid w:val="009A690A"/>
    <w:rsid w:val="009A6947"/>
    <w:rsid w:val="009A6A23"/>
    <w:rsid w:val="009A6A59"/>
    <w:rsid w:val="009A6A5B"/>
    <w:rsid w:val="009A6AA2"/>
    <w:rsid w:val="009A6AB8"/>
    <w:rsid w:val="009A6B92"/>
    <w:rsid w:val="009A6C43"/>
    <w:rsid w:val="009A6C91"/>
    <w:rsid w:val="009A6D5C"/>
    <w:rsid w:val="009A6DA1"/>
    <w:rsid w:val="009A6DBA"/>
    <w:rsid w:val="009A6E49"/>
    <w:rsid w:val="009A6E92"/>
    <w:rsid w:val="009A6E9E"/>
    <w:rsid w:val="009A6EA3"/>
    <w:rsid w:val="009A6EB7"/>
    <w:rsid w:val="009A6EC2"/>
    <w:rsid w:val="009A6ECF"/>
    <w:rsid w:val="009A6F08"/>
    <w:rsid w:val="009A6F1B"/>
    <w:rsid w:val="009A6F2E"/>
    <w:rsid w:val="009A6FD1"/>
    <w:rsid w:val="009A701E"/>
    <w:rsid w:val="009A702C"/>
    <w:rsid w:val="009A7050"/>
    <w:rsid w:val="009A7078"/>
    <w:rsid w:val="009A7098"/>
    <w:rsid w:val="009A70F2"/>
    <w:rsid w:val="009A714F"/>
    <w:rsid w:val="009A71B9"/>
    <w:rsid w:val="009A71FB"/>
    <w:rsid w:val="009A7239"/>
    <w:rsid w:val="009A72BA"/>
    <w:rsid w:val="009A734F"/>
    <w:rsid w:val="009A7383"/>
    <w:rsid w:val="009A73B7"/>
    <w:rsid w:val="009A7441"/>
    <w:rsid w:val="009A7496"/>
    <w:rsid w:val="009A74CA"/>
    <w:rsid w:val="009A771D"/>
    <w:rsid w:val="009A7828"/>
    <w:rsid w:val="009A783C"/>
    <w:rsid w:val="009A78B7"/>
    <w:rsid w:val="009A78F9"/>
    <w:rsid w:val="009A790B"/>
    <w:rsid w:val="009A799A"/>
    <w:rsid w:val="009A79CD"/>
    <w:rsid w:val="009A79F9"/>
    <w:rsid w:val="009A7A76"/>
    <w:rsid w:val="009A7A94"/>
    <w:rsid w:val="009A7ADD"/>
    <w:rsid w:val="009A7AFF"/>
    <w:rsid w:val="009A7BD1"/>
    <w:rsid w:val="009A7BDE"/>
    <w:rsid w:val="009A7BDF"/>
    <w:rsid w:val="009A7C3A"/>
    <w:rsid w:val="009A7CB5"/>
    <w:rsid w:val="009A7D05"/>
    <w:rsid w:val="009A7D1B"/>
    <w:rsid w:val="009A7D8C"/>
    <w:rsid w:val="009A7D99"/>
    <w:rsid w:val="009A7E03"/>
    <w:rsid w:val="009A7E1D"/>
    <w:rsid w:val="009A7E30"/>
    <w:rsid w:val="009A7E43"/>
    <w:rsid w:val="009A7E82"/>
    <w:rsid w:val="009A7E8F"/>
    <w:rsid w:val="009A7E94"/>
    <w:rsid w:val="009A7EF8"/>
    <w:rsid w:val="009A7FB9"/>
    <w:rsid w:val="009B019B"/>
    <w:rsid w:val="009B0207"/>
    <w:rsid w:val="009B021F"/>
    <w:rsid w:val="009B0232"/>
    <w:rsid w:val="009B02D9"/>
    <w:rsid w:val="009B02E0"/>
    <w:rsid w:val="009B02EA"/>
    <w:rsid w:val="009B0300"/>
    <w:rsid w:val="009B0368"/>
    <w:rsid w:val="009B03C2"/>
    <w:rsid w:val="009B03D9"/>
    <w:rsid w:val="009B03EF"/>
    <w:rsid w:val="009B058A"/>
    <w:rsid w:val="009B05E0"/>
    <w:rsid w:val="009B05E8"/>
    <w:rsid w:val="009B0667"/>
    <w:rsid w:val="009B06C5"/>
    <w:rsid w:val="009B073C"/>
    <w:rsid w:val="009B075A"/>
    <w:rsid w:val="009B0778"/>
    <w:rsid w:val="009B07C1"/>
    <w:rsid w:val="009B07CB"/>
    <w:rsid w:val="009B0826"/>
    <w:rsid w:val="009B0827"/>
    <w:rsid w:val="009B085D"/>
    <w:rsid w:val="009B0861"/>
    <w:rsid w:val="009B0A8A"/>
    <w:rsid w:val="009B0ABC"/>
    <w:rsid w:val="009B0BDF"/>
    <w:rsid w:val="009B0BFE"/>
    <w:rsid w:val="009B0C29"/>
    <w:rsid w:val="009B0C7A"/>
    <w:rsid w:val="009B0D1A"/>
    <w:rsid w:val="009B0DB5"/>
    <w:rsid w:val="009B0DB8"/>
    <w:rsid w:val="009B0DCA"/>
    <w:rsid w:val="009B0E2B"/>
    <w:rsid w:val="009B0E3B"/>
    <w:rsid w:val="009B0E64"/>
    <w:rsid w:val="009B0E7B"/>
    <w:rsid w:val="009B0EC0"/>
    <w:rsid w:val="009B0F5C"/>
    <w:rsid w:val="009B0FBE"/>
    <w:rsid w:val="009B1019"/>
    <w:rsid w:val="009B105F"/>
    <w:rsid w:val="009B10CC"/>
    <w:rsid w:val="009B11B3"/>
    <w:rsid w:val="009B1225"/>
    <w:rsid w:val="009B1285"/>
    <w:rsid w:val="009B12AB"/>
    <w:rsid w:val="009B12D7"/>
    <w:rsid w:val="009B1332"/>
    <w:rsid w:val="009B1482"/>
    <w:rsid w:val="009B151A"/>
    <w:rsid w:val="009B152F"/>
    <w:rsid w:val="009B1563"/>
    <w:rsid w:val="009B1588"/>
    <w:rsid w:val="009B15D3"/>
    <w:rsid w:val="009B15EF"/>
    <w:rsid w:val="009B15F8"/>
    <w:rsid w:val="009B1603"/>
    <w:rsid w:val="009B166E"/>
    <w:rsid w:val="009B1693"/>
    <w:rsid w:val="009B1696"/>
    <w:rsid w:val="009B1703"/>
    <w:rsid w:val="009B1773"/>
    <w:rsid w:val="009B17EF"/>
    <w:rsid w:val="009B1872"/>
    <w:rsid w:val="009B18FC"/>
    <w:rsid w:val="009B198F"/>
    <w:rsid w:val="009B19A2"/>
    <w:rsid w:val="009B1A0A"/>
    <w:rsid w:val="009B1A41"/>
    <w:rsid w:val="009B1A43"/>
    <w:rsid w:val="009B1A7C"/>
    <w:rsid w:val="009B1B00"/>
    <w:rsid w:val="009B1B42"/>
    <w:rsid w:val="009B1B75"/>
    <w:rsid w:val="009B1BF7"/>
    <w:rsid w:val="009B1C6F"/>
    <w:rsid w:val="009B1C70"/>
    <w:rsid w:val="009B1C7F"/>
    <w:rsid w:val="009B1CA2"/>
    <w:rsid w:val="009B1CF6"/>
    <w:rsid w:val="009B1CFA"/>
    <w:rsid w:val="009B1D6B"/>
    <w:rsid w:val="009B1DA5"/>
    <w:rsid w:val="009B1DE8"/>
    <w:rsid w:val="009B1DEE"/>
    <w:rsid w:val="009B1E20"/>
    <w:rsid w:val="009B1E2E"/>
    <w:rsid w:val="009B1E98"/>
    <w:rsid w:val="009B1EBA"/>
    <w:rsid w:val="009B1F9E"/>
    <w:rsid w:val="009B2068"/>
    <w:rsid w:val="009B20B5"/>
    <w:rsid w:val="009B20F5"/>
    <w:rsid w:val="009B2111"/>
    <w:rsid w:val="009B218C"/>
    <w:rsid w:val="009B21A4"/>
    <w:rsid w:val="009B223B"/>
    <w:rsid w:val="009B2279"/>
    <w:rsid w:val="009B230B"/>
    <w:rsid w:val="009B23D5"/>
    <w:rsid w:val="009B2430"/>
    <w:rsid w:val="009B24A6"/>
    <w:rsid w:val="009B2694"/>
    <w:rsid w:val="009B26AA"/>
    <w:rsid w:val="009B26C8"/>
    <w:rsid w:val="009B26FC"/>
    <w:rsid w:val="009B2772"/>
    <w:rsid w:val="009B28BA"/>
    <w:rsid w:val="009B2976"/>
    <w:rsid w:val="009B2A6B"/>
    <w:rsid w:val="009B2A97"/>
    <w:rsid w:val="009B2AAC"/>
    <w:rsid w:val="009B2ADD"/>
    <w:rsid w:val="009B2B40"/>
    <w:rsid w:val="009B2B71"/>
    <w:rsid w:val="009B2D73"/>
    <w:rsid w:val="009B2DDF"/>
    <w:rsid w:val="009B2E4A"/>
    <w:rsid w:val="009B2EA1"/>
    <w:rsid w:val="009B2EDF"/>
    <w:rsid w:val="009B2F94"/>
    <w:rsid w:val="009B2FC0"/>
    <w:rsid w:val="009B2FC9"/>
    <w:rsid w:val="009B30CA"/>
    <w:rsid w:val="009B3178"/>
    <w:rsid w:val="009B31B5"/>
    <w:rsid w:val="009B31E1"/>
    <w:rsid w:val="009B3225"/>
    <w:rsid w:val="009B32D1"/>
    <w:rsid w:val="009B32E9"/>
    <w:rsid w:val="009B338C"/>
    <w:rsid w:val="009B3398"/>
    <w:rsid w:val="009B339C"/>
    <w:rsid w:val="009B339F"/>
    <w:rsid w:val="009B3447"/>
    <w:rsid w:val="009B344F"/>
    <w:rsid w:val="009B3459"/>
    <w:rsid w:val="009B345B"/>
    <w:rsid w:val="009B3470"/>
    <w:rsid w:val="009B34C2"/>
    <w:rsid w:val="009B34C8"/>
    <w:rsid w:val="009B357A"/>
    <w:rsid w:val="009B35E3"/>
    <w:rsid w:val="009B3606"/>
    <w:rsid w:val="009B3637"/>
    <w:rsid w:val="009B363A"/>
    <w:rsid w:val="009B364A"/>
    <w:rsid w:val="009B3663"/>
    <w:rsid w:val="009B36A1"/>
    <w:rsid w:val="009B36BB"/>
    <w:rsid w:val="009B370C"/>
    <w:rsid w:val="009B373F"/>
    <w:rsid w:val="009B376A"/>
    <w:rsid w:val="009B3790"/>
    <w:rsid w:val="009B37B6"/>
    <w:rsid w:val="009B37DA"/>
    <w:rsid w:val="009B3820"/>
    <w:rsid w:val="009B383A"/>
    <w:rsid w:val="009B38D0"/>
    <w:rsid w:val="009B38F5"/>
    <w:rsid w:val="009B3945"/>
    <w:rsid w:val="009B3976"/>
    <w:rsid w:val="009B3A3B"/>
    <w:rsid w:val="009B3ADB"/>
    <w:rsid w:val="009B3B5F"/>
    <w:rsid w:val="009B3B82"/>
    <w:rsid w:val="009B3C18"/>
    <w:rsid w:val="009B3C41"/>
    <w:rsid w:val="009B3DD8"/>
    <w:rsid w:val="009B3DF3"/>
    <w:rsid w:val="009B3E2D"/>
    <w:rsid w:val="009B3E51"/>
    <w:rsid w:val="009B3E7C"/>
    <w:rsid w:val="009B3E86"/>
    <w:rsid w:val="009B3E87"/>
    <w:rsid w:val="009B3EF1"/>
    <w:rsid w:val="009B3F62"/>
    <w:rsid w:val="009B3FD5"/>
    <w:rsid w:val="009B3FF8"/>
    <w:rsid w:val="009B401A"/>
    <w:rsid w:val="009B4037"/>
    <w:rsid w:val="009B404A"/>
    <w:rsid w:val="009B40BA"/>
    <w:rsid w:val="009B40C7"/>
    <w:rsid w:val="009B40CE"/>
    <w:rsid w:val="009B40DE"/>
    <w:rsid w:val="009B40F6"/>
    <w:rsid w:val="009B4103"/>
    <w:rsid w:val="009B4118"/>
    <w:rsid w:val="009B411F"/>
    <w:rsid w:val="009B4120"/>
    <w:rsid w:val="009B417E"/>
    <w:rsid w:val="009B41A1"/>
    <w:rsid w:val="009B4201"/>
    <w:rsid w:val="009B427C"/>
    <w:rsid w:val="009B4349"/>
    <w:rsid w:val="009B434F"/>
    <w:rsid w:val="009B43B7"/>
    <w:rsid w:val="009B448E"/>
    <w:rsid w:val="009B4551"/>
    <w:rsid w:val="009B460D"/>
    <w:rsid w:val="009B4613"/>
    <w:rsid w:val="009B4724"/>
    <w:rsid w:val="009B475E"/>
    <w:rsid w:val="009B47A9"/>
    <w:rsid w:val="009B47E7"/>
    <w:rsid w:val="009B492B"/>
    <w:rsid w:val="009B4996"/>
    <w:rsid w:val="009B49F1"/>
    <w:rsid w:val="009B4A0B"/>
    <w:rsid w:val="009B4A61"/>
    <w:rsid w:val="009B4B52"/>
    <w:rsid w:val="009B4BEA"/>
    <w:rsid w:val="009B4C79"/>
    <w:rsid w:val="009B4CC8"/>
    <w:rsid w:val="009B4D75"/>
    <w:rsid w:val="009B4DF6"/>
    <w:rsid w:val="009B4F09"/>
    <w:rsid w:val="009B4F3C"/>
    <w:rsid w:val="009B4F7A"/>
    <w:rsid w:val="009B4F9A"/>
    <w:rsid w:val="009B4F9F"/>
    <w:rsid w:val="009B4FDB"/>
    <w:rsid w:val="009B4FFF"/>
    <w:rsid w:val="009B504E"/>
    <w:rsid w:val="009B507C"/>
    <w:rsid w:val="009B5108"/>
    <w:rsid w:val="009B5127"/>
    <w:rsid w:val="009B515D"/>
    <w:rsid w:val="009B5178"/>
    <w:rsid w:val="009B517B"/>
    <w:rsid w:val="009B5213"/>
    <w:rsid w:val="009B52E2"/>
    <w:rsid w:val="009B5373"/>
    <w:rsid w:val="009B53ED"/>
    <w:rsid w:val="009B5452"/>
    <w:rsid w:val="009B54CB"/>
    <w:rsid w:val="009B54CD"/>
    <w:rsid w:val="009B5597"/>
    <w:rsid w:val="009B560E"/>
    <w:rsid w:val="009B562F"/>
    <w:rsid w:val="009B564D"/>
    <w:rsid w:val="009B5694"/>
    <w:rsid w:val="009B569B"/>
    <w:rsid w:val="009B56AF"/>
    <w:rsid w:val="009B5781"/>
    <w:rsid w:val="009B57FA"/>
    <w:rsid w:val="009B5897"/>
    <w:rsid w:val="009B58AE"/>
    <w:rsid w:val="009B58F9"/>
    <w:rsid w:val="009B5931"/>
    <w:rsid w:val="009B5970"/>
    <w:rsid w:val="009B5991"/>
    <w:rsid w:val="009B59DA"/>
    <w:rsid w:val="009B5A41"/>
    <w:rsid w:val="009B5A64"/>
    <w:rsid w:val="009B5AD5"/>
    <w:rsid w:val="009B5B24"/>
    <w:rsid w:val="009B5B33"/>
    <w:rsid w:val="009B5C66"/>
    <w:rsid w:val="009B5CFA"/>
    <w:rsid w:val="009B5D52"/>
    <w:rsid w:val="009B5DA4"/>
    <w:rsid w:val="009B5E39"/>
    <w:rsid w:val="009B5E6E"/>
    <w:rsid w:val="009B5EA8"/>
    <w:rsid w:val="009B5ECE"/>
    <w:rsid w:val="009B5ED5"/>
    <w:rsid w:val="009B5EF9"/>
    <w:rsid w:val="009B5F56"/>
    <w:rsid w:val="009B5FCA"/>
    <w:rsid w:val="009B6012"/>
    <w:rsid w:val="009B601C"/>
    <w:rsid w:val="009B614F"/>
    <w:rsid w:val="009B62FD"/>
    <w:rsid w:val="009B6310"/>
    <w:rsid w:val="009B634F"/>
    <w:rsid w:val="009B6355"/>
    <w:rsid w:val="009B63F2"/>
    <w:rsid w:val="009B641E"/>
    <w:rsid w:val="009B64AC"/>
    <w:rsid w:val="009B64CA"/>
    <w:rsid w:val="009B6711"/>
    <w:rsid w:val="009B6758"/>
    <w:rsid w:val="009B67D0"/>
    <w:rsid w:val="009B67FF"/>
    <w:rsid w:val="009B6841"/>
    <w:rsid w:val="009B6957"/>
    <w:rsid w:val="009B6978"/>
    <w:rsid w:val="009B6A70"/>
    <w:rsid w:val="009B6A78"/>
    <w:rsid w:val="009B6B41"/>
    <w:rsid w:val="009B6B6E"/>
    <w:rsid w:val="009B6B97"/>
    <w:rsid w:val="009B6B9E"/>
    <w:rsid w:val="009B6BAC"/>
    <w:rsid w:val="009B6C22"/>
    <w:rsid w:val="009B6D2D"/>
    <w:rsid w:val="009B6DC5"/>
    <w:rsid w:val="009B6DC8"/>
    <w:rsid w:val="009B6E41"/>
    <w:rsid w:val="009B6E5E"/>
    <w:rsid w:val="009B6E60"/>
    <w:rsid w:val="009B6EA4"/>
    <w:rsid w:val="009B6EED"/>
    <w:rsid w:val="009B6F50"/>
    <w:rsid w:val="009B6F53"/>
    <w:rsid w:val="009B6F6D"/>
    <w:rsid w:val="009B6F8F"/>
    <w:rsid w:val="009B6F9C"/>
    <w:rsid w:val="009B6FD2"/>
    <w:rsid w:val="009B6FF2"/>
    <w:rsid w:val="009B7045"/>
    <w:rsid w:val="009B7091"/>
    <w:rsid w:val="009B70D9"/>
    <w:rsid w:val="009B720F"/>
    <w:rsid w:val="009B7210"/>
    <w:rsid w:val="009B7222"/>
    <w:rsid w:val="009B722E"/>
    <w:rsid w:val="009B728D"/>
    <w:rsid w:val="009B72B5"/>
    <w:rsid w:val="009B7356"/>
    <w:rsid w:val="009B7403"/>
    <w:rsid w:val="009B7404"/>
    <w:rsid w:val="009B7472"/>
    <w:rsid w:val="009B74AE"/>
    <w:rsid w:val="009B750B"/>
    <w:rsid w:val="009B7551"/>
    <w:rsid w:val="009B759B"/>
    <w:rsid w:val="009B75E6"/>
    <w:rsid w:val="009B76B1"/>
    <w:rsid w:val="009B76B2"/>
    <w:rsid w:val="009B76CD"/>
    <w:rsid w:val="009B773D"/>
    <w:rsid w:val="009B776A"/>
    <w:rsid w:val="009B77A6"/>
    <w:rsid w:val="009B7829"/>
    <w:rsid w:val="009B78C6"/>
    <w:rsid w:val="009B79C6"/>
    <w:rsid w:val="009B79EE"/>
    <w:rsid w:val="009B7AAF"/>
    <w:rsid w:val="009B7B32"/>
    <w:rsid w:val="009B7BA1"/>
    <w:rsid w:val="009B7CAB"/>
    <w:rsid w:val="009B7CDE"/>
    <w:rsid w:val="009B7CFE"/>
    <w:rsid w:val="009B7E17"/>
    <w:rsid w:val="009B7E35"/>
    <w:rsid w:val="009B7E3D"/>
    <w:rsid w:val="009B7EFC"/>
    <w:rsid w:val="009B7F50"/>
    <w:rsid w:val="009B7F79"/>
    <w:rsid w:val="009B7FBB"/>
    <w:rsid w:val="009C0058"/>
    <w:rsid w:val="009C005D"/>
    <w:rsid w:val="009C0072"/>
    <w:rsid w:val="009C008F"/>
    <w:rsid w:val="009C0093"/>
    <w:rsid w:val="009C014F"/>
    <w:rsid w:val="009C01BE"/>
    <w:rsid w:val="009C01CE"/>
    <w:rsid w:val="009C02B5"/>
    <w:rsid w:val="009C02C0"/>
    <w:rsid w:val="009C02F4"/>
    <w:rsid w:val="009C02F5"/>
    <w:rsid w:val="009C0351"/>
    <w:rsid w:val="009C03DF"/>
    <w:rsid w:val="009C055F"/>
    <w:rsid w:val="009C05A7"/>
    <w:rsid w:val="009C05BC"/>
    <w:rsid w:val="009C067B"/>
    <w:rsid w:val="009C0680"/>
    <w:rsid w:val="009C0691"/>
    <w:rsid w:val="009C06A4"/>
    <w:rsid w:val="009C07B3"/>
    <w:rsid w:val="009C07EE"/>
    <w:rsid w:val="009C0887"/>
    <w:rsid w:val="009C088F"/>
    <w:rsid w:val="009C0895"/>
    <w:rsid w:val="009C08FC"/>
    <w:rsid w:val="009C091E"/>
    <w:rsid w:val="009C095E"/>
    <w:rsid w:val="009C0966"/>
    <w:rsid w:val="009C0971"/>
    <w:rsid w:val="009C09EB"/>
    <w:rsid w:val="009C0A17"/>
    <w:rsid w:val="009C0A84"/>
    <w:rsid w:val="009C0A9A"/>
    <w:rsid w:val="009C0AB6"/>
    <w:rsid w:val="009C0B50"/>
    <w:rsid w:val="009C0B88"/>
    <w:rsid w:val="009C0B9F"/>
    <w:rsid w:val="009C0C28"/>
    <w:rsid w:val="009C0DA5"/>
    <w:rsid w:val="009C0DBC"/>
    <w:rsid w:val="009C0E0B"/>
    <w:rsid w:val="009C0E11"/>
    <w:rsid w:val="009C0E76"/>
    <w:rsid w:val="009C0E78"/>
    <w:rsid w:val="009C0FAD"/>
    <w:rsid w:val="009C0FE3"/>
    <w:rsid w:val="009C100E"/>
    <w:rsid w:val="009C1010"/>
    <w:rsid w:val="009C1049"/>
    <w:rsid w:val="009C1065"/>
    <w:rsid w:val="009C109B"/>
    <w:rsid w:val="009C109F"/>
    <w:rsid w:val="009C10EA"/>
    <w:rsid w:val="009C1239"/>
    <w:rsid w:val="009C1269"/>
    <w:rsid w:val="009C126B"/>
    <w:rsid w:val="009C12C6"/>
    <w:rsid w:val="009C132F"/>
    <w:rsid w:val="009C13CD"/>
    <w:rsid w:val="009C1446"/>
    <w:rsid w:val="009C1587"/>
    <w:rsid w:val="009C1618"/>
    <w:rsid w:val="009C161E"/>
    <w:rsid w:val="009C1630"/>
    <w:rsid w:val="009C1746"/>
    <w:rsid w:val="009C177F"/>
    <w:rsid w:val="009C17AC"/>
    <w:rsid w:val="009C1919"/>
    <w:rsid w:val="009C1994"/>
    <w:rsid w:val="009C1A03"/>
    <w:rsid w:val="009C1A12"/>
    <w:rsid w:val="009C1A91"/>
    <w:rsid w:val="009C1B30"/>
    <w:rsid w:val="009C1B5D"/>
    <w:rsid w:val="009C1BDB"/>
    <w:rsid w:val="009C1C50"/>
    <w:rsid w:val="009C1CA5"/>
    <w:rsid w:val="009C1CD9"/>
    <w:rsid w:val="009C1D38"/>
    <w:rsid w:val="009C1E63"/>
    <w:rsid w:val="009C1E64"/>
    <w:rsid w:val="009C1E9C"/>
    <w:rsid w:val="009C1EB8"/>
    <w:rsid w:val="009C1EE0"/>
    <w:rsid w:val="009C1EEE"/>
    <w:rsid w:val="009C1F0A"/>
    <w:rsid w:val="009C1F33"/>
    <w:rsid w:val="009C1F61"/>
    <w:rsid w:val="009C1F69"/>
    <w:rsid w:val="009C1FB9"/>
    <w:rsid w:val="009C1FC2"/>
    <w:rsid w:val="009C1FC8"/>
    <w:rsid w:val="009C2018"/>
    <w:rsid w:val="009C2081"/>
    <w:rsid w:val="009C20BD"/>
    <w:rsid w:val="009C2150"/>
    <w:rsid w:val="009C21A4"/>
    <w:rsid w:val="009C21A9"/>
    <w:rsid w:val="009C2216"/>
    <w:rsid w:val="009C2239"/>
    <w:rsid w:val="009C223B"/>
    <w:rsid w:val="009C225E"/>
    <w:rsid w:val="009C2271"/>
    <w:rsid w:val="009C22AD"/>
    <w:rsid w:val="009C22DB"/>
    <w:rsid w:val="009C231E"/>
    <w:rsid w:val="009C2331"/>
    <w:rsid w:val="009C2355"/>
    <w:rsid w:val="009C2372"/>
    <w:rsid w:val="009C2375"/>
    <w:rsid w:val="009C2393"/>
    <w:rsid w:val="009C23FC"/>
    <w:rsid w:val="009C247C"/>
    <w:rsid w:val="009C24EB"/>
    <w:rsid w:val="009C24F4"/>
    <w:rsid w:val="009C251C"/>
    <w:rsid w:val="009C25E0"/>
    <w:rsid w:val="009C262E"/>
    <w:rsid w:val="009C265D"/>
    <w:rsid w:val="009C2669"/>
    <w:rsid w:val="009C2680"/>
    <w:rsid w:val="009C269F"/>
    <w:rsid w:val="009C2720"/>
    <w:rsid w:val="009C2795"/>
    <w:rsid w:val="009C2797"/>
    <w:rsid w:val="009C27DE"/>
    <w:rsid w:val="009C2831"/>
    <w:rsid w:val="009C2834"/>
    <w:rsid w:val="009C28A0"/>
    <w:rsid w:val="009C297E"/>
    <w:rsid w:val="009C29BB"/>
    <w:rsid w:val="009C29D9"/>
    <w:rsid w:val="009C29E5"/>
    <w:rsid w:val="009C2A53"/>
    <w:rsid w:val="009C2AE2"/>
    <w:rsid w:val="009C2BC5"/>
    <w:rsid w:val="009C2BFA"/>
    <w:rsid w:val="009C2C30"/>
    <w:rsid w:val="009C2C99"/>
    <w:rsid w:val="009C2CB4"/>
    <w:rsid w:val="009C2CF6"/>
    <w:rsid w:val="009C2D71"/>
    <w:rsid w:val="009C2E13"/>
    <w:rsid w:val="009C2E6E"/>
    <w:rsid w:val="009C2EB9"/>
    <w:rsid w:val="009C2EDE"/>
    <w:rsid w:val="009C2EFD"/>
    <w:rsid w:val="009C2F04"/>
    <w:rsid w:val="009C2F38"/>
    <w:rsid w:val="009C2FE0"/>
    <w:rsid w:val="009C30ED"/>
    <w:rsid w:val="009C312D"/>
    <w:rsid w:val="009C3175"/>
    <w:rsid w:val="009C31F2"/>
    <w:rsid w:val="009C3244"/>
    <w:rsid w:val="009C328E"/>
    <w:rsid w:val="009C32B6"/>
    <w:rsid w:val="009C3352"/>
    <w:rsid w:val="009C3368"/>
    <w:rsid w:val="009C336B"/>
    <w:rsid w:val="009C3395"/>
    <w:rsid w:val="009C3422"/>
    <w:rsid w:val="009C3463"/>
    <w:rsid w:val="009C3494"/>
    <w:rsid w:val="009C34B5"/>
    <w:rsid w:val="009C34CD"/>
    <w:rsid w:val="009C356E"/>
    <w:rsid w:val="009C35AD"/>
    <w:rsid w:val="009C35B1"/>
    <w:rsid w:val="009C35C7"/>
    <w:rsid w:val="009C35F0"/>
    <w:rsid w:val="009C35F1"/>
    <w:rsid w:val="009C3645"/>
    <w:rsid w:val="009C3646"/>
    <w:rsid w:val="009C364C"/>
    <w:rsid w:val="009C3685"/>
    <w:rsid w:val="009C36DF"/>
    <w:rsid w:val="009C370D"/>
    <w:rsid w:val="009C373B"/>
    <w:rsid w:val="009C3746"/>
    <w:rsid w:val="009C37A1"/>
    <w:rsid w:val="009C3822"/>
    <w:rsid w:val="009C393C"/>
    <w:rsid w:val="009C3940"/>
    <w:rsid w:val="009C3943"/>
    <w:rsid w:val="009C3969"/>
    <w:rsid w:val="009C3990"/>
    <w:rsid w:val="009C39A3"/>
    <w:rsid w:val="009C39EC"/>
    <w:rsid w:val="009C3ABC"/>
    <w:rsid w:val="009C3B0B"/>
    <w:rsid w:val="009C3B73"/>
    <w:rsid w:val="009C3C5E"/>
    <w:rsid w:val="009C3C6F"/>
    <w:rsid w:val="009C3C7E"/>
    <w:rsid w:val="009C3D05"/>
    <w:rsid w:val="009C3D5F"/>
    <w:rsid w:val="009C3DE7"/>
    <w:rsid w:val="009C3E19"/>
    <w:rsid w:val="009C3E59"/>
    <w:rsid w:val="009C3E99"/>
    <w:rsid w:val="009C3ED4"/>
    <w:rsid w:val="009C3F02"/>
    <w:rsid w:val="009C3F06"/>
    <w:rsid w:val="009C3F12"/>
    <w:rsid w:val="009C3F15"/>
    <w:rsid w:val="009C3F7C"/>
    <w:rsid w:val="009C3FA2"/>
    <w:rsid w:val="009C4015"/>
    <w:rsid w:val="009C408A"/>
    <w:rsid w:val="009C41E1"/>
    <w:rsid w:val="009C4245"/>
    <w:rsid w:val="009C4248"/>
    <w:rsid w:val="009C430F"/>
    <w:rsid w:val="009C4328"/>
    <w:rsid w:val="009C438D"/>
    <w:rsid w:val="009C443A"/>
    <w:rsid w:val="009C4456"/>
    <w:rsid w:val="009C4461"/>
    <w:rsid w:val="009C446B"/>
    <w:rsid w:val="009C4499"/>
    <w:rsid w:val="009C4516"/>
    <w:rsid w:val="009C45DB"/>
    <w:rsid w:val="009C460F"/>
    <w:rsid w:val="009C4662"/>
    <w:rsid w:val="009C471B"/>
    <w:rsid w:val="009C47D7"/>
    <w:rsid w:val="009C4854"/>
    <w:rsid w:val="009C48C4"/>
    <w:rsid w:val="009C4909"/>
    <w:rsid w:val="009C4947"/>
    <w:rsid w:val="009C49B3"/>
    <w:rsid w:val="009C49F2"/>
    <w:rsid w:val="009C4A01"/>
    <w:rsid w:val="009C4A2C"/>
    <w:rsid w:val="009C4A9C"/>
    <w:rsid w:val="009C4ADB"/>
    <w:rsid w:val="009C4AEE"/>
    <w:rsid w:val="009C4B17"/>
    <w:rsid w:val="009C4B45"/>
    <w:rsid w:val="009C4B59"/>
    <w:rsid w:val="009C4BC0"/>
    <w:rsid w:val="009C4C32"/>
    <w:rsid w:val="009C4C3F"/>
    <w:rsid w:val="009C4C63"/>
    <w:rsid w:val="009C4C84"/>
    <w:rsid w:val="009C4CF3"/>
    <w:rsid w:val="009C4D81"/>
    <w:rsid w:val="009C4E50"/>
    <w:rsid w:val="009C4E74"/>
    <w:rsid w:val="009C4EB2"/>
    <w:rsid w:val="009C4F15"/>
    <w:rsid w:val="009C4FCC"/>
    <w:rsid w:val="009C500B"/>
    <w:rsid w:val="009C505F"/>
    <w:rsid w:val="009C50AD"/>
    <w:rsid w:val="009C5179"/>
    <w:rsid w:val="009C52A4"/>
    <w:rsid w:val="009C52AB"/>
    <w:rsid w:val="009C5329"/>
    <w:rsid w:val="009C5360"/>
    <w:rsid w:val="009C539B"/>
    <w:rsid w:val="009C53BD"/>
    <w:rsid w:val="009C5453"/>
    <w:rsid w:val="009C546A"/>
    <w:rsid w:val="009C5508"/>
    <w:rsid w:val="009C5564"/>
    <w:rsid w:val="009C556A"/>
    <w:rsid w:val="009C55B0"/>
    <w:rsid w:val="009C55F8"/>
    <w:rsid w:val="009C5635"/>
    <w:rsid w:val="009C5649"/>
    <w:rsid w:val="009C56E8"/>
    <w:rsid w:val="009C585A"/>
    <w:rsid w:val="009C5987"/>
    <w:rsid w:val="009C5A4E"/>
    <w:rsid w:val="009C5A62"/>
    <w:rsid w:val="009C5A6B"/>
    <w:rsid w:val="009C5AC4"/>
    <w:rsid w:val="009C5AD5"/>
    <w:rsid w:val="009C5B9D"/>
    <w:rsid w:val="009C5BAA"/>
    <w:rsid w:val="009C5BBC"/>
    <w:rsid w:val="009C5BC0"/>
    <w:rsid w:val="009C5BC8"/>
    <w:rsid w:val="009C5BE0"/>
    <w:rsid w:val="009C5C0B"/>
    <w:rsid w:val="009C5C58"/>
    <w:rsid w:val="009C5D4D"/>
    <w:rsid w:val="009C5D55"/>
    <w:rsid w:val="009C5D72"/>
    <w:rsid w:val="009C5DC3"/>
    <w:rsid w:val="009C5DDF"/>
    <w:rsid w:val="009C5E77"/>
    <w:rsid w:val="009C5EB0"/>
    <w:rsid w:val="009C5ED6"/>
    <w:rsid w:val="009C5EE7"/>
    <w:rsid w:val="009C5F2B"/>
    <w:rsid w:val="009C5F5B"/>
    <w:rsid w:val="009C5F8A"/>
    <w:rsid w:val="009C5F96"/>
    <w:rsid w:val="009C5FE5"/>
    <w:rsid w:val="009C602D"/>
    <w:rsid w:val="009C604B"/>
    <w:rsid w:val="009C6063"/>
    <w:rsid w:val="009C6096"/>
    <w:rsid w:val="009C60AC"/>
    <w:rsid w:val="009C60E1"/>
    <w:rsid w:val="009C6134"/>
    <w:rsid w:val="009C619E"/>
    <w:rsid w:val="009C61FD"/>
    <w:rsid w:val="009C620B"/>
    <w:rsid w:val="009C621B"/>
    <w:rsid w:val="009C63AC"/>
    <w:rsid w:val="009C63BD"/>
    <w:rsid w:val="009C64D8"/>
    <w:rsid w:val="009C6563"/>
    <w:rsid w:val="009C6564"/>
    <w:rsid w:val="009C657F"/>
    <w:rsid w:val="009C65D6"/>
    <w:rsid w:val="009C65E6"/>
    <w:rsid w:val="009C6680"/>
    <w:rsid w:val="009C678F"/>
    <w:rsid w:val="009C6879"/>
    <w:rsid w:val="009C6893"/>
    <w:rsid w:val="009C68A3"/>
    <w:rsid w:val="009C68B6"/>
    <w:rsid w:val="009C697F"/>
    <w:rsid w:val="009C698C"/>
    <w:rsid w:val="009C69B1"/>
    <w:rsid w:val="009C69DC"/>
    <w:rsid w:val="009C6A0A"/>
    <w:rsid w:val="009C6A49"/>
    <w:rsid w:val="009C6A99"/>
    <w:rsid w:val="009C6BEA"/>
    <w:rsid w:val="009C6BF1"/>
    <w:rsid w:val="009C6C26"/>
    <w:rsid w:val="009C6CF6"/>
    <w:rsid w:val="009C6E00"/>
    <w:rsid w:val="009C6E0D"/>
    <w:rsid w:val="009C6F0C"/>
    <w:rsid w:val="009C6FBA"/>
    <w:rsid w:val="009C6FC6"/>
    <w:rsid w:val="009C702A"/>
    <w:rsid w:val="009C705E"/>
    <w:rsid w:val="009C706B"/>
    <w:rsid w:val="009C70A4"/>
    <w:rsid w:val="009C70B4"/>
    <w:rsid w:val="009C7175"/>
    <w:rsid w:val="009C720D"/>
    <w:rsid w:val="009C724E"/>
    <w:rsid w:val="009C724F"/>
    <w:rsid w:val="009C7268"/>
    <w:rsid w:val="009C7270"/>
    <w:rsid w:val="009C7302"/>
    <w:rsid w:val="009C73B9"/>
    <w:rsid w:val="009C73D6"/>
    <w:rsid w:val="009C741A"/>
    <w:rsid w:val="009C7423"/>
    <w:rsid w:val="009C7427"/>
    <w:rsid w:val="009C743E"/>
    <w:rsid w:val="009C7463"/>
    <w:rsid w:val="009C7495"/>
    <w:rsid w:val="009C74E1"/>
    <w:rsid w:val="009C7533"/>
    <w:rsid w:val="009C7616"/>
    <w:rsid w:val="009C7631"/>
    <w:rsid w:val="009C765C"/>
    <w:rsid w:val="009C770B"/>
    <w:rsid w:val="009C7764"/>
    <w:rsid w:val="009C7801"/>
    <w:rsid w:val="009C7806"/>
    <w:rsid w:val="009C7833"/>
    <w:rsid w:val="009C7866"/>
    <w:rsid w:val="009C787A"/>
    <w:rsid w:val="009C7911"/>
    <w:rsid w:val="009C7960"/>
    <w:rsid w:val="009C7A4A"/>
    <w:rsid w:val="009C7B00"/>
    <w:rsid w:val="009C7B44"/>
    <w:rsid w:val="009C7B99"/>
    <w:rsid w:val="009C7C20"/>
    <w:rsid w:val="009C7C4B"/>
    <w:rsid w:val="009C7CE7"/>
    <w:rsid w:val="009C7D05"/>
    <w:rsid w:val="009C7D2C"/>
    <w:rsid w:val="009C7D97"/>
    <w:rsid w:val="009C7E34"/>
    <w:rsid w:val="009C7E38"/>
    <w:rsid w:val="009C7F56"/>
    <w:rsid w:val="009D002B"/>
    <w:rsid w:val="009D0054"/>
    <w:rsid w:val="009D00FF"/>
    <w:rsid w:val="009D011A"/>
    <w:rsid w:val="009D01CB"/>
    <w:rsid w:val="009D022F"/>
    <w:rsid w:val="009D0242"/>
    <w:rsid w:val="009D0272"/>
    <w:rsid w:val="009D0335"/>
    <w:rsid w:val="009D048A"/>
    <w:rsid w:val="009D0541"/>
    <w:rsid w:val="009D0543"/>
    <w:rsid w:val="009D0642"/>
    <w:rsid w:val="009D06AD"/>
    <w:rsid w:val="009D06F0"/>
    <w:rsid w:val="009D078F"/>
    <w:rsid w:val="009D07B7"/>
    <w:rsid w:val="009D0808"/>
    <w:rsid w:val="009D0973"/>
    <w:rsid w:val="009D099A"/>
    <w:rsid w:val="009D0A45"/>
    <w:rsid w:val="009D0A51"/>
    <w:rsid w:val="009D0AEF"/>
    <w:rsid w:val="009D0C05"/>
    <w:rsid w:val="009D0C47"/>
    <w:rsid w:val="009D0D3E"/>
    <w:rsid w:val="009D0D53"/>
    <w:rsid w:val="009D0DAE"/>
    <w:rsid w:val="009D0DC2"/>
    <w:rsid w:val="009D0E01"/>
    <w:rsid w:val="009D0E5A"/>
    <w:rsid w:val="009D0FB9"/>
    <w:rsid w:val="009D0FFF"/>
    <w:rsid w:val="009D1053"/>
    <w:rsid w:val="009D10EF"/>
    <w:rsid w:val="009D11D1"/>
    <w:rsid w:val="009D126F"/>
    <w:rsid w:val="009D12B1"/>
    <w:rsid w:val="009D12B5"/>
    <w:rsid w:val="009D1372"/>
    <w:rsid w:val="009D13D1"/>
    <w:rsid w:val="009D1511"/>
    <w:rsid w:val="009D1531"/>
    <w:rsid w:val="009D1556"/>
    <w:rsid w:val="009D1586"/>
    <w:rsid w:val="009D161A"/>
    <w:rsid w:val="009D1737"/>
    <w:rsid w:val="009D17F6"/>
    <w:rsid w:val="009D1867"/>
    <w:rsid w:val="009D1908"/>
    <w:rsid w:val="009D19B6"/>
    <w:rsid w:val="009D19C1"/>
    <w:rsid w:val="009D1A15"/>
    <w:rsid w:val="009D1A6E"/>
    <w:rsid w:val="009D1A8D"/>
    <w:rsid w:val="009D1A97"/>
    <w:rsid w:val="009D1ACE"/>
    <w:rsid w:val="009D1AD0"/>
    <w:rsid w:val="009D1B00"/>
    <w:rsid w:val="009D1BF9"/>
    <w:rsid w:val="009D1C05"/>
    <w:rsid w:val="009D1CB3"/>
    <w:rsid w:val="009D1D02"/>
    <w:rsid w:val="009D1D5C"/>
    <w:rsid w:val="009D1DC6"/>
    <w:rsid w:val="009D1E40"/>
    <w:rsid w:val="009D1E72"/>
    <w:rsid w:val="009D1F3B"/>
    <w:rsid w:val="009D1F4A"/>
    <w:rsid w:val="009D1FCE"/>
    <w:rsid w:val="009D1FD1"/>
    <w:rsid w:val="009D1FE6"/>
    <w:rsid w:val="009D208E"/>
    <w:rsid w:val="009D2093"/>
    <w:rsid w:val="009D2105"/>
    <w:rsid w:val="009D2139"/>
    <w:rsid w:val="009D21AF"/>
    <w:rsid w:val="009D21D7"/>
    <w:rsid w:val="009D21E7"/>
    <w:rsid w:val="009D2227"/>
    <w:rsid w:val="009D2232"/>
    <w:rsid w:val="009D226E"/>
    <w:rsid w:val="009D22A8"/>
    <w:rsid w:val="009D2313"/>
    <w:rsid w:val="009D231E"/>
    <w:rsid w:val="009D233F"/>
    <w:rsid w:val="009D23A1"/>
    <w:rsid w:val="009D23B8"/>
    <w:rsid w:val="009D23C3"/>
    <w:rsid w:val="009D23C6"/>
    <w:rsid w:val="009D241E"/>
    <w:rsid w:val="009D245E"/>
    <w:rsid w:val="009D246F"/>
    <w:rsid w:val="009D24B9"/>
    <w:rsid w:val="009D2500"/>
    <w:rsid w:val="009D2521"/>
    <w:rsid w:val="009D2690"/>
    <w:rsid w:val="009D26C6"/>
    <w:rsid w:val="009D2703"/>
    <w:rsid w:val="009D2722"/>
    <w:rsid w:val="009D277B"/>
    <w:rsid w:val="009D27D2"/>
    <w:rsid w:val="009D27FE"/>
    <w:rsid w:val="009D2807"/>
    <w:rsid w:val="009D28E0"/>
    <w:rsid w:val="009D295F"/>
    <w:rsid w:val="009D29D2"/>
    <w:rsid w:val="009D2AF3"/>
    <w:rsid w:val="009D2B21"/>
    <w:rsid w:val="009D2CC8"/>
    <w:rsid w:val="009D2CE3"/>
    <w:rsid w:val="009D2DA7"/>
    <w:rsid w:val="009D2E3E"/>
    <w:rsid w:val="009D2E83"/>
    <w:rsid w:val="009D2E9C"/>
    <w:rsid w:val="009D2F16"/>
    <w:rsid w:val="009D2F89"/>
    <w:rsid w:val="009D2FB4"/>
    <w:rsid w:val="009D2FC4"/>
    <w:rsid w:val="009D312D"/>
    <w:rsid w:val="009D318C"/>
    <w:rsid w:val="009D31A2"/>
    <w:rsid w:val="009D31F0"/>
    <w:rsid w:val="009D32B6"/>
    <w:rsid w:val="009D3385"/>
    <w:rsid w:val="009D33ED"/>
    <w:rsid w:val="009D3446"/>
    <w:rsid w:val="009D3456"/>
    <w:rsid w:val="009D3502"/>
    <w:rsid w:val="009D35CC"/>
    <w:rsid w:val="009D3722"/>
    <w:rsid w:val="009D37AE"/>
    <w:rsid w:val="009D37C1"/>
    <w:rsid w:val="009D3811"/>
    <w:rsid w:val="009D3817"/>
    <w:rsid w:val="009D3839"/>
    <w:rsid w:val="009D3891"/>
    <w:rsid w:val="009D38D3"/>
    <w:rsid w:val="009D39C9"/>
    <w:rsid w:val="009D3A52"/>
    <w:rsid w:val="009D3AD9"/>
    <w:rsid w:val="009D3B08"/>
    <w:rsid w:val="009D3B10"/>
    <w:rsid w:val="009D3B24"/>
    <w:rsid w:val="009D3B35"/>
    <w:rsid w:val="009D3CC1"/>
    <w:rsid w:val="009D3CD7"/>
    <w:rsid w:val="009D3D3E"/>
    <w:rsid w:val="009D3D50"/>
    <w:rsid w:val="009D3D5B"/>
    <w:rsid w:val="009D3D7F"/>
    <w:rsid w:val="009D3E42"/>
    <w:rsid w:val="009D3E72"/>
    <w:rsid w:val="009D3EC1"/>
    <w:rsid w:val="009D3F40"/>
    <w:rsid w:val="009D3F6A"/>
    <w:rsid w:val="009D40CF"/>
    <w:rsid w:val="009D40F0"/>
    <w:rsid w:val="009D4114"/>
    <w:rsid w:val="009D416A"/>
    <w:rsid w:val="009D41EF"/>
    <w:rsid w:val="009D4335"/>
    <w:rsid w:val="009D444E"/>
    <w:rsid w:val="009D4466"/>
    <w:rsid w:val="009D4472"/>
    <w:rsid w:val="009D448B"/>
    <w:rsid w:val="009D44DD"/>
    <w:rsid w:val="009D4510"/>
    <w:rsid w:val="009D452C"/>
    <w:rsid w:val="009D45B3"/>
    <w:rsid w:val="009D45BD"/>
    <w:rsid w:val="009D45F1"/>
    <w:rsid w:val="009D4662"/>
    <w:rsid w:val="009D46CE"/>
    <w:rsid w:val="009D474B"/>
    <w:rsid w:val="009D478D"/>
    <w:rsid w:val="009D47D9"/>
    <w:rsid w:val="009D47E8"/>
    <w:rsid w:val="009D48D0"/>
    <w:rsid w:val="009D4922"/>
    <w:rsid w:val="009D4928"/>
    <w:rsid w:val="009D493C"/>
    <w:rsid w:val="009D4949"/>
    <w:rsid w:val="009D4973"/>
    <w:rsid w:val="009D49E5"/>
    <w:rsid w:val="009D4A02"/>
    <w:rsid w:val="009D4AA9"/>
    <w:rsid w:val="009D4AB9"/>
    <w:rsid w:val="009D4B16"/>
    <w:rsid w:val="009D4B2E"/>
    <w:rsid w:val="009D4BCB"/>
    <w:rsid w:val="009D4C21"/>
    <w:rsid w:val="009D4CFE"/>
    <w:rsid w:val="009D4D3E"/>
    <w:rsid w:val="009D4DE2"/>
    <w:rsid w:val="009D4DEF"/>
    <w:rsid w:val="009D4E6F"/>
    <w:rsid w:val="009D4EA1"/>
    <w:rsid w:val="009D4EEC"/>
    <w:rsid w:val="009D4F57"/>
    <w:rsid w:val="009D4FB3"/>
    <w:rsid w:val="009D4FD9"/>
    <w:rsid w:val="009D4FF6"/>
    <w:rsid w:val="009D4FFC"/>
    <w:rsid w:val="009D5091"/>
    <w:rsid w:val="009D50EC"/>
    <w:rsid w:val="009D50F0"/>
    <w:rsid w:val="009D5181"/>
    <w:rsid w:val="009D52C0"/>
    <w:rsid w:val="009D52CA"/>
    <w:rsid w:val="009D52D7"/>
    <w:rsid w:val="009D52DB"/>
    <w:rsid w:val="009D53FD"/>
    <w:rsid w:val="009D5419"/>
    <w:rsid w:val="009D54AE"/>
    <w:rsid w:val="009D5534"/>
    <w:rsid w:val="009D5557"/>
    <w:rsid w:val="009D5593"/>
    <w:rsid w:val="009D560A"/>
    <w:rsid w:val="009D5640"/>
    <w:rsid w:val="009D5721"/>
    <w:rsid w:val="009D57C8"/>
    <w:rsid w:val="009D5852"/>
    <w:rsid w:val="009D5858"/>
    <w:rsid w:val="009D58E7"/>
    <w:rsid w:val="009D5A9F"/>
    <w:rsid w:val="009D5AA8"/>
    <w:rsid w:val="009D5B5F"/>
    <w:rsid w:val="009D5BA2"/>
    <w:rsid w:val="009D5C8C"/>
    <w:rsid w:val="009D5D16"/>
    <w:rsid w:val="009D5D32"/>
    <w:rsid w:val="009D5D42"/>
    <w:rsid w:val="009D5D5F"/>
    <w:rsid w:val="009D5D80"/>
    <w:rsid w:val="009D5D9F"/>
    <w:rsid w:val="009D5DB9"/>
    <w:rsid w:val="009D5E42"/>
    <w:rsid w:val="009D5E8F"/>
    <w:rsid w:val="009D5EBE"/>
    <w:rsid w:val="009D5EF9"/>
    <w:rsid w:val="009D5FA1"/>
    <w:rsid w:val="009D5FE3"/>
    <w:rsid w:val="009D5FF8"/>
    <w:rsid w:val="009D6051"/>
    <w:rsid w:val="009D60C4"/>
    <w:rsid w:val="009D6103"/>
    <w:rsid w:val="009D6138"/>
    <w:rsid w:val="009D613D"/>
    <w:rsid w:val="009D6142"/>
    <w:rsid w:val="009D6199"/>
    <w:rsid w:val="009D61D8"/>
    <w:rsid w:val="009D6218"/>
    <w:rsid w:val="009D6272"/>
    <w:rsid w:val="009D6274"/>
    <w:rsid w:val="009D62B0"/>
    <w:rsid w:val="009D63CD"/>
    <w:rsid w:val="009D63FA"/>
    <w:rsid w:val="009D63FE"/>
    <w:rsid w:val="009D6429"/>
    <w:rsid w:val="009D64B5"/>
    <w:rsid w:val="009D64C6"/>
    <w:rsid w:val="009D6592"/>
    <w:rsid w:val="009D65C9"/>
    <w:rsid w:val="009D65F1"/>
    <w:rsid w:val="009D66C9"/>
    <w:rsid w:val="009D6710"/>
    <w:rsid w:val="009D67AC"/>
    <w:rsid w:val="009D685F"/>
    <w:rsid w:val="009D6890"/>
    <w:rsid w:val="009D68A5"/>
    <w:rsid w:val="009D68B3"/>
    <w:rsid w:val="009D6965"/>
    <w:rsid w:val="009D69DE"/>
    <w:rsid w:val="009D69F7"/>
    <w:rsid w:val="009D6A9A"/>
    <w:rsid w:val="009D6AD2"/>
    <w:rsid w:val="009D6B50"/>
    <w:rsid w:val="009D6B82"/>
    <w:rsid w:val="009D6C47"/>
    <w:rsid w:val="009D6C5D"/>
    <w:rsid w:val="009D6C6C"/>
    <w:rsid w:val="009D6D43"/>
    <w:rsid w:val="009D6D4F"/>
    <w:rsid w:val="009D6E44"/>
    <w:rsid w:val="009D6F0C"/>
    <w:rsid w:val="009D6F6A"/>
    <w:rsid w:val="009D6F77"/>
    <w:rsid w:val="009D6F7B"/>
    <w:rsid w:val="009D6F7F"/>
    <w:rsid w:val="009D6FF5"/>
    <w:rsid w:val="009D700C"/>
    <w:rsid w:val="009D7024"/>
    <w:rsid w:val="009D7072"/>
    <w:rsid w:val="009D707C"/>
    <w:rsid w:val="009D707F"/>
    <w:rsid w:val="009D70C0"/>
    <w:rsid w:val="009D70C6"/>
    <w:rsid w:val="009D70E9"/>
    <w:rsid w:val="009D70EE"/>
    <w:rsid w:val="009D7172"/>
    <w:rsid w:val="009D7241"/>
    <w:rsid w:val="009D7255"/>
    <w:rsid w:val="009D7257"/>
    <w:rsid w:val="009D72B2"/>
    <w:rsid w:val="009D72DC"/>
    <w:rsid w:val="009D72E9"/>
    <w:rsid w:val="009D730E"/>
    <w:rsid w:val="009D73BD"/>
    <w:rsid w:val="009D73C7"/>
    <w:rsid w:val="009D73E2"/>
    <w:rsid w:val="009D73E5"/>
    <w:rsid w:val="009D74D1"/>
    <w:rsid w:val="009D772F"/>
    <w:rsid w:val="009D775D"/>
    <w:rsid w:val="009D7778"/>
    <w:rsid w:val="009D7780"/>
    <w:rsid w:val="009D7791"/>
    <w:rsid w:val="009D77A1"/>
    <w:rsid w:val="009D77AA"/>
    <w:rsid w:val="009D77B1"/>
    <w:rsid w:val="009D78F6"/>
    <w:rsid w:val="009D7922"/>
    <w:rsid w:val="009D7967"/>
    <w:rsid w:val="009D7A00"/>
    <w:rsid w:val="009D7A02"/>
    <w:rsid w:val="009D7A54"/>
    <w:rsid w:val="009D7A76"/>
    <w:rsid w:val="009D7ACF"/>
    <w:rsid w:val="009D7B9C"/>
    <w:rsid w:val="009D7BD1"/>
    <w:rsid w:val="009D7CD4"/>
    <w:rsid w:val="009D7D23"/>
    <w:rsid w:val="009D7D2A"/>
    <w:rsid w:val="009D7D6B"/>
    <w:rsid w:val="009D7DEB"/>
    <w:rsid w:val="009D7E74"/>
    <w:rsid w:val="009D7EE7"/>
    <w:rsid w:val="009D7EF4"/>
    <w:rsid w:val="009D7FD4"/>
    <w:rsid w:val="009D7FD9"/>
    <w:rsid w:val="009D7FEF"/>
    <w:rsid w:val="009E0017"/>
    <w:rsid w:val="009E0148"/>
    <w:rsid w:val="009E018B"/>
    <w:rsid w:val="009E01AC"/>
    <w:rsid w:val="009E0282"/>
    <w:rsid w:val="009E0316"/>
    <w:rsid w:val="009E0345"/>
    <w:rsid w:val="009E0423"/>
    <w:rsid w:val="009E054C"/>
    <w:rsid w:val="009E060E"/>
    <w:rsid w:val="009E0698"/>
    <w:rsid w:val="009E0699"/>
    <w:rsid w:val="009E0791"/>
    <w:rsid w:val="009E07A5"/>
    <w:rsid w:val="009E07E8"/>
    <w:rsid w:val="009E0A4C"/>
    <w:rsid w:val="009E0A65"/>
    <w:rsid w:val="009E0A71"/>
    <w:rsid w:val="009E0A73"/>
    <w:rsid w:val="009E0A8D"/>
    <w:rsid w:val="009E0ACF"/>
    <w:rsid w:val="009E0AF7"/>
    <w:rsid w:val="009E0B28"/>
    <w:rsid w:val="009E0BA2"/>
    <w:rsid w:val="009E0BD3"/>
    <w:rsid w:val="009E0C85"/>
    <w:rsid w:val="009E0CED"/>
    <w:rsid w:val="009E0D65"/>
    <w:rsid w:val="009E0DB3"/>
    <w:rsid w:val="009E0DBD"/>
    <w:rsid w:val="009E0DEC"/>
    <w:rsid w:val="009E0E3E"/>
    <w:rsid w:val="009E0EA9"/>
    <w:rsid w:val="009E0EE7"/>
    <w:rsid w:val="009E0EF8"/>
    <w:rsid w:val="009E0F75"/>
    <w:rsid w:val="009E0F95"/>
    <w:rsid w:val="009E0FE2"/>
    <w:rsid w:val="009E101F"/>
    <w:rsid w:val="009E109F"/>
    <w:rsid w:val="009E11E5"/>
    <w:rsid w:val="009E131E"/>
    <w:rsid w:val="009E1337"/>
    <w:rsid w:val="009E133A"/>
    <w:rsid w:val="009E134B"/>
    <w:rsid w:val="009E13A5"/>
    <w:rsid w:val="009E13D0"/>
    <w:rsid w:val="009E13EB"/>
    <w:rsid w:val="009E13EE"/>
    <w:rsid w:val="009E1521"/>
    <w:rsid w:val="009E15B7"/>
    <w:rsid w:val="009E15E2"/>
    <w:rsid w:val="009E1615"/>
    <w:rsid w:val="009E1671"/>
    <w:rsid w:val="009E16E7"/>
    <w:rsid w:val="009E16F4"/>
    <w:rsid w:val="009E1703"/>
    <w:rsid w:val="009E1802"/>
    <w:rsid w:val="009E18F6"/>
    <w:rsid w:val="009E19C1"/>
    <w:rsid w:val="009E19EF"/>
    <w:rsid w:val="009E1A3E"/>
    <w:rsid w:val="009E1A89"/>
    <w:rsid w:val="009E1ACC"/>
    <w:rsid w:val="009E1AE5"/>
    <w:rsid w:val="009E1B65"/>
    <w:rsid w:val="009E1B68"/>
    <w:rsid w:val="009E1B96"/>
    <w:rsid w:val="009E1C35"/>
    <w:rsid w:val="009E1C4B"/>
    <w:rsid w:val="009E1C8D"/>
    <w:rsid w:val="009E1D18"/>
    <w:rsid w:val="009E1D29"/>
    <w:rsid w:val="009E1D99"/>
    <w:rsid w:val="009E1D9F"/>
    <w:rsid w:val="009E1DA2"/>
    <w:rsid w:val="009E1DB9"/>
    <w:rsid w:val="009E1DF2"/>
    <w:rsid w:val="009E1E0E"/>
    <w:rsid w:val="009E1E5B"/>
    <w:rsid w:val="009E1EAA"/>
    <w:rsid w:val="009E1ECA"/>
    <w:rsid w:val="009E1FE7"/>
    <w:rsid w:val="009E20AC"/>
    <w:rsid w:val="009E20FE"/>
    <w:rsid w:val="009E21C4"/>
    <w:rsid w:val="009E2239"/>
    <w:rsid w:val="009E229D"/>
    <w:rsid w:val="009E22B9"/>
    <w:rsid w:val="009E239F"/>
    <w:rsid w:val="009E23D0"/>
    <w:rsid w:val="009E23E1"/>
    <w:rsid w:val="009E247B"/>
    <w:rsid w:val="009E24AE"/>
    <w:rsid w:val="009E252F"/>
    <w:rsid w:val="009E2530"/>
    <w:rsid w:val="009E2531"/>
    <w:rsid w:val="009E25FA"/>
    <w:rsid w:val="009E28F4"/>
    <w:rsid w:val="009E2947"/>
    <w:rsid w:val="009E296E"/>
    <w:rsid w:val="009E297F"/>
    <w:rsid w:val="009E2982"/>
    <w:rsid w:val="009E29C5"/>
    <w:rsid w:val="009E2A25"/>
    <w:rsid w:val="009E2A8A"/>
    <w:rsid w:val="009E2D34"/>
    <w:rsid w:val="009E2D38"/>
    <w:rsid w:val="009E2D59"/>
    <w:rsid w:val="009E2DF0"/>
    <w:rsid w:val="009E2E80"/>
    <w:rsid w:val="009E2F0F"/>
    <w:rsid w:val="009E2FA0"/>
    <w:rsid w:val="009E2FBE"/>
    <w:rsid w:val="009E304D"/>
    <w:rsid w:val="009E30CA"/>
    <w:rsid w:val="009E317C"/>
    <w:rsid w:val="009E325B"/>
    <w:rsid w:val="009E3284"/>
    <w:rsid w:val="009E32CB"/>
    <w:rsid w:val="009E32D5"/>
    <w:rsid w:val="009E32D9"/>
    <w:rsid w:val="009E32EC"/>
    <w:rsid w:val="009E3307"/>
    <w:rsid w:val="009E33EC"/>
    <w:rsid w:val="009E3410"/>
    <w:rsid w:val="009E3486"/>
    <w:rsid w:val="009E34D5"/>
    <w:rsid w:val="009E3512"/>
    <w:rsid w:val="009E3527"/>
    <w:rsid w:val="009E3543"/>
    <w:rsid w:val="009E359E"/>
    <w:rsid w:val="009E3608"/>
    <w:rsid w:val="009E363B"/>
    <w:rsid w:val="009E3646"/>
    <w:rsid w:val="009E3653"/>
    <w:rsid w:val="009E3675"/>
    <w:rsid w:val="009E3687"/>
    <w:rsid w:val="009E36A5"/>
    <w:rsid w:val="009E36CE"/>
    <w:rsid w:val="009E3707"/>
    <w:rsid w:val="009E38F4"/>
    <w:rsid w:val="009E392E"/>
    <w:rsid w:val="009E3939"/>
    <w:rsid w:val="009E3977"/>
    <w:rsid w:val="009E39F4"/>
    <w:rsid w:val="009E3A2C"/>
    <w:rsid w:val="009E3A69"/>
    <w:rsid w:val="009E3AF9"/>
    <w:rsid w:val="009E3C41"/>
    <w:rsid w:val="009E3C7F"/>
    <w:rsid w:val="009E3C96"/>
    <w:rsid w:val="009E3CA4"/>
    <w:rsid w:val="009E3CFF"/>
    <w:rsid w:val="009E3D96"/>
    <w:rsid w:val="009E3DA2"/>
    <w:rsid w:val="009E3DA7"/>
    <w:rsid w:val="009E3DEC"/>
    <w:rsid w:val="009E3E20"/>
    <w:rsid w:val="009E3E38"/>
    <w:rsid w:val="009E3E9E"/>
    <w:rsid w:val="009E3EFC"/>
    <w:rsid w:val="009E3F92"/>
    <w:rsid w:val="009E3F99"/>
    <w:rsid w:val="009E3FCE"/>
    <w:rsid w:val="009E3FD1"/>
    <w:rsid w:val="009E3FF7"/>
    <w:rsid w:val="009E3FFB"/>
    <w:rsid w:val="009E4009"/>
    <w:rsid w:val="009E409A"/>
    <w:rsid w:val="009E40A2"/>
    <w:rsid w:val="009E4208"/>
    <w:rsid w:val="009E423C"/>
    <w:rsid w:val="009E427E"/>
    <w:rsid w:val="009E42B9"/>
    <w:rsid w:val="009E432C"/>
    <w:rsid w:val="009E434C"/>
    <w:rsid w:val="009E43A8"/>
    <w:rsid w:val="009E44A9"/>
    <w:rsid w:val="009E44B4"/>
    <w:rsid w:val="009E44F4"/>
    <w:rsid w:val="009E4524"/>
    <w:rsid w:val="009E452F"/>
    <w:rsid w:val="009E4548"/>
    <w:rsid w:val="009E45F5"/>
    <w:rsid w:val="009E45FD"/>
    <w:rsid w:val="009E4798"/>
    <w:rsid w:val="009E47F8"/>
    <w:rsid w:val="009E4803"/>
    <w:rsid w:val="009E4843"/>
    <w:rsid w:val="009E48B9"/>
    <w:rsid w:val="009E4907"/>
    <w:rsid w:val="009E4918"/>
    <w:rsid w:val="009E4979"/>
    <w:rsid w:val="009E4A56"/>
    <w:rsid w:val="009E4A88"/>
    <w:rsid w:val="009E4B1B"/>
    <w:rsid w:val="009E4BD5"/>
    <w:rsid w:val="009E4BDF"/>
    <w:rsid w:val="009E4BE8"/>
    <w:rsid w:val="009E4BF3"/>
    <w:rsid w:val="009E4BF7"/>
    <w:rsid w:val="009E4CD3"/>
    <w:rsid w:val="009E4D5E"/>
    <w:rsid w:val="009E4DF3"/>
    <w:rsid w:val="009E4E7F"/>
    <w:rsid w:val="009E4EC7"/>
    <w:rsid w:val="009E4FDE"/>
    <w:rsid w:val="009E5049"/>
    <w:rsid w:val="009E508C"/>
    <w:rsid w:val="009E509B"/>
    <w:rsid w:val="009E50A6"/>
    <w:rsid w:val="009E50A8"/>
    <w:rsid w:val="009E50D1"/>
    <w:rsid w:val="009E50E2"/>
    <w:rsid w:val="009E516D"/>
    <w:rsid w:val="009E519F"/>
    <w:rsid w:val="009E51F9"/>
    <w:rsid w:val="009E5243"/>
    <w:rsid w:val="009E5353"/>
    <w:rsid w:val="009E537E"/>
    <w:rsid w:val="009E53DA"/>
    <w:rsid w:val="009E53E7"/>
    <w:rsid w:val="009E5417"/>
    <w:rsid w:val="009E5477"/>
    <w:rsid w:val="009E5497"/>
    <w:rsid w:val="009E5552"/>
    <w:rsid w:val="009E5598"/>
    <w:rsid w:val="009E55C9"/>
    <w:rsid w:val="009E5627"/>
    <w:rsid w:val="009E5723"/>
    <w:rsid w:val="009E572E"/>
    <w:rsid w:val="009E582A"/>
    <w:rsid w:val="009E583C"/>
    <w:rsid w:val="009E58B5"/>
    <w:rsid w:val="009E5921"/>
    <w:rsid w:val="009E5956"/>
    <w:rsid w:val="009E5991"/>
    <w:rsid w:val="009E59FF"/>
    <w:rsid w:val="009E5A22"/>
    <w:rsid w:val="009E5A7A"/>
    <w:rsid w:val="009E5AEB"/>
    <w:rsid w:val="009E5B00"/>
    <w:rsid w:val="009E5B07"/>
    <w:rsid w:val="009E5B09"/>
    <w:rsid w:val="009E5B9B"/>
    <w:rsid w:val="009E5BF0"/>
    <w:rsid w:val="009E5C95"/>
    <w:rsid w:val="009E5D71"/>
    <w:rsid w:val="009E5D7D"/>
    <w:rsid w:val="009E5E39"/>
    <w:rsid w:val="009E5F65"/>
    <w:rsid w:val="009E5F98"/>
    <w:rsid w:val="009E5FAB"/>
    <w:rsid w:val="009E6001"/>
    <w:rsid w:val="009E6132"/>
    <w:rsid w:val="009E6201"/>
    <w:rsid w:val="009E6212"/>
    <w:rsid w:val="009E6258"/>
    <w:rsid w:val="009E6264"/>
    <w:rsid w:val="009E628F"/>
    <w:rsid w:val="009E6308"/>
    <w:rsid w:val="009E6381"/>
    <w:rsid w:val="009E6415"/>
    <w:rsid w:val="009E643C"/>
    <w:rsid w:val="009E6516"/>
    <w:rsid w:val="009E6557"/>
    <w:rsid w:val="009E659A"/>
    <w:rsid w:val="009E65A0"/>
    <w:rsid w:val="009E662A"/>
    <w:rsid w:val="009E6646"/>
    <w:rsid w:val="009E6713"/>
    <w:rsid w:val="009E671D"/>
    <w:rsid w:val="009E6739"/>
    <w:rsid w:val="009E6808"/>
    <w:rsid w:val="009E6906"/>
    <w:rsid w:val="009E690A"/>
    <w:rsid w:val="009E697C"/>
    <w:rsid w:val="009E6981"/>
    <w:rsid w:val="009E69C9"/>
    <w:rsid w:val="009E6A3B"/>
    <w:rsid w:val="009E6A44"/>
    <w:rsid w:val="009E6A81"/>
    <w:rsid w:val="009E6A87"/>
    <w:rsid w:val="009E6A9B"/>
    <w:rsid w:val="009E6AAF"/>
    <w:rsid w:val="009E6ADE"/>
    <w:rsid w:val="009E6B26"/>
    <w:rsid w:val="009E6B76"/>
    <w:rsid w:val="009E6B9E"/>
    <w:rsid w:val="009E6BCB"/>
    <w:rsid w:val="009E6C05"/>
    <w:rsid w:val="009E6C31"/>
    <w:rsid w:val="009E6C53"/>
    <w:rsid w:val="009E6D17"/>
    <w:rsid w:val="009E6D5D"/>
    <w:rsid w:val="009E6D88"/>
    <w:rsid w:val="009E6DA1"/>
    <w:rsid w:val="009E6E00"/>
    <w:rsid w:val="009E6E22"/>
    <w:rsid w:val="009E6EC9"/>
    <w:rsid w:val="009E6ECD"/>
    <w:rsid w:val="009E6ED0"/>
    <w:rsid w:val="009E6F18"/>
    <w:rsid w:val="009E6F49"/>
    <w:rsid w:val="009E6FC4"/>
    <w:rsid w:val="009E6FC5"/>
    <w:rsid w:val="009E7061"/>
    <w:rsid w:val="009E707B"/>
    <w:rsid w:val="009E70C0"/>
    <w:rsid w:val="009E7192"/>
    <w:rsid w:val="009E71AF"/>
    <w:rsid w:val="009E71DC"/>
    <w:rsid w:val="009E7272"/>
    <w:rsid w:val="009E7276"/>
    <w:rsid w:val="009E72D9"/>
    <w:rsid w:val="009E7313"/>
    <w:rsid w:val="009E7350"/>
    <w:rsid w:val="009E74A5"/>
    <w:rsid w:val="009E74E3"/>
    <w:rsid w:val="009E74F8"/>
    <w:rsid w:val="009E7509"/>
    <w:rsid w:val="009E753F"/>
    <w:rsid w:val="009E7540"/>
    <w:rsid w:val="009E75F8"/>
    <w:rsid w:val="009E7648"/>
    <w:rsid w:val="009E76D4"/>
    <w:rsid w:val="009E76F0"/>
    <w:rsid w:val="009E7726"/>
    <w:rsid w:val="009E772D"/>
    <w:rsid w:val="009E7732"/>
    <w:rsid w:val="009E776E"/>
    <w:rsid w:val="009E7775"/>
    <w:rsid w:val="009E77FE"/>
    <w:rsid w:val="009E78BC"/>
    <w:rsid w:val="009E7929"/>
    <w:rsid w:val="009E79CE"/>
    <w:rsid w:val="009E7A2A"/>
    <w:rsid w:val="009E7AB4"/>
    <w:rsid w:val="009E7AF0"/>
    <w:rsid w:val="009E7B11"/>
    <w:rsid w:val="009E7B30"/>
    <w:rsid w:val="009E7B42"/>
    <w:rsid w:val="009E7B6A"/>
    <w:rsid w:val="009E7B87"/>
    <w:rsid w:val="009E7B92"/>
    <w:rsid w:val="009E7BB0"/>
    <w:rsid w:val="009E7C0D"/>
    <w:rsid w:val="009E7C5D"/>
    <w:rsid w:val="009E7CCB"/>
    <w:rsid w:val="009E7D25"/>
    <w:rsid w:val="009E7D6D"/>
    <w:rsid w:val="009E7E01"/>
    <w:rsid w:val="009E7E03"/>
    <w:rsid w:val="009E7E41"/>
    <w:rsid w:val="009E7F08"/>
    <w:rsid w:val="009E7F2D"/>
    <w:rsid w:val="009E7F5E"/>
    <w:rsid w:val="009E7FCC"/>
    <w:rsid w:val="009F00F3"/>
    <w:rsid w:val="009F015B"/>
    <w:rsid w:val="009F01C0"/>
    <w:rsid w:val="009F01CF"/>
    <w:rsid w:val="009F0202"/>
    <w:rsid w:val="009F02E8"/>
    <w:rsid w:val="009F02E9"/>
    <w:rsid w:val="009F02FB"/>
    <w:rsid w:val="009F033A"/>
    <w:rsid w:val="009F0352"/>
    <w:rsid w:val="009F0379"/>
    <w:rsid w:val="009F03C4"/>
    <w:rsid w:val="009F03E9"/>
    <w:rsid w:val="009F0413"/>
    <w:rsid w:val="009F042F"/>
    <w:rsid w:val="009F043F"/>
    <w:rsid w:val="009F045C"/>
    <w:rsid w:val="009F049F"/>
    <w:rsid w:val="009F0525"/>
    <w:rsid w:val="009F052D"/>
    <w:rsid w:val="009F0557"/>
    <w:rsid w:val="009F0575"/>
    <w:rsid w:val="009F0598"/>
    <w:rsid w:val="009F05FF"/>
    <w:rsid w:val="009F0665"/>
    <w:rsid w:val="009F0667"/>
    <w:rsid w:val="009F0672"/>
    <w:rsid w:val="009F0693"/>
    <w:rsid w:val="009F06CE"/>
    <w:rsid w:val="009F06D7"/>
    <w:rsid w:val="009F0800"/>
    <w:rsid w:val="009F08A9"/>
    <w:rsid w:val="009F08FD"/>
    <w:rsid w:val="009F0926"/>
    <w:rsid w:val="009F0A5C"/>
    <w:rsid w:val="009F0A82"/>
    <w:rsid w:val="009F0AD7"/>
    <w:rsid w:val="009F0B15"/>
    <w:rsid w:val="009F0B44"/>
    <w:rsid w:val="009F0B4A"/>
    <w:rsid w:val="009F0B69"/>
    <w:rsid w:val="009F0B7F"/>
    <w:rsid w:val="009F0BA5"/>
    <w:rsid w:val="009F0BE8"/>
    <w:rsid w:val="009F0C12"/>
    <w:rsid w:val="009F0C59"/>
    <w:rsid w:val="009F0C7C"/>
    <w:rsid w:val="009F0C96"/>
    <w:rsid w:val="009F0CA7"/>
    <w:rsid w:val="009F0CAA"/>
    <w:rsid w:val="009F0CC7"/>
    <w:rsid w:val="009F0CD3"/>
    <w:rsid w:val="009F0CE4"/>
    <w:rsid w:val="009F0D1F"/>
    <w:rsid w:val="009F0D70"/>
    <w:rsid w:val="009F0D72"/>
    <w:rsid w:val="009F0D7C"/>
    <w:rsid w:val="009F0D8D"/>
    <w:rsid w:val="009F0E17"/>
    <w:rsid w:val="009F0E33"/>
    <w:rsid w:val="009F0E65"/>
    <w:rsid w:val="009F0EB3"/>
    <w:rsid w:val="009F0EC7"/>
    <w:rsid w:val="009F0EE9"/>
    <w:rsid w:val="009F0F58"/>
    <w:rsid w:val="009F0F64"/>
    <w:rsid w:val="009F0F80"/>
    <w:rsid w:val="009F0FF2"/>
    <w:rsid w:val="009F0FF4"/>
    <w:rsid w:val="009F0FFD"/>
    <w:rsid w:val="009F1044"/>
    <w:rsid w:val="009F10B9"/>
    <w:rsid w:val="009F112A"/>
    <w:rsid w:val="009F112B"/>
    <w:rsid w:val="009F1194"/>
    <w:rsid w:val="009F11F1"/>
    <w:rsid w:val="009F1228"/>
    <w:rsid w:val="009F126B"/>
    <w:rsid w:val="009F132C"/>
    <w:rsid w:val="009F1358"/>
    <w:rsid w:val="009F135A"/>
    <w:rsid w:val="009F141D"/>
    <w:rsid w:val="009F1448"/>
    <w:rsid w:val="009F1493"/>
    <w:rsid w:val="009F1595"/>
    <w:rsid w:val="009F15D1"/>
    <w:rsid w:val="009F1600"/>
    <w:rsid w:val="009F1635"/>
    <w:rsid w:val="009F1638"/>
    <w:rsid w:val="009F165D"/>
    <w:rsid w:val="009F168E"/>
    <w:rsid w:val="009F1754"/>
    <w:rsid w:val="009F1777"/>
    <w:rsid w:val="009F1799"/>
    <w:rsid w:val="009F18B1"/>
    <w:rsid w:val="009F18BC"/>
    <w:rsid w:val="009F18DB"/>
    <w:rsid w:val="009F196B"/>
    <w:rsid w:val="009F1985"/>
    <w:rsid w:val="009F19AA"/>
    <w:rsid w:val="009F19D9"/>
    <w:rsid w:val="009F1AFB"/>
    <w:rsid w:val="009F1B2B"/>
    <w:rsid w:val="009F1B8B"/>
    <w:rsid w:val="009F1BCC"/>
    <w:rsid w:val="009F1D70"/>
    <w:rsid w:val="009F1DA4"/>
    <w:rsid w:val="009F1E24"/>
    <w:rsid w:val="009F1EAA"/>
    <w:rsid w:val="009F1F15"/>
    <w:rsid w:val="009F1F4D"/>
    <w:rsid w:val="009F1FD4"/>
    <w:rsid w:val="009F1FDB"/>
    <w:rsid w:val="009F20B4"/>
    <w:rsid w:val="009F2110"/>
    <w:rsid w:val="009F2157"/>
    <w:rsid w:val="009F2186"/>
    <w:rsid w:val="009F21F6"/>
    <w:rsid w:val="009F21F8"/>
    <w:rsid w:val="009F2257"/>
    <w:rsid w:val="009F22AF"/>
    <w:rsid w:val="009F235C"/>
    <w:rsid w:val="009F2363"/>
    <w:rsid w:val="009F24D6"/>
    <w:rsid w:val="009F2502"/>
    <w:rsid w:val="009F2575"/>
    <w:rsid w:val="009F25A6"/>
    <w:rsid w:val="009F2694"/>
    <w:rsid w:val="009F26CB"/>
    <w:rsid w:val="009F26D9"/>
    <w:rsid w:val="009F26DC"/>
    <w:rsid w:val="009F26E2"/>
    <w:rsid w:val="009F26F2"/>
    <w:rsid w:val="009F2744"/>
    <w:rsid w:val="009F27FA"/>
    <w:rsid w:val="009F283E"/>
    <w:rsid w:val="009F2842"/>
    <w:rsid w:val="009F28D6"/>
    <w:rsid w:val="009F28FE"/>
    <w:rsid w:val="009F296B"/>
    <w:rsid w:val="009F29AC"/>
    <w:rsid w:val="009F29BD"/>
    <w:rsid w:val="009F29C5"/>
    <w:rsid w:val="009F2A41"/>
    <w:rsid w:val="009F2ABF"/>
    <w:rsid w:val="009F2B40"/>
    <w:rsid w:val="009F2C4D"/>
    <w:rsid w:val="009F2CEC"/>
    <w:rsid w:val="009F2CFF"/>
    <w:rsid w:val="009F2DFD"/>
    <w:rsid w:val="009F2EB1"/>
    <w:rsid w:val="009F2EEB"/>
    <w:rsid w:val="009F2EF9"/>
    <w:rsid w:val="009F2F07"/>
    <w:rsid w:val="009F2F4B"/>
    <w:rsid w:val="009F2FAE"/>
    <w:rsid w:val="009F2FF2"/>
    <w:rsid w:val="009F3035"/>
    <w:rsid w:val="009F30AE"/>
    <w:rsid w:val="009F313A"/>
    <w:rsid w:val="009F318A"/>
    <w:rsid w:val="009F31CA"/>
    <w:rsid w:val="009F320C"/>
    <w:rsid w:val="009F3211"/>
    <w:rsid w:val="009F324A"/>
    <w:rsid w:val="009F335F"/>
    <w:rsid w:val="009F3412"/>
    <w:rsid w:val="009F350E"/>
    <w:rsid w:val="009F3528"/>
    <w:rsid w:val="009F3562"/>
    <w:rsid w:val="009F35F2"/>
    <w:rsid w:val="009F35F5"/>
    <w:rsid w:val="009F3745"/>
    <w:rsid w:val="009F37F6"/>
    <w:rsid w:val="009F38A6"/>
    <w:rsid w:val="009F38F6"/>
    <w:rsid w:val="009F3927"/>
    <w:rsid w:val="009F3968"/>
    <w:rsid w:val="009F3992"/>
    <w:rsid w:val="009F39F2"/>
    <w:rsid w:val="009F3A32"/>
    <w:rsid w:val="009F3A5E"/>
    <w:rsid w:val="009F3AB2"/>
    <w:rsid w:val="009F3BAE"/>
    <w:rsid w:val="009F3C15"/>
    <w:rsid w:val="009F3C85"/>
    <w:rsid w:val="009F3D44"/>
    <w:rsid w:val="009F3D9A"/>
    <w:rsid w:val="009F3DA3"/>
    <w:rsid w:val="009F3E2A"/>
    <w:rsid w:val="009F3E48"/>
    <w:rsid w:val="009F400D"/>
    <w:rsid w:val="009F404E"/>
    <w:rsid w:val="009F40D5"/>
    <w:rsid w:val="009F4148"/>
    <w:rsid w:val="009F4150"/>
    <w:rsid w:val="009F417E"/>
    <w:rsid w:val="009F428E"/>
    <w:rsid w:val="009F429B"/>
    <w:rsid w:val="009F42E9"/>
    <w:rsid w:val="009F4337"/>
    <w:rsid w:val="009F433D"/>
    <w:rsid w:val="009F4388"/>
    <w:rsid w:val="009F4391"/>
    <w:rsid w:val="009F43E3"/>
    <w:rsid w:val="009F43F4"/>
    <w:rsid w:val="009F440A"/>
    <w:rsid w:val="009F4484"/>
    <w:rsid w:val="009F44AC"/>
    <w:rsid w:val="009F44D6"/>
    <w:rsid w:val="009F450F"/>
    <w:rsid w:val="009F452C"/>
    <w:rsid w:val="009F4531"/>
    <w:rsid w:val="009F4575"/>
    <w:rsid w:val="009F45B0"/>
    <w:rsid w:val="009F45B3"/>
    <w:rsid w:val="009F45B6"/>
    <w:rsid w:val="009F4626"/>
    <w:rsid w:val="009F4658"/>
    <w:rsid w:val="009F4689"/>
    <w:rsid w:val="009F46DC"/>
    <w:rsid w:val="009F4843"/>
    <w:rsid w:val="009F4876"/>
    <w:rsid w:val="009F48B9"/>
    <w:rsid w:val="009F48C8"/>
    <w:rsid w:val="009F48E0"/>
    <w:rsid w:val="009F4931"/>
    <w:rsid w:val="009F4939"/>
    <w:rsid w:val="009F498C"/>
    <w:rsid w:val="009F49B9"/>
    <w:rsid w:val="009F49CE"/>
    <w:rsid w:val="009F4A89"/>
    <w:rsid w:val="009F4B5A"/>
    <w:rsid w:val="009F4B68"/>
    <w:rsid w:val="009F4B99"/>
    <w:rsid w:val="009F4BC3"/>
    <w:rsid w:val="009F4C95"/>
    <w:rsid w:val="009F4CF0"/>
    <w:rsid w:val="009F4D23"/>
    <w:rsid w:val="009F4DF2"/>
    <w:rsid w:val="009F4DFB"/>
    <w:rsid w:val="009F4E1D"/>
    <w:rsid w:val="009F4E3E"/>
    <w:rsid w:val="009F500E"/>
    <w:rsid w:val="009F50C1"/>
    <w:rsid w:val="009F5116"/>
    <w:rsid w:val="009F511D"/>
    <w:rsid w:val="009F5121"/>
    <w:rsid w:val="009F512F"/>
    <w:rsid w:val="009F5150"/>
    <w:rsid w:val="009F5276"/>
    <w:rsid w:val="009F52D5"/>
    <w:rsid w:val="009F52E5"/>
    <w:rsid w:val="009F5312"/>
    <w:rsid w:val="009F5492"/>
    <w:rsid w:val="009F5498"/>
    <w:rsid w:val="009F54B6"/>
    <w:rsid w:val="009F54BF"/>
    <w:rsid w:val="009F5549"/>
    <w:rsid w:val="009F5560"/>
    <w:rsid w:val="009F557A"/>
    <w:rsid w:val="009F5819"/>
    <w:rsid w:val="009F58A3"/>
    <w:rsid w:val="009F58FE"/>
    <w:rsid w:val="009F5901"/>
    <w:rsid w:val="009F5907"/>
    <w:rsid w:val="009F5916"/>
    <w:rsid w:val="009F594D"/>
    <w:rsid w:val="009F5961"/>
    <w:rsid w:val="009F59A3"/>
    <w:rsid w:val="009F5A3E"/>
    <w:rsid w:val="009F5A4D"/>
    <w:rsid w:val="009F5A81"/>
    <w:rsid w:val="009F5B13"/>
    <w:rsid w:val="009F5B7D"/>
    <w:rsid w:val="009F5BC0"/>
    <w:rsid w:val="009F5C92"/>
    <w:rsid w:val="009F5CA8"/>
    <w:rsid w:val="009F5CE5"/>
    <w:rsid w:val="009F5CFD"/>
    <w:rsid w:val="009F5D53"/>
    <w:rsid w:val="009F5D5D"/>
    <w:rsid w:val="009F5D6F"/>
    <w:rsid w:val="009F5D84"/>
    <w:rsid w:val="009F5DB1"/>
    <w:rsid w:val="009F5E15"/>
    <w:rsid w:val="009F5EBE"/>
    <w:rsid w:val="009F5EC6"/>
    <w:rsid w:val="009F5EF5"/>
    <w:rsid w:val="009F5F32"/>
    <w:rsid w:val="009F5F48"/>
    <w:rsid w:val="009F603A"/>
    <w:rsid w:val="009F6088"/>
    <w:rsid w:val="009F608D"/>
    <w:rsid w:val="009F60A2"/>
    <w:rsid w:val="009F6104"/>
    <w:rsid w:val="009F6138"/>
    <w:rsid w:val="009F6179"/>
    <w:rsid w:val="009F61FB"/>
    <w:rsid w:val="009F620A"/>
    <w:rsid w:val="009F6211"/>
    <w:rsid w:val="009F62FF"/>
    <w:rsid w:val="009F6389"/>
    <w:rsid w:val="009F64D9"/>
    <w:rsid w:val="009F6519"/>
    <w:rsid w:val="009F65C0"/>
    <w:rsid w:val="009F65C8"/>
    <w:rsid w:val="009F664A"/>
    <w:rsid w:val="009F669C"/>
    <w:rsid w:val="009F66E3"/>
    <w:rsid w:val="009F6757"/>
    <w:rsid w:val="009F67C7"/>
    <w:rsid w:val="009F67D1"/>
    <w:rsid w:val="009F67FC"/>
    <w:rsid w:val="009F681C"/>
    <w:rsid w:val="009F687B"/>
    <w:rsid w:val="009F68A1"/>
    <w:rsid w:val="009F68A5"/>
    <w:rsid w:val="009F68B1"/>
    <w:rsid w:val="009F697C"/>
    <w:rsid w:val="009F69E6"/>
    <w:rsid w:val="009F6A08"/>
    <w:rsid w:val="009F6A25"/>
    <w:rsid w:val="009F6A2E"/>
    <w:rsid w:val="009F6AC1"/>
    <w:rsid w:val="009F6AC8"/>
    <w:rsid w:val="009F6B44"/>
    <w:rsid w:val="009F6B7E"/>
    <w:rsid w:val="009F6BF0"/>
    <w:rsid w:val="009F6BFF"/>
    <w:rsid w:val="009F6C05"/>
    <w:rsid w:val="009F6C0E"/>
    <w:rsid w:val="009F6C8F"/>
    <w:rsid w:val="009F6D6F"/>
    <w:rsid w:val="009F6D99"/>
    <w:rsid w:val="009F6DCE"/>
    <w:rsid w:val="009F6DDA"/>
    <w:rsid w:val="009F6E16"/>
    <w:rsid w:val="009F6E40"/>
    <w:rsid w:val="009F6E5C"/>
    <w:rsid w:val="009F6E63"/>
    <w:rsid w:val="009F6EA6"/>
    <w:rsid w:val="009F6EC1"/>
    <w:rsid w:val="009F6EFE"/>
    <w:rsid w:val="009F6F64"/>
    <w:rsid w:val="009F6F8A"/>
    <w:rsid w:val="009F6FBB"/>
    <w:rsid w:val="009F6FC4"/>
    <w:rsid w:val="009F6FEF"/>
    <w:rsid w:val="009F700C"/>
    <w:rsid w:val="009F7024"/>
    <w:rsid w:val="009F708E"/>
    <w:rsid w:val="009F70AC"/>
    <w:rsid w:val="009F70F9"/>
    <w:rsid w:val="009F714E"/>
    <w:rsid w:val="009F71ED"/>
    <w:rsid w:val="009F71F1"/>
    <w:rsid w:val="009F71FE"/>
    <w:rsid w:val="009F71FF"/>
    <w:rsid w:val="009F7277"/>
    <w:rsid w:val="009F743E"/>
    <w:rsid w:val="009F74B0"/>
    <w:rsid w:val="009F7543"/>
    <w:rsid w:val="009F75E7"/>
    <w:rsid w:val="009F75F9"/>
    <w:rsid w:val="009F7673"/>
    <w:rsid w:val="009F769B"/>
    <w:rsid w:val="009F76C7"/>
    <w:rsid w:val="009F776B"/>
    <w:rsid w:val="009F777F"/>
    <w:rsid w:val="009F77D3"/>
    <w:rsid w:val="009F77F5"/>
    <w:rsid w:val="009F786A"/>
    <w:rsid w:val="009F7884"/>
    <w:rsid w:val="009F78F4"/>
    <w:rsid w:val="009F78FB"/>
    <w:rsid w:val="009F7992"/>
    <w:rsid w:val="009F7997"/>
    <w:rsid w:val="009F7A07"/>
    <w:rsid w:val="009F7A2D"/>
    <w:rsid w:val="009F7A2F"/>
    <w:rsid w:val="009F7AE9"/>
    <w:rsid w:val="009F7B07"/>
    <w:rsid w:val="009F7B12"/>
    <w:rsid w:val="009F7B62"/>
    <w:rsid w:val="009F7B91"/>
    <w:rsid w:val="009F7CB3"/>
    <w:rsid w:val="009F7D19"/>
    <w:rsid w:val="009F7D89"/>
    <w:rsid w:val="009F7D99"/>
    <w:rsid w:val="009F7DC1"/>
    <w:rsid w:val="009F7E09"/>
    <w:rsid w:val="009F7E23"/>
    <w:rsid w:val="009F7EE7"/>
    <w:rsid w:val="009F7EF2"/>
    <w:rsid w:val="009F7F24"/>
    <w:rsid w:val="009F7F3A"/>
    <w:rsid w:val="009F7F70"/>
    <w:rsid w:val="009F7F73"/>
    <w:rsid w:val="009F7FFD"/>
    <w:rsid w:val="00A000AD"/>
    <w:rsid w:val="00A00120"/>
    <w:rsid w:val="00A00128"/>
    <w:rsid w:val="00A00143"/>
    <w:rsid w:val="00A0015A"/>
    <w:rsid w:val="00A001F1"/>
    <w:rsid w:val="00A00226"/>
    <w:rsid w:val="00A0026C"/>
    <w:rsid w:val="00A002B7"/>
    <w:rsid w:val="00A002B9"/>
    <w:rsid w:val="00A00332"/>
    <w:rsid w:val="00A0036F"/>
    <w:rsid w:val="00A003CE"/>
    <w:rsid w:val="00A003DB"/>
    <w:rsid w:val="00A0044C"/>
    <w:rsid w:val="00A00469"/>
    <w:rsid w:val="00A00472"/>
    <w:rsid w:val="00A0047D"/>
    <w:rsid w:val="00A00480"/>
    <w:rsid w:val="00A004CC"/>
    <w:rsid w:val="00A0057E"/>
    <w:rsid w:val="00A0058B"/>
    <w:rsid w:val="00A005CF"/>
    <w:rsid w:val="00A005E3"/>
    <w:rsid w:val="00A00628"/>
    <w:rsid w:val="00A0068C"/>
    <w:rsid w:val="00A006E4"/>
    <w:rsid w:val="00A007A2"/>
    <w:rsid w:val="00A00888"/>
    <w:rsid w:val="00A00904"/>
    <w:rsid w:val="00A00926"/>
    <w:rsid w:val="00A00950"/>
    <w:rsid w:val="00A009DD"/>
    <w:rsid w:val="00A00B14"/>
    <w:rsid w:val="00A00B79"/>
    <w:rsid w:val="00A00B92"/>
    <w:rsid w:val="00A00B9D"/>
    <w:rsid w:val="00A00BDE"/>
    <w:rsid w:val="00A00C21"/>
    <w:rsid w:val="00A00C2B"/>
    <w:rsid w:val="00A00CD1"/>
    <w:rsid w:val="00A00CE6"/>
    <w:rsid w:val="00A00CF8"/>
    <w:rsid w:val="00A00D13"/>
    <w:rsid w:val="00A00D33"/>
    <w:rsid w:val="00A00D8C"/>
    <w:rsid w:val="00A00D92"/>
    <w:rsid w:val="00A00E49"/>
    <w:rsid w:val="00A00E78"/>
    <w:rsid w:val="00A00F97"/>
    <w:rsid w:val="00A010B0"/>
    <w:rsid w:val="00A0121F"/>
    <w:rsid w:val="00A0130F"/>
    <w:rsid w:val="00A01322"/>
    <w:rsid w:val="00A0138D"/>
    <w:rsid w:val="00A013AA"/>
    <w:rsid w:val="00A01420"/>
    <w:rsid w:val="00A01425"/>
    <w:rsid w:val="00A01428"/>
    <w:rsid w:val="00A0144F"/>
    <w:rsid w:val="00A01476"/>
    <w:rsid w:val="00A0148B"/>
    <w:rsid w:val="00A014C2"/>
    <w:rsid w:val="00A014EB"/>
    <w:rsid w:val="00A01512"/>
    <w:rsid w:val="00A015C2"/>
    <w:rsid w:val="00A015D8"/>
    <w:rsid w:val="00A01659"/>
    <w:rsid w:val="00A016AF"/>
    <w:rsid w:val="00A016D1"/>
    <w:rsid w:val="00A016DF"/>
    <w:rsid w:val="00A0171C"/>
    <w:rsid w:val="00A0173B"/>
    <w:rsid w:val="00A01773"/>
    <w:rsid w:val="00A0185B"/>
    <w:rsid w:val="00A01931"/>
    <w:rsid w:val="00A01952"/>
    <w:rsid w:val="00A01A16"/>
    <w:rsid w:val="00A01A4A"/>
    <w:rsid w:val="00A01ABD"/>
    <w:rsid w:val="00A01BE1"/>
    <w:rsid w:val="00A01C18"/>
    <w:rsid w:val="00A01CC6"/>
    <w:rsid w:val="00A01D0B"/>
    <w:rsid w:val="00A01D45"/>
    <w:rsid w:val="00A01D47"/>
    <w:rsid w:val="00A01D6D"/>
    <w:rsid w:val="00A01D81"/>
    <w:rsid w:val="00A01DA1"/>
    <w:rsid w:val="00A01E55"/>
    <w:rsid w:val="00A01E80"/>
    <w:rsid w:val="00A02018"/>
    <w:rsid w:val="00A020EC"/>
    <w:rsid w:val="00A020F7"/>
    <w:rsid w:val="00A021C1"/>
    <w:rsid w:val="00A021C6"/>
    <w:rsid w:val="00A022D6"/>
    <w:rsid w:val="00A02478"/>
    <w:rsid w:val="00A02481"/>
    <w:rsid w:val="00A0252C"/>
    <w:rsid w:val="00A025A3"/>
    <w:rsid w:val="00A025F1"/>
    <w:rsid w:val="00A02636"/>
    <w:rsid w:val="00A026A2"/>
    <w:rsid w:val="00A026B0"/>
    <w:rsid w:val="00A0271C"/>
    <w:rsid w:val="00A0279E"/>
    <w:rsid w:val="00A02805"/>
    <w:rsid w:val="00A0288A"/>
    <w:rsid w:val="00A02953"/>
    <w:rsid w:val="00A02971"/>
    <w:rsid w:val="00A029D2"/>
    <w:rsid w:val="00A02A39"/>
    <w:rsid w:val="00A02A5B"/>
    <w:rsid w:val="00A02AFD"/>
    <w:rsid w:val="00A02B56"/>
    <w:rsid w:val="00A02BDE"/>
    <w:rsid w:val="00A02BEE"/>
    <w:rsid w:val="00A02C02"/>
    <w:rsid w:val="00A02C28"/>
    <w:rsid w:val="00A02C56"/>
    <w:rsid w:val="00A02C76"/>
    <w:rsid w:val="00A02D38"/>
    <w:rsid w:val="00A02D44"/>
    <w:rsid w:val="00A02D4B"/>
    <w:rsid w:val="00A02DED"/>
    <w:rsid w:val="00A02E10"/>
    <w:rsid w:val="00A02E46"/>
    <w:rsid w:val="00A02E87"/>
    <w:rsid w:val="00A02EA2"/>
    <w:rsid w:val="00A02EED"/>
    <w:rsid w:val="00A02F6D"/>
    <w:rsid w:val="00A03046"/>
    <w:rsid w:val="00A03112"/>
    <w:rsid w:val="00A03152"/>
    <w:rsid w:val="00A031E9"/>
    <w:rsid w:val="00A03207"/>
    <w:rsid w:val="00A03290"/>
    <w:rsid w:val="00A032E4"/>
    <w:rsid w:val="00A03316"/>
    <w:rsid w:val="00A03345"/>
    <w:rsid w:val="00A03350"/>
    <w:rsid w:val="00A034EB"/>
    <w:rsid w:val="00A035BE"/>
    <w:rsid w:val="00A035D3"/>
    <w:rsid w:val="00A03614"/>
    <w:rsid w:val="00A0366A"/>
    <w:rsid w:val="00A0367C"/>
    <w:rsid w:val="00A0369F"/>
    <w:rsid w:val="00A0370E"/>
    <w:rsid w:val="00A0377D"/>
    <w:rsid w:val="00A0378F"/>
    <w:rsid w:val="00A038BC"/>
    <w:rsid w:val="00A03933"/>
    <w:rsid w:val="00A03AB6"/>
    <w:rsid w:val="00A03B0E"/>
    <w:rsid w:val="00A03B11"/>
    <w:rsid w:val="00A03B68"/>
    <w:rsid w:val="00A03B96"/>
    <w:rsid w:val="00A03C76"/>
    <w:rsid w:val="00A03D77"/>
    <w:rsid w:val="00A03DAD"/>
    <w:rsid w:val="00A03DD7"/>
    <w:rsid w:val="00A03E80"/>
    <w:rsid w:val="00A03E8E"/>
    <w:rsid w:val="00A03F6D"/>
    <w:rsid w:val="00A04072"/>
    <w:rsid w:val="00A040B0"/>
    <w:rsid w:val="00A0413E"/>
    <w:rsid w:val="00A04165"/>
    <w:rsid w:val="00A04182"/>
    <w:rsid w:val="00A04213"/>
    <w:rsid w:val="00A04250"/>
    <w:rsid w:val="00A0426D"/>
    <w:rsid w:val="00A04292"/>
    <w:rsid w:val="00A042BD"/>
    <w:rsid w:val="00A04341"/>
    <w:rsid w:val="00A043D1"/>
    <w:rsid w:val="00A04439"/>
    <w:rsid w:val="00A0447A"/>
    <w:rsid w:val="00A045E9"/>
    <w:rsid w:val="00A0466C"/>
    <w:rsid w:val="00A046D4"/>
    <w:rsid w:val="00A0470B"/>
    <w:rsid w:val="00A04796"/>
    <w:rsid w:val="00A047E1"/>
    <w:rsid w:val="00A04815"/>
    <w:rsid w:val="00A0489A"/>
    <w:rsid w:val="00A04974"/>
    <w:rsid w:val="00A049EC"/>
    <w:rsid w:val="00A04A5E"/>
    <w:rsid w:val="00A04A6D"/>
    <w:rsid w:val="00A04B75"/>
    <w:rsid w:val="00A04BE7"/>
    <w:rsid w:val="00A04C83"/>
    <w:rsid w:val="00A04DCA"/>
    <w:rsid w:val="00A04F04"/>
    <w:rsid w:val="00A0508C"/>
    <w:rsid w:val="00A050AF"/>
    <w:rsid w:val="00A05159"/>
    <w:rsid w:val="00A05191"/>
    <w:rsid w:val="00A0528F"/>
    <w:rsid w:val="00A052EA"/>
    <w:rsid w:val="00A0538C"/>
    <w:rsid w:val="00A053AF"/>
    <w:rsid w:val="00A053C3"/>
    <w:rsid w:val="00A05439"/>
    <w:rsid w:val="00A05491"/>
    <w:rsid w:val="00A054AD"/>
    <w:rsid w:val="00A054EA"/>
    <w:rsid w:val="00A054F1"/>
    <w:rsid w:val="00A055E8"/>
    <w:rsid w:val="00A0561C"/>
    <w:rsid w:val="00A0566A"/>
    <w:rsid w:val="00A05684"/>
    <w:rsid w:val="00A0568F"/>
    <w:rsid w:val="00A0570F"/>
    <w:rsid w:val="00A05751"/>
    <w:rsid w:val="00A057B4"/>
    <w:rsid w:val="00A05816"/>
    <w:rsid w:val="00A05870"/>
    <w:rsid w:val="00A058CA"/>
    <w:rsid w:val="00A05A2C"/>
    <w:rsid w:val="00A05A8F"/>
    <w:rsid w:val="00A05AC2"/>
    <w:rsid w:val="00A05AD5"/>
    <w:rsid w:val="00A05ADA"/>
    <w:rsid w:val="00A05AEE"/>
    <w:rsid w:val="00A05C06"/>
    <w:rsid w:val="00A05C3A"/>
    <w:rsid w:val="00A05CE8"/>
    <w:rsid w:val="00A05DAD"/>
    <w:rsid w:val="00A05FA7"/>
    <w:rsid w:val="00A0602C"/>
    <w:rsid w:val="00A0602D"/>
    <w:rsid w:val="00A0605A"/>
    <w:rsid w:val="00A06064"/>
    <w:rsid w:val="00A0612F"/>
    <w:rsid w:val="00A06221"/>
    <w:rsid w:val="00A062F4"/>
    <w:rsid w:val="00A063A0"/>
    <w:rsid w:val="00A063A4"/>
    <w:rsid w:val="00A063B8"/>
    <w:rsid w:val="00A06468"/>
    <w:rsid w:val="00A0648B"/>
    <w:rsid w:val="00A064AB"/>
    <w:rsid w:val="00A064C3"/>
    <w:rsid w:val="00A064EF"/>
    <w:rsid w:val="00A06565"/>
    <w:rsid w:val="00A06591"/>
    <w:rsid w:val="00A065E6"/>
    <w:rsid w:val="00A0663F"/>
    <w:rsid w:val="00A06668"/>
    <w:rsid w:val="00A06678"/>
    <w:rsid w:val="00A066B1"/>
    <w:rsid w:val="00A06700"/>
    <w:rsid w:val="00A068D5"/>
    <w:rsid w:val="00A068FB"/>
    <w:rsid w:val="00A06920"/>
    <w:rsid w:val="00A0692B"/>
    <w:rsid w:val="00A06988"/>
    <w:rsid w:val="00A06998"/>
    <w:rsid w:val="00A069E7"/>
    <w:rsid w:val="00A06A0E"/>
    <w:rsid w:val="00A06A4E"/>
    <w:rsid w:val="00A06A5F"/>
    <w:rsid w:val="00A06AF5"/>
    <w:rsid w:val="00A06B1D"/>
    <w:rsid w:val="00A06B28"/>
    <w:rsid w:val="00A06B74"/>
    <w:rsid w:val="00A06BC4"/>
    <w:rsid w:val="00A06BD3"/>
    <w:rsid w:val="00A06BF7"/>
    <w:rsid w:val="00A06C5C"/>
    <w:rsid w:val="00A06C60"/>
    <w:rsid w:val="00A06C78"/>
    <w:rsid w:val="00A06CA0"/>
    <w:rsid w:val="00A06CB5"/>
    <w:rsid w:val="00A06CB7"/>
    <w:rsid w:val="00A06CF7"/>
    <w:rsid w:val="00A06D80"/>
    <w:rsid w:val="00A06DEC"/>
    <w:rsid w:val="00A06E38"/>
    <w:rsid w:val="00A06E44"/>
    <w:rsid w:val="00A06E4E"/>
    <w:rsid w:val="00A06EBC"/>
    <w:rsid w:val="00A06F61"/>
    <w:rsid w:val="00A06F8C"/>
    <w:rsid w:val="00A07022"/>
    <w:rsid w:val="00A0703B"/>
    <w:rsid w:val="00A07211"/>
    <w:rsid w:val="00A07271"/>
    <w:rsid w:val="00A072E4"/>
    <w:rsid w:val="00A07350"/>
    <w:rsid w:val="00A073BD"/>
    <w:rsid w:val="00A073D7"/>
    <w:rsid w:val="00A07417"/>
    <w:rsid w:val="00A07446"/>
    <w:rsid w:val="00A074A2"/>
    <w:rsid w:val="00A074CD"/>
    <w:rsid w:val="00A0752B"/>
    <w:rsid w:val="00A0754B"/>
    <w:rsid w:val="00A07585"/>
    <w:rsid w:val="00A07595"/>
    <w:rsid w:val="00A07645"/>
    <w:rsid w:val="00A07680"/>
    <w:rsid w:val="00A07688"/>
    <w:rsid w:val="00A07705"/>
    <w:rsid w:val="00A0770A"/>
    <w:rsid w:val="00A07782"/>
    <w:rsid w:val="00A07829"/>
    <w:rsid w:val="00A0783D"/>
    <w:rsid w:val="00A07936"/>
    <w:rsid w:val="00A07956"/>
    <w:rsid w:val="00A07992"/>
    <w:rsid w:val="00A07A2B"/>
    <w:rsid w:val="00A07A5D"/>
    <w:rsid w:val="00A07ACF"/>
    <w:rsid w:val="00A07AE9"/>
    <w:rsid w:val="00A07AF8"/>
    <w:rsid w:val="00A07B12"/>
    <w:rsid w:val="00A07B82"/>
    <w:rsid w:val="00A07BAC"/>
    <w:rsid w:val="00A07D0A"/>
    <w:rsid w:val="00A07DA8"/>
    <w:rsid w:val="00A07DC1"/>
    <w:rsid w:val="00A07E60"/>
    <w:rsid w:val="00A07EDB"/>
    <w:rsid w:val="00A07F68"/>
    <w:rsid w:val="00A07FB7"/>
    <w:rsid w:val="00A1002E"/>
    <w:rsid w:val="00A10124"/>
    <w:rsid w:val="00A10139"/>
    <w:rsid w:val="00A10348"/>
    <w:rsid w:val="00A1034A"/>
    <w:rsid w:val="00A10354"/>
    <w:rsid w:val="00A1036A"/>
    <w:rsid w:val="00A1048B"/>
    <w:rsid w:val="00A104CD"/>
    <w:rsid w:val="00A104E7"/>
    <w:rsid w:val="00A1050B"/>
    <w:rsid w:val="00A105C1"/>
    <w:rsid w:val="00A10628"/>
    <w:rsid w:val="00A10631"/>
    <w:rsid w:val="00A1063B"/>
    <w:rsid w:val="00A10695"/>
    <w:rsid w:val="00A106B9"/>
    <w:rsid w:val="00A10707"/>
    <w:rsid w:val="00A10746"/>
    <w:rsid w:val="00A1075B"/>
    <w:rsid w:val="00A107DB"/>
    <w:rsid w:val="00A1086E"/>
    <w:rsid w:val="00A1097D"/>
    <w:rsid w:val="00A10989"/>
    <w:rsid w:val="00A10A1B"/>
    <w:rsid w:val="00A10B02"/>
    <w:rsid w:val="00A10B0F"/>
    <w:rsid w:val="00A10B19"/>
    <w:rsid w:val="00A10BAC"/>
    <w:rsid w:val="00A10BE6"/>
    <w:rsid w:val="00A10C22"/>
    <w:rsid w:val="00A10C99"/>
    <w:rsid w:val="00A10CAF"/>
    <w:rsid w:val="00A10CDC"/>
    <w:rsid w:val="00A10CF9"/>
    <w:rsid w:val="00A10D05"/>
    <w:rsid w:val="00A10D3F"/>
    <w:rsid w:val="00A10D77"/>
    <w:rsid w:val="00A10E0D"/>
    <w:rsid w:val="00A10EF5"/>
    <w:rsid w:val="00A10F91"/>
    <w:rsid w:val="00A10FFE"/>
    <w:rsid w:val="00A1105B"/>
    <w:rsid w:val="00A11086"/>
    <w:rsid w:val="00A110B9"/>
    <w:rsid w:val="00A110C5"/>
    <w:rsid w:val="00A110C6"/>
    <w:rsid w:val="00A110DB"/>
    <w:rsid w:val="00A110DF"/>
    <w:rsid w:val="00A110F3"/>
    <w:rsid w:val="00A1112C"/>
    <w:rsid w:val="00A11135"/>
    <w:rsid w:val="00A11156"/>
    <w:rsid w:val="00A111C3"/>
    <w:rsid w:val="00A11231"/>
    <w:rsid w:val="00A112C7"/>
    <w:rsid w:val="00A11329"/>
    <w:rsid w:val="00A1138B"/>
    <w:rsid w:val="00A1141C"/>
    <w:rsid w:val="00A11439"/>
    <w:rsid w:val="00A1145E"/>
    <w:rsid w:val="00A1147D"/>
    <w:rsid w:val="00A1149C"/>
    <w:rsid w:val="00A114A0"/>
    <w:rsid w:val="00A11553"/>
    <w:rsid w:val="00A11594"/>
    <w:rsid w:val="00A1159B"/>
    <w:rsid w:val="00A115B5"/>
    <w:rsid w:val="00A11696"/>
    <w:rsid w:val="00A116BE"/>
    <w:rsid w:val="00A116C6"/>
    <w:rsid w:val="00A116EF"/>
    <w:rsid w:val="00A116FF"/>
    <w:rsid w:val="00A11701"/>
    <w:rsid w:val="00A1176C"/>
    <w:rsid w:val="00A11781"/>
    <w:rsid w:val="00A118A0"/>
    <w:rsid w:val="00A11904"/>
    <w:rsid w:val="00A11956"/>
    <w:rsid w:val="00A1197F"/>
    <w:rsid w:val="00A119D3"/>
    <w:rsid w:val="00A11A08"/>
    <w:rsid w:val="00A11A26"/>
    <w:rsid w:val="00A11AAD"/>
    <w:rsid w:val="00A11B22"/>
    <w:rsid w:val="00A11B75"/>
    <w:rsid w:val="00A11BF8"/>
    <w:rsid w:val="00A11C0A"/>
    <w:rsid w:val="00A11C10"/>
    <w:rsid w:val="00A11C8D"/>
    <w:rsid w:val="00A11D19"/>
    <w:rsid w:val="00A11D71"/>
    <w:rsid w:val="00A11D82"/>
    <w:rsid w:val="00A11DF2"/>
    <w:rsid w:val="00A11DFB"/>
    <w:rsid w:val="00A11E10"/>
    <w:rsid w:val="00A11E1A"/>
    <w:rsid w:val="00A11E98"/>
    <w:rsid w:val="00A11F41"/>
    <w:rsid w:val="00A11F47"/>
    <w:rsid w:val="00A11F6E"/>
    <w:rsid w:val="00A11FCE"/>
    <w:rsid w:val="00A12015"/>
    <w:rsid w:val="00A12078"/>
    <w:rsid w:val="00A120EC"/>
    <w:rsid w:val="00A12103"/>
    <w:rsid w:val="00A12125"/>
    <w:rsid w:val="00A1217E"/>
    <w:rsid w:val="00A12254"/>
    <w:rsid w:val="00A12307"/>
    <w:rsid w:val="00A1234B"/>
    <w:rsid w:val="00A123A0"/>
    <w:rsid w:val="00A123A9"/>
    <w:rsid w:val="00A1241D"/>
    <w:rsid w:val="00A1247F"/>
    <w:rsid w:val="00A124A9"/>
    <w:rsid w:val="00A124D6"/>
    <w:rsid w:val="00A125AC"/>
    <w:rsid w:val="00A125CD"/>
    <w:rsid w:val="00A125E0"/>
    <w:rsid w:val="00A125E9"/>
    <w:rsid w:val="00A12613"/>
    <w:rsid w:val="00A12673"/>
    <w:rsid w:val="00A126C0"/>
    <w:rsid w:val="00A12735"/>
    <w:rsid w:val="00A127CF"/>
    <w:rsid w:val="00A12854"/>
    <w:rsid w:val="00A12886"/>
    <w:rsid w:val="00A128C3"/>
    <w:rsid w:val="00A128E1"/>
    <w:rsid w:val="00A12904"/>
    <w:rsid w:val="00A12930"/>
    <w:rsid w:val="00A129C6"/>
    <w:rsid w:val="00A129D5"/>
    <w:rsid w:val="00A12A42"/>
    <w:rsid w:val="00A12A47"/>
    <w:rsid w:val="00A12ABF"/>
    <w:rsid w:val="00A12B34"/>
    <w:rsid w:val="00A12C18"/>
    <w:rsid w:val="00A12C25"/>
    <w:rsid w:val="00A12C64"/>
    <w:rsid w:val="00A12C8D"/>
    <w:rsid w:val="00A12CC8"/>
    <w:rsid w:val="00A12DD6"/>
    <w:rsid w:val="00A12E2E"/>
    <w:rsid w:val="00A12E8A"/>
    <w:rsid w:val="00A12E8F"/>
    <w:rsid w:val="00A12EB9"/>
    <w:rsid w:val="00A12EFB"/>
    <w:rsid w:val="00A12F18"/>
    <w:rsid w:val="00A12FE1"/>
    <w:rsid w:val="00A130D8"/>
    <w:rsid w:val="00A13108"/>
    <w:rsid w:val="00A13120"/>
    <w:rsid w:val="00A1335A"/>
    <w:rsid w:val="00A13423"/>
    <w:rsid w:val="00A13486"/>
    <w:rsid w:val="00A134B5"/>
    <w:rsid w:val="00A134E8"/>
    <w:rsid w:val="00A13533"/>
    <w:rsid w:val="00A135D2"/>
    <w:rsid w:val="00A135D4"/>
    <w:rsid w:val="00A13682"/>
    <w:rsid w:val="00A13754"/>
    <w:rsid w:val="00A13758"/>
    <w:rsid w:val="00A13802"/>
    <w:rsid w:val="00A1381E"/>
    <w:rsid w:val="00A138D4"/>
    <w:rsid w:val="00A139D2"/>
    <w:rsid w:val="00A13AE2"/>
    <w:rsid w:val="00A13AEE"/>
    <w:rsid w:val="00A13B0B"/>
    <w:rsid w:val="00A13B96"/>
    <w:rsid w:val="00A13BC3"/>
    <w:rsid w:val="00A13C3F"/>
    <w:rsid w:val="00A13C8E"/>
    <w:rsid w:val="00A13CA7"/>
    <w:rsid w:val="00A13CBD"/>
    <w:rsid w:val="00A13CCA"/>
    <w:rsid w:val="00A13CCC"/>
    <w:rsid w:val="00A13D8F"/>
    <w:rsid w:val="00A13E08"/>
    <w:rsid w:val="00A13EF2"/>
    <w:rsid w:val="00A13F4B"/>
    <w:rsid w:val="00A13F97"/>
    <w:rsid w:val="00A13FEC"/>
    <w:rsid w:val="00A14039"/>
    <w:rsid w:val="00A14105"/>
    <w:rsid w:val="00A14131"/>
    <w:rsid w:val="00A14177"/>
    <w:rsid w:val="00A141AB"/>
    <w:rsid w:val="00A141AC"/>
    <w:rsid w:val="00A141AD"/>
    <w:rsid w:val="00A141CA"/>
    <w:rsid w:val="00A142F1"/>
    <w:rsid w:val="00A142FC"/>
    <w:rsid w:val="00A1437D"/>
    <w:rsid w:val="00A143B6"/>
    <w:rsid w:val="00A143C6"/>
    <w:rsid w:val="00A144AF"/>
    <w:rsid w:val="00A145B7"/>
    <w:rsid w:val="00A14644"/>
    <w:rsid w:val="00A146B9"/>
    <w:rsid w:val="00A14743"/>
    <w:rsid w:val="00A1474F"/>
    <w:rsid w:val="00A14770"/>
    <w:rsid w:val="00A1479C"/>
    <w:rsid w:val="00A147C0"/>
    <w:rsid w:val="00A147C9"/>
    <w:rsid w:val="00A14840"/>
    <w:rsid w:val="00A1484A"/>
    <w:rsid w:val="00A1485B"/>
    <w:rsid w:val="00A14885"/>
    <w:rsid w:val="00A1492B"/>
    <w:rsid w:val="00A149D4"/>
    <w:rsid w:val="00A14A68"/>
    <w:rsid w:val="00A14B01"/>
    <w:rsid w:val="00A14B0E"/>
    <w:rsid w:val="00A14B20"/>
    <w:rsid w:val="00A14B78"/>
    <w:rsid w:val="00A14C41"/>
    <w:rsid w:val="00A14C57"/>
    <w:rsid w:val="00A14C58"/>
    <w:rsid w:val="00A14E03"/>
    <w:rsid w:val="00A14E1F"/>
    <w:rsid w:val="00A14E26"/>
    <w:rsid w:val="00A14E4C"/>
    <w:rsid w:val="00A14E6B"/>
    <w:rsid w:val="00A14E79"/>
    <w:rsid w:val="00A14F69"/>
    <w:rsid w:val="00A14F8A"/>
    <w:rsid w:val="00A150C5"/>
    <w:rsid w:val="00A151C4"/>
    <w:rsid w:val="00A15239"/>
    <w:rsid w:val="00A15244"/>
    <w:rsid w:val="00A152E9"/>
    <w:rsid w:val="00A152EE"/>
    <w:rsid w:val="00A1533F"/>
    <w:rsid w:val="00A1546D"/>
    <w:rsid w:val="00A154C1"/>
    <w:rsid w:val="00A15647"/>
    <w:rsid w:val="00A1569E"/>
    <w:rsid w:val="00A15776"/>
    <w:rsid w:val="00A157E6"/>
    <w:rsid w:val="00A157ED"/>
    <w:rsid w:val="00A157F0"/>
    <w:rsid w:val="00A15847"/>
    <w:rsid w:val="00A15887"/>
    <w:rsid w:val="00A1590D"/>
    <w:rsid w:val="00A15929"/>
    <w:rsid w:val="00A15991"/>
    <w:rsid w:val="00A15993"/>
    <w:rsid w:val="00A159D7"/>
    <w:rsid w:val="00A159DA"/>
    <w:rsid w:val="00A15A52"/>
    <w:rsid w:val="00A15A57"/>
    <w:rsid w:val="00A15A7B"/>
    <w:rsid w:val="00A15AEB"/>
    <w:rsid w:val="00A15B0B"/>
    <w:rsid w:val="00A15B2F"/>
    <w:rsid w:val="00A15B60"/>
    <w:rsid w:val="00A15C2E"/>
    <w:rsid w:val="00A15C2F"/>
    <w:rsid w:val="00A15C75"/>
    <w:rsid w:val="00A15C81"/>
    <w:rsid w:val="00A15C99"/>
    <w:rsid w:val="00A15CEC"/>
    <w:rsid w:val="00A15CFE"/>
    <w:rsid w:val="00A15D01"/>
    <w:rsid w:val="00A15D04"/>
    <w:rsid w:val="00A15D3D"/>
    <w:rsid w:val="00A15DBD"/>
    <w:rsid w:val="00A15DD6"/>
    <w:rsid w:val="00A15DE7"/>
    <w:rsid w:val="00A15E6D"/>
    <w:rsid w:val="00A15E72"/>
    <w:rsid w:val="00A15FBA"/>
    <w:rsid w:val="00A1606A"/>
    <w:rsid w:val="00A160B4"/>
    <w:rsid w:val="00A16122"/>
    <w:rsid w:val="00A16169"/>
    <w:rsid w:val="00A161AA"/>
    <w:rsid w:val="00A161FC"/>
    <w:rsid w:val="00A162B1"/>
    <w:rsid w:val="00A162D9"/>
    <w:rsid w:val="00A16321"/>
    <w:rsid w:val="00A163D1"/>
    <w:rsid w:val="00A1643C"/>
    <w:rsid w:val="00A1643F"/>
    <w:rsid w:val="00A1649F"/>
    <w:rsid w:val="00A164B7"/>
    <w:rsid w:val="00A164C7"/>
    <w:rsid w:val="00A16538"/>
    <w:rsid w:val="00A1659F"/>
    <w:rsid w:val="00A16607"/>
    <w:rsid w:val="00A1663C"/>
    <w:rsid w:val="00A16675"/>
    <w:rsid w:val="00A166A6"/>
    <w:rsid w:val="00A166C5"/>
    <w:rsid w:val="00A166DE"/>
    <w:rsid w:val="00A16712"/>
    <w:rsid w:val="00A16729"/>
    <w:rsid w:val="00A16741"/>
    <w:rsid w:val="00A1674F"/>
    <w:rsid w:val="00A168D0"/>
    <w:rsid w:val="00A16903"/>
    <w:rsid w:val="00A16910"/>
    <w:rsid w:val="00A1697A"/>
    <w:rsid w:val="00A169C4"/>
    <w:rsid w:val="00A16A49"/>
    <w:rsid w:val="00A16B1D"/>
    <w:rsid w:val="00A16B62"/>
    <w:rsid w:val="00A16C3A"/>
    <w:rsid w:val="00A16C51"/>
    <w:rsid w:val="00A16D0F"/>
    <w:rsid w:val="00A16DA3"/>
    <w:rsid w:val="00A16DC8"/>
    <w:rsid w:val="00A16E07"/>
    <w:rsid w:val="00A16EA4"/>
    <w:rsid w:val="00A16ECE"/>
    <w:rsid w:val="00A16ED9"/>
    <w:rsid w:val="00A16F01"/>
    <w:rsid w:val="00A16FA5"/>
    <w:rsid w:val="00A1708D"/>
    <w:rsid w:val="00A1713B"/>
    <w:rsid w:val="00A172AB"/>
    <w:rsid w:val="00A17326"/>
    <w:rsid w:val="00A17345"/>
    <w:rsid w:val="00A1734F"/>
    <w:rsid w:val="00A17358"/>
    <w:rsid w:val="00A1736E"/>
    <w:rsid w:val="00A1737E"/>
    <w:rsid w:val="00A17398"/>
    <w:rsid w:val="00A1743B"/>
    <w:rsid w:val="00A17442"/>
    <w:rsid w:val="00A17461"/>
    <w:rsid w:val="00A17463"/>
    <w:rsid w:val="00A174D7"/>
    <w:rsid w:val="00A17525"/>
    <w:rsid w:val="00A17584"/>
    <w:rsid w:val="00A175B2"/>
    <w:rsid w:val="00A176D5"/>
    <w:rsid w:val="00A176E3"/>
    <w:rsid w:val="00A1770F"/>
    <w:rsid w:val="00A17719"/>
    <w:rsid w:val="00A17732"/>
    <w:rsid w:val="00A17759"/>
    <w:rsid w:val="00A1791E"/>
    <w:rsid w:val="00A17927"/>
    <w:rsid w:val="00A1793E"/>
    <w:rsid w:val="00A1794F"/>
    <w:rsid w:val="00A179ED"/>
    <w:rsid w:val="00A179F5"/>
    <w:rsid w:val="00A17A00"/>
    <w:rsid w:val="00A17AD2"/>
    <w:rsid w:val="00A17BB5"/>
    <w:rsid w:val="00A17BCD"/>
    <w:rsid w:val="00A17CDF"/>
    <w:rsid w:val="00A17D43"/>
    <w:rsid w:val="00A17E17"/>
    <w:rsid w:val="00A17E33"/>
    <w:rsid w:val="00A17E5D"/>
    <w:rsid w:val="00A17ED5"/>
    <w:rsid w:val="00A17EEE"/>
    <w:rsid w:val="00A17FCB"/>
    <w:rsid w:val="00A17FE0"/>
    <w:rsid w:val="00A2011D"/>
    <w:rsid w:val="00A2016F"/>
    <w:rsid w:val="00A2018B"/>
    <w:rsid w:val="00A20191"/>
    <w:rsid w:val="00A201C6"/>
    <w:rsid w:val="00A20218"/>
    <w:rsid w:val="00A2025B"/>
    <w:rsid w:val="00A20278"/>
    <w:rsid w:val="00A202DA"/>
    <w:rsid w:val="00A20356"/>
    <w:rsid w:val="00A203E4"/>
    <w:rsid w:val="00A203EC"/>
    <w:rsid w:val="00A20426"/>
    <w:rsid w:val="00A2044A"/>
    <w:rsid w:val="00A20476"/>
    <w:rsid w:val="00A204B0"/>
    <w:rsid w:val="00A204BB"/>
    <w:rsid w:val="00A204CB"/>
    <w:rsid w:val="00A20504"/>
    <w:rsid w:val="00A20532"/>
    <w:rsid w:val="00A2058B"/>
    <w:rsid w:val="00A20596"/>
    <w:rsid w:val="00A20599"/>
    <w:rsid w:val="00A205F2"/>
    <w:rsid w:val="00A2062B"/>
    <w:rsid w:val="00A20687"/>
    <w:rsid w:val="00A20699"/>
    <w:rsid w:val="00A206D3"/>
    <w:rsid w:val="00A206E0"/>
    <w:rsid w:val="00A2075C"/>
    <w:rsid w:val="00A20784"/>
    <w:rsid w:val="00A20791"/>
    <w:rsid w:val="00A208BC"/>
    <w:rsid w:val="00A20953"/>
    <w:rsid w:val="00A2095E"/>
    <w:rsid w:val="00A20963"/>
    <w:rsid w:val="00A209FB"/>
    <w:rsid w:val="00A20A21"/>
    <w:rsid w:val="00A20A4F"/>
    <w:rsid w:val="00A20A9E"/>
    <w:rsid w:val="00A20AB0"/>
    <w:rsid w:val="00A20AF4"/>
    <w:rsid w:val="00A20B5D"/>
    <w:rsid w:val="00A20BB7"/>
    <w:rsid w:val="00A20BCC"/>
    <w:rsid w:val="00A20C09"/>
    <w:rsid w:val="00A20C3A"/>
    <w:rsid w:val="00A20C7A"/>
    <w:rsid w:val="00A20CBF"/>
    <w:rsid w:val="00A20CC4"/>
    <w:rsid w:val="00A20D0C"/>
    <w:rsid w:val="00A20D90"/>
    <w:rsid w:val="00A20DCC"/>
    <w:rsid w:val="00A20F3F"/>
    <w:rsid w:val="00A20F63"/>
    <w:rsid w:val="00A20F81"/>
    <w:rsid w:val="00A20FC6"/>
    <w:rsid w:val="00A2102A"/>
    <w:rsid w:val="00A2104C"/>
    <w:rsid w:val="00A21053"/>
    <w:rsid w:val="00A21094"/>
    <w:rsid w:val="00A210F3"/>
    <w:rsid w:val="00A2111E"/>
    <w:rsid w:val="00A21128"/>
    <w:rsid w:val="00A2113A"/>
    <w:rsid w:val="00A212F8"/>
    <w:rsid w:val="00A212FF"/>
    <w:rsid w:val="00A21365"/>
    <w:rsid w:val="00A213C9"/>
    <w:rsid w:val="00A2144A"/>
    <w:rsid w:val="00A21454"/>
    <w:rsid w:val="00A2146E"/>
    <w:rsid w:val="00A21517"/>
    <w:rsid w:val="00A21599"/>
    <w:rsid w:val="00A215E8"/>
    <w:rsid w:val="00A21683"/>
    <w:rsid w:val="00A21755"/>
    <w:rsid w:val="00A217B6"/>
    <w:rsid w:val="00A2196B"/>
    <w:rsid w:val="00A21A99"/>
    <w:rsid w:val="00A21A9D"/>
    <w:rsid w:val="00A21AA7"/>
    <w:rsid w:val="00A21B77"/>
    <w:rsid w:val="00A21B9A"/>
    <w:rsid w:val="00A21C81"/>
    <w:rsid w:val="00A21C83"/>
    <w:rsid w:val="00A21CAA"/>
    <w:rsid w:val="00A21D1F"/>
    <w:rsid w:val="00A21D22"/>
    <w:rsid w:val="00A21DC1"/>
    <w:rsid w:val="00A21EA6"/>
    <w:rsid w:val="00A21F23"/>
    <w:rsid w:val="00A21F50"/>
    <w:rsid w:val="00A21FCA"/>
    <w:rsid w:val="00A22020"/>
    <w:rsid w:val="00A22049"/>
    <w:rsid w:val="00A22052"/>
    <w:rsid w:val="00A220A5"/>
    <w:rsid w:val="00A220F1"/>
    <w:rsid w:val="00A221AF"/>
    <w:rsid w:val="00A22210"/>
    <w:rsid w:val="00A2222D"/>
    <w:rsid w:val="00A222AD"/>
    <w:rsid w:val="00A22390"/>
    <w:rsid w:val="00A2242C"/>
    <w:rsid w:val="00A22441"/>
    <w:rsid w:val="00A22489"/>
    <w:rsid w:val="00A22494"/>
    <w:rsid w:val="00A224A0"/>
    <w:rsid w:val="00A22513"/>
    <w:rsid w:val="00A225B1"/>
    <w:rsid w:val="00A226D3"/>
    <w:rsid w:val="00A226E3"/>
    <w:rsid w:val="00A22793"/>
    <w:rsid w:val="00A2279D"/>
    <w:rsid w:val="00A22801"/>
    <w:rsid w:val="00A2285C"/>
    <w:rsid w:val="00A22939"/>
    <w:rsid w:val="00A22997"/>
    <w:rsid w:val="00A22A2A"/>
    <w:rsid w:val="00A22A3B"/>
    <w:rsid w:val="00A22AC3"/>
    <w:rsid w:val="00A22B7E"/>
    <w:rsid w:val="00A22BB6"/>
    <w:rsid w:val="00A22C08"/>
    <w:rsid w:val="00A22C54"/>
    <w:rsid w:val="00A22C71"/>
    <w:rsid w:val="00A22D61"/>
    <w:rsid w:val="00A22DFE"/>
    <w:rsid w:val="00A22EC2"/>
    <w:rsid w:val="00A22EF0"/>
    <w:rsid w:val="00A22F39"/>
    <w:rsid w:val="00A22F72"/>
    <w:rsid w:val="00A22FB0"/>
    <w:rsid w:val="00A2302D"/>
    <w:rsid w:val="00A23034"/>
    <w:rsid w:val="00A2304B"/>
    <w:rsid w:val="00A23055"/>
    <w:rsid w:val="00A230ED"/>
    <w:rsid w:val="00A23102"/>
    <w:rsid w:val="00A2316A"/>
    <w:rsid w:val="00A2319C"/>
    <w:rsid w:val="00A231DA"/>
    <w:rsid w:val="00A231F9"/>
    <w:rsid w:val="00A232A9"/>
    <w:rsid w:val="00A232E0"/>
    <w:rsid w:val="00A232F3"/>
    <w:rsid w:val="00A23432"/>
    <w:rsid w:val="00A2343A"/>
    <w:rsid w:val="00A23526"/>
    <w:rsid w:val="00A235C7"/>
    <w:rsid w:val="00A235F0"/>
    <w:rsid w:val="00A2361B"/>
    <w:rsid w:val="00A23638"/>
    <w:rsid w:val="00A2365E"/>
    <w:rsid w:val="00A236AC"/>
    <w:rsid w:val="00A23777"/>
    <w:rsid w:val="00A237BF"/>
    <w:rsid w:val="00A2382A"/>
    <w:rsid w:val="00A23854"/>
    <w:rsid w:val="00A238F6"/>
    <w:rsid w:val="00A239B1"/>
    <w:rsid w:val="00A239D2"/>
    <w:rsid w:val="00A239EF"/>
    <w:rsid w:val="00A23A12"/>
    <w:rsid w:val="00A23A2C"/>
    <w:rsid w:val="00A23AE2"/>
    <w:rsid w:val="00A23B2B"/>
    <w:rsid w:val="00A23BB5"/>
    <w:rsid w:val="00A23BDC"/>
    <w:rsid w:val="00A23C89"/>
    <w:rsid w:val="00A23CE5"/>
    <w:rsid w:val="00A23D88"/>
    <w:rsid w:val="00A23E36"/>
    <w:rsid w:val="00A23F57"/>
    <w:rsid w:val="00A23F62"/>
    <w:rsid w:val="00A23F90"/>
    <w:rsid w:val="00A2405D"/>
    <w:rsid w:val="00A241D2"/>
    <w:rsid w:val="00A241DE"/>
    <w:rsid w:val="00A241F0"/>
    <w:rsid w:val="00A24230"/>
    <w:rsid w:val="00A24310"/>
    <w:rsid w:val="00A243A0"/>
    <w:rsid w:val="00A243F3"/>
    <w:rsid w:val="00A2453C"/>
    <w:rsid w:val="00A245BC"/>
    <w:rsid w:val="00A245CB"/>
    <w:rsid w:val="00A245D8"/>
    <w:rsid w:val="00A2462C"/>
    <w:rsid w:val="00A24636"/>
    <w:rsid w:val="00A24668"/>
    <w:rsid w:val="00A246E6"/>
    <w:rsid w:val="00A246EC"/>
    <w:rsid w:val="00A247C7"/>
    <w:rsid w:val="00A247EF"/>
    <w:rsid w:val="00A248A6"/>
    <w:rsid w:val="00A248B8"/>
    <w:rsid w:val="00A24933"/>
    <w:rsid w:val="00A249AE"/>
    <w:rsid w:val="00A249CC"/>
    <w:rsid w:val="00A24A8F"/>
    <w:rsid w:val="00A24A9D"/>
    <w:rsid w:val="00A24AB5"/>
    <w:rsid w:val="00A24C5C"/>
    <w:rsid w:val="00A24C72"/>
    <w:rsid w:val="00A24C81"/>
    <w:rsid w:val="00A24CA0"/>
    <w:rsid w:val="00A24E66"/>
    <w:rsid w:val="00A24F47"/>
    <w:rsid w:val="00A24FCA"/>
    <w:rsid w:val="00A24FF6"/>
    <w:rsid w:val="00A25057"/>
    <w:rsid w:val="00A25062"/>
    <w:rsid w:val="00A2507F"/>
    <w:rsid w:val="00A25100"/>
    <w:rsid w:val="00A25152"/>
    <w:rsid w:val="00A25175"/>
    <w:rsid w:val="00A251D3"/>
    <w:rsid w:val="00A25263"/>
    <w:rsid w:val="00A252A8"/>
    <w:rsid w:val="00A252F3"/>
    <w:rsid w:val="00A253D1"/>
    <w:rsid w:val="00A253D6"/>
    <w:rsid w:val="00A253E9"/>
    <w:rsid w:val="00A253FE"/>
    <w:rsid w:val="00A25408"/>
    <w:rsid w:val="00A2543A"/>
    <w:rsid w:val="00A25474"/>
    <w:rsid w:val="00A25517"/>
    <w:rsid w:val="00A25518"/>
    <w:rsid w:val="00A25530"/>
    <w:rsid w:val="00A25542"/>
    <w:rsid w:val="00A2558C"/>
    <w:rsid w:val="00A255CE"/>
    <w:rsid w:val="00A255EF"/>
    <w:rsid w:val="00A255FD"/>
    <w:rsid w:val="00A2564E"/>
    <w:rsid w:val="00A257C3"/>
    <w:rsid w:val="00A257F5"/>
    <w:rsid w:val="00A25800"/>
    <w:rsid w:val="00A2580F"/>
    <w:rsid w:val="00A25888"/>
    <w:rsid w:val="00A258B7"/>
    <w:rsid w:val="00A2590A"/>
    <w:rsid w:val="00A259A9"/>
    <w:rsid w:val="00A259EF"/>
    <w:rsid w:val="00A25A75"/>
    <w:rsid w:val="00A25A79"/>
    <w:rsid w:val="00A25B2F"/>
    <w:rsid w:val="00A25B6B"/>
    <w:rsid w:val="00A25BA3"/>
    <w:rsid w:val="00A25BB4"/>
    <w:rsid w:val="00A25BF4"/>
    <w:rsid w:val="00A25C47"/>
    <w:rsid w:val="00A25C52"/>
    <w:rsid w:val="00A25C77"/>
    <w:rsid w:val="00A25DFA"/>
    <w:rsid w:val="00A25E28"/>
    <w:rsid w:val="00A25E4F"/>
    <w:rsid w:val="00A25E52"/>
    <w:rsid w:val="00A25E8A"/>
    <w:rsid w:val="00A25EB6"/>
    <w:rsid w:val="00A25F37"/>
    <w:rsid w:val="00A25F63"/>
    <w:rsid w:val="00A26090"/>
    <w:rsid w:val="00A26099"/>
    <w:rsid w:val="00A2609D"/>
    <w:rsid w:val="00A26147"/>
    <w:rsid w:val="00A26197"/>
    <w:rsid w:val="00A26249"/>
    <w:rsid w:val="00A26300"/>
    <w:rsid w:val="00A263B4"/>
    <w:rsid w:val="00A2643E"/>
    <w:rsid w:val="00A26495"/>
    <w:rsid w:val="00A26499"/>
    <w:rsid w:val="00A264C4"/>
    <w:rsid w:val="00A264C9"/>
    <w:rsid w:val="00A2659B"/>
    <w:rsid w:val="00A265D3"/>
    <w:rsid w:val="00A265EF"/>
    <w:rsid w:val="00A26622"/>
    <w:rsid w:val="00A26645"/>
    <w:rsid w:val="00A266D6"/>
    <w:rsid w:val="00A266E3"/>
    <w:rsid w:val="00A26713"/>
    <w:rsid w:val="00A26728"/>
    <w:rsid w:val="00A267EE"/>
    <w:rsid w:val="00A2685E"/>
    <w:rsid w:val="00A26869"/>
    <w:rsid w:val="00A26890"/>
    <w:rsid w:val="00A268ED"/>
    <w:rsid w:val="00A26A2B"/>
    <w:rsid w:val="00A26A77"/>
    <w:rsid w:val="00A26A7F"/>
    <w:rsid w:val="00A26A88"/>
    <w:rsid w:val="00A26B4B"/>
    <w:rsid w:val="00A26B53"/>
    <w:rsid w:val="00A26B5D"/>
    <w:rsid w:val="00A26B64"/>
    <w:rsid w:val="00A26C14"/>
    <w:rsid w:val="00A26C46"/>
    <w:rsid w:val="00A26D15"/>
    <w:rsid w:val="00A26DBD"/>
    <w:rsid w:val="00A26E18"/>
    <w:rsid w:val="00A26E34"/>
    <w:rsid w:val="00A26FDD"/>
    <w:rsid w:val="00A27001"/>
    <w:rsid w:val="00A2703C"/>
    <w:rsid w:val="00A270BD"/>
    <w:rsid w:val="00A27200"/>
    <w:rsid w:val="00A27270"/>
    <w:rsid w:val="00A27294"/>
    <w:rsid w:val="00A272A3"/>
    <w:rsid w:val="00A272B3"/>
    <w:rsid w:val="00A272E5"/>
    <w:rsid w:val="00A2732E"/>
    <w:rsid w:val="00A27368"/>
    <w:rsid w:val="00A27382"/>
    <w:rsid w:val="00A27400"/>
    <w:rsid w:val="00A27403"/>
    <w:rsid w:val="00A2752B"/>
    <w:rsid w:val="00A2758C"/>
    <w:rsid w:val="00A275B5"/>
    <w:rsid w:val="00A275C6"/>
    <w:rsid w:val="00A275EB"/>
    <w:rsid w:val="00A2764B"/>
    <w:rsid w:val="00A2777A"/>
    <w:rsid w:val="00A27797"/>
    <w:rsid w:val="00A277EE"/>
    <w:rsid w:val="00A27852"/>
    <w:rsid w:val="00A278B0"/>
    <w:rsid w:val="00A278F3"/>
    <w:rsid w:val="00A2795A"/>
    <w:rsid w:val="00A27A6C"/>
    <w:rsid w:val="00A27A7A"/>
    <w:rsid w:val="00A27B02"/>
    <w:rsid w:val="00A27B46"/>
    <w:rsid w:val="00A27BAD"/>
    <w:rsid w:val="00A27BF9"/>
    <w:rsid w:val="00A27C34"/>
    <w:rsid w:val="00A27C3F"/>
    <w:rsid w:val="00A27C6B"/>
    <w:rsid w:val="00A27C7E"/>
    <w:rsid w:val="00A27CAF"/>
    <w:rsid w:val="00A27CFD"/>
    <w:rsid w:val="00A27D56"/>
    <w:rsid w:val="00A27EC7"/>
    <w:rsid w:val="00A27EEF"/>
    <w:rsid w:val="00A3008F"/>
    <w:rsid w:val="00A3012E"/>
    <w:rsid w:val="00A30210"/>
    <w:rsid w:val="00A30280"/>
    <w:rsid w:val="00A30312"/>
    <w:rsid w:val="00A30450"/>
    <w:rsid w:val="00A3048C"/>
    <w:rsid w:val="00A304F1"/>
    <w:rsid w:val="00A30584"/>
    <w:rsid w:val="00A305C0"/>
    <w:rsid w:val="00A30644"/>
    <w:rsid w:val="00A30659"/>
    <w:rsid w:val="00A306E7"/>
    <w:rsid w:val="00A306FD"/>
    <w:rsid w:val="00A30732"/>
    <w:rsid w:val="00A30750"/>
    <w:rsid w:val="00A3080D"/>
    <w:rsid w:val="00A3082A"/>
    <w:rsid w:val="00A30894"/>
    <w:rsid w:val="00A3095C"/>
    <w:rsid w:val="00A309AE"/>
    <w:rsid w:val="00A309D8"/>
    <w:rsid w:val="00A30A69"/>
    <w:rsid w:val="00A30ABD"/>
    <w:rsid w:val="00A30AC5"/>
    <w:rsid w:val="00A30AE3"/>
    <w:rsid w:val="00A30AFB"/>
    <w:rsid w:val="00A30B23"/>
    <w:rsid w:val="00A30BA0"/>
    <w:rsid w:val="00A30BFF"/>
    <w:rsid w:val="00A30C1D"/>
    <w:rsid w:val="00A30C99"/>
    <w:rsid w:val="00A30CDB"/>
    <w:rsid w:val="00A30CE3"/>
    <w:rsid w:val="00A30D05"/>
    <w:rsid w:val="00A30D76"/>
    <w:rsid w:val="00A30DDA"/>
    <w:rsid w:val="00A30DED"/>
    <w:rsid w:val="00A30E29"/>
    <w:rsid w:val="00A30E49"/>
    <w:rsid w:val="00A30EDD"/>
    <w:rsid w:val="00A30F5C"/>
    <w:rsid w:val="00A30FA5"/>
    <w:rsid w:val="00A310C5"/>
    <w:rsid w:val="00A31155"/>
    <w:rsid w:val="00A311C7"/>
    <w:rsid w:val="00A311EC"/>
    <w:rsid w:val="00A3121C"/>
    <w:rsid w:val="00A31253"/>
    <w:rsid w:val="00A3126E"/>
    <w:rsid w:val="00A312CC"/>
    <w:rsid w:val="00A312F2"/>
    <w:rsid w:val="00A31301"/>
    <w:rsid w:val="00A3135E"/>
    <w:rsid w:val="00A31361"/>
    <w:rsid w:val="00A31397"/>
    <w:rsid w:val="00A313DF"/>
    <w:rsid w:val="00A313ED"/>
    <w:rsid w:val="00A313F0"/>
    <w:rsid w:val="00A31422"/>
    <w:rsid w:val="00A31467"/>
    <w:rsid w:val="00A31490"/>
    <w:rsid w:val="00A314E8"/>
    <w:rsid w:val="00A31529"/>
    <w:rsid w:val="00A31550"/>
    <w:rsid w:val="00A31593"/>
    <w:rsid w:val="00A3160F"/>
    <w:rsid w:val="00A31734"/>
    <w:rsid w:val="00A3179A"/>
    <w:rsid w:val="00A3179D"/>
    <w:rsid w:val="00A317BA"/>
    <w:rsid w:val="00A31825"/>
    <w:rsid w:val="00A3198D"/>
    <w:rsid w:val="00A319E7"/>
    <w:rsid w:val="00A31A77"/>
    <w:rsid w:val="00A31AB5"/>
    <w:rsid w:val="00A31B43"/>
    <w:rsid w:val="00A31B7E"/>
    <w:rsid w:val="00A31C37"/>
    <w:rsid w:val="00A31C41"/>
    <w:rsid w:val="00A31C54"/>
    <w:rsid w:val="00A31C64"/>
    <w:rsid w:val="00A31CB0"/>
    <w:rsid w:val="00A31CCE"/>
    <w:rsid w:val="00A31DC2"/>
    <w:rsid w:val="00A31DF2"/>
    <w:rsid w:val="00A31E13"/>
    <w:rsid w:val="00A31E6E"/>
    <w:rsid w:val="00A31EB2"/>
    <w:rsid w:val="00A31EB3"/>
    <w:rsid w:val="00A31EBD"/>
    <w:rsid w:val="00A31FA3"/>
    <w:rsid w:val="00A31FB8"/>
    <w:rsid w:val="00A31FBD"/>
    <w:rsid w:val="00A31FC7"/>
    <w:rsid w:val="00A32171"/>
    <w:rsid w:val="00A32261"/>
    <w:rsid w:val="00A3238F"/>
    <w:rsid w:val="00A323C8"/>
    <w:rsid w:val="00A32444"/>
    <w:rsid w:val="00A32456"/>
    <w:rsid w:val="00A32473"/>
    <w:rsid w:val="00A3250F"/>
    <w:rsid w:val="00A325B2"/>
    <w:rsid w:val="00A325BA"/>
    <w:rsid w:val="00A326FD"/>
    <w:rsid w:val="00A3284C"/>
    <w:rsid w:val="00A32851"/>
    <w:rsid w:val="00A328AA"/>
    <w:rsid w:val="00A328C6"/>
    <w:rsid w:val="00A32919"/>
    <w:rsid w:val="00A3295F"/>
    <w:rsid w:val="00A32981"/>
    <w:rsid w:val="00A32A62"/>
    <w:rsid w:val="00A32AA6"/>
    <w:rsid w:val="00A32B02"/>
    <w:rsid w:val="00A32B3D"/>
    <w:rsid w:val="00A32B62"/>
    <w:rsid w:val="00A32B82"/>
    <w:rsid w:val="00A32C40"/>
    <w:rsid w:val="00A32D68"/>
    <w:rsid w:val="00A32DBF"/>
    <w:rsid w:val="00A32E2B"/>
    <w:rsid w:val="00A32E35"/>
    <w:rsid w:val="00A32E8F"/>
    <w:rsid w:val="00A32F3E"/>
    <w:rsid w:val="00A33015"/>
    <w:rsid w:val="00A3304C"/>
    <w:rsid w:val="00A3307C"/>
    <w:rsid w:val="00A3307F"/>
    <w:rsid w:val="00A330DE"/>
    <w:rsid w:val="00A33134"/>
    <w:rsid w:val="00A331A4"/>
    <w:rsid w:val="00A331D5"/>
    <w:rsid w:val="00A3324B"/>
    <w:rsid w:val="00A33267"/>
    <w:rsid w:val="00A3327A"/>
    <w:rsid w:val="00A332BA"/>
    <w:rsid w:val="00A33306"/>
    <w:rsid w:val="00A33384"/>
    <w:rsid w:val="00A333EE"/>
    <w:rsid w:val="00A33485"/>
    <w:rsid w:val="00A334D0"/>
    <w:rsid w:val="00A335AA"/>
    <w:rsid w:val="00A335B1"/>
    <w:rsid w:val="00A335E9"/>
    <w:rsid w:val="00A33608"/>
    <w:rsid w:val="00A336CE"/>
    <w:rsid w:val="00A336E8"/>
    <w:rsid w:val="00A336EA"/>
    <w:rsid w:val="00A336FB"/>
    <w:rsid w:val="00A33745"/>
    <w:rsid w:val="00A33863"/>
    <w:rsid w:val="00A338B4"/>
    <w:rsid w:val="00A3390A"/>
    <w:rsid w:val="00A33995"/>
    <w:rsid w:val="00A339BA"/>
    <w:rsid w:val="00A339CC"/>
    <w:rsid w:val="00A33A20"/>
    <w:rsid w:val="00A33A2C"/>
    <w:rsid w:val="00A33A59"/>
    <w:rsid w:val="00A33AAE"/>
    <w:rsid w:val="00A33B82"/>
    <w:rsid w:val="00A33BA5"/>
    <w:rsid w:val="00A33BEA"/>
    <w:rsid w:val="00A33C77"/>
    <w:rsid w:val="00A33D0F"/>
    <w:rsid w:val="00A33D8B"/>
    <w:rsid w:val="00A33DAF"/>
    <w:rsid w:val="00A33DE1"/>
    <w:rsid w:val="00A33DF0"/>
    <w:rsid w:val="00A33E03"/>
    <w:rsid w:val="00A33E6A"/>
    <w:rsid w:val="00A33EB3"/>
    <w:rsid w:val="00A33EBE"/>
    <w:rsid w:val="00A33EF2"/>
    <w:rsid w:val="00A33F87"/>
    <w:rsid w:val="00A33F8D"/>
    <w:rsid w:val="00A340E1"/>
    <w:rsid w:val="00A34125"/>
    <w:rsid w:val="00A34168"/>
    <w:rsid w:val="00A341DE"/>
    <w:rsid w:val="00A341E2"/>
    <w:rsid w:val="00A341F2"/>
    <w:rsid w:val="00A34265"/>
    <w:rsid w:val="00A3426A"/>
    <w:rsid w:val="00A343F4"/>
    <w:rsid w:val="00A3445F"/>
    <w:rsid w:val="00A3447A"/>
    <w:rsid w:val="00A344FC"/>
    <w:rsid w:val="00A34500"/>
    <w:rsid w:val="00A34503"/>
    <w:rsid w:val="00A3451B"/>
    <w:rsid w:val="00A34561"/>
    <w:rsid w:val="00A34587"/>
    <w:rsid w:val="00A345FF"/>
    <w:rsid w:val="00A346A4"/>
    <w:rsid w:val="00A34716"/>
    <w:rsid w:val="00A34747"/>
    <w:rsid w:val="00A3479D"/>
    <w:rsid w:val="00A348C9"/>
    <w:rsid w:val="00A348F6"/>
    <w:rsid w:val="00A349E2"/>
    <w:rsid w:val="00A34A2B"/>
    <w:rsid w:val="00A34A72"/>
    <w:rsid w:val="00A34AA1"/>
    <w:rsid w:val="00A34AB7"/>
    <w:rsid w:val="00A34B02"/>
    <w:rsid w:val="00A34BAF"/>
    <w:rsid w:val="00A34BB1"/>
    <w:rsid w:val="00A34C73"/>
    <w:rsid w:val="00A34CDD"/>
    <w:rsid w:val="00A34D00"/>
    <w:rsid w:val="00A34D17"/>
    <w:rsid w:val="00A34D46"/>
    <w:rsid w:val="00A34EAF"/>
    <w:rsid w:val="00A34EC2"/>
    <w:rsid w:val="00A34F1E"/>
    <w:rsid w:val="00A34F34"/>
    <w:rsid w:val="00A35009"/>
    <w:rsid w:val="00A3500C"/>
    <w:rsid w:val="00A3509D"/>
    <w:rsid w:val="00A350FB"/>
    <w:rsid w:val="00A3519B"/>
    <w:rsid w:val="00A3522B"/>
    <w:rsid w:val="00A3527C"/>
    <w:rsid w:val="00A3540B"/>
    <w:rsid w:val="00A354BF"/>
    <w:rsid w:val="00A3555B"/>
    <w:rsid w:val="00A35633"/>
    <w:rsid w:val="00A35645"/>
    <w:rsid w:val="00A35736"/>
    <w:rsid w:val="00A3575C"/>
    <w:rsid w:val="00A357BA"/>
    <w:rsid w:val="00A3593B"/>
    <w:rsid w:val="00A35941"/>
    <w:rsid w:val="00A35997"/>
    <w:rsid w:val="00A35A8B"/>
    <w:rsid w:val="00A35AF0"/>
    <w:rsid w:val="00A35B21"/>
    <w:rsid w:val="00A35BD3"/>
    <w:rsid w:val="00A35C31"/>
    <w:rsid w:val="00A35CCB"/>
    <w:rsid w:val="00A35CF4"/>
    <w:rsid w:val="00A35D7B"/>
    <w:rsid w:val="00A35DC0"/>
    <w:rsid w:val="00A35E19"/>
    <w:rsid w:val="00A35E6F"/>
    <w:rsid w:val="00A35F68"/>
    <w:rsid w:val="00A35F7F"/>
    <w:rsid w:val="00A35FDE"/>
    <w:rsid w:val="00A35FF9"/>
    <w:rsid w:val="00A360A1"/>
    <w:rsid w:val="00A360A4"/>
    <w:rsid w:val="00A360BE"/>
    <w:rsid w:val="00A360C9"/>
    <w:rsid w:val="00A360E3"/>
    <w:rsid w:val="00A36122"/>
    <w:rsid w:val="00A36181"/>
    <w:rsid w:val="00A36185"/>
    <w:rsid w:val="00A36199"/>
    <w:rsid w:val="00A36225"/>
    <w:rsid w:val="00A36253"/>
    <w:rsid w:val="00A362BA"/>
    <w:rsid w:val="00A36351"/>
    <w:rsid w:val="00A3640F"/>
    <w:rsid w:val="00A36417"/>
    <w:rsid w:val="00A364D5"/>
    <w:rsid w:val="00A364E6"/>
    <w:rsid w:val="00A36519"/>
    <w:rsid w:val="00A365ED"/>
    <w:rsid w:val="00A3663C"/>
    <w:rsid w:val="00A36772"/>
    <w:rsid w:val="00A3678C"/>
    <w:rsid w:val="00A36867"/>
    <w:rsid w:val="00A36868"/>
    <w:rsid w:val="00A3688D"/>
    <w:rsid w:val="00A36890"/>
    <w:rsid w:val="00A368AF"/>
    <w:rsid w:val="00A368DA"/>
    <w:rsid w:val="00A36925"/>
    <w:rsid w:val="00A3692B"/>
    <w:rsid w:val="00A36960"/>
    <w:rsid w:val="00A369A2"/>
    <w:rsid w:val="00A369FD"/>
    <w:rsid w:val="00A36A3E"/>
    <w:rsid w:val="00A36A9C"/>
    <w:rsid w:val="00A36ABC"/>
    <w:rsid w:val="00A36BAA"/>
    <w:rsid w:val="00A36BDF"/>
    <w:rsid w:val="00A36BE4"/>
    <w:rsid w:val="00A36C2A"/>
    <w:rsid w:val="00A36C73"/>
    <w:rsid w:val="00A36CA2"/>
    <w:rsid w:val="00A36D2A"/>
    <w:rsid w:val="00A36E53"/>
    <w:rsid w:val="00A36ECE"/>
    <w:rsid w:val="00A36FBA"/>
    <w:rsid w:val="00A36FDC"/>
    <w:rsid w:val="00A370F2"/>
    <w:rsid w:val="00A371D5"/>
    <w:rsid w:val="00A3726F"/>
    <w:rsid w:val="00A372B4"/>
    <w:rsid w:val="00A373AF"/>
    <w:rsid w:val="00A373EF"/>
    <w:rsid w:val="00A37439"/>
    <w:rsid w:val="00A3745D"/>
    <w:rsid w:val="00A37649"/>
    <w:rsid w:val="00A37670"/>
    <w:rsid w:val="00A3767A"/>
    <w:rsid w:val="00A3768F"/>
    <w:rsid w:val="00A376A4"/>
    <w:rsid w:val="00A376B7"/>
    <w:rsid w:val="00A376F0"/>
    <w:rsid w:val="00A37723"/>
    <w:rsid w:val="00A3773D"/>
    <w:rsid w:val="00A3773F"/>
    <w:rsid w:val="00A377DB"/>
    <w:rsid w:val="00A37844"/>
    <w:rsid w:val="00A378C3"/>
    <w:rsid w:val="00A378C8"/>
    <w:rsid w:val="00A379B5"/>
    <w:rsid w:val="00A37AE9"/>
    <w:rsid w:val="00A37B35"/>
    <w:rsid w:val="00A37BF6"/>
    <w:rsid w:val="00A37C67"/>
    <w:rsid w:val="00A37CB9"/>
    <w:rsid w:val="00A37D27"/>
    <w:rsid w:val="00A37D9A"/>
    <w:rsid w:val="00A37E64"/>
    <w:rsid w:val="00A37F7F"/>
    <w:rsid w:val="00A37F8D"/>
    <w:rsid w:val="00A37FB1"/>
    <w:rsid w:val="00A4003D"/>
    <w:rsid w:val="00A40049"/>
    <w:rsid w:val="00A40064"/>
    <w:rsid w:val="00A4017E"/>
    <w:rsid w:val="00A401DA"/>
    <w:rsid w:val="00A401E2"/>
    <w:rsid w:val="00A401FC"/>
    <w:rsid w:val="00A4020A"/>
    <w:rsid w:val="00A40275"/>
    <w:rsid w:val="00A4037E"/>
    <w:rsid w:val="00A403A9"/>
    <w:rsid w:val="00A40408"/>
    <w:rsid w:val="00A40418"/>
    <w:rsid w:val="00A40434"/>
    <w:rsid w:val="00A4052D"/>
    <w:rsid w:val="00A40558"/>
    <w:rsid w:val="00A40588"/>
    <w:rsid w:val="00A405B1"/>
    <w:rsid w:val="00A4061C"/>
    <w:rsid w:val="00A40620"/>
    <w:rsid w:val="00A4065C"/>
    <w:rsid w:val="00A40723"/>
    <w:rsid w:val="00A40746"/>
    <w:rsid w:val="00A40761"/>
    <w:rsid w:val="00A40765"/>
    <w:rsid w:val="00A407AE"/>
    <w:rsid w:val="00A407BC"/>
    <w:rsid w:val="00A407D0"/>
    <w:rsid w:val="00A407E2"/>
    <w:rsid w:val="00A407E4"/>
    <w:rsid w:val="00A4080B"/>
    <w:rsid w:val="00A4081E"/>
    <w:rsid w:val="00A40833"/>
    <w:rsid w:val="00A40877"/>
    <w:rsid w:val="00A408BD"/>
    <w:rsid w:val="00A408F8"/>
    <w:rsid w:val="00A40940"/>
    <w:rsid w:val="00A409EC"/>
    <w:rsid w:val="00A40A43"/>
    <w:rsid w:val="00A40A7C"/>
    <w:rsid w:val="00A40AA7"/>
    <w:rsid w:val="00A40AFB"/>
    <w:rsid w:val="00A40B1E"/>
    <w:rsid w:val="00A40B28"/>
    <w:rsid w:val="00A40B57"/>
    <w:rsid w:val="00A40B7D"/>
    <w:rsid w:val="00A40BBD"/>
    <w:rsid w:val="00A40BBE"/>
    <w:rsid w:val="00A40C4A"/>
    <w:rsid w:val="00A40C67"/>
    <w:rsid w:val="00A40CEB"/>
    <w:rsid w:val="00A40D13"/>
    <w:rsid w:val="00A40D52"/>
    <w:rsid w:val="00A40D6F"/>
    <w:rsid w:val="00A40DAA"/>
    <w:rsid w:val="00A40E5A"/>
    <w:rsid w:val="00A40FAC"/>
    <w:rsid w:val="00A410DE"/>
    <w:rsid w:val="00A410ED"/>
    <w:rsid w:val="00A410F1"/>
    <w:rsid w:val="00A41100"/>
    <w:rsid w:val="00A4118B"/>
    <w:rsid w:val="00A41193"/>
    <w:rsid w:val="00A412D0"/>
    <w:rsid w:val="00A41332"/>
    <w:rsid w:val="00A413F1"/>
    <w:rsid w:val="00A41423"/>
    <w:rsid w:val="00A41429"/>
    <w:rsid w:val="00A41475"/>
    <w:rsid w:val="00A41556"/>
    <w:rsid w:val="00A41569"/>
    <w:rsid w:val="00A41592"/>
    <w:rsid w:val="00A415A2"/>
    <w:rsid w:val="00A415AC"/>
    <w:rsid w:val="00A415B7"/>
    <w:rsid w:val="00A41608"/>
    <w:rsid w:val="00A4163C"/>
    <w:rsid w:val="00A41665"/>
    <w:rsid w:val="00A41674"/>
    <w:rsid w:val="00A416D0"/>
    <w:rsid w:val="00A41751"/>
    <w:rsid w:val="00A4176D"/>
    <w:rsid w:val="00A417A9"/>
    <w:rsid w:val="00A417C1"/>
    <w:rsid w:val="00A417E1"/>
    <w:rsid w:val="00A41831"/>
    <w:rsid w:val="00A419D9"/>
    <w:rsid w:val="00A419FA"/>
    <w:rsid w:val="00A41A0B"/>
    <w:rsid w:val="00A41A67"/>
    <w:rsid w:val="00A41AC7"/>
    <w:rsid w:val="00A41ACF"/>
    <w:rsid w:val="00A41B45"/>
    <w:rsid w:val="00A41BBE"/>
    <w:rsid w:val="00A41BD5"/>
    <w:rsid w:val="00A41C0B"/>
    <w:rsid w:val="00A41C16"/>
    <w:rsid w:val="00A41C71"/>
    <w:rsid w:val="00A41D29"/>
    <w:rsid w:val="00A41E2E"/>
    <w:rsid w:val="00A41E59"/>
    <w:rsid w:val="00A41EE4"/>
    <w:rsid w:val="00A41F07"/>
    <w:rsid w:val="00A41F30"/>
    <w:rsid w:val="00A41FEA"/>
    <w:rsid w:val="00A42025"/>
    <w:rsid w:val="00A42045"/>
    <w:rsid w:val="00A42047"/>
    <w:rsid w:val="00A4208C"/>
    <w:rsid w:val="00A4208D"/>
    <w:rsid w:val="00A4211E"/>
    <w:rsid w:val="00A42129"/>
    <w:rsid w:val="00A4213C"/>
    <w:rsid w:val="00A4215F"/>
    <w:rsid w:val="00A4216E"/>
    <w:rsid w:val="00A42187"/>
    <w:rsid w:val="00A42197"/>
    <w:rsid w:val="00A42244"/>
    <w:rsid w:val="00A4231E"/>
    <w:rsid w:val="00A42323"/>
    <w:rsid w:val="00A42368"/>
    <w:rsid w:val="00A42391"/>
    <w:rsid w:val="00A423A0"/>
    <w:rsid w:val="00A42413"/>
    <w:rsid w:val="00A42424"/>
    <w:rsid w:val="00A424AA"/>
    <w:rsid w:val="00A424BE"/>
    <w:rsid w:val="00A424E4"/>
    <w:rsid w:val="00A42538"/>
    <w:rsid w:val="00A4254A"/>
    <w:rsid w:val="00A42595"/>
    <w:rsid w:val="00A4268C"/>
    <w:rsid w:val="00A4272A"/>
    <w:rsid w:val="00A42745"/>
    <w:rsid w:val="00A427D0"/>
    <w:rsid w:val="00A427DA"/>
    <w:rsid w:val="00A42815"/>
    <w:rsid w:val="00A4284C"/>
    <w:rsid w:val="00A42863"/>
    <w:rsid w:val="00A42947"/>
    <w:rsid w:val="00A429C0"/>
    <w:rsid w:val="00A429DE"/>
    <w:rsid w:val="00A429FA"/>
    <w:rsid w:val="00A42AB9"/>
    <w:rsid w:val="00A42B24"/>
    <w:rsid w:val="00A42B29"/>
    <w:rsid w:val="00A42B45"/>
    <w:rsid w:val="00A42BC3"/>
    <w:rsid w:val="00A42BEF"/>
    <w:rsid w:val="00A42C42"/>
    <w:rsid w:val="00A42C55"/>
    <w:rsid w:val="00A42D0A"/>
    <w:rsid w:val="00A42D6D"/>
    <w:rsid w:val="00A42DBC"/>
    <w:rsid w:val="00A42DCE"/>
    <w:rsid w:val="00A42E85"/>
    <w:rsid w:val="00A42F82"/>
    <w:rsid w:val="00A42FC1"/>
    <w:rsid w:val="00A4300F"/>
    <w:rsid w:val="00A43087"/>
    <w:rsid w:val="00A430E9"/>
    <w:rsid w:val="00A431B2"/>
    <w:rsid w:val="00A431C1"/>
    <w:rsid w:val="00A4323A"/>
    <w:rsid w:val="00A432B2"/>
    <w:rsid w:val="00A4339E"/>
    <w:rsid w:val="00A433DA"/>
    <w:rsid w:val="00A43428"/>
    <w:rsid w:val="00A4346A"/>
    <w:rsid w:val="00A4351F"/>
    <w:rsid w:val="00A43549"/>
    <w:rsid w:val="00A4354C"/>
    <w:rsid w:val="00A4354F"/>
    <w:rsid w:val="00A43621"/>
    <w:rsid w:val="00A43761"/>
    <w:rsid w:val="00A437C4"/>
    <w:rsid w:val="00A437EB"/>
    <w:rsid w:val="00A43906"/>
    <w:rsid w:val="00A43934"/>
    <w:rsid w:val="00A439D5"/>
    <w:rsid w:val="00A43A16"/>
    <w:rsid w:val="00A43B40"/>
    <w:rsid w:val="00A43BBF"/>
    <w:rsid w:val="00A43BD3"/>
    <w:rsid w:val="00A43C91"/>
    <w:rsid w:val="00A43D04"/>
    <w:rsid w:val="00A43D1B"/>
    <w:rsid w:val="00A43E92"/>
    <w:rsid w:val="00A43E95"/>
    <w:rsid w:val="00A43FF4"/>
    <w:rsid w:val="00A4413D"/>
    <w:rsid w:val="00A4417F"/>
    <w:rsid w:val="00A442B2"/>
    <w:rsid w:val="00A44363"/>
    <w:rsid w:val="00A443F2"/>
    <w:rsid w:val="00A44470"/>
    <w:rsid w:val="00A4459B"/>
    <w:rsid w:val="00A445A2"/>
    <w:rsid w:val="00A445A9"/>
    <w:rsid w:val="00A445FB"/>
    <w:rsid w:val="00A446F7"/>
    <w:rsid w:val="00A4477D"/>
    <w:rsid w:val="00A44790"/>
    <w:rsid w:val="00A447BF"/>
    <w:rsid w:val="00A4481B"/>
    <w:rsid w:val="00A4481E"/>
    <w:rsid w:val="00A44865"/>
    <w:rsid w:val="00A4486F"/>
    <w:rsid w:val="00A448A9"/>
    <w:rsid w:val="00A448C8"/>
    <w:rsid w:val="00A448FA"/>
    <w:rsid w:val="00A4493A"/>
    <w:rsid w:val="00A449A4"/>
    <w:rsid w:val="00A449C3"/>
    <w:rsid w:val="00A449E2"/>
    <w:rsid w:val="00A449EE"/>
    <w:rsid w:val="00A44A2D"/>
    <w:rsid w:val="00A44AAB"/>
    <w:rsid w:val="00A44AD0"/>
    <w:rsid w:val="00A44ADC"/>
    <w:rsid w:val="00A44B36"/>
    <w:rsid w:val="00A44BF4"/>
    <w:rsid w:val="00A44D76"/>
    <w:rsid w:val="00A44D90"/>
    <w:rsid w:val="00A44D92"/>
    <w:rsid w:val="00A44DA8"/>
    <w:rsid w:val="00A44DC6"/>
    <w:rsid w:val="00A44DD6"/>
    <w:rsid w:val="00A44E14"/>
    <w:rsid w:val="00A44E65"/>
    <w:rsid w:val="00A44E6C"/>
    <w:rsid w:val="00A44EE6"/>
    <w:rsid w:val="00A44EF8"/>
    <w:rsid w:val="00A44F52"/>
    <w:rsid w:val="00A450D1"/>
    <w:rsid w:val="00A45130"/>
    <w:rsid w:val="00A45137"/>
    <w:rsid w:val="00A452A7"/>
    <w:rsid w:val="00A45371"/>
    <w:rsid w:val="00A4537A"/>
    <w:rsid w:val="00A4539A"/>
    <w:rsid w:val="00A453A2"/>
    <w:rsid w:val="00A453CF"/>
    <w:rsid w:val="00A45413"/>
    <w:rsid w:val="00A45426"/>
    <w:rsid w:val="00A454B6"/>
    <w:rsid w:val="00A45525"/>
    <w:rsid w:val="00A455CA"/>
    <w:rsid w:val="00A4560B"/>
    <w:rsid w:val="00A4563A"/>
    <w:rsid w:val="00A456EC"/>
    <w:rsid w:val="00A457C4"/>
    <w:rsid w:val="00A45804"/>
    <w:rsid w:val="00A45830"/>
    <w:rsid w:val="00A45870"/>
    <w:rsid w:val="00A458B2"/>
    <w:rsid w:val="00A458D5"/>
    <w:rsid w:val="00A45928"/>
    <w:rsid w:val="00A45946"/>
    <w:rsid w:val="00A4596A"/>
    <w:rsid w:val="00A459AB"/>
    <w:rsid w:val="00A459E0"/>
    <w:rsid w:val="00A45A55"/>
    <w:rsid w:val="00A45A95"/>
    <w:rsid w:val="00A45AA6"/>
    <w:rsid w:val="00A45AC2"/>
    <w:rsid w:val="00A45AC6"/>
    <w:rsid w:val="00A45ADD"/>
    <w:rsid w:val="00A45B8E"/>
    <w:rsid w:val="00A45C1D"/>
    <w:rsid w:val="00A45C24"/>
    <w:rsid w:val="00A45C93"/>
    <w:rsid w:val="00A45DA3"/>
    <w:rsid w:val="00A45E49"/>
    <w:rsid w:val="00A45F48"/>
    <w:rsid w:val="00A45F5A"/>
    <w:rsid w:val="00A45FA2"/>
    <w:rsid w:val="00A45FC2"/>
    <w:rsid w:val="00A45FFD"/>
    <w:rsid w:val="00A4600B"/>
    <w:rsid w:val="00A46013"/>
    <w:rsid w:val="00A4605F"/>
    <w:rsid w:val="00A46078"/>
    <w:rsid w:val="00A4612D"/>
    <w:rsid w:val="00A46139"/>
    <w:rsid w:val="00A46171"/>
    <w:rsid w:val="00A461BD"/>
    <w:rsid w:val="00A4623F"/>
    <w:rsid w:val="00A462A1"/>
    <w:rsid w:val="00A46308"/>
    <w:rsid w:val="00A4633E"/>
    <w:rsid w:val="00A46364"/>
    <w:rsid w:val="00A4656C"/>
    <w:rsid w:val="00A46613"/>
    <w:rsid w:val="00A4664B"/>
    <w:rsid w:val="00A46668"/>
    <w:rsid w:val="00A4667B"/>
    <w:rsid w:val="00A46728"/>
    <w:rsid w:val="00A467E1"/>
    <w:rsid w:val="00A468A6"/>
    <w:rsid w:val="00A468C3"/>
    <w:rsid w:val="00A4690B"/>
    <w:rsid w:val="00A46966"/>
    <w:rsid w:val="00A46AA5"/>
    <w:rsid w:val="00A46AE2"/>
    <w:rsid w:val="00A46B46"/>
    <w:rsid w:val="00A46C93"/>
    <w:rsid w:val="00A46D08"/>
    <w:rsid w:val="00A46D6E"/>
    <w:rsid w:val="00A46DDA"/>
    <w:rsid w:val="00A46E16"/>
    <w:rsid w:val="00A46E6B"/>
    <w:rsid w:val="00A46E7B"/>
    <w:rsid w:val="00A46E94"/>
    <w:rsid w:val="00A46F49"/>
    <w:rsid w:val="00A46FC0"/>
    <w:rsid w:val="00A47031"/>
    <w:rsid w:val="00A470E9"/>
    <w:rsid w:val="00A47197"/>
    <w:rsid w:val="00A471A4"/>
    <w:rsid w:val="00A471F2"/>
    <w:rsid w:val="00A47244"/>
    <w:rsid w:val="00A47262"/>
    <w:rsid w:val="00A472A2"/>
    <w:rsid w:val="00A472D0"/>
    <w:rsid w:val="00A47311"/>
    <w:rsid w:val="00A47332"/>
    <w:rsid w:val="00A47349"/>
    <w:rsid w:val="00A4734C"/>
    <w:rsid w:val="00A47352"/>
    <w:rsid w:val="00A47354"/>
    <w:rsid w:val="00A4735C"/>
    <w:rsid w:val="00A4739B"/>
    <w:rsid w:val="00A473C7"/>
    <w:rsid w:val="00A474B0"/>
    <w:rsid w:val="00A474BB"/>
    <w:rsid w:val="00A474D1"/>
    <w:rsid w:val="00A47607"/>
    <w:rsid w:val="00A47642"/>
    <w:rsid w:val="00A4765B"/>
    <w:rsid w:val="00A47674"/>
    <w:rsid w:val="00A476BF"/>
    <w:rsid w:val="00A476C6"/>
    <w:rsid w:val="00A47740"/>
    <w:rsid w:val="00A47745"/>
    <w:rsid w:val="00A477B6"/>
    <w:rsid w:val="00A477ED"/>
    <w:rsid w:val="00A47818"/>
    <w:rsid w:val="00A4782A"/>
    <w:rsid w:val="00A47840"/>
    <w:rsid w:val="00A47853"/>
    <w:rsid w:val="00A47854"/>
    <w:rsid w:val="00A47878"/>
    <w:rsid w:val="00A478D3"/>
    <w:rsid w:val="00A478EB"/>
    <w:rsid w:val="00A4796D"/>
    <w:rsid w:val="00A47B83"/>
    <w:rsid w:val="00A47BB0"/>
    <w:rsid w:val="00A47BED"/>
    <w:rsid w:val="00A47C61"/>
    <w:rsid w:val="00A47C90"/>
    <w:rsid w:val="00A47CAF"/>
    <w:rsid w:val="00A47D38"/>
    <w:rsid w:val="00A47E51"/>
    <w:rsid w:val="00A47E70"/>
    <w:rsid w:val="00A47ECD"/>
    <w:rsid w:val="00A47FDA"/>
    <w:rsid w:val="00A50053"/>
    <w:rsid w:val="00A50093"/>
    <w:rsid w:val="00A500B0"/>
    <w:rsid w:val="00A500C3"/>
    <w:rsid w:val="00A500F5"/>
    <w:rsid w:val="00A50155"/>
    <w:rsid w:val="00A5022C"/>
    <w:rsid w:val="00A5035D"/>
    <w:rsid w:val="00A503B1"/>
    <w:rsid w:val="00A50409"/>
    <w:rsid w:val="00A504C6"/>
    <w:rsid w:val="00A505E5"/>
    <w:rsid w:val="00A5060F"/>
    <w:rsid w:val="00A5062C"/>
    <w:rsid w:val="00A506F1"/>
    <w:rsid w:val="00A507B9"/>
    <w:rsid w:val="00A509A1"/>
    <w:rsid w:val="00A509E3"/>
    <w:rsid w:val="00A50A8A"/>
    <w:rsid w:val="00A50AE9"/>
    <w:rsid w:val="00A50AEF"/>
    <w:rsid w:val="00A50B3F"/>
    <w:rsid w:val="00A50BEA"/>
    <w:rsid w:val="00A50C37"/>
    <w:rsid w:val="00A50C4A"/>
    <w:rsid w:val="00A50C5B"/>
    <w:rsid w:val="00A50C8E"/>
    <w:rsid w:val="00A50C93"/>
    <w:rsid w:val="00A50CAA"/>
    <w:rsid w:val="00A50D08"/>
    <w:rsid w:val="00A50D0E"/>
    <w:rsid w:val="00A50D57"/>
    <w:rsid w:val="00A50D58"/>
    <w:rsid w:val="00A50D91"/>
    <w:rsid w:val="00A50D9A"/>
    <w:rsid w:val="00A50E57"/>
    <w:rsid w:val="00A50E5B"/>
    <w:rsid w:val="00A50E73"/>
    <w:rsid w:val="00A50F24"/>
    <w:rsid w:val="00A50FD5"/>
    <w:rsid w:val="00A51060"/>
    <w:rsid w:val="00A510B5"/>
    <w:rsid w:val="00A51167"/>
    <w:rsid w:val="00A51208"/>
    <w:rsid w:val="00A5125A"/>
    <w:rsid w:val="00A512F8"/>
    <w:rsid w:val="00A5140B"/>
    <w:rsid w:val="00A51425"/>
    <w:rsid w:val="00A514A4"/>
    <w:rsid w:val="00A5151F"/>
    <w:rsid w:val="00A515D5"/>
    <w:rsid w:val="00A5171D"/>
    <w:rsid w:val="00A517AF"/>
    <w:rsid w:val="00A5181B"/>
    <w:rsid w:val="00A51850"/>
    <w:rsid w:val="00A51902"/>
    <w:rsid w:val="00A51927"/>
    <w:rsid w:val="00A51A4F"/>
    <w:rsid w:val="00A51A5A"/>
    <w:rsid w:val="00A51AE8"/>
    <w:rsid w:val="00A51B1D"/>
    <w:rsid w:val="00A51B60"/>
    <w:rsid w:val="00A51BAE"/>
    <w:rsid w:val="00A51C30"/>
    <w:rsid w:val="00A51C7B"/>
    <w:rsid w:val="00A51C9C"/>
    <w:rsid w:val="00A51E03"/>
    <w:rsid w:val="00A51F8F"/>
    <w:rsid w:val="00A5209D"/>
    <w:rsid w:val="00A520E0"/>
    <w:rsid w:val="00A52161"/>
    <w:rsid w:val="00A52166"/>
    <w:rsid w:val="00A52193"/>
    <w:rsid w:val="00A521DC"/>
    <w:rsid w:val="00A5223B"/>
    <w:rsid w:val="00A5229B"/>
    <w:rsid w:val="00A522B7"/>
    <w:rsid w:val="00A522D9"/>
    <w:rsid w:val="00A522E8"/>
    <w:rsid w:val="00A52439"/>
    <w:rsid w:val="00A52475"/>
    <w:rsid w:val="00A5247C"/>
    <w:rsid w:val="00A5247D"/>
    <w:rsid w:val="00A52518"/>
    <w:rsid w:val="00A52532"/>
    <w:rsid w:val="00A5258E"/>
    <w:rsid w:val="00A525F9"/>
    <w:rsid w:val="00A5265F"/>
    <w:rsid w:val="00A5273B"/>
    <w:rsid w:val="00A52866"/>
    <w:rsid w:val="00A528D8"/>
    <w:rsid w:val="00A5290E"/>
    <w:rsid w:val="00A52965"/>
    <w:rsid w:val="00A5297C"/>
    <w:rsid w:val="00A529DA"/>
    <w:rsid w:val="00A529E3"/>
    <w:rsid w:val="00A52AB5"/>
    <w:rsid w:val="00A52B19"/>
    <w:rsid w:val="00A52B3A"/>
    <w:rsid w:val="00A52BC2"/>
    <w:rsid w:val="00A52C04"/>
    <w:rsid w:val="00A52CC1"/>
    <w:rsid w:val="00A52DD9"/>
    <w:rsid w:val="00A52DDD"/>
    <w:rsid w:val="00A52DF3"/>
    <w:rsid w:val="00A52E58"/>
    <w:rsid w:val="00A52E79"/>
    <w:rsid w:val="00A52EBF"/>
    <w:rsid w:val="00A52ED6"/>
    <w:rsid w:val="00A52ED9"/>
    <w:rsid w:val="00A52FDE"/>
    <w:rsid w:val="00A5301D"/>
    <w:rsid w:val="00A53065"/>
    <w:rsid w:val="00A530A5"/>
    <w:rsid w:val="00A53132"/>
    <w:rsid w:val="00A53137"/>
    <w:rsid w:val="00A53298"/>
    <w:rsid w:val="00A532A8"/>
    <w:rsid w:val="00A53316"/>
    <w:rsid w:val="00A53319"/>
    <w:rsid w:val="00A533C5"/>
    <w:rsid w:val="00A53440"/>
    <w:rsid w:val="00A5345A"/>
    <w:rsid w:val="00A53494"/>
    <w:rsid w:val="00A53499"/>
    <w:rsid w:val="00A534E3"/>
    <w:rsid w:val="00A53525"/>
    <w:rsid w:val="00A5356B"/>
    <w:rsid w:val="00A5357D"/>
    <w:rsid w:val="00A5367D"/>
    <w:rsid w:val="00A53774"/>
    <w:rsid w:val="00A53827"/>
    <w:rsid w:val="00A53975"/>
    <w:rsid w:val="00A53998"/>
    <w:rsid w:val="00A53A08"/>
    <w:rsid w:val="00A53AA6"/>
    <w:rsid w:val="00A53AEB"/>
    <w:rsid w:val="00A53BA5"/>
    <w:rsid w:val="00A53BE3"/>
    <w:rsid w:val="00A53C43"/>
    <w:rsid w:val="00A53CC1"/>
    <w:rsid w:val="00A53D57"/>
    <w:rsid w:val="00A53E05"/>
    <w:rsid w:val="00A53E0E"/>
    <w:rsid w:val="00A53F4B"/>
    <w:rsid w:val="00A53F57"/>
    <w:rsid w:val="00A53F8E"/>
    <w:rsid w:val="00A53FAF"/>
    <w:rsid w:val="00A53FDC"/>
    <w:rsid w:val="00A54029"/>
    <w:rsid w:val="00A54065"/>
    <w:rsid w:val="00A54097"/>
    <w:rsid w:val="00A540D1"/>
    <w:rsid w:val="00A54127"/>
    <w:rsid w:val="00A5413E"/>
    <w:rsid w:val="00A5417D"/>
    <w:rsid w:val="00A54186"/>
    <w:rsid w:val="00A541B7"/>
    <w:rsid w:val="00A541CE"/>
    <w:rsid w:val="00A541F2"/>
    <w:rsid w:val="00A541F9"/>
    <w:rsid w:val="00A54227"/>
    <w:rsid w:val="00A5423B"/>
    <w:rsid w:val="00A54252"/>
    <w:rsid w:val="00A542DF"/>
    <w:rsid w:val="00A542F2"/>
    <w:rsid w:val="00A54314"/>
    <w:rsid w:val="00A544DD"/>
    <w:rsid w:val="00A54531"/>
    <w:rsid w:val="00A5456C"/>
    <w:rsid w:val="00A545A0"/>
    <w:rsid w:val="00A546A4"/>
    <w:rsid w:val="00A546DD"/>
    <w:rsid w:val="00A54804"/>
    <w:rsid w:val="00A5480F"/>
    <w:rsid w:val="00A5483B"/>
    <w:rsid w:val="00A5486D"/>
    <w:rsid w:val="00A548AB"/>
    <w:rsid w:val="00A548CE"/>
    <w:rsid w:val="00A54904"/>
    <w:rsid w:val="00A54939"/>
    <w:rsid w:val="00A54A66"/>
    <w:rsid w:val="00A54A6E"/>
    <w:rsid w:val="00A54BB1"/>
    <w:rsid w:val="00A54D6A"/>
    <w:rsid w:val="00A54DE3"/>
    <w:rsid w:val="00A54DE6"/>
    <w:rsid w:val="00A54DFC"/>
    <w:rsid w:val="00A54E18"/>
    <w:rsid w:val="00A54E37"/>
    <w:rsid w:val="00A54E52"/>
    <w:rsid w:val="00A54E74"/>
    <w:rsid w:val="00A54E7B"/>
    <w:rsid w:val="00A54EF1"/>
    <w:rsid w:val="00A54F01"/>
    <w:rsid w:val="00A54F37"/>
    <w:rsid w:val="00A54F83"/>
    <w:rsid w:val="00A54FBE"/>
    <w:rsid w:val="00A55000"/>
    <w:rsid w:val="00A5503F"/>
    <w:rsid w:val="00A5504C"/>
    <w:rsid w:val="00A550C0"/>
    <w:rsid w:val="00A55125"/>
    <w:rsid w:val="00A55162"/>
    <w:rsid w:val="00A551E7"/>
    <w:rsid w:val="00A5520A"/>
    <w:rsid w:val="00A5525F"/>
    <w:rsid w:val="00A55270"/>
    <w:rsid w:val="00A55277"/>
    <w:rsid w:val="00A55385"/>
    <w:rsid w:val="00A5538E"/>
    <w:rsid w:val="00A553B2"/>
    <w:rsid w:val="00A553B7"/>
    <w:rsid w:val="00A553D7"/>
    <w:rsid w:val="00A55432"/>
    <w:rsid w:val="00A5547F"/>
    <w:rsid w:val="00A5549C"/>
    <w:rsid w:val="00A554A3"/>
    <w:rsid w:val="00A554A5"/>
    <w:rsid w:val="00A5551A"/>
    <w:rsid w:val="00A55558"/>
    <w:rsid w:val="00A55566"/>
    <w:rsid w:val="00A555DC"/>
    <w:rsid w:val="00A555EA"/>
    <w:rsid w:val="00A55666"/>
    <w:rsid w:val="00A557D2"/>
    <w:rsid w:val="00A55A05"/>
    <w:rsid w:val="00A55A2F"/>
    <w:rsid w:val="00A55A61"/>
    <w:rsid w:val="00A55AA4"/>
    <w:rsid w:val="00A55AA5"/>
    <w:rsid w:val="00A55B3B"/>
    <w:rsid w:val="00A55B60"/>
    <w:rsid w:val="00A55B6E"/>
    <w:rsid w:val="00A55B8E"/>
    <w:rsid w:val="00A55B9B"/>
    <w:rsid w:val="00A55BE9"/>
    <w:rsid w:val="00A55CB5"/>
    <w:rsid w:val="00A55D88"/>
    <w:rsid w:val="00A55EC0"/>
    <w:rsid w:val="00A55F00"/>
    <w:rsid w:val="00A55F0F"/>
    <w:rsid w:val="00A55F9E"/>
    <w:rsid w:val="00A56006"/>
    <w:rsid w:val="00A561C8"/>
    <w:rsid w:val="00A56226"/>
    <w:rsid w:val="00A56230"/>
    <w:rsid w:val="00A56260"/>
    <w:rsid w:val="00A56282"/>
    <w:rsid w:val="00A562B6"/>
    <w:rsid w:val="00A562BC"/>
    <w:rsid w:val="00A563C2"/>
    <w:rsid w:val="00A563D6"/>
    <w:rsid w:val="00A563F3"/>
    <w:rsid w:val="00A5644A"/>
    <w:rsid w:val="00A5644E"/>
    <w:rsid w:val="00A564B3"/>
    <w:rsid w:val="00A564D2"/>
    <w:rsid w:val="00A564D8"/>
    <w:rsid w:val="00A564F4"/>
    <w:rsid w:val="00A56585"/>
    <w:rsid w:val="00A56637"/>
    <w:rsid w:val="00A566A2"/>
    <w:rsid w:val="00A566E6"/>
    <w:rsid w:val="00A567B6"/>
    <w:rsid w:val="00A567C0"/>
    <w:rsid w:val="00A567ED"/>
    <w:rsid w:val="00A567F7"/>
    <w:rsid w:val="00A56804"/>
    <w:rsid w:val="00A5683C"/>
    <w:rsid w:val="00A5683D"/>
    <w:rsid w:val="00A5684E"/>
    <w:rsid w:val="00A5684F"/>
    <w:rsid w:val="00A568D5"/>
    <w:rsid w:val="00A5692F"/>
    <w:rsid w:val="00A5696F"/>
    <w:rsid w:val="00A56A12"/>
    <w:rsid w:val="00A56A4B"/>
    <w:rsid w:val="00A56A70"/>
    <w:rsid w:val="00A56A96"/>
    <w:rsid w:val="00A56A9E"/>
    <w:rsid w:val="00A56ADA"/>
    <w:rsid w:val="00A56B3C"/>
    <w:rsid w:val="00A56B6C"/>
    <w:rsid w:val="00A56BC7"/>
    <w:rsid w:val="00A56D12"/>
    <w:rsid w:val="00A56D39"/>
    <w:rsid w:val="00A56DC5"/>
    <w:rsid w:val="00A56DF0"/>
    <w:rsid w:val="00A56E6A"/>
    <w:rsid w:val="00A56F8B"/>
    <w:rsid w:val="00A570A1"/>
    <w:rsid w:val="00A570E2"/>
    <w:rsid w:val="00A57152"/>
    <w:rsid w:val="00A5716D"/>
    <w:rsid w:val="00A571E1"/>
    <w:rsid w:val="00A57250"/>
    <w:rsid w:val="00A57270"/>
    <w:rsid w:val="00A57285"/>
    <w:rsid w:val="00A572E3"/>
    <w:rsid w:val="00A573ED"/>
    <w:rsid w:val="00A57441"/>
    <w:rsid w:val="00A5753C"/>
    <w:rsid w:val="00A57554"/>
    <w:rsid w:val="00A57611"/>
    <w:rsid w:val="00A576F9"/>
    <w:rsid w:val="00A576FB"/>
    <w:rsid w:val="00A57713"/>
    <w:rsid w:val="00A57731"/>
    <w:rsid w:val="00A57733"/>
    <w:rsid w:val="00A5775D"/>
    <w:rsid w:val="00A577E2"/>
    <w:rsid w:val="00A5785F"/>
    <w:rsid w:val="00A57881"/>
    <w:rsid w:val="00A5788D"/>
    <w:rsid w:val="00A578C5"/>
    <w:rsid w:val="00A579D4"/>
    <w:rsid w:val="00A57A13"/>
    <w:rsid w:val="00A57A6C"/>
    <w:rsid w:val="00A57ABA"/>
    <w:rsid w:val="00A57ABC"/>
    <w:rsid w:val="00A57AD3"/>
    <w:rsid w:val="00A57BCF"/>
    <w:rsid w:val="00A57C09"/>
    <w:rsid w:val="00A57C3C"/>
    <w:rsid w:val="00A57C5E"/>
    <w:rsid w:val="00A57CFE"/>
    <w:rsid w:val="00A57D4E"/>
    <w:rsid w:val="00A57D62"/>
    <w:rsid w:val="00A57DBD"/>
    <w:rsid w:val="00A57E25"/>
    <w:rsid w:val="00A57E4A"/>
    <w:rsid w:val="00A57ED7"/>
    <w:rsid w:val="00A57F3E"/>
    <w:rsid w:val="00A57F66"/>
    <w:rsid w:val="00A57FA6"/>
    <w:rsid w:val="00A57FE2"/>
    <w:rsid w:val="00A6001C"/>
    <w:rsid w:val="00A60085"/>
    <w:rsid w:val="00A6008F"/>
    <w:rsid w:val="00A6009C"/>
    <w:rsid w:val="00A600AB"/>
    <w:rsid w:val="00A60103"/>
    <w:rsid w:val="00A60143"/>
    <w:rsid w:val="00A6016E"/>
    <w:rsid w:val="00A60220"/>
    <w:rsid w:val="00A60282"/>
    <w:rsid w:val="00A602E0"/>
    <w:rsid w:val="00A60310"/>
    <w:rsid w:val="00A6035C"/>
    <w:rsid w:val="00A603CD"/>
    <w:rsid w:val="00A603F5"/>
    <w:rsid w:val="00A604F3"/>
    <w:rsid w:val="00A60516"/>
    <w:rsid w:val="00A6052F"/>
    <w:rsid w:val="00A605CC"/>
    <w:rsid w:val="00A60622"/>
    <w:rsid w:val="00A6062A"/>
    <w:rsid w:val="00A60636"/>
    <w:rsid w:val="00A606E9"/>
    <w:rsid w:val="00A60734"/>
    <w:rsid w:val="00A607C6"/>
    <w:rsid w:val="00A60851"/>
    <w:rsid w:val="00A6087B"/>
    <w:rsid w:val="00A608D1"/>
    <w:rsid w:val="00A609B1"/>
    <w:rsid w:val="00A609BB"/>
    <w:rsid w:val="00A60A29"/>
    <w:rsid w:val="00A60A4D"/>
    <w:rsid w:val="00A60A63"/>
    <w:rsid w:val="00A60A7A"/>
    <w:rsid w:val="00A60AC0"/>
    <w:rsid w:val="00A60AD9"/>
    <w:rsid w:val="00A60AF0"/>
    <w:rsid w:val="00A60B2E"/>
    <w:rsid w:val="00A60B38"/>
    <w:rsid w:val="00A60BB7"/>
    <w:rsid w:val="00A60C5E"/>
    <w:rsid w:val="00A60C74"/>
    <w:rsid w:val="00A60CA7"/>
    <w:rsid w:val="00A60CDA"/>
    <w:rsid w:val="00A60E32"/>
    <w:rsid w:val="00A60E46"/>
    <w:rsid w:val="00A60E62"/>
    <w:rsid w:val="00A60E8D"/>
    <w:rsid w:val="00A60EAA"/>
    <w:rsid w:val="00A60EBF"/>
    <w:rsid w:val="00A60F58"/>
    <w:rsid w:val="00A60F9F"/>
    <w:rsid w:val="00A60FDA"/>
    <w:rsid w:val="00A60FFD"/>
    <w:rsid w:val="00A6108B"/>
    <w:rsid w:val="00A610E1"/>
    <w:rsid w:val="00A610F7"/>
    <w:rsid w:val="00A6110F"/>
    <w:rsid w:val="00A61136"/>
    <w:rsid w:val="00A61143"/>
    <w:rsid w:val="00A61150"/>
    <w:rsid w:val="00A611C7"/>
    <w:rsid w:val="00A61203"/>
    <w:rsid w:val="00A6126D"/>
    <w:rsid w:val="00A6128F"/>
    <w:rsid w:val="00A6137F"/>
    <w:rsid w:val="00A6141A"/>
    <w:rsid w:val="00A614AD"/>
    <w:rsid w:val="00A6150E"/>
    <w:rsid w:val="00A6153B"/>
    <w:rsid w:val="00A6157B"/>
    <w:rsid w:val="00A615C2"/>
    <w:rsid w:val="00A615EA"/>
    <w:rsid w:val="00A61660"/>
    <w:rsid w:val="00A61749"/>
    <w:rsid w:val="00A61797"/>
    <w:rsid w:val="00A617E4"/>
    <w:rsid w:val="00A6187E"/>
    <w:rsid w:val="00A61893"/>
    <w:rsid w:val="00A61AAA"/>
    <w:rsid w:val="00A61AAC"/>
    <w:rsid w:val="00A61AC7"/>
    <w:rsid w:val="00A61AE1"/>
    <w:rsid w:val="00A61B2E"/>
    <w:rsid w:val="00A61BAD"/>
    <w:rsid w:val="00A61BD8"/>
    <w:rsid w:val="00A61C18"/>
    <w:rsid w:val="00A61C5A"/>
    <w:rsid w:val="00A61C75"/>
    <w:rsid w:val="00A61CDD"/>
    <w:rsid w:val="00A61D09"/>
    <w:rsid w:val="00A61D2B"/>
    <w:rsid w:val="00A61D54"/>
    <w:rsid w:val="00A61D99"/>
    <w:rsid w:val="00A61DE4"/>
    <w:rsid w:val="00A61E05"/>
    <w:rsid w:val="00A61E4E"/>
    <w:rsid w:val="00A61F0A"/>
    <w:rsid w:val="00A61F27"/>
    <w:rsid w:val="00A61F2A"/>
    <w:rsid w:val="00A61F46"/>
    <w:rsid w:val="00A61F5A"/>
    <w:rsid w:val="00A62032"/>
    <w:rsid w:val="00A62062"/>
    <w:rsid w:val="00A6209C"/>
    <w:rsid w:val="00A620B0"/>
    <w:rsid w:val="00A6218D"/>
    <w:rsid w:val="00A621C7"/>
    <w:rsid w:val="00A6239B"/>
    <w:rsid w:val="00A624CC"/>
    <w:rsid w:val="00A6255B"/>
    <w:rsid w:val="00A62562"/>
    <w:rsid w:val="00A625B5"/>
    <w:rsid w:val="00A62623"/>
    <w:rsid w:val="00A62740"/>
    <w:rsid w:val="00A6276D"/>
    <w:rsid w:val="00A627F3"/>
    <w:rsid w:val="00A6282A"/>
    <w:rsid w:val="00A628A8"/>
    <w:rsid w:val="00A628AB"/>
    <w:rsid w:val="00A628DD"/>
    <w:rsid w:val="00A62957"/>
    <w:rsid w:val="00A62982"/>
    <w:rsid w:val="00A629DB"/>
    <w:rsid w:val="00A629E9"/>
    <w:rsid w:val="00A629ED"/>
    <w:rsid w:val="00A62A38"/>
    <w:rsid w:val="00A62A9E"/>
    <w:rsid w:val="00A62AE4"/>
    <w:rsid w:val="00A62B16"/>
    <w:rsid w:val="00A62B52"/>
    <w:rsid w:val="00A62C5B"/>
    <w:rsid w:val="00A62DE7"/>
    <w:rsid w:val="00A62E0D"/>
    <w:rsid w:val="00A62E3F"/>
    <w:rsid w:val="00A62EA4"/>
    <w:rsid w:val="00A62F44"/>
    <w:rsid w:val="00A62F7B"/>
    <w:rsid w:val="00A62FEF"/>
    <w:rsid w:val="00A62FFF"/>
    <w:rsid w:val="00A63037"/>
    <w:rsid w:val="00A63098"/>
    <w:rsid w:val="00A630E4"/>
    <w:rsid w:val="00A63165"/>
    <w:rsid w:val="00A631AC"/>
    <w:rsid w:val="00A631F4"/>
    <w:rsid w:val="00A63261"/>
    <w:rsid w:val="00A63348"/>
    <w:rsid w:val="00A63403"/>
    <w:rsid w:val="00A634DC"/>
    <w:rsid w:val="00A634EE"/>
    <w:rsid w:val="00A63525"/>
    <w:rsid w:val="00A635CC"/>
    <w:rsid w:val="00A635D8"/>
    <w:rsid w:val="00A63651"/>
    <w:rsid w:val="00A6365A"/>
    <w:rsid w:val="00A636B4"/>
    <w:rsid w:val="00A636E9"/>
    <w:rsid w:val="00A63711"/>
    <w:rsid w:val="00A63765"/>
    <w:rsid w:val="00A6377B"/>
    <w:rsid w:val="00A6380A"/>
    <w:rsid w:val="00A63811"/>
    <w:rsid w:val="00A639B0"/>
    <w:rsid w:val="00A63A09"/>
    <w:rsid w:val="00A63A0E"/>
    <w:rsid w:val="00A63A1F"/>
    <w:rsid w:val="00A63A3E"/>
    <w:rsid w:val="00A63A7E"/>
    <w:rsid w:val="00A63AD4"/>
    <w:rsid w:val="00A63B38"/>
    <w:rsid w:val="00A63B7C"/>
    <w:rsid w:val="00A63CBE"/>
    <w:rsid w:val="00A63D6F"/>
    <w:rsid w:val="00A63D9F"/>
    <w:rsid w:val="00A63DA9"/>
    <w:rsid w:val="00A63E11"/>
    <w:rsid w:val="00A63E40"/>
    <w:rsid w:val="00A63F02"/>
    <w:rsid w:val="00A63F7D"/>
    <w:rsid w:val="00A63FDE"/>
    <w:rsid w:val="00A6401F"/>
    <w:rsid w:val="00A64032"/>
    <w:rsid w:val="00A64058"/>
    <w:rsid w:val="00A64067"/>
    <w:rsid w:val="00A640DE"/>
    <w:rsid w:val="00A64140"/>
    <w:rsid w:val="00A641E0"/>
    <w:rsid w:val="00A64356"/>
    <w:rsid w:val="00A6436B"/>
    <w:rsid w:val="00A64381"/>
    <w:rsid w:val="00A64389"/>
    <w:rsid w:val="00A64408"/>
    <w:rsid w:val="00A64465"/>
    <w:rsid w:val="00A644BD"/>
    <w:rsid w:val="00A644D0"/>
    <w:rsid w:val="00A644E6"/>
    <w:rsid w:val="00A6450E"/>
    <w:rsid w:val="00A6458F"/>
    <w:rsid w:val="00A645D1"/>
    <w:rsid w:val="00A6463B"/>
    <w:rsid w:val="00A6469E"/>
    <w:rsid w:val="00A646B8"/>
    <w:rsid w:val="00A646B9"/>
    <w:rsid w:val="00A646DF"/>
    <w:rsid w:val="00A6488E"/>
    <w:rsid w:val="00A648E5"/>
    <w:rsid w:val="00A64919"/>
    <w:rsid w:val="00A6494D"/>
    <w:rsid w:val="00A6497C"/>
    <w:rsid w:val="00A649D9"/>
    <w:rsid w:val="00A649F4"/>
    <w:rsid w:val="00A64A0F"/>
    <w:rsid w:val="00A64A75"/>
    <w:rsid w:val="00A64AB1"/>
    <w:rsid w:val="00A64B53"/>
    <w:rsid w:val="00A64B92"/>
    <w:rsid w:val="00A64C53"/>
    <w:rsid w:val="00A64C65"/>
    <w:rsid w:val="00A64D70"/>
    <w:rsid w:val="00A64E26"/>
    <w:rsid w:val="00A64E48"/>
    <w:rsid w:val="00A64E4F"/>
    <w:rsid w:val="00A64E79"/>
    <w:rsid w:val="00A64E7E"/>
    <w:rsid w:val="00A64E9A"/>
    <w:rsid w:val="00A64ED3"/>
    <w:rsid w:val="00A64F89"/>
    <w:rsid w:val="00A64F95"/>
    <w:rsid w:val="00A6501B"/>
    <w:rsid w:val="00A650FE"/>
    <w:rsid w:val="00A65161"/>
    <w:rsid w:val="00A6519D"/>
    <w:rsid w:val="00A651A8"/>
    <w:rsid w:val="00A651DE"/>
    <w:rsid w:val="00A6520B"/>
    <w:rsid w:val="00A65235"/>
    <w:rsid w:val="00A652BB"/>
    <w:rsid w:val="00A653B8"/>
    <w:rsid w:val="00A65414"/>
    <w:rsid w:val="00A65424"/>
    <w:rsid w:val="00A654B4"/>
    <w:rsid w:val="00A65525"/>
    <w:rsid w:val="00A65550"/>
    <w:rsid w:val="00A6559B"/>
    <w:rsid w:val="00A65607"/>
    <w:rsid w:val="00A65678"/>
    <w:rsid w:val="00A65683"/>
    <w:rsid w:val="00A656E6"/>
    <w:rsid w:val="00A6570E"/>
    <w:rsid w:val="00A65790"/>
    <w:rsid w:val="00A65835"/>
    <w:rsid w:val="00A65838"/>
    <w:rsid w:val="00A658D9"/>
    <w:rsid w:val="00A65964"/>
    <w:rsid w:val="00A659D5"/>
    <w:rsid w:val="00A65A23"/>
    <w:rsid w:val="00A65A8E"/>
    <w:rsid w:val="00A65AE7"/>
    <w:rsid w:val="00A65B07"/>
    <w:rsid w:val="00A65B4F"/>
    <w:rsid w:val="00A65B52"/>
    <w:rsid w:val="00A65B78"/>
    <w:rsid w:val="00A65BAA"/>
    <w:rsid w:val="00A65BE8"/>
    <w:rsid w:val="00A65CF8"/>
    <w:rsid w:val="00A65EB6"/>
    <w:rsid w:val="00A65F23"/>
    <w:rsid w:val="00A6603D"/>
    <w:rsid w:val="00A660D1"/>
    <w:rsid w:val="00A660FD"/>
    <w:rsid w:val="00A661DB"/>
    <w:rsid w:val="00A661E0"/>
    <w:rsid w:val="00A661E3"/>
    <w:rsid w:val="00A66240"/>
    <w:rsid w:val="00A6634C"/>
    <w:rsid w:val="00A66388"/>
    <w:rsid w:val="00A663E4"/>
    <w:rsid w:val="00A663FD"/>
    <w:rsid w:val="00A664AC"/>
    <w:rsid w:val="00A66503"/>
    <w:rsid w:val="00A665B2"/>
    <w:rsid w:val="00A66624"/>
    <w:rsid w:val="00A66689"/>
    <w:rsid w:val="00A666AD"/>
    <w:rsid w:val="00A666EB"/>
    <w:rsid w:val="00A6670D"/>
    <w:rsid w:val="00A66720"/>
    <w:rsid w:val="00A66733"/>
    <w:rsid w:val="00A66763"/>
    <w:rsid w:val="00A667EA"/>
    <w:rsid w:val="00A667F5"/>
    <w:rsid w:val="00A6686D"/>
    <w:rsid w:val="00A66898"/>
    <w:rsid w:val="00A668F9"/>
    <w:rsid w:val="00A6697F"/>
    <w:rsid w:val="00A66A48"/>
    <w:rsid w:val="00A66A64"/>
    <w:rsid w:val="00A66A90"/>
    <w:rsid w:val="00A66B5F"/>
    <w:rsid w:val="00A66B88"/>
    <w:rsid w:val="00A66BB5"/>
    <w:rsid w:val="00A66BEF"/>
    <w:rsid w:val="00A66C30"/>
    <w:rsid w:val="00A66C98"/>
    <w:rsid w:val="00A66CDB"/>
    <w:rsid w:val="00A66CDE"/>
    <w:rsid w:val="00A66CEC"/>
    <w:rsid w:val="00A66CF3"/>
    <w:rsid w:val="00A66D5E"/>
    <w:rsid w:val="00A66E44"/>
    <w:rsid w:val="00A66EA0"/>
    <w:rsid w:val="00A66EEB"/>
    <w:rsid w:val="00A66FAB"/>
    <w:rsid w:val="00A67063"/>
    <w:rsid w:val="00A670BE"/>
    <w:rsid w:val="00A670D9"/>
    <w:rsid w:val="00A67103"/>
    <w:rsid w:val="00A671E7"/>
    <w:rsid w:val="00A672E8"/>
    <w:rsid w:val="00A67339"/>
    <w:rsid w:val="00A673AF"/>
    <w:rsid w:val="00A673B5"/>
    <w:rsid w:val="00A67452"/>
    <w:rsid w:val="00A674AE"/>
    <w:rsid w:val="00A674DF"/>
    <w:rsid w:val="00A6756D"/>
    <w:rsid w:val="00A675CB"/>
    <w:rsid w:val="00A675F9"/>
    <w:rsid w:val="00A676DD"/>
    <w:rsid w:val="00A67741"/>
    <w:rsid w:val="00A67744"/>
    <w:rsid w:val="00A67752"/>
    <w:rsid w:val="00A67773"/>
    <w:rsid w:val="00A6777E"/>
    <w:rsid w:val="00A67787"/>
    <w:rsid w:val="00A677AF"/>
    <w:rsid w:val="00A67818"/>
    <w:rsid w:val="00A678E1"/>
    <w:rsid w:val="00A67911"/>
    <w:rsid w:val="00A67912"/>
    <w:rsid w:val="00A6793C"/>
    <w:rsid w:val="00A67951"/>
    <w:rsid w:val="00A679F5"/>
    <w:rsid w:val="00A67A3F"/>
    <w:rsid w:val="00A67A67"/>
    <w:rsid w:val="00A67A83"/>
    <w:rsid w:val="00A67B4D"/>
    <w:rsid w:val="00A67BA7"/>
    <w:rsid w:val="00A67BB1"/>
    <w:rsid w:val="00A67BBB"/>
    <w:rsid w:val="00A67C8A"/>
    <w:rsid w:val="00A67CBD"/>
    <w:rsid w:val="00A67D56"/>
    <w:rsid w:val="00A67D61"/>
    <w:rsid w:val="00A67D69"/>
    <w:rsid w:val="00A67DDA"/>
    <w:rsid w:val="00A67E00"/>
    <w:rsid w:val="00A67EA6"/>
    <w:rsid w:val="00A67ECE"/>
    <w:rsid w:val="00A67EDD"/>
    <w:rsid w:val="00A67F18"/>
    <w:rsid w:val="00A67F92"/>
    <w:rsid w:val="00A67FB7"/>
    <w:rsid w:val="00A70004"/>
    <w:rsid w:val="00A70094"/>
    <w:rsid w:val="00A700D0"/>
    <w:rsid w:val="00A700D8"/>
    <w:rsid w:val="00A70172"/>
    <w:rsid w:val="00A7019A"/>
    <w:rsid w:val="00A701C0"/>
    <w:rsid w:val="00A701FA"/>
    <w:rsid w:val="00A70240"/>
    <w:rsid w:val="00A702AD"/>
    <w:rsid w:val="00A7030D"/>
    <w:rsid w:val="00A70342"/>
    <w:rsid w:val="00A7034F"/>
    <w:rsid w:val="00A7036A"/>
    <w:rsid w:val="00A70399"/>
    <w:rsid w:val="00A7039D"/>
    <w:rsid w:val="00A7048D"/>
    <w:rsid w:val="00A704CF"/>
    <w:rsid w:val="00A7057D"/>
    <w:rsid w:val="00A70599"/>
    <w:rsid w:val="00A705B3"/>
    <w:rsid w:val="00A708A2"/>
    <w:rsid w:val="00A70944"/>
    <w:rsid w:val="00A709DD"/>
    <w:rsid w:val="00A70ABD"/>
    <w:rsid w:val="00A70B06"/>
    <w:rsid w:val="00A70B3C"/>
    <w:rsid w:val="00A70BE8"/>
    <w:rsid w:val="00A70BEA"/>
    <w:rsid w:val="00A70D00"/>
    <w:rsid w:val="00A70D1B"/>
    <w:rsid w:val="00A70D42"/>
    <w:rsid w:val="00A70DE1"/>
    <w:rsid w:val="00A70E4D"/>
    <w:rsid w:val="00A70EA2"/>
    <w:rsid w:val="00A70EA6"/>
    <w:rsid w:val="00A70F12"/>
    <w:rsid w:val="00A70F3C"/>
    <w:rsid w:val="00A7101A"/>
    <w:rsid w:val="00A71075"/>
    <w:rsid w:val="00A71081"/>
    <w:rsid w:val="00A71085"/>
    <w:rsid w:val="00A710BF"/>
    <w:rsid w:val="00A71123"/>
    <w:rsid w:val="00A7113F"/>
    <w:rsid w:val="00A711E8"/>
    <w:rsid w:val="00A71240"/>
    <w:rsid w:val="00A71355"/>
    <w:rsid w:val="00A7137A"/>
    <w:rsid w:val="00A713D5"/>
    <w:rsid w:val="00A71436"/>
    <w:rsid w:val="00A714B2"/>
    <w:rsid w:val="00A71526"/>
    <w:rsid w:val="00A71531"/>
    <w:rsid w:val="00A715A9"/>
    <w:rsid w:val="00A7163C"/>
    <w:rsid w:val="00A71801"/>
    <w:rsid w:val="00A7183C"/>
    <w:rsid w:val="00A7183D"/>
    <w:rsid w:val="00A718D3"/>
    <w:rsid w:val="00A7193C"/>
    <w:rsid w:val="00A719ED"/>
    <w:rsid w:val="00A71A09"/>
    <w:rsid w:val="00A71A40"/>
    <w:rsid w:val="00A71A72"/>
    <w:rsid w:val="00A71B26"/>
    <w:rsid w:val="00A71B5B"/>
    <w:rsid w:val="00A71B5F"/>
    <w:rsid w:val="00A71BF4"/>
    <w:rsid w:val="00A71CF1"/>
    <w:rsid w:val="00A71D08"/>
    <w:rsid w:val="00A71D59"/>
    <w:rsid w:val="00A71D5B"/>
    <w:rsid w:val="00A71DB8"/>
    <w:rsid w:val="00A71E56"/>
    <w:rsid w:val="00A71EDE"/>
    <w:rsid w:val="00A71EF5"/>
    <w:rsid w:val="00A71F2B"/>
    <w:rsid w:val="00A72012"/>
    <w:rsid w:val="00A720FB"/>
    <w:rsid w:val="00A7214D"/>
    <w:rsid w:val="00A72190"/>
    <w:rsid w:val="00A721E9"/>
    <w:rsid w:val="00A721F8"/>
    <w:rsid w:val="00A7227B"/>
    <w:rsid w:val="00A722D7"/>
    <w:rsid w:val="00A72312"/>
    <w:rsid w:val="00A7235C"/>
    <w:rsid w:val="00A723E1"/>
    <w:rsid w:val="00A723FB"/>
    <w:rsid w:val="00A7244F"/>
    <w:rsid w:val="00A724D4"/>
    <w:rsid w:val="00A72523"/>
    <w:rsid w:val="00A725B7"/>
    <w:rsid w:val="00A725CF"/>
    <w:rsid w:val="00A7263B"/>
    <w:rsid w:val="00A7269F"/>
    <w:rsid w:val="00A7271F"/>
    <w:rsid w:val="00A72836"/>
    <w:rsid w:val="00A728AA"/>
    <w:rsid w:val="00A72960"/>
    <w:rsid w:val="00A729DA"/>
    <w:rsid w:val="00A72A42"/>
    <w:rsid w:val="00A72A5C"/>
    <w:rsid w:val="00A72A78"/>
    <w:rsid w:val="00A72B44"/>
    <w:rsid w:val="00A72B56"/>
    <w:rsid w:val="00A72B93"/>
    <w:rsid w:val="00A72BA6"/>
    <w:rsid w:val="00A72C23"/>
    <w:rsid w:val="00A72C33"/>
    <w:rsid w:val="00A72C3A"/>
    <w:rsid w:val="00A72C45"/>
    <w:rsid w:val="00A72CE7"/>
    <w:rsid w:val="00A72DFF"/>
    <w:rsid w:val="00A72E12"/>
    <w:rsid w:val="00A72EB0"/>
    <w:rsid w:val="00A72F08"/>
    <w:rsid w:val="00A730C0"/>
    <w:rsid w:val="00A7317C"/>
    <w:rsid w:val="00A731B6"/>
    <w:rsid w:val="00A73247"/>
    <w:rsid w:val="00A7329F"/>
    <w:rsid w:val="00A732C6"/>
    <w:rsid w:val="00A73306"/>
    <w:rsid w:val="00A73313"/>
    <w:rsid w:val="00A7337C"/>
    <w:rsid w:val="00A7339E"/>
    <w:rsid w:val="00A733C0"/>
    <w:rsid w:val="00A73466"/>
    <w:rsid w:val="00A7346E"/>
    <w:rsid w:val="00A73470"/>
    <w:rsid w:val="00A7351F"/>
    <w:rsid w:val="00A73523"/>
    <w:rsid w:val="00A73540"/>
    <w:rsid w:val="00A735BD"/>
    <w:rsid w:val="00A735C2"/>
    <w:rsid w:val="00A7374B"/>
    <w:rsid w:val="00A737A8"/>
    <w:rsid w:val="00A737B1"/>
    <w:rsid w:val="00A7387E"/>
    <w:rsid w:val="00A7389C"/>
    <w:rsid w:val="00A7390A"/>
    <w:rsid w:val="00A7395C"/>
    <w:rsid w:val="00A73A0F"/>
    <w:rsid w:val="00A73A54"/>
    <w:rsid w:val="00A73A5A"/>
    <w:rsid w:val="00A73A7F"/>
    <w:rsid w:val="00A73B57"/>
    <w:rsid w:val="00A73BC0"/>
    <w:rsid w:val="00A73C5A"/>
    <w:rsid w:val="00A73D60"/>
    <w:rsid w:val="00A73D90"/>
    <w:rsid w:val="00A73DBF"/>
    <w:rsid w:val="00A73E23"/>
    <w:rsid w:val="00A73E3B"/>
    <w:rsid w:val="00A73E4E"/>
    <w:rsid w:val="00A73E71"/>
    <w:rsid w:val="00A73F28"/>
    <w:rsid w:val="00A73FCE"/>
    <w:rsid w:val="00A74009"/>
    <w:rsid w:val="00A7403D"/>
    <w:rsid w:val="00A74082"/>
    <w:rsid w:val="00A740F7"/>
    <w:rsid w:val="00A74167"/>
    <w:rsid w:val="00A741A7"/>
    <w:rsid w:val="00A741C4"/>
    <w:rsid w:val="00A741F2"/>
    <w:rsid w:val="00A741FD"/>
    <w:rsid w:val="00A74242"/>
    <w:rsid w:val="00A7428B"/>
    <w:rsid w:val="00A742A4"/>
    <w:rsid w:val="00A742C2"/>
    <w:rsid w:val="00A74380"/>
    <w:rsid w:val="00A74455"/>
    <w:rsid w:val="00A7445B"/>
    <w:rsid w:val="00A744CC"/>
    <w:rsid w:val="00A744CE"/>
    <w:rsid w:val="00A74583"/>
    <w:rsid w:val="00A745CB"/>
    <w:rsid w:val="00A74663"/>
    <w:rsid w:val="00A746CE"/>
    <w:rsid w:val="00A74758"/>
    <w:rsid w:val="00A74800"/>
    <w:rsid w:val="00A74803"/>
    <w:rsid w:val="00A74814"/>
    <w:rsid w:val="00A7493E"/>
    <w:rsid w:val="00A74A34"/>
    <w:rsid w:val="00A74A43"/>
    <w:rsid w:val="00A74A60"/>
    <w:rsid w:val="00A74A8C"/>
    <w:rsid w:val="00A74AC5"/>
    <w:rsid w:val="00A74B01"/>
    <w:rsid w:val="00A74B59"/>
    <w:rsid w:val="00A74BB6"/>
    <w:rsid w:val="00A74C18"/>
    <w:rsid w:val="00A74C8A"/>
    <w:rsid w:val="00A74F03"/>
    <w:rsid w:val="00A74F21"/>
    <w:rsid w:val="00A74F45"/>
    <w:rsid w:val="00A74FA3"/>
    <w:rsid w:val="00A75017"/>
    <w:rsid w:val="00A7502F"/>
    <w:rsid w:val="00A7505E"/>
    <w:rsid w:val="00A750D2"/>
    <w:rsid w:val="00A75123"/>
    <w:rsid w:val="00A7512C"/>
    <w:rsid w:val="00A7512D"/>
    <w:rsid w:val="00A751AA"/>
    <w:rsid w:val="00A751AF"/>
    <w:rsid w:val="00A751BB"/>
    <w:rsid w:val="00A751D3"/>
    <w:rsid w:val="00A75239"/>
    <w:rsid w:val="00A7525A"/>
    <w:rsid w:val="00A7529B"/>
    <w:rsid w:val="00A7537A"/>
    <w:rsid w:val="00A753DC"/>
    <w:rsid w:val="00A7540C"/>
    <w:rsid w:val="00A75428"/>
    <w:rsid w:val="00A7545E"/>
    <w:rsid w:val="00A7547D"/>
    <w:rsid w:val="00A754A3"/>
    <w:rsid w:val="00A754AA"/>
    <w:rsid w:val="00A754DE"/>
    <w:rsid w:val="00A75533"/>
    <w:rsid w:val="00A75542"/>
    <w:rsid w:val="00A7556A"/>
    <w:rsid w:val="00A755A2"/>
    <w:rsid w:val="00A755A5"/>
    <w:rsid w:val="00A755BD"/>
    <w:rsid w:val="00A755D5"/>
    <w:rsid w:val="00A755F4"/>
    <w:rsid w:val="00A75610"/>
    <w:rsid w:val="00A75644"/>
    <w:rsid w:val="00A75688"/>
    <w:rsid w:val="00A75770"/>
    <w:rsid w:val="00A7577D"/>
    <w:rsid w:val="00A75781"/>
    <w:rsid w:val="00A757F6"/>
    <w:rsid w:val="00A7580F"/>
    <w:rsid w:val="00A7587A"/>
    <w:rsid w:val="00A758C8"/>
    <w:rsid w:val="00A7596E"/>
    <w:rsid w:val="00A759BB"/>
    <w:rsid w:val="00A75AB7"/>
    <w:rsid w:val="00A75B11"/>
    <w:rsid w:val="00A75B17"/>
    <w:rsid w:val="00A75B24"/>
    <w:rsid w:val="00A75B4B"/>
    <w:rsid w:val="00A75B6C"/>
    <w:rsid w:val="00A75B91"/>
    <w:rsid w:val="00A75BE2"/>
    <w:rsid w:val="00A75C09"/>
    <w:rsid w:val="00A75C63"/>
    <w:rsid w:val="00A75C98"/>
    <w:rsid w:val="00A75CBD"/>
    <w:rsid w:val="00A75DEB"/>
    <w:rsid w:val="00A75DEE"/>
    <w:rsid w:val="00A75E01"/>
    <w:rsid w:val="00A75E27"/>
    <w:rsid w:val="00A75E51"/>
    <w:rsid w:val="00A75EF9"/>
    <w:rsid w:val="00A75F18"/>
    <w:rsid w:val="00A75F8C"/>
    <w:rsid w:val="00A76043"/>
    <w:rsid w:val="00A7606F"/>
    <w:rsid w:val="00A760CE"/>
    <w:rsid w:val="00A76180"/>
    <w:rsid w:val="00A76232"/>
    <w:rsid w:val="00A7624B"/>
    <w:rsid w:val="00A76262"/>
    <w:rsid w:val="00A7629B"/>
    <w:rsid w:val="00A7630A"/>
    <w:rsid w:val="00A76344"/>
    <w:rsid w:val="00A763BD"/>
    <w:rsid w:val="00A76425"/>
    <w:rsid w:val="00A765F7"/>
    <w:rsid w:val="00A76612"/>
    <w:rsid w:val="00A7662E"/>
    <w:rsid w:val="00A767A9"/>
    <w:rsid w:val="00A7687D"/>
    <w:rsid w:val="00A76921"/>
    <w:rsid w:val="00A7693A"/>
    <w:rsid w:val="00A76992"/>
    <w:rsid w:val="00A769DA"/>
    <w:rsid w:val="00A769FE"/>
    <w:rsid w:val="00A76A31"/>
    <w:rsid w:val="00A76A7D"/>
    <w:rsid w:val="00A76A83"/>
    <w:rsid w:val="00A76A8E"/>
    <w:rsid w:val="00A76A91"/>
    <w:rsid w:val="00A76AB3"/>
    <w:rsid w:val="00A76AB7"/>
    <w:rsid w:val="00A76AFA"/>
    <w:rsid w:val="00A76B0B"/>
    <w:rsid w:val="00A76CE4"/>
    <w:rsid w:val="00A76D16"/>
    <w:rsid w:val="00A76D29"/>
    <w:rsid w:val="00A76D56"/>
    <w:rsid w:val="00A76D8B"/>
    <w:rsid w:val="00A76DA1"/>
    <w:rsid w:val="00A76E1F"/>
    <w:rsid w:val="00A76E57"/>
    <w:rsid w:val="00A76E72"/>
    <w:rsid w:val="00A76ECC"/>
    <w:rsid w:val="00A76F51"/>
    <w:rsid w:val="00A76F6F"/>
    <w:rsid w:val="00A76FC1"/>
    <w:rsid w:val="00A76FE5"/>
    <w:rsid w:val="00A77105"/>
    <w:rsid w:val="00A7715E"/>
    <w:rsid w:val="00A771C8"/>
    <w:rsid w:val="00A771CF"/>
    <w:rsid w:val="00A77207"/>
    <w:rsid w:val="00A77210"/>
    <w:rsid w:val="00A772A1"/>
    <w:rsid w:val="00A772A3"/>
    <w:rsid w:val="00A773D2"/>
    <w:rsid w:val="00A773F3"/>
    <w:rsid w:val="00A7746A"/>
    <w:rsid w:val="00A77514"/>
    <w:rsid w:val="00A775ED"/>
    <w:rsid w:val="00A77686"/>
    <w:rsid w:val="00A77697"/>
    <w:rsid w:val="00A776AF"/>
    <w:rsid w:val="00A776D6"/>
    <w:rsid w:val="00A776F3"/>
    <w:rsid w:val="00A776F6"/>
    <w:rsid w:val="00A77759"/>
    <w:rsid w:val="00A777CD"/>
    <w:rsid w:val="00A7785A"/>
    <w:rsid w:val="00A77896"/>
    <w:rsid w:val="00A778C6"/>
    <w:rsid w:val="00A77947"/>
    <w:rsid w:val="00A7797B"/>
    <w:rsid w:val="00A7798F"/>
    <w:rsid w:val="00A77A51"/>
    <w:rsid w:val="00A77AA8"/>
    <w:rsid w:val="00A77AAD"/>
    <w:rsid w:val="00A77ABD"/>
    <w:rsid w:val="00A77AC0"/>
    <w:rsid w:val="00A77B30"/>
    <w:rsid w:val="00A77B4E"/>
    <w:rsid w:val="00A77B8E"/>
    <w:rsid w:val="00A77CE3"/>
    <w:rsid w:val="00A77CEC"/>
    <w:rsid w:val="00A77D2A"/>
    <w:rsid w:val="00A77D92"/>
    <w:rsid w:val="00A77DFC"/>
    <w:rsid w:val="00A77E6A"/>
    <w:rsid w:val="00A77E7D"/>
    <w:rsid w:val="00A77EF2"/>
    <w:rsid w:val="00A77F28"/>
    <w:rsid w:val="00A78C66"/>
    <w:rsid w:val="00A80048"/>
    <w:rsid w:val="00A800D1"/>
    <w:rsid w:val="00A800E3"/>
    <w:rsid w:val="00A801F3"/>
    <w:rsid w:val="00A801F8"/>
    <w:rsid w:val="00A8022B"/>
    <w:rsid w:val="00A80345"/>
    <w:rsid w:val="00A80362"/>
    <w:rsid w:val="00A80410"/>
    <w:rsid w:val="00A804CB"/>
    <w:rsid w:val="00A80503"/>
    <w:rsid w:val="00A8052E"/>
    <w:rsid w:val="00A80549"/>
    <w:rsid w:val="00A80593"/>
    <w:rsid w:val="00A805D3"/>
    <w:rsid w:val="00A80628"/>
    <w:rsid w:val="00A807D0"/>
    <w:rsid w:val="00A80812"/>
    <w:rsid w:val="00A808A7"/>
    <w:rsid w:val="00A808D7"/>
    <w:rsid w:val="00A80912"/>
    <w:rsid w:val="00A80974"/>
    <w:rsid w:val="00A80998"/>
    <w:rsid w:val="00A809B1"/>
    <w:rsid w:val="00A809D4"/>
    <w:rsid w:val="00A80A06"/>
    <w:rsid w:val="00A80AA1"/>
    <w:rsid w:val="00A80AF0"/>
    <w:rsid w:val="00A80BAC"/>
    <w:rsid w:val="00A80CB9"/>
    <w:rsid w:val="00A80CCD"/>
    <w:rsid w:val="00A80CDC"/>
    <w:rsid w:val="00A80D1E"/>
    <w:rsid w:val="00A80D34"/>
    <w:rsid w:val="00A80D39"/>
    <w:rsid w:val="00A80D96"/>
    <w:rsid w:val="00A80EEC"/>
    <w:rsid w:val="00A80F15"/>
    <w:rsid w:val="00A810B0"/>
    <w:rsid w:val="00A81169"/>
    <w:rsid w:val="00A811A2"/>
    <w:rsid w:val="00A811AB"/>
    <w:rsid w:val="00A811B9"/>
    <w:rsid w:val="00A811C5"/>
    <w:rsid w:val="00A8120E"/>
    <w:rsid w:val="00A812AA"/>
    <w:rsid w:val="00A812B3"/>
    <w:rsid w:val="00A8130F"/>
    <w:rsid w:val="00A813C2"/>
    <w:rsid w:val="00A813DC"/>
    <w:rsid w:val="00A813E7"/>
    <w:rsid w:val="00A8142B"/>
    <w:rsid w:val="00A8143D"/>
    <w:rsid w:val="00A8146E"/>
    <w:rsid w:val="00A8156C"/>
    <w:rsid w:val="00A8157B"/>
    <w:rsid w:val="00A8158E"/>
    <w:rsid w:val="00A8159F"/>
    <w:rsid w:val="00A815B7"/>
    <w:rsid w:val="00A815D2"/>
    <w:rsid w:val="00A815E5"/>
    <w:rsid w:val="00A81656"/>
    <w:rsid w:val="00A8168E"/>
    <w:rsid w:val="00A816DF"/>
    <w:rsid w:val="00A816FF"/>
    <w:rsid w:val="00A8178C"/>
    <w:rsid w:val="00A817B7"/>
    <w:rsid w:val="00A817D9"/>
    <w:rsid w:val="00A8184C"/>
    <w:rsid w:val="00A81864"/>
    <w:rsid w:val="00A81867"/>
    <w:rsid w:val="00A818AF"/>
    <w:rsid w:val="00A81928"/>
    <w:rsid w:val="00A819BB"/>
    <w:rsid w:val="00A81A53"/>
    <w:rsid w:val="00A81ACF"/>
    <w:rsid w:val="00A81B00"/>
    <w:rsid w:val="00A81B4C"/>
    <w:rsid w:val="00A81BBA"/>
    <w:rsid w:val="00A81BDC"/>
    <w:rsid w:val="00A81BEC"/>
    <w:rsid w:val="00A81C09"/>
    <w:rsid w:val="00A81D26"/>
    <w:rsid w:val="00A81DA6"/>
    <w:rsid w:val="00A81E02"/>
    <w:rsid w:val="00A81E06"/>
    <w:rsid w:val="00A81E14"/>
    <w:rsid w:val="00A81E8E"/>
    <w:rsid w:val="00A81E97"/>
    <w:rsid w:val="00A81EAA"/>
    <w:rsid w:val="00A81EBA"/>
    <w:rsid w:val="00A820C3"/>
    <w:rsid w:val="00A820F2"/>
    <w:rsid w:val="00A82133"/>
    <w:rsid w:val="00A82233"/>
    <w:rsid w:val="00A82241"/>
    <w:rsid w:val="00A82267"/>
    <w:rsid w:val="00A823B1"/>
    <w:rsid w:val="00A823E3"/>
    <w:rsid w:val="00A823FE"/>
    <w:rsid w:val="00A82420"/>
    <w:rsid w:val="00A82471"/>
    <w:rsid w:val="00A82492"/>
    <w:rsid w:val="00A824AC"/>
    <w:rsid w:val="00A824B5"/>
    <w:rsid w:val="00A82534"/>
    <w:rsid w:val="00A82548"/>
    <w:rsid w:val="00A8257F"/>
    <w:rsid w:val="00A825C5"/>
    <w:rsid w:val="00A825E0"/>
    <w:rsid w:val="00A82612"/>
    <w:rsid w:val="00A826B2"/>
    <w:rsid w:val="00A826B6"/>
    <w:rsid w:val="00A826BF"/>
    <w:rsid w:val="00A82714"/>
    <w:rsid w:val="00A8274F"/>
    <w:rsid w:val="00A82839"/>
    <w:rsid w:val="00A8285F"/>
    <w:rsid w:val="00A828E7"/>
    <w:rsid w:val="00A828FA"/>
    <w:rsid w:val="00A82995"/>
    <w:rsid w:val="00A829CE"/>
    <w:rsid w:val="00A82A48"/>
    <w:rsid w:val="00A82B4C"/>
    <w:rsid w:val="00A82B96"/>
    <w:rsid w:val="00A82C72"/>
    <w:rsid w:val="00A82D25"/>
    <w:rsid w:val="00A82D59"/>
    <w:rsid w:val="00A82DCB"/>
    <w:rsid w:val="00A82DDA"/>
    <w:rsid w:val="00A82E0F"/>
    <w:rsid w:val="00A82E59"/>
    <w:rsid w:val="00A82E64"/>
    <w:rsid w:val="00A82EC3"/>
    <w:rsid w:val="00A82F01"/>
    <w:rsid w:val="00A82F1A"/>
    <w:rsid w:val="00A82F45"/>
    <w:rsid w:val="00A82FA4"/>
    <w:rsid w:val="00A83050"/>
    <w:rsid w:val="00A830BA"/>
    <w:rsid w:val="00A83121"/>
    <w:rsid w:val="00A8312C"/>
    <w:rsid w:val="00A83135"/>
    <w:rsid w:val="00A8318A"/>
    <w:rsid w:val="00A831B0"/>
    <w:rsid w:val="00A831E8"/>
    <w:rsid w:val="00A83309"/>
    <w:rsid w:val="00A83368"/>
    <w:rsid w:val="00A833A4"/>
    <w:rsid w:val="00A833F5"/>
    <w:rsid w:val="00A8344A"/>
    <w:rsid w:val="00A834D5"/>
    <w:rsid w:val="00A83541"/>
    <w:rsid w:val="00A835A4"/>
    <w:rsid w:val="00A835C1"/>
    <w:rsid w:val="00A835D1"/>
    <w:rsid w:val="00A83627"/>
    <w:rsid w:val="00A836C2"/>
    <w:rsid w:val="00A836D3"/>
    <w:rsid w:val="00A83733"/>
    <w:rsid w:val="00A83857"/>
    <w:rsid w:val="00A838E8"/>
    <w:rsid w:val="00A83921"/>
    <w:rsid w:val="00A83999"/>
    <w:rsid w:val="00A839FB"/>
    <w:rsid w:val="00A83A17"/>
    <w:rsid w:val="00A83B41"/>
    <w:rsid w:val="00A83B55"/>
    <w:rsid w:val="00A83D4D"/>
    <w:rsid w:val="00A83D9D"/>
    <w:rsid w:val="00A83DD3"/>
    <w:rsid w:val="00A83DF5"/>
    <w:rsid w:val="00A83E03"/>
    <w:rsid w:val="00A83E22"/>
    <w:rsid w:val="00A83EA3"/>
    <w:rsid w:val="00A83F42"/>
    <w:rsid w:val="00A83F8C"/>
    <w:rsid w:val="00A83FD6"/>
    <w:rsid w:val="00A84021"/>
    <w:rsid w:val="00A84095"/>
    <w:rsid w:val="00A840CF"/>
    <w:rsid w:val="00A840E0"/>
    <w:rsid w:val="00A84143"/>
    <w:rsid w:val="00A84190"/>
    <w:rsid w:val="00A8427B"/>
    <w:rsid w:val="00A84282"/>
    <w:rsid w:val="00A842B0"/>
    <w:rsid w:val="00A842E8"/>
    <w:rsid w:val="00A8430D"/>
    <w:rsid w:val="00A8431D"/>
    <w:rsid w:val="00A843EC"/>
    <w:rsid w:val="00A84448"/>
    <w:rsid w:val="00A844DC"/>
    <w:rsid w:val="00A844F2"/>
    <w:rsid w:val="00A844F4"/>
    <w:rsid w:val="00A8451F"/>
    <w:rsid w:val="00A84559"/>
    <w:rsid w:val="00A8457A"/>
    <w:rsid w:val="00A8462B"/>
    <w:rsid w:val="00A84634"/>
    <w:rsid w:val="00A8470A"/>
    <w:rsid w:val="00A8470D"/>
    <w:rsid w:val="00A84825"/>
    <w:rsid w:val="00A848DF"/>
    <w:rsid w:val="00A849CB"/>
    <w:rsid w:val="00A84A31"/>
    <w:rsid w:val="00A84AB5"/>
    <w:rsid w:val="00A84AC2"/>
    <w:rsid w:val="00A84B13"/>
    <w:rsid w:val="00A84BBF"/>
    <w:rsid w:val="00A84BDE"/>
    <w:rsid w:val="00A84BED"/>
    <w:rsid w:val="00A84C16"/>
    <w:rsid w:val="00A84C9B"/>
    <w:rsid w:val="00A84CCC"/>
    <w:rsid w:val="00A84CE4"/>
    <w:rsid w:val="00A84CFC"/>
    <w:rsid w:val="00A84D3D"/>
    <w:rsid w:val="00A84D94"/>
    <w:rsid w:val="00A84D9D"/>
    <w:rsid w:val="00A84DB7"/>
    <w:rsid w:val="00A84E55"/>
    <w:rsid w:val="00A84F0D"/>
    <w:rsid w:val="00A84F5E"/>
    <w:rsid w:val="00A8502A"/>
    <w:rsid w:val="00A8505E"/>
    <w:rsid w:val="00A850A2"/>
    <w:rsid w:val="00A8514E"/>
    <w:rsid w:val="00A851D1"/>
    <w:rsid w:val="00A85324"/>
    <w:rsid w:val="00A853F5"/>
    <w:rsid w:val="00A853F6"/>
    <w:rsid w:val="00A854D6"/>
    <w:rsid w:val="00A85571"/>
    <w:rsid w:val="00A855A0"/>
    <w:rsid w:val="00A85609"/>
    <w:rsid w:val="00A8560F"/>
    <w:rsid w:val="00A8567E"/>
    <w:rsid w:val="00A8570A"/>
    <w:rsid w:val="00A8570E"/>
    <w:rsid w:val="00A85769"/>
    <w:rsid w:val="00A857EE"/>
    <w:rsid w:val="00A858A9"/>
    <w:rsid w:val="00A858BD"/>
    <w:rsid w:val="00A858EB"/>
    <w:rsid w:val="00A85A07"/>
    <w:rsid w:val="00A85A2F"/>
    <w:rsid w:val="00A85A8A"/>
    <w:rsid w:val="00A85AF5"/>
    <w:rsid w:val="00A85B3D"/>
    <w:rsid w:val="00A85BF7"/>
    <w:rsid w:val="00A85C07"/>
    <w:rsid w:val="00A85C63"/>
    <w:rsid w:val="00A85C74"/>
    <w:rsid w:val="00A85D2E"/>
    <w:rsid w:val="00A85DA8"/>
    <w:rsid w:val="00A85E8D"/>
    <w:rsid w:val="00A85EF2"/>
    <w:rsid w:val="00A85F13"/>
    <w:rsid w:val="00A85FE8"/>
    <w:rsid w:val="00A8611A"/>
    <w:rsid w:val="00A86196"/>
    <w:rsid w:val="00A861BF"/>
    <w:rsid w:val="00A862B2"/>
    <w:rsid w:val="00A863D4"/>
    <w:rsid w:val="00A86473"/>
    <w:rsid w:val="00A864EE"/>
    <w:rsid w:val="00A8653F"/>
    <w:rsid w:val="00A865D1"/>
    <w:rsid w:val="00A86646"/>
    <w:rsid w:val="00A8668C"/>
    <w:rsid w:val="00A866D1"/>
    <w:rsid w:val="00A8677E"/>
    <w:rsid w:val="00A867C2"/>
    <w:rsid w:val="00A867FD"/>
    <w:rsid w:val="00A86820"/>
    <w:rsid w:val="00A86881"/>
    <w:rsid w:val="00A86885"/>
    <w:rsid w:val="00A868B8"/>
    <w:rsid w:val="00A86A24"/>
    <w:rsid w:val="00A86A32"/>
    <w:rsid w:val="00A86A39"/>
    <w:rsid w:val="00A86A47"/>
    <w:rsid w:val="00A86A57"/>
    <w:rsid w:val="00A86A9D"/>
    <w:rsid w:val="00A86AAD"/>
    <w:rsid w:val="00A86AE5"/>
    <w:rsid w:val="00A86B18"/>
    <w:rsid w:val="00A86CF3"/>
    <w:rsid w:val="00A86CF9"/>
    <w:rsid w:val="00A86D33"/>
    <w:rsid w:val="00A86D4B"/>
    <w:rsid w:val="00A86D98"/>
    <w:rsid w:val="00A86DB2"/>
    <w:rsid w:val="00A86DEB"/>
    <w:rsid w:val="00A86E02"/>
    <w:rsid w:val="00A86E85"/>
    <w:rsid w:val="00A86E86"/>
    <w:rsid w:val="00A86E8F"/>
    <w:rsid w:val="00A86EFF"/>
    <w:rsid w:val="00A86F42"/>
    <w:rsid w:val="00A86F54"/>
    <w:rsid w:val="00A86F83"/>
    <w:rsid w:val="00A86F8B"/>
    <w:rsid w:val="00A86FD6"/>
    <w:rsid w:val="00A870DA"/>
    <w:rsid w:val="00A870FC"/>
    <w:rsid w:val="00A87121"/>
    <w:rsid w:val="00A8718E"/>
    <w:rsid w:val="00A87207"/>
    <w:rsid w:val="00A8724C"/>
    <w:rsid w:val="00A8726D"/>
    <w:rsid w:val="00A87301"/>
    <w:rsid w:val="00A8743E"/>
    <w:rsid w:val="00A87455"/>
    <w:rsid w:val="00A874A3"/>
    <w:rsid w:val="00A8758D"/>
    <w:rsid w:val="00A87700"/>
    <w:rsid w:val="00A87719"/>
    <w:rsid w:val="00A8772F"/>
    <w:rsid w:val="00A877B1"/>
    <w:rsid w:val="00A8782B"/>
    <w:rsid w:val="00A87833"/>
    <w:rsid w:val="00A8783A"/>
    <w:rsid w:val="00A87842"/>
    <w:rsid w:val="00A8790D"/>
    <w:rsid w:val="00A8798D"/>
    <w:rsid w:val="00A879AA"/>
    <w:rsid w:val="00A879B3"/>
    <w:rsid w:val="00A879EB"/>
    <w:rsid w:val="00A87A17"/>
    <w:rsid w:val="00A87A2A"/>
    <w:rsid w:val="00A87A6E"/>
    <w:rsid w:val="00A87A72"/>
    <w:rsid w:val="00A87A8E"/>
    <w:rsid w:val="00A87B6E"/>
    <w:rsid w:val="00A87C53"/>
    <w:rsid w:val="00A87C5E"/>
    <w:rsid w:val="00A87C6C"/>
    <w:rsid w:val="00A87C73"/>
    <w:rsid w:val="00A87C7C"/>
    <w:rsid w:val="00A87C7D"/>
    <w:rsid w:val="00A87C8B"/>
    <w:rsid w:val="00A87DE5"/>
    <w:rsid w:val="00A87DE9"/>
    <w:rsid w:val="00A87E00"/>
    <w:rsid w:val="00A87EC6"/>
    <w:rsid w:val="00A87FB0"/>
    <w:rsid w:val="00A87FB8"/>
    <w:rsid w:val="00A90000"/>
    <w:rsid w:val="00A9008C"/>
    <w:rsid w:val="00A90091"/>
    <w:rsid w:val="00A900F7"/>
    <w:rsid w:val="00A9019B"/>
    <w:rsid w:val="00A90238"/>
    <w:rsid w:val="00A90246"/>
    <w:rsid w:val="00A9034A"/>
    <w:rsid w:val="00A9034F"/>
    <w:rsid w:val="00A90432"/>
    <w:rsid w:val="00A904F5"/>
    <w:rsid w:val="00A90515"/>
    <w:rsid w:val="00A9053D"/>
    <w:rsid w:val="00A90597"/>
    <w:rsid w:val="00A906D6"/>
    <w:rsid w:val="00A906EA"/>
    <w:rsid w:val="00A90737"/>
    <w:rsid w:val="00A90807"/>
    <w:rsid w:val="00A9081D"/>
    <w:rsid w:val="00A9088C"/>
    <w:rsid w:val="00A90905"/>
    <w:rsid w:val="00A90925"/>
    <w:rsid w:val="00A9098B"/>
    <w:rsid w:val="00A909C8"/>
    <w:rsid w:val="00A909D8"/>
    <w:rsid w:val="00A909FB"/>
    <w:rsid w:val="00A90A24"/>
    <w:rsid w:val="00A90AC9"/>
    <w:rsid w:val="00A90BF7"/>
    <w:rsid w:val="00A90C70"/>
    <w:rsid w:val="00A90C8E"/>
    <w:rsid w:val="00A90CD5"/>
    <w:rsid w:val="00A90D36"/>
    <w:rsid w:val="00A90D42"/>
    <w:rsid w:val="00A90D65"/>
    <w:rsid w:val="00A90D6A"/>
    <w:rsid w:val="00A90DA2"/>
    <w:rsid w:val="00A90E0B"/>
    <w:rsid w:val="00A90E46"/>
    <w:rsid w:val="00A90E5F"/>
    <w:rsid w:val="00A90E64"/>
    <w:rsid w:val="00A90F0E"/>
    <w:rsid w:val="00A90F30"/>
    <w:rsid w:val="00A90F33"/>
    <w:rsid w:val="00A90F5D"/>
    <w:rsid w:val="00A91046"/>
    <w:rsid w:val="00A910BF"/>
    <w:rsid w:val="00A910C9"/>
    <w:rsid w:val="00A910CF"/>
    <w:rsid w:val="00A910F0"/>
    <w:rsid w:val="00A910FF"/>
    <w:rsid w:val="00A91116"/>
    <w:rsid w:val="00A911FD"/>
    <w:rsid w:val="00A91214"/>
    <w:rsid w:val="00A9127F"/>
    <w:rsid w:val="00A912D1"/>
    <w:rsid w:val="00A912D3"/>
    <w:rsid w:val="00A91342"/>
    <w:rsid w:val="00A913DF"/>
    <w:rsid w:val="00A91464"/>
    <w:rsid w:val="00A914BD"/>
    <w:rsid w:val="00A914C3"/>
    <w:rsid w:val="00A9154D"/>
    <w:rsid w:val="00A915E3"/>
    <w:rsid w:val="00A91613"/>
    <w:rsid w:val="00A91634"/>
    <w:rsid w:val="00A91644"/>
    <w:rsid w:val="00A91788"/>
    <w:rsid w:val="00A917FE"/>
    <w:rsid w:val="00A918AD"/>
    <w:rsid w:val="00A9190C"/>
    <w:rsid w:val="00A91927"/>
    <w:rsid w:val="00A9192E"/>
    <w:rsid w:val="00A919D4"/>
    <w:rsid w:val="00A919D7"/>
    <w:rsid w:val="00A91A14"/>
    <w:rsid w:val="00A91B11"/>
    <w:rsid w:val="00A91B26"/>
    <w:rsid w:val="00A91B27"/>
    <w:rsid w:val="00A91BE0"/>
    <w:rsid w:val="00A91BF2"/>
    <w:rsid w:val="00A91C9F"/>
    <w:rsid w:val="00A91CA1"/>
    <w:rsid w:val="00A91CED"/>
    <w:rsid w:val="00A91D08"/>
    <w:rsid w:val="00A91D5F"/>
    <w:rsid w:val="00A91D65"/>
    <w:rsid w:val="00A91DE0"/>
    <w:rsid w:val="00A91DFD"/>
    <w:rsid w:val="00A91EF7"/>
    <w:rsid w:val="00A91F5D"/>
    <w:rsid w:val="00A91F7B"/>
    <w:rsid w:val="00A91FAE"/>
    <w:rsid w:val="00A91FB5"/>
    <w:rsid w:val="00A91FBF"/>
    <w:rsid w:val="00A9209C"/>
    <w:rsid w:val="00A922FB"/>
    <w:rsid w:val="00A92374"/>
    <w:rsid w:val="00A92380"/>
    <w:rsid w:val="00A92431"/>
    <w:rsid w:val="00A92469"/>
    <w:rsid w:val="00A924D4"/>
    <w:rsid w:val="00A9253A"/>
    <w:rsid w:val="00A92590"/>
    <w:rsid w:val="00A9259B"/>
    <w:rsid w:val="00A9259E"/>
    <w:rsid w:val="00A925D9"/>
    <w:rsid w:val="00A926F0"/>
    <w:rsid w:val="00A92701"/>
    <w:rsid w:val="00A92730"/>
    <w:rsid w:val="00A92855"/>
    <w:rsid w:val="00A92859"/>
    <w:rsid w:val="00A928A8"/>
    <w:rsid w:val="00A92974"/>
    <w:rsid w:val="00A929DD"/>
    <w:rsid w:val="00A92A47"/>
    <w:rsid w:val="00A92AD5"/>
    <w:rsid w:val="00A92B99"/>
    <w:rsid w:val="00A92BA4"/>
    <w:rsid w:val="00A92C2A"/>
    <w:rsid w:val="00A92C30"/>
    <w:rsid w:val="00A92C31"/>
    <w:rsid w:val="00A92C47"/>
    <w:rsid w:val="00A92CD8"/>
    <w:rsid w:val="00A92CE3"/>
    <w:rsid w:val="00A92CF2"/>
    <w:rsid w:val="00A92E05"/>
    <w:rsid w:val="00A92E58"/>
    <w:rsid w:val="00A92EB6"/>
    <w:rsid w:val="00A92EFC"/>
    <w:rsid w:val="00A92F0A"/>
    <w:rsid w:val="00A92F1F"/>
    <w:rsid w:val="00A92F8D"/>
    <w:rsid w:val="00A93081"/>
    <w:rsid w:val="00A930AD"/>
    <w:rsid w:val="00A93176"/>
    <w:rsid w:val="00A932A8"/>
    <w:rsid w:val="00A932AA"/>
    <w:rsid w:val="00A932F0"/>
    <w:rsid w:val="00A9330A"/>
    <w:rsid w:val="00A93338"/>
    <w:rsid w:val="00A933FD"/>
    <w:rsid w:val="00A9353B"/>
    <w:rsid w:val="00A9353E"/>
    <w:rsid w:val="00A9355B"/>
    <w:rsid w:val="00A935AA"/>
    <w:rsid w:val="00A93697"/>
    <w:rsid w:val="00A936D6"/>
    <w:rsid w:val="00A936E8"/>
    <w:rsid w:val="00A93760"/>
    <w:rsid w:val="00A93816"/>
    <w:rsid w:val="00A93895"/>
    <w:rsid w:val="00A9389C"/>
    <w:rsid w:val="00A938CC"/>
    <w:rsid w:val="00A93953"/>
    <w:rsid w:val="00A93990"/>
    <w:rsid w:val="00A939EC"/>
    <w:rsid w:val="00A93A12"/>
    <w:rsid w:val="00A93AF1"/>
    <w:rsid w:val="00A93AF5"/>
    <w:rsid w:val="00A93B21"/>
    <w:rsid w:val="00A93BA9"/>
    <w:rsid w:val="00A93BBE"/>
    <w:rsid w:val="00A93C46"/>
    <w:rsid w:val="00A93C84"/>
    <w:rsid w:val="00A93CA2"/>
    <w:rsid w:val="00A93DB0"/>
    <w:rsid w:val="00A93F3F"/>
    <w:rsid w:val="00A93F65"/>
    <w:rsid w:val="00A93FCC"/>
    <w:rsid w:val="00A94013"/>
    <w:rsid w:val="00A9402F"/>
    <w:rsid w:val="00A9403C"/>
    <w:rsid w:val="00A94047"/>
    <w:rsid w:val="00A94057"/>
    <w:rsid w:val="00A940F1"/>
    <w:rsid w:val="00A94122"/>
    <w:rsid w:val="00A942A9"/>
    <w:rsid w:val="00A942F4"/>
    <w:rsid w:val="00A943B0"/>
    <w:rsid w:val="00A9441E"/>
    <w:rsid w:val="00A94448"/>
    <w:rsid w:val="00A9451F"/>
    <w:rsid w:val="00A9455E"/>
    <w:rsid w:val="00A94571"/>
    <w:rsid w:val="00A945C2"/>
    <w:rsid w:val="00A945D2"/>
    <w:rsid w:val="00A945E1"/>
    <w:rsid w:val="00A94637"/>
    <w:rsid w:val="00A9463C"/>
    <w:rsid w:val="00A94686"/>
    <w:rsid w:val="00A947AC"/>
    <w:rsid w:val="00A947D2"/>
    <w:rsid w:val="00A947EF"/>
    <w:rsid w:val="00A948A0"/>
    <w:rsid w:val="00A948AB"/>
    <w:rsid w:val="00A948BB"/>
    <w:rsid w:val="00A948D9"/>
    <w:rsid w:val="00A948FE"/>
    <w:rsid w:val="00A94A72"/>
    <w:rsid w:val="00A94AF2"/>
    <w:rsid w:val="00A94B61"/>
    <w:rsid w:val="00A94BC0"/>
    <w:rsid w:val="00A94C5D"/>
    <w:rsid w:val="00A94CDD"/>
    <w:rsid w:val="00A94D9C"/>
    <w:rsid w:val="00A94DCC"/>
    <w:rsid w:val="00A94E11"/>
    <w:rsid w:val="00A94E72"/>
    <w:rsid w:val="00A94E86"/>
    <w:rsid w:val="00A94EB5"/>
    <w:rsid w:val="00A94F2A"/>
    <w:rsid w:val="00A94F58"/>
    <w:rsid w:val="00A94FD6"/>
    <w:rsid w:val="00A95107"/>
    <w:rsid w:val="00A95177"/>
    <w:rsid w:val="00A951F7"/>
    <w:rsid w:val="00A9520C"/>
    <w:rsid w:val="00A9520E"/>
    <w:rsid w:val="00A952C3"/>
    <w:rsid w:val="00A952D6"/>
    <w:rsid w:val="00A9531F"/>
    <w:rsid w:val="00A95325"/>
    <w:rsid w:val="00A954B5"/>
    <w:rsid w:val="00A95530"/>
    <w:rsid w:val="00A95642"/>
    <w:rsid w:val="00A9564C"/>
    <w:rsid w:val="00A956E9"/>
    <w:rsid w:val="00A9571B"/>
    <w:rsid w:val="00A95785"/>
    <w:rsid w:val="00A957BB"/>
    <w:rsid w:val="00A957C8"/>
    <w:rsid w:val="00A95802"/>
    <w:rsid w:val="00A9583C"/>
    <w:rsid w:val="00A95859"/>
    <w:rsid w:val="00A959A1"/>
    <w:rsid w:val="00A95A1D"/>
    <w:rsid w:val="00A95B20"/>
    <w:rsid w:val="00A95B99"/>
    <w:rsid w:val="00A95C3E"/>
    <w:rsid w:val="00A95C4D"/>
    <w:rsid w:val="00A95C76"/>
    <w:rsid w:val="00A95D19"/>
    <w:rsid w:val="00A95DA9"/>
    <w:rsid w:val="00A95E15"/>
    <w:rsid w:val="00A95E39"/>
    <w:rsid w:val="00A95ECA"/>
    <w:rsid w:val="00A95EF1"/>
    <w:rsid w:val="00A95F0C"/>
    <w:rsid w:val="00A95F0F"/>
    <w:rsid w:val="00A95F32"/>
    <w:rsid w:val="00A95F91"/>
    <w:rsid w:val="00A95FDE"/>
    <w:rsid w:val="00A96053"/>
    <w:rsid w:val="00A960B4"/>
    <w:rsid w:val="00A960D3"/>
    <w:rsid w:val="00A9610F"/>
    <w:rsid w:val="00A961E8"/>
    <w:rsid w:val="00A961EA"/>
    <w:rsid w:val="00A961F0"/>
    <w:rsid w:val="00A961F5"/>
    <w:rsid w:val="00A9623E"/>
    <w:rsid w:val="00A9629C"/>
    <w:rsid w:val="00A962C8"/>
    <w:rsid w:val="00A962E1"/>
    <w:rsid w:val="00A962F2"/>
    <w:rsid w:val="00A96302"/>
    <w:rsid w:val="00A96307"/>
    <w:rsid w:val="00A9639C"/>
    <w:rsid w:val="00A963FD"/>
    <w:rsid w:val="00A9641A"/>
    <w:rsid w:val="00A96454"/>
    <w:rsid w:val="00A96502"/>
    <w:rsid w:val="00A96541"/>
    <w:rsid w:val="00A9658F"/>
    <w:rsid w:val="00A9661B"/>
    <w:rsid w:val="00A9669E"/>
    <w:rsid w:val="00A966A0"/>
    <w:rsid w:val="00A9672A"/>
    <w:rsid w:val="00A96805"/>
    <w:rsid w:val="00A96A42"/>
    <w:rsid w:val="00A96A98"/>
    <w:rsid w:val="00A96B39"/>
    <w:rsid w:val="00A96B64"/>
    <w:rsid w:val="00A96B73"/>
    <w:rsid w:val="00A96BEF"/>
    <w:rsid w:val="00A96CEB"/>
    <w:rsid w:val="00A96CF3"/>
    <w:rsid w:val="00A96D12"/>
    <w:rsid w:val="00A96DBE"/>
    <w:rsid w:val="00A96DED"/>
    <w:rsid w:val="00A96FB4"/>
    <w:rsid w:val="00A97071"/>
    <w:rsid w:val="00A970E7"/>
    <w:rsid w:val="00A97165"/>
    <w:rsid w:val="00A971A5"/>
    <w:rsid w:val="00A971D9"/>
    <w:rsid w:val="00A97241"/>
    <w:rsid w:val="00A9729E"/>
    <w:rsid w:val="00A97344"/>
    <w:rsid w:val="00A97349"/>
    <w:rsid w:val="00A97405"/>
    <w:rsid w:val="00A97429"/>
    <w:rsid w:val="00A9742A"/>
    <w:rsid w:val="00A97432"/>
    <w:rsid w:val="00A9745E"/>
    <w:rsid w:val="00A97506"/>
    <w:rsid w:val="00A9758A"/>
    <w:rsid w:val="00A975B1"/>
    <w:rsid w:val="00A975BD"/>
    <w:rsid w:val="00A975DB"/>
    <w:rsid w:val="00A97851"/>
    <w:rsid w:val="00A978BC"/>
    <w:rsid w:val="00A97950"/>
    <w:rsid w:val="00A97994"/>
    <w:rsid w:val="00A97996"/>
    <w:rsid w:val="00A979A5"/>
    <w:rsid w:val="00A97A17"/>
    <w:rsid w:val="00A97BCE"/>
    <w:rsid w:val="00A97C56"/>
    <w:rsid w:val="00A97CFB"/>
    <w:rsid w:val="00A97D21"/>
    <w:rsid w:val="00A97DA1"/>
    <w:rsid w:val="00A97DC5"/>
    <w:rsid w:val="00AA001A"/>
    <w:rsid w:val="00AA0032"/>
    <w:rsid w:val="00AA0059"/>
    <w:rsid w:val="00AA0060"/>
    <w:rsid w:val="00AA008C"/>
    <w:rsid w:val="00AA00E8"/>
    <w:rsid w:val="00AA0143"/>
    <w:rsid w:val="00AA01A2"/>
    <w:rsid w:val="00AA01E3"/>
    <w:rsid w:val="00AA024F"/>
    <w:rsid w:val="00AA0283"/>
    <w:rsid w:val="00AA02AB"/>
    <w:rsid w:val="00AA02E7"/>
    <w:rsid w:val="00AA02FB"/>
    <w:rsid w:val="00AA0396"/>
    <w:rsid w:val="00AA03BF"/>
    <w:rsid w:val="00AA03C3"/>
    <w:rsid w:val="00AA03EF"/>
    <w:rsid w:val="00AA0491"/>
    <w:rsid w:val="00AA04A6"/>
    <w:rsid w:val="00AA04D0"/>
    <w:rsid w:val="00AA04FE"/>
    <w:rsid w:val="00AA059A"/>
    <w:rsid w:val="00AA0618"/>
    <w:rsid w:val="00AA06B0"/>
    <w:rsid w:val="00AA06F5"/>
    <w:rsid w:val="00AA07E1"/>
    <w:rsid w:val="00AA0822"/>
    <w:rsid w:val="00AA096D"/>
    <w:rsid w:val="00AA0A9F"/>
    <w:rsid w:val="00AA0AC2"/>
    <w:rsid w:val="00AA0ACF"/>
    <w:rsid w:val="00AA0B61"/>
    <w:rsid w:val="00AA0C1D"/>
    <w:rsid w:val="00AA0D08"/>
    <w:rsid w:val="00AA0D5A"/>
    <w:rsid w:val="00AA0DBA"/>
    <w:rsid w:val="00AA0E8E"/>
    <w:rsid w:val="00AA0F02"/>
    <w:rsid w:val="00AA0F05"/>
    <w:rsid w:val="00AA0F2A"/>
    <w:rsid w:val="00AA0F34"/>
    <w:rsid w:val="00AA0F43"/>
    <w:rsid w:val="00AA0FC0"/>
    <w:rsid w:val="00AA0FE1"/>
    <w:rsid w:val="00AA1032"/>
    <w:rsid w:val="00AA105C"/>
    <w:rsid w:val="00AA115B"/>
    <w:rsid w:val="00AA11BD"/>
    <w:rsid w:val="00AA11BF"/>
    <w:rsid w:val="00AA11C1"/>
    <w:rsid w:val="00AA1318"/>
    <w:rsid w:val="00AA1338"/>
    <w:rsid w:val="00AA1357"/>
    <w:rsid w:val="00AA135E"/>
    <w:rsid w:val="00AA1383"/>
    <w:rsid w:val="00AA1400"/>
    <w:rsid w:val="00AA1413"/>
    <w:rsid w:val="00AA1428"/>
    <w:rsid w:val="00AA1444"/>
    <w:rsid w:val="00AA153F"/>
    <w:rsid w:val="00AA171B"/>
    <w:rsid w:val="00AA174E"/>
    <w:rsid w:val="00AA1770"/>
    <w:rsid w:val="00AA17B5"/>
    <w:rsid w:val="00AA17D6"/>
    <w:rsid w:val="00AA17F9"/>
    <w:rsid w:val="00AA186F"/>
    <w:rsid w:val="00AA187A"/>
    <w:rsid w:val="00AA18DB"/>
    <w:rsid w:val="00AA18F8"/>
    <w:rsid w:val="00AA190F"/>
    <w:rsid w:val="00AA1949"/>
    <w:rsid w:val="00AA194D"/>
    <w:rsid w:val="00AA1974"/>
    <w:rsid w:val="00AA19A3"/>
    <w:rsid w:val="00AA19BF"/>
    <w:rsid w:val="00AA19C6"/>
    <w:rsid w:val="00AA1A11"/>
    <w:rsid w:val="00AA1A7D"/>
    <w:rsid w:val="00AA1B40"/>
    <w:rsid w:val="00AA1BB5"/>
    <w:rsid w:val="00AA1BB6"/>
    <w:rsid w:val="00AA1C0C"/>
    <w:rsid w:val="00AA1C1E"/>
    <w:rsid w:val="00AA1C82"/>
    <w:rsid w:val="00AA1CDC"/>
    <w:rsid w:val="00AA1D5D"/>
    <w:rsid w:val="00AA1E68"/>
    <w:rsid w:val="00AA1EF5"/>
    <w:rsid w:val="00AA1F0A"/>
    <w:rsid w:val="00AA1F7A"/>
    <w:rsid w:val="00AA204A"/>
    <w:rsid w:val="00AA2058"/>
    <w:rsid w:val="00AA20F0"/>
    <w:rsid w:val="00AA219D"/>
    <w:rsid w:val="00AA2205"/>
    <w:rsid w:val="00AA2298"/>
    <w:rsid w:val="00AA229A"/>
    <w:rsid w:val="00AA22EC"/>
    <w:rsid w:val="00AA232D"/>
    <w:rsid w:val="00AA23DB"/>
    <w:rsid w:val="00AA2434"/>
    <w:rsid w:val="00AA249C"/>
    <w:rsid w:val="00AA24B6"/>
    <w:rsid w:val="00AA24C2"/>
    <w:rsid w:val="00AA2547"/>
    <w:rsid w:val="00AA2550"/>
    <w:rsid w:val="00AA2562"/>
    <w:rsid w:val="00AA257C"/>
    <w:rsid w:val="00AA25E1"/>
    <w:rsid w:val="00AA25F3"/>
    <w:rsid w:val="00AA26DF"/>
    <w:rsid w:val="00AA2723"/>
    <w:rsid w:val="00AA279A"/>
    <w:rsid w:val="00AA283B"/>
    <w:rsid w:val="00AA2844"/>
    <w:rsid w:val="00AA28A4"/>
    <w:rsid w:val="00AA28BB"/>
    <w:rsid w:val="00AA2A23"/>
    <w:rsid w:val="00AA2A3F"/>
    <w:rsid w:val="00AA2A41"/>
    <w:rsid w:val="00AA2AE8"/>
    <w:rsid w:val="00AA2BBB"/>
    <w:rsid w:val="00AA2C38"/>
    <w:rsid w:val="00AA2C59"/>
    <w:rsid w:val="00AA2C74"/>
    <w:rsid w:val="00AA2CFD"/>
    <w:rsid w:val="00AA2D01"/>
    <w:rsid w:val="00AA2D1B"/>
    <w:rsid w:val="00AA2D29"/>
    <w:rsid w:val="00AA2DAA"/>
    <w:rsid w:val="00AA2E49"/>
    <w:rsid w:val="00AA2E66"/>
    <w:rsid w:val="00AA2F46"/>
    <w:rsid w:val="00AA2F86"/>
    <w:rsid w:val="00AA2F8A"/>
    <w:rsid w:val="00AA3014"/>
    <w:rsid w:val="00AA3059"/>
    <w:rsid w:val="00AA30C4"/>
    <w:rsid w:val="00AA30E3"/>
    <w:rsid w:val="00AA311E"/>
    <w:rsid w:val="00AA316C"/>
    <w:rsid w:val="00AA3186"/>
    <w:rsid w:val="00AA3217"/>
    <w:rsid w:val="00AA3237"/>
    <w:rsid w:val="00AA32B9"/>
    <w:rsid w:val="00AA32D1"/>
    <w:rsid w:val="00AA33EA"/>
    <w:rsid w:val="00AA33FC"/>
    <w:rsid w:val="00AA3413"/>
    <w:rsid w:val="00AA347E"/>
    <w:rsid w:val="00AA3542"/>
    <w:rsid w:val="00AA359B"/>
    <w:rsid w:val="00AA3690"/>
    <w:rsid w:val="00AA369F"/>
    <w:rsid w:val="00AA36BD"/>
    <w:rsid w:val="00AA36CA"/>
    <w:rsid w:val="00AA36F9"/>
    <w:rsid w:val="00AA3718"/>
    <w:rsid w:val="00AA3763"/>
    <w:rsid w:val="00AA37C7"/>
    <w:rsid w:val="00AA3807"/>
    <w:rsid w:val="00AA3909"/>
    <w:rsid w:val="00AA390E"/>
    <w:rsid w:val="00AA3952"/>
    <w:rsid w:val="00AA3959"/>
    <w:rsid w:val="00AA395D"/>
    <w:rsid w:val="00AA3974"/>
    <w:rsid w:val="00AA3989"/>
    <w:rsid w:val="00AA3A59"/>
    <w:rsid w:val="00AA3A67"/>
    <w:rsid w:val="00AA3ABC"/>
    <w:rsid w:val="00AA3AD4"/>
    <w:rsid w:val="00AA3AE6"/>
    <w:rsid w:val="00AA3B6C"/>
    <w:rsid w:val="00AA3BC0"/>
    <w:rsid w:val="00AA3BF4"/>
    <w:rsid w:val="00AA3CCD"/>
    <w:rsid w:val="00AA3DFD"/>
    <w:rsid w:val="00AA3F17"/>
    <w:rsid w:val="00AA3F3A"/>
    <w:rsid w:val="00AA3F59"/>
    <w:rsid w:val="00AA3F8C"/>
    <w:rsid w:val="00AA3FDB"/>
    <w:rsid w:val="00AA4062"/>
    <w:rsid w:val="00AA418C"/>
    <w:rsid w:val="00AA41F2"/>
    <w:rsid w:val="00AA41F6"/>
    <w:rsid w:val="00AA41FA"/>
    <w:rsid w:val="00AA421D"/>
    <w:rsid w:val="00AA426B"/>
    <w:rsid w:val="00AA427A"/>
    <w:rsid w:val="00AA42BE"/>
    <w:rsid w:val="00AA42CA"/>
    <w:rsid w:val="00AA42EB"/>
    <w:rsid w:val="00AA42FD"/>
    <w:rsid w:val="00AA4498"/>
    <w:rsid w:val="00AA4534"/>
    <w:rsid w:val="00AA45C2"/>
    <w:rsid w:val="00AA4601"/>
    <w:rsid w:val="00AA4602"/>
    <w:rsid w:val="00AA4615"/>
    <w:rsid w:val="00AA46EC"/>
    <w:rsid w:val="00AA47D2"/>
    <w:rsid w:val="00AA47E8"/>
    <w:rsid w:val="00AA480D"/>
    <w:rsid w:val="00AA4844"/>
    <w:rsid w:val="00AA48B1"/>
    <w:rsid w:val="00AA48BA"/>
    <w:rsid w:val="00AA4990"/>
    <w:rsid w:val="00AA49D4"/>
    <w:rsid w:val="00AA49E2"/>
    <w:rsid w:val="00AA4A38"/>
    <w:rsid w:val="00AA4B11"/>
    <w:rsid w:val="00AA4B4F"/>
    <w:rsid w:val="00AA4B5A"/>
    <w:rsid w:val="00AA4B8F"/>
    <w:rsid w:val="00AA4CD1"/>
    <w:rsid w:val="00AA4CED"/>
    <w:rsid w:val="00AA4DB5"/>
    <w:rsid w:val="00AA4E1A"/>
    <w:rsid w:val="00AA4E25"/>
    <w:rsid w:val="00AA4E95"/>
    <w:rsid w:val="00AA4EEE"/>
    <w:rsid w:val="00AA4F20"/>
    <w:rsid w:val="00AA4F2B"/>
    <w:rsid w:val="00AA4F33"/>
    <w:rsid w:val="00AA4F58"/>
    <w:rsid w:val="00AA4F61"/>
    <w:rsid w:val="00AA4FBB"/>
    <w:rsid w:val="00AA4FF5"/>
    <w:rsid w:val="00AA5034"/>
    <w:rsid w:val="00AA504C"/>
    <w:rsid w:val="00AA50CF"/>
    <w:rsid w:val="00AA518B"/>
    <w:rsid w:val="00AA51D1"/>
    <w:rsid w:val="00AA51E0"/>
    <w:rsid w:val="00AA5264"/>
    <w:rsid w:val="00AA538A"/>
    <w:rsid w:val="00AA53DD"/>
    <w:rsid w:val="00AA5424"/>
    <w:rsid w:val="00AA547E"/>
    <w:rsid w:val="00AA54F1"/>
    <w:rsid w:val="00AA5504"/>
    <w:rsid w:val="00AA5526"/>
    <w:rsid w:val="00AA5558"/>
    <w:rsid w:val="00AA55B5"/>
    <w:rsid w:val="00AA5665"/>
    <w:rsid w:val="00AA56A7"/>
    <w:rsid w:val="00AA56CA"/>
    <w:rsid w:val="00AA56F9"/>
    <w:rsid w:val="00AA56FA"/>
    <w:rsid w:val="00AA5742"/>
    <w:rsid w:val="00AA5772"/>
    <w:rsid w:val="00AA579E"/>
    <w:rsid w:val="00AA57EA"/>
    <w:rsid w:val="00AA5851"/>
    <w:rsid w:val="00AA59AE"/>
    <w:rsid w:val="00AA59E8"/>
    <w:rsid w:val="00AA5B2F"/>
    <w:rsid w:val="00AA5B43"/>
    <w:rsid w:val="00AA5C07"/>
    <w:rsid w:val="00AA5C16"/>
    <w:rsid w:val="00AA5C75"/>
    <w:rsid w:val="00AA5C89"/>
    <w:rsid w:val="00AA5D51"/>
    <w:rsid w:val="00AA5DA3"/>
    <w:rsid w:val="00AA5E3E"/>
    <w:rsid w:val="00AA5E3F"/>
    <w:rsid w:val="00AA5E55"/>
    <w:rsid w:val="00AA5E85"/>
    <w:rsid w:val="00AA5EBD"/>
    <w:rsid w:val="00AA5EE5"/>
    <w:rsid w:val="00AA6003"/>
    <w:rsid w:val="00AA606F"/>
    <w:rsid w:val="00AA60A5"/>
    <w:rsid w:val="00AA60FD"/>
    <w:rsid w:val="00AA6150"/>
    <w:rsid w:val="00AA616B"/>
    <w:rsid w:val="00AA61A6"/>
    <w:rsid w:val="00AA62A2"/>
    <w:rsid w:val="00AA62F8"/>
    <w:rsid w:val="00AA6308"/>
    <w:rsid w:val="00AA64E6"/>
    <w:rsid w:val="00AA65A2"/>
    <w:rsid w:val="00AA65F1"/>
    <w:rsid w:val="00AA6611"/>
    <w:rsid w:val="00AA6633"/>
    <w:rsid w:val="00AA66C8"/>
    <w:rsid w:val="00AA6720"/>
    <w:rsid w:val="00AA6749"/>
    <w:rsid w:val="00AA675C"/>
    <w:rsid w:val="00AA677A"/>
    <w:rsid w:val="00AA6825"/>
    <w:rsid w:val="00AA6868"/>
    <w:rsid w:val="00AA6871"/>
    <w:rsid w:val="00AA68CF"/>
    <w:rsid w:val="00AA68E9"/>
    <w:rsid w:val="00AA68F9"/>
    <w:rsid w:val="00AA6987"/>
    <w:rsid w:val="00AA69EF"/>
    <w:rsid w:val="00AA6A82"/>
    <w:rsid w:val="00AA6AEB"/>
    <w:rsid w:val="00AA6B00"/>
    <w:rsid w:val="00AA6B06"/>
    <w:rsid w:val="00AA6B8A"/>
    <w:rsid w:val="00AA6BBF"/>
    <w:rsid w:val="00AA6BC1"/>
    <w:rsid w:val="00AA6BDF"/>
    <w:rsid w:val="00AA6BE7"/>
    <w:rsid w:val="00AA6C79"/>
    <w:rsid w:val="00AA6CEE"/>
    <w:rsid w:val="00AA6D9A"/>
    <w:rsid w:val="00AA6E52"/>
    <w:rsid w:val="00AA6EC1"/>
    <w:rsid w:val="00AA6F50"/>
    <w:rsid w:val="00AA6F58"/>
    <w:rsid w:val="00AA6F81"/>
    <w:rsid w:val="00AA6FD0"/>
    <w:rsid w:val="00AA6FEE"/>
    <w:rsid w:val="00AA7013"/>
    <w:rsid w:val="00AA70C8"/>
    <w:rsid w:val="00AA712A"/>
    <w:rsid w:val="00AA7155"/>
    <w:rsid w:val="00AA7175"/>
    <w:rsid w:val="00AA719F"/>
    <w:rsid w:val="00AA72C5"/>
    <w:rsid w:val="00AA72E0"/>
    <w:rsid w:val="00AA7355"/>
    <w:rsid w:val="00AA7391"/>
    <w:rsid w:val="00AA7454"/>
    <w:rsid w:val="00AA74BA"/>
    <w:rsid w:val="00AA74F2"/>
    <w:rsid w:val="00AA7503"/>
    <w:rsid w:val="00AA7516"/>
    <w:rsid w:val="00AA753F"/>
    <w:rsid w:val="00AA75B7"/>
    <w:rsid w:val="00AA75EE"/>
    <w:rsid w:val="00AA7622"/>
    <w:rsid w:val="00AA76EF"/>
    <w:rsid w:val="00AA770B"/>
    <w:rsid w:val="00AA779C"/>
    <w:rsid w:val="00AA7818"/>
    <w:rsid w:val="00AA7837"/>
    <w:rsid w:val="00AA78D8"/>
    <w:rsid w:val="00AA790D"/>
    <w:rsid w:val="00AA7915"/>
    <w:rsid w:val="00AA796E"/>
    <w:rsid w:val="00AA798E"/>
    <w:rsid w:val="00AA79D4"/>
    <w:rsid w:val="00AA79EE"/>
    <w:rsid w:val="00AA7A10"/>
    <w:rsid w:val="00AA7A16"/>
    <w:rsid w:val="00AA7A3B"/>
    <w:rsid w:val="00AA7A59"/>
    <w:rsid w:val="00AA7A9A"/>
    <w:rsid w:val="00AA7B5B"/>
    <w:rsid w:val="00AA7BB1"/>
    <w:rsid w:val="00AA7BD8"/>
    <w:rsid w:val="00AA7C33"/>
    <w:rsid w:val="00AA7C73"/>
    <w:rsid w:val="00AA7D0C"/>
    <w:rsid w:val="00AA7D12"/>
    <w:rsid w:val="00AA7D55"/>
    <w:rsid w:val="00AA7E36"/>
    <w:rsid w:val="00AA7EA8"/>
    <w:rsid w:val="00AA7EC8"/>
    <w:rsid w:val="00AA7EE3"/>
    <w:rsid w:val="00AA7F0D"/>
    <w:rsid w:val="00AB004C"/>
    <w:rsid w:val="00AB0080"/>
    <w:rsid w:val="00AB00EC"/>
    <w:rsid w:val="00AB00F4"/>
    <w:rsid w:val="00AB014A"/>
    <w:rsid w:val="00AB015F"/>
    <w:rsid w:val="00AB01D9"/>
    <w:rsid w:val="00AB0245"/>
    <w:rsid w:val="00AB02AA"/>
    <w:rsid w:val="00AB0305"/>
    <w:rsid w:val="00AB03B5"/>
    <w:rsid w:val="00AB03C2"/>
    <w:rsid w:val="00AB03F8"/>
    <w:rsid w:val="00AB047D"/>
    <w:rsid w:val="00AB04E0"/>
    <w:rsid w:val="00AB04E5"/>
    <w:rsid w:val="00AB0590"/>
    <w:rsid w:val="00AB0642"/>
    <w:rsid w:val="00AB0666"/>
    <w:rsid w:val="00AB0687"/>
    <w:rsid w:val="00AB06D2"/>
    <w:rsid w:val="00AB0724"/>
    <w:rsid w:val="00AB072B"/>
    <w:rsid w:val="00AB074F"/>
    <w:rsid w:val="00AB089D"/>
    <w:rsid w:val="00AB08A7"/>
    <w:rsid w:val="00AB08C4"/>
    <w:rsid w:val="00AB08E2"/>
    <w:rsid w:val="00AB0912"/>
    <w:rsid w:val="00AB0917"/>
    <w:rsid w:val="00AB0936"/>
    <w:rsid w:val="00AB0937"/>
    <w:rsid w:val="00AB094B"/>
    <w:rsid w:val="00AB0969"/>
    <w:rsid w:val="00AB096A"/>
    <w:rsid w:val="00AB0985"/>
    <w:rsid w:val="00AB09C1"/>
    <w:rsid w:val="00AB09CC"/>
    <w:rsid w:val="00AB0A29"/>
    <w:rsid w:val="00AB0A2E"/>
    <w:rsid w:val="00AB0A87"/>
    <w:rsid w:val="00AB0AEF"/>
    <w:rsid w:val="00AB0B61"/>
    <w:rsid w:val="00AB0B6B"/>
    <w:rsid w:val="00AB0C45"/>
    <w:rsid w:val="00AB0C51"/>
    <w:rsid w:val="00AB0C84"/>
    <w:rsid w:val="00AB0EBD"/>
    <w:rsid w:val="00AB0F07"/>
    <w:rsid w:val="00AB0F6C"/>
    <w:rsid w:val="00AB101C"/>
    <w:rsid w:val="00AB1032"/>
    <w:rsid w:val="00AB1074"/>
    <w:rsid w:val="00AB1089"/>
    <w:rsid w:val="00AB10D9"/>
    <w:rsid w:val="00AB114A"/>
    <w:rsid w:val="00AB116C"/>
    <w:rsid w:val="00AB121F"/>
    <w:rsid w:val="00AB12A9"/>
    <w:rsid w:val="00AB12BC"/>
    <w:rsid w:val="00AB12E2"/>
    <w:rsid w:val="00AB12E7"/>
    <w:rsid w:val="00AB1345"/>
    <w:rsid w:val="00AB1346"/>
    <w:rsid w:val="00AB1376"/>
    <w:rsid w:val="00AB13B2"/>
    <w:rsid w:val="00AB145E"/>
    <w:rsid w:val="00AB146E"/>
    <w:rsid w:val="00AB14F1"/>
    <w:rsid w:val="00AB156C"/>
    <w:rsid w:val="00AB1593"/>
    <w:rsid w:val="00AB15C1"/>
    <w:rsid w:val="00AB15D9"/>
    <w:rsid w:val="00AB15ED"/>
    <w:rsid w:val="00AB16C0"/>
    <w:rsid w:val="00AB16D4"/>
    <w:rsid w:val="00AB16D6"/>
    <w:rsid w:val="00AB16DA"/>
    <w:rsid w:val="00AB1727"/>
    <w:rsid w:val="00AB17BA"/>
    <w:rsid w:val="00AB1854"/>
    <w:rsid w:val="00AB1977"/>
    <w:rsid w:val="00AB1A34"/>
    <w:rsid w:val="00AB1A74"/>
    <w:rsid w:val="00AB1A91"/>
    <w:rsid w:val="00AB1AEB"/>
    <w:rsid w:val="00AB1B07"/>
    <w:rsid w:val="00AB1B09"/>
    <w:rsid w:val="00AB1C09"/>
    <w:rsid w:val="00AB1C34"/>
    <w:rsid w:val="00AB1C6F"/>
    <w:rsid w:val="00AB1CA9"/>
    <w:rsid w:val="00AB1CBA"/>
    <w:rsid w:val="00AB1D01"/>
    <w:rsid w:val="00AB1D0C"/>
    <w:rsid w:val="00AB1D40"/>
    <w:rsid w:val="00AB1DE5"/>
    <w:rsid w:val="00AB1E51"/>
    <w:rsid w:val="00AB1E9B"/>
    <w:rsid w:val="00AB1EE7"/>
    <w:rsid w:val="00AB1FA5"/>
    <w:rsid w:val="00AB1FAB"/>
    <w:rsid w:val="00AB1FC5"/>
    <w:rsid w:val="00AB1FCC"/>
    <w:rsid w:val="00AB2049"/>
    <w:rsid w:val="00AB206C"/>
    <w:rsid w:val="00AB207B"/>
    <w:rsid w:val="00AB20A4"/>
    <w:rsid w:val="00AB20BC"/>
    <w:rsid w:val="00AB2162"/>
    <w:rsid w:val="00AB2180"/>
    <w:rsid w:val="00AB22BA"/>
    <w:rsid w:val="00AB22D7"/>
    <w:rsid w:val="00AB22E3"/>
    <w:rsid w:val="00AB2366"/>
    <w:rsid w:val="00AB238E"/>
    <w:rsid w:val="00AB2397"/>
    <w:rsid w:val="00AB23AB"/>
    <w:rsid w:val="00AB2559"/>
    <w:rsid w:val="00AB25B7"/>
    <w:rsid w:val="00AB25C1"/>
    <w:rsid w:val="00AB25FB"/>
    <w:rsid w:val="00AB2618"/>
    <w:rsid w:val="00AB2634"/>
    <w:rsid w:val="00AB264A"/>
    <w:rsid w:val="00AB2719"/>
    <w:rsid w:val="00AB27C9"/>
    <w:rsid w:val="00AB2859"/>
    <w:rsid w:val="00AB28ED"/>
    <w:rsid w:val="00AB2903"/>
    <w:rsid w:val="00AB29DD"/>
    <w:rsid w:val="00AB29FA"/>
    <w:rsid w:val="00AB2A75"/>
    <w:rsid w:val="00AB2AAD"/>
    <w:rsid w:val="00AB2AD3"/>
    <w:rsid w:val="00AB2AF6"/>
    <w:rsid w:val="00AB2C75"/>
    <w:rsid w:val="00AB2CA5"/>
    <w:rsid w:val="00AB2E06"/>
    <w:rsid w:val="00AB2EDF"/>
    <w:rsid w:val="00AB2F84"/>
    <w:rsid w:val="00AB2F90"/>
    <w:rsid w:val="00AB302C"/>
    <w:rsid w:val="00AB3063"/>
    <w:rsid w:val="00AB30F7"/>
    <w:rsid w:val="00AB3119"/>
    <w:rsid w:val="00AB3223"/>
    <w:rsid w:val="00AB322F"/>
    <w:rsid w:val="00AB3233"/>
    <w:rsid w:val="00AB3250"/>
    <w:rsid w:val="00AB32AB"/>
    <w:rsid w:val="00AB3350"/>
    <w:rsid w:val="00AB3359"/>
    <w:rsid w:val="00AB3365"/>
    <w:rsid w:val="00AB343C"/>
    <w:rsid w:val="00AB3467"/>
    <w:rsid w:val="00AB348C"/>
    <w:rsid w:val="00AB34C6"/>
    <w:rsid w:val="00AB3573"/>
    <w:rsid w:val="00AB35CA"/>
    <w:rsid w:val="00AB361E"/>
    <w:rsid w:val="00AB3626"/>
    <w:rsid w:val="00AB3717"/>
    <w:rsid w:val="00AB37FB"/>
    <w:rsid w:val="00AB38E2"/>
    <w:rsid w:val="00AB3921"/>
    <w:rsid w:val="00AB3942"/>
    <w:rsid w:val="00AB395A"/>
    <w:rsid w:val="00AB3988"/>
    <w:rsid w:val="00AB39B1"/>
    <w:rsid w:val="00AB3A0C"/>
    <w:rsid w:val="00AB3A86"/>
    <w:rsid w:val="00AB3AAA"/>
    <w:rsid w:val="00AB3ACE"/>
    <w:rsid w:val="00AB3B4F"/>
    <w:rsid w:val="00AB3BE0"/>
    <w:rsid w:val="00AB3C95"/>
    <w:rsid w:val="00AB3CD3"/>
    <w:rsid w:val="00AB3CE8"/>
    <w:rsid w:val="00AB3DCD"/>
    <w:rsid w:val="00AB3E09"/>
    <w:rsid w:val="00AB3EB3"/>
    <w:rsid w:val="00AB3F0F"/>
    <w:rsid w:val="00AB3F11"/>
    <w:rsid w:val="00AB3F69"/>
    <w:rsid w:val="00AB3F7E"/>
    <w:rsid w:val="00AB3F8F"/>
    <w:rsid w:val="00AB40D6"/>
    <w:rsid w:val="00AB410D"/>
    <w:rsid w:val="00AB419A"/>
    <w:rsid w:val="00AB4202"/>
    <w:rsid w:val="00AB4234"/>
    <w:rsid w:val="00AB428B"/>
    <w:rsid w:val="00AB4291"/>
    <w:rsid w:val="00AB4360"/>
    <w:rsid w:val="00AB4395"/>
    <w:rsid w:val="00AB43D5"/>
    <w:rsid w:val="00AB444C"/>
    <w:rsid w:val="00AB44BD"/>
    <w:rsid w:val="00AB451E"/>
    <w:rsid w:val="00AB4520"/>
    <w:rsid w:val="00AB4593"/>
    <w:rsid w:val="00AB4609"/>
    <w:rsid w:val="00AB4616"/>
    <w:rsid w:val="00AB4647"/>
    <w:rsid w:val="00AB4657"/>
    <w:rsid w:val="00AB4668"/>
    <w:rsid w:val="00AB470D"/>
    <w:rsid w:val="00AB47A6"/>
    <w:rsid w:val="00AB47B6"/>
    <w:rsid w:val="00AB48E9"/>
    <w:rsid w:val="00AB490B"/>
    <w:rsid w:val="00AB4A26"/>
    <w:rsid w:val="00AB4A31"/>
    <w:rsid w:val="00AB4AE1"/>
    <w:rsid w:val="00AB4B1B"/>
    <w:rsid w:val="00AB4B2E"/>
    <w:rsid w:val="00AB4B9B"/>
    <w:rsid w:val="00AB4BA1"/>
    <w:rsid w:val="00AB4BF7"/>
    <w:rsid w:val="00AB4C0E"/>
    <w:rsid w:val="00AB4C7E"/>
    <w:rsid w:val="00AB4CEA"/>
    <w:rsid w:val="00AB4CF9"/>
    <w:rsid w:val="00AB4D4E"/>
    <w:rsid w:val="00AB4DE8"/>
    <w:rsid w:val="00AB4E05"/>
    <w:rsid w:val="00AB4E20"/>
    <w:rsid w:val="00AB4F49"/>
    <w:rsid w:val="00AB4FEE"/>
    <w:rsid w:val="00AB507C"/>
    <w:rsid w:val="00AB507D"/>
    <w:rsid w:val="00AB5095"/>
    <w:rsid w:val="00AB50BC"/>
    <w:rsid w:val="00AB50C5"/>
    <w:rsid w:val="00AB51B8"/>
    <w:rsid w:val="00AB51E5"/>
    <w:rsid w:val="00AB5222"/>
    <w:rsid w:val="00AB5262"/>
    <w:rsid w:val="00AB52E7"/>
    <w:rsid w:val="00AB5371"/>
    <w:rsid w:val="00AB538F"/>
    <w:rsid w:val="00AB541A"/>
    <w:rsid w:val="00AB5464"/>
    <w:rsid w:val="00AB54AE"/>
    <w:rsid w:val="00AB55A8"/>
    <w:rsid w:val="00AB55BA"/>
    <w:rsid w:val="00AB55E5"/>
    <w:rsid w:val="00AB55E9"/>
    <w:rsid w:val="00AB5741"/>
    <w:rsid w:val="00AB57DE"/>
    <w:rsid w:val="00AB5A0A"/>
    <w:rsid w:val="00AB5A49"/>
    <w:rsid w:val="00AB5A8D"/>
    <w:rsid w:val="00AB5AC9"/>
    <w:rsid w:val="00AB5B15"/>
    <w:rsid w:val="00AB5B1D"/>
    <w:rsid w:val="00AB5BF6"/>
    <w:rsid w:val="00AB5C56"/>
    <w:rsid w:val="00AB5CC4"/>
    <w:rsid w:val="00AB5CCB"/>
    <w:rsid w:val="00AB5D8C"/>
    <w:rsid w:val="00AB5DA1"/>
    <w:rsid w:val="00AB5DAD"/>
    <w:rsid w:val="00AB5E0C"/>
    <w:rsid w:val="00AB5EFF"/>
    <w:rsid w:val="00AB5F2D"/>
    <w:rsid w:val="00AB5F8A"/>
    <w:rsid w:val="00AB5F90"/>
    <w:rsid w:val="00AB5FE6"/>
    <w:rsid w:val="00AB606B"/>
    <w:rsid w:val="00AB60C1"/>
    <w:rsid w:val="00AB61AD"/>
    <w:rsid w:val="00AB61C9"/>
    <w:rsid w:val="00AB62BB"/>
    <w:rsid w:val="00AB6307"/>
    <w:rsid w:val="00AB633B"/>
    <w:rsid w:val="00AB63A1"/>
    <w:rsid w:val="00AB63FD"/>
    <w:rsid w:val="00AB6479"/>
    <w:rsid w:val="00AB64B9"/>
    <w:rsid w:val="00AB6536"/>
    <w:rsid w:val="00AB6555"/>
    <w:rsid w:val="00AB6564"/>
    <w:rsid w:val="00AB6565"/>
    <w:rsid w:val="00AB6644"/>
    <w:rsid w:val="00AB6648"/>
    <w:rsid w:val="00AB6657"/>
    <w:rsid w:val="00AB66D8"/>
    <w:rsid w:val="00AB6702"/>
    <w:rsid w:val="00AB6704"/>
    <w:rsid w:val="00AB6707"/>
    <w:rsid w:val="00AB6745"/>
    <w:rsid w:val="00AB67B6"/>
    <w:rsid w:val="00AB67DA"/>
    <w:rsid w:val="00AB681C"/>
    <w:rsid w:val="00AB6849"/>
    <w:rsid w:val="00AB6868"/>
    <w:rsid w:val="00AB6899"/>
    <w:rsid w:val="00AB6954"/>
    <w:rsid w:val="00AB6972"/>
    <w:rsid w:val="00AB69F4"/>
    <w:rsid w:val="00AB6A0A"/>
    <w:rsid w:val="00AB6A66"/>
    <w:rsid w:val="00AB6A71"/>
    <w:rsid w:val="00AB6A9F"/>
    <w:rsid w:val="00AB6B0F"/>
    <w:rsid w:val="00AB6C82"/>
    <w:rsid w:val="00AB6D19"/>
    <w:rsid w:val="00AB6D3E"/>
    <w:rsid w:val="00AB6DB1"/>
    <w:rsid w:val="00AB6E50"/>
    <w:rsid w:val="00AB6E65"/>
    <w:rsid w:val="00AB6F29"/>
    <w:rsid w:val="00AB6F72"/>
    <w:rsid w:val="00AB6FB6"/>
    <w:rsid w:val="00AB70A8"/>
    <w:rsid w:val="00AB7145"/>
    <w:rsid w:val="00AB714A"/>
    <w:rsid w:val="00AB7190"/>
    <w:rsid w:val="00AB71E0"/>
    <w:rsid w:val="00AB7235"/>
    <w:rsid w:val="00AB73D2"/>
    <w:rsid w:val="00AB73FF"/>
    <w:rsid w:val="00AB7463"/>
    <w:rsid w:val="00AB7492"/>
    <w:rsid w:val="00AB74FD"/>
    <w:rsid w:val="00AB751D"/>
    <w:rsid w:val="00AB7528"/>
    <w:rsid w:val="00AB7582"/>
    <w:rsid w:val="00AB7586"/>
    <w:rsid w:val="00AB7616"/>
    <w:rsid w:val="00AB7617"/>
    <w:rsid w:val="00AB7626"/>
    <w:rsid w:val="00AB763B"/>
    <w:rsid w:val="00AB7689"/>
    <w:rsid w:val="00AB76A0"/>
    <w:rsid w:val="00AB7717"/>
    <w:rsid w:val="00AB7737"/>
    <w:rsid w:val="00AB7747"/>
    <w:rsid w:val="00AB77F6"/>
    <w:rsid w:val="00AB782F"/>
    <w:rsid w:val="00AB7844"/>
    <w:rsid w:val="00AB7851"/>
    <w:rsid w:val="00AB7875"/>
    <w:rsid w:val="00AB78E7"/>
    <w:rsid w:val="00AB7906"/>
    <w:rsid w:val="00AB7929"/>
    <w:rsid w:val="00AB798B"/>
    <w:rsid w:val="00AB7994"/>
    <w:rsid w:val="00AB79D4"/>
    <w:rsid w:val="00AB7A96"/>
    <w:rsid w:val="00AB7AEE"/>
    <w:rsid w:val="00AB7B32"/>
    <w:rsid w:val="00AB7B65"/>
    <w:rsid w:val="00AB7C29"/>
    <w:rsid w:val="00AB7CE4"/>
    <w:rsid w:val="00AB7D89"/>
    <w:rsid w:val="00AB7DD9"/>
    <w:rsid w:val="00AB7F01"/>
    <w:rsid w:val="00AB7F32"/>
    <w:rsid w:val="00AB7F46"/>
    <w:rsid w:val="00AB7FA8"/>
    <w:rsid w:val="00AC0020"/>
    <w:rsid w:val="00AC0029"/>
    <w:rsid w:val="00AC00A7"/>
    <w:rsid w:val="00AC00C2"/>
    <w:rsid w:val="00AC00D4"/>
    <w:rsid w:val="00AC0116"/>
    <w:rsid w:val="00AC012F"/>
    <w:rsid w:val="00AC020A"/>
    <w:rsid w:val="00AC020B"/>
    <w:rsid w:val="00AC02BE"/>
    <w:rsid w:val="00AC02D3"/>
    <w:rsid w:val="00AC031D"/>
    <w:rsid w:val="00AC034F"/>
    <w:rsid w:val="00AC03BA"/>
    <w:rsid w:val="00AC040A"/>
    <w:rsid w:val="00AC047D"/>
    <w:rsid w:val="00AC04D7"/>
    <w:rsid w:val="00AC0502"/>
    <w:rsid w:val="00AC05B7"/>
    <w:rsid w:val="00AC05BD"/>
    <w:rsid w:val="00AC0750"/>
    <w:rsid w:val="00AC0795"/>
    <w:rsid w:val="00AC07B3"/>
    <w:rsid w:val="00AC08CD"/>
    <w:rsid w:val="00AC08D6"/>
    <w:rsid w:val="00AC0928"/>
    <w:rsid w:val="00AC095C"/>
    <w:rsid w:val="00AC09B1"/>
    <w:rsid w:val="00AC0A9C"/>
    <w:rsid w:val="00AC0AA9"/>
    <w:rsid w:val="00AC0AB2"/>
    <w:rsid w:val="00AC0AC8"/>
    <w:rsid w:val="00AC0AF6"/>
    <w:rsid w:val="00AC0B0D"/>
    <w:rsid w:val="00AC0B20"/>
    <w:rsid w:val="00AC0BAF"/>
    <w:rsid w:val="00AC0BC9"/>
    <w:rsid w:val="00AC0BEA"/>
    <w:rsid w:val="00AC0C12"/>
    <w:rsid w:val="00AC0CD8"/>
    <w:rsid w:val="00AC0D0D"/>
    <w:rsid w:val="00AC0D54"/>
    <w:rsid w:val="00AC0D76"/>
    <w:rsid w:val="00AC0D91"/>
    <w:rsid w:val="00AC0E0C"/>
    <w:rsid w:val="00AC0E8E"/>
    <w:rsid w:val="00AC0FB9"/>
    <w:rsid w:val="00AC0FC4"/>
    <w:rsid w:val="00AC10D1"/>
    <w:rsid w:val="00AC1140"/>
    <w:rsid w:val="00AC1195"/>
    <w:rsid w:val="00AC11D5"/>
    <w:rsid w:val="00AC1210"/>
    <w:rsid w:val="00AC1211"/>
    <w:rsid w:val="00AC1259"/>
    <w:rsid w:val="00AC135A"/>
    <w:rsid w:val="00AC13D8"/>
    <w:rsid w:val="00AC1543"/>
    <w:rsid w:val="00AC1572"/>
    <w:rsid w:val="00AC15D4"/>
    <w:rsid w:val="00AC1639"/>
    <w:rsid w:val="00AC1681"/>
    <w:rsid w:val="00AC1685"/>
    <w:rsid w:val="00AC169F"/>
    <w:rsid w:val="00AC16B0"/>
    <w:rsid w:val="00AC16C3"/>
    <w:rsid w:val="00AC16DE"/>
    <w:rsid w:val="00AC16FC"/>
    <w:rsid w:val="00AC1781"/>
    <w:rsid w:val="00AC1794"/>
    <w:rsid w:val="00AC17CA"/>
    <w:rsid w:val="00AC17DD"/>
    <w:rsid w:val="00AC1830"/>
    <w:rsid w:val="00AC1869"/>
    <w:rsid w:val="00AC186D"/>
    <w:rsid w:val="00AC1880"/>
    <w:rsid w:val="00AC1941"/>
    <w:rsid w:val="00AC1945"/>
    <w:rsid w:val="00AC195A"/>
    <w:rsid w:val="00AC19DB"/>
    <w:rsid w:val="00AC1A58"/>
    <w:rsid w:val="00AC1A8C"/>
    <w:rsid w:val="00AC1AE0"/>
    <w:rsid w:val="00AC1AF3"/>
    <w:rsid w:val="00AC1C9A"/>
    <w:rsid w:val="00AC1C9C"/>
    <w:rsid w:val="00AC1CF5"/>
    <w:rsid w:val="00AC1D01"/>
    <w:rsid w:val="00AC1DF9"/>
    <w:rsid w:val="00AC1F13"/>
    <w:rsid w:val="00AC1F99"/>
    <w:rsid w:val="00AC1FC6"/>
    <w:rsid w:val="00AC1FD4"/>
    <w:rsid w:val="00AC2022"/>
    <w:rsid w:val="00AC2232"/>
    <w:rsid w:val="00AC2247"/>
    <w:rsid w:val="00AC2257"/>
    <w:rsid w:val="00AC229B"/>
    <w:rsid w:val="00AC22A1"/>
    <w:rsid w:val="00AC22AD"/>
    <w:rsid w:val="00AC2332"/>
    <w:rsid w:val="00AC2369"/>
    <w:rsid w:val="00AC236E"/>
    <w:rsid w:val="00AC23AA"/>
    <w:rsid w:val="00AC23BA"/>
    <w:rsid w:val="00AC23EB"/>
    <w:rsid w:val="00AC2416"/>
    <w:rsid w:val="00AC2522"/>
    <w:rsid w:val="00AC256D"/>
    <w:rsid w:val="00AC2573"/>
    <w:rsid w:val="00AC2589"/>
    <w:rsid w:val="00AC2591"/>
    <w:rsid w:val="00AC25E1"/>
    <w:rsid w:val="00AC264C"/>
    <w:rsid w:val="00AC2672"/>
    <w:rsid w:val="00AC269B"/>
    <w:rsid w:val="00AC26D5"/>
    <w:rsid w:val="00AC27DD"/>
    <w:rsid w:val="00AC27F8"/>
    <w:rsid w:val="00AC2804"/>
    <w:rsid w:val="00AC2840"/>
    <w:rsid w:val="00AC2845"/>
    <w:rsid w:val="00AC289F"/>
    <w:rsid w:val="00AC28B1"/>
    <w:rsid w:val="00AC2936"/>
    <w:rsid w:val="00AC29A6"/>
    <w:rsid w:val="00AC29B1"/>
    <w:rsid w:val="00AC29C3"/>
    <w:rsid w:val="00AC29F9"/>
    <w:rsid w:val="00AC2AF8"/>
    <w:rsid w:val="00AC2C20"/>
    <w:rsid w:val="00AC2C25"/>
    <w:rsid w:val="00AC2C34"/>
    <w:rsid w:val="00AC2C61"/>
    <w:rsid w:val="00AC2D3D"/>
    <w:rsid w:val="00AC2D91"/>
    <w:rsid w:val="00AC2E01"/>
    <w:rsid w:val="00AC2E2E"/>
    <w:rsid w:val="00AC2E4D"/>
    <w:rsid w:val="00AC2EDD"/>
    <w:rsid w:val="00AC2F62"/>
    <w:rsid w:val="00AC3068"/>
    <w:rsid w:val="00AC308D"/>
    <w:rsid w:val="00AC3153"/>
    <w:rsid w:val="00AC315D"/>
    <w:rsid w:val="00AC320D"/>
    <w:rsid w:val="00AC322E"/>
    <w:rsid w:val="00AC32B3"/>
    <w:rsid w:val="00AC32FD"/>
    <w:rsid w:val="00AC334D"/>
    <w:rsid w:val="00AC35EB"/>
    <w:rsid w:val="00AC368D"/>
    <w:rsid w:val="00AC369D"/>
    <w:rsid w:val="00AC36C1"/>
    <w:rsid w:val="00AC36EF"/>
    <w:rsid w:val="00AC36FC"/>
    <w:rsid w:val="00AC370F"/>
    <w:rsid w:val="00AC3799"/>
    <w:rsid w:val="00AC37E0"/>
    <w:rsid w:val="00AC388F"/>
    <w:rsid w:val="00AC3890"/>
    <w:rsid w:val="00AC38B2"/>
    <w:rsid w:val="00AC3931"/>
    <w:rsid w:val="00AC3A25"/>
    <w:rsid w:val="00AC3A41"/>
    <w:rsid w:val="00AC3A97"/>
    <w:rsid w:val="00AC3A9F"/>
    <w:rsid w:val="00AC3BCA"/>
    <w:rsid w:val="00AC3BCD"/>
    <w:rsid w:val="00AC3BFA"/>
    <w:rsid w:val="00AC3C80"/>
    <w:rsid w:val="00AC3C8F"/>
    <w:rsid w:val="00AC3C9E"/>
    <w:rsid w:val="00AC3C9F"/>
    <w:rsid w:val="00AC3CA4"/>
    <w:rsid w:val="00AC3CA5"/>
    <w:rsid w:val="00AC3CBF"/>
    <w:rsid w:val="00AC3D2D"/>
    <w:rsid w:val="00AC3DC2"/>
    <w:rsid w:val="00AC3DD2"/>
    <w:rsid w:val="00AC3DF7"/>
    <w:rsid w:val="00AC3E0E"/>
    <w:rsid w:val="00AC3EDD"/>
    <w:rsid w:val="00AC3F31"/>
    <w:rsid w:val="00AC3FC5"/>
    <w:rsid w:val="00AC3FE5"/>
    <w:rsid w:val="00AC416B"/>
    <w:rsid w:val="00AC4199"/>
    <w:rsid w:val="00AC419E"/>
    <w:rsid w:val="00AC4249"/>
    <w:rsid w:val="00AC4299"/>
    <w:rsid w:val="00AC429A"/>
    <w:rsid w:val="00AC42B7"/>
    <w:rsid w:val="00AC42CF"/>
    <w:rsid w:val="00AC42DA"/>
    <w:rsid w:val="00AC4327"/>
    <w:rsid w:val="00AC4379"/>
    <w:rsid w:val="00AC43C1"/>
    <w:rsid w:val="00AC44FD"/>
    <w:rsid w:val="00AC4502"/>
    <w:rsid w:val="00AC4551"/>
    <w:rsid w:val="00AC45AE"/>
    <w:rsid w:val="00AC4626"/>
    <w:rsid w:val="00AC4670"/>
    <w:rsid w:val="00AC46CC"/>
    <w:rsid w:val="00AC46E0"/>
    <w:rsid w:val="00AC46E2"/>
    <w:rsid w:val="00AC476E"/>
    <w:rsid w:val="00AC476F"/>
    <w:rsid w:val="00AC4773"/>
    <w:rsid w:val="00AC4858"/>
    <w:rsid w:val="00AC4912"/>
    <w:rsid w:val="00AC498E"/>
    <w:rsid w:val="00AC49DF"/>
    <w:rsid w:val="00AC4AC1"/>
    <w:rsid w:val="00AC4AE5"/>
    <w:rsid w:val="00AC4B30"/>
    <w:rsid w:val="00AC4C50"/>
    <w:rsid w:val="00AC4C76"/>
    <w:rsid w:val="00AC4CEB"/>
    <w:rsid w:val="00AC4D3E"/>
    <w:rsid w:val="00AC4D5D"/>
    <w:rsid w:val="00AC4DC1"/>
    <w:rsid w:val="00AC4DC7"/>
    <w:rsid w:val="00AC4E07"/>
    <w:rsid w:val="00AC4E6C"/>
    <w:rsid w:val="00AC4E9C"/>
    <w:rsid w:val="00AC4F39"/>
    <w:rsid w:val="00AC5025"/>
    <w:rsid w:val="00AC5104"/>
    <w:rsid w:val="00AC5184"/>
    <w:rsid w:val="00AC52D4"/>
    <w:rsid w:val="00AC5300"/>
    <w:rsid w:val="00AC5317"/>
    <w:rsid w:val="00AC5358"/>
    <w:rsid w:val="00AC53AF"/>
    <w:rsid w:val="00AC53EB"/>
    <w:rsid w:val="00AC55DD"/>
    <w:rsid w:val="00AC55F3"/>
    <w:rsid w:val="00AC56B7"/>
    <w:rsid w:val="00AC5734"/>
    <w:rsid w:val="00AC5742"/>
    <w:rsid w:val="00AC57AB"/>
    <w:rsid w:val="00AC57C3"/>
    <w:rsid w:val="00AC57F2"/>
    <w:rsid w:val="00AC57FE"/>
    <w:rsid w:val="00AC58A8"/>
    <w:rsid w:val="00AC58F5"/>
    <w:rsid w:val="00AC5949"/>
    <w:rsid w:val="00AC5A4F"/>
    <w:rsid w:val="00AC5A5E"/>
    <w:rsid w:val="00AC5AA1"/>
    <w:rsid w:val="00AC5AB7"/>
    <w:rsid w:val="00AC5BE7"/>
    <w:rsid w:val="00AC5E95"/>
    <w:rsid w:val="00AC5EB1"/>
    <w:rsid w:val="00AC5EE5"/>
    <w:rsid w:val="00AC5F73"/>
    <w:rsid w:val="00AC5F80"/>
    <w:rsid w:val="00AC5FAD"/>
    <w:rsid w:val="00AC5FD3"/>
    <w:rsid w:val="00AC601B"/>
    <w:rsid w:val="00AC6035"/>
    <w:rsid w:val="00AC6064"/>
    <w:rsid w:val="00AC6074"/>
    <w:rsid w:val="00AC6180"/>
    <w:rsid w:val="00AC6244"/>
    <w:rsid w:val="00AC62F6"/>
    <w:rsid w:val="00AC63B1"/>
    <w:rsid w:val="00AC63C4"/>
    <w:rsid w:val="00AC6448"/>
    <w:rsid w:val="00AC649F"/>
    <w:rsid w:val="00AC64C2"/>
    <w:rsid w:val="00AC64D3"/>
    <w:rsid w:val="00AC64E3"/>
    <w:rsid w:val="00AC64EA"/>
    <w:rsid w:val="00AC653C"/>
    <w:rsid w:val="00AC65A3"/>
    <w:rsid w:val="00AC65A8"/>
    <w:rsid w:val="00AC661D"/>
    <w:rsid w:val="00AC6624"/>
    <w:rsid w:val="00AC6657"/>
    <w:rsid w:val="00AC666C"/>
    <w:rsid w:val="00AC67B5"/>
    <w:rsid w:val="00AC6839"/>
    <w:rsid w:val="00AC6901"/>
    <w:rsid w:val="00AC6945"/>
    <w:rsid w:val="00AC69C6"/>
    <w:rsid w:val="00AC69DF"/>
    <w:rsid w:val="00AC6A34"/>
    <w:rsid w:val="00AC6A72"/>
    <w:rsid w:val="00AC6A8C"/>
    <w:rsid w:val="00AC6B82"/>
    <w:rsid w:val="00AC6BD8"/>
    <w:rsid w:val="00AC6C18"/>
    <w:rsid w:val="00AC6C96"/>
    <w:rsid w:val="00AC6CE9"/>
    <w:rsid w:val="00AC6D02"/>
    <w:rsid w:val="00AC6D2F"/>
    <w:rsid w:val="00AC6E2A"/>
    <w:rsid w:val="00AC6E48"/>
    <w:rsid w:val="00AC6E62"/>
    <w:rsid w:val="00AC6EAD"/>
    <w:rsid w:val="00AC6ED9"/>
    <w:rsid w:val="00AC6F4A"/>
    <w:rsid w:val="00AC6F69"/>
    <w:rsid w:val="00AC6F8E"/>
    <w:rsid w:val="00AC6FB3"/>
    <w:rsid w:val="00AC6FB5"/>
    <w:rsid w:val="00AC70B3"/>
    <w:rsid w:val="00AC70B9"/>
    <w:rsid w:val="00AC7101"/>
    <w:rsid w:val="00AC7239"/>
    <w:rsid w:val="00AC72B7"/>
    <w:rsid w:val="00AC72FF"/>
    <w:rsid w:val="00AC7323"/>
    <w:rsid w:val="00AC73E6"/>
    <w:rsid w:val="00AC7582"/>
    <w:rsid w:val="00AC75D1"/>
    <w:rsid w:val="00AC760F"/>
    <w:rsid w:val="00AC7621"/>
    <w:rsid w:val="00AC76E3"/>
    <w:rsid w:val="00AC7756"/>
    <w:rsid w:val="00AC77BF"/>
    <w:rsid w:val="00AC77CE"/>
    <w:rsid w:val="00AC77DD"/>
    <w:rsid w:val="00AC77EB"/>
    <w:rsid w:val="00AC77ED"/>
    <w:rsid w:val="00AC783B"/>
    <w:rsid w:val="00AC788A"/>
    <w:rsid w:val="00AC78A3"/>
    <w:rsid w:val="00AC78DE"/>
    <w:rsid w:val="00AC79A2"/>
    <w:rsid w:val="00AC79FE"/>
    <w:rsid w:val="00AC7ADE"/>
    <w:rsid w:val="00AC7B13"/>
    <w:rsid w:val="00AC7BC5"/>
    <w:rsid w:val="00AC7BCB"/>
    <w:rsid w:val="00AC7C23"/>
    <w:rsid w:val="00AC7C7E"/>
    <w:rsid w:val="00AC7C9E"/>
    <w:rsid w:val="00AC7CF6"/>
    <w:rsid w:val="00AC7D38"/>
    <w:rsid w:val="00AC7E06"/>
    <w:rsid w:val="00AC7E63"/>
    <w:rsid w:val="00AC7FB3"/>
    <w:rsid w:val="00AC7FD3"/>
    <w:rsid w:val="00AD007A"/>
    <w:rsid w:val="00AD00B9"/>
    <w:rsid w:val="00AD020E"/>
    <w:rsid w:val="00AD0243"/>
    <w:rsid w:val="00AD0439"/>
    <w:rsid w:val="00AD046E"/>
    <w:rsid w:val="00AD0494"/>
    <w:rsid w:val="00AD04FA"/>
    <w:rsid w:val="00AD0564"/>
    <w:rsid w:val="00AD056E"/>
    <w:rsid w:val="00AD0580"/>
    <w:rsid w:val="00AD05B3"/>
    <w:rsid w:val="00AD05E7"/>
    <w:rsid w:val="00AD067B"/>
    <w:rsid w:val="00AD069B"/>
    <w:rsid w:val="00AD06F1"/>
    <w:rsid w:val="00AD0702"/>
    <w:rsid w:val="00AD0719"/>
    <w:rsid w:val="00AD0742"/>
    <w:rsid w:val="00AD07C3"/>
    <w:rsid w:val="00AD08B6"/>
    <w:rsid w:val="00AD08F8"/>
    <w:rsid w:val="00AD0928"/>
    <w:rsid w:val="00AD0993"/>
    <w:rsid w:val="00AD09DF"/>
    <w:rsid w:val="00AD09FC"/>
    <w:rsid w:val="00AD0A29"/>
    <w:rsid w:val="00AD0B09"/>
    <w:rsid w:val="00AD0B64"/>
    <w:rsid w:val="00AD0B87"/>
    <w:rsid w:val="00AD0B96"/>
    <w:rsid w:val="00AD0C06"/>
    <w:rsid w:val="00AD0D43"/>
    <w:rsid w:val="00AD0D58"/>
    <w:rsid w:val="00AD0E3D"/>
    <w:rsid w:val="00AD0E78"/>
    <w:rsid w:val="00AD0E8C"/>
    <w:rsid w:val="00AD0ED3"/>
    <w:rsid w:val="00AD0EE6"/>
    <w:rsid w:val="00AD0F21"/>
    <w:rsid w:val="00AD0F22"/>
    <w:rsid w:val="00AD0F9C"/>
    <w:rsid w:val="00AD102D"/>
    <w:rsid w:val="00AD1128"/>
    <w:rsid w:val="00AD1137"/>
    <w:rsid w:val="00AD1232"/>
    <w:rsid w:val="00AD123B"/>
    <w:rsid w:val="00AD126A"/>
    <w:rsid w:val="00AD12AE"/>
    <w:rsid w:val="00AD1411"/>
    <w:rsid w:val="00AD142C"/>
    <w:rsid w:val="00AD1518"/>
    <w:rsid w:val="00AD158E"/>
    <w:rsid w:val="00AD15BD"/>
    <w:rsid w:val="00AD15F3"/>
    <w:rsid w:val="00AD169A"/>
    <w:rsid w:val="00AD16C5"/>
    <w:rsid w:val="00AD1785"/>
    <w:rsid w:val="00AD17BB"/>
    <w:rsid w:val="00AD17F6"/>
    <w:rsid w:val="00AD1839"/>
    <w:rsid w:val="00AD1878"/>
    <w:rsid w:val="00AD18F3"/>
    <w:rsid w:val="00AD19C2"/>
    <w:rsid w:val="00AD19FC"/>
    <w:rsid w:val="00AD1A6A"/>
    <w:rsid w:val="00AD1AC7"/>
    <w:rsid w:val="00AD1B72"/>
    <w:rsid w:val="00AD1E6B"/>
    <w:rsid w:val="00AD1ED1"/>
    <w:rsid w:val="00AD1EE2"/>
    <w:rsid w:val="00AD1EF5"/>
    <w:rsid w:val="00AD1F34"/>
    <w:rsid w:val="00AD1FDE"/>
    <w:rsid w:val="00AD2081"/>
    <w:rsid w:val="00AD20C1"/>
    <w:rsid w:val="00AD216D"/>
    <w:rsid w:val="00AD2242"/>
    <w:rsid w:val="00AD2308"/>
    <w:rsid w:val="00AD2328"/>
    <w:rsid w:val="00AD2480"/>
    <w:rsid w:val="00AD24DD"/>
    <w:rsid w:val="00AD24F1"/>
    <w:rsid w:val="00AD255B"/>
    <w:rsid w:val="00AD25D0"/>
    <w:rsid w:val="00AD2640"/>
    <w:rsid w:val="00AD26E1"/>
    <w:rsid w:val="00AD2779"/>
    <w:rsid w:val="00AD27AC"/>
    <w:rsid w:val="00AD27AF"/>
    <w:rsid w:val="00AD27E1"/>
    <w:rsid w:val="00AD27E9"/>
    <w:rsid w:val="00AD28B5"/>
    <w:rsid w:val="00AD28F5"/>
    <w:rsid w:val="00AD2969"/>
    <w:rsid w:val="00AD29E6"/>
    <w:rsid w:val="00AD2A2F"/>
    <w:rsid w:val="00AD2A7B"/>
    <w:rsid w:val="00AD2AA3"/>
    <w:rsid w:val="00AD2C00"/>
    <w:rsid w:val="00AD2C08"/>
    <w:rsid w:val="00AD2C35"/>
    <w:rsid w:val="00AD2C41"/>
    <w:rsid w:val="00AD2C61"/>
    <w:rsid w:val="00AD2CDA"/>
    <w:rsid w:val="00AD2D00"/>
    <w:rsid w:val="00AD2D08"/>
    <w:rsid w:val="00AD2D31"/>
    <w:rsid w:val="00AD2D43"/>
    <w:rsid w:val="00AD2D6D"/>
    <w:rsid w:val="00AD2E98"/>
    <w:rsid w:val="00AD2EB0"/>
    <w:rsid w:val="00AD2ECF"/>
    <w:rsid w:val="00AD2F32"/>
    <w:rsid w:val="00AD2F49"/>
    <w:rsid w:val="00AD2F5F"/>
    <w:rsid w:val="00AD3019"/>
    <w:rsid w:val="00AD301D"/>
    <w:rsid w:val="00AD306F"/>
    <w:rsid w:val="00AD30C8"/>
    <w:rsid w:val="00AD30D0"/>
    <w:rsid w:val="00AD30FD"/>
    <w:rsid w:val="00AD317C"/>
    <w:rsid w:val="00AD3181"/>
    <w:rsid w:val="00AD31E5"/>
    <w:rsid w:val="00AD3202"/>
    <w:rsid w:val="00AD3248"/>
    <w:rsid w:val="00AD3253"/>
    <w:rsid w:val="00AD32FE"/>
    <w:rsid w:val="00AD333D"/>
    <w:rsid w:val="00AD3346"/>
    <w:rsid w:val="00AD3478"/>
    <w:rsid w:val="00AD34D9"/>
    <w:rsid w:val="00AD34FC"/>
    <w:rsid w:val="00AD3561"/>
    <w:rsid w:val="00AD35E9"/>
    <w:rsid w:val="00AD3619"/>
    <w:rsid w:val="00AD3667"/>
    <w:rsid w:val="00AD3716"/>
    <w:rsid w:val="00AD3738"/>
    <w:rsid w:val="00AD37E9"/>
    <w:rsid w:val="00AD380B"/>
    <w:rsid w:val="00AD38AC"/>
    <w:rsid w:val="00AD3916"/>
    <w:rsid w:val="00AD395B"/>
    <w:rsid w:val="00AD39AA"/>
    <w:rsid w:val="00AD39DE"/>
    <w:rsid w:val="00AD3A4F"/>
    <w:rsid w:val="00AD3A64"/>
    <w:rsid w:val="00AD3AA5"/>
    <w:rsid w:val="00AD3B0A"/>
    <w:rsid w:val="00AD3B42"/>
    <w:rsid w:val="00AD3B5A"/>
    <w:rsid w:val="00AD3B5E"/>
    <w:rsid w:val="00AD3B6E"/>
    <w:rsid w:val="00AD3BAF"/>
    <w:rsid w:val="00AD3BD3"/>
    <w:rsid w:val="00AD3BF9"/>
    <w:rsid w:val="00AD3C5C"/>
    <w:rsid w:val="00AD3CB9"/>
    <w:rsid w:val="00AD3CFF"/>
    <w:rsid w:val="00AD3DB1"/>
    <w:rsid w:val="00AD3E01"/>
    <w:rsid w:val="00AD3F0B"/>
    <w:rsid w:val="00AD3F4F"/>
    <w:rsid w:val="00AD3F98"/>
    <w:rsid w:val="00AD400D"/>
    <w:rsid w:val="00AD40A6"/>
    <w:rsid w:val="00AD40B0"/>
    <w:rsid w:val="00AD40EC"/>
    <w:rsid w:val="00AD4104"/>
    <w:rsid w:val="00AD4123"/>
    <w:rsid w:val="00AD4167"/>
    <w:rsid w:val="00AD42BD"/>
    <w:rsid w:val="00AD4359"/>
    <w:rsid w:val="00AD4368"/>
    <w:rsid w:val="00AD4380"/>
    <w:rsid w:val="00AD4386"/>
    <w:rsid w:val="00AD43F3"/>
    <w:rsid w:val="00AD444B"/>
    <w:rsid w:val="00AD4472"/>
    <w:rsid w:val="00AD4473"/>
    <w:rsid w:val="00AD44F6"/>
    <w:rsid w:val="00AD4511"/>
    <w:rsid w:val="00AD456D"/>
    <w:rsid w:val="00AD457D"/>
    <w:rsid w:val="00AD465E"/>
    <w:rsid w:val="00AD4734"/>
    <w:rsid w:val="00AD478E"/>
    <w:rsid w:val="00AD4794"/>
    <w:rsid w:val="00AD47F7"/>
    <w:rsid w:val="00AD4850"/>
    <w:rsid w:val="00AD48BB"/>
    <w:rsid w:val="00AD4948"/>
    <w:rsid w:val="00AD498F"/>
    <w:rsid w:val="00AD49BB"/>
    <w:rsid w:val="00AD4A0A"/>
    <w:rsid w:val="00AD4AF2"/>
    <w:rsid w:val="00AD4B94"/>
    <w:rsid w:val="00AD4BEE"/>
    <w:rsid w:val="00AD4C26"/>
    <w:rsid w:val="00AD4CB7"/>
    <w:rsid w:val="00AD4CC3"/>
    <w:rsid w:val="00AD4DD8"/>
    <w:rsid w:val="00AD4E01"/>
    <w:rsid w:val="00AD4E0C"/>
    <w:rsid w:val="00AD4F0D"/>
    <w:rsid w:val="00AD4F1B"/>
    <w:rsid w:val="00AD4F39"/>
    <w:rsid w:val="00AD4F56"/>
    <w:rsid w:val="00AD4F87"/>
    <w:rsid w:val="00AD5041"/>
    <w:rsid w:val="00AD50AF"/>
    <w:rsid w:val="00AD513E"/>
    <w:rsid w:val="00AD514B"/>
    <w:rsid w:val="00AD51EA"/>
    <w:rsid w:val="00AD520A"/>
    <w:rsid w:val="00AD52AB"/>
    <w:rsid w:val="00AD52C2"/>
    <w:rsid w:val="00AD52C8"/>
    <w:rsid w:val="00AD5387"/>
    <w:rsid w:val="00AD53D1"/>
    <w:rsid w:val="00AD548C"/>
    <w:rsid w:val="00AD54FB"/>
    <w:rsid w:val="00AD552C"/>
    <w:rsid w:val="00AD5592"/>
    <w:rsid w:val="00AD55A0"/>
    <w:rsid w:val="00AD5688"/>
    <w:rsid w:val="00AD5690"/>
    <w:rsid w:val="00AD5760"/>
    <w:rsid w:val="00AD5779"/>
    <w:rsid w:val="00AD57A0"/>
    <w:rsid w:val="00AD57B4"/>
    <w:rsid w:val="00AD5850"/>
    <w:rsid w:val="00AD5855"/>
    <w:rsid w:val="00AD5860"/>
    <w:rsid w:val="00AD5899"/>
    <w:rsid w:val="00AD58A7"/>
    <w:rsid w:val="00AD58AC"/>
    <w:rsid w:val="00AD58C4"/>
    <w:rsid w:val="00AD58ED"/>
    <w:rsid w:val="00AD58FD"/>
    <w:rsid w:val="00AD5928"/>
    <w:rsid w:val="00AD5A02"/>
    <w:rsid w:val="00AD5A0F"/>
    <w:rsid w:val="00AD5A9D"/>
    <w:rsid w:val="00AD5AD3"/>
    <w:rsid w:val="00AD5B19"/>
    <w:rsid w:val="00AD5B2E"/>
    <w:rsid w:val="00AD5B8C"/>
    <w:rsid w:val="00AD5BBB"/>
    <w:rsid w:val="00AD5C0E"/>
    <w:rsid w:val="00AD5D6B"/>
    <w:rsid w:val="00AD5D7F"/>
    <w:rsid w:val="00AD5D84"/>
    <w:rsid w:val="00AD5DCE"/>
    <w:rsid w:val="00AD5E2F"/>
    <w:rsid w:val="00AD5E96"/>
    <w:rsid w:val="00AD5ED8"/>
    <w:rsid w:val="00AD5F67"/>
    <w:rsid w:val="00AD5F88"/>
    <w:rsid w:val="00AD5FF5"/>
    <w:rsid w:val="00AD6123"/>
    <w:rsid w:val="00AD61F1"/>
    <w:rsid w:val="00AD6276"/>
    <w:rsid w:val="00AD629D"/>
    <w:rsid w:val="00AD6318"/>
    <w:rsid w:val="00AD6347"/>
    <w:rsid w:val="00AD6479"/>
    <w:rsid w:val="00AD6483"/>
    <w:rsid w:val="00AD64AA"/>
    <w:rsid w:val="00AD652A"/>
    <w:rsid w:val="00AD654C"/>
    <w:rsid w:val="00AD6558"/>
    <w:rsid w:val="00AD6667"/>
    <w:rsid w:val="00AD666E"/>
    <w:rsid w:val="00AD6679"/>
    <w:rsid w:val="00AD66DA"/>
    <w:rsid w:val="00AD6790"/>
    <w:rsid w:val="00AD680D"/>
    <w:rsid w:val="00AD6844"/>
    <w:rsid w:val="00AD6887"/>
    <w:rsid w:val="00AD68A3"/>
    <w:rsid w:val="00AD68B1"/>
    <w:rsid w:val="00AD68ED"/>
    <w:rsid w:val="00AD69E3"/>
    <w:rsid w:val="00AD69F8"/>
    <w:rsid w:val="00AD6AB5"/>
    <w:rsid w:val="00AD6ABB"/>
    <w:rsid w:val="00AD6C08"/>
    <w:rsid w:val="00AD6C11"/>
    <w:rsid w:val="00AD6C2F"/>
    <w:rsid w:val="00AD6DA9"/>
    <w:rsid w:val="00AD6E00"/>
    <w:rsid w:val="00AD6ED8"/>
    <w:rsid w:val="00AD6F4D"/>
    <w:rsid w:val="00AD6F57"/>
    <w:rsid w:val="00AD6F83"/>
    <w:rsid w:val="00AD7020"/>
    <w:rsid w:val="00AD7039"/>
    <w:rsid w:val="00AD7057"/>
    <w:rsid w:val="00AD707C"/>
    <w:rsid w:val="00AD709E"/>
    <w:rsid w:val="00AD70BE"/>
    <w:rsid w:val="00AD7132"/>
    <w:rsid w:val="00AD714F"/>
    <w:rsid w:val="00AD724B"/>
    <w:rsid w:val="00AD726D"/>
    <w:rsid w:val="00AD72FC"/>
    <w:rsid w:val="00AD7351"/>
    <w:rsid w:val="00AD7387"/>
    <w:rsid w:val="00AD7389"/>
    <w:rsid w:val="00AD73CE"/>
    <w:rsid w:val="00AD745D"/>
    <w:rsid w:val="00AD748E"/>
    <w:rsid w:val="00AD74AF"/>
    <w:rsid w:val="00AD74DC"/>
    <w:rsid w:val="00AD74EB"/>
    <w:rsid w:val="00AD7546"/>
    <w:rsid w:val="00AD75A3"/>
    <w:rsid w:val="00AD761F"/>
    <w:rsid w:val="00AD781B"/>
    <w:rsid w:val="00AD7836"/>
    <w:rsid w:val="00AD78A4"/>
    <w:rsid w:val="00AD78C9"/>
    <w:rsid w:val="00AD7903"/>
    <w:rsid w:val="00AD7955"/>
    <w:rsid w:val="00AD79D1"/>
    <w:rsid w:val="00AD79F8"/>
    <w:rsid w:val="00AD7A3B"/>
    <w:rsid w:val="00AD7A48"/>
    <w:rsid w:val="00AD7A98"/>
    <w:rsid w:val="00AD7AB1"/>
    <w:rsid w:val="00AD7B19"/>
    <w:rsid w:val="00AD7B44"/>
    <w:rsid w:val="00AD7BD9"/>
    <w:rsid w:val="00AD7C86"/>
    <w:rsid w:val="00AD7C8A"/>
    <w:rsid w:val="00AD7CB3"/>
    <w:rsid w:val="00AD7CFA"/>
    <w:rsid w:val="00AD7E2C"/>
    <w:rsid w:val="00AD7EA5"/>
    <w:rsid w:val="00AD7F15"/>
    <w:rsid w:val="00AD7F5D"/>
    <w:rsid w:val="00AD7FB9"/>
    <w:rsid w:val="00AD7FE3"/>
    <w:rsid w:val="00AE002F"/>
    <w:rsid w:val="00AE00BB"/>
    <w:rsid w:val="00AE0133"/>
    <w:rsid w:val="00AE01AD"/>
    <w:rsid w:val="00AE02C5"/>
    <w:rsid w:val="00AE02FE"/>
    <w:rsid w:val="00AE0348"/>
    <w:rsid w:val="00AE043D"/>
    <w:rsid w:val="00AE0471"/>
    <w:rsid w:val="00AE047B"/>
    <w:rsid w:val="00AE05F9"/>
    <w:rsid w:val="00AE05FC"/>
    <w:rsid w:val="00AE0663"/>
    <w:rsid w:val="00AE0678"/>
    <w:rsid w:val="00AE0772"/>
    <w:rsid w:val="00AE07A7"/>
    <w:rsid w:val="00AE07D4"/>
    <w:rsid w:val="00AE0823"/>
    <w:rsid w:val="00AE0826"/>
    <w:rsid w:val="00AE089A"/>
    <w:rsid w:val="00AE0962"/>
    <w:rsid w:val="00AE0984"/>
    <w:rsid w:val="00AE09C4"/>
    <w:rsid w:val="00AE0A4B"/>
    <w:rsid w:val="00AE0B56"/>
    <w:rsid w:val="00AE0B5A"/>
    <w:rsid w:val="00AE0BA2"/>
    <w:rsid w:val="00AE0CCE"/>
    <w:rsid w:val="00AE0CD8"/>
    <w:rsid w:val="00AE0D10"/>
    <w:rsid w:val="00AE0D1A"/>
    <w:rsid w:val="00AE0D6B"/>
    <w:rsid w:val="00AE0DCE"/>
    <w:rsid w:val="00AE0DD2"/>
    <w:rsid w:val="00AE0E9C"/>
    <w:rsid w:val="00AE0EF1"/>
    <w:rsid w:val="00AE0F0D"/>
    <w:rsid w:val="00AE0F10"/>
    <w:rsid w:val="00AE0F41"/>
    <w:rsid w:val="00AE0F7D"/>
    <w:rsid w:val="00AE0FB6"/>
    <w:rsid w:val="00AE1014"/>
    <w:rsid w:val="00AE103C"/>
    <w:rsid w:val="00AE10E7"/>
    <w:rsid w:val="00AE111B"/>
    <w:rsid w:val="00AE114E"/>
    <w:rsid w:val="00AE11A9"/>
    <w:rsid w:val="00AE11BF"/>
    <w:rsid w:val="00AE121A"/>
    <w:rsid w:val="00AE12E2"/>
    <w:rsid w:val="00AE12E8"/>
    <w:rsid w:val="00AE1300"/>
    <w:rsid w:val="00AE1385"/>
    <w:rsid w:val="00AE1389"/>
    <w:rsid w:val="00AE1416"/>
    <w:rsid w:val="00AE14A2"/>
    <w:rsid w:val="00AE1525"/>
    <w:rsid w:val="00AE1575"/>
    <w:rsid w:val="00AE1654"/>
    <w:rsid w:val="00AE1670"/>
    <w:rsid w:val="00AE16EF"/>
    <w:rsid w:val="00AE1740"/>
    <w:rsid w:val="00AE1789"/>
    <w:rsid w:val="00AE1801"/>
    <w:rsid w:val="00AE18D6"/>
    <w:rsid w:val="00AE1919"/>
    <w:rsid w:val="00AE1A66"/>
    <w:rsid w:val="00AE1AAE"/>
    <w:rsid w:val="00AE1ADD"/>
    <w:rsid w:val="00AE1B12"/>
    <w:rsid w:val="00AE1B52"/>
    <w:rsid w:val="00AE1BAC"/>
    <w:rsid w:val="00AE1BAE"/>
    <w:rsid w:val="00AE1BF9"/>
    <w:rsid w:val="00AE1C5E"/>
    <w:rsid w:val="00AE1D07"/>
    <w:rsid w:val="00AE1D21"/>
    <w:rsid w:val="00AE1DE6"/>
    <w:rsid w:val="00AE1E0D"/>
    <w:rsid w:val="00AE1E39"/>
    <w:rsid w:val="00AE1E45"/>
    <w:rsid w:val="00AE1EA9"/>
    <w:rsid w:val="00AE1F5E"/>
    <w:rsid w:val="00AE2033"/>
    <w:rsid w:val="00AE207E"/>
    <w:rsid w:val="00AE2193"/>
    <w:rsid w:val="00AE21F6"/>
    <w:rsid w:val="00AE2209"/>
    <w:rsid w:val="00AE221F"/>
    <w:rsid w:val="00AE22AC"/>
    <w:rsid w:val="00AE22F5"/>
    <w:rsid w:val="00AE2306"/>
    <w:rsid w:val="00AE2309"/>
    <w:rsid w:val="00AE230A"/>
    <w:rsid w:val="00AE2399"/>
    <w:rsid w:val="00AE23F5"/>
    <w:rsid w:val="00AE2431"/>
    <w:rsid w:val="00AE2489"/>
    <w:rsid w:val="00AE24A1"/>
    <w:rsid w:val="00AE24AA"/>
    <w:rsid w:val="00AE252B"/>
    <w:rsid w:val="00AE253A"/>
    <w:rsid w:val="00AE254B"/>
    <w:rsid w:val="00AE2563"/>
    <w:rsid w:val="00AE257E"/>
    <w:rsid w:val="00AE2588"/>
    <w:rsid w:val="00AE25B1"/>
    <w:rsid w:val="00AE262C"/>
    <w:rsid w:val="00AE2647"/>
    <w:rsid w:val="00AE280C"/>
    <w:rsid w:val="00AE2834"/>
    <w:rsid w:val="00AE289C"/>
    <w:rsid w:val="00AE2920"/>
    <w:rsid w:val="00AE2937"/>
    <w:rsid w:val="00AE295D"/>
    <w:rsid w:val="00AE2982"/>
    <w:rsid w:val="00AE29AF"/>
    <w:rsid w:val="00AE29B4"/>
    <w:rsid w:val="00AE29C8"/>
    <w:rsid w:val="00AE29C9"/>
    <w:rsid w:val="00AE2A1B"/>
    <w:rsid w:val="00AE2A22"/>
    <w:rsid w:val="00AE2A9D"/>
    <w:rsid w:val="00AE2AFB"/>
    <w:rsid w:val="00AE2B6B"/>
    <w:rsid w:val="00AE2B77"/>
    <w:rsid w:val="00AE2B82"/>
    <w:rsid w:val="00AE2C31"/>
    <w:rsid w:val="00AE2C32"/>
    <w:rsid w:val="00AE2C96"/>
    <w:rsid w:val="00AE2CD5"/>
    <w:rsid w:val="00AE2CEB"/>
    <w:rsid w:val="00AE2D37"/>
    <w:rsid w:val="00AE2D78"/>
    <w:rsid w:val="00AE2D83"/>
    <w:rsid w:val="00AE2E2E"/>
    <w:rsid w:val="00AE2EC4"/>
    <w:rsid w:val="00AE2F1E"/>
    <w:rsid w:val="00AE2F93"/>
    <w:rsid w:val="00AE2FCD"/>
    <w:rsid w:val="00AE2FDA"/>
    <w:rsid w:val="00AE2FE8"/>
    <w:rsid w:val="00AE2FF3"/>
    <w:rsid w:val="00AE2FFE"/>
    <w:rsid w:val="00AE30DE"/>
    <w:rsid w:val="00AE3112"/>
    <w:rsid w:val="00AE3164"/>
    <w:rsid w:val="00AE31AA"/>
    <w:rsid w:val="00AE31C1"/>
    <w:rsid w:val="00AE31D8"/>
    <w:rsid w:val="00AE323B"/>
    <w:rsid w:val="00AE32C5"/>
    <w:rsid w:val="00AE32CE"/>
    <w:rsid w:val="00AE3310"/>
    <w:rsid w:val="00AE335D"/>
    <w:rsid w:val="00AE3388"/>
    <w:rsid w:val="00AE33C9"/>
    <w:rsid w:val="00AE3452"/>
    <w:rsid w:val="00AE3457"/>
    <w:rsid w:val="00AE348A"/>
    <w:rsid w:val="00AE34B2"/>
    <w:rsid w:val="00AE3539"/>
    <w:rsid w:val="00AE35B4"/>
    <w:rsid w:val="00AE361B"/>
    <w:rsid w:val="00AE3651"/>
    <w:rsid w:val="00AE36CE"/>
    <w:rsid w:val="00AE371D"/>
    <w:rsid w:val="00AE3738"/>
    <w:rsid w:val="00AE395E"/>
    <w:rsid w:val="00AE3AD8"/>
    <w:rsid w:val="00AE3BD5"/>
    <w:rsid w:val="00AE3C34"/>
    <w:rsid w:val="00AE3C3D"/>
    <w:rsid w:val="00AE3C58"/>
    <w:rsid w:val="00AE3C9D"/>
    <w:rsid w:val="00AE3D50"/>
    <w:rsid w:val="00AE3D77"/>
    <w:rsid w:val="00AE3D9F"/>
    <w:rsid w:val="00AE3DA7"/>
    <w:rsid w:val="00AE3DFE"/>
    <w:rsid w:val="00AE3E82"/>
    <w:rsid w:val="00AE3F18"/>
    <w:rsid w:val="00AE4007"/>
    <w:rsid w:val="00AE4013"/>
    <w:rsid w:val="00AE4046"/>
    <w:rsid w:val="00AE4056"/>
    <w:rsid w:val="00AE4062"/>
    <w:rsid w:val="00AE411E"/>
    <w:rsid w:val="00AE4152"/>
    <w:rsid w:val="00AE428F"/>
    <w:rsid w:val="00AE4293"/>
    <w:rsid w:val="00AE4325"/>
    <w:rsid w:val="00AE4514"/>
    <w:rsid w:val="00AE4533"/>
    <w:rsid w:val="00AE453D"/>
    <w:rsid w:val="00AE459E"/>
    <w:rsid w:val="00AE45AE"/>
    <w:rsid w:val="00AE4651"/>
    <w:rsid w:val="00AE4653"/>
    <w:rsid w:val="00AE46C7"/>
    <w:rsid w:val="00AE470C"/>
    <w:rsid w:val="00AE4798"/>
    <w:rsid w:val="00AE4812"/>
    <w:rsid w:val="00AE4822"/>
    <w:rsid w:val="00AE4857"/>
    <w:rsid w:val="00AE4901"/>
    <w:rsid w:val="00AE4903"/>
    <w:rsid w:val="00AE492E"/>
    <w:rsid w:val="00AE4946"/>
    <w:rsid w:val="00AE496D"/>
    <w:rsid w:val="00AE49AE"/>
    <w:rsid w:val="00AE49C6"/>
    <w:rsid w:val="00AE49EF"/>
    <w:rsid w:val="00AE4A5B"/>
    <w:rsid w:val="00AE4AF7"/>
    <w:rsid w:val="00AE4C91"/>
    <w:rsid w:val="00AE4E68"/>
    <w:rsid w:val="00AE4E90"/>
    <w:rsid w:val="00AE4E93"/>
    <w:rsid w:val="00AE4ECD"/>
    <w:rsid w:val="00AE4F24"/>
    <w:rsid w:val="00AE4F45"/>
    <w:rsid w:val="00AE4FB3"/>
    <w:rsid w:val="00AE51C7"/>
    <w:rsid w:val="00AE5208"/>
    <w:rsid w:val="00AE5255"/>
    <w:rsid w:val="00AE525C"/>
    <w:rsid w:val="00AE5291"/>
    <w:rsid w:val="00AE532D"/>
    <w:rsid w:val="00AE533F"/>
    <w:rsid w:val="00AE53F2"/>
    <w:rsid w:val="00AE53F7"/>
    <w:rsid w:val="00AE542F"/>
    <w:rsid w:val="00AE54B0"/>
    <w:rsid w:val="00AE54F6"/>
    <w:rsid w:val="00AE559A"/>
    <w:rsid w:val="00AE55BA"/>
    <w:rsid w:val="00AE56D9"/>
    <w:rsid w:val="00AE572D"/>
    <w:rsid w:val="00AE57B9"/>
    <w:rsid w:val="00AE5857"/>
    <w:rsid w:val="00AE5895"/>
    <w:rsid w:val="00AE58F6"/>
    <w:rsid w:val="00AE592B"/>
    <w:rsid w:val="00AE5938"/>
    <w:rsid w:val="00AE5943"/>
    <w:rsid w:val="00AE5944"/>
    <w:rsid w:val="00AE5A2D"/>
    <w:rsid w:val="00AE5AAD"/>
    <w:rsid w:val="00AE5AFE"/>
    <w:rsid w:val="00AE5B17"/>
    <w:rsid w:val="00AE5B22"/>
    <w:rsid w:val="00AE5BCF"/>
    <w:rsid w:val="00AE5BDB"/>
    <w:rsid w:val="00AE5CB1"/>
    <w:rsid w:val="00AE5DEC"/>
    <w:rsid w:val="00AE5E91"/>
    <w:rsid w:val="00AE5EB2"/>
    <w:rsid w:val="00AE5EE8"/>
    <w:rsid w:val="00AE5F06"/>
    <w:rsid w:val="00AE5F0D"/>
    <w:rsid w:val="00AE5FB6"/>
    <w:rsid w:val="00AE5FCD"/>
    <w:rsid w:val="00AE61DD"/>
    <w:rsid w:val="00AE61F8"/>
    <w:rsid w:val="00AE622A"/>
    <w:rsid w:val="00AE622F"/>
    <w:rsid w:val="00AE623B"/>
    <w:rsid w:val="00AE629A"/>
    <w:rsid w:val="00AE6340"/>
    <w:rsid w:val="00AE6442"/>
    <w:rsid w:val="00AE64C2"/>
    <w:rsid w:val="00AE64C6"/>
    <w:rsid w:val="00AE64D6"/>
    <w:rsid w:val="00AE657A"/>
    <w:rsid w:val="00AE66F3"/>
    <w:rsid w:val="00AE671F"/>
    <w:rsid w:val="00AE674E"/>
    <w:rsid w:val="00AE6772"/>
    <w:rsid w:val="00AE68DE"/>
    <w:rsid w:val="00AE6905"/>
    <w:rsid w:val="00AE6919"/>
    <w:rsid w:val="00AE692C"/>
    <w:rsid w:val="00AE693F"/>
    <w:rsid w:val="00AE6952"/>
    <w:rsid w:val="00AE6992"/>
    <w:rsid w:val="00AE69A8"/>
    <w:rsid w:val="00AE69D3"/>
    <w:rsid w:val="00AE69FC"/>
    <w:rsid w:val="00AE6ADA"/>
    <w:rsid w:val="00AE6ADC"/>
    <w:rsid w:val="00AE6AE4"/>
    <w:rsid w:val="00AE6AFB"/>
    <w:rsid w:val="00AE6B13"/>
    <w:rsid w:val="00AE6B52"/>
    <w:rsid w:val="00AE6C71"/>
    <w:rsid w:val="00AE6D94"/>
    <w:rsid w:val="00AE6DDB"/>
    <w:rsid w:val="00AE6DFA"/>
    <w:rsid w:val="00AE6E6B"/>
    <w:rsid w:val="00AE6EF0"/>
    <w:rsid w:val="00AE6F14"/>
    <w:rsid w:val="00AE6F73"/>
    <w:rsid w:val="00AE6F9C"/>
    <w:rsid w:val="00AE6FAA"/>
    <w:rsid w:val="00AE6FC8"/>
    <w:rsid w:val="00AE7036"/>
    <w:rsid w:val="00AE70C4"/>
    <w:rsid w:val="00AE70CB"/>
    <w:rsid w:val="00AE70F7"/>
    <w:rsid w:val="00AE712C"/>
    <w:rsid w:val="00AE7187"/>
    <w:rsid w:val="00AE718C"/>
    <w:rsid w:val="00AE71D5"/>
    <w:rsid w:val="00AE7205"/>
    <w:rsid w:val="00AE7208"/>
    <w:rsid w:val="00AE7254"/>
    <w:rsid w:val="00AE725B"/>
    <w:rsid w:val="00AE7315"/>
    <w:rsid w:val="00AE7399"/>
    <w:rsid w:val="00AE73EA"/>
    <w:rsid w:val="00AE73F6"/>
    <w:rsid w:val="00AE7424"/>
    <w:rsid w:val="00AE7466"/>
    <w:rsid w:val="00AE74A6"/>
    <w:rsid w:val="00AE754A"/>
    <w:rsid w:val="00AE759D"/>
    <w:rsid w:val="00AE7619"/>
    <w:rsid w:val="00AE76DF"/>
    <w:rsid w:val="00AE77C6"/>
    <w:rsid w:val="00AE7801"/>
    <w:rsid w:val="00AE7863"/>
    <w:rsid w:val="00AE788E"/>
    <w:rsid w:val="00AE79F6"/>
    <w:rsid w:val="00AE79FB"/>
    <w:rsid w:val="00AE7A08"/>
    <w:rsid w:val="00AE7A2D"/>
    <w:rsid w:val="00AE7A5A"/>
    <w:rsid w:val="00AE7A85"/>
    <w:rsid w:val="00AE7AB4"/>
    <w:rsid w:val="00AE7B2C"/>
    <w:rsid w:val="00AE7B61"/>
    <w:rsid w:val="00AE7BA6"/>
    <w:rsid w:val="00AE7C2C"/>
    <w:rsid w:val="00AE7C39"/>
    <w:rsid w:val="00AE7C82"/>
    <w:rsid w:val="00AE7C85"/>
    <w:rsid w:val="00AE7C92"/>
    <w:rsid w:val="00AE7CCC"/>
    <w:rsid w:val="00AE7D20"/>
    <w:rsid w:val="00AE7D41"/>
    <w:rsid w:val="00AE7DA8"/>
    <w:rsid w:val="00AE7DF1"/>
    <w:rsid w:val="00AE7E3B"/>
    <w:rsid w:val="00AE7E3F"/>
    <w:rsid w:val="00AE7EE9"/>
    <w:rsid w:val="00AE7FC6"/>
    <w:rsid w:val="00AF0093"/>
    <w:rsid w:val="00AF00DD"/>
    <w:rsid w:val="00AF0176"/>
    <w:rsid w:val="00AF0229"/>
    <w:rsid w:val="00AF0239"/>
    <w:rsid w:val="00AF0276"/>
    <w:rsid w:val="00AF0293"/>
    <w:rsid w:val="00AF02A6"/>
    <w:rsid w:val="00AF02B1"/>
    <w:rsid w:val="00AF02ED"/>
    <w:rsid w:val="00AF0336"/>
    <w:rsid w:val="00AF0342"/>
    <w:rsid w:val="00AF035F"/>
    <w:rsid w:val="00AF03AF"/>
    <w:rsid w:val="00AF03B5"/>
    <w:rsid w:val="00AF0430"/>
    <w:rsid w:val="00AF0501"/>
    <w:rsid w:val="00AF0711"/>
    <w:rsid w:val="00AF079A"/>
    <w:rsid w:val="00AF07CC"/>
    <w:rsid w:val="00AF081D"/>
    <w:rsid w:val="00AF086C"/>
    <w:rsid w:val="00AF0893"/>
    <w:rsid w:val="00AF08AF"/>
    <w:rsid w:val="00AF08C3"/>
    <w:rsid w:val="00AF0939"/>
    <w:rsid w:val="00AF09D3"/>
    <w:rsid w:val="00AF09F5"/>
    <w:rsid w:val="00AF0A0C"/>
    <w:rsid w:val="00AF0A0D"/>
    <w:rsid w:val="00AF0A4C"/>
    <w:rsid w:val="00AF0A8E"/>
    <w:rsid w:val="00AF0B40"/>
    <w:rsid w:val="00AF0B9E"/>
    <w:rsid w:val="00AF0BBA"/>
    <w:rsid w:val="00AF0BC7"/>
    <w:rsid w:val="00AF0BE1"/>
    <w:rsid w:val="00AF0BFA"/>
    <w:rsid w:val="00AF0C73"/>
    <w:rsid w:val="00AF0C97"/>
    <w:rsid w:val="00AF0CA6"/>
    <w:rsid w:val="00AF0D56"/>
    <w:rsid w:val="00AF0D92"/>
    <w:rsid w:val="00AF0E36"/>
    <w:rsid w:val="00AF0F2D"/>
    <w:rsid w:val="00AF0F33"/>
    <w:rsid w:val="00AF0F44"/>
    <w:rsid w:val="00AF0F4D"/>
    <w:rsid w:val="00AF0F68"/>
    <w:rsid w:val="00AF0FB5"/>
    <w:rsid w:val="00AF0FE8"/>
    <w:rsid w:val="00AF0FEE"/>
    <w:rsid w:val="00AF10C0"/>
    <w:rsid w:val="00AF115B"/>
    <w:rsid w:val="00AF11F3"/>
    <w:rsid w:val="00AF125E"/>
    <w:rsid w:val="00AF127E"/>
    <w:rsid w:val="00AF12A7"/>
    <w:rsid w:val="00AF12D4"/>
    <w:rsid w:val="00AF12E2"/>
    <w:rsid w:val="00AF12F3"/>
    <w:rsid w:val="00AF13DB"/>
    <w:rsid w:val="00AF1453"/>
    <w:rsid w:val="00AF1490"/>
    <w:rsid w:val="00AF14BB"/>
    <w:rsid w:val="00AF14C7"/>
    <w:rsid w:val="00AF1561"/>
    <w:rsid w:val="00AF15CF"/>
    <w:rsid w:val="00AF1691"/>
    <w:rsid w:val="00AF16DD"/>
    <w:rsid w:val="00AF1720"/>
    <w:rsid w:val="00AF172C"/>
    <w:rsid w:val="00AF1740"/>
    <w:rsid w:val="00AF1780"/>
    <w:rsid w:val="00AF17CF"/>
    <w:rsid w:val="00AF1816"/>
    <w:rsid w:val="00AF1849"/>
    <w:rsid w:val="00AF19D5"/>
    <w:rsid w:val="00AF1A0C"/>
    <w:rsid w:val="00AF1B79"/>
    <w:rsid w:val="00AF1BA0"/>
    <w:rsid w:val="00AF1BFE"/>
    <w:rsid w:val="00AF1C5C"/>
    <w:rsid w:val="00AF1CBC"/>
    <w:rsid w:val="00AF1DC9"/>
    <w:rsid w:val="00AF1E15"/>
    <w:rsid w:val="00AF1E16"/>
    <w:rsid w:val="00AF1E6B"/>
    <w:rsid w:val="00AF1EA0"/>
    <w:rsid w:val="00AF1ED6"/>
    <w:rsid w:val="00AF1EDF"/>
    <w:rsid w:val="00AF1EFC"/>
    <w:rsid w:val="00AF1F6C"/>
    <w:rsid w:val="00AF201C"/>
    <w:rsid w:val="00AF202C"/>
    <w:rsid w:val="00AF2145"/>
    <w:rsid w:val="00AF21F3"/>
    <w:rsid w:val="00AF2225"/>
    <w:rsid w:val="00AF22AB"/>
    <w:rsid w:val="00AF22B6"/>
    <w:rsid w:val="00AF22ED"/>
    <w:rsid w:val="00AF2312"/>
    <w:rsid w:val="00AF23B6"/>
    <w:rsid w:val="00AF23C3"/>
    <w:rsid w:val="00AF23C7"/>
    <w:rsid w:val="00AF23E4"/>
    <w:rsid w:val="00AF24BE"/>
    <w:rsid w:val="00AF24CD"/>
    <w:rsid w:val="00AF2520"/>
    <w:rsid w:val="00AF255A"/>
    <w:rsid w:val="00AF2620"/>
    <w:rsid w:val="00AF262D"/>
    <w:rsid w:val="00AF2694"/>
    <w:rsid w:val="00AF26A0"/>
    <w:rsid w:val="00AF270B"/>
    <w:rsid w:val="00AF2738"/>
    <w:rsid w:val="00AF273C"/>
    <w:rsid w:val="00AF27A0"/>
    <w:rsid w:val="00AF2997"/>
    <w:rsid w:val="00AF29A5"/>
    <w:rsid w:val="00AF29BF"/>
    <w:rsid w:val="00AF2B99"/>
    <w:rsid w:val="00AF2C83"/>
    <w:rsid w:val="00AF2C8E"/>
    <w:rsid w:val="00AF2CB4"/>
    <w:rsid w:val="00AF2CD6"/>
    <w:rsid w:val="00AF2D0E"/>
    <w:rsid w:val="00AF2DCE"/>
    <w:rsid w:val="00AF2DF3"/>
    <w:rsid w:val="00AF2E28"/>
    <w:rsid w:val="00AF2E47"/>
    <w:rsid w:val="00AF2EA7"/>
    <w:rsid w:val="00AF2ED0"/>
    <w:rsid w:val="00AF2EDC"/>
    <w:rsid w:val="00AF2F1B"/>
    <w:rsid w:val="00AF2F4B"/>
    <w:rsid w:val="00AF2F9D"/>
    <w:rsid w:val="00AF2FDB"/>
    <w:rsid w:val="00AF30D1"/>
    <w:rsid w:val="00AF30DD"/>
    <w:rsid w:val="00AF30E0"/>
    <w:rsid w:val="00AF313D"/>
    <w:rsid w:val="00AF324B"/>
    <w:rsid w:val="00AF3381"/>
    <w:rsid w:val="00AF339C"/>
    <w:rsid w:val="00AF3464"/>
    <w:rsid w:val="00AF3492"/>
    <w:rsid w:val="00AF3495"/>
    <w:rsid w:val="00AF34B4"/>
    <w:rsid w:val="00AF3591"/>
    <w:rsid w:val="00AF35E0"/>
    <w:rsid w:val="00AF3643"/>
    <w:rsid w:val="00AF36C3"/>
    <w:rsid w:val="00AF36EB"/>
    <w:rsid w:val="00AF37F3"/>
    <w:rsid w:val="00AF3824"/>
    <w:rsid w:val="00AF3834"/>
    <w:rsid w:val="00AF386B"/>
    <w:rsid w:val="00AF395D"/>
    <w:rsid w:val="00AF3960"/>
    <w:rsid w:val="00AF39BC"/>
    <w:rsid w:val="00AF39C7"/>
    <w:rsid w:val="00AF3AC8"/>
    <w:rsid w:val="00AF3B4C"/>
    <w:rsid w:val="00AF3B5D"/>
    <w:rsid w:val="00AF3B64"/>
    <w:rsid w:val="00AF3B95"/>
    <w:rsid w:val="00AF3BC3"/>
    <w:rsid w:val="00AF3C53"/>
    <w:rsid w:val="00AF3CF2"/>
    <w:rsid w:val="00AF3D88"/>
    <w:rsid w:val="00AF3DA5"/>
    <w:rsid w:val="00AF3DE6"/>
    <w:rsid w:val="00AF3E8D"/>
    <w:rsid w:val="00AF3FA3"/>
    <w:rsid w:val="00AF3FB9"/>
    <w:rsid w:val="00AF3FD6"/>
    <w:rsid w:val="00AF3FD9"/>
    <w:rsid w:val="00AF4086"/>
    <w:rsid w:val="00AF40AD"/>
    <w:rsid w:val="00AF4125"/>
    <w:rsid w:val="00AF4187"/>
    <w:rsid w:val="00AF41B3"/>
    <w:rsid w:val="00AF422A"/>
    <w:rsid w:val="00AF431D"/>
    <w:rsid w:val="00AF43B2"/>
    <w:rsid w:val="00AF4409"/>
    <w:rsid w:val="00AF4439"/>
    <w:rsid w:val="00AF44C5"/>
    <w:rsid w:val="00AF44FE"/>
    <w:rsid w:val="00AF454C"/>
    <w:rsid w:val="00AF4577"/>
    <w:rsid w:val="00AF463E"/>
    <w:rsid w:val="00AF468D"/>
    <w:rsid w:val="00AF46A2"/>
    <w:rsid w:val="00AF472A"/>
    <w:rsid w:val="00AF4736"/>
    <w:rsid w:val="00AF4775"/>
    <w:rsid w:val="00AF4874"/>
    <w:rsid w:val="00AF4915"/>
    <w:rsid w:val="00AF4918"/>
    <w:rsid w:val="00AF496C"/>
    <w:rsid w:val="00AF498D"/>
    <w:rsid w:val="00AF4A11"/>
    <w:rsid w:val="00AF4A12"/>
    <w:rsid w:val="00AF4A9B"/>
    <w:rsid w:val="00AF4B2A"/>
    <w:rsid w:val="00AF4B67"/>
    <w:rsid w:val="00AF4B6C"/>
    <w:rsid w:val="00AF4C35"/>
    <w:rsid w:val="00AF4D23"/>
    <w:rsid w:val="00AF4D6A"/>
    <w:rsid w:val="00AF4DA7"/>
    <w:rsid w:val="00AF4E3A"/>
    <w:rsid w:val="00AF4E63"/>
    <w:rsid w:val="00AF4FA4"/>
    <w:rsid w:val="00AF5034"/>
    <w:rsid w:val="00AF5063"/>
    <w:rsid w:val="00AF506D"/>
    <w:rsid w:val="00AF50E4"/>
    <w:rsid w:val="00AF5110"/>
    <w:rsid w:val="00AF5140"/>
    <w:rsid w:val="00AF5149"/>
    <w:rsid w:val="00AF51EB"/>
    <w:rsid w:val="00AF5255"/>
    <w:rsid w:val="00AF525E"/>
    <w:rsid w:val="00AF529F"/>
    <w:rsid w:val="00AF5397"/>
    <w:rsid w:val="00AF53AA"/>
    <w:rsid w:val="00AF53D7"/>
    <w:rsid w:val="00AF5400"/>
    <w:rsid w:val="00AF5459"/>
    <w:rsid w:val="00AF554D"/>
    <w:rsid w:val="00AF5584"/>
    <w:rsid w:val="00AF5599"/>
    <w:rsid w:val="00AF55F2"/>
    <w:rsid w:val="00AF5600"/>
    <w:rsid w:val="00AF5616"/>
    <w:rsid w:val="00AF5643"/>
    <w:rsid w:val="00AF5676"/>
    <w:rsid w:val="00AF56C0"/>
    <w:rsid w:val="00AF56F3"/>
    <w:rsid w:val="00AF5763"/>
    <w:rsid w:val="00AF577F"/>
    <w:rsid w:val="00AF57E5"/>
    <w:rsid w:val="00AF5898"/>
    <w:rsid w:val="00AF5903"/>
    <w:rsid w:val="00AF5939"/>
    <w:rsid w:val="00AF5978"/>
    <w:rsid w:val="00AF5A01"/>
    <w:rsid w:val="00AF5A1E"/>
    <w:rsid w:val="00AF5AB2"/>
    <w:rsid w:val="00AF5AB7"/>
    <w:rsid w:val="00AF5AEE"/>
    <w:rsid w:val="00AF5B5E"/>
    <w:rsid w:val="00AF5B9D"/>
    <w:rsid w:val="00AF5BE3"/>
    <w:rsid w:val="00AF5BF0"/>
    <w:rsid w:val="00AF5C54"/>
    <w:rsid w:val="00AF5C67"/>
    <w:rsid w:val="00AF5C6C"/>
    <w:rsid w:val="00AF5D02"/>
    <w:rsid w:val="00AF5D16"/>
    <w:rsid w:val="00AF5D43"/>
    <w:rsid w:val="00AF5DD6"/>
    <w:rsid w:val="00AF5DF3"/>
    <w:rsid w:val="00AF5DFF"/>
    <w:rsid w:val="00AF5E55"/>
    <w:rsid w:val="00AF5E57"/>
    <w:rsid w:val="00AF5EB9"/>
    <w:rsid w:val="00AF5EE6"/>
    <w:rsid w:val="00AF5F03"/>
    <w:rsid w:val="00AF5F8F"/>
    <w:rsid w:val="00AF5FEA"/>
    <w:rsid w:val="00AF6030"/>
    <w:rsid w:val="00AF60CE"/>
    <w:rsid w:val="00AF6171"/>
    <w:rsid w:val="00AF6256"/>
    <w:rsid w:val="00AF62B8"/>
    <w:rsid w:val="00AF62FB"/>
    <w:rsid w:val="00AF635B"/>
    <w:rsid w:val="00AF6383"/>
    <w:rsid w:val="00AF63F5"/>
    <w:rsid w:val="00AF645D"/>
    <w:rsid w:val="00AF64B0"/>
    <w:rsid w:val="00AF6582"/>
    <w:rsid w:val="00AF6631"/>
    <w:rsid w:val="00AF66C3"/>
    <w:rsid w:val="00AF670D"/>
    <w:rsid w:val="00AF6744"/>
    <w:rsid w:val="00AF67A8"/>
    <w:rsid w:val="00AF67DA"/>
    <w:rsid w:val="00AF67E2"/>
    <w:rsid w:val="00AF6842"/>
    <w:rsid w:val="00AF697B"/>
    <w:rsid w:val="00AF6985"/>
    <w:rsid w:val="00AF6994"/>
    <w:rsid w:val="00AF69D4"/>
    <w:rsid w:val="00AF6A7D"/>
    <w:rsid w:val="00AF6AB3"/>
    <w:rsid w:val="00AF6B00"/>
    <w:rsid w:val="00AF6B60"/>
    <w:rsid w:val="00AF6BC9"/>
    <w:rsid w:val="00AF6BFA"/>
    <w:rsid w:val="00AF6C0C"/>
    <w:rsid w:val="00AF6CAC"/>
    <w:rsid w:val="00AF6DD5"/>
    <w:rsid w:val="00AF6E21"/>
    <w:rsid w:val="00AF6E9C"/>
    <w:rsid w:val="00AF6F09"/>
    <w:rsid w:val="00AF6FCA"/>
    <w:rsid w:val="00AF70EA"/>
    <w:rsid w:val="00AF710D"/>
    <w:rsid w:val="00AF7131"/>
    <w:rsid w:val="00AF7132"/>
    <w:rsid w:val="00AF715C"/>
    <w:rsid w:val="00AF723E"/>
    <w:rsid w:val="00AF7257"/>
    <w:rsid w:val="00AF7284"/>
    <w:rsid w:val="00AF72A5"/>
    <w:rsid w:val="00AF72AB"/>
    <w:rsid w:val="00AF72D3"/>
    <w:rsid w:val="00AF72DB"/>
    <w:rsid w:val="00AF72FB"/>
    <w:rsid w:val="00AF7345"/>
    <w:rsid w:val="00AF7383"/>
    <w:rsid w:val="00AF73B6"/>
    <w:rsid w:val="00AF74B0"/>
    <w:rsid w:val="00AF74F3"/>
    <w:rsid w:val="00AF75BB"/>
    <w:rsid w:val="00AF7626"/>
    <w:rsid w:val="00AF763C"/>
    <w:rsid w:val="00AF764D"/>
    <w:rsid w:val="00AF766F"/>
    <w:rsid w:val="00AF7674"/>
    <w:rsid w:val="00AF771E"/>
    <w:rsid w:val="00AF77F7"/>
    <w:rsid w:val="00AF7897"/>
    <w:rsid w:val="00AF798E"/>
    <w:rsid w:val="00AF79D9"/>
    <w:rsid w:val="00AF7A17"/>
    <w:rsid w:val="00AF7A55"/>
    <w:rsid w:val="00AF7A9C"/>
    <w:rsid w:val="00AF7AAA"/>
    <w:rsid w:val="00AF7B2A"/>
    <w:rsid w:val="00AF7B41"/>
    <w:rsid w:val="00AF7B75"/>
    <w:rsid w:val="00AF7B8C"/>
    <w:rsid w:val="00AF7CBA"/>
    <w:rsid w:val="00AF7CCB"/>
    <w:rsid w:val="00AF7D19"/>
    <w:rsid w:val="00AF7D7E"/>
    <w:rsid w:val="00AF7D8D"/>
    <w:rsid w:val="00AF7E62"/>
    <w:rsid w:val="00AF7EC3"/>
    <w:rsid w:val="00AF7EF3"/>
    <w:rsid w:val="00AF7F5D"/>
    <w:rsid w:val="00AF7FAA"/>
    <w:rsid w:val="00B001E3"/>
    <w:rsid w:val="00B00228"/>
    <w:rsid w:val="00B0022F"/>
    <w:rsid w:val="00B0024F"/>
    <w:rsid w:val="00B00251"/>
    <w:rsid w:val="00B002BD"/>
    <w:rsid w:val="00B00342"/>
    <w:rsid w:val="00B00344"/>
    <w:rsid w:val="00B00374"/>
    <w:rsid w:val="00B00541"/>
    <w:rsid w:val="00B00621"/>
    <w:rsid w:val="00B00657"/>
    <w:rsid w:val="00B0067F"/>
    <w:rsid w:val="00B006FD"/>
    <w:rsid w:val="00B0078C"/>
    <w:rsid w:val="00B007F6"/>
    <w:rsid w:val="00B00839"/>
    <w:rsid w:val="00B00840"/>
    <w:rsid w:val="00B008E4"/>
    <w:rsid w:val="00B0098E"/>
    <w:rsid w:val="00B009F6"/>
    <w:rsid w:val="00B00AA1"/>
    <w:rsid w:val="00B00ADA"/>
    <w:rsid w:val="00B00AF7"/>
    <w:rsid w:val="00B00AFA"/>
    <w:rsid w:val="00B00B00"/>
    <w:rsid w:val="00B00B75"/>
    <w:rsid w:val="00B00C24"/>
    <w:rsid w:val="00B00C4B"/>
    <w:rsid w:val="00B00C54"/>
    <w:rsid w:val="00B00C63"/>
    <w:rsid w:val="00B00C79"/>
    <w:rsid w:val="00B00D39"/>
    <w:rsid w:val="00B00DC1"/>
    <w:rsid w:val="00B00DDF"/>
    <w:rsid w:val="00B00E40"/>
    <w:rsid w:val="00B00E6F"/>
    <w:rsid w:val="00B00E7D"/>
    <w:rsid w:val="00B00F1D"/>
    <w:rsid w:val="00B00FD3"/>
    <w:rsid w:val="00B00FE8"/>
    <w:rsid w:val="00B0100C"/>
    <w:rsid w:val="00B0105A"/>
    <w:rsid w:val="00B0105B"/>
    <w:rsid w:val="00B010DD"/>
    <w:rsid w:val="00B0115D"/>
    <w:rsid w:val="00B011C5"/>
    <w:rsid w:val="00B011C7"/>
    <w:rsid w:val="00B01206"/>
    <w:rsid w:val="00B0127A"/>
    <w:rsid w:val="00B01316"/>
    <w:rsid w:val="00B01361"/>
    <w:rsid w:val="00B013A4"/>
    <w:rsid w:val="00B013B8"/>
    <w:rsid w:val="00B01425"/>
    <w:rsid w:val="00B01443"/>
    <w:rsid w:val="00B014AC"/>
    <w:rsid w:val="00B01597"/>
    <w:rsid w:val="00B01605"/>
    <w:rsid w:val="00B0160F"/>
    <w:rsid w:val="00B01644"/>
    <w:rsid w:val="00B016FE"/>
    <w:rsid w:val="00B01780"/>
    <w:rsid w:val="00B01859"/>
    <w:rsid w:val="00B0186F"/>
    <w:rsid w:val="00B01883"/>
    <w:rsid w:val="00B018A3"/>
    <w:rsid w:val="00B018E3"/>
    <w:rsid w:val="00B01A0A"/>
    <w:rsid w:val="00B01A3C"/>
    <w:rsid w:val="00B01A54"/>
    <w:rsid w:val="00B01AC2"/>
    <w:rsid w:val="00B01AEE"/>
    <w:rsid w:val="00B01B32"/>
    <w:rsid w:val="00B01B8E"/>
    <w:rsid w:val="00B01C42"/>
    <w:rsid w:val="00B01D48"/>
    <w:rsid w:val="00B01DF4"/>
    <w:rsid w:val="00B01E21"/>
    <w:rsid w:val="00B01E34"/>
    <w:rsid w:val="00B01E38"/>
    <w:rsid w:val="00B01E39"/>
    <w:rsid w:val="00B01E8A"/>
    <w:rsid w:val="00B01EB7"/>
    <w:rsid w:val="00B01F46"/>
    <w:rsid w:val="00B01F8A"/>
    <w:rsid w:val="00B02029"/>
    <w:rsid w:val="00B0208A"/>
    <w:rsid w:val="00B02288"/>
    <w:rsid w:val="00B022AA"/>
    <w:rsid w:val="00B022E1"/>
    <w:rsid w:val="00B02458"/>
    <w:rsid w:val="00B024E4"/>
    <w:rsid w:val="00B0253F"/>
    <w:rsid w:val="00B02541"/>
    <w:rsid w:val="00B025A4"/>
    <w:rsid w:val="00B025B0"/>
    <w:rsid w:val="00B025C9"/>
    <w:rsid w:val="00B025D3"/>
    <w:rsid w:val="00B02604"/>
    <w:rsid w:val="00B02629"/>
    <w:rsid w:val="00B02649"/>
    <w:rsid w:val="00B026F1"/>
    <w:rsid w:val="00B026F4"/>
    <w:rsid w:val="00B0272B"/>
    <w:rsid w:val="00B02785"/>
    <w:rsid w:val="00B02860"/>
    <w:rsid w:val="00B028C5"/>
    <w:rsid w:val="00B028E5"/>
    <w:rsid w:val="00B02932"/>
    <w:rsid w:val="00B02975"/>
    <w:rsid w:val="00B029C5"/>
    <w:rsid w:val="00B02A1D"/>
    <w:rsid w:val="00B02A76"/>
    <w:rsid w:val="00B02A7A"/>
    <w:rsid w:val="00B02AD4"/>
    <w:rsid w:val="00B02AE9"/>
    <w:rsid w:val="00B02B2E"/>
    <w:rsid w:val="00B02B6B"/>
    <w:rsid w:val="00B02BF8"/>
    <w:rsid w:val="00B02C35"/>
    <w:rsid w:val="00B02D13"/>
    <w:rsid w:val="00B02D3C"/>
    <w:rsid w:val="00B02E68"/>
    <w:rsid w:val="00B02E96"/>
    <w:rsid w:val="00B02EC0"/>
    <w:rsid w:val="00B02F3E"/>
    <w:rsid w:val="00B03039"/>
    <w:rsid w:val="00B0305D"/>
    <w:rsid w:val="00B03096"/>
    <w:rsid w:val="00B030CD"/>
    <w:rsid w:val="00B0318C"/>
    <w:rsid w:val="00B031BA"/>
    <w:rsid w:val="00B0329A"/>
    <w:rsid w:val="00B0329B"/>
    <w:rsid w:val="00B0334B"/>
    <w:rsid w:val="00B03387"/>
    <w:rsid w:val="00B033D6"/>
    <w:rsid w:val="00B03420"/>
    <w:rsid w:val="00B03421"/>
    <w:rsid w:val="00B03439"/>
    <w:rsid w:val="00B03458"/>
    <w:rsid w:val="00B0353E"/>
    <w:rsid w:val="00B03563"/>
    <w:rsid w:val="00B035E6"/>
    <w:rsid w:val="00B035F2"/>
    <w:rsid w:val="00B03602"/>
    <w:rsid w:val="00B0360E"/>
    <w:rsid w:val="00B03624"/>
    <w:rsid w:val="00B03674"/>
    <w:rsid w:val="00B03681"/>
    <w:rsid w:val="00B036A3"/>
    <w:rsid w:val="00B036BC"/>
    <w:rsid w:val="00B0387B"/>
    <w:rsid w:val="00B03914"/>
    <w:rsid w:val="00B03AED"/>
    <w:rsid w:val="00B03B5B"/>
    <w:rsid w:val="00B03C38"/>
    <w:rsid w:val="00B03C6E"/>
    <w:rsid w:val="00B03E04"/>
    <w:rsid w:val="00B03E84"/>
    <w:rsid w:val="00B03EC8"/>
    <w:rsid w:val="00B03F01"/>
    <w:rsid w:val="00B04023"/>
    <w:rsid w:val="00B04083"/>
    <w:rsid w:val="00B04097"/>
    <w:rsid w:val="00B040EA"/>
    <w:rsid w:val="00B0414C"/>
    <w:rsid w:val="00B04152"/>
    <w:rsid w:val="00B0419E"/>
    <w:rsid w:val="00B041CA"/>
    <w:rsid w:val="00B041D2"/>
    <w:rsid w:val="00B04216"/>
    <w:rsid w:val="00B04239"/>
    <w:rsid w:val="00B042AF"/>
    <w:rsid w:val="00B042E4"/>
    <w:rsid w:val="00B0431A"/>
    <w:rsid w:val="00B04497"/>
    <w:rsid w:val="00B044B9"/>
    <w:rsid w:val="00B0459E"/>
    <w:rsid w:val="00B045A9"/>
    <w:rsid w:val="00B045CF"/>
    <w:rsid w:val="00B045E9"/>
    <w:rsid w:val="00B046C1"/>
    <w:rsid w:val="00B047C6"/>
    <w:rsid w:val="00B047C9"/>
    <w:rsid w:val="00B047CA"/>
    <w:rsid w:val="00B04800"/>
    <w:rsid w:val="00B04840"/>
    <w:rsid w:val="00B048C6"/>
    <w:rsid w:val="00B048FA"/>
    <w:rsid w:val="00B048FE"/>
    <w:rsid w:val="00B04901"/>
    <w:rsid w:val="00B049E0"/>
    <w:rsid w:val="00B049E1"/>
    <w:rsid w:val="00B04A24"/>
    <w:rsid w:val="00B04ACF"/>
    <w:rsid w:val="00B04B6C"/>
    <w:rsid w:val="00B04C2F"/>
    <w:rsid w:val="00B04C7C"/>
    <w:rsid w:val="00B04D5F"/>
    <w:rsid w:val="00B04DB6"/>
    <w:rsid w:val="00B04E2F"/>
    <w:rsid w:val="00B04EBD"/>
    <w:rsid w:val="00B04EF7"/>
    <w:rsid w:val="00B04F2D"/>
    <w:rsid w:val="00B04F51"/>
    <w:rsid w:val="00B04FC6"/>
    <w:rsid w:val="00B04FF0"/>
    <w:rsid w:val="00B0508B"/>
    <w:rsid w:val="00B050ED"/>
    <w:rsid w:val="00B050FA"/>
    <w:rsid w:val="00B05194"/>
    <w:rsid w:val="00B05203"/>
    <w:rsid w:val="00B05212"/>
    <w:rsid w:val="00B0528E"/>
    <w:rsid w:val="00B052DC"/>
    <w:rsid w:val="00B052F4"/>
    <w:rsid w:val="00B053C4"/>
    <w:rsid w:val="00B0543A"/>
    <w:rsid w:val="00B0545D"/>
    <w:rsid w:val="00B0547A"/>
    <w:rsid w:val="00B0553B"/>
    <w:rsid w:val="00B05772"/>
    <w:rsid w:val="00B057AB"/>
    <w:rsid w:val="00B057D0"/>
    <w:rsid w:val="00B057F1"/>
    <w:rsid w:val="00B057FF"/>
    <w:rsid w:val="00B05852"/>
    <w:rsid w:val="00B05897"/>
    <w:rsid w:val="00B058F6"/>
    <w:rsid w:val="00B05A5B"/>
    <w:rsid w:val="00B05B62"/>
    <w:rsid w:val="00B05B84"/>
    <w:rsid w:val="00B05C52"/>
    <w:rsid w:val="00B05C88"/>
    <w:rsid w:val="00B05CB2"/>
    <w:rsid w:val="00B05CE3"/>
    <w:rsid w:val="00B05D0B"/>
    <w:rsid w:val="00B05D2C"/>
    <w:rsid w:val="00B05DAC"/>
    <w:rsid w:val="00B05DEB"/>
    <w:rsid w:val="00B05E39"/>
    <w:rsid w:val="00B05E6C"/>
    <w:rsid w:val="00B05EB9"/>
    <w:rsid w:val="00B05F0B"/>
    <w:rsid w:val="00B06000"/>
    <w:rsid w:val="00B06105"/>
    <w:rsid w:val="00B0614D"/>
    <w:rsid w:val="00B0619A"/>
    <w:rsid w:val="00B061E7"/>
    <w:rsid w:val="00B06209"/>
    <w:rsid w:val="00B0621B"/>
    <w:rsid w:val="00B062F4"/>
    <w:rsid w:val="00B0635B"/>
    <w:rsid w:val="00B0641E"/>
    <w:rsid w:val="00B06461"/>
    <w:rsid w:val="00B06497"/>
    <w:rsid w:val="00B06523"/>
    <w:rsid w:val="00B066B6"/>
    <w:rsid w:val="00B066D9"/>
    <w:rsid w:val="00B066FB"/>
    <w:rsid w:val="00B0684D"/>
    <w:rsid w:val="00B068F7"/>
    <w:rsid w:val="00B06974"/>
    <w:rsid w:val="00B0698A"/>
    <w:rsid w:val="00B069C3"/>
    <w:rsid w:val="00B06A64"/>
    <w:rsid w:val="00B06AD8"/>
    <w:rsid w:val="00B06BD0"/>
    <w:rsid w:val="00B06C0B"/>
    <w:rsid w:val="00B06C0F"/>
    <w:rsid w:val="00B06C58"/>
    <w:rsid w:val="00B06C6B"/>
    <w:rsid w:val="00B06CB9"/>
    <w:rsid w:val="00B06CCA"/>
    <w:rsid w:val="00B06D59"/>
    <w:rsid w:val="00B06E77"/>
    <w:rsid w:val="00B06F57"/>
    <w:rsid w:val="00B06F64"/>
    <w:rsid w:val="00B0700C"/>
    <w:rsid w:val="00B07074"/>
    <w:rsid w:val="00B070F5"/>
    <w:rsid w:val="00B071AE"/>
    <w:rsid w:val="00B07259"/>
    <w:rsid w:val="00B07274"/>
    <w:rsid w:val="00B07277"/>
    <w:rsid w:val="00B072E9"/>
    <w:rsid w:val="00B07373"/>
    <w:rsid w:val="00B0738C"/>
    <w:rsid w:val="00B073C6"/>
    <w:rsid w:val="00B073D7"/>
    <w:rsid w:val="00B074B2"/>
    <w:rsid w:val="00B07648"/>
    <w:rsid w:val="00B076A9"/>
    <w:rsid w:val="00B076D5"/>
    <w:rsid w:val="00B076DE"/>
    <w:rsid w:val="00B076E3"/>
    <w:rsid w:val="00B07718"/>
    <w:rsid w:val="00B077B6"/>
    <w:rsid w:val="00B077DA"/>
    <w:rsid w:val="00B0783D"/>
    <w:rsid w:val="00B07866"/>
    <w:rsid w:val="00B07881"/>
    <w:rsid w:val="00B079D4"/>
    <w:rsid w:val="00B079DD"/>
    <w:rsid w:val="00B07A3B"/>
    <w:rsid w:val="00B07B2A"/>
    <w:rsid w:val="00B07B7E"/>
    <w:rsid w:val="00B07B8D"/>
    <w:rsid w:val="00B07B98"/>
    <w:rsid w:val="00B07BB8"/>
    <w:rsid w:val="00B07CF8"/>
    <w:rsid w:val="00B07D39"/>
    <w:rsid w:val="00B07D59"/>
    <w:rsid w:val="00B07D98"/>
    <w:rsid w:val="00B07DC1"/>
    <w:rsid w:val="00B07E2D"/>
    <w:rsid w:val="00B07E46"/>
    <w:rsid w:val="00B07E60"/>
    <w:rsid w:val="00B07EBB"/>
    <w:rsid w:val="00B07F5F"/>
    <w:rsid w:val="00B0D8A4"/>
    <w:rsid w:val="00B10037"/>
    <w:rsid w:val="00B1009E"/>
    <w:rsid w:val="00B100BA"/>
    <w:rsid w:val="00B100DF"/>
    <w:rsid w:val="00B10115"/>
    <w:rsid w:val="00B10277"/>
    <w:rsid w:val="00B1027F"/>
    <w:rsid w:val="00B1028C"/>
    <w:rsid w:val="00B102CF"/>
    <w:rsid w:val="00B102E7"/>
    <w:rsid w:val="00B1030A"/>
    <w:rsid w:val="00B10318"/>
    <w:rsid w:val="00B1032E"/>
    <w:rsid w:val="00B1033C"/>
    <w:rsid w:val="00B10368"/>
    <w:rsid w:val="00B1043D"/>
    <w:rsid w:val="00B10486"/>
    <w:rsid w:val="00B10556"/>
    <w:rsid w:val="00B1057C"/>
    <w:rsid w:val="00B105F8"/>
    <w:rsid w:val="00B10608"/>
    <w:rsid w:val="00B10712"/>
    <w:rsid w:val="00B1073E"/>
    <w:rsid w:val="00B10750"/>
    <w:rsid w:val="00B107EC"/>
    <w:rsid w:val="00B10814"/>
    <w:rsid w:val="00B108CB"/>
    <w:rsid w:val="00B108E5"/>
    <w:rsid w:val="00B1093B"/>
    <w:rsid w:val="00B1096F"/>
    <w:rsid w:val="00B109D0"/>
    <w:rsid w:val="00B10ACD"/>
    <w:rsid w:val="00B10B00"/>
    <w:rsid w:val="00B10BCD"/>
    <w:rsid w:val="00B10BD5"/>
    <w:rsid w:val="00B10C07"/>
    <w:rsid w:val="00B10C35"/>
    <w:rsid w:val="00B10CEE"/>
    <w:rsid w:val="00B10D0A"/>
    <w:rsid w:val="00B10D98"/>
    <w:rsid w:val="00B10DC2"/>
    <w:rsid w:val="00B10E21"/>
    <w:rsid w:val="00B10E28"/>
    <w:rsid w:val="00B10E4E"/>
    <w:rsid w:val="00B10E7D"/>
    <w:rsid w:val="00B10ED3"/>
    <w:rsid w:val="00B10ED4"/>
    <w:rsid w:val="00B1101B"/>
    <w:rsid w:val="00B1101D"/>
    <w:rsid w:val="00B110E1"/>
    <w:rsid w:val="00B1112E"/>
    <w:rsid w:val="00B11159"/>
    <w:rsid w:val="00B11275"/>
    <w:rsid w:val="00B11298"/>
    <w:rsid w:val="00B112EC"/>
    <w:rsid w:val="00B11325"/>
    <w:rsid w:val="00B11340"/>
    <w:rsid w:val="00B113CA"/>
    <w:rsid w:val="00B114E6"/>
    <w:rsid w:val="00B114E8"/>
    <w:rsid w:val="00B11521"/>
    <w:rsid w:val="00B115C2"/>
    <w:rsid w:val="00B11624"/>
    <w:rsid w:val="00B116A7"/>
    <w:rsid w:val="00B116FC"/>
    <w:rsid w:val="00B11862"/>
    <w:rsid w:val="00B11873"/>
    <w:rsid w:val="00B118D1"/>
    <w:rsid w:val="00B11919"/>
    <w:rsid w:val="00B1196D"/>
    <w:rsid w:val="00B11979"/>
    <w:rsid w:val="00B11A9A"/>
    <w:rsid w:val="00B11AA6"/>
    <w:rsid w:val="00B11AD2"/>
    <w:rsid w:val="00B11ADA"/>
    <w:rsid w:val="00B11AEE"/>
    <w:rsid w:val="00B11AFD"/>
    <w:rsid w:val="00B11BA7"/>
    <w:rsid w:val="00B11C50"/>
    <w:rsid w:val="00B11C93"/>
    <w:rsid w:val="00B11D0D"/>
    <w:rsid w:val="00B11D35"/>
    <w:rsid w:val="00B11D84"/>
    <w:rsid w:val="00B11D94"/>
    <w:rsid w:val="00B11DE0"/>
    <w:rsid w:val="00B11E08"/>
    <w:rsid w:val="00B11E36"/>
    <w:rsid w:val="00B11E43"/>
    <w:rsid w:val="00B11E63"/>
    <w:rsid w:val="00B11E7F"/>
    <w:rsid w:val="00B11E94"/>
    <w:rsid w:val="00B11EA3"/>
    <w:rsid w:val="00B11EA5"/>
    <w:rsid w:val="00B11F01"/>
    <w:rsid w:val="00B11F60"/>
    <w:rsid w:val="00B12104"/>
    <w:rsid w:val="00B12164"/>
    <w:rsid w:val="00B121BA"/>
    <w:rsid w:val="00B12201"/>
    <w:rsid w:val="00B122F4"/>
    <w:rsid w:val="00B1236E"/>
    <w:rsid w:val="00B12385"/>
    <w:rsid w:val="00B12430"/>
    <w:rsid w:val="00B124BB"/>
    <w:rsid w:val="00B124D8"/>
    <w:rsid w:val="00B124FA"/>
    <w:rsid w:val="00B12531"/>
    <w:rsid w:val="00B12555"/>
    <w:rsid w:val="00B1255D"/>
    <w:rsid w:val="00B125BD"/>
    <w:rsid w:val="00B12626"/>
    <w:rsid w:val="00B1267A"/>
    <w:rsid w:val="00B12686"/>
    <w:rsid w:val="00B12720"/>
    <w:rsid w:val="00B12721"/>
    <w:rsid w:val="00B12768"/>
    <w:rsid w:val="00B127C6"/>
    <w:rsid w:val="00B1281C"/>
    <w:rsid w:val="00B12848"/>
    <w:rsid w:val="00B1288B"/>
    <w:rsid w:val="00B128A6"/>
    <w:rsid w:val="00B12939"/>
    <w:rsid w:val="00B12974"/>
    <w:rsid w:val="00B129DB"/>
    <w:rsid w:val="00B12A22"/>
    <w:rsid w:val="00B12A90"/>
    <w:rsid w:val="00B12AA1"/>
    <w:rsid w:val="00B12B30"/>
    <w:rsid w:val="00B12B81"/>
    <w:rsid w:val="00B12B89"/>
    <w:rsid w:val="00B12B94"/>
    <w:rsid w:val="00B12BBC"/>
    <w:rsid w:val="00B12E16"/>
    <w:rsid w:val="00B12EAA"/>
    <w:rsid w:val="00B12EFC"/>
    <w:rsid w:val="00B12F2C"/>
    <w:rsid w:val="00B12FE5"/>
    <w:rsid w:val="00B1300E"/>
    <w:rsid w:val="00B13092"/>
    <w:rsid w:val="00B13111"/>
    <w:rsid w:val="00B13141"/>
    <w:rsid w:val="00B13202"/>
    <w:rsid w:val="00B13254"/>
    <w:rsid w:val="00B1325B"/>
    <w:rsid w:val="00B1327B"/>
    <w:rsid w:val="00B13290"/>
    <w:rsid w:val="00B1329A"/>
    <w:rsid w:val="00B13340"/>
    <w:rsid w:val="00B13378"/>
    <w:rsid w:val="00B133D0"/>
    <w:rsid w:val="00B133F7"/>
    <w:rsid w:val="00B1349B"/>
    <w:rsid w:val="00B134AD"/>
    <w:rsid w:val="00B135B6"/>
    <w:rsid w:val="00B135EB"/>
    <w:rsid w:val="00B135FE"/>
    <w:rsid w:val="00B1365F"/>
    <w:rsid w:val="00B136B1"/>
    <w:rsid w:val="00B1372E"/>
    <w:rsid w:val="00B1374E"/>
    <w:rsid w:val="00B13772"/>
    <w:rsid w:val="00B137D5"/>
    <w:rsid w:val="00B13807"/>
    <w:rsid w:val="00B13813"/>
    <w:rsid w:val="00B13822"/>
    <w:rsid w:val="00B13833"/>
    <w:rsid w:val="00B138A7"/>
    <w:rsid w:val="00B138B9"/>
    <w:rsid w:val="00B13995"/>
    <w:rsid w:val="00B13A17"/>
    <w:rsid w:val="00B13A88"/>
    <w:rsid w:val="00B13AD0"/>
    <w:rsid w:val="00B13B00"/>
    <w:rsid w:val="00B13B37"/>
    <w:rsid w:val="00B13BAC"/>
    <w:rsid w:val="00B13C7F"/>
    <w:rsid w:val="00B13C81"/>
    <w:rsid w:val="00B13CB5"/>
    <w:rsid w:val="00B13CB6"/>
    <w:rsid w:val="00B13CEB"/>
    <w:rsid w:val="00B13D20"/>
    <w:rsid w:val="00B13D6C"/>
    <w:rsid w:val="00B13DD9"/>
    <w:rsid w:val="00B13E05"/>
    <w:rsid w:val="00B13E16"/>
    <w:rsid w:val="00B13EBE"/>
    <w:rsid w:val="00B13F26"/>
    <w:rsid w:val="00B13F64"/>
    <w:rsid w:val="00B13FAC"/>
    <w:rsid w:val="00B13FDB"/>
    <w:rsid w:val="00B14027"/>
    <w:rsid w:val="00B14033"/>
    <w:rsid w:val="00B14067"/>
    <w:rsid w:val="00B14075"/>
    <w:rsid w:val="00B14092"/>
    <w:rsid w:val="00B140CB"/>
    <w:rsid w:val="00B14146"/>
    <w:rsid w:val="00B141DB"/>
    <w:rsid w:val="00B14262"/>
    <w:rsid w:val="00B14282"/>
    <w:rsid w:val="00B142AA"/>
    <w:rsid w:val="00B142AD"/>
    <w:rsid w:val="00B14336"/>
    <w:rsid w:val="00B1437C"/>
    <w:rsid w:val="00B143BA"/>
    <w:rsid w:val="00B143E7"/>
    <w:rsid w:val="00B14436"/>
    <w:rsid w:val="00B14484"/>
    <w:rsid w:val="00B144DD"/>
    <w:rsid w:val="00B14553"/>
    <w:rsid w:val="00B1461A"/>
    <w:rsid w:val="00B14623"/>
    <w:rsid w:val="00B1465C"/>
    <w:rsid w:val="00B1477B"/>
    <w:rsid w:val="00B148B0"/>
    <w:rsid w:val="00B14907"/>
    <w:rsid w:val="00B14910"/>
    <w:rsid w:val="00B14936"/>
    <w:rsid w:val="00B14A90"/>
    <w:rsid w:val="00B14AAD"/>
    <w:rsid w:val="00B14ABB"/>
    <w:rsid w:val="00B14B43"/>
    <w:rsid w:val="00B14B52"/>
    <w:rsid w:val="00B14B96"/>
    <w:rsid w:val="00B14BC3"/>
    <w:rsid w:val="00B14BCF"/>
    <w:rsid w:val="00B14C47"/>
    <w:rsid w:val="00B14C76"/>
    <w:rsid w:val="00B14CD0"/>
    <w:rsid w:val="00B14D6B"/>
    <w:rsid w:val="00B14E58"/>
    <w:rsid w:val="00B14E70"/>
    <w:rsid w:val="00B14E79"/>
    <w:rsid w:val="00B14E9A"/>
    <w:rsid w:val="00B14ECD"/>
    <w:rsid w:val="00B14ED2"/>
    <w:rsid w:val="00B14F0D"/>
    <w:rsid w:val="00B14FEC"/>
    <w:rsid w:val="00B15024"/>
    <w:rsid w:val="00B1504C"/>
    <w:rsid w:val="00B150B4"/>
    <w:rsid w:val="00B150CC"/>
    <w:rsid w:val="00B1510F"/>
    <w:rsid w:val="00B15252"/>
    <w:rsid w:val="00B1526E"/>
    <w:rsid w:val="00B152DD"/>
    <w:rsid w:val="00B153DE"/>
    <w:rsid w:val="00B154BA"/>
    <w:rsid w:val="00B1551B"/>
    <w:rsid w:val="00B15521"/>
    <w:rsid w:val="00B1554F"/>
    <w:rsid w:val="00B155B2"/>
    <w:rsid w:val="00B155C2"/>
    <w:rsid w:val="00B15648"/>
    <w:rsid w:val="00B156AE"/>
    <w:rsid w:val="00B156E4"/>
    <w:rsid w:val="00B157FF"/>
    <w:rsid w:val="00B158FB"/>
    <w:rsid w:val="00B15912"/>
    <w:rsid w:val="00B15942"/>
    <w:rsid w:val="00B159A2"/>
    <w:rsid w:val="00B15AD0"/>
    <w:rsid w:val="00B15B8A"/>
    <w:rsid w:val="00B15BC8"/>
    <w:rsid w:val="00B15C82"/>
    <w:rsid w:val="00B15CB5"/>
    <w:rsid w:val="00B15D21"/>
    <w:rsid w:val="00B15DA1"/>
    <w:rsid w:val="00B15DF1"/>
    <w:rsid w:val="00B15E19"/>
    <w:rsid w:val="00B15E5B"/>
    <w:rsid w:val="00B15ED4"/>
    <w:rsid w:val="00B15EE5"/>
    <w:rsid w:val="00B15EF3"/>
    <w:rsid w:val="00B15EFC"/>
    <w:rsid w:val="00B15F22"/>
    <w:rsid w:val="00B15F47"/>
    <w:rsid w:val="00B15FA8"/>
    <w:rsid w:val="00B16039"/>
    <w:rsid w:val="00B160B3"/>
    <w:rsid w:val="00B160E2"/>
    <w:rsid w:val="00B16143"/>
    <w:rsid w:val="00B16230"/>
    <w:rsid w:val="00B1623B"/>
    <w:rsid w:val="00B162FB"/>
    <w:rsid w:val="00B1635E"/>
    <w:rsid w:val="00B16397"/>
    <w:rsid w:val="00B163B0"/>
    <w:rsid w:val="00B163C7"/>
    <w:rsid w:val="00B163FB"/>
    <w:rsid w:val="00B16449"/>
    <w:rsid w:val="00B1649B"/>
    <w:rsid w:val="00B164B7"/>
    <w:rsid w:val="00B164DD"/>
    <w:rsid w:val="00B1652F"/>
    <w:rsid w:val="00B16581"/>
    <w:rsid w:val="00B165CD"/>
    <w:rsid w:val="00B16635"/>
    <w:rsid w:val="00B16636"/>
    <w:rsid w:val="00B16678"/>
    <w:rsid w:val="00B166AB"/>
    <w:rsid w:val="00B166DA"/>
    <w:rsid w:val="00B16720"/>
    <w:rsid w:val="00B1673D"/>
    <w:rsid w:val="00B167F9"/>
    <w:rsid w:val="00B168A7"/>
    <w:rsid w:val="00B16A2D"/>
    <w:rsid w:val="00B16A2E"/>
    <w:rsid w:val="00B16B3C"/>
    <w:rsid w:val="00B16B3D"/>
    <w:rsid w:val="00B16B58"/>
    <w:rsid w:val="00B16B74"/>
    <w:rsid w:val="00B16B8C"/>
    <w:rsid w:val="00B16C0A"/>
    <w:rsid w:val="00B16CB6"/>
    <w:rsid w:val="00B16D60"/>
    <w:rsid w:val="00B170D3"/>
    <w:rsid w:val="00B170D9"/>
    <w:rsid w:val="00B17220"/>
    <w:rsid w:val="00B1738F"/>
    <w:rsid w:val="00B173E1"/>
    <w:rsid w:val="00B17415"/>
    <w:rsid w:val="00B17426"/>
    <w:rsid w:val="00B174C6"/>
    <w:rsid w:val="00B17509"/>
    <w:rsid w:val="00B1751A"/>
    <w:rsid w:val="00B175DE"/>
    <w:rsid w:val="00B17643"/>
    <w:rsid w:val="00B1767C"/>
    <w:rsid w:val="00B17848"/>
    <w:rsid w:val="00B1788E"/>
    <w:rsid w:val="00B1794B"/>
    <w:rsid w:val="00B17967"/>
    <w:rsid w:val="00B17977"/>
    <w:rsid w:val="00B1798E"/>
    <w:rsid w:val="00B17992"/>
    <w:rsid w:val="00B17A7F"/>
    <w:rsid w:val="00B17A99"/>
    <w:rsid w:val="00B17AB0"/>
    <w:rsid w:val="00B17BCB"/>
    <w:rsid w:val="00B17C11"/>
    <w:rsid w:val="00B17CA0"/>
    <w:rsid w:val="00B17CE0"/>
    <w:rsid w:val="00B17D0A"/>
    <w:rsid w:val="00B17D1F"/>
    <w:rsid w:val="00B17D7A"/>
    <w:rsid w:val="00B17DC4"/>
    <w:rsid w:val="00B17E65"/>
    <w:rsid w:val="00B17E9D"/>
    <w:rsid w:val="00B17EC6"/>
    <w:rsid w:val="00B17EEC"/>
    <w:rsid w:val="00B17FBD"/>
    <w:rsid w:val="00B17FDC"/>
    <w:rsid w:val="00B17FF9"/>
    <w:rsid w:val="00B2000A"/>
    <w:rsid w:val="00B2005D"/>
    <w:rsid w:val="00B2009E"/>
    <w:rsid w:val="00B200A0"/>
    <w:rsid w:val="00B200A5"/>
    <w:rsid w:val="00B200CC"/>
    <w:rsid w:val="00B20146"/>
    <w:rsid w:val="00B2017D"/>
    <w:rsid w:val="00B20213"/>
    <w:rsid w:val="00B2028B"/>
    <w:rsid w:val="00B20378"/>
    <w:rsid w:val="00B20385"/>
    <w:rsid w:val="00B203BD"/>
    <w:rsid w:val="00B2043F"/>
    <w:rsid w:val="00B20486"/>
    <w:rsid w:val="00B2048A"/>
    <w:rsid w:val="00B20584"/>
    <w:rsid w:val="00B205BB"/>
    <w:rsid w:val="00B205F0"/>
    <w:rsid w:val="00B205F6"/>
    <w:rsid w:val="00B20612"/>
    <w:rsid w:val="00B20626"/>
    <w:rsid w:val="00B20631"/>
    <w:rsid w:val="00B2067D"/>
    <w:rsid w:val="00B20694"/>
    <w:rsid w:val="00B2071B"/>
    <w:rsid w:val="00B20750"/>
    <w:rsid w:val="00B208EA"/>
    <w:rsid w:val="00B20986"/>
    <w:rsid w:val="00B209E5"/>
    <w:rsid w:val="00B209F2"/>
    <w:rsid w:val="00B20A73"/>
    <w:rsid w:val="00B20A7F"/>
    <w:rsid w:val="00B20AE9"/>
    <w:rsid w:val="00B20B70"/>
    <w:rsid w:val="00B20B86"/>
    <w:rsid w:val="00B20BA7"/>
    <w:rsid w:val="00B20BA9"/>
    <w:rsid w:val="00B20C4C"/>
    <w:rsid w:val="00B20CBC"/>
    <w:rsid w:val="00B20D33"/>
    <w:rsid w:val="00B20DE8"/>
    <w:rsid w:val="00B20E7E"/>
    <w:rsid w:val="00B20EFE"/>
    <w:rsid w:val="00B20F1C"/>
    <w:rsid w:val="00B20F2F"/>
    <w:rsid w:val="00B20F5A"/>
    <w:rsid w:val="00B20F78"/>
    <w:rsid w:val="00B20FEE"/>
    <w:rsid w:val="00B20FFF"/>
    <w:rsid w:val="00B21041"/>
    <w:rsid w:val="00B2104C"/>
    <w:rsid w:val="00B21101"/>
    <w:rsid w:val="00B21147"/>
    <w:rsid w:val="00B21161"/>
    <w:rsid w:val="00B2119E"/>
    <w:rsid w:val="00B21228"/>
    <w:rsid w:val="00B2124D"/>
    <w:rsid w:val="00B21309"/>
    <w:rsid w:val="00B21319"/>
    <w:rsid w:val="00B21371"/>
    <w:rsid w:val="00B21390"/>
    <w:rsid w:val="00B213D4"/>
    <w:rsid w:val="00B21427"/>
    <w:rsid w:val="00B2143B"/>
    <w:rsid w:val="00B21485"/>
    <w:rsid w:val="00B214B2"/>
    <w:rsid w:val="00B214BC"/>
    <w:rsid w:val="00B214BF"/>
    <w:rsid w:val="00B21593"/>
    <w:rsid w:val="00B215F1"/>
    <w:rsid w:val="00B21608"/>
    <w:rsid w:val="00B216AB"/>
    <w:rsid w:val="00B216AC"/>
    <w:rsid w:val="00B216FA"/>
    <w:rsid w:val="00B21708"/>
    <w:rsid w:val="00B21831"/>
    <w:rsid w:val="00B21873"/>
    <w:rsid w:val="00B218C4"/>
    <w:rsid w:val="00B218F8"/>
    <w:rsid w:val="00B2199C"/>
    <w:rsid w:val="00B219F4"/>
    <w:rsid w:val="00B21B0F"/>
    <w:rsid w:val="00B21B58"/>
    <w:rsid w:val="00B21BDA"/>
    <w:rsid w:val="00B21C84"/>
    <w:rsid w:val="00B21D1B"/>
    <w:rsid w:val="00B21D55"/>
    <w:rsid w:val="00B21D98"/>
    <w:rsid w:val="00B21EDD"/>
    <w:rsid w:val="00B21EDE"/>
    <w:rsid w:val="00B21EFA"/>
    <w:rsid w:val="00B21F25"/>
    <w:rsid w:val="00B21F6E"/>
    <w:rsid w:val="00B21F95"/>
    <w:rsid w:val="00B2204F"/>
    <w:rsid w:val="00B2207A"/>
    <w:rsid w:val="00B223CB"/>
    <w:rsid w:val="00B22404"/>
    <w:rsid w:val="00B22418"/>
    <w:rsid w:val="00B22476"/>
    <w:rsid w:val="00B2247A"/>
    <w:rsid w:val="00B2247B"/>
    <w:rsid w:val="00B22496"/>
    <w:rsid w:val="00B224CD"/>
    <w:rsid w:val="00B224E1"/>
    <w:rsid w:val="00B22562"/>
    <w:rsid w:val="00B2266D"/>
    <w:rsid w:val="00B2268C"/>
    <w:rsid w:val="00B226CB"/>
    <w:rsid w:val="00B226F2"/>
    <w:rsid w:val="00B2279C"/>
    <w:rsid w:val="00B227A3"/>
    <w:rsid w:val="00B227F2"/>
    <w:rsid w:val="00B2288E"/>
    <w:rsid w:val="00B229A1"/>
    <w:rsid w:val="00B229B3"/>
    <w:rsid w:val="00B229FE"/>
    <w:rsid w:val="00B22A20"/>
    <w:rsid w:val="00B22AD5"/>
    <w:rsid w:val="00B22AFD"/>
    <w:rsid w:val="00B22B0C"/>
    <w:rsid w:val="00B22B11"/>
    <w:rsid w:val="00B22B3F"/>
    <w:rsid w:val="00B22B66"/>
    <w:rsid w:val="00B22BA4"/>
    <w:rsid w:val="00B22C62"/>
    <w:rsid w:val="00B22C7F"/>
    <w:rsid w:val="00B22CA9"/>
    <w:rsid w:val="00B22DED"/>
    <w:rsid w:val="00B22E12"/>
    <w:rsid w:val="00B22E30"/>
    <w:rsid w:val="00B22E9B"/>
    <w:rsid w:val="00B22F3B"/>
    <w:rsid w:val="00B22F47"/>
    <w:rsid w:val="00B22F53"/>
    <w:rsid w:val="00B22F88"/>
    <w:rsid w:val="00B22FAC"/>
    <w:rsid w:val="00B2305F"/>
    <w:rsid w:val="00B2309D"/>
    <w:rsid w:val="00B230BE"/>
    <w:rsid w:val="00B231DA"/>
    <w:rsid w:val="00B23230"/>
    <w:rsid w:val="00B23238"/>
    <w:rsid w:val="00B2326C"/>
    <w:rsid w:val="00B23315"/>
    <w:rsid w:val="00B23336"/>
    <w:rsid w:val="00B23365"/>
    <w:rsid w:val="00B23429"/>
    <w:rsid w:val="00B23483"/>
    <w:rsid w:val="00B23492"/>
    <w:rsid w:val="00B234C0"/>
    <w:rsid w:val="00B2354C"/>
    <w:rsid w:val="00B2356C"/>
    <w:rsid w:val="00B235C4"/>
    <w:rsid w:val="00B235FE"/>
    <w:rsid w:val="00B23653"/>
    <w:rsid w:val="00B2365C"/>
    <w:rsid w:val="00B236A4"/>
    <w:rsid w:val="00B2370C"/>
    <w:rsid w:val="00B2373C"/>
    <w:rsid w:val="00B237C6"/>
    <w:rsid w:val="00B237E6"/>
    <w:rsid w:val="00B2384A"/>
    <w:rsid w:val="00B238A1"/>
    <w:rsid w:val="00B238C2"/>
    <w:rsid w:val="00B23950"/>
    <w:rsid w:val="00B2395B"/>
    <w:rsid w:val="00B23A33"/>
    <w:rsid w:val="00B23A42"/>
    <w:rsid w:val="00B23A7A"/>
    <w:rsid w:val="00B23AE7"/>
    <w:rsid w:val="00B23B65"/>
    <w:rsid w:val="00B23BE9"/>
    <w:rsid w:val="00B23C42"/>
    <w:rsid w:val="00B23C83"/>
    <w:rsid w:val="00B23C8D"/>
    <w:rsid w:val="00B23D41"/>
    <w:rsid w:val="00B23D79"/>
    <w:rsid w:val="00B23E0D"/>
    <w:rsid w:val="00B23E8A"/>
    <w:rsid w:val="00B2400F"/>
    <w:rsid w:val="00B240DA"/>
    <w:rsid w:val="00B240E6"/>
    <w:rsid w:val="00B24111"/>
    <w:rsid w:val="00B2413F"/>
    <w:rsid w:val="00B2421B"/>
    <w:rsid w:val="00B242C4"/>
    <w:rsid w:val="00B24345"/>
    <w:rsid w:val="00B24396"/>
    <w:rsid w:val="00B24406"/>
    <w:rsid w:val="00B244D2"/>
    <w:rsid w:val="00B24508"/>
    <w:rsid w:val="00B24516"/>
    <w:rsid w:val="00B24564"/>
    <w:rsid w:val="00B24565"/>
    <w:rsid w:val="00B2456B"/>
    <w:rsid w:val="00B245F7"/>
    <w:rsid w:val="00B24649"/>
    <w:rsid w:val="00B24663"/>
    <w:rsid w:val="00B246ED"/>
    <w:rsid w:val="00B24736"/>
    <w:rsid w:val="00B24738"/>
    <w:rsid w:val="00B24742"/>
    <w:rsid w:val="00B248B2"/>
    <w:rsid w:val="00B248CE"/>
    <w:rsid w:val="00B2491C"/>
    <w:rsid w:val="00B249ED"/>
    <w:rsid w:val="00B24B10"/>
    <w:rsid w:val="00B24B19"/>
    <w:rsid w:val="00B24BBF"/>
    <w:rsid w:val="00B24C0F"/>
    <w:rsid w:val="00B24C11"/>
    <w:rsid w:val="00B24C30"/>
    <w:rsid w:val="00B24CB2"/>
    <w:rsid w:val="00B24CFF"/>
    <w:rsid w:val="00B24D59"/>
    <w:rsid w:val="00B24D5C"/>
    <w:rsid w:val="00B24D85"/>
    <w:rsid w:val="00B24DDB"/>
    <w:rsid w:val="00B24DF9"/>
    <w:rsid w:val="00B24E15"/>
    <w:rsid w:val="00B24E7E"/>
    <w:rsid w:val="00B24E83"/>
    <w:rsid w:val="00B24F83"/>
    <w:rsid w:val="00B24F92"/>
    <w:rsid w:val="00B24F93"/>
    <w:rsid w:val="00B24F9C"/>
    <w:rsid w:val="00B24FB5"/>
    <w:rsid w:val="00B24FFA"/>
    <w:rsid w:val="00B25010"/>
    <w:rsid w:val="00B25024"/>
    <w:rsid w:val="00B25065"/>
    <w:rsid w:val="00B2506E"/>
    <w:rsid w:val="00B25080"/>
    <w:rsid w:val="00B25094"/>
    <w:rsid w:val="00B250EF"/>
    <w:rsid w:val="00B25138"/>
    <w:rsid w:val="00B2523F"/>
    <w:rsid w:val="00B2529C"/>
    <w:rsid w:val="00B25302"/>
    <w:rsid w:val="00B25334"/>
    <w:rsid w:val="00B2536F"/>
    <w:rsid w:val="00B2537A"/>
    <w:rsid w:val="00B25386"/>
    <w:rsid w:val="00B253C2"/>
    <w:rsid w:val="00B254AA"/>
    <w:rsid w:val="00B254EE"/>
    <w:rsid w:val="00B25546"/>
    <w:rsid w:val="00B25566"/>
    <w:rsid w:val="00B255E6"/>
    <w:rsid w:val="00B25647"/>
    <w:rsid w:val="00B25665"/>
    <w:rsid w:val="00B256A5"/>
    <w:rsid w:val="00B2570E"/>
    <w:rsid w:val="00B257BB"/>
    <w:rsid w:val="00B257E7"/>
    <w:rsid w:val="00B257F4"/>
    <w:rsid w:val="00B2580D"/>
    <w:rsid w:val="00B2587B"/>
    <w:rsid w:val="00B25889"/>
    <w:rsid w:val="00B258C3"/>
    <w:rsid w:val="00B258D5"/>
    <w:rsid w:val="00B25957"/>
    <w:rsid w:val="00B25987"/>
    <w:rsid w:val="00B259D2"/>
    <w:rsid w:val="00B25A09"/>
    <w:rsid w:val="00B25A8B"/>
    <w:rsid w:val="00B25ABF"/>
    <w:rsid w:val="00B25B37"/>
    <w:rsid w:val="00B25B96"/>
    <w:rsid w:val="00B25BC1"/>
    <w:rsid w:val="00B25BC4"/>
    <w:rsid w:val="00B25C2C"/>
    <w:rsid w:val="00B25C58"/>
    <w:rsid w:val="00B25C88"/>
    <w:rsid w:val="00B25CC4"/>
    <w:rsid w:val="00B25CF2"/>
    <w:rsid w:val="00B25D91"/>
    <w:rsid w:val="00B25DA9"/>
    <w:rsid w:val="00B25E6C"/>
    <w:rsid w:val="00B25E79"/>
    <w:rsid w:val="00B25E9A"/>
    <w:rsid w:val="00B25FE6"/>
    <w:rsid w:val="00B26069"/>
    <w:rsid w:val="00B26207"/>
    <w:rsid w:val="00B262E9"/>
    <w:rsid w:val="00B2638F"/>
    <w:rsid w:val="00B263B5"/>
    <w:rsid w:val="00B263F4"/>
    <w:rsid w:val="00B26485"/>
    <w:rsid w:val="00B26513"/>
    <w:rsid w:val="00B265DF"/>
    <w:rsid w:val="00B267AC"/>
    <w:rsid w:val="00B26813"/>
    <w:rsid w:val="00B26840"/>
    <w:rsid w:val="00B26851"/>
    <w:rsid w:val="00B269D4"/>
    <w:rsid w:val="00B269E4"/>
    <w:rsid w:val="00B26A0C"/>
    <w:rsid w:val="00B26A8B"/>
    <w:rsid w:val="00B26ABC"/>
    <w:rsid w:val="00B26B2C"/>
    <w:rsid w:val="00B26B2D"/>
    <w:rsid w:val="00B26B99"/>
    <w:rsid w:val="00B26BF5"/>
    <w:rsid w:val="00B26C42"/>
    <w:rsid w:val="00B26C48"/>
    <w:rsid w:val="00B26C4D"/>
    <w:rsid w:val="00B26CA2"/>
    <w:rsid w:val="00B26CB9"/>
    <w:rsid w:val="00B26D35"/>
    <w:rsid w:val="00B26DBA"/>
    <w:rsid w:val="00B26DC4"/>
    <w:rsid w:val="00B26DDB"/>
    <w:rsid w:val="00B26E0B"/>
    <w:rsid w:val="00B26E42"/>
    <w:rsid w:val="00B26E5C"/>
    <w:rsid w:val="00B26E8B"/>
    <w:rsid w:val="00B26E8E"/>
    <w:rsid w:val="00B26F3D"/>
    <w:rsid w:val="00B26FBA"/>
    <w:rsid w:val="00B26FC4"/>
    <w:rsid w:val="00B26FE5"/>
    <w:rsid w:val="00B27012"/>
    <w:rsid w:val="00B27066"/>
    <w:rsid w:val="00B27067"/>
    <w:rsid w:val="00B270A9"/>
    <w:rsid w:val="00B270AD"/>
    <w:rsid w:val="00B27242"/>
    <w:rsid w:val="00B272B7"/>
    <w:rsid w:val="00B27331"/>
    <w:rsid w:val="00B2733A"/>
    <w:rsid w:val="00B2734D"/>
    <w:rsid w:val="00B2734E"/>
    <w:rsid w:val="00B273C1"/>
    <w:rsid w:val="00B27458"/>
    <w:rsid w:val="00B2745B"/>
    <w:rsid w:val="00B27486"/>
    <w:rsid w:val="00B27493"/>
    <w:rsid w:val="00B2766F"/>
    <w:rsid w:val="00B276AF"/>
    <w:rsid w:val="00B276CD"/>
    <w:rsid w:val="00B276D4"/>
    <w:rsid w:val="00B2771F"/>
    <w:rsid w:val="00B27772"/>
    <w:rsid w:val="00B27798"/>
    <w:rsid w:val="00B27825"/>
    <w:rsid w:val="00B2782D"/>
    <w:rsid w:val="00B2799E"/>
    <w:rsid w:val="00B27B0B"/>
    <w:rsid w:val="00B27B1E"/>
    <w:rsid w:val="00B27B4E"/>
    <w:rsid w:val="00B27B60"/>
    <w:rsid w:val="00B27C3C"/>
    <w:rsid w:val="00B27C8B"/>
    <w:rsid w:val="00B27C90"/>
    <w:rsid w:val="00B27C94"/>
    <w:rsid w:val="00B27CCB"/>
    <w:rsid w:val="00B27CFD"/>
    <w:rsid w:val="00B27D1E"/>
    <w:rsid w:val="00B27E04"/>
    <w:rsid w:val="00B27EE1"/>
    <w:rsid w:val="00B27F2D"/>
    <w:rsid w:val="00B27F73"/>
    <w:rsid w:val="00B27FA4"/>
    <w:rsid w:val="00B30070"/>
    <w:rsid w:val="00B300B1"/>
    <w:rsid w:val="00B300F0"/>
    <w:rsid w:val="00B30136"/>
    <w:rsid w:val="00B30152"/>
    <w:rsid w:val="00B30166"/>
    <w:rsid w:val="00B301F6"/>
    <w:rsid w:val="00B302B1"/>
    <w:rsid w:val="00B302C6"/>
    <w:rsid w:val="00B3030C"/>
    <w:rsid w:val="00B303C9"/>
    <w:rsid w:val="00B30408"/>
    <w:rsid w:val="00B30422"/>
    <w:rsid w:val="00B304D5"/>
    <w:rsid w:val="00B304E1"/>
    <w:rsid w:val="00B304F2"/>
    <w:rsid w:val="00B3052D"/>
    <w:rsid w:val="00B305BE"/>
    <w:rsid w:val="00B30650"/>
    <w:rsid w:val="00B3066C"/>
    <w:rsid w:val="00B306F4"/>
    <w:rsid w:val="00B30724"/>
    <w:rsid w:val="00B30827"/>
    <w:rsid w:val="00B30852"/>
    <w:rsid w:val="00B30860"/>
    <w:rsid w:val="00B308D6"/>
    <w:rsid w:val="00B30906"/>
    <w:rsid w:val="00B3092F"/>
    <w:rsid w:val="00B30966"/>
    <w:rsid w:val="00B30A02"/>
    <w:rsid w:val="00B30A60"/>
    <w:rsid w:val="00B30A7D"/>
    <w:rsid w:val="00B30A8A"/>
    <w:rsid w:val="00B30AB3"/>
    <w:rsid w:val="00B30B35"/>
    <w:rsid w:val="00B30C8B"/>
    <w:rsid w:val="00B30CA9"/>
    <w:rsid w:val="00B30CC9"/>
    <w:rsid w:val="00B30CD3"/>
    <w:rsid w:val="00B30D56"/>
    <w:rsid w:val="00B30DAC"/>
    <w:rsid w:val="00B30DB9"/>
    <w:rsid w:val="00B30DCF"/>
    <w:rsid w:val="00B30EEF"/>
    <w:rsid w:val="00B30EF1"/>
    <w:rsid w:val="00B30F83"/>
    <w:rsid w:val="00B30F8E"/>
    <w:rsid w:val="00B30F99"/>
    <w:rsid w:val="00B30FD9"/>
    <w:rsid w:val="00B31052"/>
    <w:rsid w:val="00B310C5"/>
    <w:rsid w:val="00B31101"/>
    <w:rsid w:val="00B31275"/>
    <w:rsid w:val="00B31284"/>
    <w:rsid w:val="00B312C5"/>
    <w:rsid w:val="00B31353"/>
    <w:rsid w:val="00B313B2"/>
    <w:rsid w:val="00B3141F"/>
    <w:rsid w:val="00B31442"/>
    <w:rsid w:val="00B31456"/>
    <w:rsid w:val="00B314AD"/>
    <w:rsid w:val="00B314CE"/>
    <w:rsid w:val="00B31526"/>
    <w:rsid w:val="00B3157D"/>
    <w:rsid w:val="00B31635"/>
    <w:rsid w:val="00B31751"/>
    <w:rsid w:val="00B31798"/>
    <w:rsid w:val="00B31808"/>
    <w:rsid w:val="00B31840"/>
    <w:rsid w:val="00B3184E"/>
    <w:rsid w:val="00B31858"/>
    <w:rsid w:val="00B3185A"/>
    <w:rsid w:val="00B31881"/>
    <w:rsid w:val="00B318CC"/>
    <w:rsid w:val="00B31A49"/>
    <w:rsid w:val="00B31A82"/>
    <w:rsid w:val="00B31B0A"/>
    <w:rsid w:val="00B31B44"/>
    <w:rsid w:val="00B31BFE"/>
    <w:rsid w:val="00B31C62"/>
    <w:rsid w:val="00B31C93"/>
    <w:rsid w:val="00B31D23"/>
    <w:rsid w:val="00B31D2B"/>
    <w:rsid w:val="00B31D86"/>
    <w:rsid w:val="00B31E8B"/>
    <w:rsid w:val="00B31EA8"/>
    <w:rsid w:val="00B31ECB"/>
    <w:rsid w:val="00B31ED5"/>
    <w:rsid w:val="00B31F22"/>
    <w:rsid w:val="00B31FC2"/>
    <w:rsid w:val="00B320BF"/>
    <w:rsid w:val="00B320C6"/>
    <w:rsid w:val="00B32157"/>
    <w:rsid w:val="00B3217C"/>
    <w:rsid w:val="00B321A6"/>
    <w:rsid w:val="00B32211"/>
    <w:rsid w:val="00B32233"/>
    <w:rsid w:val="00B3223D"/>
    <w:rsid w:val="00B322B5"/>
    <w:rsid w:val="00B322CE"/>
    <w:rsid w:val="00B3239C"/>
    <w:rsid w:val="00B323DF"/>
    <w:rsid w:val="00B3247E"/>
    <w:rsid w:val="00B324C9"/>
    <w:rsid w:val="00B324E6"/>
    <w:rsid w:val="00B32517"/>
    <w:rsid w:val="00B3259A"/>
    <w:rsid w:val="00B32613"/>
    <w:rsid w:val="00B32635"/>
    <w:rsid w:val="00B326D7"/>
    <w:rsid w:val="00B326F0"/>
    <w:rsid w:val="00B32702"/>
    <w:rsid w:val="00B3276A"/>
    <w:rsid w:val="00B3288C"/>
    <w:rsid w:val="00B328AC"/>
    <w:rsid w:val="00B328C8"/>
    <w:rsid w:val="00B328D4"/>
    <w:rsid w:val="00B328D6"/>
    <w:rsid w:val="00B3294E"/>
    <w:rsid w:val="00B329D7"/>
    <w:rsid w:val="00B329ED"/>
    <w:rsid w:val="00B32A2B"/>
    <w:rsid w:val="00B32A87"/>
    <w:rsid w:val="00B32AC5"/>
    <w:rsid w:val="00B32B22"/>
    <w:rsid w:val="00B32B41"/>
    <w:rsid w:val="00B32B47"/>
    <w:rsid w:val="00B32B9B"/>
    <w:rsid w:val="00B32BB8"/>
    <w:rsid w:val="00B32C5C"/>
    <w:rsid w:val="00B32C79"/>
    <w:rsid w:val="00B32CA5"/>
    <w:rsid w:val="00B32CF7"/>
    <w:rsid w:val="00B32D86"/>
    <w:rsid w:val="00B32D8E"/>
    <w:rsid w:val="00B32E2C"/>
    <w:rsid w:val="00B32E6A"/>
    <w:rsid w:val="00B32E9E"/>
    <w:rsid w:val="00B32ED5"/>
    <w:rsid w:val="00B32F53"/>
    <w:rsid w:val="00B32F7A"/>
    <w:rsid w:val="00B33056"/>
    <w:rsid w:val="00B33096"/>
    <w:rsid w:val="00B3312D"/>
    <w:rsid w:val="00B33132"/>
    <w:rsid w:val="00B33138"/>
    <w:rsid w:val="00B331F7"/>
    <w:rsid w:val="00B331FD"/>
    <w:rsid w:val="00B33223"/>
    <w:rsid w:val="00B3329E"/>
    <w:rsid w:val="00B332E0"/>
    <w:rsid w:val="00B3334D"/>
    <w:rsid w:val="00B33374"/>
    <w:rsid w:val="00B333E8"/>
    <w:rsid w:val="00B33404"/>
    <w:rsid w:val="00B3358D"/>
    <w:rsid w:val="00B33676"/>
    <w:rsid w:val="00B3369A"/>
    <w:rsid w:val="00B3373F"/>
    <w:rsid w:val="00B3375F"/>
    <w:rsid w:val="00B33767"/>
    <w:rsid w:val="00B337BA"/>
    <w:rsid w:val="00B3381F"/>
    <w:rsid w:val="00B3387D"/>
    <w:rsid w:val="00B3388E"/>
    <w:rsid w:val="00B338A4"/>
    <w:rsid w:val="00B3392D"/>
    <w:rsid w:val="00B33946"/>
    <w:rsid w:val="00B3395C"/>
    <w:rsid w:val="00B339C5"/>
    <w:rsid w:val="00B339E2"/>
    <w:rsid w:val="00B339EE"/>
    <w:rsid w:val="00B33ACA"/>
    <w:rsid w:val="00B33B77"/>
    <w:rsid w:val="00B33BB2"/>
    <w:rsid w:val="00B33C3A"/>
    <w:rsid w:val="00B33CE1"/>
    <w:rsid w:val="00B33DAC"/>
    <w:rsid w:val="00B33DBC"/>
    <w:rsid w:val="00B33E1A"/>
    <w:rsid w:val="00B33E26"/>
    <w:rsid w:val="00B33E4E"/>
    <w:rsid w:val="00B33E8C"/>
    <w:rsid w:val="00B33F0D"/>
    <w:rsid w:val="00B33F13"/>
    <w:rsid w:val="00B33F1F"/>
    <w:rsid w:val="00B33F63"/>
    <w:rsid w:val="00B33FB2"/>
    <w:rsid w:val="00B34036"/>
    <w:rsid w:val="00B3403F"/>
    <w:rsid w:val="00B34094"/>
    <w:rsid w:val="00B340B2"/>
    <w:rsid w:val="00B340D8"/>
    <w:rsid w:val="00B3410B"/>
    <w:rsid w:val="00B3415D"/>
    <w:rsid w:val="00B34182"/>
    <w:rsid w:val="00B3424B"/>
    <w:rsid w:val="00B34255"/>
    <w:rsid w:val="00B343A5"/>
    <w:rsid w:val="00B343FB"/>
    <w:rsid w:val="00B34421"/>
    <w:rsid w:val="00B3443D"/>
    <w:rsid w:val="00B34441"/>
    <w:rsid w:val="00B344A9"/>
    <w:rsid w:val="00B34539"/>
    <w:rsid w:val="00B34556"/>
    <w:rsid w:val="00B345BC"/>
    <w:rsid w:val="00B345E2"/>
    <w:rsid w:val="00B34698"/>
    <w:rsid w:val="00B34703"/>
    <w:rsid w:val="00B34806"/>
    <w:rsid w:val="00B34831"/>
    <w:rsid w:val="00B3491C"/>
    <w:rsid w:val="00B3492F"/>
    <w:rsid w:val="00B3496C"/>
    <w:rsid w:val="00B349FF"/>
    <w:rsid w:val="00B34A2D"/>
    <w:rsid w:val="00B34AE7"/>
    <w:rsid w:val="00B34B6A"/>
    <w:rsid w:val="00B34C84"/>
    <w:rsid w:val="00B34C98"/>
    <w:rsid w:val="00B34D90"/>
    <w:rsid w:val="00B34DD9"/>
    <w:rsid w:val="00B34E26"/>
    <w:rsid w:val="00B34E61"/>
    <w:rsid w:val="00B34ECF"/>
    <w:rsid w:val="00B34EEB"/>
    <w:rsid w:val="00B34FA8"/>
    <w:rsid w:val="00B34FEE"/>
    <w:rsid w:val="00B35098"/>
    <w:rsid w:val="00B3513C"/>
    <w:rsid w:val="00B3515F"/>
    <w:rsid w:val="00B351AC"/>
    <w:rsid w:val="00B3525F"/>
    <w:rsid w:val="00B3527F"/>
    <w:rsid w:val="00B352A2"/>
    <w:rsid w:val="00B352A7"/>
    <w:rsid w:val="00B352A9"/>
    <w:rsid w:val="00B35422"/>
    <w:rsid w:val="00B3552E"/>
    <w:rsid w:val="00B3552F"/>
    <w:rsid w:val="00B35583"/>
    <w:rsid w:val="00B355C8"/>
    <w:rsid w:val="00B3562E"/>
    <w:rsid w:val="00B35725"/>
    <w:rsid w:val="00B35729"/>
    <w:rsid w:val="00B357EE"/>
    <w:rsid w:val="00B3584A"/>
    <w:rsid w:val="00B35860"/>
    <w:rsid w:val="00B35891"/>
    <w:rsid w:val="00B358F3"/>
    <w:rsid w:val="00B35900"/>
    <w:rsid w:val="00B35926"/>
    <w:rsid w:val="00B3594D"/>
    <w:rsid w:val="00B35973"/>
    <w:rsid w:val="00B359D8"/>
    <w:rsid w:val="00B35A13"/>
    <w:rsid w:val="00B35B12"/>
    <w:rsid w:val="00B35B94"/>
    <w:rsid w:val="00B35BA5"/>
    <w:rsid w:val="00B35BEA"/>
    <w:rsid w:val="00B35C22"/>
    <w:rsid w:val="00B35C6E"/>
    <w:rsid w:val="00B35C73"/>
    <w:rsid w:val="00B35CB6"/>
    <w:rsid w:val="00B35CFE"/>
    <w:rsid w:val="00B35DC1"/>
    <w:rsid w:val="00B35DEE"/>
    <w:rsid w:val="00B35E06"/>
    <w:rsid w:val="00B35E38"/>
    <w:rsid w:val="00B35EBB"/>
    <w:rsid w:val="00B35EE4"/>
    <w:rsid w:val="00B35F1B"/>
    <w:rsid w:val="00B35FC2"/>
    <w:rsid w:val="00B35FEB"/>
    <w:rsid w:val="00B3605F"/>
    <w:rsid w:val="00B360EC"/>
    <w:rsid w:val="00B36148"/>
    <w:rsid w:val="00B36197"/>
    <w:rsid w:val="00B361C8"/>
    <w:rsid w:val="00B36235"/>
    <w:rsid w:val="00B362DA"/>
    <w:rsid w:val="00B363AD"/>
    <w:rsid w:val="00B363D6"/>
    <w:rsid w:val="00B36464"/>
    <w:rsid w:val="00B364CF"/>
    <w:rsid w:val="00B364EE"/>
    <w:rsid w:val="00B36500"/>
    <w:rsid w:val="00B365C7"/>
    <w:rsid w:val="00B365E4"/>
    <w:rsid w:val="00B365FC"/>
    <w:rsid w:val="00B366F4"/>
    <w:rsid w:val="00B36717"/>
    <w:rsid w:val="00B36798"/>
    <w:rsid w:val="00B3685C"/>
    <w:rsid w:val="00B368BD"/>
    <w:rsid w:val="00B368C0"/>
    <w:rsid w:val="00B36982"/>
    <w:rsid w:val="00B3699F"/>
    <w:rsid w:val="00B369D0"/>
    <w:rsid w:val="00B36A18"/>
    <w:rsid w:val="00B36A7E"/>
    <w:rsid w:val="00B36A95"/>
    <w:rsid w:val="00B36ADF"/>
    <w:rsid w:val="00B36B29"/>
    <w:rsid w:val="00B36B56"/>
    <w:rsid w:val="00B36BA5"/>
    <w:rsid w:val="00B36BFD"/>
    <w:rsid w:val="00B36C71"/>
    <w:rsid w:val="00B36C76"/>
    <w:rsid w:val="00B36C8F"/>
    <w:rsid w:val="00B36CCC"/>
    <w:rsid w:val="00B36D2F"/>
    <w:rsid w:val="00B36DDC"/>
    <w:rsid w:val="00B36DE2"/>
    <w:rsid w:val="00B36E91"/>
    <w:rsid w:val="00B36F04"/>
    <w:rsid w:val="00B36F85"/>
    <w:rsid w:val="00B36F8B"/>
    <w:rsid w:val="00B37014"/>
    <w:rsid w:val="00B3701D"/>
    <w:rsid w:val="00B37021"/>
    <w:rsid w:val="00B37065"/>
    <w:rsid w:val="00B370A5"/>
    <w:rsid w:val="00B370EC"/>
    <w:rsid w:val="00B37154"/>
    <w:rsid w:val="00B3717B"/>
    <w:rsid w:val="00B3725D"/>
    <w:rsid w:val="00B37276"/>
    <w:rsid w:val="00B3727D"/>
    <w:rsid w:val="00B3730E"/>
    <w:rsid w:val="00B3732D"/>
    <w:rsid w:val="00B37425"/>
    <w:rsid w:val="00B37509"/>
    <w:rsid w:val="00B375AB"/>
    <w:rsid w:val="00B376EA"/>
    <w:rsid w:val="00B37739"/>
    <w:rsid w:val="00B37828"/>
    <w:rsid w:val="00B37956"/>
    <w:rsid w:val="00B379F4"/>
    <w:rsid w:val="00B37A21"/>
    <w:rsid w:val="00B37A33"/>
    <w:rsid w:val="00B37B13"/>
    <w:rsid w:val="00B37BB0"/>
    <w:rsid w:val="00B37BB7"/>
    <w:rsid w:val="00B37BE5"/>
    <w:rsid w:val="00B37C7D"/>
    <w:rsid w:val="00B37CBE"/>
    <w:rsid w:val="00B37CDB"/>
    <w:rsid w:val="00B37D0D"/>
    <w:rsid w:val="00B37D0E"/>
    <w:rsid w:val="00B37DB3"/>
    <w:rsid w:val="00B37DE3"/>
    <w:rsid w:val="00B37DF6"/>
    <w:rsid w:val="00B37E3F"/>
    <w:rsid w:val="00B37E5E"/>
    <w:rsid w:val="00B37E73"/>
    <w:rsid w:val="00B37EA8"/>
    <w:rsid w:val="00B37F2B"/>
    <w:rsid w:val="00B37F61"/>
    <w:rsid w:val="00B37F7C"/>
    <w:rsid w:val="00B37F8C"/>
    <w:rsid w:val="00B37F94"/>
    <w:rsid w:val="00B40057"/>
    <w:rsid w:val="00B40097"/>
    <w:rsid w:val="00B4011F"/>
    <w:rsid w:val="00B40190"/>
    <w:rsid w:val="00B401EE"/>
    <w:rsid w:val="00B40410"/>
    <w:rsid w:val="00B40432"/>
    <w:rsid w:val="00B4044E"/>
    <w:rsid w:val="00B4046E"/>
    <w:rsid w:val="00B404F7"/>
    <w:rsid w:val="00B405BB"/>
    <w:rsid w:val="00B405CA"/>
    <w:rsid w:val="00B4061F"/>
    <w:rsid w:val="00B40696"/>
    <w:rsid w:val="00B406B3"/>
    <w:rsid w:val="00B4077D"/>
    <w:rsid w:val="00B407AD"/>
    <w:rsid w:val="00B407C7"/>
    <w:rsid w:val="00B4083B"/>
    <w:rsid w:val="00B409BD"/>
    <w:rsid w:val="00B40B17"/>
    <w:rsid w:val="00B40B5E"/>
    <w:rsid w:val="00B40B87"/>
    <w:rsid w:val="00B40B9F"/>
    <w:rsid w:val="00B40C2B"/>
    <w:rsid w:val="00B40C42"/>
    <w:rsid w:val="00B40C56"/>
    <w:rsid w:val="00B40CE4"/>
    <w:rsid w:val="00B40D15"/>
    <w:rsid w:val="00B40DA5"/>
    <w:rsid w:val="00B40EAE"/>
    <w:rsid w:val="00B40EC6"/>
    <w:rsid w:val="00B40EE6"/>
    <w:rsid w:val="00B40F44"/>
    <w:rsid w:val="00B40FE9"/>
    <w:rsid w:val="00B41081"/>
    <w:rsid w:val="00B410D3"/>
    <w:rsid w:val="00B41148"/>
    <w:rsid w:val="00B41176"/>
    <w:rsid w:val="00B411ED"/>
    <w:rsid w:val="00B4121A"/>
    <w:rsid w:val="00B4128F"/>
    <w:rsid w:val="00B4131E"/>
    <w:rsid w:val="00B41330"/>
    <w:rsid w:val="00B41336"/>
    <w:rsid w:val="00B41366"/>
    <w:rsid w:val="00B413E3"/>
    <w:rsid w:val="00B4140E"/>
    <w:rsid w:val="00B4145E"/>
    <w:rsid w:val="00B41472"/>
    <w:rsid w:val="00B41556"/>
    <w:rsid w:val="00B4155D"/>
    <w:rsid w:val="00B415DF"/>
    <w:rsid w:val="00B4161C"/>
    <w:rsid w:val="00B41657"/>
    <w:rsid w:val="00B4167C"/>
    <w:rsid w:val="00B416AA"/>
    <w:rsid w:val="00B4172C"/>
    <w:rsid w:val="00B4179A"/>
    <w:rsid w:val="00B417E4"/>
    <w:rsid w:val="00B41831"/>
    <w:rsid w:val="00B4187D"/>
    <w:rsid w:val="00B418BE"/>
    <w:rsid w:val="00B4190C"/>
    <w:rsid w:val="00B41936"/>
    <w:rsid w:val="00B4193E"/>
    <w:rsid w:val="00B41989"/>
    <w:rsid w:val="00B419AA"/>
    <w:rsid w:val="00B419E4"/>
    <w:rsid w:val="00B419ED"/>
    <w:rsid w:val="00B41A14"/>
    <w:rsid w:val="00B41A4A"/>
    <w:rsid w:val="00B41AB5"/>
    <w:rsid w:val="00B41B46"/>
    <w:rsid w:val="00B41BD5"/>
    <w:rsid w:val="00B41C4E"/>
    <w:rsid w:val="00B41CAD"/>
    <w:rsid w:val="00B41CD2"/>
    <w:rsid w:val="00B41EDB"/>
    <w:rsid w:val="00B41F1D"/>
    <w:rsid w:val="00B41F54"/>
    <w:rsid w:val="00B41F6C"/>
    <w:rsid w:val="00B41F82"/>
    <w:rsid w:val="00B41F85"/>
    <w:rsid w:val="00B42010"/>
    <w:rsid w:val="00B42062"/>
    <w:rsid w:val="00B420C0"/>
    <w:rsid w:val="00B420E8"/>
    <w:rsid w:val="00B421BD"/>
    <w:rsid w:val="00B421C8"/>
    <w:rsid w:val="00B42239"/>
    <w:rsid w:val="00B42277"/>
    <w:rsid w:val="00B42302"/>
    <w:rsid w:val="00B42376"/>
    <w:rsid w:val="00B4239D"/>
    <w:rsid w:val="00B423A1"/>
    <w:rsid w:val="00B42421"/>
    <w:rsid w:val="00B42437"/>
    <w:rsid w:val="00B4248C"/>
    <w:rsid w:val="00B4250A"/>
    <w:rsid w:val="00B4251D"/>
    <w:rsid w:val="00B42622"/>
    <w:rsid w:val="00B42657"/>
    <w:rsid w:val="00B4270E"/>
    <w:rsid w:val="00B42741"/>
    <w:rsid w:val="00B42787"/>
    <w:rsid w:val="00B427E9"/>
    <w:rsid w:val="00B4285D"/>
    <w:rsid w:val="00B4287D"/>
    <w:rsid w:val="00B428CE"/>
    <w:rsid w:val="00B42973"/>
    <w:rsid w:val="00B42993"/>
    <w:rsid w:val="00B42A5E"/>
    <w:rsid w:val="00B42A9B"/>
    <w:rsid w:val="00B42AB0"/>
    <w:rsid w:val="00B42B21"/>
    <w:rsid w:val="00B42B27"/>
    <w:rsid w:val="00B42BBD"/>
    <w:rsid w:val="00B42C04"/>
    <w:rsid w:val="00B42D20"/>
    <w:rsid w:val="00B42E64"/>
    <w:rsid w:val="00B42E71"/>
    <w:rsid w:val="00B42F04"/>
    <w:rsid w:val="00B42F08"/>
    <w:rsid w:val="00B42F92"/>
    <w:rsid w:val="00B43002"/>
    <w:rsid w:val="00B43141"/>
    <w:rsid w:val="00B43159"/>
    <w:rsid w:val="00B431D8"/>
    <w:rsid w:val="00B431E8"/>
    <w:rsid w:val="00B43283"/>
    <w:rsid w:val="00B4337C"/>
    <w:rsid w:val="00B43407"/>
    <w:rsid w:val="00B4343E"/>
    <w:rsid w:val="00B434A3"/>
    <w:rsid w:val="00B434CD"/>
    <w:rsid w:val="00B4351D"/>
    <w:rsid w:val="00B435E5"/>
    <w:rsid w:val="00B4364F"/>
    <w:rsid w:val="00B4382E"/>
    <w:rsid w:val="00B4395B"/>
    <w:rsid w:val="00B43974"/>
    <w:rsid w:val="00B439E9"/>
    <w:rsid w:val="00B43A04"/>
    <w:rsid w:val="00B43A9E"/>
    <w:rsid w:val="00B43AAA"/>
    <w:rsid w:val="00B43B14"/>
    <w:rsid w:val="00B43B5E"/>
    <w:rsid w:val="00B43B63"/>
    <w:rsid w:val="00B43B89"/>
    <w:rsid w:val="00B43BC6"/>
    <w:rsid w:val="00B43BDF"/>
    <w:rsid w:val="00B43BFE"/>
    <w:rsid w:val="00B43C3A"/>
    <w:rsid w:val="00B43C8A"/>
    <w:rsid w:val="00B43C8F"/>
    <w:rsid w:val="00B43CB8"/>
    <w:rsid w:val="00B43CFD"/>
    <w:rsid w:val="00B43D57"/>
    <w:rsid w:val="00B43E05"/>
    <w:rsid w:val="00B43E53"/>
    <w:rsid w:val="00B43EED"/>
    <w:rsid w:val="00B43EFA"/>
    <w:rsid w:val="00B43F05"/>
    <w:rsid w:val="00B43F0E"/>
    <w:rsid w:val="00B43F68"/>
    <w:rsid w:val="00B43F7A"/>
    <w:rsid w:val="00B43F8D"/>
    <w:rsid w:val="00B43FAA"/>
    <w:rsid w:val="00B4408C"/>
    <w:rsid w:val="00B4417A"/>
    <w:rsid w:val="00B44194"/>
    <w:rsid w:val="00B441DA"/>
    <w:rsid w:val="00B44230"/>
    <w:rsid w:val="00B442A5"/>
    <w:rsid w:val="00B442DE"/>
    <w:rsid w:val="00B442E3"/>
    <w:rsid w:val="00B44371"/>
    <w:rsid w:val="00B44472"/>
    <w:rsid w:val="00B44480"/>
    <w:rsid w:val="00B4452B"/>
    <w:rsid w:val="00B445C0"/>
    <w:rsid w:val="00B445D8"/>
    <w:rsid w:val="00B445F3"/>
    <w:rsid w:val="00B44733"/>
    <w:rsid w:val="00B447BD"/>
    <w:rsid w:val="00B44814"/>
    <w:rsid w:val="00B44880"/>
    <w:rsid w:val="00B448DC"/>
    <w:rsid w:val="00B44910"/>
    <w:rsid w:val="00B44992"/>
    <w:rsid w:val="00B4499B"/>
    <w:rsid w:val="00B44A3E"/>
    <w:rsid w:val="00B44A4E"/>
    <w:rsid w:val="00B44AB6"/>
    <w:rsid w:val="00B44AC9"/>
    <w:rsid w:val="00B44B8B"/>
    <w:rsid w:val="00B44BB5"/>
    <w:rsid w:val="00B44BE0"/>
    <w:rsid w:val="00B44BF6"/>
    <w:rsid w:val="00B44D69"/>
    <w:rsid w:val="00B44DF9"/>
    <w:rsid w:val="00B44E17"/>
    <w:rsid w:val="00B44E5E"/>
    <w:rsid w:val="00B44E6A"/>
    <w:rsid w:val="00B44EA4"/>
    <w:rsid w:val="00B44EC4"/>
    <w:rsid w:val="00B44F2C"/>
    <w:rsid w:val="00B44F73"/>
    <w:rsid w:val="00B44F79"/>
    <w:rsid w:val="00B44FCA"/>
    <w:rsid w:val="00B44FE5"/>
    <w:rsid w:val="00B450B7"/>
    <w:rsid w:val="00B450C6"/>
    <w:rsid w:val="00B45145"/>
    <w:rsid w:val="00B4517E"/>
    <w:rsid w:val="00B45255"/>
    <w:rsid w:val="00B4537C"/>
    <w:rsid w:val="00B453C4"/>
    <w:rsid w:val="00B453E6"/>
    <w:rsid w:val="00B453EE"/>
    <w:rsid w:val="00B4541A"/>
    <w:rsid w:val="00B45431"/>
    <w:rsid w:val="00B45436"/>
    <w:rsid w:val="00B45441"/>
    <w:rsid w:val="00B45478"/>
    <w:rsid w:val="00B454E4"/>
    <w:rsid w:val="00B45533"/>
    <w:rsid w:val="00B4556D"/>
    <w:rsid w:val="00B4558F"/>
    <w:rsid w:val="00B455C0"/>
    <w:rsid w:val="00B45620"/>
    <w:rsid w:val="00B4562E"/>
    <w:rsid w:val="00B45684"/>
    <w:rsid w:val="00B4571A"/>
    <w:rsid w:val="00B45797"/>
    <w:rsid w:val="00B45906"/>
    <w:rsid w:val="00B45A06"/>
    <w:rsid w:val="00B45A3B"/>
    <w:rsid w:val="00B45A3D"/>
    <w:rsid w:val="00B45B93"/>
    <w:rsid w:val="00B45C58"/>
    <w:rsid w:val="00B45C8D"/>
    <w:rsid w:val="00B45CC5"/>
    <w:rsid w:val="00B45DC3"/>
    <w:rsid w:val="00B45DFD"/>
    <w:rsid w:val="00B45E8B"/>
    <w:rsid w:val="00B45EA2"/>
    <w:rsid w:val="00B45EB1"/>
    <w:rsid w:val="00B45EDD"/>
    <w:rsid w:val="00B45F1A"/>
    <w:rsid w:val="00B460AD"/>
    <w:rsid w:val="00B460B3"/>
    <w:rsid w:val="00B460E4"/>
    <w:rsid w:val="00B46129"/>
    <w:rsid w:val="00B46183"/>
    <w:rsid w:val="00B461A5"/>
    <w:rsid w:val="00B461C8"/>
    <w:rsid w:val="00B461F6"/>
    <w:rsid w:val="00B461FC"/>
    <w:rsid w:val="00B462CC"/>
    <w:rsid w:val="00B4631E"/>
    <w:rsid w:val="00B463E7"/>
    <w:rsid w:val="00B4642E"/>
    <w:rsid w:val="00B46643"/>
    <w:rsid w:val="00B46735"/>
    <w:rsid w:val="00B467D9"/>
    <w:rsid w:val="00B46818"/>
    <w:rsid w:val="00B4684D"/>
    <w:rsid w:val="00B468B2"/>
    <w:rsid w:val="00B468ED"/>
    <w:rsid w:val="00B4699E"/>
    <w:rsid w:val="00B469AB"/>
    <w:rsid w:val="00B469F6"/>
    <w:rsid w:val="00B46A43"/>
    <w:rsid w:val="00B46A81"/>
    <w:rsid w:val="00B46ACC"/>
    <w:rsid w:val="00B46AF4"/>
    <w:rsid w:val="00B46B07"/>
    <w:rsid w:val="00B46B12"/>
    <w:rsid w:val="00B46CE0"/>
    <w:rsid w:val="00B46E55"/>
    <w:rsid w:val="00B46EA1"/>
    <w:rsid w:val="00B46EC0"/>
    <w:rsid w:val="00B46EDB"/>
    <w:rsid w:val="00B46F5C"/>
    <w:rsid w:val="00B46F74"/>
    <w:rsid w:val="00B46F7A"/>
    <w:rsid w:val="00B46FB8"/>
    <w:rsid w:val="00B46FCA"/>
    <w:rsid w:val="00B470BF"/>
    <w:rsid w:val="00B47168"/>
    <w:rsid w:val="00B471F1"/>
    <w:rsid w:val="00B471FC"/>
    <w:rsid w:val="00B47294"/>
    <w:rsid w:val="00B473A3"/>
    <w:rsid w:val="00B473BB"/>
    <w:rsid w:val="00B473D6"/>
    <w:rsid w:val="00B473DD"/>
    <w:rsid w:val="00B473FD"/>
    <w:rsid w:val="00B474AD"/>
    <w:rsid w:val="00B474E3"/>
    <w:rsid w:val="00B47504"/>
    <w:rsid w:val="00B4751F"/>
    <w:rsid w:val="00B47555"/>
    <w:rsid w:val="00B4757D"/>
    <w:rsid w:val="00B475A2"/>
    <w:rsid w:val="00B475A7"/>
    <w:rsid w:val="00B475B8"/>
    <w:rsid w:val="00B4764A"/>
    <w:rsid w:val="00B47689"/>
    <w:rsid w:val="00B476AE"/>
    <w:rsid w:val="00B47787"/>
    <w:rsid w:val="00B4780C"/>
    <w:rsid w:val="00B47837"/>
    <w:rsid w:val="00B478AE"/>
    <w:rsid w:val="00B478EE"/>
    <w:rsid w:val="00B4793E"/>
    <w:rsid w:val="00B47975"/>
    <w:rsid w:val="00B479DF"/>
    <w:rsid w:val="00B479E0"/>
    <w:rsid w:val="00B47AA5"/>
    <w:rsid w:val="00B47AC4"/>
    <w:rsid w:val="00B47ACF"/>
    <w:rsid w:val="00B47AF7"/>
    <w:rsid w:val="00B47BDE"/>
    <w:rsid w:val="00B47BF0"/>
    <w:rsid w:val="00B47C36"/>
    <w:rsid w:val="00B47C4C"/>
    <w:rsid w:val="00B47C60"/>
    <w:rsid w:val="00B47CA2"/>
    <w:rsid w:val="00B47CEB"/>
    <w:rsid w:val="00B47D93"/>
    <w:rsid w:val="00B47DE1"/>
    <w:rsid w:val="00B47E02"/>
    <w:rsid w:val="00B47E78"/>
    <w:rsid w:val="00B47E90"/>
    <w:rsid w:val="00B47EAE"/>
    <w:rsid w:val="00B47ED6"/>
    <w:rsid w:val="00B47F47"/>
    <w:rsid w:val="00B47F77"/>
    <w:rsid w:val="00B47FDB"/>
    <w:rsid w:val="00B47FFE"/>
    <w:rsid w:val="00B5002C"/>
    <w:rsid w:val="00B5004B"/>
    <w:rsid w:val="00B5006B"/>
    <w:rsid w:val="00B50094"/>
    <w:rsid w:val="00B5009A"/>
    <w:rsid w:val="00B5012F"/>
    <w:rsid w:val="00B50153"/>
    <w:rsid w:val="00B50185"/>
    <w:rsid w:val="00B501EE"/>
    <w:rsid w:val="00B50206"/>
    <w:rsid w:val="00B50349"/>
    <w:rsid w:val="00B503B1"/>
    <w:rsid w:val="00B503BA"/>
    <w:rsid w:val="00B50409"/>
    <w:rsid w:val="00B5043D"/>
    <w:rsid w:val="00B504CD"/>
    <w:rsid w:val="00B5053E"/>
    <w:rsid w:val="00B50624"/>
    <w:rsid w:val="00B50626"/>
    <w:rsid w:val="00B50671"/>
    <w:rsid w:val="00B506BC"/>
    <w:rsid w:val="00B5072B"/>
    <w:rsid w:val="00B5074C"/>
    <w:rsid w:val="00B50762"/>
    <w:rsid w:val="00B507AC"/>
    <w:rsid w:val="00B507D7"/>
    <w:rsid w:val="00B507ED"/>
    <w:rsid w:val="00B50851"/>
    <w:rsid w:val="00B508C6"/>
    <w:rsid w:val="00B508CC"/>
    <w:rsid w:val="00B50907"/>
    <w:rsid w:val="00B50940"/>
    <w:rsid w:val="00B50951"/>
    <w:rsid w:val="00B50962"/>
    <w:rsid w:val="00B509C0"/>
    <w:rsid w:val="00B509C8"/>
    <w:rsid w:val="00B50A94"/>
    <w:rsid w:val="00B50BD1"/>
    <w:rsid w:val="00B50C27"/>
    <w:rsid w:val="00B50C98"/>
    <w:rsid w:val="00B50CD5"/>
    <w:rsid w:val="00B50CEC"/>
    <w:rsid w:val="00B50CF2"/>
    <w:rsid w:val="00B50D33"/>
    <w:rsid w:val="00B50D3A"/>
    <w:rsid w:val="00B50DAF"/>
    <w:rsid w:val="00B50DCB"/>
    <w:rsid w:val="00B50DF3"/>
    <w:rsid w:val="00B50E37"/>
    <w:rsid w:val="00B50EA1"/>
    <w:rsid w:val="00B50EB5"/>
    <w:rsid w:val="00B50EF3"/>
    <w:rsid w:val="00B50FA7"/>
    <w:rsid w:val="00B51032"/>
    <w:rsid w:val="00B51071"/>
    <w:rsid w:val="00B510CA"/>
    <w:rsid w:val="00B510DA"/>
    <w:rsid w:val="00B51145"/>
    <w:rsid w:val="00B51152"/>
    <w:rsid w:val="00B511CA"/>
    <w:rsid w:val="00B511DC"/>
    <w:rsid w:val="00B511F4"/>
    <w:rsid w:val="00B51229"/>
    <w:rsid w:val="00B5124D"/>
    <w:rsid w:val="00B5127C"/>
    <w:rsid w:val="00B51318"/>
    <w:rsid w:val="00B51439"/>
    <w:rsid w:val="00B51441"/>
    <w:rsid w:val="00B51564"/>
    <w:rsid w:val="00B51580"/>
    <w:rsid w:val="00B5158B"/>
    <w:rsid w:val="00B5171B"/>
    <w:rsid w:val="00B51741"/>
    <w:rsid w:val="00B5175D"/>
    <w:rsid w:val="00B51783"/>
    <w:rsid w:val="00B5178E"/>
    <w:rsid w:val="00B517E2"/>
    <w:rsid w:val="00B51804"/>
    <w:rsid w:val="00B51878"/>
    <w:rsid w:val="00B5189C"/>
    <w:rsid w:val="00B5194B"/>
    <w:rsid w:val="00B5194F"/>
    <w:rsid w:val="00B519ED"/>
    <w:rsid w:val="00B51A80"/>
    <w:rsid w:val="00B51AA1"/>
    <w:rsid w:val="00B51B3F"/>
    <w:rsid w:val="00B51B82"/>
    <w:rsid w:val="00B51B93"/>
    <w:rsid w:val="00B51BD4"/>
    <w:rsid w:val="00B51CCA"/>
    <w:rsid w:val="00B51D9B"/>
    <w:rsid w:val="00B51DB6"/>
    <w:rsid w:val="00B51E16"/>
    <w:rsid w:val="00B51E78"/>
    <w:rsid w:val="00B51F3B"/>
    <w:rsid w:val="00B5205D"/>
    <w:rsid w:val="00B52119"/>
    <w:rsid w:val="00B5211C"/>
    <w:rsid w:val="00B5214A"/>
    <w:rsid w:val="00B52156"/>
    <w:rsid w:val="00B5217F"/>
    <w:rsid w:val="00B521D5"/>
    <w:rsid w:val="00B52323"/>
    <w:rsid w:val="00B52327"/>
    <w:rsid w:val="00B52330"/>
    <w:rsid w:val="00B52387"/>
    <w:rsid w:val="00B5238A"/>
    <w:rsid w:val="00B5242E"/>
    <w:rsid w:val="00B5243D"/>
    <w:rsid w:val="00B52589"/>
    <w:rsid w:val="00B525A6"/>
    <w:rsid w:val="00B52740"/>
    <w:rsid w:val="00B52772"/>
    <w:rsid w:val="00B52793"/>
    <w:rsid w:val="00B527CF"/>
    <w:rsid w:val="00B527EB"/>
    <w:rsid w:val="00B52818"/>
    <w:rsid w:val="00B52853"/>
    <w:rsid w:val="00B529A5"/>
    <w:rsid w:val="00B52A59"/>
    <w:rsid w:val="00B52A84"/>
    <w:rsid w:val="00B52B07"/>
    <w:rsid w:val="00B52BA5"/>
    <w:rsid w:val="00B52BEC"/>
    <w:rsid w:val="00B52BF0"/>
    <w:rsid w:val="00B52C30"/>
    <w:rsid w:val="00B52CA4"/>
    <w:rsid w:val="00B52CAF"/>
    <w:rsid w:val="00B52D73"/>
    <w:rsid w:val="00B52D93"/>
    <w:rsid w:val="00B52E6E"/>
    <w:rsid w:val="00B52E96"/>
    <w:rsid w:val="00B52F10"/>
    <w:rsid w:val="00B52F1E"/>
    <w:rsid w:val="00B52F76"/>
    <w:rsid w:val="00B52FDA"/>
    <w:rsid w:val="00B530EC"/>
    <w:rsid w:val="00B53100"/>
    <w:rsid w:val="00B5322C"/>
    <w:rsid w:val="00B53236"/>
    <w:rsid w:val="00B53241"/>
    <w:rsid w:val="00B5326C"/>
    <w:rsid w:val="00B532DB"/>
    <w:rsid w:val="00B532EC"/>
    <w:rsid w:val="00B532FA"/>
    <w:rsid w:val="00B53312"/>
    <w:rsid w:val="00B5341A"/>
    <w:rsid w:val="00B53450"/>
    <w:rsid w:val="00B53506"/>
    <w:rsid w:val="00B53515"/>
    <w:rsid w:val="00B53520"/>
    <w:rsid w:val="00B5359A"/>
    <w:rsid w:val="00B535BA"/>
    <w:rsid w:val="00B535C0"/>
    <w:rsid w:val="00B535C5"/>
    <w:rsid w:val="00B535C6"/>
    <w:rsid w:val="00B53617"/>
    <w:rsid w:val="00B53672"/>
    <w:rsid w:val="00B536B8"/>
    <w:rsid w:val="00B5370D"/>
    <w:rsid w:val="00B5371C"/>
    <w:rsid w:val="00B5377C"/>
    <w:rsid w:val="00B53786"/>
    <w:rsid w:val="00B537CC"/>
    <w:rsid w:val="00B537D0"/>
    <w:rsid w:val="00B537D7"/>
    <w:rsid w:val="00B53829"/>
    <w:rsid w:val="00B53844"/>
    <w:rsid w:val="00B538D5"/>
    <w:rsid w:val="00B53947"/>
    <w:rsid w:val="00B53972"/>
    <w:rsid w:val="00B5397D"/>
    <w:rsid w:val="00B539DC"/>
    <w:rsid w:val="00B539E4"/>
    <w:rsid w:val="00B53A0A"/>
    <w:rsid w:val="00B53A18"/>
    <w:rsid w:val="00B53A1F"/>
    <w:rsid w:val="00B53A60"/>
    <w:rsid w:val="00B53A7E"/>
    <w:rsid w:val="00B53AB3"/>
    <w:rsid w:val="00B53B0F"/>
    <w:rsid w:val="00B53B18"/>
    <w:rsid w:val="00B53B73"/>
    <w:rsid w:val="00B53B83"/>
    <w:rsid w:val="00B53BA8"/>
    <w:rsid w:val="00B53D90"/>
    <w:rsid w:val="00B53E23"/>
    <w:rsid w:val="00B53E6F"/>
    <w:rsid w:val="00B53F09"/>
    <w:rsid w:val="00B53F20"/>
    <w:rsid w:val="00B53F5F"/>
    <w:rsid w:val="00B53FAE"/>
    <w:rsid w:val="00B5409F"/>
    <w:rsid w:val="00B5410A"/>
    <w:rsid w:val="00B54320"/>
    <w:rsid w:val="00B543EA"/>
    <w:rsid w:val="00B5443B"/>
    <w:rsid w:val="00B54451"/>
    <w:rsid w:val="00B544AD"/>
    <w:rsid w:val="00B544E7"/>
    <w:rsid w:val="00B54587"/>
    <w:rsid w:val="00B545B6"/>
    <w:rsid w:val="00B545BF"/>
    <w:rsid w:val="00B545E3"/>
    <w:rsid w:val="00B54627"/>
    <w:rsid w:val="00B54717"/>
    <w:rsid w:val="00B547D7"/>
    <w:rsid w:val="00B54802"/>
    <w:rsid w:val="00B548A6"/>
    <w:rsid w:val="00B548CE"/>
    <w:rsid w:val="00B5490C"/>
    <w:rsid w:val="00B54919"/>
    <w:rsid w:val="00B5493B"/>
    <w:rsid w:val="00B54998"/>
    <w:rsid w:val="00B54A4D"/>
    <w:rsid w:val="00B54A97"/>
    <w:rsid w:val="00B54B3E"/>
    <w:rsid w:val="00B54B74"/>
    <w:rsid w:val="00B54BB1"/>
    <w:rsid w:val="00B54BD7"/>
    <w:rsid w:val="00B54C03"/>
    <w:rsid w:val="00B54C83"/>
    <w:rsid w:val="00B54CDD"/>
    <w:rsid w:val="00B54D47"/>
    <w:rsid w:val="00B54E24"/>
    <w:rsid w:val="00B54E59"/>
    <w:rsid w:val="00B54EB7"/>
    <w:rsid w:val="00B54F1C"/>
    <w:rsid w:val="00B54FC3"/>
    <w:rsid w:val="00B55044"/>
    <w:rsid w:val="00B55083"/>
    <w:rsid w:val="00B550DB"/>
    <w:rsid w:val="00B5522C"/>
    <w:rsid w:val="00B552A8"/>
    <w:rsid w:val="00B552FB"/>
    <w:rsid w:val="00B55314"/>
    <w:rsid w:val="00B55318"/>
    <w:rsid w:val="00B55371"/>
    <w:rsid w:val="00B55394"/>
    <w:rsid w:val="00B553A5"/>
    <w:rsid w:val="00B55420"/>
    <w:rsid w:val="00B5544E"/>
    <w:rsid w:val="00B55462"/>
    <w:rsid w:val="00B5548F"/>
    <w:rsid w:val="00B554BC"/>
    <w:rsid w:val="00B554E1"/>
    <w:rsid w:val="00B55501"/>
    <w:rsid w:val="00B55517"/>
    <w:rsid w:val="00B55540"/>
    <w:rsid w:val="00B555F4"/>
    <w:rsid w:val="00B5562F"/>
    <w:rsid w:val="00B55650"/>
    <w:rsid w:val="00B55695"/>
    <w:rsid w:val="00B556D2"/>
    <w:rsid w:val="00B556E6"/>
    <w:rsid w:val="00B55702"/>
    <w:rsid w:val="00B557B6"/>
    <w:rsid w:val="00B557C2"/>
    <w:rsid w:val="00B557F3"/>
    <w:rsid w:val="00B55852"/>
    <w:rsid w:val="00B558BE"/>
    <w:rsid w:val="00B5592B"/>
    <w:rsid w:val="00B55971"/>
    <w:rsid w:val="00B55972"/>
    <w:rsid w:val="00B559E7"/>
    <w:rsid w:val="00B55A08"/>
    <w:rsid w:val="00B55B1F"/>
    <w:rsid w:val="00B55B9B"/>
    <w:rsid w:val="00B55C23"/>
    <w:rsid w:val="00B55C80"/>
    <w:rsid w:val="00B55C8D"/>
    <w:rsid w:val="00B55D50"/>
    <w:rsid w:val="00B55D98"/>
    <w:rsid w:val="00B55DFC"/>
    <w:rsid w:val="00B55E3C"/>
    <w:rsid w:val="00B55E61"/>
    <w:rsid w:val="00B55EAD"/>
    <w:rsid w:val="00B55EB8"/>
    <w:rsid w:val="00B55EBF"/>
    <w:rsid w:val="00B55F36"/>
    <w:rsid w:val="00B55F45"/>
    <w:rsid w:val="00B56097"/>
    <w:rsid w:val="00B560BE"/>
    <w:rsid w:val="00B560CE"/>
    <w:rsid w:val="00B560D7"/>
    <w:rsid w:val="00B560DE"/>
    <w:rsid w:val="00B560E6"/>
    <w:rsid w:val="00B561DD"/>
    <w:rsid w:val="00B56215"/>
    <w:rsid w:val="00B5628B"/>
    <w:rsid w:val="00B562D7"/>
    <w:rsid w:val="00B562FD"/>
    <w:rsid w:val="00B56307"/>
    <w:rsid w:val="00B56320"/>
    <w:rsid w:val="00B563FA"/>
    <w:rsid w:val="00B563FB"/>
    <w:rsid w:val="00B5640A"/>
    <w:rsid w:val="00B56449"/>
    <w:rsid w:val="00B564A0"/>
    <w:rsid w:val="00B564AC"/>
    <w:rsid w:val="00B564F3"/>
    <w:rsid w:val="00B565D6"/>
    <w:rsid w:val="00B565DA"/>
    <w:rsid w:val="00B565FD"/>
    <w:rsid w:val="00B5669B"/>
    <w:rsid w:val="00B567CE"/>
    <w:rsid w:val="00B56845"/>
    <w:rsid w:val="00B5687B"/>
    <w:rsid w:val="00B56891"/>
    <w:rsid w:val="00B568E6"/>
    <w:rsid w:val="00B568E8"/>
    <w:rsid w:val="00B56B8D"/>
    <w:rsid w:val="00B56BEF"/>
    <w:rsid w:val="00B56C2B"/>
    <w:rsid w:val="00B56CFE"/>
    <w:rsid w:val="00B56D02"/>
    <w:rsid w:val="00B56D5A"/>
    <w:rsid w:val="00B56D6D"/>
    <w:rsid w:val="00B56D86"/>
    <w:rsid w:val="00B56DA4"/>
    <w:rsid w:val="00B56DD0"/>
    <w:rsid w:val="00B56E2B"/>
    <w:rsid w:val="00B56F22"/>
    <w:rsid w:val="00B56FAF"/>
    <w:rsid w:val="00B570C2"/>
    <w:rsid w:val="00B570E2"/>
    <w:rsid w:val="00B5711C"/>
    <w:rsid w:val="00B5711E"/>
    <w:rsid w:val="00B57174"/>
    <w:rsid w:val="00B571A4"/>
    <w:rsid w:val="00B571B6"/>
    <w:rsid w:val="00B571CA"/>
    <w:rsid w:val="00B571DB"/>
    <w:rsid w:val="00B571EA"/>
    <w:rsid w:val="00B5728F"/>
    <w:rsid w:val="00B57329"/>
    <w:rsid w:val="00B57375"/>
    <w:rsid w:val="00B5737C"/>
    <w:rsid w:val="00B57387"/>
    <w:rsid w:val="00B5738A"/>
    <w:rsid w:val="00B573C5"/>
    <w:rsid w:val="00B573EC"/>
    <w:rsid w:val="00B57433"/>
    <w:rsid w:val="00B5744D"/>
    <w:rsid w:val="00B57455"/>
    <w:rsid w:val="00B574DF"/>
    <w:rsid w:val="00B57565"/>
    <w:rsid w:val="00B5763C"/>
    <w:rsid w:val="00B5767F"/>
    <w:rsid w:val="00B577A8"/>
    <w:rsid w:val="00B5784F"/>
    <w:rsid w:val="00B57862"/>
    <w:rsid w:val="00B57879"/>
    <w:rsid w:val="00B578FB"/>
    <w:rsid w:val="00B57998"/>
    <w:rsid w:val="00B579B2"/>
    <w:rsid w:val="00B57C2E"/>
    <w:rsid w:val="00B57C4D"/>
    <w:rsid w:val="00B57C67"/>
    <w:rsid w:val="00B57CEF"/>
    <w:rsid w:val="00B57D31"/>
    <w:rsid w:val="00B57D75"/>
    <w:rsid w:val="00B57E83"/>
    <w:rsid w:val="00B57F05"/>
    <w:rsid w:val="00B57F36"/>
    <w:rsid w:val="00B57F4C"/>
    <w:rsid w:val="00B57F8B"/>
    <w:rsid w:val="00B57FFE"/>
    <w:rsid w:val="00B6004A"/>
    <w:rsid w:val="00B60078"/>
    <w:rsid w:val="00B600BE"/>
    <w:rsid w:val="00B60110"/>
    <w:rsid w:val="00B6016B"/>
    <w:rsid w:val="00B601F8"/>
    <w:rsid w:val="00B60274"/>
    <w:rsid w:val="00B60302"/>
    <w:rsid w:val="00B60310"/>
    <w:rsid w:val="00B6033D"/>
    <w:rsid w:val="00B60343"/>
    <w:rsid w:val="00B6039E"/>
    <w:rsid w:val="00B603AF"/>
    <w:rsid w:val="00B603E6"/>
    <w:rsid w:val="00B60414"/>
    <w:rsid w:val="00B60416"/>
    <w:rsid w:val="00B60427"/>
    <w:rsid w:val="00B604B0"/>
    <w:rsid w:val="00B604B1"/>
    <w:rsid w:val="00B60530"/>
    <w:rsid w:val="00B60532"/>
    <w:rsid w:val="00B605DF"/>
    <w:rsid w:val="00B605EF"/>
    <w:rsid w:val="00B6062C"/>
    <w:rsid w:val="00B6064B"/>
    <w:rsid w:val="00B606B2"/>
    <w:rsid w:val="00B606F0"/>
    <w:rsid w:val="00B6072E"/>
    <w:rsid w:val="00B6073E"/>
    <w:rsid w:val="00B607B3"/>
    <w:rsid w:val="00B607CC"/>
    <w:rsid w:val="00B60826"/>
    <w:rsid w:val="00B6082E"/>
    <w:rsid w:val="00B60841"/>
    <w:rsid w:val="00B6085B"/>
    <w:rsid w:val="00B608D2"/>
    <w:rsid w:val="00B60924"/>
    <w:rsid w:val="00B6096F"/>
    <w:rsid w:val="00B60998"/>
    <w:rsid w:val="00B609FD"/>
    <w:rsid w:val="00B60A70"/>
    <w:rsid w:val="00B60AA7"/>
    <w:rsid w:val="00B60B37"/>
    <w:rsid w:val="00B60BA5"/>
    <w:rsid w:val="00B60BF6"/>
    <w:rsid w:val="00B60D55"/>
    <w:rsid w:val="00B60DFF"/>
    <w:rsid w:val="00B60E62"/>
    <w:rsid w:val="00B60EBD"/>
    <w:rsid w:val="00B60EF8"/>
    <w:rsid w:val="00B60EFE"/>
    <w:rsid w:val="00B60F42"/>
    <w:rsid w:val="00B60F5B"/>
    <w:rsid w:val="00B60F8F"/>
    <w:rsid w:val="00B60F90"/>
    <w:rsid w:val="00B60FF4"/>
    <w:rsid w:val="00B61007"/>
    <w:rsid w:val="00B61074"/>
    <w:rsid w:val="00B61096"/>
    <w:rsid w:val="00B610B1"/>
    <w:rsid w:val="00B61185"/>
    <w:rsid w:val="00B61186"/>
    <w:rsid w:val="00B611C0"/>
    <w:rsid w:val="00B611CE"/>
    <w:rsid w:val="00B611F1"/>
    <w:rsid w:val="00B61222"/>
    <w:rsid w:val="00B6123C"/>
    <w:rsid w:val="00B613C3"/>
    <w:rsid w:val="00B613EF"/>
    <w:rsid w:val="00B6145E"/>
    <w:rsid w:val="00B6146F"/>
    <w:rsid w:val="00B61485"/>
    <w:rsid w:val="00B614CD"/>
    <w:rsid w:val="00B6150D"/>
    <w:rsid w:val="00B615C9"/>
    <w:rsid w:val="00B61619"/>
    <w:rsid w:val="00B6168E"/>
    <w:rsid w:val="00B616A2"/>
    <w:rsid w:val="00B6174B"/>
    <w:rsid w:val="00B6181C"/>
    <w:rsid w:val="00B61823"/>
    <w:rsid w:val="00B61864"/>
    <w:rsid w:val="00B61871"/>
    <w:rsid w:val="00B618B4"/>
    <w:rsid w:val="00B618BD"/>
    <w:rsid w:val="00B618C2"/>
    <w:rsid w:val="00B6191A"/>
    <w:rsid w:val="00B61951"/>
    <w:rsid w:val="00B619A5"/>
    <w:rsid w:val="00B619AC"/>
    <w:rsid w:val="00B61A6B"/>
    <w:rsid w:val="00B61A7F"/>
    <w:rsid w:val="00B61B7F"/>
    <w:rsid w:val="00B61D1E"/>
    <w:rsid w:val="00B61D39"/>
    <w:rsid w:val="00B61D54"/>
    <w:rsid w:val="00B61EF0"/>
    <w:rsid w:val="00B61FAD"/>
    <w:rsid w:val="00B61FBE"/>
    <w:rsid w:val="00B62167"/>
    <w:rsid w:val="00B6218B"/>
    <w:rsid w:val="00B62228"/>
    <w:rsid w:val="00B6224E"/>
    <w:rsid w:val="00B6225B"/>
    <w:rsid w:val="00B62281"/>
    <w:rsid w:val="00B62296"/>
    <w:rsid w:val="00B622B7"/>
    <w:rsid w:val="00B622D1"/>
    <w:rsid w:val="00B62393"/>
    <w:rsid w:val="00B62465"/>
    <w:rsid w:val="00B62493"/>
    <w:rsid w:val="00B624FD"/>
    <w:rsid w:val="00B626D9"/>
    <w:rsid w:val="00B6270D"/>
    <w:rsid w:val="00B62728"/>
    <w:rsid w:val="00B6272D"/>
    <w:rsid w:val="00B62732"/>
    <w:rsid w:val="00B62819"/>
    <w:rsid w:val="00B628DC"/>
    <w:rsid w:val="00B62977"/>
    <w:rsid w:val="00B6298E"/>
    <w:rsid w:val="00B62A10"/>
    <w:rsid w:val="00B62A1E"/>
    <w:rsid w:val="00B62A21"/>
    <w:rsid w:val="00B62A57"/>
    <w:rsid w:val="00B62A86"/>
    <w:rsid w:val="00B62ABD"/>
    <w:rsid w:val="00B62AE4"/>
    <w:rsid w:val="00B62B37"/>
    <w:rsid w:val="00B62BCF"/>
    <w:rsid w:val="00B62BDD"/>
    <w:rsid w:val="00B62C10"/>
    <w:rsid w:val="00B62C11"/>
    <w:rsid w:val="00B62C30"/>
    <w:rsid w:val="00B62D0E"/>
    <w:rsid w:val="00B62D1C"/>
    <w:rsid w:val="00B62D2A"/>
    <w:rsid w:val="00B62D40"/>
    <w:rsid w:val="00B62D6B"/>
    <w:rsid w:val="00B62DEE"/>
    <w:rsid w:val="00B62E21"/>
    <w:rsid w:val="00B62E27"/>
    <w:rsid w:val="00B62E37"/>
    <w:rsid w:val="00B62EAB"/>
    <w:rsid w:val="00B62EF7"/>
    <w:rsid w:val="00B62FDB"/>
    <w:rsid w:val="00B63008"/>
    <w:rsid w:val="00B6300E"/>
    <w:rsid w:val="00B63051"/>
    <w:rsid w:val="00B630CE"/>
    <w:rsid w:val="00B630D2"/>
    <w:rsid w:val="00B630F7"/>
    <w:rsid w:val="00B6317B"/>
    <w:rsid w:val="00B63191"/>
    <w:rsid w:val="00B631B5"/>
    <w:rsid w:val="00B631DF"/>
    <w:rsid w:val="00B631E2"/>
    <w:rsid w:val="00B631E7"/>
    <w:rsid w:val="00B631ED"/>
    <w:rsid w:val="00B63216"/>
    <w:rsid w:val="00B6323E"/>
    <w:rsid w:val="00B632E8"/>
    <w:rsid w:val="00B6335A"/>
    <w:rsid w:val="00B63399"/>
    <w:rsid w:val="00B633A1"/>
    <w:rsid w:val="00B633A8"/>
    <w:rsid w:val="00B63425"/>
    <w:rsid w:val="00B6343E"/>
    <w:rsid w:val="00B63464"/>
    <w:rsid w:val="00B63525"/>
    <w:rsid w:val="00B63548"/>
    <w:rsid w:val="00B635C0"/>
    <w:rsid w:val="00B636F8"/>
    <w:rsid w:val="00B6373B"/>
    <w:rsid w:val="00B637A9"/>
    <w:rsid w:val="00B6380A"/>
    <w:rsid w:val="00B63835"/>
    <w:rsid w:val="00B63860"/>
    <w:rsid w:val="00B638A0"/>
    <w:rsid w:val="00B638AF"/>
    <w:rsid w:val="00B63914"/>
    <w:rsid w:val="00B63942"/>
    <w:rsid w:val="00B6399E"/>
    <w:rsid w:val="00B639C4"/>
    <w:rsid w:val="00B63A59"/>
    <w:rsid w:val="00B63A74"/>
    <w:rsid w:val="00B63ACC"/>
    <w:rsid w:val="00B63B09"/>
    <w:rsid w:val="00B63BD8"/>
    <w:rsid w:val="00B63CB6"/>
    <w:rsid w:val="00B63CE4"/>
    <w:rsid w:val="00B63D4A"/>
    <w:rsid w:val="00B63D52"/>
    <w:rsid w:val="00B63DFE"/>
    <w:rsid w:val="00B63E47"/>
    <w:rsid w:val="00B63EF7"/>
    <w:rsid w:val="00B63F74"/>
    <w:rsid w:val="00B64010"/>
    <w:rsid w:val="00B6402D"/>
    <w:rsid w:val="00B6404A"/>
    <w:rsid w:val="00B64115"/>
    <w:rsid w:val="00B6413A"/>
    <w:rsid w:val="00B64216"/>
    <w:rsid w:val="00B64226"/>
    <w:rsid w:val="00B64294"/>
    <w:rsid w:val="00B642B6"/>
    <w:rsid w:val="00B642F8"/>
    <w:rsid w:val="00B64334"/>
    <w:rsid w:val="00B643D0"/>
    <w:rsid w:val="00B643EE"/>
    <w:rsid w:val="00B643FE"/>
    <w:rsid w:val="00B64416"/>
    <w:rsid w:val="00B64450"/>
    <w:rsid w:val="00B6450C"/>
    <w:rsid w:val="00B64593"/>
    <w:rsid w:val="00B645A2"/>
    <w:rsid w:val="00B645EF"/>
    <w:rsid w:val="00B645FD"/>
    <w:rsid w:val="00B64600"/>
    <w:rsid w:val="00B6463B"/>
    <w:rsid w:val="00B646E8"/>
    <w:rsid w:val="00B6470F"/>
    <w:rsid w:val="00B6480E"/>
    <w:rsid w:val="00B6483E"/>
    <w:rsid w:val="00B6484A"/>
    <w:rsid w:val="00B64868"/>
    <w:rsid w:val="00B648F1"/>
    <w:rsid w:val="00B649D2"/>
    <w:rsid w:val="00B649F5"/>
    <w:rsid w:val="00B64AAA"/>
    <w:rsid w:val="00B64AB3"/>
    <w:rsid w:val="00B64B00"/>
    <w:rsid w:val="00B64B2F"/>
    <w:rsid w:val="00B64B4D"/>
    <w:rsid w:val="00B64B8C"/>
    <w:rsid w:val="00B64C02"/>
    <w:rsid w:val="00B64C0F"/>
    <w:rsid w:val="00B64C55"/>
    <w:rsid w:val="00B64CB6"/>
    <w:rsid w:val="00B64CED"/>
    <w:rsid w:val="00B64CFD"/>
    <w:rsid w:val="00B64D37"/>
    <w:rsid w:val="00B64D65"/>
    <w:rsid w:val="00B64DA3"/>
    <w:rsid w:val="00B64DDC"/>
    <w:rsid w:val="00B64DEE"/>
    <w:rsid w:val="00B64E6E"/>
    <w:rsid w:val="00B64E8E"/>
    <w:rsid w:val="00B64E9A"/>
    <w:rsid w:val="00B64E9E"/>
    <w:rsid w:val="00B64EF4"/>
    <w:rsid w:val="00B64EFD"/>
    <w:rsid w:val="00B64F25"/>
    <w:rsid w:val="00B64F57"/>
    <w:rsid w:val="00B64F9F"/>
    <w:rsid w:val="00B64FE8"/>
    <w:rsid w:val="00B6503A"/>
    <w:rsid w:val="00B6533E"/>
    <w:rsid w:val="00B653B1"/>
    <w:rsid w:val="00B653C8"/>
    <w:rsid w:val="00B65516"/>
    <w:rsid w:val="00B65597"/>
    <w:rsid w:val="00B6561B"/>
    <w:rsid w:val="00B656E3"/>
    <w:rsid w:val="00B65737"/>
    <w:rsid w:val="00B65739"/>
    <w:rsid w:val="00B65746"/>
    <w:rsid w:val="00B65759"/>
    <w:rsid w:val="00B657B8"/>
    <w:rsid w:val="00B657F8"/>
    <w:rsid w:val="00B65809"/>
    <w:rsid w:val="00B6581B"/>
    <w:rsid w:val="00B65888"/>
    <w:rsid w:val="00B658C5"/>
    <w:rsid w:val="00B65951"/>
    <w:rsid w:val="00B6595C"/>
    <w:rsid w:val="00B65A7A"/>
    <w:rsid w:val="00B65B44"/>
    <w:rsid w:val="00B65C15"/>
    <w:rsid w:val="00B65C22"/>
    <w:rsid w:val="00B65CEC"/>
    <w:rsid w:val="00B65CF3"/>
    <w:rsid w:val="00B65D25"/>
    <w:rsid w:val="00B65D62"/>
    <w:rsid w:val="00B65E35"/>
    <w:rsid w:val="00B65E36"/>
    <w:rsid w:val="00B65E7F"/>
    <w:rsid w:val="00B65EB8"/>
    <w:rsid w:val="00B65EC2"/>
    <w:rsid w:val="00B66027"/>
    <w:rsid w:val="00B66063"/>
    <w:rsid w:val="00B660B9"/>
    <w:rsid w:val="00B660BA"/>
    <w:rsid w:val="00B6611B"/>
    <w:rsid w:val="00B6614C"/>
    <w:rsid w:val="00B66164"/>
    <w:rsid w:val="00B661AF"/>
    <w:rsid w:val="00B66244"/>
    <w:rsid w:val="00B6625C"/>
    <w:rsid w:val="00B6627D"/>
    <w:rsid w:val="00B66288"/>
    <w:rsid w:val="00B66295"/>
    <w:rsid w:val="00B6640F"/>
    <w:rsid w:val="00B6645C"/>
    <w:rsid w:val="00B66462"/>
    <w:rsid w:val="00B664C4"/>
    <w:rsid w:val="00B665C1"/>
    <w:rsid w:val="00B665CF"/>
    <w:rsid w:val="00B66686"/>
    <w:rsid w:val="00B6671E"/>
    <w:rsid w:val="00B6674D"/>
    <w:rsid w:val="00B667B0"/>
    <w:rsid w:val="00B66854"/>
    <w:rsid w:val="00B66958"/>
    <w:rsid w:val="00B66980"/>
    <w:rsid w:val="00B669B2"/>
    <w:rsid w:val="00B66B63"/>
    <w:rsid w:val="00B66BAE"/>
    <w:rsid w:val="00B66BBC"/>
    <w:rsid w:val="00B66D23"/>
    <w:rsid w:val="00B66D28"/>
    <w:rsid w:val="00B66D3B"/>
    <w:rsid w:val="00B66D43"/>
    <w:rsid w:val="00B66D8E"/>
    <w:rsid w:val="00B66DE6"/>
    <w:rsid w:val="00B66E9C"/>
    <w:rsid w:val="00B66E9F"/>
    <w:rsid w:val="00B66FD5"/>
    <w:rsid w:val="00B670A8"/>
    <w:rsid w:val="00B670E2"/>
    <w:rsid w:val="00B6716E"/>
    <w:rsid w:val="00B67190"/>
    <w:rsid w:val="00B67196"/>
    <w:rsid w:val="00B671A0"/>
    <w:rsid w:val="00B671D0"/>
    <w:rsid w:val="00B671E8"/>
    <w:rsid w:val="00B671F0"/>
    <w:rsid w:val="00B6720F"/>
    <w:rsid w:val="00B67328"/>
    <w:rsid w:val="00B67375"/>
    <w:rsid w:val="00B673C5"/>
    <w:rsid w:val="00B674B7"/>
    <w:rsid w:val="00B674FE"/>
    <w:rsid w:val="00B67520"/>
    <w:rsid w:val="00B67554"/>
    <w:rsid w:val="00B6757F"/>
    <w:rsid w:val="00B675D6"/>
    <w:rsid w:val="00B67607"/>
    <w:rsid w:val="00B676B3"/>
    <w:rsid w:val="00B676EA"/>
    <w:rsid w:val="00B67735"/>
    <w:rsid w:val="00B6773C"/>
    <w:rsid w:val="00B6785F"/>
    <w:rsid w:val="00B67868"/>
    <w:rsid w:val="00B6787A"/>
    <w:rsid w:val="00B678BE"/>
    <w:rsid w:val="00B678F2"/>
    <w:rsid w:val="00B678F7"/>
    <w:rsid w:val="00B679A8"/>
    <w:rsid w:val="00B67A6E"/>
    <w:rsid w:val="00B67ADF"/>
    <w:rsid w:val="00B67B61"/>
    <w:rsid w:val="00B67B74"/>
    <w:rsid w:val="00B67C51"/>
    <w:rsid w:val="00B67C84"/>
    <w:rsid w:val="00B67CBB"/>
    <w:rsid w:val="00B67CD7"/>
    <w:rsid w:val="00B67D35"/>
    <w:rsid w:val="00B67E07"/>
    <w:rsid w:val="00B67E72"/>
    <w:rsid w:val="00B67EBF"/>
    <w:rsid w:val="00B67FA1"/>
    <w:rsid w:val="00B67FB2"/>
    <w:rsid w:val="00B7002D"/>
    <w:rsid w:val="00B70120"/>
    <w:rsid w:val="00B7012A"/>
    <w:rsid w:val="00B70136"/>
    <w:rsid w:val="00B70256"/>
    <w:rsid w:val="00B702CF"/>
    <w:rsid w:val="00B7038E"/>
    <w:rsid w:val="00B70391"/>
    <w:rsid w:val="00B70462"/>
    <w:rsid w:val="00B7046C"/>
    <w:rsid w:val="00B7046D"/>
    <w:rsid w:val="00B70480"/>
    <w:rsid w:val="00B704F3"/>
    <w:rsid w:val="00B70593"/>
    <w:rsid w:val="00B70643"/>
    <w:rsid w:val="00B706CA"/>
    <w:rsid w:val="00B7074F"/>
    <w:rsid w:val="00B70791"/>
    <w:rsid w:val="00B707CE"/>
    <w:rsid w:val="00B70886"/>
    <w:rsid w:val="00B708B3"/>
    <w:rsid w:val="00B70954"/>
    <w:rsid w:val="00B70A0A"/>
    <w:rsid w:val="00B70A16"/>
    <w:rsid w:val="00B70AD5"/>
    <w:rsid w:val="00B70AFD"/>
    <w:rsid w:val="00B70B09"/>
    <w:rsid w:val="00B70B6B"/>
    <w:rsid w:val="00B70BD6"/>
    <w:rsid w:val="00B70BDA"/>
    <w:rsid w:val="00B70C12"/>
    <w:rsid w:val="00B70C28"/>
    <w:rsid w:val="00B70C6E"/>
    <w:rsid w:val="00B70C97"/>
    <w:rsid w:val="00B70CBD"/>
    <w:rsid w:val="00B70CFF"/>
    <w:rsid w:val="00B70D3B"/>
    <w:rsid w:val="00B70D47"/>
    <w:rsid w:val="00B70E0B"/>
    <w:rsid w:val="00B70E0E"/>
    <w:rsid w:val="00B70E4C"/>
    <w:rsid w:val="00B70E4F"/>
    <w:rsid w:val="00B70ECC"/>
    <w:rsid w:val="00B70F73"/>
    <w:rsid w:val="00B71104"/>
    <w:rsid w:val="00B71109"/>
    <w:rsid w:val="00B7115C"/>
    <w:rsid w:val="00B7117A"/>
    <w:rsid w:val="00B71256"/>
    <w:rsid w:val="00B7125C"/>
    <w:rsid w:val="00B712CD"/>
    <w:rsid w:val="00B712EF"/>
    <w:rsid w:val="00B71304"/>
    <w:rsid w:val="00B7133F"/>
    <w:rsid w:val="00B71365"/>
    <w:rsid w:val="00B713ED"/>
    <w:rsid w:val="00B71414"/>
    <w:rsid w:val="00B714D7"/>
    <w:rsid w:val="00B71526"/>
    <w:rsid w:val="00B715BB"/>
    <w:rsid w:val="00B715D5"/>
    <w:rsid w:val="00B715FC"/>
    <w:rsid w:val="00B7160B"/>
    <w:rsid w:val="00B71636"/>
    <w:rsid w:val="00B71641"/>
    <w:rsid w:val="00B7169F"/>
    <w:rsid w:val="00B716B5"/>
    <w:rsid w:val="00B716D3"/>
    <w:rsid w:val="00B71721"/>
    <w:rsid w:val="00B71741"/>
    <w:rsid w:val="00B717AF"/>
    <w:rsid w:val="00B717DD"/>
    <w:rsid w:val="00B7180A"/>
    <w:rsid w:val="00B71830"/>
    <w:rsid w:val="00B71853"/>
    <w:rsid w:val="00B718DA"/>
    <w:rsid w:val="00B71915"/>
    <w:rsid w:val="00B71A17"/>
    <w:rsid w:val="00B71A4B"/>
    <w:rsid w:val="00B71B56"/>
    <w:rsid w:val="00B71B5B"/>
    <w:rsid w:val="00B71BC3"/>
    <w:rsid w:val="00B71C08"/>
    <w:rsid w:val="00B71C09"/>
    <w:rsid w:val="00B71C13"/>
    <w:rsid w:val="00B71C46"/>
    <w:rsid w:val="00B71CB3"/>
    <w:rsid w:val="00B71EE8"/>
    <w:rsid w:val="00B71F6F"/>
    <w:rsid w:val="00B71F72"/>
    <w:rsid w:val="00B71F93"/>
    <w:rsid w:val="00B71F96"/>
    <w:rsid w:val="00B72015"/>
    <w:rsid w:val="00B72039"/>
    <w:rsid w:val="00B720B5"/>
    <w:rsid w:val="00B720EA"/>
    <w:rsid w:val="00B720FB"/>
    <w:rsid w:val="00B7213D"/>
    <w:rsid w:val="00B72156"/>
    <w:rsid w:val="00B7219F"/>
    <w:rsid w:val="00B721AB"/>
    <w:rsid w:val="00B72238"/>
    <w:rsid w:val="00B72289"/>
    <w:rsid w:val="00B722CB"/>
    <w:rsid w:val="00B7242F"/>
    <w:rsid w:val="00B724C2"/>
    <w:rsid w:val="00B724C8"/>
    <w:rsid w:val="00B724DF"/>
    <w:rsid w:val="00B724F4"/>
    <w:rsid w:val="00B724FC"/>
    <w:rsid w:val="00B72517"/>
    <w:rsid w:val="00B7258C"/>
    <w:rsid w:val="00B72647"/>
    <w:rsid w:val="00B7265A"/>
    <w:rsid w:val="00B7265B"/>
    <w:rsid w:val="00B7265D"/>
    <w:rsid w:val="00B72679"/>
    <w:rsid w:val="00B72728"/>
    <w:rsid w:val="00B72859"/>
    <w:rsid w:val="00B728AE"/>
    <w:rsid w:val="00B72A65"/>
    <w:rsid w:val="00B72AEE"/>
    <w:rsid w:val="00B72B1C"/>
    <w:rsid w:val="00B72B25"/>
    <w:rsid w:val="00B72B7A"/>
    <w:rsid w:val="00B72BA7"/>
    <w:rsid w:val="00B72BA8"/>
    <w:rsid w:val="00B72BAF"/>
    <w:rsid w:val="00B72C15"/>
    <w:rsid w:val="00B72D66"/>
    <w:rsid w:val="00B72D93"/>
    <w:rsid w:val="00B72E01"/>
    <w:rsid w:val="00B72E40"/>
    <w:rsid w:val="00B72F13"/>
    <w:rsid w:val="00B72F34"/>
    <w:rsid w:val="00B72F5C"/>
    <w:rsid w:val="00B72F66"/>
    <w:rsid w:val="00B72F6E"/>
    <w:rsid w:val="00B72F89"/>
    <w:rsid w:val="00B7300B"/>
    <w:rsid w:val="00B73051"/>
    <w:rsid w:val="00B7306A"/>
    <w:rsid w:val="00B73144"/>
    <w:rsid w:val="00B73175"/>
    <w:rsid w:val="00B73184"/>
    <w:rsid w:val="00B731A3"/>
    <w:rsid w:val="00B731BE"/>
    <w:rsid w:val="00B73212"/>
    <w:rsid w:val="00B73256"/>
    <w:rsid w:val="00B732C1"/>
    <w:rsid w:val="00B732E0"/>
    <w:rsid w:val="00B732F0"/>
    <w:rsid w:val="00B73376"/>
    <w:rsid w:val="00B73433"/>
    <w:rsid w:val="00B7345D"/>
    <w:rsid w:val="00B7350C"/>
    <w:rsid w:val="00B73513"/>
    <w:rsid w:val="00B73517"/>
    <w:rsid w:val="00B73533"/>
    <w:rsid w:val="00B73577"/>
    <w:rsid w:val="00B7357D"/>
    <w:rsid w:val="00B73593"/>
    <w:rsid w:val="00B735C5"/>
    <w:rsid w:val="00B735EA"/>
    <w:rsid w:val="00B73609"/>
    <w:rsid w:val="00B7365A"/>
    <w:rsid w:val="00B736EC"/>
    <w:rsid w:val="00B737FA"/>
    <w:rsid w:val="00B738C5"/>
    <w:rsid w:val="00B73986"/>
    <w:rsid w:val="00B73A34"/>
    <w:rsid w:val="00B73A50"/>
    <w:rsid w:val="00B73A7E"/>
    <w:rsid w:val="00B73AC3"/>
    <w:rsid w:val="00B73AFE"/>
    <w:rsid w:val="00B73BCD"/>
    <w:rsid w:val="00B73C0F"/>
    <w:rsid w:val="00B73C1D"/>
    <w:rsid w:val="00B73C91"/>
    <w:rsid w:val="00B73C97"/>
    <w:rsid w:val="00B73CA7"/>
    <w:rsid w:val="00B73CAD"/>
    <w:rsid w:val="00B73CB0"/>
    <w:rsid w:val="00B73D21"/>
    <w:rsid w:val="00B73D36"/>
    <w:rsid w:val="00B73D6C"/>
    <w:rsid w:val="00B73E63"/>
    <w:rsid w:val="00B73E9C"/>
    <w:rsid w:val="00B73EA6"/>
    <w:rsid w:val="00B73FDA"/>
    <w:rsid w:val="00B73FFA"/>
    <w:rsid w:val="00B7407F"/>
    <w:rsid w:val="00B740B0"/>
    <w:rsid w:val="00B740BC"/>
    <w:rsid w:val="00B7412E"/>
    <w:rsid w:val="00B74139"/>
    <w:rsid w:val="00B7419A"/>
    <w:rsid w:val="00B741A4"/>
    <w:rsid w:val="00B7420C"/>
    <w:rsid w:val="00B7425A"/>
    <w:rsid w:val="00B742EE"/>
    <w:rsid w:val="00B74304"/>
    <w:rsid w:val="00B74383"/>
    <w:rsid w:val="00B743F3"/>
    <w:rsid w:val="00B743FC"/>
    <w:rsid w:val="00B744FC"/>
    <w:rsid w:val="00B74505"/>
    <w:rsid w:val="00B7455B"/>
    <w:rsid w:val="00B745BB"/>
    <w:rsid w:val="00B745D5"/>
    <w:rsid w:val="00B745EA"/>
    <w:rsid w:val="00B74622"/>
    <w:rsid w:val="00B746EE"/>
    <w:rsid w:val="00B7477A"/>
    <w:rsid w:val="00B74849"/>
    <w:rsid w:val="00B74863"/>
    <w:rsid w:val="00B74868"/>
    <w:rsid w:val="00B748D7"/>
    <w:rsid w:val="00B74965"/>
    <w:rsid w:val="00B74A37"/>
    <w:rsid w:val="00B74AA2"/>
    <w:rsid w:val="00B74AE3"/>
    <w:rsid w:val="00B74BAA"/>
    <w:rsid w:val="00B74C3D"/>
    <w:rsid w:val="00B74C65"/>
    <w:rsid w:val="00B74C66"/>
    <w:rsid w:val="00B74E1B"/>
    <w:rsid w:val="00B74E1E"/>
    <w:rsid w:val="00B74FD5"/>
    <w:rsid w:val="00B74FDE"/>
    <w:rsid w:val="00B75029"/>
    <w:rsid w:val="00B75070"/>
    <w:rsid w:val="00B750DB"/>
    <w:rsid w:val="00B75133"/>
    <w:rsid w:val="00B75138"/>
    <w:rsid w:val="00B75156"/>
    <w:rsid w:val="00B751C6"/>
    <w:rsid w:val="00B751D0"/>
    <w:rsid w:val="00B75228"/>
    <w:rsid w:val="00B75313"/>
    <w:rsid w:val="00B75325"/>
    <w:rsid w:val="00B75327"/>
    <w:rsid w:val="00B75330"/>
    <w:rsid w:val="00B75380"/>
    <w:rsid w:val="00B7545D"/>
    <w:rsid w:val="00B754B1"/>
    <w:rsid w:val="00B754C1"/>
    <w:rsid w:val="00B754DA"/>
    <w:rsid w:val="00B75559"/>
    <w:rsid w:val="00B755D5"/>
    <w:rsid w:val="00B75633"/>
    <w:rsid w:val="00B75676"/>
    <w:rsid w:val="00B75692"/>
    <w:rsid w:val="00B75731"/>
    <w:rsid w:val="00B75746"/>
    <w:rsid w:val="00B7578B"/>
    <w:rsid w:val="00B75797"/>
    <w:rsid w:val="00B757C8"/>
    <w:rsid w:val="00B7580F"/>
    <w:rsid w:val="00B75838"/>
    <w:rsid w:val="00B7590A"/>
    <w:rsid w:val="00B75967"/>
    <w:rsid w:val="00B759BE"/>
    <w:rsid w:val="00B759C3"/>
    <w:rsid w:val="00B75A77"/>
    <w:rsid w:val="00B75ADB"/>
    <w:rsid w:val="00B75B13"/>
    <w:rsid w:val="00B75B6E"/>
    <w:rsid w:val="00B75B99"/>
    <w:rsid w:val="00B75BED"/>
    <w:rsid w:val="00B75CFE"/>
    <w:rsid w:val="00B75E44"/>
    <w:rsid w:val="00B75E51"/>
    <w:rsid w:val="00B75E6B"/>
    <w:rsid w:val="00B75F37"/>
    <w:rsid w:val="00B75FEC"/>
    <w:rsid w:val="00B76044"/>
    <w:rsid w:val="00B76059"/>
    <w:rsid w:val="00B76087"/>
    <w:rsid w:val="00B760BE"/>
    <w:rsid w:val="00B76115"/>
    <w:rsid w:val="00B76157"/>
    <w:rsid w:val="00B7616A"/>
    <w:rsid w:val="00B76180"/>
    <w:rsid w:val="00B761CA"/>
    <w:rsid w:val="00B76227"/>
    <w:rsid w:val="00B762A5"/>
    <w:rsid w:val="00B762BD"/>
    <w:rsid w:val="00B762C2"/>
    <w:rsid w:val="00B762C5"/>
    <w:rsid w:val="00B76311"/>
    <w:rsid w:val="00B76347"/>
    <w:rsid w:val="00B7635A"/>
    <w:rsid w:val="00B763F7"/>
    <w:rsid w:val="00B76428"/>
    <w:rsid w:val="00B76460"/>
    <w:rsid w:val="00B76490"/>
    <w:rsid w:val="00B764DF"/>
    <w:rsid w:val="00B765A0"/>
    <w:rsid w:val="00B765B6"/>
    <w:rsid w:val="00B76653"/>
    <w:rsid w:val="00B7667B"/>
    <w:rsid w:val="00B7674E"/>
    <w:rsid w:val="00B7679A"/>
    <w:rsid w:val="00B76842"/>
    <w:rsid w:val="00B76917"/>
    <w:rsid w:val="00B76944"/>
    <w:rsid w:val="00B7695E"/>
    <w:rsid w:val="00B76969"/>
    <w:rsid w:val="00B76A5B"/>
    <w:rsid w:val="00B76A69"/>
    <w:rsid w:val="00B76A71"/>
    <w:rsid w:val="00B76AC7"/>
    <w:rsid w:val="00B76AFC"/>
    <w:rsid w:val="00B76B00"/>
    <w:rsid w:val="00B76B6D"/>
    <w:rsid w:val="00B76B88"/>
    <w:rsid w:val="00B76B89"/>
    <w:rsid w:val="00B76BEE"/>
    <w:rsid w:val="00B76C0D"/>
    <w:rsid w:val="00B76D04"/>
    <w:rsid w:val="00B76D60"/>
    <w:rsid w:val="00B76D9F"/>
    <w:rsid w:val="00B76DCE"/>
    <w:rsid w:val="00B76E32"/>
    <w:rsid w:val="00B76E6D"/>
    <w:rsid w:val="00B76EB7"/>
    <w:rsid w:val="00B76F66"/>
    <w:rsid w:val="00B76FEE"/>
    <w:rsid w:val="00B77011"/>
    <w:rsid w:val="00B7703C"/>
    <w:rsid w:val="00B77085"/>
    <w:rsid w:val="00B770AB"/>
    <w:rsid w:val="00B770C7"/>
    <w:rsid w:val="00B770D8"/>
    <w:rsid w:val="00B770FD"/>
    <w:rsid w:val="00B77103"/>
    <w:rsid w:val="00B77119"/>
    <w:rsid w:val="00B771B5"/>
    <w:rsid w:val="00B77290"/>
    <w:rsid w:val="00B772A6"/>
    <w:rsid w:val="00B772C6"/>
    <w:rsid w:val="00B772FB"/>
    <w:rsid w:val="00B773F5"/>
    <w:rsid w:val="00B7741A"/>
    <w:rsid w:val="00B77428"/>
    <w:rsid w:val="00B77498"/>
    <w:rsid w:val="00B774AD"/>
    <w:rsid w:val="00B774D7"/>
    <w:rsid w:val="00B77581"/>
    <w:rsid w:val="00B775B5"/>
    <w:rsid w:val="00B77637"/>
    <w:rsid w:val="00B77698"/>
    <w:rsid w:val="00B7774C"/>
    <w:rsid w:val="00B7787E"/>
    <w:rsid w:val="00B778F9"/>
    <w:rsid w:val="00B77921"/>
    <w:rsid w:val="00B779C9"/>
    <w:rsid w:val="00B77A9E"/>
    <w:rsid w:val="00B77B59"/>
    <w:rsid w:val="00B77C0C"/>
    <w:rsid w:val="00B77D14"/>
    <w:rsid w:val="00B77D7B"/>
    <w:rsid w:val="00B77DE0"/>
    <w:rsid w:val="00B77EB6"/>
    <w:rsid w:val="00B77F09"/>
    <w:rsid w:val="00B77F31"/>
    <w:rsid w:val="00B77F79"/>
    <w:rsid w:val="00B77FB3"/>
    <w:rsid w:val="00B8000B"/>
    <w:rsid w:val="00B8004A"/>
    <w:rsid w:val="00B8005E"/>
    <w:rsid w:val="00B80096"/>
    <w:rsid w:val="00B8015C"/>
    <w:rsid w:val="00B8016D"/>
    <w:rsid w:val="00B80191"/>
    <w:rsid w:val="00B80199"/>
    <w:rsid w:val="00B801BA"/>
    <w:rsid w:val="00B80217"/>
    <w:rsid w:val="00B802B4"/>
    <w:rsid w:val="00B802C3"/>
    <w:rsid w:val="00B802CE"/>
    <w:rsid w:val="00B803DA"/>
    <w:rsid w:val="00B80416"/>
    <w:rsid w:val="00B8043D"/>
    <w:rsid w:val="00B804E9"/>
    <w:rsid w:val="00B8050E"/>
    <w:rsid w:val="00B80580"/>
    <w:rsid w:val="00B805CC"/>
    <w:rsid w:val="00B8060D"/>
    <w:rsid w:val="00B80612"/>
    <w:rsid w:val="00B80671"/>
    <w:rsid w:val="00B806DB"/>
    <w:rsid w:val="00B806E1"/>
    <w:rsid w:val="00B8071E"/>
    <w:rsid w:val="00B8090E"/>
    <w:rsid w:val="00B80954"/>
    <w:rsid w:val="00B8099A"/>
    <w:rsid w:val="00B809EB"/>
    <w:rsid w:val="00B80A49"/>
    <w:rsid w:val="00B80A76"/>
    <w:rsid w:val="00B80AEC"/>
    <w:rsid w:val="00B80B13"/>
    <w:rsid w:val="00B80B14"/>
    <w:rsid w:val="00B80BED"/>
    <w:rsid w:val="00B80CEE"/>
    <w:rsid w:val="00B80D29"/>
    <w:rsid w:val="00B80D33"/>
    <w:rsid w:val="00B80D36"/>
    <w:rsid w:val="00B80E9D"/>
    <w:rsid w:val="00B80ECB"/>
    <w:rsid w:val="00B80EF6"/>
    <w:rsid w:val="00B80EFD"/>
    <w:rsid w:val="00B80F20"/>
    <w:rsid w:val="00B80F88"/>
    <w:rsid w:val="00B80FC6"/>
    <w:rsid w:val="00B81065"/>
    <w:rsid w:val="00B810A2"/>
    <w:rsid w:val="00B810B9"/>
    <w:rsid w:val="00B81124"/>
    <w:rsid w:val="00B81274"/>
    <w:rsid w:val="00B812B2"/>
    <w:rsid w:val="00B81325"/>
    <w:rsid w:val="00B8133D"/>
    <w:rsid w:val="00B81401"/>
    <w:rsid w:val="00B81464"/>
    <w:rsid w:val="00B814AA"/>
    <w:rsid w:val="00B81533"/>
    <w:rsid w:val="00B815B5"/>
    <w:rsid w:val="00B815D1"/>
    <w:rsid w:val="00B815F3"/>
    <w:rsid w:val="00B8164A"/>
    <w:rsid w:val="00B81769"/>
    <w:rsid w:val="00B817D7"/>
    <w:rsid w:val="00B819AC"/>
    <w:rsid w:val="00B81A67"/>
    <w:rsid w:val="00B81A80"/>
    <w:rsid w:val="00B81A89"/>
    <w:rsid w:val="00B81A8B"/>
    <w:rsid w:val="00B81AEA"/>
    <w:rsid w:val="00B81AEE"/>
    <w:rsid w:val="00B81AEF"/>
    <w:rsid w:val="00B81B77"/>
    <w:rsid w:val="00B81BAE"/>
    <w:rsid w:val="00B81BF6"/>
    <w:rsid w:val="00B81BFE"/>
    <w:rsid w:val="00B81C35"/>
    <w:rsid w:val="00B81CC8"/>
    <w:rsid w:val="00B81CED"/>
    <w:rsid w:val="00B81D57"/>
    <w:rsid w:val="00B81F53"/>
    <w:rsid w:val="00B81F95"/>
    <w:rsid w:val="00B81F9A"/>
    <w:rsid w:val="00B81FA6"/>
    <w:rsid w:val="00B81FB7"/>
    <w:rsid w:val="00B81FC7"/>
    <w:rsid w:val="00B820DC"/>
    <w:rsid w:val="00B821BC"/>
    <w:rsid w:val="00B821C4"/>
    <w:rsid w:val="00B821E0"/>
    <w:rsid w:val="00B82203"/>
    <w:rsid w:val="00B82251"/>
    <w:rsid w:val="00B8226B"/>
    <w:rsid w:val="00B82298"/>
    <w:rsid w:val="00B822B4"/>
    <w:rsid w:val="00B82360"/>
    <w:rsid w:val="00B82394"/>
    <w:rsid w:val="00B82429"/>
    <w:rsid w:val="00B824C3"/>
    <w:rsid w:val="00B824F2"/>
    <w:rsid w:val="00B82524"/>
    <w:rsid w:val="00B82581"/>
    <w:rsid w:val="00B825CD"/>
    <w:rsid w:val="00B82608"/>
    <w:rsid w:val="00B82636"/>
    <w:rsid w:val="00B8268F"/>
    <w:rsid w:val="00B8272A"/>
    <w:rsid w:val="00B8279C"/>
    <w:rsid w:val="00B827DB"/>
    <w:rsid w:val="00B827F2"/>
    <w:rsid w:val="00B827F5"/>
    <w:rsid w:val="00B82845"/>
    <w:rsid w:val="00B828D2"/>
    <w:rsid w:val="00B828EB"/>
    <w:rsid w:val="00B82906"/>
    <w:rsid w:val="00B8291B"/>
    <w:rsid w:val="00B8297C"/>
    <w:rsid w:val="00B82989"/>
    <w:rsid w:val="00B82A71"/>
    <w:rsid w:val="00B82ADF"/>
    <w:rsid w:val="00B82B3B"/>
    <w:rsid w:val="00B82C45"/>
    <w:rsid w:val="00B82C6B"/>
    <w:rsid w:val="00B82CD6"/>
    <w:rsid w:val="00B82D11"/>
    <w:rsid w:val="00B82D6A"/>
    <w:rsid w:val="00B82EB1"/>
    <w:rsid w:val="00B82F20"/>
    <w:rsid w:val="00B82F29"/>
    <w:rsid w:val="00B82F85"/>
    <w:rsid w:val="00B82F88"/>
    <w:rsid w:val="00B8302B"/>
    <w:rsid w:val="00B8306F"/>
    <w:rsid w:val="00B831D4"/>
    <w:rsid w:val="00B831E1"/>
    <w:rsid w:val="00B8320E"/>
    <w:rsid w:val="00B83290"/>
    <w:rsid w:val="00B832A9"/>
    <w:rsid w:val="00B832D6"/>
    <w:rsid w:val="00B83314"/>
    <w:rsid w:val="00B83325"/>
    <w:rsid w:val="00B8333E"/>
    <w:rsid w:val="00B833B5"/>
    <w:rsid w:val="00B833FF"/>
    <w:rsid w:val="00B83491"/>
    <w:rsid w:val="00B83525"/>
    <w:rsid w:val="00B835A8"/>
    <w:rsid w:val="00B83699"/>
    <w:rsid w:val="00B836F8"/>
    <w:rsid w:val="00B83739"/>
    <w:rsid w:val="00B8388C"/>
    <w:rsid w:val="00B838AE"/>
    <w:rsid w:val="00B83955"/>
    <w:rsid w:val="00B83A29"/>
    <w:rsid w:val="00B83A71"/>
    <w:rsid w:val="00B83B01"/>
    <w:rsid w:val="00B83BB0"/>
    <w:rsid w:val="00B83BDB"/>
    <w:rsid w:val="00B83BF3"/>
    <w:rsid w:val="00B83BFF"/>
    <w:rsid w:val="00B83C08"/>
    <w:rsid w:val="00B83C1D"/>
    <w:rsid w:val="00B83C36"/>
    <w:rsid w:val="00B83C71"/>
    <w:rsid w:val="00B83C76"/>
    <w:rsid w:val="00B83CB5"/>
    <w:rsid w:val="00B83CC9"/>
    <w:rsid w:val="00B83D08"/>
    <w:rsid w:val="00B83D18"/>
    <w:rsid w:val="00B83D5F"/>
    <w:rsid w:val="00B83E09"/>
    <w:rsid w:val="00B83F63"/>
    <w:rsid w:val="00B83F76"/>
    <w:rsid w:val="00B83FAE"/>
    <w:rsid w:val="00B83FB1"/>
    <w:rsid w:val="00B840B7"/>
    <w:rsid w:val="00B840D5"/>
    <w:rsid w:val="00B84172"/>
    <w:rsid w:val="00B84176"/>
    <w:rsid w:val="00B84234"/>
    <w:rsid w:val="00B8423C"/>
    <w:rsid w:val="00B8427A"/>
    <w:rsid w:val="00B8429A"/>
    <w:rsid w:val="00B842A2"/>
    <w:rsid w:val="00B842CA"/>
    <w:rsid w:val="00B842D7"/>
    <w:rsid w:val="00B84320"/>
    <w:rsid w:val="00B84332"/>
    <w:rsid w:val="00B8438F"/>
    <w:rsid w:val="00B843AB"/>
    <w:rsid w:val="00B843D2"/>
    <w:rsid w:val="00B84423"/>
    <w:rsid w:val="00B8442C"/>
    <w:rsid w:val="00B84437"/>
    <w:rsid w:val="00B844C1"/>
    <w:rsid w:val="00B844EE"/>
    <w:rsid w:val="00B84522"/>
    <w:rsid w:val="00B84528"/>
    <w:rsid w:val="00B8455C"/>
    <w:rsid w:val="00B845D9"/>
    <w:rsid w:val="00B84646"/>
    <w:rsid w:val="00B84696"/>
    <w:rsid w:val="00B846E9"/>
    <w:rsid w:val="00B8481F"/>
    <w:rsid w:val="00B84964"/>
    <w:rsid w:val="00B849AF"/>
    <w:rsid w:val="00B849FC"/>
    <w:rsid w:val="00B84A0A"/>
    <w:rsid w:val="00B84A36"/>
    <w:rsid w:val="00B84AEE"/>
    <w:rsid w:val="00B84B61"/>
    <w:rsid w:val="00B84B94"/>
    <w:rsid w:val="00B84BA4"/>
    <w:rsid w:val="00B84BC0"/>
    <w:rsid w:val="00B84BCF"/>
    <w:rsid w:val="00B84C3E"/>
    <w:rsid w:val="00B84C46"/>
    <w:rsid w:val="00B84C82"/>
    <w:rsid w:val="00B84D27"/>
    <w:rsid w:val="00B84D82"/>
    <w:rsid w:val="00B84E1C"/>
    <w:rsid w:val="00B84E5A"/>
    <w:rsid w:val="00B84E73"/>
    <w:rsid w:val="00B84E74"/>
    <w:rsid w:val="00B84F62"/>
    <w:rsid w:val="00B84FD0"/>
    <w:rsid w:val="00B8503D"/>
    <w:rsid w:val="00B8508F"/>
    <w:rsid w:val="00B850DC"/>
    <w:rsid w:val="00B8516E"/>
    <w:rsid w:val="00B851F0"/>
    <w:rsid w:val="00B85242"/>
    <w:rsid w:val="00B85263"/>
    <w:rsid w:val="00B85276"/>
    <w:rsid w:val="00B85287"/>
    <w:rsid w:val="00B8538C"/>
    <w:rsid w:val="00B85420"/>
    <w:rsid w:val="00B8544D"/>
    <w:rsid w:val="00B8545E"/>
    <w:rsid w:val="00B854E1"/>
    <w:rsid w:val="00B85589"/>
    <w:rsid w:val="00B855CB"/>
    <w:rsid w:val="00B855CE"/>
    <w:rsid w:val="00B85669"/>
    <w:rsid w:val="00B8568A"/>
    <w:rsid w:val="00B856F3"/>
    <w:rsid w:val="00B85709"/>
    <w:rsid w:val="00B85721"/>
    <w:rsid w:val="00B85726"/>
    <w:rsid w:val="00B85785"/>
    <w:rsid w:val="00B857E9"/>
    <w:rsid w:val="00B858D8"/>
    <w:rsid w:val="00B8593A"/>
    <w:rsid w:val="00B8599D"/>
    <w:rsid w:val="00B859E6"/>
    <w:rsid w:val="00B85A37"/>
    <w:rsid w:val="00B85A41"/>
    <w:rsid w:val="00B85BC4"/>
    <w:rsid w:val="00B85BF7"/>
    <w:rsid w:val="00B85C32"/>
    <w:rsid w:val="00B85CDA"/>
    <w:rsid w:val="00B85E10"/>
    <w:rsid w:val="00B85E62"/>
    <w:rsid w:val="00B85EA8"/>
    <w:rsid w:val="00B85F06"/>
    <w:rsid w:val="00B86057"/>
    <w:rsid w:val="00B86099"/>
    <w:rsid w:val="00B8609F"/>
    <w:rsid w:val="00B86103"/>
    <w:rsid w:val="00B86106"/>
    <w:rsid w:val="00B8612A"/>
    <w:rsid w:val="00B86167"/>
    <w:rsid w:val="00B86237"/>
    <w:rsid w:val="00B86261"/>
    <w:rsid w:val="00B862D1"/>
    <w:rsid w:val="00B86408"/>
    <w:rsid w:val="00B865D4"/>
    <w:rsid w:val="00B8660E"/>
    <w:rsid w:val="00B86614"/>
    <w:rsid w:val="00B86647"/>
    <w:rsid w:val="00B8666A"/>
    <w:rsid w:val="00B866C8"/>
    <w:rsid w:val="00B866FC"/>
    <w:rsid w:val="00B867A0"/>
    <w:rsid w:val="00B867B1"/>
    <w:rsid w:val="00B8682A"/>
    <w:rsid w:val="00B8682E"/>
    <w:rsid w:val="00B86848"/>
    <w:rsid w:val="00B86849"/>
    <w:rsid w:val="00B8689A"/>
    <w:rsid w:val="00B868DF"/>
    <w:rsid w:val="00B869AE"/>
    <w:rsid w:val="00B869D7"/>
    <w:rsid w:val="00B869D9"/>
    <w:rsid w:val="00B86AA6"/>
    <w:rsid w:val="00B86B5E"/>
    <w:rsid w:val="00B86B5F"/>
    <w:rsid w:val="00B86BEE"/>
    <w:rsid w:val="00B86BFA"/>
    <w:rsid w:val="00B86C9C"/>
    <w:rsid w:val="00B86CC8"/>
    <w:rsid w:val="00B86D27"/>
    <w:rsid w:val="00B86D30"/>
    <w:rsid w:val="00B86D60"/>
    <w:rsid w:val="00B86DDA"/>
    <w:rsid w:val="00B86E14"/>
    <w:rsid w:val="00B86E62"/>
    <w:rsid w:val="00B86E9F"/>
    <w:rsid w:val="00B86EA0"/>
    <w:rsid w:val="00B86EC7"/>
    <w:rsid w:val="00B86ED7"/>
    <w:rsid w:val="00B86EDA"/>
    <w:rsid w:val="00B86FDD"/>
    <w:rsid w:val="00B87140"/>
    <w:rsid w:val="00B8714D"/>
    <w:rsid w:val="00B87160"/>
    <w:rsid w:val="00B87172"/>
    <w:rsid w:val="00B87191"/>
    <w:rsid w:val="00B871C5"/>
    <w:rsid w:val="00B871DE"/>
    <w:rsid w:val="00B87239"/>
    <w:rsid w:val="00B8724A"/>
    <w:rsid w:val="00B87317"/>
    <w:rsid w:val="00B87327"/>
    <w:rsid w:val="00B87434"/>
    <w:rsid w:val="00B87494"/>
    <w:rsid w:val="00B87498"/>
    <w:rsid w:val="00B87510"/>
    <w:rsid w:val="00B87597"/>
    <w:rsid w:val="00B875A6"/>
    <w:rsid w:val="00B875B9"/>
    <w:rsid w:val="00B875CB"/>
    <w:rsid w:val="00B87606"/>
    <w:rsid w:val="00B87658"/>
    <w:rsid w:val="00B876C7"/>
    <w:rsid w:val="00B876D7"/>
    <w:rsid w:val="00B87732"/>
    <w:rsid w:val="00B877B5"/>
    <w:rsid w:val="00B87886"/>
    <w:rsid w:val="00B878B2"/>
    <w:rsid w:val="00B87910"/>
    <w:rsid w:val="00B879BE"/>
    <w:rsid w:val="00B879EF"/>
    <w:rsid w:val="00B87A18"/>
    <w:rsid w:val="00B87A59"/>
    <w:rsid w:val="00B87A7D"/>
    <w:rsid w:val="00B87AE4"/>
    <w:rsid w:val="00B87AFC"/>
    <w:rsid w:val="00B87B1C"/>
    <w:rsid w:val="00B87B87"/>
    <w:rsid w:val="00B87BBF"/>
    <w:rsid w:val="00B87C10"/>
    <w:rsid w:val="00B87C3B"/>
    <w:rsid w:val="00B87C4F"/>
    <w:rsid w:val="00B87CC1"/>
    <w:rsid w:val="00B87D0C"/>
    <w:rsid w:val="00B87D0D"/>
    <w:rsid w:val="00B87D93"/>
    <w:rsid w:val="00B87DC2"/>
    <w:rsid w:val="00B87E11"/>
    <w:rsid w:val="00B87E99"/>
    <w:rsid w:val="00B87ECB"/>
    <w:rsid w:val="00B87EE2"/>
    <w:rsid w:val="00B87EE8"/>
    <w:rsid w:val="00B87F36"/>
    <w:rsid w:val="00B87F6D"/>
    <w:rsid w:val="00B90055"/>
    <w:rsid w:val="00B900C8"/>
    <w:rsid w:val="00B90126"/>
    <w:rsid w:val="00B90182"/>
    <w:rsid w:val="00B901CC"/>
    <w:rsid w:val="00B901F8"/>
    <w:rsid w:val="00B9025D"/>
    <w:rsid w:val="00B9030F"/>
    <w:rsid w:val="00B9031C"/>
    <w:rsid w:val="00B90331"/>
    <w:rsid w:val="00B90334"/>
    <w:rsid w:val="00B90341"/>
    <w:rsid w:val="00B9034E"/>
    <w:rsid w:val="00B903FE"/>
    <w:rsid w:val="00B90440"/>
    <w:rsid w:val="00B90534"/>
    <w:rsid w:val="00B9057A"/>
    <w:rsid w:val="00B905C5"/>
    <w:rsid w:val="00B905CF"/>
    <w:rsid w:val="00B9069F"/>
    <w:rsid w:val="00B906FB"/>
    <w:rsid w:val="00B906FF"/>
    <w:rsid w:val="00B907F9"/>
    <w:rsid w:val="00B90821"/>
    <w:rsid w:val="00B908A8"/>
    <w:rsid w:val="00B909A9"/>
    <w:rsid w:val="00B909B9"/>
    <w:rsid w:val="00B909F7"/>
    <w:rsid w:val="00B90A24"/>
    <w:rsid w:val="00B90B16"/>
    <w:rsid w:val="00B90B24"/>
    <w:rsid w:val="00B90B90"/>
    <w:rsid w:val="00B90B9B"/>
    <w:rsid w:val="00B90BB7"/>
    <w:rsid w:val="00B90C1B"/>
    <w:rsid w:val="00B90D28"/>
    <w:rsid w:val="00B90DC6"/>
    <w:rsid w:val="00B90DCD"/>
    <w:rsid w:val="00B90DF6"/>
    <w:rsid w:val="00B90E6A"/>
    <w:rsid w:val="00B90EC1"/>
    <w:rsid w:val="00B90F3E"/>
    <w:rsid w:val="00B90F51"/>
    <w:rsid w:val="00B90F88"/>
    <w:rsid w:val="00B90FA4"/>
    <w:rsid w:val="00B9102F"/>
    <w:rsid w:val="00B910B6"/>
    <w:rsid w:val="00B910C0"/>
    <w:rsid w:val="00B91120"/>
    <w:rsid w:val="00B91124"/>
    <w:rsid w:val="00B911B7"/>
    <w:rsid w:val="00B911CD"/>
    <w:rsid w:val="00B9122D"/>
    <w:rsid w:val="00B9125C"/>
    <w:rsid w:val="00B912AF"/>
    <w:rsid w:val="00B912B0"/>
    <w:rsid w:val="00B91320"/>
    <w:rsid w:val="00B91352"/>
    <w:rsid w:val="00B9137C"/>
    <w:rsid w:val="00B91415"/>
    <w:rsid w:val="00B91463"/>
    <w:rsid w:val="00B914B5"/>
    <w:rsid w:val="00B914CA"/>
    <w:rsid w:val="00B9154D"/>
    <w:rsid w:val="00B915B2"/>
    <w:rsid w:val="00B915EB"/>
    <w:rsid w:val="00B917A8"/>
    <w:rsid w:val="00B9182E"/>
    <w:rsid w:val="00B9187E"/>
    <w:rsid w:val="00B918ED"/>
    <w:rsid w:val="00B91906"/>
    <w:rsid w:val="00B9192E"/>
    <w:rsid w:val="00B91A5D"/>
    <w:rsid w:val="00B91A73"/>
    <w:rsid w:val="00B91AC7"/>
    <w:rsid w:val="00B91B36"/>
    <w:rsid w:val="00B91BF3"/>
    <w:rsid w:val="00B91BFF"/>
    <w:rsid w:val="00B91C39"/>
    <w:rsid w:val="00B91C6B"/>
    <w:rsid w:val="00B91C86"/>
    <w:rsid w:val="00B91C9D"/>
    <w:rsid w:val="00B91CA1"/>
    <w:rsid w:val="00B91D4B"/>
    <w:rsid w:val="00B91D84"/>
    <w:rsid w:val="00B91E38"/>
    <w:rsid w:val="00B91E59"/>
    <w:rsid w:val="00B91E7E"/>
    <w:rsid w:val="00B91E94"/>
    <w:rsid w:val="00B91EC0"/>
    <w:rsid w:val="00B91ECC"/>
    <w:rsid w:val="00B91EF5"/>
    <w:rsid w:val="00B91F69"/>
    <w:rsid w:val="00B91FDD"/>
    <w:rsid w:val="00B920DC"/>
    <w:rsid w:val="00B920FB"/>
    <w:rsid w:val="00B9225F"/>
    <w:rsid w:val="00B9238D"/>
    <w:rsid w:val="00B9239D"/>
    <w:rsid w:val="00B923AD"/>
    <w:rsid w:val="00B9241C"/>
    <w:rsid w:val="00B92494"/>
    <w:rsid w:val="00B924D0"/>
    <w:rsid w:val="00B92525"/>
    <w:rsid w:val="00B92588"/>
    <w:rsid w:val="00B92599"/>
    <w:rsid w:val="00B9259F"/>
    <w:rsid w:val="00B925C2"/>
    <w:rsid w:val="00B925D0"/>
    <w:rsid w:val="00B92633"/>
    <w:rsid w:val="00B9263E"/>
    <w:rsid w:val="00B92662"/>
    <w:rsid w:val="00B926B4"/>
    <w:rsid w:val="00B926D4"/>
    <w:rsid w:val="00B9272F"/>
    <w:rsid w:val="00B92762"/>
    <w:rsid w:val="00B9276C"/>
    <w:rsid w:val="00B92817"/>
    <w:rsid w:val="00B92822"/>
    <w:rsid w:val="00B92830"/>
    <w:rsid w:val="00B92897"/>
    <w:rsid w:val="00B92898"/>
    <w:rsid w:val="00B928AA"/>
    <w:rsid w:val="00B928AF"/>
    <w:rsid w:val="00B9296A"/>
    <w:rsid w:val="00B92996"/>
    <w:rsid w:val="00B929C8"/>
    <w:rsid w:val="00B929DE"/>
    <w:rsid w:val="00B929E4"/>
    <w:rsid w:val="00B92A46"/>
    <w:rsid w:val="00B92ADD"/>
    <w:rsid w:val="00B92C0E"/>
    <w:rsid w:val="00B92C55"/>
    <w:rsid w:val="00B92C7D"/>
    <w:rsid w:val="00B92CE9"/>
    <w:rsid w:val="00B92E7C"/>
    <w:rsid w:val="00B92FEB"/>
    <w:rsid w:val="00B930A3"/>
    <w:rsid w:val="00B9311A"/>
    <w:rsid w:val="00B93143"/>
    <w:rsid w:val="00B9320C"/>
    <w:rsid w:val="00B93215"/>
    <w:rsid w:val="00B9324E"/>
    <w:rsid w:val="00B932A8"/>
    <w:rsid w:val="00B932F7"/>
    <w:rsid w:val="00B9330A"/>
    <w:rsid w:val="00B93395"/>
    <w:rsid w:val="00B933F9"/>
    <w:rsid w:val="00B933FB"/>
    <w:rsid w:val="00B93475"/>
    <w:rsid w:val="00B9354B"/>
    <w:rsid w:val="00B935AE"/>
    <w:rsid w:val="00B93613"/>
    <w:rsid w:val="00B9363E"/>
    <w:rsid w:val="00B93672"/>
    <w:rsid w:val="00B9367B"/>
    <w:rsid w:val="00B9367C"/>
    <w:rsid w:val="00B9369A"/>
    <w:rsid w:val="00B936DB"/>
    <w:rsid w:val="00B936E2"/>
    <w:rsid w:val="00B93716"/>
    <w:rsid w:val="00B9375D"/>
    <w:rsid w:val="00B93856"/>
    <w:rsid w:val="00B93894"/>
    <w:rsid w:val="00B938CF"/>
    <w:rsid w:val="00B938FE"/>
    <w:rsid w:val="00B93903"/>
    <w:rsid w:val="00B93936"/>
    <w:rsid w:val="00B93994"/>
    <w:rsid w:val="00B939BD"/>
    <w:rsid w:val="00B93A37"/>
    <w:rsid w:val="00B93A5D"/>
    <w:rsid w:val="00B93A81"/>
    <w:rsid w:val="00B93AA7"/>
    <w:rsid w:val="00B93B28"/>
    <w:rsid w:val="00B93B88"/>
    <w:rsid w:val="00B93B89"/>
    <w:rsid w:val="00B93BE1"/>
    <w:rsid w:val="00B93C0E"/>
    <w:rsid w:val="00B93C3F"/>
    <w:rsid w:val="00B93CC8"/>
    <w:rsid w:val="00B93E2E"/>
    <w:rsid w:val="00B93EA9"/>
    <w:rsid w:val="00B93EFA"/>
    <w:rsid w:val="00B93FA8"/>
    <w:rsid w:val="00B93FCB"/>
    <w:rsid w:val="00B93FF9"/>
    <w:rsid w:val="00B94048"/>
    <w:rsid w:val="00B9407F"/>
    <w:rsid w:val="00B940B4"/>
    <w:rsid w:val="00B9411E"/>
    <w:rsid w:val="00B9417D"/>
    <w:rsid w:val="00B94220"/>
    <w:rsid w:val="00B94238"/>
    <w:rsid w:val="00B94272"/>
    <w:rsid w:val="00B94287"/>
    <w:rsid w:val="00B942B3"/>
    <w:rsid w:val="00B942BE"/>
    <w:rsid w:val="00B942DC"/>
    <w:rsid w:val="00B9431B"/>
    <w:rsid w:val="00B94338"/>
    <w:rsid w:val="00B9437D"/>
    <w:rsid w:val="00B94391"/>
    <w:rsid w:val="00B943A3"/>
    <w:rsid w:val="00B943DF"/>
    <w:rsid w:val="00B9447B"/>
    <w:rsid w:val="00B944FB"/>
    <w:rsid w:val="00B94522"/>
    <w:rsid w:val="00B945C3"/>
    <w:rsid w:val="00B94650"/>
    <w:rsid w:val="00B94653"/>
    <w:rsid w:val="00B946FE"/>
    <w:rsid w:val="00B9471F"/>
    <w:rsid w:val="00B94749"/>
    <w:rsid w:val="00B947C1"/>
    <w:rsid w:val="00B94857"/>
    <w:rsid w:val="00B948F6"/>
    <w:rsid w:val="00B9492B"/>
    <w:rsid w:val="00B9494D"/>
    <w:rsid w:val="00B9494F"/>
    <w:rsid w:val="00B9498C"/>
    <w:rsid w:val="00B949D9"/>
    <w:rsid w:val="00B949F6"/>
    <w:rsid w:val="00B94AAF"/>
    <w:rsid w:val="00B94ACE"/>
    <w:rsid w:val="00B94C44"/>
    <w:rsid w:val="00B94C50"/>
    <w:rsid w:val="00B94C70"/>
    <w:rsid w:val="00B94CE5"/>
    <w:rsid w:val="00B94D62"/>
    <w:rsid w:val="00B94D64"/>
    <w:rsid w:val="00B94D7F"/>
    <w:rsid w:val="00B94DE5"/>
    <w:rsid w:val="00B94F5C"/>
    <w:rsid w:val="00B94F6C"/>
    <w:rsid w:val="00B94F71"/>
    <w:rsid w:val="00B94F84"/>
    <w:rsid w:val="00B95041"/>
    <w:rsid w:val="00B9504B"/>
    <w:rsid w:val="00B95123"/>
    <w:rsid w:val="00B9513A"/>
    <w:rsid w:val="00B95196"/>
    <w:rsid w:val="00B95297"/>
    <w:rsid w:val="00B952E3"/>
    <w:rsid w:val="00B952E7"/>
    <w:rsid w:val="00B95321"/>
    <w:rsid w:val="00B95345"/>
    <w:rsid w:val="00B95362"/>
    <w:rsid w:val="00B95366"/>
    <w:rsid w:val="00B9543E"/>
    <w:rsid w:val="00B95499"/>
    <w:rsid w:val="00B954E7"/>
    <w:rsid w:val="00B955CF"/>
    <w:rsid w:val="00B95638"/>
    <w:rsid w:val="00B956A4"/>
    <w:rsid w:val="00B956CC"/>
    <w:rsid w:val="00B956F9"/>
    <w:rsid w:val="00B956FD"/>
    <w:rsid w:val="00B95746"/>
    <w:rsid w:val="00B95878"/>
    <w:rsid w:val="00B95884"/>
    <w:rsid w:val="00B958B6"/>
    <w:rsid w:val="00B958DE"/>
    <w:rsid w:val="00B95902"/>
    <w:rsid w:val="00B959A1"/>
    <w:rsid w:val="00B959CF"/>
    <w:rsid w:val="00B959D1"/>
    <w:rsid w:val="00B95A0D"/>
    <w:rsid w:val="00B95A39"/>
    <w:rsid w:val="00B95A55"/>
    <w:rsid w:val="00B95AA8"/>
    <w:rsid w:val="00B95AF6"/>
    <w:rsid w:val="00B95B4F"/>
    <w:rsid w:val="00B95B5D"/>
    <w:rsid w:val="00B95B85"/>
    <w:rsid w:val="00B95BDD"/>
    <w:rsid w:val="00B95C07"/>
    <w:rsid w:val="00B95C0C"/>
    <w:rsid w:val="00B95C8E"/>
    <w:rsid w:val="00B95D33"/>
    <w:rsid w:val="00B95D57"/>
    <w:rsid w:val="00B95E42"/>
    <w:rsid w:val="00B95EED"/>
    <w:rsid w:val="00B95F4F"/>
    <w:rsid w:val="00B95F7B"/>
    <w:rsid w:val="00B96013"/>
    <w:rsid w:val="00B96085"/>
    <w:rsid w:val="00B9609B"/>
    <w:rsid w:val="00B960BE"/>
    <w:rsid w:val="00B96108"/>
    <w:rsid w:val="00B96141"/>
    <w:rsid w:val="00B961F6"/>
    <w:rsid w:val="00B9621F"/>
    <w:rsid w:val="00B962B5"/>
    <w:rsid w:val="00B962CE"/>
    <w:rsid w:val="00B96306"/>
    <w:rsid w:val="00B96367"/>
    <w:rsid w:val="00B96372"/>
    <w:rsid w:val="00B96381"/>
    <w:rsid w:val="00B9638E"/>
    <w:rsid w:val="00B963A5"/>
    <w:rsid w:val="00B96402"/>
    <w:rsid w:val="00B96403"/>
    <w:rsid w:val="00B96424"/>
    <w:rsid w:val="00B96452"/>
    <w:rsid w:val="00B96591"/>
    <w:rsid w:val="00B965D7"/>
    <w:rsid w:val="00B9660B"/>
    <w:rsid w:val="00B96616"/>
    <w:rsid w:val="00B9663D"/>
    <w:rsid w:val="00B9664B"/>
    <w:rsid w:val="00B9664C"/>
    <w:rsid w:val="00B966D6"/>
    <w:rsid w:val="00B966E4"/>
    <w:rsid w:val="00B966F6"/>
    <w:rsid w:val="00B9673C"/>
    <w:rsid w:val="00B96743"/>
    <w:rsid w:val="00B96761"/>
    <w:rsid w:val="00B9677D"/>
    <w:rsid w:val="00B96788"/>
    <w:rsid w:val="00B96795"/>
    <w:rsid w:val="00B9679F"/>
    <w:rsid w:val="00B96962"/>
    <w:rsid w:val="00B9698B"/>
    <w:rsid w:val="00B96B13"/>
    <w:rsid w:val="00B96BFA"/>
    <w:rsid w:val="00B96C21"/>
    <w:rsid w:val="00B96C4E"/>
    <w:rsid w:val="00B96C70"/>
    <w:rsid w:val="00B96CA1"/>
    <w:rsid w:val="00B96CB7"/>
    <w:rsid w:val="00B96CE7"/>
    <w:rsid w:val="00B96CF7"/>
    <w:rsid w:val="00B96D2B"/>
    <w:rsid w:val="00B96D4E"/>
    <w:rsid w:val="00B96DAA"/>
    <w:rsid w:val="00B96E64"/>
    <w:rsid w:val="00B96F43"/>
    <w:rsid w:val="00B96F69"/>
    <w:rsid w:val="00B96FB9"/>
    <w:rsid w:val="00B96FDF"/>
    <w:rsid w:val="00B96FE6"/>
    <w:rsid w:val="00B97023"/>
    <w:rsid w:val="00B970F9"/>
    <w:rsid w:val="00B97133"/>
    <w:rsid w:val="00B97148"/>
    <w:rsid w:val="00B97149"/>
    <w:rsid w:val="00B971A0"/>
    <w:rsid w:val="00B971A1"/>
    <w:rsid w:val="00B971A8"/>
    <w:rsid w:val="00B971FD"/>
    <w:rsid w:val="00B971FE"/>
    <w:rsid w:val="00B97204"/>
    <w:rsid w:val="00B9723C"/>
    <w:rsid w:val="00B972C4"/>
    <w:rsid w:val="00B972F4"/>
    <w:rsid w:val="00B97355"/>
    <w:rsid w:val="00B973D1"/>
    <w:rsid w:val="00B97405"/>
    <w:rsid w:val="00B97442"/>
    <w:rsid w:val="00B9744A"/>
    <w:rsid w:val="00B9756B"/>
    <w:rsid w:val="00B97587"/>
    <w:rsid w:val="00B975D3"/>
    <w:rsid w:val="00B97631"/>
    <w:rsid w:val="00B97696"/>
    <w:rsid w:val="00B9769E"/>
    <w:rsid w:val="00B976CE"/>
    <w:rsid w:val="00B976CF"/>
    <w:rsid w:val="00B976D9"/>
    <w:rsid w:val="00B97782"/>
    <w:rsid w:val="00B9778D"/>
    <w:rsid w:val="00B9784D"/>
    <w:rsid w:val="00B9786E"/>
    <w:rsid w:val="00B97933"/>
    <w:rsid w:val="00B97941"/>
    <w:rsid w:val="00B97994"/>
    <w:rsid w:val="00B979EB"/>
    <w:rsid w:val="00B97A1B"/>
    <w:rsid w:val="00B97A4B"/>
    <w:rsid w:val="00B97ABA"/>
    <w:rsid w:val="00B97B29"/>
    <w:rsid w:val="00B97BF5"/>
    <w:rsid w:val="00B97C3F"/>
    <w:rsid w:val="00B97C8B"/>
    <w:rsid w:val="00B97CAD"/>
    <w:rsid w:val="00B97CEB"/>
    <w:rsid w:val="00B97E35"/>
    <w:rsid w:val="00BA0035"/>
    <w:rsid w:val="00BA017B"/>
    <w:rsid w:val="00BA01DA"/>
    <w:rsid w:val="00BA0280"/>
    <w:rsid w:val="00BA0383"/>
    <w:rsid w:val="00BA03AC"/>
    <w:rsid w:val="00BA03F7"/>
    <w:rsid w:val="00BA0424"/>
    <w:rsid w:val="00BA0426"/>
    <w:rsid w:val="00BA0468"/>
    <w:rsid w:val="00BA0483"/>
    <w:rsid w:val="00BA04A9"/>
    <w:rsid w:val="00BA04AA"/>
    <w:rsid w:val="00BA04D0"/>
    <w:rsid w:val="00BA04E4"/>
    <w:rsid w:val="00BA0538"/>
    <w:rsid w:val="00BA0545"/>
    <w:rsid w:val="00BA057D"/>
    <w:rsid w:val="00BA0583"/>
    <w:rsid w:val="00BA0628"/>
    <w:rsid w:val="00BA0674"/>
    <w:rsid w:val="00BA06A8"/>
    <w:rsid w:val="00BA0743"/>
    <w:rsid w:val="00BA0750"/>
    <w:rsid w:val="00BA07C1"/>
    <w:rsid w:val="00BA07DA"/>
    <w:rsid w:val="00BA084B"/>
    <w:rsid w:val="00BA0858"/>
    <w:rsid w:val="00BA08AD"/>
    <w:rsid w:val="00BA09F0"/>
    <w:rsid w:val="00BA0B1F"/>
    <w:rsid w:val="00BA0B36"/>
    <w:rsid w:val="00BA0BC7"/>
    <w:rsid w:val="00BA0BFE"/>
    <w:rsid w:val="00BA0CC4"/>
    <w:rsid w:val="00BA0CED"/>
    <w:rsid w:val="00BA0CF8"/>
    <w:rsid w:val="00BA0D8D"/>
    <w:rsid w:val="00BA0D94"/>
    <w:rsid w:val="00BA0DFE"/>
    <w:rsid w:val="00BA0E2C"/>
    <w:rsid w:val="00BA0E8D"/>
    <w:rsid w:val="00BA0E9F"/>
    <w:rsid w:val="00BA0EB7"/>
    <w:rsid w:val="00BA0EE5"/>
    <w:rsid w:val="00BA0F46"/>
    <w:rsid w:val="00BA0FA5"/>
    <w:rsid w:val="00BA1033"/>
    <w:rsid w:val="00BA10E8"/>
    <w:rsid w:val="00BA118C"/>
    <w:rsid w:val="00BA11AA"/>
    <w:rsid w:val="00BA11BB"/>
    <w:rsid w:val="00BA12DB"/>
    <w:rsid w:val="00BA13B8"/>
    <w:rsid w:val="00BA1412"/>
    <w:rsid w:val="00BA1439"/>
    <w:rsid w:val="00BA14A1"/>
    <w:rsid w:val="00BA14EA"/>
    <w:rsid w:val="00BA151B"/>
    <w:rsid w:val="00BA15C0"/>
    <w:rsid w:val="00BA15FC"/>
    <w:rsid w:val="00BA166C"/>
    <w:rsid w:val="00BA16F4"/>
    <w:rsid w:val="00BA174B"/>
    <w:rsid w:val="00BA17B4"/>
    <w:rsid w:val="00BA17D1"/>
    <w:rsid w:val="00BA17D8"/>
    <w:rsid w:val="00BA17F9"/>
    <w:rsid w:val="00BA181C"/>
    <w:rsid w:val="00BA1822"/>
    <w:rsid w:val="00BA1841"/>
    <w:rsid w:val="00BA18AE"/>
    <w:rsid w:val="00BA191C"/>
    <w:rsid w:val="00BA195F"/>
    <w:rsid w:val="00BA1974"/>
    <w:rsid w:val="00BA197F"/>
    <w:rsid w:val="00BA1ACA"/>
    <w:rsid w:val="00BA1C3D"/>
    <w:rsid w:val="00BA1C48"/>
    <w:rsid w:val="00BA1C4A"/>
    <w:rsid w:val="00BA1C57"/>
    <w:rsid w:val="00BA1C70"/>
    <w:rsid w:val="00BA1C7D"/>
    <w:rsid w:val="00BA1CC8"/>
    <w:rsid w:val="00BA1D19"/>
    <w:rsid w:val="00BA1D3A"/>
    <w:rsid w:val="00BA1D44"/>
    <w:rsid w:val="00BA1DD1"/>
    <w:rsid w:val="00BA1EB4"/>
    <w:rsid w:val="00BA1EBD"/>
    <w:rsid w:val="00BA1F46"/>
    <w:rsid w:val="00BA2038"/>
    <w:rsid w:val="00BA207F"/>
    <w:rsid w:val="00BA2102"/>
    <w:rsid w:val="00BA218F"/>
    <w:rsid w:val="00BA2197"/>
    <w:rsid w:val="00BA2243"/>
    <w:rsid w:val="00BA225C"/>
    <w:rsid w:val="00BA229B"/>
    <w:rsid w:val="00BA2320"/>
    <w:rsid w:val="00BA233E"/>
    <w:rsid w:val="00BA2357"/>
    <w:rsid w:val="00BA23E3"/>
    <w:rsid w:val="00BA25C6"/>
    <w:rsid w:val="00BA2673"/>
    <w:rsid w:val="00BA26F0"/>
    <w:rsid w:val="00BA2765"/>
    <w:rsid w:val="00BA27EA"/>
    <w:rsid w:val="00BA2890"/>
    <w:rsid w:val="00BA2894"/>
    <w:rsid w:val="00BA289B"/>
    <w:rsid w:val="00BA2944"/>
    <w:rsid w:val="00BA2A28"/>
    <w:rsid w:val="00BA2A86"/>
    <w:rsid w:val="00BA2B0F"/>
    <w:rsid w:val="00BA2B1B"/>
    <w:rsid w:val="00BA2B88"/>
    <w:rsid w:val="00BA2BDD"/>
    <w:rsid w:val="00BA2C73"/>
    <w:rsid w:val="00BA2D77"/>
    <w:rsid w:val="00BA2DC4"/>
    <w:rsid w:val="00BA2DF3"/>
    <w:rsid w:val="00BA2E4F"/>
    <w:rsid w:val="00BA2EDC"/>
    <w:rsid w:val="00BA2F2F"/>
    <w:rsid w:val="00BA2F46"/>
    <w:rsid w:val="00BA2F7B"/>
    <w:rsid w:val="00BA2F9C"/>
    <w:rsid w:val="00BA2F9E"/>
    <w:rsid w:val="00BA3012"/>
    <w:rsid w:val="00BA3025"/>
    <w:rsid w:val="00BA3031"/>
    <w:rsid w:val="00BA303E"/>
    <w:rsid w:val="00BA30E4"/>
    <w:rsid w:val="00BA314A"/>
    <w:rsid w:val="00BA3176"/>
    <w:rsid w:val="00BA318F"/>
    <w:rsid w:val="00BA3224"/>
    <w:rsid w:val="00BA322B"/>
    <w:rsid w:val="00BA3273"/>
    <w:rsid w:val="00BA32B9"/>
    <w:rsid w:val="00BA3352"/>
    <w:rsid w:val="00BA336C"/>
    <w:rsid w:val="00BA3471"/>
    <w:rsid w:val="00BA348C"/>
    <w:rsid w:val="00BA35D5"/>
    <w:rsid w:val="00BA364F"/>
    <w:rsid w:val="00BA3650"/>
    <w:rsid w:val="00BA3668"/>
    <w:rsid w:val="00BA3691"/>
    <w:rsid w:val="00BA36C7"/>
    <w:rsid w:val="00BA3849"/>
    <w:rsid w:val="00BA38E5"/>
    <w:rsid w:val="00BA3A1D"/>
    <w:rsid w:val="00BA3A63"/>
    <w:rsid w:val="00BA3A78"/>
    <w:rsid w:val="00BA3AFB"/>
    <w:rsid w:val="00BA3B03"/>
    <w:rsid w:val="00BA3CA2"/>
    <w:rsid w:val="00BA3CB6"/>
    <w:rsid w:val="00BA3D7B"/>
    <w:rsid w:val="00BA3DE9"/>
    <w:rsid w:val="00BA3E14"/>
    <w:rsid w:val="00BA3E63"/>
    <w:rsid w:val="00BA3E70"/>
    <w:rsid w:val="00BA3E8C"/>
    <w:rsid w:val="00BA3EE1"/>
    <w:rsid w:val="00BA3F1D"/>
    <w:rsid w:val="00BA3F4A"/>
    <w:rsid w:val="00BA3F8A"/>
    <w:rsid w:val="00BA4003"/>
    <w:rsid w:val="00BA403C"/>
    <w:rsid w:val="00BA40AD"/>
    <w:rsid w:val="00BA40ED"/>
    <w:rsid w:val="00BA40F5"/>
    <w:rsid w:val="00BA413F"/>
    <w:rsid w:val="00BA41EB"/>
    <w:rsid w:val="00BA4254"/>
    <w:rsid w:val="00BA4276"/>
    <w:rsid w:val="00BA4299"/>
    <w:rsid w:val="00BA42D3"/>
    <w:rsid w:val="00BA42F3"/>
    <w:rsid w:val="00BA4320"/>
    <w:rsid w:val="00BA4386"/>
    <w:rsid w:val="00BA4390"/>
    <w:rsid w:val="00BA43FD"/>
    <w:rsid w:val="00BA44AA"/>
    <w:rsid w:val="00BA44CA"/>
    <w:rsid w:val="00BA4511"/>
    <w:rsid w:val="00BA45D9"/>
    <w:rsid w:val="00BA4652"/>
    <w:rsid w:val="00BA46A9"/>
    <w:rsid w:val="00BA46E4"/>
    <w:rsid w:val="00BA4825"/>
    <w:rsid w:val="00BA4867"/>
    <w:rsid w:val="00BA4953"/>
    <w:rsid w:val="00BA4977"/>
    <w:rsid w:val="00BA4A4D"/>
    <w:rsid w:val="00BA4A8E"/>
    <w:rsid w:val="00BA4AAA"/>
    <w:rsid w:val="00BA4BD2"/>
    <w:rsid w:val="00BA4C8C"/>
    <w:rsid w:val="00BA4CF1"/>
    <w:rsid w:val="00BA4DE8"/>
    <w:rsid w:val="00BA4DF6"/>
    <w:rsid w:val="00BA4E2E"/>
    <w:rsid w:val="00BA4E4B"/>
    <w:rsid w:val="00BA4E94"/>
    <w:rsid w:val="00BA4ED0"/>
    <w:rsid w:val="00BA4F4B"/>
    <w:rsid w:val="00BA4F5B"/>
    <w:rsid w:val="00BA5004"/>
    <w:rsid w:val="00BA50C1"/>
    <w:rsid w:val="00BA50CB"/>
    <w:rsid w:val="00BA50D0"/>
    <w:rsid w:val="00BA511E"/>
    <w:rsid w:val="00BA5245"/>
    <w:rsid w:val="00BA524B"/>
    <w:rsid w:val="00BA5277"/>
    <w:rsid w:val="00BA528E"/>
    <w:rsid w:val="00BA5337"/>
    <w:rsid w:val="00BA5350"/>
    <w:rsid w:val="00BA53A9"/>
    <w:rsid w:val="00BA53FF"/>
    <w:rsid w:val="00BA541C"/>
    <w:rsid w:val="00BA541F"/>
    <w:rsid w:val="00BA5431"/>
    <w:rsid w:val="00BA551C"/>
    <w:rsid w:val="00BA5525"/>
    <w:rsid w:val="00BA552D"/>
    <w:rsid w:val="00BA553D"/>
    <w:rsid w:val="00BA55B3"/>
    <w:rsid w:val="00BA55F0"/>
    <w:rsid w:val="00BA56F0"/>
    <w:rsid w:val="00BA56FC"/>
    <w:rsid w:val="00BA578D"/>
    <w:rsid w:val="00BA57FF"/>
    <w:rsid w:val="00BA5829"/>
    <w:rsid w:val="00BA58AD"/>
    <w:rsid w:val="00BA58CD"/>
    <w:rsid w:val="00BA58E2"/>
    <w:rsid w:val="00BA58F4"/>
    <w:rsid w:val="00BA5914"/>
    <w:rsid w:val="00BA59C0"/>
    <w:rsid w:val="00BA5A5D"/>
    <w:rsid w:val="00BA5A9B"/>
    <w:rsid w:val="00BA5B92"/>
    <w:rsid w:val="00BA5BD7"/>
    <w:rsid w:val="00BA5BE6"/>
    <w:rsid w:val="00BA5BFF"/>
    <w:rsid w:val="00BA5C29"/>
    <w:rsid w:val="00BA5CBF"/>
    <w:rsid w:val="00BA5D58"/>
    <w:rsid w:val="00BA5E7F"/>
    <w:rsid w:val="00BA5EF1"/>
    <w:rsid w:val="00BA5F55"/>
    <w:rsid w:val="00BA602D"/>
    <w:rsid w:val="00BA6051"/>
    <w:rsid w:val="00BA6099"/>
    <w:rsid w:val="00BA60EE"/>
    <w:rsid w:val="00BA6120"/>
    <w:rsid w:val="00BA61B4"/>
    <w:rsid w:val="00BA620A"/>
    <w:rsid w:val="00BA624A"/>
    <w:rsid w:val="00BA6265"/>
    <w:rsid w:val="00BA6268"/>
    <w:rsid w:val="00BA62DF"/>
    <w:rsid w:val="00BA62E6"/>
    <w:rsid w:val="00BA631C"/>
    <w:rsid w:val="00BA6331"/>
    <w:rsid w:val="00BA638F"/>
    <w:rsid w:val="00BA63EA"/>
    <w:rsid w:val="00BA6444"/>
    <w:rsid w:val="00BA6445"/>
    <w:rsid w:val="00BA6483"/>
    <w:rsid w:val="00BA6684"/>
    <w:rsid w:val="00BA66A1"/>
    <w:rsid w:val="00BA66CD"/>
    <w:rsid w:val="00BA66F7"/>
    <w:rsid w:val="00BA672A"/>
    <w:rsid w:val="00BA67AD"/>
    <w:rsid w:val="00BA67CA"/>
    <w:rsid w:val="00BA68F5"/>
    <w:rsid w:val="00BA6979"/>
    <w:rsid w:val="00BA69C8"/>
    <w:rsid w:val="00BA6A57"/>
    <w:rsid w:val="00BA6A66"/>
    <w:rsid w:val="00BA6ACC"/>
    <w:rsid w:val="00BA6B5B"/>
    <w:rsid w:val="00BA6B6B"/>
    <w:rsid w:val="00BA6C1E"/>
    <w:rsid w:val="00BA6D29"/>
    <w:rsid w:val="00BA6D95"/>
    <w:rsid w:val="00BA6E35"/>
    <w:rsid w:val="00BA6F4C"/>
    <w:rsid w:val="00BA6F50"/>
    <w:rsid w:val="00BA6F66"/>
    <w:rsid w:val="00BA6F89"/>
    <w:rsid w:val="00BA6FA1"/>
    <w:rsid w:val="00BA70CB"/>
    <w:rsid w:val="00BA70DF"/>
    <w:rsid w:val="00BA7108"/>
    <w:rsid w:val="00BA711B"/>
    <w:rsid w:val="00BA71AF"/>
    <w:rsid w:val="00BA71CC"/>
    <w:rsid w:val="00BA71D8"/>
    <w:rsid w:val="00BA71EA"/>
    <w:rsid w:val="00BA721F"/>
    <w:rsid w:val="00BA72FF"/>
    <w:rsid w:val="00BA73C8"/>
    <w:rsid w:val="00BA7408"/>
    <w:rsid w:val="00BA7457"/>
    <w:rsid w:val="00BA755C"/>
    <w:rsid w:val="00BA7563"/>
    <w:rsid w:val="00BA761D"/>
    <w:rsid w:val="00BA762C"/>
    <w:rsid w:val="00BA76A6"/>
    <w:rsid w:val="00BA7743"/>
    <w:rsid w:val="00BA774B"/>
    <w:rsid w:val="00BA77A1"/>
    <w:rsid w:val="00BA77CC"/>
    <w:rsid w:val="00BA7858"/>
    <w:rsid w:val="00BA791A"/>
    <w:rsid w:val="00BA79D6"/>
    <w:rsid w:val="00BA7A9A"/>
    <w:rsid w:val="00BA7BDE"/>
    <w:rsid w:val="00BA7CBB"/>
    <w:rsid w:val="00BA7CF0"/>
    <w:rsid w:val="00BA7D3B"/>
    <w:rsid w:val="00BA7E8A"/>
    <w:rsid w:val="00BA7E8E"/>
    <w:rsid w:val="00BA7EC6"/>
    <w:rsid w:val="00BA7F76"/>
    <w:rsid w:val="00BB0015"/>
    <w:rsid w:val="00BB006E"/>
    <w:rsid w:val="00BB00C4"/>
    <w:rsid w:val="00BB00F8"/>
    <w:rsid w:val="00BB01DC"/>
    <w:rsid w:val="00BB01E6"/>
    <w:rsid w:val="00BB0239"/>
    <w:rsid w:val="00BB0293"/>
    <w:rsid w:val="00BB0314"/>
    <w:rsid w:val="00BB03CA"/>
    <w:rsid w:val="00BB04BE"/>
    <w:rsid w:val="00BB04CE"/>
    <w:rsid w:val="00BB0537"/>
    <w:rsid w:val="00BB054D"/>
    <w:rsid w:val="00BB0579"/>
    <w:rsid w:val="00BB0585"/>
    <w:rsid w:val="00BB05C9"/>
    <w:rsid w:val="00BB0649"/>
    <w:rsid w:val="00BB064A"/>
    <w:rsid w:val="00BB0656"/>
    <w:rsid w:val="00BB0664"/>
    <w:rsid w:val="00BB067E"/>
    <w:rsid w:val="00BB06AC"/>
    <w:rsid w:val="00BB07A4"/>
    <w:rsid w:val="00BB07DB"/>
    <w:rsid w:val="00BB07E0"/>
    <w:rsid w:val="00BB0895"/>
    <w:rsid w:val="00BB089F"/>
    <w:rsid w:val="00BB08F2"/>
    <w:rsid w:val="00BB0917"/>
    <w:rsid w:val="00BB094F"/>
    <w:rsid w:val="00BB096B"/>
    <w:rsid w:val="00BB096F"/>
    <w:rsid w:val="00BB097D"/>
    <w:rsid w:val="00BB0A44"/>
    <w:rsid w:val="00BB0B1A"/>
    <w:rsid w:val="00BB0B50"/>
    <w:rsid w:val="00BB0B7A"/>
    <w:rsid w:val="00BB0DEF"/>
    <w:rsid w:val="00BB0E31"/>
    <w:rsid w:val="00BB0E32"/>
    <w:rsid w:val="00BB0E95"/>
    <w:rsid w:val="00BB10AC"/>
    <w:rsid w:val="00BB1140"/>
    <w:rsid w:val="00BB1147"/>
    <w:rsid w:val="00BB1197"/>
    <w:rsid w:val="00BB119A"/>
    <w:rsid w:val="00BB1246"/>
    <w:rsid w:val="00BB12AE"/>
    <w:rsid w:val="00BB1348"/>
    <w:rsid w:val="00BB1415"/>
    <w:rsid w:val="00BB145E"/>
    <w:rsid w:val="00BB1464"/>
    <w:rsid w:val="00BB1539"/>
    <w:rsid w:val="00BB15C3"/>
    <w:rsid w:val="00BB1607"/>
    <w:rsid w:val="00BB168A"/>
    <w:rsid w:val="00BB16FC"/>
    <w:rsid w:val="00BB1729"/>
    <w:rsid w:val="00BB172B"/>
    <w:rsid w:val="00BB175D"/>
    <w:rsid w:val="00BB17D1"/>
    <w:rsid w:val="00BB180D"/>
    <w:rsid w:val="00BB1868"/>
    <w:rsid w:val="00BB189E"/>
    <w:rsid w:val="00BB18BB"/>
    <w:rsid w:val="00BB18D3"/>
    <w:rsid w:val="00BB18F2"/>
    <w:rsid w:val="00BB190A"/>
    <w:rsid w:val="00BB195F"/>
    <w:rsid w:val="00BB198A"/>
    <w:rsid w:val="00BB1A01"/>
    <w:rsid w:val="00BB1A1C"/>
    <w:rsid w:val="00BB1BC1"/>
    <w:rsid w:val="00BB1C10"/>
    <w:rsid w:val="00BB1C80"/>
    <w:rsid w:val="00BB1CA8"/>
    <w:rsid w:val="00BB1D3D"/>
    <w:rsid w:val="00BB1D75"/>
    <w:rsid w:val="00BB1E0E"/>
    <w:rsid w:val="00BB1E90"/>
    <w:rsid w:val="00BB1EA1"/>
    <w:rsid w:val="00BB1EFC"/>
    <w:rsid w:val="00BB1F09"/>
    <w:rsid w:val="00BB1F27"/>
    <w:rsid w:val="00BB1F3A"/>
    <w:rsid w:val="00BB1FDA"/>
    <w:rsid w:val="00BB1FF0"/>
    <w:rsid w:val="00BB203C"/>
    <w:rsid w:val="00BB2076"/>
    <w:rsid w:val="00BB2116"/>
    <w:rsid w:val="00BB212D"/>
    <w:rsid w:val="00BB2212"/>
    <w:rsid w:val="00BB2258"/>
    <w:rsid w:val="00BB229E"/>
    <w:rsid w:val="00BB22DD"/>
    <w:rsid w:val="00BB22F2"/>
    <w:rsid w:val="00BB23D6"/>
    <w:rsid w:val="00BB2427"/>
    <w:rsid w:val="00BB249A"/>
    <w:rsid w:val="00BB24D1"/>
    <w:rsid w:val="00BB24EB"/>
    <w:rsid w:val="00BB250E"/>
    <w:rsid w:val="00BB25A1"/>
    <w:rsid w:val="00BB261C"/>
    <w:rsid w:val="00BB2644"/>
    <w:rsid w:val="00BB2654"/>
    <w:rsid w:val="00BB26AA"/>
    <w:rsid w:val="00BB26B3"/>
    <w:rsid w:val="00BB26C8"/>
    <w:rsid w:val="00BB2859"/>
    <w:rsid w:val="00BB28DD"/>
    <w:rsid w:val="00BB2980"/>
    <w:rsid w:val="00BB2B18"/>
    <w:rsid w:val="00BB2BAE"/>
    <w:rsid w:val="00BB2BFF"/>
    <w:rsid w:val="00BB2C1F"/>
    <w:rsid w:val="00BB2C30"/>
    <w:rsid w:val="00BB2C8B"/>
    <w:rsid w:val="00BB2CA4"/>
    <w:rsid w:val="00BB2CF2"/>
    <w:rsid w:val="00BB2E42"/>
    <w:rsid w:val="00BB2F0F"/>
    <w:rsid w:val="00BB2F5B"/>
    <w:rsid w:val="00BB3061"/>
    <w:rsid w:val="00BB312A"/>
    <w:rsid w:val="00BB3294"/>
    <w:rsid w:val="00BB32DF"/>
    <w:rsid w:val="00BB3331"/>
    <w:rsid w:val="00BB3353"/>
    <w:rsid w:val="00BB3372"/>
    <w:rsid w:val="00BB3464"/>
    <w:rsid w:val="00BB34F3"/>
    <w:rsid w:val="00BB351F"/>
    <w:rsid w:val="00BB3577"/>
    <w:rsid w:val="00BB3582"/>
    <w:rsid w:val="00BB35F1"/>
    <w:rsid w:val="00BB3623"/>
    <w:rsid w:val="00BB366E"/>
    <w:rsid w:val="00BB36A5"/>
    <w:rsid w:val="00BB36DD"/>
    <w:rsid w:val="00BB3744"/>
    <w:rsid w:val="00BB37D9"/>
    <w:rsid w:val="00BB37E1"/>
    <w:rsid w:val="00BB388D"/>
    <w:rsid w:val="00BB38D4"/>
    <w:rsid w:val="00BB38E3"/>
    <w:rsid w:val="00BB38F5"/>
    <w:rsid w:val="00BB3901"/>
    <w:rsid w:val="00BB390D"/>
    <w:rsid w:val="00BB3910"/>
    <w:rsid w:val="00BB3A0B"/>
    <w:rsid w:val="00BB3A2F"/>
    <w:rsid w:val="00BB3A51"/>
    <w:rsid w:val="00BB3AA4"/>
    <w:rsid w:val="00BB3B3D"/>
    <w:rsid w:val="00BB3BAC"/>
    <w:rsid w:val="00BB3C0B"/>
    <w:rsid w:val="00BB3C0E"/>
    <w:rsid w:val="00BB3D01"/>
    <w:rsid w:val="00BB3D24"/>
    <w:rsid w:val="00BB3D5C"/>
    <w:rsid w:val="00BB3DAC"/>
    <w:rsid w:val="00BB3E10"/>
    <w:rsid w:val="00BB3F03"/>
    <w:rsid w:val="00BB40FF"/>
    <w:rsid w:val="00BB4189"/>
    <w:rsid w:val="00BB418E"/>
    <w:rsid w:val="00BB41A1"/>
    <w:rsid w:val="00BB41B4"/>
    <w:rsid w:val="00BB4226"/>
    <w:rsid w:val="00BB4228"/>
    <w:rsid w:val="00BB42D9"/>
    <w:rsid w:val="00BB440C"/>
    <w:rsid w:val="00BB4425"/>
    <w:rsid w:val="00BB466F"/>
    <w:rsid w:val="00BB46D5"/>
    <w:rsid w:val="00BB4745"/>
    <w:rsid w:val="00BB47F6"/>
    <w:rsid w:val="00BB4890"/>
    <w:rsid w:val="00BB48B7"/>
    <w:rsid w:val="00BB49E4"/>
    <w:rsid w:val="00BB4AB4"/>
    <w:rsid w:val="00BB4AF0"/>
    <w:rsid w:val="00BB4B1D"/>
    <w:rsid w:val="00BB4B24"/>
    <w:rsid w:val="00BB4BC6"/>
    <w:rsid w:val="00BB4BDE"/>
    <w:rsid w:val="00BB4C14"/>
    <w:rsid w:val="00BB4C18"/>
    <w:rsid w:val="00BB4C73"/>
    <w:rsid w:val="00BB4C84"/>
    <w:rsid w:val="00BB4D30"/>
    <w:rsid w:val="00BB4D37"/>
    <w:rsid w:val="00BB4E12"/>
    <w:rsid w:val="00BB4EB8"/>
    <w:rsid w:val="00BB4EF8"/>
    <w:rsid w:val="00BB4F54"/>
    <w:rsid w:val="00BB5046"/>
    <w:rsid w:val="00BB50DE"/>
    <w:rsid w:val="00BB5163"/>
    <w:rsid w:val="00BB51A2"/>
    <w:rsid w:val="00BB5213"/>
    <w:rsid w:val="00BB5239"/>
    <w:rsid w:val="00BB523C"/>
    <w:rsid w:val="00BB5266"/>
    <w:rsid w:val="00BB528A"/>
    <w:rsid w:val="00BB5292"/>
    <w:rsid w:val="00BB52C7"/>
    <w:rsid w:val="00BB52E9"/>
    <w:rsid w:val="00BB532C"/>
    <w:rsid w:val="00BB5356"/>
    <w:rsid w:val="00BB5361"/>
    <w:rsid w:val="00BB5374"/>
    <w:rsid w:val="00BB5391"/>
    <w:rsid w:val="00BB53A4"/>
    <w:rsid w:val="00BB53DD"/>
    <w:rsid w:val="00BB5455"/>
    <w:rsid w:val="00BB54EB"/>
    <w:rsid w:val="00BB551E"/>
    <w:rsid w:val="00BB5592"/>
    <w:rsid w:val="00BB568F"/>
    <w:rsid w:val="00BB56AB"/>
    <w:rsid w:val="00BB576E"/>
    <w:rsid w:val="00BB585B"/>
    <w:rsid w:val="00BB5896"/>
    <w:rsid w:val="00BB595F"/>
    <w:rsid w:val="00BB59FA"/>
    <w:rsid w:val="00BB5A1C"/>
    <w:rsid w:val="00BB5A43"/>
    <w:rsid w:val="00BB5A70"/>
    <w:rsid w:val="00BB5B3E"/>
    <w:rsid w:val="00BB5B4F"/>
    <w:rsid w:val="00BB5B57"/>
    <w:rsid w:val="00BB5C9A"/>
    <w:rsid w:val="00BB5D08"/>
    <w:rsid w:val="00BB5D27"/>
    <w:rsid w:val="00BB5D2C"/>
    <w:rsid w:val="00BB5D59"/>
    <w:rsid w:val="00BB5D9C"/>
    <w:rsid w:val="00BB5E6D"/>
    <w:rsid w:val="00BB5EBA"/>
    <w:rsid w:val="00BB5EBD"/>
    <w:rsid w:val="00BB5F4A"/>
    <w:rsid w:val="00BB5FD6"/>
    <w:rsid w:val="00BB60A8"/>
    <w:rsid w:val="00BB6127"/>
    <w:rsid w:val="00BB6138"/>
    <w:rsid w:val="00BB615C"/>
    <w:rsid w:val="00BB61B0"/>
    <w:rsid w:val="00BB626D"/>
    <w:rsid w:val="00BB633F"/>
    <w:rsid w:val="00BB6359"/>
    <w:rsid w:val="00BB63C5"/>
    <w:rsid w:val="00BB652A"/>
    <w:rsid w:val="00BB666C"/>
    <w:rsid w:val="00BB6699"/>
    <w:rsid w:val="00BB66B4"/>
    <w:rsid w:val="00BB66BD"/>
    <w:rsid w:val="00BB66FD"/>
    <w:rsid w:val="00BB6796"/>
    <w:rsid w:val="00BB67AB"/>
    <w:rsid w:val="00BB67CB"/>
    <w:rsid w:val="00BB685A"/>
    <w:rsid w:val="00BB68FA"/>
    <w:rsid w:val="00BB6906"/>
    <w:rsid w:val="00BB6946"/>
    <w:rsid w:val="00BB69A1"/>
    <w:rsid w:val="00BB69A3"/>
    <w:rsid w:val="00BB69CD"/>
    <w:rsid w:val="00BB6BA6"/>
    <w:rsid w:val="00BB6BEB"/>
    <w:rsid w:val="00BB6C07"/>
    <w:rsid w:val="00BB6C21"/>
    <w:rsid w:val="00BB6C25"/>
    <w:rsid w:val="00BB6CE7"/>
    <w:rsid w:val="00BB6D97"/>
    <w:rsid w:val="00BB6E14"/>
    <w:rsid w:val="00BB6E67"/>
    <w:rsid w:val="00BB6E7C"/>
    <w:rsid w:val="00BB6EB6"/>
    <w:rsid w:val="00BB6F13"/>
    <w:rsid w:val="00BB6F28"/>
    <w:rsid w:val="00BB6FC5"/>
    <w:rsid w:val="00BB70C7"/>
    <w:rsid w:val="00BB7150"/>
    <w:rsid w:val="00BB716A"/>
    <w:rsid w:val="00BB7191"/>
    <w:rsid w:val="00BB734F"/>
    <w:rsid w:val="00BB73AE"/>
    <w:rsid w:val="00BB7437"/>
    <w:rsid w:val="00BB74A6"/>
    <w:rsid w:val="00BB7545"/>
    <w:rsid w:val="00BB75B0"/>
    <w:rsid w:val="00BB75D3"/>
    <w:rsid w:val="00BB75E9"/>
    <w:rsid w:val="00BB76AB"/>
    <w:rsid w:val="00BB76C7"/>
    <w:rsid w:val="00BB7756"/>
    <w:rsid w:val="00BB77A8"/>
    <w:rsid w:val="00BB77CB"/>
    <w:rsid w:val="00BB7864"/>
    <w:rsid w:val="00BB78B2"/>
    <w:rsid w:val="00BB790C"/>
    <w:rsid w:val="00BB79A3"/>
    <w:rsid w:val="00BB7A48"/>
    <w:rsid w:val="00BB7AF6"/>
    <w:rsid w:val="00BB7B0E"/>
    <w:rsid w:val="00BB7BF2"/>
    <w:rsid w:val="00BB7C36"/>
    <w:rsid w:val="00BB7D24"/>
    <w:rsid w:val="00BB7D83"/>
    <w:rsid w:val="00BB7D8C"/>
    <w:rsid w:val="00BB7DCC"/>
    <w:rsid w:val="00BB7E41"/>
    <w:rsid w:val="00BB7E9F"/>
    <w:rsid w:val="00BB7ED4"/>
    <w:rsid w:val="00BB7EFD"/>
    <w:rsid w:val="00BB7F31"/>
    <w:rsid w:val="00BB7F62"/>
    <w:rsid w:val="00BC000D"/>
    <w:rsid w:val="00BC0019"/>
    <w:rsid w:val="00BC0024"/>
    <w:rsid w:val="00BC00B9"/>
    <w:rsid w:val="00BC00CF"/>
    <w:rsid w:val="00BC0201"/>
    <w:rsid w:val="00BC039D"/>
    <w:rsid w:val="00BC03AD"/>
    <w:rsid w:val="00BC03F4"/>
    <w:rsid w:val="00BC044D"/>
    <w:rsid w:val="00BC048C"/>
    <w:rsid w:val="00BC04FC"/>
    <w:rsid w:val="00BC0536"/>
    <w:rsid w:val="00BC05A0"/>
    <w:rsid w:val="00BC05B0"/>
    <w:rsid w:val="00BC06AE"/>
    <w:rsid w:val="00BC06DF"/>
    <w:rsid w:val="00BC0798"/>
    <w:rsid w:val="00BC07C8"/>
    <w:rsid w:val="00BC080C"/>
    <w:rsid w:val="00BC081D"/>
    <w:rsid w:val="00BC0921"/>
    <w:rsid w:val="00BC0A23"/>
    <w:rsid w:val="00BC0A7F"/>
    <w:rsid w:val="00BC0AAD"/>
    <w:rsid w:val="00BC0AD5"/>
    <w:rsid w:val="00BC0BB8"/>
    <w:rsid w:val="00BC0C19"/>
    <w:rsid w:val="00BC0C3F"/>
    <w:rsid w:val="00BC0CB8"/>
    <w:rsid w:val="00BC0CD6"/>
    <w:rsid w:val="00BC0D09"/>
    <w:rsid w:val="00BC0DF6"/>
    <w:rsid w:val="00BC0E0F"/>
    <w:rsid w:val="00BC0E2C"/>
    <w:rsid w:val="00BC0E38"/>
    <w:rsid w:val="00BC0EA0"/>
    <w:rsid w:val="00BC0EBA"/>
    <w:rsid w:val="00BC0EEE"/>
    <w:rsid w:val="00BC0F61"/>
    <w:rsid w:val="00BC0F7A"/>
    <w:rsid w:val="00BC1063"/>
    <w:rsid w:val="00BC1092"/>
    <w:rsid w:val="00BC1113"/>
    <w:rsid w:val="00BC11BC"/>
    <w:rsid w:val="00BC1261"/>
    <w:rsid w:val="00BC128F"/>
    <w:rsid w:val="00BC1342"/>
    <w:rsid w:val="00BC1377"/>
    <w:rsid w:val="00BC13A5"/>
    <w:rsid w:val="00BC146B"/>
    <w:rsid w:val="00BC14A1"/>
    <w:rsid w:val="00BC14A9"/>
    <w:rsid w:val="00BC155D"/>
    <w:rsid w:val="00BC15C8"/>
    <w:rsid w:val="00BC15FB"/>
    <w:rsid w:val="00BC16AD"/>
    <w:rsid w:val="00BC1788"/>
    <w:rsid w:val="00BC178B"/>
    <w:rsid w:val="00BC17BC"/>
    <w:rsid w:val="00BC183B"/>
    <w:rsid w:val="00BC1925"/>
    <w:rsid w:val="00BC19B7"/>
    <w:rsid w:val="00BC19C6"/>
    <w:rsid w:val="00BC1A1E"/>
    <w:rsid w:val="00BC1A55"/>
    <w:rsid w:val="00BC1A60"/>
    <w:rsid w:val="00BC1B14"/>
    <w:rsid w:val="00BC1B1C"/>
    <w:rsid w:val="00BC1B27"/>
    <w:rsid w:val="00BC1BF3"/>
    <w:rsid w:val="00BC1BFA"/>
    <w:rsid w:val="00BC1CBD"/>
    <w:rsid w:val="00BC1CE3"/>
    <w:rsid w:val="00BC1CF0"/>
    <w:rsid w:val="00BC1D34"/>
    <w:rsid w:val="00BC1D41"/>
    <w:rsid w:val="00BC1E1F"/>
    <w:rsid w:val="00BC1E2B"/>
    <w:rsid w:val="00BC1EA3"/>
    <w:rsid w:val="00BC1F3C"/>
    <w:rsid w:val="00BC1FA3"/>
    <w:rsid w:val="00BC20B5"/>
    <w:rsid w:val="00BC2118"/>
    <w:rsid w:val="00BC2123"/>
    <w:rsid w:val="00BC213B"/>
    <w:rsid w:val="00BC2156"/>
    <w:rsid w:val="00BC21DC"/>
    <w:rsid w:val="00BC222B"/>
    <w:rsid w:val="00BC227D"/>
    <w:rsid w:val="00BC22C4"/>
    <w:rsid w:val="00BC23D4"/>
    <w:rsid w:val="00BC2452"/>
    <w:rsid w:val="00BC2486"/>
    <w:rsid w:val="00BC24BB"/>
    <w:rsid w:val="00BC24E0"/>
    <w:rsid w:val="00BC250F"/>
    <w:rsid w:val="00BC252B"/>
    <w:rsid w:val="00BC2533"/>
    <w:rsid w:val="00BC2642"/>
    <w:rsid w:val="00BC2755"/>
    <w:rsid w:val="00BC277B"/>
    <w:rsid w:val="00BC27BC"/>
    <w:rsid w:val="00BC27D2"/>
    <w:rsid w:val="00BC2874"/>
    <w:rsid w:val="00BC2888"/>
    <w:rsid w:val="00BC28A3"/>
    <w:rsid w:val="00BC28D6"/>
    <w:rsid w:val="00BC291C"/>
    <w:rsid w:val="00BC2A76"/>
    <w:rsid w:val="00BC2AFF"/>
    <w:rsid w:val="00BC2B05"/>
    <w:rsid w:val="00BC2B06"/>
    <w:rsid w:val="00BC2B2D"/>
    <w:rsid w:val="00BC2C10"/>
    <w:rsid w:val="00BC2C80"/>
    <w:rsid w:val="00BC2CD7"/>
    <w:rsid w:val="00BC2D1C"/>
    <w:rsid w:val="00BC2D30"/>
    <w:rsid w:val="00BC2D6E"/>
    <w:rsid w:val="00BC2D9A"/>
    <w:rsid w:val="00BC2DA2"/>
    <w:rsid w:val="00BC2DFB"/>
    <w:rsid w:val="00BC2E4A"/>
    <w:rsid w:val="00BC2E59"/>
    <w:rsid w:val="00BC2E7D"/>
    <w:rsid w:val="00BC2EAD"/>
    <w:rsid w:val="00BC2F77"/>
    <w:rsid w:val="00BC305A"/>
    <w:rsid w:val="00BC3082"/>
    <w:rsid w:val="00BC3083"/>
    <w:rsid w:val="00BC30B4"/>
    <w:rsid w:val="00BC30DF"/>
    <w:rsid w:val="00BC310C"/>
    <w:rsid w:val="00BC3161"/>
    <w:rsid w:val="00BC3192"/>
    <w:rsid w:val="00BC31BA"/>
    <w:rsid w:val="00BC31F9"/>
    <w:rsid w:val="00BC3221"/>
    <w:rsid w:val="00BC32C1"/>
    <w:rsid w:val="00BC32EB"/>
    <w:rsid w:val="00BC334D"/>
    <w:rsid w:val="00BC3378"/>
    <w:rsid w:val="00BC3489"/>
    <w:rsid w:val="00BC349A"/>
    <w:rsid w:val="00BC34F8"/>
    <w:rsid w:val="00BC3520"/>
    <w:rsid w:val="00BC3546"/>
    <w:rsid w:val="00BC3587"/>
    <w:rsid w:val="00BC3687"/>
    <w:rsid w:val="00BC36B5"/>
    <w:rsid w:val="00BC36B6"/>
    <w:rsid w:val="00BC375F"/>
    <w:rsid w:val="00BC3773"/>
    <w:rsid w:val="00BC38C2"/>
    <w:rsid w:val="00BC3909"/>
    <w:rsid w:val="00BC3964"/>
    <w:rsid w:val="00BC3A4A"/>
    <w:rsid w:val="00BC3B0A"/>
    <w:rsid w:val="00BC3B15"/>
    <w:rsid w:val="00BC3B2C"/>
    <w:rsid w:val="00BC3B5F"/>
    <w:rsid w:val="00BC3BEB"/>
    <w:rsid w:val="00BC3BF7"/>
    <w:rsid w:val="00BC3C3B"/>
    <w:rsid w:val="00BC3CB2"/>
    <w:rsid w:val="00BC3D7A"/>
    <w:rsid w:val="00BC3E1C"/>
    <w:rsid w:val="00BC3EAD"/>
    <w:rsid w:val="00BC3EC6"/>
    <w:rsid w:val="00BC3FF3"/>
    <w:rsid w:val="00BC4083"/>
    <w:rsid w:val="00BC4102"/>
    <w:rsid w:val="00BC410F"/>
    <w:rsid w:val="00BC4194"/>
    <w:rsid w:val="00BC41E7"/>
    <w:rsid w:val="00BC4294"/>
    <w:rsid w:val="00BC4352"/>
    <w:rsid w:val="00BC4399"/>
    <w:rsid w:val="00BC442A"/>
    <w:rsid w:val="00BC447C"/>
    <w:rsid w:val="00BC454B"/>
    <w:rsid w:val="00BC45C1"/>
    <w:rsid w:val="00BC45F3"/>
    <w:rsid w:val="00BC4695"/>
    <w:rsid w:val="00BC46D6"/>
    <w:rsid w:val="00BC4735"/>
    <w:rsid w:val="00BC4810"/>
    <w:rsid w:val="00BC4837"/>
    <w:rsid w:val="00BC4842"/>
    <w:rsid w:val="00BC4845"/>
    <w:rsid w:val="00BC4867"/>
    <w:rsid w:val="00BC486F"/>
    <w:rsid w:val="00BC4897"/>
    <w:rsid w:val="00BC49FF"/>
    <w:rsid w:val="00BC4A8C"/>
    <w:rsid w:val="00BC4A95"/>
    <w:rsid w:val="00BC4B02"/>
    <w:rsid w:val="00BC4B04"/>
    <w:rsid w:val="00BC4B09"/>
    <w:rsid w:val="00BC4B1E"/>
    <w:rsid w:val="00BC4B24"/>
    <w:rsid w:val="00BC4B3D"/>
    <w:rsid w:val="00BC4BA5"/>
    <w:rsid w:val="00BC4C36"/>
    <w:rsid w:val="00BC4C40"/>
    <w:rsid w:val="00BC4C56"/>
    <w:rsid w:val="00BC4C61"/>
    <w:rsid w:val="00BC4CC2"/>
    <w:rsid w:val="00BC4CD0"/>
    <w:rsid w:val="00BC4CD1"/>
    <w:rsid w:val="00BC4DE1"/>
    <w:rsid w:val="00BC4DF0"/>
    <w:rsid w:val="00BC4E12"/>
    <w:rsid w:val="00BC4EB9"/>
    <w:rsid w:val="00BC4EF5"/>
    <w:rsid w:val="00BC4F25"/>
    <w:rsid w:val="00BC4F41"/>
    <w:rsid w:val="00BC4FA3"/>
    <w:rsid w:val="00BC4FED"/>
    <w:rsid w:val="00BC4FFD"/>
    <w:rsid w:val="00BC5026"/>
    <w:rsid w:val="00BC5069"/>
    <w:rsid w:val="00BC506A"/>
    <w:rsid w:val="00BC5103"/>
    <w:rsid w:val="00BC517F"/>
    <w:rsid w:val="00BC5234"/>
    <w:rsid w:val="00BC5331"/>
    <w:rsid w:val="00BC53CE"/>
    <w:rsid w:val="00BC5449"/>
    <w:rsid w:val="00BC5479"/>
    <w:rsid w:val="00BC548D"/>
    <w:rsid w:val="00BC54F5"/>
    <w:rsid w:val="00BC553C"/>
    <w:rsid w:val="00BC558F"/>
    <w:rsid w:val="00BC55DD"/>
    <w:rsid w:val="00BC5602"/>
    <w:rsid w:val="00BC5616"/>
    <w:rsid w:val="00BC56E4"/>
    <w:rsid w:val="00BC5750"/>
    <w:rsid w:val="00BC5796"/>
    <w:rsid w:val="00BC5797"/>
    <w:rsid w:val="00BC580B"/>
    <w:rsid w:val="00BC58A3"/>
    <w:rsid w:val="00BC58E4"/>
    <w:rsid w:val="00BC58F4"/>
    <w:rsid w:val="00BC5984"/>
    <w:rsid w:val="00BC59E7"/>
    <w:rsid w:val="00BC5A51"/>
    <w:rsid w:val="00BC5A53"/>
    <w:rsid w:val="00BC5AA3"/>
    <w:rsid w:val="00BC5C4E"/>
    <w:rsid w:val="00BC5C81"/>
    <w:rsid w:val="00BC5CE0"/>
    <w:rsid w:val="00BC5CE4"/>
    <w:rsid w:val="00BC5D1F"/>
    <w:rsid w:val="00BC5D9B"/>
    <w:rsid w:val="00BC5DC6"/>
    <w:rsid w:val="00BC5DF6"/>
    <w:rsid w:val="00BC5E12"/>
    <w:rsid w:val="00BC5E38"/>
    <w:rsid w:val="00BC5E82"/>
    <w:rsid w:val="00BC5EF0"/>
    <w:rsid w:val="00BC5F56"/>
    <w:rsid w:val="00BC5F6F"/>
    <w:rsid w:val="00BC5FF2"/>
    <w:rsid w:val="00BC6051"/>
    <w:rsid w:val="00BC61AF"/>
    <w:rsid w:val="00BC61E9"/>
    <w:rsid w:val="00BC625E"/>
    <w:rsid w:val="00BC6265"/>
    <w:rsid w:val="00BC6298"/>
    <w:rsid w:val="00BC6363"/>
    <w:rsid w:val="00BC6413"/>
    <w:rsid w:val="00BC6449"/>
    <w:rsid w:val="00BC647A"/>
    <w:rsid w:val="00BC6528"/>
    <w:rsid w:val="00BC6555"/>
    <w:rsid w:val="00BC655D"/>
    <w:rsid w:val="00BC66DF"/>
    <w:rsid w:val="00BC6763"/>
    <w:rsid w:val="00BC6784"/>
    <w:rsid w:val="00BC67D6"/>
    <w:rsid w:val="00BC67E4"/>
    <w:rsid w:val="00BC6830"/>
    <w:rsid w:val="00BC68BA"/>
    <w:rsid w:val="00BC68EB"/>
    <w:rsid w:val="00BC6960"/>
    <w:rsid w:val="00BC6A0C"/>
    <w:rsid w:val="00BC6A4B"/>
    <w:rsid w:val="00BC6B41"/>
    <w:rsid w:val="00BC6B62"/>
    <w:rsid w:val="00BC6B97"/>
    <w:rsid w:val="00BC6C4E"/>
    <w:rsid w:val="00BC6CB2"/>
    <w:rsid w:val="00BC6CB8"/>
    <w:rsid w:val="00BC6D38"/>
    <w:rsid w:val="00BC6E25"/>
    <w:rsid w:val="00BC6EAF"/>
    <w:rsid w:val="00BC6EB7"/>
    <w:rsid w:val="00BC6F23"/>
    <w:rsid w:val="00BC6F61"/>
    <w:rsid w:val="00BC6F73"/>
    <w:rsid w:val="00BC6FF0"/>
    <w:rsid w:val="00BC7033"/>
    <w:rsid w:val="00BC7039"/>
    <w:rsid w:val="00BC70A5"/>
    <w:rsid w:val="00BC70D4"/>
    <w:rsid w:val="00BC7121"/>
    <w:rsid w:val="00BC7142"/>
    <w:rsid w:val="00BC715D"/>
    <w:rsid w:val="00BC7173"/>
    <w:rsid w:val="00BC723A"/>
    <w:rsid w:val="00BC729D"/>
    <w:rsid w:val="00BC7300"/>
    <w:rsid w:val="00BC7358"/>
    <w:rsid w:val="00BC7365"/>
    <w:rsid w:val="00BC73B7"/>
    <w:rsid w:val="00BC7414"/>
    <w:rsid w:val="00BC7460"/>
    <w:rsid w:val="00BC747A"/>
    <w:rsid w:val="00BC750D"/>
    <w:rsid w:val="00BC751A"/>
    <w:rsid w:val="00BC75B2"/>
    <w:rsid w:val="00BC75FD"/>
    <w:rsid w:val="00BC7644"/>
    <w:rsid w:val="00BC7646"/>
    <w:rsid w:val="00BC76A4"/>
    <w:rsid w:val="00BC775F"/>
    <w:rsid w:val="00BC778E"/>
    <w:rsid w:val="00BC779C"/>
    <w:rsid w:val="00BC779F"/>
    <w:rsid w:val="00BC77F6"/>
    <w:rsid w:val="00BC7813"/>
    <w:rsid w:val="00BC781D"/>
    <w:rsid w:val="00BC78B0"/>
    <w:rsid w:val="00BC78B1"/>
    <w:rsid w:val="00BC79B8"/>
    <w:rsid w:val="00BC7ADD"/>
    <w:rsid w:val="00BC7C1B"/>
    <w:rsid w:val="00BC7C31"/>
    <w:rsid w:val="00BC7CBB"/>
    <w:rsid w:val="00BC7CFE"/>
    <w:rsid w:val="00BC7D38"/>
    <w:rsid w:val="00BC7D5E"/>
    <w:rsid w:val="00BC7D95"/>
    <w:rsid w:val="00BC7E39"/>
    <w:rsid w:val="00BC7EB1"/>
    <w:rsid w:val="00BC7F70"/>
    <w:rsid w:val="00BC7FD1"/>
    <w:rsid w:val="00BD0049"/>
    <w:rsid w:val="00BD0060"/>
    <w:rsid w:val="00BD0062"/>
    <w:rsid w:val="00BD0085"/>
    <w:rsid w:val="00BD008B"/>
    <w:rsid w:val="00BD00B1"/>
    <w:rsid w:val="00BD0122"/>
    <w:rsid w:val="00BD0142"/>
    <w:rsid w:val="00BD01A4"/>
    <w:rsid w:val="00BD01E6"/>
    <w:rsid w:val="00BD020F"/>
    <w:rsid w:val="00BD0235"/>
    <w:rsid w:val="00BD02CD"/>
    <w:rsid w:val="00BD036A"/>
    <w:rsid w:val="00BD0383"/>
    <w:rsid w:val="00BD03BD"/>
    <w:rsid w:val="00BD03E9"/>
    <w:rsid w:val="00BD0409"/>
    <w:rsid w:val="00BD0459"/>
    <w:rsid w:val="00BD0522"/>
    <w:rsid w:val="00BD0596"/>
    <w:rsid w:val="00BD0606"/>
    <w:rsid w:val="00BD0615"/>
    <w:rsid w:val="00BD0641"/>
    <w:rsid w:val="00BD06A2"/>
    <w:rsid w:val="00BD06D1"/>
    <w:rsid w:val="00BD086A"/>
    <w:rsid w:val="00BD08EB"/>
    <w:rsid w:val="00BD0901"/>
    <w:rsid w:val="00BD09D8"/>
    <w:rsid w:val="00BD09F0"/>
    <w:rsid w:val="00BD0A37"/>
    <w:rsid w:val="00BD0A49"/>
    <w:rsid w:val="00BD0A65"/>
    <w:rsid w:val="00BD0A88"/>
    <w:rsid w:val="00BD0AA4"/>
    <w:rsid w:val="00BD0AA9"/>
    <w:rsid w:val="00BD0B06"/>
    <w:rsid w:val="00BD0BD0"/>
    <w:rsid w:val="00BD0BD2"/>
    <w:rsid w:val="00BD0C93"/>
    <w:rsid w:val="00BD0CD6"/>
    <w:rsid w:val="00BD0D46"/>
    <w:rsid w:val="00BD0DF0"/>
    <w:rsid w:val="00BD0E3F"/>
    <w:rsid w:val="00BD0EC2"/>
    <w:rsid w:val="00BD0F06"/>
    <w:rsid w:val="00BD0F62"/>
    <w:rsid w:val="00BD0F6D"/>
    <w:rsid w:val="00BD0FBD"/>
    <w:rsid w:val="00BD0FC8"/>
    <w:rsid w:val="00BD104A"/>
    <w:rsid w:val="00BD1050"/>
    <w:rsid w:val="00BD10FC"/>
    <w:rsid w:val="00BD1183"/>
    <w:rsid w:val="00BD118D"/>
    <w:rsid w:val="00BD122E"/>
    <w:rsid w:val="00BD1247"/>
    <w:rsid w:val="00BD1274"/>
    <w:rsid w:val="00BD12A6"/>
    <w:rsid w:val="00BD12EA"/>
    <w:rsid w:val="00BD1383"/>
    <w:rsid w:val="00BD141D"/>
    <w:rsid w:val="00BD1464"/>
    <w:rsid w:val="00BD14A9"/>
    <w:rsid w:val="00BD14BF"/>
    <w:rsid w:val="00BD14E6"/>
    <w:rsid w:val="00BD151B"/>
    <w:rsid w:val="00BD152C"/>
    <w:rsid w:val="00BD1638"/>
    <w:rsid w:val="00BD16A2"/>
    <w:rsid w:val="00BD179F"/>
    <w:rsid w:val="00BD17D1"/>
    <w:rsid w:val="00BD1851"/>
    <w:rsid w:val="00BD1872"/>
    <w:rsid w:val="00BD18AD"/>
    <w:rsid w:val="00BD18E9"/>
    <w:rsid w:val="00BD1A41"/>
    <w:rsid w:val="00BD1A9A"/>
    <w:rsid w:val="00BD1AC3"/>
    <w:rsid w:val="00BD1ACD"/>
    <w:rsid w:val="00BD1B92"/>
    <w:rsid w:val="00BD1BC0"/>
    <w:rsid w:val="00BD1BE6"/>
    <w:rsid w:val="00BD1BF7"/>
    <w:rsid w:val="00BD1C78"/>
    <w:rsid w:val="00BD1CF9"/>
    <w:rsid w:val="00BD1D03"/>
    <w:rsid w:val="00BD1D04"/>
    <w:rsid w:val="00BD1D23"/>
    <w:rsid w:val="00BD1D88"/>
    <w:rsid w:val="00BD1DAC"/>
    <w:rsid w:val="00BD1DC1"/>
    <w:rsid w:val="00BD1E1C"/>
    <w:rsid w:val="00BD1F2E"/>
    <w:rsid w:val="00BD1F37"/>
    <w:rsid w:val="00BD1F43"/>
    <w:rsid w:val="00BD1FAA"/>
    <w:rsid w:val="00BD1FB4"/>
    <w:rsid w:val="00BD200F"/>
    <w:rsid w:val="00BD2019"/>
    <w:rsid w:val="00BD201A"/>
    <w:rsid w:val="00BD201C"/>
    <w:rsid w:val="00BD2044"/>
    <w:rsid w:val="00BD20B5"/>
    <w:rsid w:val="00BD20F6"/>
    <w:rsid w:val="00BD2178"/>
    <w:rsid w:val="00BD2191"/>
    <w:rsid w:val="00BD21E2"/>
    <w:rsid w:val="00BD22CA"/>
    <w:rsid w:val="00BD22E0"/>
    <w:rsid w:val="00BD22E3"/>
    <w:rsid w:val="00BD22ED"/>
    <w:rsid w:val="00BD23B3"/>
    <w:rsid w:val="00BD23FD"/>
    <w:rsid w:val="00BD2452"/>
    <w:rsid w:val="00BD2462"/>
    <w:rsid w:val="00BD2502"/>
    <w:rsid w:val="00BD25B5"/>
    <w:rsid w:val="00BD25C0"/>
    <w:rsid w:val="00BD2616"/>
    <w:rsid w:val="00BD2669"/>
    <w:rsid w:val="00BD266A"/>
    <w:rsid w:val="00BD267F"/>
    <w:rsid w:val="00BD26AA"/>
    <w:rsid w:val="00BD26BE"/>
    <w:rsid w:val="00BD26E2"/>
    <w:rsid w:val="00BD275A"/>
    <w:rsid w:val="00BD2762"/>
    <w:rsid w:val="00BD277E"/>
    <w:rsid w:val="00BD27B7"/>
    <w:rsid w:val="00BD27BF"/>
    <w:rsid w:val="00BD281B"/>
    <w:rsid w:val="00BD2861"/>
    <w:rsid w:val="00BD2869"/>
    <w:rsid w:val="00BD2870"/>
    <w:rsid w:val="00BD2882"/>
    <w:rsid w:val="00BD288D"/>
    <w:rsid w:val="00BD2894"/>
    <w:rsid w:val="00BD28CE"/>
    <w:rsid w:val="00BD28FC"/>
    <w:rsid w:val="00BD2A0C"/>
    <w:rsid w:val="00BD2A4B"/>
    <w:rsid w:val="00BD2B04"/>
    <w:rsid w:val="00BD2B09"/>
    <w:rsid w:val="00BD2B71"/>
    <w:rsid w:val="00BD2C2A"/>
    <w:rsid w:val="00BD2C80"/>
    <w:rsid w:val="00BD2C9D"/>
    <w:rsid w:val="00BD2CA0"/>
    <w:rsid w:val="00BD2D02"/>
    <w:rsid w:val="00BD2DF1"/>
    <w:rsid w:val="00BD2E28"/>
    <w:rsid w:val="00BD2E30"/>
    <w:rsid w:val="00BD2E5A"/>
    <w:rsid w:val="00BD2EB5"/>
    <w:rsid w:val="00BD2ED9"/>
    <w:rsid w:val="00BD2F2F"/>
    <w:rsid w:val="00BD2F6D"/>
    <w:rsid w:val="00BD3032"/>
    <w:rsid w:val="00BD306D"/>
    <w:rsid w:val="00BD308D"/>
    <w:rsid w:val="00BD30CD"/>
    <w:rsid w:val="00BD3148"/>
    <w:rsid w:val="00BD31C3"/>
    <w:rsid w:val="00BD32D6"/>
    <w:rsid w:val="00BD32E3"/>
    <w:rsid w:val="00BD330A"/>
    <w:rsid w:val="00BD3367"/>
    <w:rsid w:val="00BD33BB"/>
    <w:rsid w:val="00BD3411"/>
    <w:rsid w:val="00BD34F8"/>
    <w:rsid w:val="00BD35B0"/>
    <w:rsid w:val="00BD35EF"/>
    <w:rsid w:val="00BD35F3"/>
    <w:rsid w:val="00BD3604"/>
    <w:rsid w:val="00BD36AF"/>
    <w:rsid w:val="00BD36C0"/>
    <w:rsid w:val="00BD37A5"/>
    <w:rsid w:val="00BD37AD"/>
    <w:rsid w:val="00BD37AF"/>
    <w:rsid w:val="00BD37EA"/>
    <w:rsid w:val="00BD3840"/>
    <w:rsid w:val="00BD3877"/>
    <w:rsid w:val="00BD3887"/>
    <w:rsid w:val="00BD389C"/>
    <w:rsid w:val="00BD38C9"/>
    <w:rsid w:val="00BD3993"/>
    <w:rsid w:val="00BD3A5F"/>
    <w:rsid w:val="00BD3A8A"/>
    <w:rsid w:val="00BD3A99"/>
    <w:rsid w:val="00BD3ABB"/>
    <w:rsid w:val="00BD3AE6"/>
    <w:rsid w:val="00BD3B0D"/>
    <w:rsid w:val="00BD3B67"/>
    <w:rsid w:val="00BD3C4D"/>
    <w:rsid w:val="00BD3C5D"/>
    <w:rsid w:val="00BD3C9E"/>
    <w:rsid w:val="00BD3CDB"/>
    <w:rsid w:val="00BD3D39"/>
    <w:rsid w:val="00BD3D5D"/>
    <w:rsid w:val="00BD3E17"/>
    <w:rsid w:val="00BD3E54"/>
    <w:rsid w:val="00BD3E63"/>
    <w:rsid w:val="00BD3E8B"/>
    <w:rsid w:val="00BD3EBC"/>
    <w:rsid w:val="00BD3EEA"/>
    <w:rsid w:val="00BD3F1C"/>
    <w:rsid w:val="00BD3F70"/>
    <w:rsid w:val="00BD3F7A"/>
    <w:rsid w:val="00BD40DF"/>
    <w:rsid w:val="00BD425C"/>
    <w:rsid w:val="00BD42CC"/>
    <w:rsid w:val="00BD433C"/>
    <w:rsid w:val="00BD4351"/>
    <w:rsid w:val="00BD43B8"/>
    <w:rsid w:val="00BD43D0"/>
    <w:rsid w:val="00BD440B"/>
    <w:rsid w:val="00BD445D"/>
    <w:rsid w:val="00BD44A9"/>
    <w:rsid w:val="00BD45BC"/>
    <w:rsid w:val="00BD45C4"/>
    <w:rsid w:val="00BD45D0"/>
    <w:rsid w:val="00BD45E1"/>
    <w:rsid w:val="00BD4648"/>
    <w:rsid w:val="00BD4759"/>
    <w:rsid w:val="00BD47B9"/>
    <w:rsid w:val="00BD47CD"/>
    <w:rsid w:val="00BD481D"/>
    <w:rsid w:val="00BD4855"/>
    <w:rsid w:val="00BD4881"/>
    <w:rsid w:val="00BD48D4"/>
    <w:rsid w:val="00BD48DB"/>
    <w:rsid w:val="00BD4904"/>
    <w:rsid w:val="00BD4906"/>
    <w:rsid w:val="00BD490F"/>
    <w:rsid w:val="00BD499C"/>
    <w:rsid w:val="00BD49E7"/>
    <w:rsid w:val="00BD4AD2"/>
    <w:rsid w:val="00BD4AED"/>
    <w:rsid w:val="00BD4B41"/>
    <w:rsid w:val="00BD4B79"/>
    <w:rsid w:val="00BD4BD8"/>
    <w:rsid w:val="00BD4C15"/>
    <w:rsid w:val="00BD4C25"/>
    <w:rsid w:val="00BD4CD5"/>
    <w:rsid w:val="00BD4D21"/>
    <w:rsid w:val="00BD4D3B"/>
    <w:rsid w:val="00BD4D50"/>
    <w:rsid w:val="00BD4D5F"/>
    <w:rsid w:val="00BD4DEA"/>
    <w:rsid w:val="00BD4E38"/>
    <w:rsid w:val="00BD4E82"/>
    <w:rsid w:val="00BD4EA4"/>
    <w:rsid w:val="00BD4EB2"/>
    <w:rsid w:val="00BD4EDD"/>
    <w:rsid w:val="00BD4F1D"/>
    <w:rsid w:val="00BD4FBB"/>
    <w:rsid w:val="00BD4FEB"/>
    <w:rsid w:val="00BD50A1"/>
    <w:rsid w:val="00BD50C8"/>
    <w:rsid w:val="00BD51AD"/>
    <w:rsid w:val="00BD540D"/>
    <w:rsid w:val="00BD54B4"/>
    <w:rsid w:val="00BD5501"/>
    <w:rsid w:val="00BD551C"/>
    <w:rsid w:val="00BD556D"/>
    <w:rsid w:val="00BD558F"/>
    <w:rsid w:val="00BD5626"/>
    <w:rsid w:val="00BD5797"/>
    <w:rsid w:val="00BD5839"/>
    <w:rsid w:val="00BD5872"/>
    <w:rsid w:val="00BD58AF"/>
    <w:rsid w:val="00BD58F2"/>
    <w:rsid w:val="00BD592B"/>
    <w:rsid w:val="00BD59B3"/>
    <w:rsid w:val="00BD5A2C"/>
    <w:rsid w:val="00BD5A40"/>
    <w:rsid w:val="00BD5A64"/>
    <w:rsid w:val="00BD5A82"/>
    <w:rsid w:val="00BD5AB9"/>
    <w:rsid w:val="00BD5AD9"/>
    <w:rsid w:val="00BD5BDC"/>
    <w:rsid w:val="00BD5CA8"/>
    <w:rsid w:val="00BD5D01"/>
    <w:rsid w:val="00BD5D52"/>
    <w:rsid w:val="00BD5DB6"/>
    <w:rsid w:val="00BD5DD8"/>
    <w:rsid w:val="00BD5EE9"/>
    <w:rsid w:val="00BD5F12"/>
    <w:rsid w:val="00BD5F4E"/>
    <w:rsid w:val="00BD6061"/>
    <w:rsid w:val="00BD6121"/>
    <w:rsid w:val="00BD6136"/>
    <w:rsid w:val="00BD61AF"/>
    <w:rsid w:val="00BD61EB"/>
    <w:rsid w:val="00BD6201"/>
    <w:rsid w:val="00BD62E0"/>
    <w:rsid w:val="00BD6374"/>
    <w:rsid w:val="00BD63DF"/>
    <w:rsid w:val="00BD6441"/>
    <w:rsid w:val="00BD644A"/>
    <w:rsid w:val="00BD6519"/>
    <w:rsid w:val="00BD660F"/>
    <w:rsid w:val="00BD674D"/>
    <w:rsid w:val="00BD6771"/>
    <w:rsid w:val="00BD67A1"/>
    <w:rsid w:val="00BD67CF"/>
    <w:rsid w:val="00BD6840"/>
    <w:rsid w:val="00BD6856"/>
    <w:rsid w:val="00BD686B"/>
    <w:rsid w:val="00BD6889"/>
    <w:rsid w:val="00BD6894"/>
    <w:rsid w:val="00BD6A37"/>
    <w:rsid w:val="00BD6AA3"/>
    <w:rsid w:val="00BD6B05"/>
    <w:rsid w:val="00BD6B19"/>
    <w:rsid w:val="00BD6B32"/>
    <w:rsid w:val="00BD6B3D"/>
    <w:rsid w:val="00BD6B4A"/>
    <w:rsid w:val="00BD6C5B"/>
    <w:rsid w:val="00BD6C5C"/>
    <w:rsid w:val="00BD6CFF"/>
    <w:rsid w:val="00BD6D49"/>
    <w:rsid w:val="00BD6D8A"/>
    <w:rsid w:val="00BD6DFC"/>
    <w:rsid w:val="00BD6E21"/>
    <w:rsid w:val="00BD6E97"/>
    <w:rsid w:val="00BD6EE4"/>
    <w:rsid w:val="00BD6EFF"/>
    <w:rsid w:val="00BD6F83"/>
    <w:rsid w:val="00BD7049"/>
    <w:rsid w:val="00BD70BC"/>
    <w:rsid w:val="00BD70EB"/>
    <w:rsid w:val="00BD71B1"/>
    <w:rsid w:val="00BD728F"/>
    <w:rsid w:val="00BD72A0"/>
    <w:rsid w:val="00BD72C7"/>
    <w:rsid w:val="00BD72F1"/>
    <w:rsid w:val="00BD72F5"/>
    <w:rsid w:val="00BD73A9"/>
    <w:rsid w:val="00BD7590"/>
    <w:rsid w:val="00BD75A0"/>
    <w:rsid w:val="00BD7698"/>
    <w:rsid w:val="00BD76C3"/>
    <w:rsid w:val="00BD77EE"/>
    <w:rsid w:val="00BD7860"/>
    <w:rsid w:val="00BD78DE"/>
    <w:rsid w:val="00BD793A"/>
    <w:rsid w:val="00BD7953"/>
    <w:rsid w:val="00BD79F1"/>
    <w:rsid w:val="00BD7A22"/>
    <w:rsid w:val="00BD7B0B"/>
    <w:rsid w:val="00BD7B9C"/>
    <w:rsid w:val="00BD7C27"/>
    <w:rsid w:val="00BD7D3C"/>
    <w:rsid w:val="00BD7D75"/>
    <w:rsid w:val="00BD7DBF"/>
    <w:rsid w:val="00BD7DC4"/>
    <w:rsid w:val="00BD7DE5"/>
    <w:rsid w:val="00BD7DFA"/>
    <w:rsid w:val="00BD7E49"/>
    <w:rsid w:val="00BD7E55"/>
    <w:rsid w:val="00BD7E9F"/>
    <w:rsid w:val="00BD7EC2"/>
    <w:rsid w:val="00BD7EEB"/>
    <w:rsid w:val="00BD7F44"/>
    <w:rsid w:val="00BD7F95"/>
    <w:rsid w:val="00BD7FC0"/>
    <w:rsid w:val="00BE007A"/>
    <w:rsid w:val="00BE009A"/>
    <w:rsid w:val="00BE00AD"/>
    <w:rsid w:val="00BE00DF"/>
    <w:rsid w:val="00BE0193"/>
    <w:rsid w:val="00BE01F9"/>
    <w:rsid w:val="00BE02D0"/>
    <w:rsid w:val="00BE033D"/>
    <w:rsid w:val="00BE033F"/>
    <w:rsid w:val="00BE0462"/>
    <w:rsid w:val="00BE0492"/>
    <w:rsid w:val="00BE0499"/>
    <w:rsid w:val="00BE0511"/>
    <w:rsid w:val="00BE0546"/>
    <w:rsid w:val="00BE0621"/>
    <w:rsid w:val="00BE066E"/>
    <w:rsid w:val="00BE06A3"/>
    <w:rsid w:val="00BE06E3"/>
    <w:rsid w:val="00BE07D4"/>
    <w:rsid w:val="00BE0854"/>
    <w:rsid w:val="00BE08A9"/>
    <w:rsid w:val="00BE0AD8"/>
    <w:rsid w:val="00BE0B30"/>
    <w:rsid w:val="00BE0B84"/>
    <w:rsid w:val="00BE0BA8"/>
    <w:rsid w:val="00BE0BDE"/>
    <w:rsid w:val="00BE0BFE"/>
    <w:rsid w:val="00BE0C4F"/>
    <w:rsid w:val="00BE0C59"/>
    <w:rsid w:val="00BE0C8D"/>
    <w:rsid w:val="00BE0D7D"/>
    <w:rsid w:val="00BE0D91"/>
    <w:rsid w:val="00BE0DC6"/>
    <w:rsid w:val="00BE0DDD"/>
    <w:rsid w:val="00BE0EBB"/>
    <w:rsid w:val="00BE1043"/>
    <w:rsid w:val="00BE107B"/>
    <w:rsid w:val="00BE10EA"/>
    <w:rsid w:val="00BE111F"/>
    <w:rsid w:val="00BE112E"/>
    <w:rsid w:val="00BE116D"/>
    <w:rsid w:val="00BE121C"/>
    <w:rsid w:val="00BE1248"/>
    <w:rsid w:val="00BE126C"/>
    <w:rsid w:val="00BE1302"/>
    <w:rsid w:val="00BE137E"/>
    <w:rsid w:val="00BE13D3"/>
    <w:rsid w:val="00BE1428"/>
    <w:rsid w:val="00BE145D"/>
    <w:rsid w:val="00BE1488"/>
    <w:rsid w:val="00BE14A6"/>
    <w:rsid w:val="00BE150D"/>
    <w:rsid w:val="00BE1511"/>
    <w:rsid w:val="00BE159F"/>
    <w:rsid w:val="00BE1638"/>
    <w:rsid w:val="00BE1641"/>
    <w:rsid w:val="00BE16AA"/>
    <w:rsid w:val="00BE1745"/>
    <w:rsid w:val="00BE17D8"/>
    <w:rsid w:val="00BE17F4"/>
    <w:rsid w:val="00BE17F6"/>
    <w:rsid w:val="00BE188D"/>
    <w:rsid w:val="00BE18DD"/>
    <w:rsid w:val="00BE18E6"/>
    <w:rsid w:val="00BE190F"/>
    <w:rsid w:val="00BE195E"/>
    <w:rsid w:val="00BE1994"/>
    <w:rsid w:val="00BE19E2"/>
    <w:rsid w:val="00BE1AF9"/>
    <w:rsid w:val="00BE1B7D"/>
    <w:rsid w:val="00BE1BB2"/>
    <w:rsid w:val="00BE1BEC"/>
    <w:rsid w:val="00BE1C62"/>
    <w:rsid w:val="00BE1CE9"/>
    <w:rsid w:val="00BE1D25"/>
    <w:rsid w:val="00BE1D6B"/>
    <w:rsid w:val="00BE1E2A"/>
    <w:rsid w:val="00BE1ED9"/>
    <w:rsid w:val="00BE1EEC"/>
    <w:rsid w:val="00BE1FFD"/>
    <w:rsid w:val="00BE2014"/>
    <w:rsid w:val="00BE205F"/>
    <w:rsid w:val="00BE2072"/>
    <w:rsid w:val="00BE2075"/>
    <w:rsid w:val="00BE207E"/>
    <w:rsid w:val="00BE20A5"/>
    <w:rsid w:val="00BE20C5"/>
    <w:rsid w:val="00BE20D9"/>
    <w:rsid w:val="00BE20DB"/>
    <w:rsid w:val="00BE20F1"/>
    <w:rsid w:val="00BE2193"/>
    <w:rsid w:val="00BE21A5"/>
    <w:rsid w:val="00BE22E4"/>
    <w:rsid w:val="00BE23BA"/>
    <w:rsid w:val="00BE23F4"/>
    <w:rsid w:val="00BE2413"/>
    <w:rsid w:val="00BE24A6"/>
    <w:rsid w:val="00BE2561"/>
    <w:rsid w:val="00BE25A3"/>
    <w:rsid w:val="00BE25B7"/>
    <w:rsid w:val="00BE2631"/>
    <w:rsid w:val="00BE2644"/>
    <w:rsid w:val="00BE26F2"/>
    <w:rsid w:val="00BE274A"/>
    <w:rsid w:val="00BE277E"/>
    <w:rsid w:val="00BE2836"/>
    <w:rsid w:val="00BE28BC"/>
    <w:rsid w:val="00BE2946"/>
    <w:rsid w:val="00BE2973"/>
    <w:rsid w:val="00BE2A06"/>
    <w:rsid w:val="00BE2A0A"/>
    <w:rsid w:val="00BE2A10"/>
    <w:rsid w:val="00BE2A6A"/>
    <w:rsid w:val="00BE2AD3"/>
    <w:rsid w:val="00BE2BF1"/>
    <w:rsid w:val="00BE2C22"/>
    <w:rsid w:val="00BE2C36"/>
    <w:rsid w:val="00BE2C3A"/>
    <w:rsid w:val="00BE2C60"/>
    <w:rsid w:val="00BE2C79"/>
    <w:rsid w:val="00BE2CCA"/>
    <w:rsid w:val="00BE2D5F"/>
    <w:rsid w:val="00BE2DE5"/>
    <w:rsid w:val="00BE2E08"/>
    <w:rsid w:val="00BE2E1C"/>
    <w:rsid w:val="00BE2F14"/>
    <w:rsid w:val="00BE2F67"/>
    <w:rsid w:val="00BE2F6C"/>
    <w:rsid w:val="00BE2F71"/>
    <w:rsid w:val="00BE2F9B"/>
    <w:rsid w:val="00BE3068"/>
    <w:rsid w:val="00BE310B"/>
    <w:rsid w:val="00BE3128"/>
    <w:rsid w:val="00BE323E"/>
    <w:rsid w:val="00BE3314"/>
    <w:rsid w:val="00BE334C"/>
    <w:rsid w:val="00BE340E"/>
    <w:rsid w:val="00BE353B"/>
    <w:rsid w:val="00BE354A"/>
    <w:rsid w:val="00BE3573"/>
    <w:rsid w:val="00BE3609"/>
    <w:rsid w:val="00BE361B"/>
    <w:rsid w:val="00BE3769"/>
    <w:rsid w:val="00BE3786"/>
    <w:rsid w:val="00BE37C0"/>
    <w:rsid w:val="00BE37F1"/>
    <w:rsid w:val="00BE38C0"/>
    <w:rsid w:val="00BE39A9"/>
    <w:rsid w:val="00BE39AD"/>
    <w:rsid w:val="00BE3A7C"/>
    <w:rsid w:val="00BE3AEB"/>
    <w:rsid w:val="00BE3B42"/>
    <w:rsid w:val="00BE3B63"/>
    <w:rsid w:val="00BE3B8B"/>
    <w:rsid w:val="00BE3C56"/>
    <w:rsid w:val="00BE3C8C"/>
    <w:rsid w:val="00BE3CE5"/>
    <w:rsid w:val="00BE3D20"/>
    <w:rsid w:val="00BE3D32"/>
    <w:rsid w:val="00BE3D47"/>
    <w:rsid w:val="00BE3D72"/>
    <w:rsid w:val="00BE3E52"/>
    <w:rsid w:val="00BE3E53"/>
    <w:rsid w:val="00BE3E5D"/>
    <w:rsid w:val="00BE3E6D"/>
    <w:rsid w:val="00BE3EAF"/>
    <w:rsid w:val="00BE3ED7"/>
    <w:rsid w:val="00BE3F2A"/>
    <w:rsid w:val="00BE3F60"/>
    <w:rsid w:val="00BE3F8B"/>
    <w:rsid w:val="00BE3FED"/>
    <w:rsid w:val="00BE4004"/>
    <w:rsid w:val="00BE4005"/>
    <w:rsid w:val="00BE4009"/>
    <w:rsid w:val="00BE4239"/>
    <w:rsid w:val="00BE434D"/>
    <w:rsid w:val="00BE4431"/>
    <w:rsid w:val="00BE446F"/>
    <w:rsid w:val="00BE44B5"/>
    <w:rsid w:val="00BE44E5"/>
    <w:rsid w:val="00BE44FB"/>
    <w:rsid w:val="00BE4522"/>
    <w:rsid w:val="00BE462B"/>
    <w:rsid w:val="00BE4664"/>
    <w:rsid w:val="00BE4683"/>
    <w:rsid w:val="00BE469F"/>
    <w:rsid w:val="00BE46A7"/>
    <w:rsid w:val="00BE46C1"/>
    <w:rsid w:val="00BE4782"/>
    <w:rsid w:val="00BE478A"/>
    <w:rsid w:val="00BE47BC"/>
    <w:rsid w:val="00BE4959"/>
    <w:rsid w:val="00BE4973"/>
    <w:rsid w:val="00BE4A3D"/>
    <w:rsid w:val="00BE4AAA"/>
    <w:rsid w:val="00BE4AC3"/>
    <w:rsid w:val="00BE4BB7"/>
    <w:rsid w:val="00BE4BB9"/>
    <w:rsid w:val="00BE4BC3"/>
    <w:rsid w:val="00BE4C11"/>
    <w:rsid w:val="00BE4C1E"/>
    <w:rsid w:val="00BE4C8E"/>
    <w:rsid w:val="00BE4CEF"/>
    <w:rsid w:val="00BE4D3C"/>
    <w:rsid w:val="00BE4E22"/>
    <w:rsid w:val="00BE4E64"/>
    <w:rsid w:val="00BE4E87"/>
    <w:rsid w:val="00BE4EBD"/>
    <w:rsid w:val="00BE4FB3"/>
    <w:rsid w:val="00BE4FD2"/>
    <w:rsid w:val="00BE5002"/>
    <w:rsid w:val="00BE5003"/>
    <w:rsid w:val="00BE505D"/>
    <w:rsid w:val="00BE5078"/>
    <w:rsid w:val="00BE507F"/>
    <w:rsid w:val="00BE513C"/>
    <w:rsid w:val="00BE5166"/>
    <w:rsid w:val="00BE5179"/>
    <w:rsid w:val="00BE51B4"/>
    <w:rsid w:val="00BE51D6"/>
    <w:rsid w:val="00BE5200"/>
    <w:rsid w:val="00BE5235"/>
    <w:rsid w:val="00BE5298"/>
    <w:rsid w:val="00BE5329"/>
    <w:rsid w:val="00BE5449"/>
    <w:rsid w:val="00BE5459"/>
    <w:rsid w:val="00BE54A6"/>
    <w:rsid w:val="00BE54D9"/>
    <w:rsid w:val="00BE54F1"/>
    <w:rsid w:val="00BE5557"/>
    <w:rsid w:val="00BE5583"/>
    <w:rsid w:val="00BE5606"/>
    <w:rsid w:val="00BE57B6"/>
    <w:rsid w:val="00BE57C2"/>
    <w:rsid w:val="00BE57C6"/>
    <w:rsid w:val="00BE57E4"/>
    <w:rsid w:val="00BE58AC"/>
    <w:rsid w:val="00BE58DF"/>
    <w:rsid w:val="00BE5903"/>
    <w:rsid w:val="00BE593F"/>
    <w:rsid w:val="00BE596D"/>
    <w:rsid w:val="00BE597F"/>
    <w:rsid w:val="00BE5A2D"/>
    <w:rsid w:val="00BE5A44"/>
    <w:rsid w:val="00BE5AA7"/>
    <w:rsid w:val="00BE5AE9"/>
    <w:rsid w:val="00BE5AEB"/>
    <w:rsid w:val="00BE5B93"/>
    <w:rsid w:val="00BE5BD4"/>
    <w:rsid w:val="00BE5C19"/>
    <w:rsid w:val="00BE5C55"/>
    <w:rsid w:val="00BE5C67"/>
    <w:rsid w:val="00BE5C9A"/>
    <w:rsid w:val="00BE5CD8"/>
    <w:rsid w:val="00BE5D8C"/>
    <w:rsid w:val="00BE5DCE"/>
    <w:rsid w:val="00BE5DD0"/>
    <w:rsid w:val="00BE5E00"/>
    <w:rsid w:val="00BE5E56"/>
    <w:rsid w:val="00BE5EA8"/>
    <w:rsid w:val="00BE5EB2"/>
    <w:rsid w:val="00BE5EEF"/>
    <w:rsid w:val="00BE5F7C"/>
    <w:rsid w:val="00BE5FB7"/>
    <w:rsid w:val="00BE5FCB"/>
    <w:rsid w:val="00BE6005"/>
    <w:rsid w:val="00BE6069"/>
    <w:rsid w:val="00BE6073"/>
    <w:rsid w:val="00BE60C5"/>
    <w:rsid w:val="00BE6134"/>
    <w:rsid w:val="00BE61AA"/>
    <w:rsid w:val="00BE6216"/>
    <w:rsid w:val="00BE6249"/>
    <w:rsid w:val="00BE6253"/>
    <w:rsid w:val="00BE641B"/>
    <w:rsid w:val="00BE642D"/>
    <w:rsid w:val="00BE6466"/>
    <w:rsid w:val="00BE6486"/>
    <w:rsid w:val="00BE6488"/>
    <w:rsid w:val="00BE64C6"/>
    <w:rsid w:val="00BE6511"/>
    <w:rsid w:val="00BE662D"/>
    <w:rsid w:val="00BE66D6"/>
    <w:rsid w:val="00BE66FD"/>
    <w:rsid w:val="00BE6781"/>
    <w:rsid w:val="00BE6790"/>
    <w:rsid w:val="00BE67FC"/>
    <w:rsid w:val="00BE6845"/>
    <w:rsid w:val="00BE68AC"/>
    <w:rsid w:val="00BE68CF"/>
    <w:rsid w:val="00BE6928"/>
    <w:rsid w:val="00BE6A3F"/>
    <w:rsid w:val="00BE6ACD"/>
    <w:rsid w:val="00BE6B1B"/>
    <w:rsid w:val="00BE6B66"/>
    <w:rsid w:val="00BE6B93"/>
    <w:rsid w:val="00BE6BA4"/>
    <w:rsid w:val="00BE6BAA"/>
    <w:rsid w:val="00BE6BC3"/>
    <w:rsid w:val="00BE6C08"/>
    <w:rsid w:val="00BE6C3D"/>
    <w:rsid w:val="00BE6CAC"/>
    <w:rsid w:val="00BE6D61"/>
    <w:rsid w:val="00BE6D9A"/>
    <w:rsid w:val="00BE6DAF"/>
    <w:rsid w:val="00BE6DDC"/>
    <w:rsid w:val="00BE6E56"/>
    <w:rsid w:val="00BE6EC4"/>
    <w:rsid w:val="00BE6F2E"/>
    <w:rsid w:val="00BE6F48"/>
    <w:rsid w:val="00BE6F5C"/>
    <w:rsid w:val="00BE6FB2"/>
    <w:rsid w:val="00BE70F1"/>
    <w:rsid w:val="00BE7117"/>
    <w:rsid w:val="00BE714C"/>
    <w:rsid w:val="00BE7171"/>
    <w:rsid w:val="00BE717F"/>
    <w:rsid w:val="00BE71E7"/>
    <w:rsid w:val="00BE71F7"/>
    <w:rsid w:val="00BE720B"/>
    <w:rsid w:val="00BE7239"/>
    <w:rsid w:val="00BE725F"/>
    <w:rsid w:val="00BE72A6"/>
    <w:rsid w:val="00BE72BF"/>
    <w:rsid w:val="00BE72C9"/>
    <w:rsid w:val="00BE72D8"/>
    <w:rsid w:val="00BE72DE"/>
    <w:rsid w:val="00BE72E5"/>
    <w:rsid w:val="00BE7349"/>
    <w:rsid w:val="00BE735E"/>
    <w:rsid w:val="00BE746B"/>
    <w:rsid w:val="00BE747F"/>
    <w:rsid w:val="00BE7496"/>
    <w:rsid w:val="00BE765B"/>
    <w:rsid w:val="00BE76FE"/>
    <w:rsid w:val="00BE770A"/>
    <w:rsid w:val="00BE7806"/>
    <w:rsid w:val="00BE78AA"/>
    <w:rsid w:val="00BE78FE"/>
    <w:rsid w:val="00BE7931"/>
    <w:rsid w:val="00BE7975"/>
    <w:rsid w:val="00BE7985"/>
    <w:rsid w:val="00BE7A17"/>
    <w:rsid w:val="00BE7A53"/>
    <w:rsid w:val="00BE7B3E"/>
    <w:rsid w:val="00BE7BCF"/>
    <w:rsid w:val="00BE7BE9"/>
    <w:rsid w:val="00BE7BF2"/>
    <w:rsid w:val="00BE7CC7"/>
    <w:rsid w:val="00BE7CF3"/>
    <w:rsid w:val="00BE7D65"/>
    <w:rsid w:val="00BE7DC4"/>
    <w:rsid w:val="00BE7DE9"/>
    <w:rsid w:val="00BE7DFA"/>
    <w:rsid w:val="00BE7E50"/>
    <w:rsid w:val="00BE7F31"/>
    <w:rsid w:val="00BE7F5B"/>
    <w:rsid w:val="00BE7FE8"/>
    <w:rsid w:val="00BF0013"/>
    <w:rsid w:val="00BF0068"/>
    <w:rsid w:val="00BF009E"/>
    <w:rsid w:val="00BF00BD"/>
    <w:rsid w:val="00BF00C9"/>
    <w:rsid w:val="00BF00F9"/>
    <w:rsid w:val="00BF015F"/>
    <w:rsid w:val="00BF0188"/>
    <w:rsid w:val="00BF01BD"/>
    <w:rsid w:val="00BF0222"/>
    <w:rsid w:val="00BF025F"/>
    <w:rsid w:val="00BF0288"/>
    <w:rsid w:val="00BF02EA"/>
    <w:rsid w:val="00BF0341"/>
    <w:rsid w:val="00BF0378"/>
    <w:rsid w:val="00BF0443"/>
    <w:rsid w:val="00BF050A"/>
    <w:rsid w:val="00BF050C"/>
    <w:rsid w:val="00BF051C"/>
    <w:rsid w:val="00BF0557"/>
    <w:rsid w:val="00BF05F1"/>
    <w:rsid w:val="00BF0630"/>
    <w:rsid w:val="00BF0724"/>
    <w:rsid w:val="00BF07BB"/>
    <w:rsid w:val="00BF08DE"/>
    <w:rsid w:val="00BF0B66"/>
    <w:rsid w:val="00BF0B85"/>
    <w:rsid w:val="00BF0C03"/>
    <w:rsid w:val="00BF0C2A"/>
    <w:rsid w:val="00BF0C9C"/>
    <w:rsid w:val="00BF0CAB"/>
    <w:rsid w:val="00BF0CE4"/>
    <w:rsid w:val="00BF0D46"/>
    <w:rsid w:val="00BF0E3A"/>
    <w:rsid w:val="00BF0E6A"/>
    <w:rsid w:val="00BF0E97"/>
    <w:rsid w:val="00BF0F64"/>
    <w:rsid w:val="00BF0FB0"/>
    <w:rsid w:val="00BF1062"/>
    <w:rsid w:val="00BF1067"/>
    <w:rsid w:val="00BF107A"/>
    <w:rsid w:val="00BF109E"/>
    <w:rsid w:val="00BF10E2"/>
    <w:rsid w:val="00BF10E6"/>
    <w:rsid w:val="00BF113A"/>
    <w:rsid w:val="00BF1145"/>
    <w:rsid w:val="00BF1154"/>
    <w:rsid w:val="00BF1198"/>
    <w:rsid w:val="00BF11BD"/>
    <w:rsid w:val="00BF11CB"/>
    <w:rsid w:val="00BF1259"/>
    <w:rsid w:val="00BF12B8"/>
    <w:rsid w:val="00BF12F3"/>
    <w:rsid w:val="00BF1309"/>
    <w:rsid w:val="00BF1314"/>
    <w:rsid w:val="00BF135F"/>
    <w:rsid w:val="00BF138C"/>
    <w:rsid w:val="00BF13A7"/>
    <w:rsid w:val="00BF13B6"/>
    <w:rsid w:val="00BF13D6"/>
    <w:rsid w:val="00BF13FB"/>
    <w:rsid w:val="00BF1491"/>
    <w:rsid w:val="00BF14E3"/>
    <w:rsid w:val="00BF1531"/>
    <w:rsid w:val="00BF158D"/>
    <w:rsid w:val="00BF1594"/>
    <w:rsid w:val="00BF15FB"/>
    <w:rsid w:val="00BF168D"/>
    <w:rsid w:val="00BF168E"/>
    <w:rsid w:val="00BF16FE"/>
    <w:rsid w:val="00BF171B"/>
    <w:rsid w:val="00BF1735"/>
    <w:rsid w:val="00BF1752"/>
    <w:rsid w:val="00BF176A"/>
    <w:rsid w:val="00BF1785"/>
    <w:rsid w:val="00BF17AF"/>
    <w:rsid w:val="00BF17E4"/>
    <w:rsid w:val="00BF17EA"/>
    <w:rsid w:val="00BF1800"/>
    <w:rsid w:val="00BF1890"/>
    <w:rsid w:val="00BF194F"/>
    <w:rsid w:val="00BF1A06"/>
    <w:rsid w:val="00BF1A3C"/>
    <w:rsid w:val="00BF1A43"/>
    <w:rsid w:val="00BF1A98"/>
    <w:rsid w:val="00BF1AAA"/>
    <w:rsid w:val="00BF1ADB"/>
    <w:rsid w:val="00BF1B88"/>
    <w:rsid w:val="00BF1C7A"/>
    <w:rsid w:val="00BF1C97"/>
    <w:rsid w:val="00BF1CE1"/>
    <w:rsid w:val="00BF1DD4"/>
    <w:rsid w:val="00BF1E14"/>
    <w:rsid w:val="00BF1E5D"/>
    <w:rsid w:val="00BF1E65"/>
    <w:rsid w:val="00BF1F66"/>
    <w:rsid w:val="00BF1F67"/>
    <w:rsid w:val="00BF1FA7"/>
    <w:rsid w:val="00BF201D"/>
    <w:rsid w:val="00BF2037"/>
    <w:rsid w:val="00BF20DD"/>
    <w:rsid w:val="00BF2143"/>
    <w:rsid w:val="00BF21B4"/>
    <w:rsid w:val="00BF21DA"/>
    <w:rsid w:val="00BF222D"/>
    <w:rsid w:val="00BF22BD"/>
    <w:rsid w:val="00BF2328"/>
    <w:rsid w:val="00BF2330"/>
    <w:rsid w:val="00BF2377"/>
    <w:rsid w:val="00BF23E4"/>
    <w:rsid w:val="00BF243A"/>
    <w:rsid w:val="00BF24C4"/>
    <w:rsid w:val="00BF2592"/>
    <w:rsid w:val="00BF261A"/>
    <w:rsid w:val="00BF2657"/>
    <w:rsid w:val="00BF26B0"/>
    <w:rsid w:val="00BF26C0"/>
    <w:rsid w:val="00BF279A"/>
    <w:rsid w:val="00BF27A9"/>
    <w:rsid w:val="00BF27AD"/>
    <w:rsid w:val="00BF27C3"/>
    <w:rsid w:val="00BF282E"/>
    <w:rsid w:val="00BF2839"/>
    <w:rsid w:val="00BF286F"/>
    <w:rsid w:val="00BF294D"/>
    <w:rsid w:val="00BF294E"/>
    <w:rsid w:val="00BF295B"/>
    <w:rsid w:val="00BF2A1B"/>
    <w:rsid w:val="00BF2B04"/>
    <w:rsid w:val="00BF2B38"/>
    <w:rsid w:val="00BF2BC6"/>
    <w:rsid w:val="00BF2BF3"/>
    <w:rsid w:val="00BF2BFA"/>
    <w:rsid w:val="00BF2C09"/>
    <w:rsid w:val="00BF2DE4"/>
    <w:rsid w:val="00BF2E3D"/>
    <w:rsid w:val="00BF2F70"/>
    <w:rsid w:val="00BF2FB5"/>
    <w:rsid w:val="00BF2FCA"/>
    <w:rsid w:val="00BF2FDD"/>
    <w:rsid w:val="00BF308E"/>
    <w:rsid w:val="00BF31A5"/>
    <w:rsid w:val="00BF31A7"/>
    <w:rsid w:val="00BF3234"/>
    <w:rsid w:val="00BF3312"/>
    <w:rsid w:val="00BF3373"/>
    <w:rsid w:val="00BF3415"/>
    <w:rsid w:val="00BF34B5"/>
    <w:rsid w:val="00BF3531"/>
    <w:rsid w:val="00BF3584"/>
    <w:rsid w:val="00BF35B8"/>
    <w:rsid w:val="00BF36B4"/>
    <w:rsid w:val="00BF36D9"/>
    <w:rsid w:val="00BF36F8"/>
    <w:rsid w:val="00BF372E"/>
    <w:rsid w:val="00BF38AC"/>
    <w:rsid w:val="00BF38B2"/>
    <w:rsid w:val="00BF39B8"/>
    <w:rsid w:val="00BF3A17"/>
    <w:rsid w:val="00BF3B4A"/>
    <w:rsid w:val="00BF3B9B"/>
    <w:rsid w:val="00BF3BBA"/>
    <w:rsid w:val="00BF3BC5"/>
    <w:rsid w:val="00BF3C59"/>
    <w:rsid w:val="00BF3C64"/>
    <w:rsid w:val="00BF3C7A"/>
    <w:rsid w:val="00BF3CF3"/>
    <w:rsid w:val="00BF3DF3"/>
    <w:rsid w:val="00BF3E5E"/>
    <w:rsid w:val="00BF3E69"/>
    <w:rsid w:val="00BF3EE8"/>
    <w:rsid w:val="00BF3FA2"/>
    <w:rsid w:val="00BF3FD2"/>
    <w:rsid w:val="00BF3FFC"/>
    <w:rsid w:val="00BF4021"/>
    <w:rsid w:val="00BF402D"/>
    <w:rsid w:val="00BF4055"/>
    <w:rsid w:val="00BF407C"/>
    <w:rsid w:val="00BF408E"/>
    <w:rsid w:val="00BF4235"/>
    <w:rsid w:val="00BF4295"/>
    <w:rsid w:val="00BF42EB"/>
    <w:rsid w:val="00BF42ED"/>
    <w:rsid w:val="00BF4301"/>
    <w:rsid w:val="00BF4348"/>
    <w:rsid w:val="00BF43EF"/>
    <w:rsid w:val="00BF442E"/>
    <w:rsid w:val="00BF4430"/>
    <w:rsid w:val="00BF445A"/>
    <w:rsid w:val="00BF4476"/>
    <w:rsid w:val="00BF4514"/>
    <w:rsid w:val="00BF455E"/>
    <w:rsid w:val="00BF45B8"/>
    <w:rsid w:val="00BF4630"/>
    <w:rsid w:val="00BF4672"/>
    <w:rsid w:val="00BF4707"/>
    <w:rsid w:val="00BF471D"/>
    <w:rsid w:val="00BF474D"/>
    <w:rsid w:val="00BF4789"/>
    <w:rsid w:val="00BF4845"/>
    <w:rsid w:val="00BF48A6"/>
    <w:rsid w:val="00BF4976"/>
    <w:rsid w:val="00BF49FD"/>
    <w:rsid w:val="00BF4A12"/>
    <w:rsid w:val="00BF4A58"/>
    <w:rsid w:val="00BF4ACA"/>
    <w:rsid w:val="00BF4AD2"/>
    <w:rsid w:val="00BF4AF7"/>
    <w:rsid w:val="00BF4B67"/>
    <w:rsid w:val="00BF4B84"/>
    <w:rsid w:val="00BF4BC8"/>
    <w:rsid w:val="00BF4BF6"/>
    <w:rsid w:val="00BF4C99"/>
    <w:rsid w:val="00BF4CF9"/>
    <w:rsid w:val="00BF4D11"/>
    <w:rsid w:val="00BF4D4A"/>
    <w:rsid w:val="00BF4D69"/>
    <w:rsid w:val="00BF4D94"/>
    <w:rsid w:val="00BF4E65"/>
    <w:rsid w:val="00BF4EA0"/>
    <w:rsid w:val="00BF4EF4"/>
    <w:rsid w:val="00BF4F1C"/>
    <w:rsid w:val="00BF4F84"/>
    <w:rsid w:val="00BF4F9C"/>
    <w:rsid w:val="00BF5013"/>
    <w:rsid w:val="00BF519F"/>
    <w:rsid w:val="00BF51FD"/>
    <w:rsid w:val="00BF521D"/>
    <w:rsid w:val="00BF5232"/>
    <w:rsid w:val="00BF5431"/>
    <w:rsid w:val="00BF5488"/>
    <w:rsid w:val="00BF54A9"/>
    <w:rsid w:val="00BF54F9"/>
    <w:rsid w:val="00BF55A2"/>
    <w:rsid w:val="00BF55BB"/>
    <w:rsid w:val="00BF55C2"/>
    <w:rsid w:val="00BF563D"/>
    <w:rsid w:val="00BF5660"/>
    <w:rsid w:val="00BF5760"/>
    <w:rsid w:val="00BF57E8"/>
    <w:rsid w:val="00BF582F"/>
    <w:rsid w:val="00BF58FA"/>
    <w:rsid w:val="00BF591F"/>
    <w:rsid w:val="00BF5961"/>
    <w:rsid w:val="00BF5983"/>
    <w:rsid w:val="00BF59BC"/>
    <w:rsid w:val="00BF59D4"/>
    <w:rsid w:val="00BF5A31"/>
    <w:rsid w:val="00BF5A9C"/>
    <w:rsid w:val="00BF5BC8"/>
    <w:rsid w:val="00BF5BE3"/>
    <w:rsid w:val="00BF5C28"/>
    <w:rsid w:val="00BF5C30"/>
    <w:rsid w:val="00BF5CEA"/>
    <w:rsid w:val="00BF5D79"/>
    <w:rsid w:val="00BF5D8D"/>
    <w:rsid w:val="00BF5DD9"/>
    <w:rsid w:val="00BF5E29"/>
    <w:rsid w:val="00BF5E92"/>
    <w:rsid w:val="00BF5F37"/>
    <w:rsid w:val="00BF5F63"/>
    <w:rsid w:val="00BF5F6B"/>
    <w:rsid w:val="00BF5F94"/>
    <w:rsid w:val="00BF5FC0"/>
    <w:rsid w:val="00BF601C"/>
    <w:rsid w:val="00BF6155"/>
    <w:rsid w:val="00BF61C6"/>
    <w:rsid w:val="00BF61D3"/>
    <w:rsid w:val="00BF625A"/>
    <w:rsid w:val="00BF62CC"/>
    <w:rsid w:val="00BF64FA"/>
    <w:rsid w:val="00BF651E"/>
    <w:rsid w:val="00BF65B7"/>
    <w:rsid w:val="00BF668D"/>
    <w:rsid w:val="00BF66AB"/>
    <w:rsid w:val="00BF66D5"/>
    <w:rsid w:val="00BF6708"/>
    <w:rsid w:val="00BF6768"/>
    <w:rsid w:val="00BF6780"/>
    <w:rsid w:val="00BF68E9"/>
    <w:rsid w:val="00BF690F"/>
    <w:rsid w:val="00BF693E"/>
    <w:rsid w:val="00BF695F"/>
    <w:rsid w:val="00BF6991"/>
    <w:rsid w:val="00BF69DB"/>
    <w:rsid w:val="00BF69E6"/>
    <w:rsid w:val="00BF6A08"/>
    <w:rsid w:val="00BF6A19"/>
    <w:rsid w:val="00BF6A67"/>
    <w:rsid w:val="00BF6A9B"/>
    <w:rsid w:val="00BF6ADD"/>
    <w:rsid w:val="00BF6AE8"/>
    <w:rsid w:val="00BF6AF0"/>
    <w:rsid w:val="00BF6AF7"/>
    <w:rsid w:val="00BF6AF9"/>
    <w:rsid w:val="00BF6B3F"/>
    <w:rsid w:val="00BF6BE8"/>
    <w:rsid w:val="00BF6C97"/>
    <w:rsid w:val="00BF6D38"/>
    <w:rsid w:val="00BF6DC5"/>
    <w:rsid w:val="00BF6DEE"/>
    <w:rsid w:val="00BF6E2E"/>
    <w:rsid w:val="00BF6E57"/>
    <w:rsid w:val="00BF6EB3"/>
    <w:rsid w:val="00BF6F19"/>
    <w:rsid w:val="00BF6FA3"/>
    <w:rsid w:val="00BF6FD2"/>
    <w:rsid w:val="00BF7002"/>
    <w:rsid w:val="00BF701A"/>
    <w:rsid w:val="00BF7039"/>
    <w:rsid w:val="00BF7059"/>
    <w:rsid w:val="00BF7154"/>
    <w:rsid w:val="00BF7172"/>
    <w:rsid w:val="00BF71F9"/>
    <w:rsid w:val="00BF7224"/>
    <w:rsid w:val="00BF7227"/>
    <w:rsid w:val="00BF724C"/>
    <w:rsid w:val="00BF72C5"/>
    <w:rsid w:val="00BF7335"/>
    <w:rsid w:val="00BF736F"/>
    <w:rsid w:val="00BF73A9"/>
    <w:rsid w:val="00BF7475"/>
    <w:rsid w:val="00BF74E3"/>
    <w:rsid w:val="00BF74E8"/>
    <w:rsid w:val="00BF7510"/>
    <w:rsid w:val="00BF7539"/>
    <w:rsid w:val="00BF7689"/>
    <w:rsid w:val="00BF76D7"/>
    <w:rsid w:val="00BF77C6"/>
    <w:rsid w:val="00BF78DD"/>
    <w:rsid w:val="00BF7932"/>
    <w:rsid w:val="00BF798A"/>
    <w:rsid w:val="00BF7A17"/>
    <w:rsid w:val="00BF7A76"/>
    <w:rsid w:val="00BF7A7F"/>
    <w:rsid w:val="00BF7B0C"/>
    <w:rsid w:val="00BF7BC3"/>
    <w:rsid w:val="00BF7BCE"/>
    <w:rsid w:val="00BF7C40"/>
    <w:rsid w:val="00BF7C47"/>
    <w:rsid w:val="00BF7D6C"/>
    <w:rsid w:val="00BF7D74"/>
    <w:rsid w:val="00BF7E22"/>
    <w:rsid w:val="00BF7E49"/>
    <w:rsid w:val="00BF7E52"/>
    <w:rsid w:val="00BF7EBC"/>
    <w:rsid w:val="00BF7EC3"/>
    <w:rsid w:val="00BF7ECF"/>
    <w:rsid w:val="00BF7F29"/>
    <w:rsid w:val="00BF7F4F"/>
    <w:rsid w:val="00C00000"/>
    <w:rsid w:val="00C00037"/>
    <w:rsid w:val="00C000A9"/>
    <w:rsid w:val="00C000D1"/>
    <w:rsid w:val="00C0019B"/>
    <w:rsid w:val="00C0026B"/>
    <w:rsid w:val="00C00284"/>
    <w:rsid w:val="00C002F4"/>
    <w:rsid w:val="00C00308"/>
    <w:rsid w:val="00C0032D"/>
    <w:rsid w:val="00C00350"/>
    <w:rsid w:val="00C00372"/>
    <w:rsid w:val="00C00378"/>
    <w:rsid w:val="00C0037C"/>
    <w:rsid w:val="00C0038C"/>
    <w:rsid w:val="00C003DD"/>
    <w:rsid w:val="00C003FC"/>
    <w:rsid w:val="00C004A4"/>
    <w:rsid w:val="00C004D0"/>
    <w:rsid w:val="00C004E3"/>
    <w:rsid w:val="00C0054D"/>
    <w:rsid w:val="00C00552"/>
    <w:rsid w:val="00C00576"/>
    <w:rsid w:val="00C00582"/>
    <w:rsid w:val="00C0068D"/>
    <w:rsid w:val="00C0069A"/>
    <w:rsid w:val="00C006BC"/>
    <w:rsid w:val="00C006BE"/>
    <w:rsid w:val="00C0073E"/>
    <w:rsid w:val="00C0077C"/>
    <w:rsid w:val="00C007B1"/>
    <w:rsid w:val="00C0084A"/>
    <w:rsid w:val="00C008AE"/>
    <w:rsid w:val="00C008EC"/>
    <w:rsid w:val="00C00946"/>
    <w:rsid w:val="00C00977"/>
    <w:rsid w:val="00C00978"/>
    <w:rsid w:val="00C009D0"/>
    <w:rsid w:val="00C00A85"/>
    <w:rsid w:val="00C00ACB"/>
    <w:rsid w:val="00C00B40"/>
    <w:rsid w:val="00C00B5F"/>
    <w:rsid w:val="00C00B91"/>
    <w:rsid w:val="00C00BDB"/>
    <w:rsid w:val="00C00BEA"/>
    <w:rsid w:val="00C00C83"/>
    <w:rsid w:val="00C00CDC"/>
    <w:rsid w:val="00C00CDF"/>
    <w:rsid w:val="00C00D63"/>
    <w:rsid w:val="00C00D98"/>
    <w:rsid w:val="00C00E02"/>
    <w:rsid w:val="00C00F3B"/>
    <w:rsid w:val="00C00F87"/>
    <w:rsid w:val="00C00F9B"/>
    <w:rsid w:val="00C00FC9"/>
    <w:rsid w:val="00C01013"/>
    <w:rsid w:val="00C01146"/>
    <w:rsid w:val="00C0115E"/>
    <w:rsid w:val="00C011C0"/>
    <w:rsid w:val="00C01221"/>
    <w:rsid w:val="00C01250"/>
    <w:rsid w:val="00C01280"/>
    <w:rsid w:val="00C012E9"/>
    <w:rsid w:val="00C01322"/>
    <w:rsid w:val="00C01339"/>
    <w:rsid w:val="00C014FA"/>
    <w:rsid w:val="00C014FB"/>
    <w:rsid w:val="00C0150F"/>
    <w:rsid w:val="00C015D4"/>
    <w:rsid w:val="00C0162E"/>
    <w:rsid w:val="00C0165B"/>
    <w:rsid w:val="00C01685"/>
    <w:rsid w:val="00C016FD"/>
    <w:rsid w:val="00C01747"/>
    <w:rsid w:val="00C01754"/>
    <w:rsid w:val="00C0178F"/>
    <w:rsid w:val="00C01874"/>
    <w:rsid w:val="00C0191B"/>
    <w:rsid w:val="00C0194F"/>
    <w:rsid w:val="00C019A8"/>
    <w:rsid w:val="00C019BD"/>
    <w:rsid w:val="00C01A73"/>
    <w:rsid w:val="00C01AD0"/>
    <w:rsid w:val="00C01AD1"/>
    <w:rsid w:val="00C01BAC"/>
    <w:rsid w:val="00C01C5D"/>
    <w:rsid w:val="00C01C70"/>
    <w:rsid w:val="00C01C89"/>
    <w:rsid w:val="00C01CC7"/>
    <w:rsid w:val="00C01D4B"/>
    <w:rsid w:val="00C01DA1"/>
    <w:rsid w:val="00C01DBE"/>
    <w:rsid w:val="00C01E45"/>
    <w:rsid w:val="00C01E9E"/>
    <w:rsid w:val="00C01EFA"/>
    <w:rsid w:val="00C01F40"/>
    <w:rsid w:val="00C01FE3"/>
    <w:rsid w:val="00C02051"/>
    <w:rsid w:val="00C02073"/>
    <w:rsid w:val="00C020C9"/>
    <w:rsid w:val="00C02162"/>
    <w:rsid w:val="00C02179"/>
    <w:rsid w:val="00C021C2"/>
    <w:rsid w:val="00C02268"/>
    <w:rsid w:val="00C0228C"/>
    <w:rsid w:val="00C02324"/>
    <w:rsid w:val="00C023D9"/>
    <w:rsid w:val="00C024CA"/>
    <w:rsid w:val="00C024DD"/>
    <w:rsid w:val="00C024EC"/>
    <w:rsid w:val="00C025BF"/>
    <w:rsid w:val="00C02636"/>
    <w:rsid w:val="00C02687"/>
    <w:rsid w:val="00C02704"/>
    <w:rsid w:val="00C027B3"/>
    <w:rsid w:val="00C027FD"/>
    <w:rsid w:val="00C02841"/>
    <w:rsid w:val="00C02867"/>
    <w:rsid w:val="00C028AB"/>
    <w:rsid w:val="00C02962"/>
    <w:rsid w:val="00C0299A"/>
    <w:rsid w:val="00C02A12"/>
    <w:rsid w:val="00C02A32"/>
    <w:rsid w:val="00C02A51"/>
    <w:rsid w:val="00C02AB8"/>
    <w:rsid w:val="00C02AD9"/>
    <w:rsid w:val="00C02B3C"/>
    <w:rsid w:val="00C02B3F"/>
    <w:rsid w:val="00C02B8C"/>
    <w:rsid w:val="00C02B96"/>
    <w:rsid w:val="00C02BA0"/>
    <w:rsid w:val="00C02C0A"/>
    <w:rsid w:val="00C02C8F"/>
    <w:rsid w:val="00C02CA2"/>
    <w:rsid w:val="00C02D1F"/>
    <w:rsid w:val="00C02D41"/>
    <w:rsid w:val="00C02D72"/>
    <w:rsid w:val="00C02DCA"/>
    <w:rsid w:val="00C02DFE"/>
    <w:rsid w:val="00C02E05"/>
    <w:rsid w:val="00C02F4C"/>
    <w:rsid w:val="00C02F7B"/>
    <w:rsid w:val="00C03215"/>
    <w:rsid w:val="00C0324E"/>
    <w:rsid w:val="00C03269"/>
    <w:rsid w:val="00C03340"/>
    <w:rsid w:val="00C03342"/>
    <w:rsid w:val="00C0336F"/>
    <w:rsid w:val="00C033C7"/>
    <w:rsid w:val="00C0340F"/>
    <w:rsid w:val="00C03460"/>
    <w:rsid w:val="00C034AB"/>
    <w:rsid w:val="00C03542"/>
    <w:rsid w:val="00C03570"/>
    <w:rsid w:val="00C0359F"/>
    <w:rsid w:val="00C035B8"/>
    <w:rsid w:val="00C035F7"/>
    <w:rsid w:val="00C03600"/>
    <w:rsid w:val="00C0360D"/>
    <w:rsid w:val="00C03612"/>
    <w:rsid w:val="00C03639"/>
    <w:rsid w:val="00C03687"/>
    <w:rsid w:val="00C036C6"/>
    <w:rsid w:val="00C03718"/>
    <w:rsid w:val="00C0372A"/>
    <w:rsid w:val="00C037EE"/>
    <w:rsid w:val="00C03899"/>
    <w:rsid w:val="00C038BD"/>
    <w:rsid w:val="00C0394F"/>
    <w:rsid w:val="00C03A09"/>
    <w:rsid w:val="00C03A2A"/>
    <w:rsid w:val="00C03A73"/>
    <w:rsid w:val="00C03A93"/>
    <w:rsid w:val="00C03AB4"/>
    <w:rsid w:val="00C03B30"/>
    <w:rsid w:val="00C03C01"/>
    <w:rsid w:val="00C03C63"/>
    <w:rsid w:val="00C03CA2"/>
    <w:rsid w:val="00C03CBA"/>
    <w:rsid w:val="00C03CE6"/>
    <w:rsid w:val="00C03D19"/>
    <w:rsid w:val="00C03D4D"/>
    <w:rsid w:val="00C03D77"/>
    <w:rsid w:val="00C03DAD"/>
    <w:rsid w:val="00C03DBA"/>
    <w:rsid w:val="00C03E8C"/>
    <w:rsid w:val="00C03EC2"/>
    <w:rsid w:val="00C03F2B"/>
    <w:rsid w:val="00C04048"/>
    <w:rsid w:val="00C0408B"/>
    <w:rsid w:val="00C04142"/>
    <w:rsid w:val="00C0417D"/>
    <w:rsid w:val="00C04185"/>
    <w:rsid w:val="00C041F0"/>
    <w:rsid w:val="00C04217"/>
    <w:rsid w:val="00C0421C"/>
    <w:rsid w:val="00C04244"/>
    <w:rsid w:val="00C0426E"/>
    <w:rsid w:val="00C04285"/>
    <w:rsid w:val="00C042A1"/>
    <w:rsid w:val="00C042C0"/>
    <w:rsid w:val="00C043DB"/>
    <w:rsid w:val="00C04489"/>
    <w:rsid w:val="00C044AC"/>
    <w:rsid w:val="00C044E4"/>
    <w:rsid w:val="00C04595"/>
    <w:rsid w:val="00C045DD"/>
    <w:rsid w:val="00C04632"/>
    <w:rsid w:val="00C04661"/>
    <w:rsid w:val="00C04684"/>
    <w:rsid w:val="00C046C7"/>
    <w:rsid w:val="00C046DC"/>
    <w:rsid w:val="00C046DD"/>
    <w:rsid w:val="00C04798"/>
    <w:rsid w:val="00C0482E"/>
    <w:rsid w:val="00C0488D"/>
    <w:rsid w:val="00C0488F"/>
    <w:rsid w:val="00C04904"/>
    <w:rsid w:val="00C0499B"/>
    <w:rsid w:val="00C049D9"/>
    <w:rsid w:val="00C04AD3"/>
    <w:rsid w:val="00C04B87"/>
    <w:rsid w:val="00C04C35"/>
    <w:rsid w:val="00C04CA7"/>
    <w:rsid w:val="00C04CC7"/>
    <w:rsid w:val="00C04CD5"/>
    <w:rsid w:val="00C04D5B"/>
    <w:rsid w:val="00C04D5E"/>
    <w:rsid w:val="00C04D9E"/>
    <w:rsid w:val="00C04DAC"/>
    <w:rsid w:val="00C04DF5"/>
    <w:rsid w:val="00C04E36"/>
    <w:rsid w:val="00C04EA4"/>
    <w:rsid w:val="00C04F23"/>
    <w:rsid w:val="00C04F50"/>
    <w:rsid w:val="00C04FEA"/>
    <w:rsid w:val="00C0502A"/>
    <w:rsid w:val="00C0508D"/>
    <w:rsid w:val="00C050A0"/>
    <w:rsid w:val="00C050AA"/>
    <w:rsid w:val="00C051AB"/>
    <w:rsid w:val="00C051C8"/>
    <w:rsid w:val="00C051FE"/>
    <w:rsid w:val="00C0524A"/>
    <w:rsid w:val="00C05254"/>
    <w:rsid w:val="00C0529A"/>
    <w:rsid w:val="00C052A3"/>
    <w:rsid w:val="00C0535F"/>
    <w:rsid w:val="00C053FE"/>
    <w:rsid w:val="00C05456"/>
    <w:rsid w:val="00C05469"/>
    <w:rsid w:val="00C054D5"/>
    <w:rsid w:val="00C054D6"/>
    <w:rsid w:val="00C055E3"/>
    <w:rsid w:val="00C05647"/>
    <w:rsid w:val="00C0567E"/>
    <w:rsid w:val="00C0568E"/>
    <w:rsid w:val="00C057F0"/>
    <w:rsid w:val="00C05846"/>
    <w:rsid w:val="00C0589D"/>
    <w:rsid w:val="00C0589F"/>
    <w:rsid w:val="00C058E9"/>
    <w:rsid w:val="00C0595E"/>
    <w:rsid w:val="00C059D5"/>
    <w:rsid w:val="00C05A2D"/>
    <w:rsid w:val="00C05A65"/>
    <w:rsid w:val="00C05AA9"/>
    <w:rsid w:val="00C05ACF"/>
    <w:rsid w:val="00C05AD0"/>
    <w:rsid w:val="00C05AEE"/>
    <w:rsid w:val="00C05B6E"/>
    <w:rsid w:val="00C05B98"/>
    <w:rsid w:val="00C05BEB"/>
    <w:rsid w:val="00C05C9A"/>
    <w:rsid w:val="00C05CD8"/>
    <w:rsid w:val="00C05D0E"/>
    <w:rsid w:val="00C05DD5"/>
    <w:rsid w:val="00C05E30"/>
    <w:rsid w:val="00C05EA5"/>
    <w:rsid w:val="00C06010"/>
    <w:rsid w:val="00C06031"/>
    <w:rsid w:val="00C0603A"/>
    <w:rsid w:val="00C06052"/>
    <w:rsid w:val="00C0606C"/>
    <w:rsid w:val="00C060C8"/>
    <w:rsid w:val="00C06156"/>
    <w:rsid w:val="00C061C6"/>
    <w:rsid w:val="00C06205"/>
    <w:rsid w:val="00C0621C"/>
    <w:rsid w:val="00C06231"/>
    <w:rsid w:val="00C062AA"/>
    <w:rsid w:val="00C062C7"/>
    <w:rsid w:val="00C062D7"/>
    <w:rsid w:val="00C06393"/>
    <w:rsid w:val="00C063BC"/>
    <w:rsid w:val="00C0641C"/>
    <w:rsid w:val="00C06449"/>
    <w:rsid w:val="00C064AA"/>
    <w:rsid w:val="00C06531"/>
    <w:rsid w:val="00C06537"/>
    <w:rsid w:val="00C065AE"/>
    <w:rsid w:val="00C065BC"/>
    <w:rsid w:val="00C06609"/>
    <w:rsid w:val="00C066FF"/>
    <w:rsid w:val="00C06710"/>
    <w:rsid w:val="00C0676E"/>
    <w:rsid w:val="00C067A0"/>
    <w:rsid w:val="00C068AE"/>
    <w:rsid w:val="00C068CD"/>
    <w:rsid w:val="00C0690C"/>
    <w:rsid w:val="00C06922"/>
    <w:rsid w:val="00C06951"/>
    <w:rsid w:val="00C069AC"/>
    <w:rsid w:val="00C06A1A"/>
    <w:rsid w:val="00C06A4B"/>
    <w:rsid w:val="00C06A4E"/>
    <w:rsid w:val="00C06A52"/>
    <w:rsid w:val="00C06A64"/>
    <w:rsid w:val="00C06A9D"/>
    <w:rsid w:val="00C06AF2"/>
    <w:rsid w:val="00C06B1E"/>
    <w:rsid w:val="00C06B4E"/>
    <w:rsid w:val="00C06C11"/>
    <w:rsid w:val="00C06CA5"/>
    <w:rsid w:val="00C06CED"/>
    <w:rsid w:val="00C06D84"/>
    <w:rsid w:val="00C06DDC"/>
    <w:rsid w:val="00C06DF2"/>
    <w:rsid w:val="00C06F40"/>
    <w:rsid w:val="00C06F50"/>
    <w:rsid w:val="00C06F59"/>
    <w:rsid w:val="00C06F5C"/>
    <w:rsid w:val="00C06F8B"/>
    <w:rsid w:val="00C06F92"/>
    <w:rsid w:val="00C07004"/>
    <w:rsid w:val="00C07007"/>
    <w:rsid w:val="00C07014"/>
    <w:rsid w:val="00C07019"/>
    <w:rsid w:val="00C07051"/>
    <w:rsid w:val="00C070E1"/>
    <w:rsid w:val="00C070E8"/>
    <w:rsid w:val="00C070F1"/>
    <w:rsid w:val="00C07129"/>
    <w:rsid w:val="00C072AA"/>
    <w:rsid w:val="00C072D7"/>
    <w:rsid w:val="00C072F0"/>
    <w:rsid w:val="00C07308"/>
    <w:rsid w:val="00C073A4"/>
    <w:rsid w:val="00C0740E"/>
    <w:rsid w:val="00C07472"/>
    <w:rsid w:val="00C0749C"/>
    <w:rsid w:val="00C074B8"/>
    <w:rsid w:val="00C07532"/>
    <w:rsid w:val="00C07577"/>
    <w:rsid w:val="00C0757A"/>
    <w:rsid w:val="00C075D0"/>
    <w:rsid w:val="00C076C3"/>
    <w:rsid w:val="00C076DE"/>
    <w:rsid w:val="00C07723"/>
    <w:rsid w:val="00C07754"/>
    <w:rsid w:val="00C077D9"/>
    <w:rsid w:val="00C0780D"/>
    <w:rsid w:val="00C07843"/>
    <w:rsid w:val="00C07858"/>
    <w:rsid w:val="00C079BF"/>
    <w:rsid w:val="00C079F3"/>
    <w:rsid w:val="00C07A9B"/>
    <w:rsid w:val="00C07A9E"/>
    <w:rsid w:val="00C07ABD"/>
    <w:rsid w:val="00C07B12"/>
    <w:rsid w:val="00C07B2E"/>
    <w:rsid w:val="00C07B4D"/>
    <w:rsid w:val="00C07BD5"/>
    <w:rsid w:val="00C07C03"/>
    <w:rsid w:val="00C07C48"/>
    <w:rsid w:val="00C07CA5"/>
    <w:rsid w:val="00C07CE3"/>
    <w:rsid w:val="00C07CF4"/>
    <w:rsid w:val="00C07D03"/>
    <w:rsid w:val="00C07D9E"/>
    <w:rsid w:val="00C07E22"/>
    <w:rsid w:val="00C07E4A"/>
    <w:rsid w:val="00C07EE9"/>
    <w:rsid w:val="00C07EF2"/>
    <w:rsid w:val="00C07F06"/>
    <w:rsid w:val="00C07F1B"/>
    <w:rsid w:val="00C07F3D"/>
    <w:rsid w:val="00C07F78"/>
    <w:rsid w:val="00C100B5"/>
    <w:rsid w:val="00C101D3"/>
    <w:rsid w:val="00C101FD"/>
    <w:rsid w:val="00C10355"/>
    <w:rsid w:val="00C10371"/>
    <w:rsid w:val="00C103B1"/>
    <w:rsid w:val="00C103C8"/>
    <w:rsid w:val="00C103E2"/>
    <w:rsid w:val="00C1045A"/>
    <w:rsid w:val="00C104B8"/>
    <w:rsid w:val="00C104E4"/>
    <w:rsid w:val="00C10502"/>
    <w:rsid w:val="00C10587"/>
    <w:rsid w:val="00C1059A"/>
    <w:rsid w:val="00C10611"/>
    <w:rsid w:val="00C10693"/>
    <w:rsid w:val="00C106AC"/>
    <w:rsid w:val="00C106DF"/>
    <w:rsid w:val="00C1078A"/>
    <w:rsid w:val="00C107B5"/>
    <w:rsid w:val="00C107BC"/>
    <w:rsid w:val="00C107DB"/>
    <w:rsid w:val="00C107F1"/>
    <w:rsid w:val="00C10950"/>
    <w:rsid w:val="00C109A4"/>
    <w:rsid w:val="00C10A73"/>
    <w:rsid w:val="00C10B27"/>
    <w:rsid w:val="00C10BE5"/>
    <w:rsid w:val="00C10C49"/>
    <w:rsid w:val="00C10CD8"/>
    <w:rsid w:val="00C10CEE"/>
    <w:rsid w:val="00C10D3C"/>
    <w:rsid w:val="00C10ED1"/>
    <w:rsid w:val="00C10EDC"/>
    <w:rsid w:val="00C10F24"/>
    <w:rsid w:val="00C10F78"/>
    <w:rsid w:val="00C11037"/>
    <w:rsid w:val="00C1104A"/>
    <w:rsid w:val="00C1107B"/>
    <w:rsid w:val="00C110AA"/>
    <w:rsid w:val="00C11127"/>
    <w:rsid w:val="00C11162"/>
    <w:rsid w:val="00C11175"/>
    <w:rsid w:val="00C11199"/>
    <w:rsid w:val="00C111B3"/>
    <w:rsid w:val="00C111D3"/>
    <w:rsid w:val="00C11212"/>
    <w:rsid w:val="00C1121D"/>
    <w:rsid w:val="00C1124E"/>
    <w:rsid w:val="00C1128B"/>
    <w:rsid w:val="00C11292"/>
    <w:rsid w:val="00C112D0"/>
    <w:rsid w:val="00C11365"/>
    <w:rsid w:val="00C11384"/>
    <w:rsid w:val="00C113B3"/>
    <w:rsid w:val="00C113C2"/>
    <w:rsid w:val="00C113E0"/>
    <w:rsid w:val="00C11449"/>
    <w:rsid w:val="00C11451"/>
    <w:rsid w:val="00C11468"/>
    <w:rsid w:val="00C11474"/>
    <w:rsid w:val="00C1149D"/>
    <w:rsid w:val="00C114C6"/>
    <w:rsid w:val="00C114D3"/>
    <w:rsid w:val="00C11504"/>
    <w:rsid w:val="00C1168E"/>
    <w:rsid w:val="00C11693"/>
    <w:rsid w:val="00C116B2"/>
    <w:rsid w:val="00C116C3"/>
    <w:rsid w:val="00C116E7"/>
    <w:rsid w:val="00C11736"/>
    <w:rsid w:val="00C1180D"/>
    <w:rsid w:val="00C11815"/>
    <w:rsid w:val="00C11884"/>
    <w:rsid w:val="00C118C8"/>
    <w:rsid w:val="00C118E4"/>
    <w:rsid w:val="00C119DD"/>
    <w:rsid w:val="00C119EC"/>
    <w:rsid w:val="00C11B13"/>
    <w:rsid w:val="00C11B55"/>
    <w:rsid w:val="00C11B66"/>
    <w:rsid w:val="00C11B87"/>
    <w:rsid w:val="00C11BC5"/>
    <w:rsid w:val="00C11C0E"/>
    <w:rsid w:val="00C11C19"/>
    <w:rsid w:val="00C11C7B"/>
    <w:rsid w:val="00C11CDF"/>
    <w:rsid w:val="00C11D3A"/>
    <w:rsid w:val="00C11D68"/>
    <w:rsid w:val="00C11E9F"/>
    <w:rsid w:val="00C11F88"/>
    <w:rsid w:val="00C11FA4"/>
    <w:rsid w:val="00C1200D"/>
    <w:rsid w:val="00C12021"/>
    <w:rsid w:val="00C12031"/>
    <w:rsid w:val="00C12046"/>
    <w:rsid w:val="00C12070"/>
    <w:rsid w:val="00C12142"/>
    <w:rsid w:val="00C12144"/>
    <w:rsid w:val="00C121BB"/>
    <w:rsid w:val="00C121EE"/>
    <w:rsid w:val="00C12222"/>
    <w:rsid w:val="00C12235"/>
    <w:rsid w:val="00C1223C"/>
    <w:rsid w:val="00C12287"/>
    <w:rsid w:val="00C122A9"/>
    <w:rsid w:val="00C12350"/>
    <w:rsid w:val="00C12374"/>
    <w:rsid w:val="00C12379"/>
    <w:rsid w:val="00C124A3"/>
    <w:rsid w:val="00C12509"/>
    <w:rsid w:val="00C12519"/>
    <w:rsid w:val="00C125A0"/>
    <w:rsid w:val="00C125AF"/>
    <w:rsid w:val="00C1263A"/>
    <w:rsid w:val="00C12677"/>
    <w:rsid w:val="00C1269A"/>
    <w:rsid w:val="00C127B4"/>
    <w:rsid w:val="00C127CB"/>
    <w:rsid w:val="00C127E5"/>
    <w:rsid w:val="00C12810"/>
    <w:rsid w:val="00C12886"/>
    <w:rsid w:val="00C1294B"/>
    <w:rsid w:val="00C129C8"/>
    <w:rsid w:val="00C129E5"/>
    <w:rsid w:val="00C12A4B"/>
    <w:rsid w:val="00C12A74"/>
    <w:rsid w:val="00C12B34"/>
    <w:rsid w:val="00C12B68"/>
    <w:rsid w:val="00C12B9E"/>
    <w:rsid w:val="00C12BA9"/>
    <w:rsid w:val="00C12BB3"/>
    <w:rsid w:val="00C12BEC"/>
    <w:rsid w:val="00C12C6A"/>
    <w:rsid w:val="00C12D40"/>
    <w:rsid w:val="00C12D78"/>
    <w:rsid w:val="00C12D9A"/>
    <w:rsid w:val="00C12DC9"/>
    <w:rsid w:val="00C12E30"/>
    <w:rsid w:val="00C12E60"/>
    <w:rsid w:val="00C12F5E"/>
    <w:rsid w:val="00C12FB5"/>
    <w:rsid w:val="00C12FBA"/>
    <w:rsid w:val="00C13001"/>
    <w:rsid w:val="00C1301B"/>
    <w:rsid w:val="00C1306D"/>
    <w:rsid w:val="00C1308B"/>
    <w:rsid w:val="00C1308E"/>
    <w:rsid w:val="00C130A2"/>
    <w:rsid w:val="00C1312E"/>
    <w:rsid w:val="00C1318D"/>
    <w:rsid w:val="00C131C2"/>
    <w:rsid w:val="00C132D1"/>
    <w:rsid w:val="00C13301"/>
    <w:rsid w:val="00C13330"/>
    <w:rsid w:val="00C133A0"/>
    <w:rsid w:val="00C133C6"/>
    <w:rsid w:val="00C13405"/>
    <w:rsid w:val="00C13424"/>
    <w:rsid w:val="00C134F7"/>
    <w:rsid w:val="00C1352D"/>
    <w:rsid w:val="00C13615"/>
    <w:rsid w:val="00C13619"/>
    <w:rsid w:val="00C1366C"/>
    <w:rsid w:val="00C1371B"/>
    <w:rsid w:val="00C1378C"/>
    <w:rsid w:val="00C13793"/>
    <w:rsid w:val="00C13809"/>
    <w:rsid w:val="00C138E0"/>
    <w:rsid w:val="00C139A1"/>
    <w:rsid w:val="00C139EA"/>
    <w:rsid w:val="00C13A5E"/>
    <w:rsid w:val="00C13A7C"/>
    <w:rsid w:val="00C13AE5"/>
    <w:rsid w:val="00C13B83"/>
    <w:rsid w:val="00C13C02"/>
    <w:rsid w:val="00C13C52"/>
    <w:rsid w:val="00C13D0C"/>
    <w:rsid w:val="00C13D1A"/>
    <w:rsid w:val="00C13D8C"/>
    <w:rsid w:val="00C13DD9"/>
    <w:rsid w:val="00C13E47"/>
    <w:rsid w:val="00C13E94"/>
    <w:rsid w:val="00C13F28"/>
    <w:rsid w:val="00C13F6E"/>
    <w:rsid w:val="00C13FEF"/>
    <w:rsid w:val="00C13FFF"/>
    <w:rsid w:val="00C1409C"/>
    <w:rsid w:val="00C1411B"/>
    <w:rsid w:val="00C14170"/>
    <w:rsid w:val="00C14180"/>
    <w:rsid w:val="00C141E1"/>
    <w:rsid w:val="00C14246"/>
    <w:rsid w:val="00C142F7"/>
    <w:rsid w:val="00C1431C"/>
    <w:rsid w:val="00C14321"/>
    <w:rsid w:val="00C14336"/>
    <w:rsid w:val="00C14345"/>
    <w:rsid w:val="00C143D2"/>
    <w:rsid w:val="00C14415"/>
    <w:rsid w:val="00C1451A"/>
    <w:rsid w:val="00C14553"/>
    <w:rsid w:val="00C14593"/>
    <w:rsid w:val="00C146D1"/>
    <w:rsid w:val="00C14706"/>
    <w:rsid w:val="00C14710"/>
    <w:rsid w:val="00C14716"/>
    <w:rsid w:val="00C14828"/>
    <w:rsid w:val="00C1486B"/>
    <w:rsid w:val="00C148A2"/>
    <w:rsid w:val="00C1490C"/>
    <w:rsid w:val="00C14933"/>
    <w:rsid w:val="00C1496A"/>
    <w:rsid w:val="00C149EF"/>
    <w:rsid w:val="00C14A2B"/>
    <w:rsid w:val="00C14B22"/>
    <w:rsid w:val="00C14B33"/>
    <w:rsid w:val="00C14B81"/>
    <w:rsid w:val="00C14BD9"/>
    <w:rsid w:val="00C14C0A"/>
    <w:rsid w:val="00C14C72"/>
    <w:rsid w:val="00C14C90"/>
    <w:rsid w:val="00C14CAA"/>
    <w:rsid w:val="00C14D27"/>
    <w:rsid w:val="00C14D59"/>
    <w:rsid w:val="00C14D82"/>
    <w:rsid w:val="00C14DFB"/>
    <w:rsid w:val="00C14E1B"/>
    <w:rsid w:val="00C14E34"/>
    <w:rsid w:val="00C14E85"/>
    <w:rsid w:val="00C14EB0"/>
    <w:rsid w:val="00C14F40"/>
    <w:rsid w:val="00C14F72"/>
    <w:rsid w:val="00C15074"/>
    <w:rsid w:val="00C15081"/>
    <w:rsid w:val="00C150F9"/>
    <w:rsid w:val="00C1511F"/>
    <w:rsid w:val="00C15169"/>
    <w:rsid w:val="00C15306"/>
    <w:rsid w:val="00C1535C"/>
    <w:rsid w:val="00C153DB"/>
    <w:rsid w:val="00C153F8"/>
    <w:rsid w:val="00C1546B"/>
    <w:rsid w:val="00C154B0"/>
    <w:rsid w:val="00C154F3"/>
    <w:rsid w:val="00C154F7"/>
    <w:rsid w:val="00C155BB"/>
    <w:rsid w:val="00C1563F"/>
    <w:rsid w:val="00C156E0"/>
    <w:rsid w:val="00C15733"/>
    <w:rsid w:val="00C15775"/>
    <w:rsid w:val="00C157A2"/>
    <w:rsid w:val="00C15836"/>
    <w:rsid w:val="00C15872"/>
    <w:rsid w:val="00C158C5"/>
    <w:rsid w:val="00C15A8E"/>
    <w:rsid w:val="00C15B35"/>
    <w:rsid w:val="00C15BA9"/>
    <w:rsid w:val="00C15C88"/>
    <w:rsid w:val="00C15CC8"/>
    <w:rsid w:val="00C15D42"/>
    <w:rsid w:val="00C15D5C"/>
    <w:rsid w:val="00C15D70"/>
    <w:rsid w:val="00C15DF9"/>
    <w:rsid w:val="00C15E7F"/>
    <w:rsid w:val="00C15E83"/>
    <w:rsid w:val="00C15EDB"/>
    <w:rsid w:val="00C15F76"/>
    <w:rsid w:val="00C15FD9"/>
    <w:rsid w:val="00C15FEE"/>
    <w:rsid w:val="00C16002"/>
    <w:rsid w:val="00C1601B"/>
    <w:rsid w:val="00C1608F"/>
    <w:rsid w:val="00C160AF"/>
    <w:rsid w:val="00C160FB"/>
    <w:rsid w:val="00C16135"/>
    <w:rsid w:val="00C16160"/>
    <w:rsid w:val="00C16180"/>
    <w:rsid w:val="00C1620E"/>
    <w:rsid w:val="00C1622F"/>
    <w:rsid w:val="00C162CD"/>
    <w:rsid w:val="00C16306"/>
    <w:rsid w:val="00C16421"/>
    <w:rsid w:val="00C1643E"/>
    <w:rsid w:val="00C16444"/>
    <w:rsid w:val="00C16469"/>
    <w:rsid w:val="00C164A7"/>
    <w:rsid w:val="00C1656F"/>
    <w:rsid w:val="00C16599"/>
    <w:rsid w:val="00C165BF"/>
    <w:rsid w:val="00C165F7"/>
    <w:rsid w:val="00C166D7"/>
    <w:rsid w:val="00C1670E"/>
    <w:rsid w:val="00C1677C"/>
    <w:rsid w:val="00C1682C"/>
    <w:rsid w:val="00C16842"/>
    <w:rsid w:val="00C16926"/>
    <w:rsid w:val="00C1692B"/>
    <w:rsid w:val="00C16991"/>
    <w:rsid w:val="00C16A70"/>
    <w:rsid w:val="00C16BC0"/>
    <w:rsid w:val="00C16C00"/>
    <w:rsid w:val="00C16C04"/>
    <w:rsid w:val="00C16C20"/>
    <w:rsid w:val="00C16C25"/>
    <w:rsid w:val="00C16C5E"/>
    <w:rsid w:val="00C16C5F"/>
    <w:rsid w:val="00C16C8F"/>
    <w:rsid w:val="00C16C90"/>
    <w:rsid w:val="00C16C9E"/>
    <w:rsid w:val="00C16CF9"/>
    <w:rsid w:val="00C16E94"/>
    <w:rsid w:val="00C16F54"/>
    <w:rsid w:val="00C16FB6"/>
    <w:rsid w:val="00C16FD9"/>
    <w:rsid w:val="00C170C3"/>
    <w:rsid w:val="00C1710C"/>
    <w:rsid w:val="00C17149"/>
    <w:rsid w:val="00C171C0"/>
    <w:rsid w:val="00C17283"/>
    <w:rsid w:val="00C172DA"/>
    <w:rsid w:val="00C17488"/>
    <w:rsid w:val="00C174C8"/>
    <w:rsid w:val="00C174CC"/>
    <w:rsid w:val="00C174EB"/>
    <w:rsid w:val="00C1752E"/>
    <w:rsid w:val="00C1756A"/>
    <w:rsid w:val="00C1759B"/>
    <w:rsid w:val="00C175DB"/>
    <w:rsid w:val="00C17610"/>
    <w:rsid w:val="00C17644"/>
    <w:rsid w:val="00C176A0"/>
    <w:rsid w:val="00C176D6"/>
    <w:rsid w:val="00C17749"/>
    <w:rsid w:val="00C177DA"/>
    <w:rsid w:val="00C17858"/>
    <w:rsid w:val="00C1788A"/>
    <w:rsid w:val="00C178C9"/>
    <w:rsid w:val="00C17925"/>
    <w:rsid w:val="00C17943"/>
    <w:rsid w:val="00C17951"/>
    <w:rsid w:val="00C17957"/>
    <w:rsid w:val="00C17A8A"/>
    <w:rsid w:val="00C17AB7"/>
    <w:rsid w:val="00C17B5D"/>
    <w:rsid w:val="00C17C31"/>
    <w:rsid w:val="00C17C75"/>
    <w:rsid w:val="00C17CBC"/>
    <w:rsid w:val="00C17CE9"/>
    <w:rsid w:val="00C17DC9"/>
    <w:rsid w:val="00C17E65"/>
    <w:rsid w:val="00C20149"/>
    <w:rsid w:val="00C2019F"/>
    <w:rsid w:val="00C2025D"/>
    <w:rsid w:val="00C20328"/>
    <w:rsid w:val="00C203B6"/>
    <w:rsid w:val="00C2040F"/>
    <w:rsid w:val="00C20449"/>
    <w:rsid w:val="00C20484"/>
    <w:rsid w:val="00C20513"/>
    <w:rsid w:val="00C2059C"/>
    <w:rsid w:val="00C205D6"/>
    <w:rsid w:val="00C205F9"/>
    <w:rsid w:val="00C2070E"/>
    <w:rsid w:val="00C2078C"/>
    <w:rsid w:val="00C207C5"/>
    <w:rsid w:val="00C2086F"/>
    <w:rsid w:val="00C208EA"/>
    <w:rsid w:val="00C20959"/>
    <w:rsid w:val="00C209C3"/>
    <w:rsid w:val="00C209FA"/>
    <w:rsid w:val="00C20A0D"/>
    <w:rsid w:val="00C20A27"/>
    <w:rsid w:val="00C20A5E"/>
    <w:rsid w:val="00C20A8E"/>
    <w:rsid w:val="00C20A90"/>
    <w:rsid w:val="00C20B26"/>
    <w:rsid w:val="00C20B29"/>
    <w:rsid w:val="00C20BE0"/>
    <w:rsid w:val="00C20C82"/>
    <w:rsid w:val="00C20C8B"/>
    <w:rsid w:val="00C20CC6"/>
    <w:rsid w:val="00C20D56"/>
    <w:rsid w:val="00C20D64"/>
    <w:rsid w:val="00C20D6E"/>
    <w:rsid w:val="00C20D77"/>
    <w:rsid w:val="00C20E3D"/>
    <w:rsid w:val="00C20E5C"/>
    <w:rsid w:val="00C20E64"/>
    <w:rsid w:val="00C20E68"/>
    <w:rsid w:val="00C20E8D"/>
    <w:rsid w:val="00C20EA6"/>
    <w:rsid w:val="00C20EDA"/>
    <w:rsid w:val="00C20EF2"/>
    <w:rsid w:val="00C20F21"/>
    <w:rsid w:val="00C20FD1"/>
    <w:rsid w:val="00C210D6"/>
    <w:rsid w:val="00C21143"/>
    <w:rsid w:val="00C2119E"/>
    <w:rsid w:val="00C211B8"/>
    <w:rsid w:val="00C2132E"/>
    <w:rsid w:val="00C21347"/>
    <w:rsid w:val="00C213AD"/>
    <w:rsid w:val="00C2140B"/>
    <w:rsid w:val="00C214AF"/>
    <w:rsid w:val="00C214C8"/>
    <w:rsid w:val="00C215D4"/>
    <w:rsid w:val="00C216FC"/>
    <w:rsid w:val="00C21751"/>
    <w:rsid w:val="00C2179F"/>
    <w:rsid w:val="00C217D0"/>
    <w:rsid w:val="00C217E9"/>
    <w:rsid w:val="00C217F6"/>
    <w:rsid w:val="00C21852"/>
    <w:rsid w:val="00C21880"/>
    <w:rsid w:val="00C218CA"/>
    <w:rsid w:val="00C2191E"/>
    <w:rsid w:val="00C21935"/>
    <w:rsid w:val="00C2193E"/>
    <w:rsid w:val="00C21942"/>
    <w:rsid w:val="00C21A90"/>
    <w:rsid w:val="00C21A9B"/>
    <w:rsid w:val="00C21AB5"/>
    <w:rsid w:val="00C21AE5"/>
    <w:rsid w:val="00C21B29"/>
    <w:rsid w:val="00C21B64"/>
    <w:rsid w:val="00C21B7B"/>
    <w:rsid w:val="00C21C19"/>
    <w:rsid w:val="00C21CC1"/>
    <w:rsid w:val="00C21CE0"/>
    <w:rsid w:val="00C21D16"/>
    <w:rsid w:val="00C21D89"/>
    <w:rsid w:val="00C21D93"/>
    <w:rsid w:val="00C21DB7"/>
    <w:rsid w:val="00C21DD6"/>
    <w:rsid w:val="00C21DE4"/>
    <w:rsid w:val="00C21E51"/>
    <w:rsid w:val="00C21E90"/>
    <w:rsid w:val="00C21EBA"/>
    <w:rsid w:val="00C21EC8"/>
    <w:rsid w:val="00C21ED8"/>
    <w:rsid w:val="00C21FC9"/>
    <w:rsid w:val="00C22001"/>
    <w:rsid w:val="00C22062"/>
    <w:rsid w:val="00C22091"/>
    <w:rsid w:val="00C220B5"/>
    <w:rsid w:val="00C220C0"/>
    <w:rsid w:val="00C22125"/>
    <w:rsid w:val="00C22126"/>
    <w:rsid w:val="00C2215E"/>
    <w:rsid w:val="00C22167"/>
    <w:rsid w:val="00C2216F"/>
    <w:rsid w:val="00C22180"/>
    <w:rsid w:val="00C221CB"/>
    <w:rsid w:val="00C22229"/>
    <w:rsid w:val="00C22290"/>
    <w:rsid w:val="00C22292"/>
    <w:rsid w:val="00C222DF"/>
    <w:rsid w:val="00C2232F"/>
    <w:rsid w:val="00C2235A"/>
    <w:rsid w:val="00C2236C"/>
    <w:rsid w:val="00C22542"/>
    <w:rsid w:val="00C225AD"/>
    <w:rsid w:val="00C225BC"/>
    <w:rsid w:val="00C2269A"/>
    <w:rsid w:val="00C22702"/>
    <w:rsid w:val="00C22724"/>
    <w:rsid w:val="00C22736"/>
    <w:rsid w:val="00C22746"/>
    <w:rsid w:val="00C227F1"/>
    <w:rsid w:val="00C2280A"/>
    <w:rsid w:val="00C22837"/>
    <w:rsid w:val="00C2283F"/>
    <w:rsid w:val="00C2285A"/>
    <w:rsid w:val="00C228BF"/>
    <w:rsid w:val="00C228DE"/>
    <w:rsid w:val="00C22943"/>
    <w:rsid w:val="00C2295E"/>
    <w:rsid w:val="00C22982"/>
    <w:rsid w:val="00C2298D"/>
    <w:rsid w:val="00C229FE"/>
    <w:rsid w:val="00C22A44"/>
    <w:rsid w:val="00C22B29"/>
    <w:rsid w:val="00C22B93"/>
    <w:rsid w:val="00C22C7F"/>
    <w:rsid w:val="00C22C92"/>
    <w:rsid w:val="00C22D92"/>
    <w:rsid w:val="00C22DB0"/>
    <w:rsid w:val="00C22DBB"/>
    <w:rsid w:val="00C22DC2"/>
    <w:rsid w:val="00C22DC3"/>
    <w:rsid w:val="00C22EA2"/>
    <w:rsid w:val="00C22EBE"/>
    <w:rsid w:val="00C22EE3"/>
    <w:rsid w:val="00C22F68"/>
    <w:rsid w:val="00C230EF"/>
    <w:rsid w:val="00C23104"/>
    <w:rsid w:val="00C23139"/>
    <w:rsid w:val="00C23263"/>
    <w:rsid w:val="00C232B0"/>
    <w:rsid w:val="00C2330C"/>
    <w:rsid w:val="00C23315"/>
    <w:rsid w:val="00C23323"/>
    <w:rsid w:val="00C23373"/>
    <w:rsid w:val="00C233DD"/>
    <w:rsid w:val="00C2341B"/>
    <w:rsid w:val="00C2345B"/>
    <w:rsid w:val="00C23500"/>
    <w:rsid w:val="00C2353B"/>
    <w:rsid w:val="00C23564"/>
    <w:rsid w:val="00C235D5"/>
    <w:rsid w:val="00C23615"/>
    <w:rsid w:val="00C2368B"/>
    <w:rsid w:val="00C2369A"/>
    <w:rsid w:val="00C236E2"/>
    <w:rsid w:val="00C236ED"/>
    <w:rsid w:val="00C236F2"/>
    <w:rsid w:val="00C23733"/>
    <w:rsid w:val="00C23741"/>
    <w:rsid w:val="00C2379A"/>
    <w:rsid w:val="00C237AF"/>
    <w:rsid w:val="00C237CF"/>
    <w:rsid w:val="00C238B3"/>
    <w:rsid w:val="00C238C7"/>
    <w:rsid w:val="00C238F2"/>
    <w:rsid w:val="00C23956"/>
    <w:rsid w:val="00C23A2E"/>
    <w:rsid w:val="00C23A98"/>
    <w:rsid w:val="00C23AE5"/>
    <w:rsid w:val="00C23B3B"/>
    <w:rsid w:val="00C23B5F"/>
    <w:rsid w:val="00C23B6B"/>
    <w:rsid w:val="00C23BE1"/>
    <w:rsid w:val="00C23BF9"/>
    <w:rsid w:val="00C23C0D"/>
    <w:rsid w:val="00C23C54"/>
    <w:rsid w:val="00C23CA7"/>
    <w:rsid w:val="00C23CB8"/>
    <w:rsid w:val="00C23CDF"/>
    <w:rsid w:val="00C23D4C"/>
    <w:rsid w:val="00C23D4E"/>
    <w:rsid w:val="00C23D62"/>
    <w:rsid w:val="00C23D64"/>
    <w:rsid w:val="00C23E70"/>
    <w:rsid w:val="00C23ED8"/>
    <w:rsid w:val="00C23F39"/>
    <w:rsid w:val="00C23F56"/>
    <w:rsid w:val="00C23FAB"/>
    <w:rsid w:val="00C23FE7"/>
    <w:rsid w:val="00C2401A"/>
    <w:rsid w:val="00C24142"/>
    <w:rsid w:val="00C24165"/>
    <w:rsid w:val="00C2425E"/>
    <w:rsid w:val="00C24386"/>
    <w:rsid w:val="00C24416"/>
    <w:rsid w:val="00C24499"/>
    <w:rsid w:val="00C24595"/>
    <w:rsid w:val="00C2462A"/>
    <w:rsid w:val="00C2467F"/>
    <w:rsid w:val="00C246A7"/>
    <w:rsid w:val="00C246D8"/>
    <w:rsid w:val="00C246E0"/>
    <w:rsid w:val="00C2471C"/>
    <w:rsid w:val="00C247E8"/>
    <w:rsid w:val="00C247F1"/>
    <w:rsid w:val="00C2480A"/>
    <w:rsid w:val="00C24814"/>
    <w:rsid w:val="00C248A3"/>
    <w:rsid w:val="00C248C4"/>
    <w:rsid w:val="00C248DF"/>
    <w:rsid w:val="00C248FD"/>
    <w:rsid w:val="00C2494F"/>
    <w:rsid w:val="00C24981"/>
    <w:rsid w:val="00C24A2A"/>
    <w:rsid w:val="00C24A92"/>
    <w:rsid w:val="00C24AAE"/>
    <w:rsid w:val="00C24BAB"/>
    <w:rsid w:val="00C24BDA"/>
    <w:rsid w:val="00C24BE2"/>
    <w:rsid w:val="00C24C48"/>
    <w:rsid w:val="00C24CBF"/>
    <w:rsid w:val="00C24CC9"/>
    <w:rsid w:val="00C24CE9"/>
    <w:rsid w:val="00C24CEC"/>
    <w:rsid w:val="00C24E3A"/>
    <w:rsid w:val="00C24E63"/>
    <w:rsid w:val="00C24F08"/>
    <w:rsid w:val="00C24F2D"/>
    <w:rsid w:val="00C24F32"/>
    <w:rsid w:val="00C24F77"/>
    <w:rsid w:val="00C24F8D"/>
    <w:rsid w:val="00C2501C"/>
    <w:rsid w:val="00C25045"/>
    <w:rsid w:val="00C2504F"/>
    <w:rsid w:val="00C250D3"/>
    <w:rsid w:val="00C25199"/>
    <w:rsid w:val="00C251B4"/>
    <w:rsid w:val="00C2527A"/>
    <w:rsid w:val="00C252B6"/>
    <w:rsid w:val="00C252F0"/>
    <w:rsid w:val="00C252F6"/>
    <w:rsid w:val="00C25396"/>
    <w:rsid w:val="00C2539F"/>
    <w:rsid w:val="00C253AC"/>
    <w:rsid w:val="00C253B6"/>
    <w:rsid w:val="00C2556A"/>
    <w:rsid w:val="00C2558E"/>
    <w:rsid w:val="00C25596"/>
    <w:rsid w:val="00C255AE"/>
    <w:rsid w:val="00C25609"/>
    <w:rsid w:val="00C25650"/>
    <w:rsid w:val="00C2567F"/>
    <w:rsid w:val="00C256BB"/>
    <w:rsid w:val="00C256EE"/>
    <w:rsid w:val="00C25717"/>
    <w:rsid w:val="00C25752"/>
    <w:rsid w:val="00C2591B"/>
    <w:rsid w:val="00C2592E"/>
    <w:rsid w:val="00C25972"/>
    <w:rsid w:val="00C259CC"/>
    <w:rsid w:val="00C25A0B"/>
    <w:rsid w:val="00C25A27"/>
    <w:rsid w:val="00C25A83"/>
    <w:rsid w:val="00C25AB0"/>
    <w:rsid w:val="00C25ACE"/>
    <w:rsid w:val="00C25ADB"/>
    <w:rsid w:val="00C25AEA"/>
    <w:rsid w:val="00C25AF0"/>
    <w:rsid w:val="00C25B34"/>
    <w:rsid w:val="00C25BFB"/>
    <w:rsid w:val="00C25C60"/>
    <w:rsid w:val="00C25CC6"/>
    <w:rsid w:val="00C25D79"/>
    <w:rsid w:val="00C25E08"/>
    <w:rsid w:val="00C25E55"/>
    <w:rsid w:val="00C25E65"/>
    <w:rsid w:val="00C25F72"/>
    <w:rsid w:val="00C25F78"/>
    <w:rsid w:val="00C25F7C"/>
    <w:rsid w:val="00C25F89"/>
    <w:rsid w:val="00C25F93"/>
    <w:rsid w:val="00C25FE4"/>
    <w:rsid w:val="00C26035"/>
    <w:rsid w:val="00C26050"/>
    <w:rsid w:val="00C26084"/>
    <w:rsid w:val="00C26161"/>
    <w:rsid w:val="00C261C4"/>
    <w:rsid w:val="00C26220"/>
    <w:rsid w:val="00C26324"/>
    <w:rsid w:val="00C26334"/>
    <w:rsid w:val="00C263A2"/>
    <w:rsid w:val="00C2652F"/>
    <w:rsid w:val="00C265A3"/>
    <w:rsid w:val="00C265A9"/>
    <w:rsid w:val="00C2666C"/>
    <w:rsid w:val="00C267A8"/>
    <w:rsid w:val="00C26891"/>
    <w:rsid w:val="00C268BF"/>
    <w:rsid w:val="00C268FE"/>
    <w:rsid w:val="00C2690B"/>
    <w:rsid w:val="00C26A92"/>
    <w:rsid w:val="00C26A94"/>
    <w:rsid w:val="00C26AC6"/>
    <w:rsid w:val="00C26B18"/>
    <w:rsid w:val="00C26B29"/>
    <w:rsid w:val="00C26C1A"/>
    <w:rsid w:val="00C26C1D"/>
    <w:rsid w:val="00C26CC6"/>
    <w:rsid w:val="00C26CF2"/>
    <w:rsid w:val="00C26D75"/>
    <w:rsid w:val="00C26E44"/>
    <w:rsid w:val="00C26E86"/>
    <w:rsid w:val="00C26ECE"/>
    <w:rsid w:val="00C26EFE"/>
    <w:rsid w:val="00C26F0A"/>
    <w:rsid w:val="00C26FC9"/>
    <w:rsid w:val="00C26FDA"/>
    <w:rsid w:val="00C26FF2"/>
    <w:rsid w:val="00C26FF7"/>
    <w:rsid w:val="00C27081"/>
    <w:rsid w:val="00C270EC"/>
    <w:rsid w:val="00C2710B"/>
    <w:rsid w:val="00C2716A"/>
    <w:rsid w:val="00C27222"/>
    <w:rsid w:val="00C27239"/>
    <w:rsid w:val="00C27263"/>
    <w:rsid w:val="00C2730D"/>
    <w:rsid w:val="00C273B0"/>
    <w:rsid w:val="00C27450"/>
    <w:rsid w:val="00C27476"/>
    <w:rsid w:val="00C27481"/>
    <w:rsid w:val="00C27489"/>
    <w:rsid w:val="00C274C8"/>
    <w:rsid w:val="00C2751D"/>
    <w:rsid w:val="00C2753D"/>
    <w:rsid w:val="00C2753E"/>
    <w:rsid w:val="00C2755C"/>
    <w:rsid w:val="00C2755E"/>
    <w:rsid w:val="00C275A3"/>
    <w:rsid w:val="00C275E8"/>
    <w:rsid w:val="00C275EC"/>
    <w:rsid w:val="00C275FE"/>
    <w:rsid w:val="00C276E4"/>
    <w:rsid w:val="00C2771C"/>
    <w:rsid w:val="00C27726"/>
    <w:rsid w:val="00C27771"/>
    <w:rsid w:val="00C277BA"/>
    <w:rsid w:val="00C2784B"/>
    <w:rsid w:val="00C2786A"/>
    <w:rsid w:val="00C27A01"/>
    <w:rsid w:val="00C27A56"/>
    <w:rsid w:val="00C27ABC"/>
    <w:rsid w:val="00C27AC0"/>
    <w:rsid w:val="00C27ADD"/>
    <w:rsid w:val="00C27BB4"/>
    <w:rsid w:val="00C27BEB"/>
    <w:rsid w:val="00C27C5A"/>
    <w:rsid w:val="00C27C70"/>
    <w:rsid w:val="00C27D03"/>
    <w:rsid w:val="00C27D95"/>
    <w:rsid w:val="00C27E7C"/>
    <w:rsid w:val="00C27ED6"/>
    <w:rsid w:val="00C27EE0"/>
    <w:rsid w:val="00C27EE5"/>
    <w:rsid w:val="00C27F31"/>
    <w:rsid w:val="00C27F60"/>
    <w:rsid w:val="00C27FAA"/>
    <w:rsid w:val="00C27FD1"/>
    <w:rsid w:val="00C30037"/>
    <w:rsid w:val="00C30063"/>
    <w:rsid w:val="00C30088"/>
    <w:rsid w:val="00C30091"/>
    <w:rsid w:val="00C300CA"/>
    <w:rsid w:val="00C3015A"/>
    <w:rsid w:val="00C30160"/>
    <w:rsid w:val="00C3019A"/>
    <w:rsid w:val="00C30259"/>
    <w:rsid w:val="00C3026A"/>
    <w:rsid w:val="00C3036D"/>
    <w:rsid w:val="00C303A0"/>
    <w:rsid w:val="00C303B3"/>
    <w:rsid w:val="00C3042C"/>
    <w:rsid w:val="00C3047B"/>
    <w:rsid w:val="00C304CB"/>
    <w:rsid w:val="00C30504"/>
    <w:rsid w:val="00C3057E"/>
    <w:rsid w:val="00C305DD"/>
    <w:rsid w:val="00C305FD"/>
    <w:rsid w:val="00C30619"/>
    <w:rsid w:val="00C30626"/>
    <w:rsid w:val="00C306AD"/>
    <w:rsid w:val="00C306F9"/>
    <w:rsid w:val="00C3070E"/>
    <w:rsid w:val="00C30768"/>
    <w:rsid w:val="00C30830"/>
    <w:rsid w:val="00C30833"/>
    <w:rsid w:val="00C30847"/>
    <w:rsid w:val="00C3085B"/>
    <w:rsid w:val="00C30872"/>
    <w:rsid w:val="00C30897"/>
    <w:rsid w:val="00C308A1"/>
    <w:rsid w:val="00C308A3"/>
    <w:rsid w:val="00C30979"/>
    <w:rsid w:val="00C30992"/>
    <w:rsid w:val="00C309E5"/>
    <w:rsid w:val="00C30AB0"/>
    <w:rsid w:val="00C30BD4"/>
    <w:rsid w:val="00C30BE3"/>
    <w:rsid w:val="00C30CED"/>
    <w:rsid w:val="00C30DC1"/>
    <w:rsid w:val="00C30E32"/>
    <w:rsid w:val="00C30E9F"/>
    <w:rsid w:val="00C30EEB"/>
    <w:rsid w:val="00C30F01"/>
    <w:rsid w:val="00C30F53"/>
    <w:rsid w:val="00C30F7A"/>
    <w:rsid w:val="00C30FC7"/>
    <w:rsid w:val="00C3105A"/>
    <w:rsid w:val="00C310BB"/>
    <w:rsid w:val="00C31147"/>
    <w:rsid w:val="00C31169"/>
    <w:rsid w:val="00C31184"/>
    <w:rsid w:val="00C311C9"/>
    <w:rsid w:val="00C311D7"/>
    <w:rsid w:val="00C311EC"/>
    <w:rsid w:val="00C31209"/>
    <w:rsid w:val="00C312CA"/>
    <w:rsid w:val="00C312E9"/>
    <w:rsid w:val="00C3135A"/>
    <w:rsid w:val="00C31397"/>
    <w:rsid w:val="00C3147C"/>
    <w:rsid w:val="00C314AD"/>
    <w:rsid w:val="00C314CA"/>
    <w:rsid w:val="00C31542"/>
    <w:rsid w:val="00C31567"/>
    <w:rsid w:val="00C3162D"/>
    <w:rsid w:val="00C31643"/>
    <w:rsid w:val="00C31662"/>
    <w:rsid w:val="00C31694"/>
    <w:rsid w:val="00C31705"/>
    <w:rsid w:val="00C317B6"/>
    <w:rsid w:val="00C317BB"/>
    <w:rsid w:val="00C31901"/>
    <w:rsid w:val="00C3190E"/>
    <w:rsid w:val="00C31944"/>
    <w:rsid w:val="00C31992"/>
    <w:rsid w:val="00C31AB2"/>
    <w:rsid w:val="00C31B50"/>
    <w:rsid w:val="00C31B71"/>
    <w:rsid w:val="00C31BE4"/>
    <w:rsid w:val="00C31C88"/>
    <w:rsid w:val="00C31D18"/>
    <w:rsid w:val="00C31D69"/>
    <w:rsid w:val="00C31DCC"/>
    <w:rsid w:val="00C31E18"/>
    <w:rsid w:val="00C31E88"/>
    <w:rsid w:val="00C31E93"/>
    <w:rsid w:val="00C31EBD"/>
    <w:rsid w:val="00C31EE9"/>
    <w:rsid w:val="00C31EEA"/>
    <w:rsid w:val="00C31F6D"/>
    <w:rsid w:val="00C31F84"/>
    <w:rsid w:val="00C31FCC"/>
    <w:rsid w:val="00C32014"/>
    <w:rsid w:val="00C32180"/>
    <w:rsid w:val="00C3218B"/>
    <w:rsid w:val="00C321B0"/>
    <w:rsid w:val="00C32254"/>
    <w:rsid w:val="00C32286"/>
    <w:rsid w:val="00C3228D"/>
    <w:rsid w:val="00C322DA"/>
    <w:rsid w:val="00C322F1"/>
    <w:rsid w:val="00C3232A"/>
    <w:rsid w:val="00C3235D"/>
    <w:rsid w:val="00C323E7"/>
    <w:rsid w:val="00C323EE"/>
    <w:rsid w:val="00C3250B"/>
    <w:rsid w:val="00C3251B"/>
    <w:rsid w:val="00C32538"/>
    <w:rsid w:val="00C32543"/>
    <w:rsid w:val="00C32549"/>
    <w:rsid w:val="00C32575"/>
    <w:rsid w:val="00C325B1"/>
    <w:rsid w:val="00C325F8"/>
    <w:rsid w:val="00C32617"/>
    <w:rsid w:val="00C32627"/>
    <w:rsid w:val="00C32653"/>
    <w:rsid w:val="00C326C8"/>
    <w:rsid w:val="00C326D1"/>
    <w:rsid w:val="00C326FE"/>
    <w:rsid w:val="00C326FF"/>
    <w:rsid w:val="00C327A9"/>
    <w:rsid w:val="00C327BB"/>
    <w:rsid w:val="00C32819"/>
    <w:rsid w:val="00C32821"/>
    <w:rsid w:val="00C328D3"/>
    <w:rsid w:val="00C329B0"/>
    <w:rsid w:val="00C32A9C"/>
    <w:rsid w:val="00C32B45"/>
    <w:rsid w:val="00C32B51"/>
    <w:rsid w:val="00C32C20"/>
    <w:rsid w:val="00C32CAE"/>
    <w:rsid w:val="00C32D05"/>
    <w:rsid w:val="00C32D28"/>
    <w:rsid w:val="00C32D34"/>
    <w:rsid w:val="00C32E3A"/>
    <w:rsid w:val="00C32EC2"/>
    <w:rsid w:val="00C32EC8"/>
    <w:rsid w:val="00C32FF1"/>
    <w:rsid w:val="00C33016"/>
    <w:rsid w:val="00C33020"/>
    <w:rsid w:val="00C33080"/>
    <w:rsid w:val="00C330AC"/>
    <w:rsid w:val="00C33119"/>
    <w:rsid w:val="00C331B1"/>
    <w:rsid w:val="00C331E2"/>
    <w:rsid w:val="00C3326F"/>
    <w:rsid w:val="00C33308"/>
    <w:rsid w:val="00C3332F"/>
    <w:rsid w:val="00C33385"/>
    <w:rsid w:val="00C3338E"/>
    <w:rsid w:val="00C333BD"/>
    <w:rsid w:val="00C333C5"/>
    <w:rsid w:val="00C333CD"/>
    <w:rsid w:val="00C333FA"/>
    <w:rsid w:val="00C3340A"/>
    <w:rsid w:val="00C33422"/>
    <w:rsid w:val="00C3342C"/>
    <w:rsid w:val="00C335C3"/>
    <w:rsid w:val="00C3360A"/>
    <w:rsid w:val="00C336CD"/>
    <w:rsid w:val="00C3375B"/>
    <w:rsid w:val="00C33763"/>
    <w:rsid w:val="00C337CC"/>
    <w:rsid w:val="00C3380A"/>
    <w:rsid w:val="00C3380B"/>
    <w:rsid w:val="00C3383A"/>
    <w:rsid w:val="00C33844"/>
    <w:rsid w:val="00C3384B"/>
    <w:rsid w:val="00C3389E"/>
    <w:rsid w:val="00C338E4"/>
    <w:rsid w:val="00C33900"/>
    <w:rsid w:val="00C33998"/>
    <w:rsid w:val="00C339CF"/>
    <w:rsid w:val="00C33A56"/>
    <w:rsid w:val="00C33A75"/>
    <w:rsid w:val="00C33B96"/>
    <w:rsid w:val="00C33C1C"/>
    <w:rsid w:val="00C33CFF"/>
    <w:rsid w:val="00C33D0D"/>
    <w:rsid w:val="00C33D13"/>
    <w:rsid w:val="00C33D4D"/>
    <w:rsid w:val="00C33E33"/>
    <w:rsid w:val="00C33E7F"/>
    <w:rsid w:val="00C33E90"/>
    <w:rsid w:val="00C33EA6"/>
    <w:rsid w:val="00C34003"/>
    <w:rsid w:val="00C34012"/>
    <w:rsid w:val="00C34082"/>
    <w:rsid w:val="00C34098"/>
    <w:rsid w:val="00C340D8"/>
    <w:rsid w:val="00C34129"/>
    <w:rsid w:val="00C3417E"/>
    <w:rsid w:val="00C34242"/>
    <w:rsid w:val="00C34320"/>
    <w:rsid w:val="00C3432B"/>
    <w:rsid w:val="00C34380"/>
    <w:rsid w:val="00C34392"/>
    <w:rsid w:val="00C34443"/>
    <w:rsid w:val="00C3444B"/>
    <w:rsid w:val="00C34466"/>
    <w:rsid w:val="00C344A7"/>
    <w:rsid w:val="00C344B0"/>
    <w:rsid w:val="00C344EC"/>
    <w:rsid w:val="00C34512"/>
    <w:rsid w:val="00C34558"/>
    <w:rsid w:val="00C345B6"/>
    <w:rsid w:val="00C34637"/>
    <w:rsid w:val="00C34651"/>
    <w:rsid w:val="00C34652"/>
    <w:rsid w:val="00C346DE"/>
    <w:rsid w:val="00C34761"/>
    <w:rsid w:val="00C34772"/>
    <w:rsid w:val="00C34797"/>
    <w:rsid w:val="00C34817"/>
    <w:rsid w:val="00C34832"/>
    <w:rsid w:val="00C3488D"/>
    <w:rsid w:val="00C34932"/>
    <w:rsid w:val="00C3496D"/>
    <w:rsid w:val="00C34978"/>
    <w:rsid w:val="00C34988"/>
    <w:rsid w:val="00C3498B"/>
    <w:rsid w:val="00C349CA"/>
    <w:rsid w:val="00C349EB"/>
    <w:rsid w:val="00C34A2F"/>
    <w:rsid w:val="00C34B05"/>
    <w:rsid w:val="00C34B0C"/>
    <w:rsid w:val="00C34B62"/>
    <w:rsid w:val="00C34B70"/>
    <w:rsid w:val="00C34BEA"/>
    <w:rsid w:val="00C34C6F"/>
    <w:rsid w:val="00C34C78"/>
    <w:rsid w:val="00C34C9B"/>
    <w:rsid w:val="00C34D84"/>
    <w:rsid w:val="00C34D89"/>
    <w:rsid w:val="00C34DCC"/>
    <w:rsid w:val="00C34DD9"/>
    <w:rsid w:val="00C34E0A"/>
    <w:rsid w:val="00C34E71"/>
    <w:rsid w:val="00C34EED"/>
    <w:rsid w:val="00C34FE4"/>
    <w:rsid w:val="00C34FF5"/>
    <w:rsid w:val="00C35093"/>
    <w:rsid w:val="00C350A4"/>
    <w:rsid w:val="00C35144"/>
    <w:rsid w:val="00C35153"/>
    <w:rsid w:val="00C3517F"/>
    <w:rsid w:val="00C351CD"/>
    <w:rsid w:val="00C351F8"/>
    <w:rsid w:val="00C351F9"/>
    <w:rsid w:val="00C3520E"/>
    <w:rsid w:val="00C35280"/>
    <w:rsid w:val="00C352C6"/>
    <w:rsid w:val="00C35324"/>
    <w:rsid w:val="00C35361"/>
    <w:rsid w:val="00C353AE"/>
    <w:rsid w:val="00C353F4"/>
    <w:rsid w:val="00C3544C"/>
    <w:rsid w:val="00C354B8"/>
    <w:rsid w:val="00C35522"/>
    <w:rsid w:val="00C3554C"/>
    <w:rsid w:val="00C3559C"/>
    <w:rsid w:val="00C355D7"/>
    <w:rsid w:val="00C355DA"/>
    <w:rsid w:val="00C356E6"/>
    <w:rsid w:val="00C356FB"/>
    <w:rsid w:val="00C35718"/>
    <w:rsid w:val="00C357FB"/>
    <w:rsid w:val="00C35842"/>
    <w:rsid w:val="00C35873"/>
    <w:rsid w:val="00C358CD"/>
    <w:rsid w:val="00C35995"/>
    <w:rsid w:val="00C359B3"/>
    <w:rsid w:val="00C35A48"/>
    <w:rsid w:val="00C35AC4"/>
    <w:rsid w:val="00C35B1B"/>
    <w:rsid w:val="00C35BA0"/>
    <w:rsid w:val="00C35C2F"/>
    <w:rsid w:val="00C35D28"/>
    <w:rsid w:val="00C35DD2"/>
    <w:rsid w:val="00C35DE8"/>
    <w:rsid w:val="00C35E26"/>
    <w:rsid w:val="00C35E35"/>
    <w:rsid w:val="00C35E70"/>
    <w:rsid w:val="00C35F34"/>
    <w:rsid w:val="00C35FFE"/>
    <w:rsid w:val="00C36051"/>
    <w:rsid w:val="00C360A8"/>
    <w:rsid w:val="00C360DF"/>
    <w:rsid w:val="00C360F1"/>
    <w:rsid w:val="00C360F2"/>
    <w:rsid w:val="00C3610F"/>
    <w:rsid w:val="00C3616B"/>
    <w:rsid w:val="00C36222"/>
    <w:rsid w:val="00C36231"/>
    <w:rsid w:val="00C362DF"/>
    <w:rsid w:val="00C36366"/>
    <w:rsid w:val="00C36391"/>
    <w:rsid w:val="00C36480"/>
    <w:rsid w:val="00C364D4"/>
    <w:rsid w:val="00C3655A"/>
    <w:rsid w:val="00C36560"/>
    <w:rsid w:val="00C366A5"/>
    <w:rsid w:val="00C366CC"/>
    <w:rsid w:val="00C3676D"/>
    <w:rsid w:val="00C367EB"/>
    <w:rsid w:val="00C36804"/>
    <w:rsid w:val="00C3686A"/>
    <w:rsid w:val="00C36871"/>
    <w:rsid w:val="00C36882"/>
    <w:rsid w:val="00C36883"/>
    <w:rsid w:val="00C3688C"/>
    <w:rsid w:val="00C368EA"/>
    <w:rsid w:val="00C368FD"/>
    <w:rsid w:val="00C369A6"/>
    <w:rsid w:val="00C369F4"/>
    <w:rsid w:val="00C36A0F"/>
    <w:rsid w:val="00C36A53"/>
    <w:rsid w:val="00C36B8B"/>
    <w:rsid w:val="00C36BA9"/>
    <w:rsid w:val="00C36C3D"/>
    <w:rsid w:val="00C36CDD"/>
    <w:rsid w:val="00C36D69"/>
    <w:rsid w:val="00C36D8B"/>
    <w:rsid w:val="00C36DE8"/>
    <w:rsid w:val="00C36E46"/>
    <w:rsid w:val="00C36E4A"/>
    <w:rsid w:val="00C36E67"/>
    <w:rsid w:val="00C36EBA"/>
    <w:rsid w:val="00C36F20"/>
    <w:rsid w:val="00C36F79"/>
    <w:rsid w:val="00C36FCC"/>
    <w:rsid w:val="00C3704B"/>
    <w:rsid w:val="00C3708C"/>
    <w:rsid w:val="00C3714F"/>
    <w:rsid w:val="00C371C5"/>
    <w:rsid w:val="00C371D9"/>
    <w:rsid w:val="00C3720B"/>
    <w:rsid w:val="00C3724F"/>
    <w:rsid w:val="00C37261"/>
    <w:rsid w:val="00C37365"/>
    <w:rsid w:val="00C37375"/>
    <w:rsid w:val="00C3737B"/>
    <w:rsid w:val="00C373F4"/>
    <w:rsid w:val="00C37414"/>
    <w:rsid w:val="00C37426"/>
    <w:rsid w:val="00C37478"/>
    <w:rsid w:val="00C374BC"/>
    <w:rsid w:val="00C3750E"/>
    <w:rsid w:val="00C3753D"/>
    <w:rsid w:val="00C3755A"/>
    <w:rsid w:val="00C37626"/>
    <w:rsid w:val="00C376D8"/>
    <w:rsid w:val="00C376E3"/>
    <w:rsid w:val="00C37732"/>
    <w:rsid w:val="00C37839"/>
    <w:rsid w:val="00C378AE"/>
    <w:rsid w:val="00C378E0"/>
    <w:rsid w:val="00C37916"/>
    <w:rsid w:val="00C37931"/>
    <w:rsid w:val="00C3798F"/>
    <w:rsid w:val="00C3799C"/>
    <w:rsid w:val="00C37A22"/>
    <w:rsid w:val="00C37AE0"/>
    <w:rsid w:val="00C37B6C"/>
    <w:rsid w:val="00C37CAE"/>
    <w:rsid w:val="00C37CCF"/>
    <w:rsid w:val="00C37D69"/>
    <w:rsid w:val="00C37D71"/>
    <w:rsid w:val="00C37DA4"/>
    <w:rsid w:val="00C37EFE"/>
    <w:rsid w:val="00C37F08"/>
    <w:rsid w:val="00C37F51"/>
    <w:rsid w:val="00C37F68"/>
    <w:rsid w:val="00C37FB0"/>
    <w:rsid w:val="00C37FD3"/>
    <w:rsid w:val="00C40017"/>
    <w:rsid w:val="00C4006A"/>
    <w:rsid w:val="00C4009A"/>
    <w:rsid w:val="00C400DA"/>
    <w:rsid w:val="00C4020E"/>
    <w:rsid w:val="00C4028E"/>
    <w:rsid w:val="00C40382"/>
    <w:rsid w:val="00C403A4"/>
    <w:rsid w:val="00C403D8"/>
    <w:rsid w:val="00C403E9"/>
    <w:rsid w:val="00C403F5"/>
    <w:rsid w:val="00C4047D"/>
    <w:rsid w:val="00C4048B"/>
    <w:rsid w:val="00C404F1"/>
    <w:rsid w:val="00C405CB"/>
    <w:rsid w:val="00C4062C"/>
    <w:rsid w:val="00C4065E"/>
    <w:rsid w:val="00C40681"/>
    <w:rsid w:val="00C406FB"/>
    <w:rsid w:val="00C407ED"/>
    <w:rsid w:val="00C407F3"/>
    <w:rsid w:val="00C40894"/>
    <w:rsid w:val="00C408B4"/>
    <w:rsid w:val="00C40914"/>
    <w:rsid w:val="00C40952"/>
    <w:rsid w:val="00C40959"/>
    <w:rsid w:val="00C40A9B"/>
    <w:rsid w:val="00C40AAB"/>
    <w:rsid w:val="00C40AAD"/>
    <w:rsid w:val="00C40B21"/>
    <w:rsid w:val="00C40B66"/>
    <w:rsid w:val="00C40BB1"/>
    <w:rsid w:val="00C40BCA"/>
    <w:rsid w:val="00C40BDC"/>
    <w:rsid w:val="00C40C08"/>
    <w:rsid w:val="00C40C74"/>
    <w:rsid w:val="00C40DA5"/>
    <w:rsid w:val="00C40DFA"/>
    <w:rsid w:val="00C40E36"/>
    <w:rsid w:val="00C40E42"/>
    <w:rsid w:val="00C40E52"/>
    <w:rsid w:val="00C40E85"/>
    <w:rsid w:val="00C41000"/>
    <w:rsid w:val="00C41046"/>
    <w:rsid w:val="00C41076"/>
    <w:rsid w:val="00C41077"/>
    <w:rsid w:val="00C410D9"/>
    <w:rsid w:val="00C41113"/>
    <w:rsid w:val="00C41158"/>
    <w:rsid w:val="00C41163"/>
    <w:rsid w:val="00C4118B"/>
    <w:rsid w:val="00C411FF"/>
    <w:rsid w:val="00C41211"/>
    <w:rsid w:val="00C41233"/>
    <w:rsid w:val="00C412A3"/>
    <w:rsid w:val="00C41335"/>
    <w:rsid w:val="00C41352"/>
    <w:rsid w:val="00C41370"/>
    <w:rsid w:val="00C413A3"/>
    <w:rsid w:val="00C413A8"/>
    <w:rsid w:val="00C41440"/>
    <w:rsid w:val="00C41454"/>
    <w:rsid w:val="00C4146E"/>
    <w:rsid w:val="00C414DF"/>
    <w:rsid w:val="00C414E7"/>
    <w:rsid w:val="00C4151B"/>
    <w:rsid w:val="00C41558"/>
    <w:rsid w:val="00C4160E"/>
    <w:rsid w:val="00C41637"/>
    <w:rsid w:val="00C41654"/>
    <w:rsid w:val="00C4165F"/>
    <w:rsid w:val="00C41845"/>
    <w:rsid w:val="00C4186A"/>
    <w:rsid w:val="00C418E3"/>
    <w:rsid w:val="00C418EE"/>
    <w:rsid w:val="00C41946"/>
    <w:rsid w:val="00C41A62"/>
    <w:rsid w:val="00C41AC5"/>
    <w:rsid w:val="00C41B19"/>
    <w:rsid w:val="00C41B2D"/>
    <w:rsid w:val="00C41B57"/>
    <w:rsid w:val="00C41B9B"/>
    <w:rsid w:val="00C41BC2"/>
    <w:rsid w:val="00C41C6D"/>
    <w:rsid w:val="00C41C74"/>
    <w:rsid w:val="00C41CD9"/>
    <w:rsid w:val="00C41DD9"/>
    <w:rsid w:val="00C41ED1"/>
    <w:rsid w:val="00C41F1E"/>
    <w:rsid w:val="00C4203B"/>
    <w:rsid w:val="00C4206F"/>
    <w:rsid w:val="00C420C8"/>
    <w:rsid w:val="00C421A6"/>
    <w:rsid w:val="00C422A4"/>
    <w:rsid w:val="00C42325"/>
    <w:rsid w:val="00C4232C"/>
    <w:rsid w:val="00C42385"/>
    <w:rsid w:val="00C423FF"/>
    <w:rsid w:val="00C4243B"/>
    <w:rsid w:val="00C42497"/>
    <w:rsid w:val="00C4251B"/>
    <w:rsid w:val="00C42543"/>
    <w:rsid w:val="00C4254A"/>
    <w:rsid w:val="00C42553"/>
    <w:rsid w:val="00C425E2"/>
    <w:rsid w:val="00C4260D"/>
    <w:rsid w:val="00C426B4"/>
    <w:rsid w:val="00C426D6"/>
    <w:rsid w:val="00C42721"/>
    <w:rsid w:val="00C42745"/>
    <w:rsid w:val="00C42768"/>
    <w:rsid w:val="00C429A6"/>
    <w:rsid w:val="00C429AA"/>
    <w:rsid w:val="00C42A19"/>
    <w:rsid w:val="00C42A26"/>
    <w:rsid w:val="00C42A3A"/>
    <w:rsid w:val="00C42A53"/>
    <w:rsid w:val="00C42A91"/>
    <w:rsid w:val="00C42AB8"/>
    <w:rsid w:val="00C42B36"/>
    <w:rsid w:val="00C42B61"/>
    <w:rsid w:val="00C42B7A"/>
    <w:rsid w:val="00C42B95"/>
    <w:rsid w:val="00C42BF2"/>
    <w:rsid w:val="00C42BF3"/>
    <w:rsid w:val="00C42C1D"/>
    <w:rsid w:val="00C42C25"/>
    <w:rsid w:val="00C42C3C"/>
    <w:rsid w:val="00C42C62"/>
    <w:rsid w:val="00C42CC0"/>
    <w:rsid w:val="00C42D38"/>
    <w:rsid w:val="00C42D70"/>
    <w:rsid w:val="00C42DA0"/>
    <w:rsid w:val="00C42E07"/>
    <w:rsid w:val="00C42E91"/>
    <w:rsid w:val="00C42E9B"/>
    <w:rsid w:val="00C42EC0"/>
    <w:rsid w:val="00C42EE6"/>
    <w:rsid w:val="00C42F3B"/>
    <w:rsid w:val="00C43131"/>
    <w:rsid w:val="00C431BC"/>
    <w:rsid w:val="00C431DF"/>
    <w:rsid w:val="00C431E3"/>
    <w:rsid w:val="00C431F5"/>
    <w:rsid w:val="00C4322C"/>
    <w:rsid w:val="00C43260"/>
    <w:rsid w:val="00C43340"/>
    <w:rsid w:val="00C4336F"/>
    <w:rsid w:val="00C4338D"/>
    <w:rsid w:val="00C434F1"/>
    <w:rsid w:val="00C4353B"/>
    <w:rsid w:val="00C43588"/>
    <w:rsid w:val="00C435AF"/>
    <w:rsid w:val="00C436EB"/>
    <w:rsid w:val="00C436F6"/>
    <w:rsid w:val="00C43779"/>
    <w:rsid w:val="00C437E7"/>
    <w:rsid w:val="00C437E9"/>
    <w:rsid w:val="00C4385E"/>
    <w:rsid w:val="00C43868"/>
    <w:rsid w:val="00C43A31"/>
    <w:rsid w:val="00C43AC4"/>
    <w:rsid w:val="00C43B48"/>
    <w:rsid w:val="00C43BC2"/>
    <w:rsid w:val="00C43CBA"/>
    <w:rsid w:val="00C43D21"/>
    <w:rsid w:val="00C43D46"/>
    <w:rsid w:val="00C43E0B"/>
    <w:rsid w:val="00C43E67"/>
    <w:rsid w:val="00C43E6D"/>
    <w:rsid w:val="00C43EB6"/>
    <w:rsid w:val="00C43EE4"/>
    <w:rsid w:val="00C43F31"/>
    <w:rsid w:val="00C43FB0"/>
    <w:rsid w:val="00C4401F"/>
    <w:rsid w:val="00C4404F"/>
    <w:rsid w:val="00C4405C"/>
    <w:rsid w:val="00C44083"/>
    <w:rsid w:val="00C44091"/>
    <w:rsid w:val="00C4409B"/>
    <w:rsid w:val="00C440F9"/>
    <w:rsid w:val="00C44109"/>
    <w:rsid w:val="00C44134"/>
    <w:rsid w:val="00C44161"/>
    <w:rsid w:val="00C4423A"/>
    <w:rsid w:val="00C4427C"/>
    <w:rsid w:val="00C442C7"/>
    <w:rsid w:val="00C4430F"/>
    <w:rsid w:val="00C44370"/>
    <w:rsid w:val="00C4437B"/>
    <w:rsid w:val="00C443BE"/>
    <w:rsid w:val="00C443C1"/>
    <w:rsid w:val="00C44483"/>
    <w:rsid w:val="00C44592"/>
    <w:rsid w:val="00C445F8"/>
    <w:rsid w:val="00C44628"/>
    <w:rsid w:val="00C446A8"/>
    <w:rsid w:val="00C446DA"/>
    <w:rsid w:val="00C44725"/>
    <w:rsid w:val="00C44832"/>
    <w:rsid w:val="00C44850"/>
    <w:rsid w:val="00C44895"/>
    <w:rsid w:val="00C448D5"/>
    <w:rsid w:val="00C44930"/>
    <w:rsid w:val="00C44952"/>
    <w:rsid w:val="00C44968"/>
    <w:rsid w:val="00C449EF"/>
    <w:rsid w:val="00C44A4F"/>
    <w:rsid w:val="00C44A83"/>
    <w:rsid w:val="00C44A9F"/>
    <w:rsid w:val="00C44AD7"/>
    <w:rsid w:val="00C44BD7"/>
    <w:rsid w:val="00C44BFA"/>
    <w:rsid w:val="00C44C08"/>
    <w:rsid w:val="00C44C0F"/>
    <w:rsid w:val="00C44CBE"/>
    <w:rsid w:val="00C44D16"/>
    <w:rsid w:val="00C44D24"/>
    <w:rsid w:val="00C44D3E"/>
    <w:rsid w:val="00C44D98"/>
    <w:rsid w:val="00C44E23"/>
    <w:rsid w:val="00C44E8D"/>
    <w:rsid w:val="00C44ECC"/>
    <w:rsid w:val="00C44EDB"/>
    <w:rsid w:val="00C44F62"/>
    <w:rsid w:val="00C44FEF"/>
    <w:rsid w:val="00C45003"/>
    <w:rsid w:val="00C45028"/>
    <w:rsid w:val="00C45058"/>
    <w:rsid w:val="00C45093"/>
    <w:rsid w:val="00C45147"/>
    <w:rsid w:val="00C45192"/>
    <w:rsid w:val="00C45295"/>
    <w:rsid w:val="00C452FF"/>
    <w:rsid w:val="00C45486"/>
    <w:rsid w:val="00C454D3"/>
    <w:rsid w:val="00C454E4"/>
    <w:rsid w:val="00C45590"/>
    <w:rsid w:val="00C45648"/>
    <w:rsid w:val="00C456B5"/>
    <w:rsid w:val="00C456B8"/>
    <w:rsid w:val="00C45741"/>
    <w:rsid w:val="00C45820"/>
    <w:rsid w:val="00C458E3"/>
    <w:rsid w:val="00C45935"/>
    <w:rsid w:val="00C4598E"/>
    <w:rsid w:val="00C459AC"/>
    <w:rsid w:val="00C45A33"/>
    <w:rsid w:val="00C45A6E"/>
    <w:rsid w:val="00C45AAB"/>
    <w:rsid w:val="00C45B82"/>
    <w:rsid w:val="00C45BD4"/>
    <w:rsid w:val="00C45C47"/>
    <w:rsid w:val="00C45C59"/>
    <w:rsid w:val="00C45C80"/>
    <w:rsid w:val="00C45C8D"/>
    <w:rsid w:val="00C45C92"/>
    <w:rsid w:val="00C45D5F"/>
    <w:rsid w:val="00C45D87"/>
    <w:rsid w:val="00C45DE3"/>
    <w:rsid w:val="00C45E18"/>
    <w:rsid w:val="00C45E74"/>
    <w:rsid w:val="00C45F9C"/>
    <w:rsid w:val="00C45FB9"/>
    <w:rsid w:val="00C45FF4"/>
    <w:rsid w:val="00C4605F"/>
    <w:rsid w:val="00C4607B"/>
    <w:rsid w:val="00C460B9"/>
    <w:rsid w:val="00C460BA"/>
    <w:rsid w:val="00C46159"/>
    <w:rsid w:val="00C461AF"/>
    <w:rsid w:val="00C46255"/>
    <w:rsid w:val="00C462AB"/>
    <w:rsid w:val="00C46331"/>
    <w:rsid w:val="00C46337"/>
    <w:rsid w:val="00C4633A"/>
    <w:rsid w:val="00C4636C"/>
    <w:rsid w:val="00C4637C"/>
    <w:rsid w:val="00C463AA"/>
    <w:rsid w:val="00C463FB"/>
    <w:rsid w:val="00C46402"/>
    <w:rsid w:val="00C4642F"/>
    <w:rsid w:val="00C464C7"/>
    <w:rsid w:val="00C4652E"/>
    <w:rsid w:val="00C46731"/>
    <w:rsid w:val="00C4676E"/>
    <w:rsid w:val="00C4678B"/>
    <w:rsid w:val="00C467C4"/>
    <w:rsid w:val="00C4689B"/>
    <w:rsid w:val="00C468F5"/>
    <w:rsid w:val="00C4696A"/>
    <w:rsid w:val="00C46A60"/>
    <w:rsid w:val="00C46ADC"/>
    <w:rsid w:val="00C46B5C"/>
    <w:rsid w:val="00C46B9E"/>
    <w:rsid w:val="00C46BBE"/>
    <w:rsid w:val="00C46BC9"/>
    <w:rsid w:val="00C46C93"/>
    <w:rsid w:val="00C46CE9"/>
    <w:rsid w:val="00C46D07"/>
    <w:rsid w:val="00C46D2B"/>
    <w:rsid w:val="00C46D94"/>
    <w:rsid w:val="00C46DC4"/>
    <w:rsid w:val="00C46DEB"/>
    <w:rsid w:val="00C46E9D"/>
    <w:rsid w:val="00C46EEE"/>
    <w:rsid w:val="00C46F6C"/>
    <w:rsid w:val="00C46F7C"/>
    <w:rsid w:val="00C46FB0"/>
    <w:rsid w:val="00C4702D"/>
    <w:rsid w:val="00C47058"/>
    <w:rsid w:val="00C470BA"/>
    <w:rsid w:val="00C47155"/>
    <w:rsid w:val="00C471BD"/>
    <w:rsid w:val="00C4725D"/>
    <w:rsid w:val="00C472AE"/>
    <w:rsid w:val="00C472FD"/>
    <w:rsid w:val="00C4730C"/>
    <w:rsid w:val="00C47426"/>
    <w:rsid w:val="00C4748B"/>
    <w:rsid w:val="00C47538"/>
    <w:rsid w:val="00C4755B"/>
    <w:rsid w:val="00C47589"/>
    <w:rsid w:val="00C4759F"/>
    <w:rsid w:val="00C4764D"/>
    <w:rsid w:val="00C4768F"/>
    <w:rsid w:val="00C476E3"/>
    <w:rsid w:val="00C476FC"/>
    <w:rsid w:val="00C4772E"/>
    <w:rsid w:val="00C47768"/>
    <w:rsid w:val="00C477C9"/>
    <w:rsid w:val="00C47827"/>
    <w:rsid w:val="00C478BE"/>
    <w:rsid w:val="00C4795E"/>
    <w:rsid w:val="00C479C7"/>
    <w:rsid w:val="00C479FA"/>
    <w:rsid w:val="00C47A20"/>
    <w:rsid w:val="00C47A31"/>
    <w:rsid w:val="00C47A9E"/>
    <w:rsid w:val="00C47C55"/>
    <w:rsid w:val="00C47C65"/>
    <w:rsid w:val="00C47CB2"/>
    <w:rsid w:val="00C47CFB"/>
    <w:rsid w:val="00C47D5D"/>
    <w:rsid w:val="00C47D61"/>
    <w:rsid w:val="00C47DE7"/>
    <w:rsid w:val="00C47E33"/>
    <w:rsid w:val="00C47E4A"/>
    <w:rsid w:val="00C47EE0"/>
    <w:rsid w:val="00C47F05"/>
    <w:rsid w:val="00C47F9D"/>
    <w:rsid w:val="00C50018"/>
    <w:rsid w:val="00C50019"/>
    <w:rsid w:val="00C50086"/>
    <w:rsid w:val="00C50089"/>
    <w:rsid w:val="00C5009E"/>
    <w:rsid w:val="00C50218"/>
    <w:rsid w:val="00C5022F"/>
    <w:rsid w:val="00C50247"/>
    <w:rsid w:val="00C50268"/>
    <w:rsid w:val="00C50313"/>
    <w:rsid w:val="00C50400"/>
    <w:rsid w:val="00C5042C"/>
    <w:rsid w:val="00C504BD"/>
    <w:rsid w:val="00C5053A"/>
    <w:rsid w:val="00C50561"/>
    <w:rsid w:val="00C5057E"/>
    <w:rsid w:val="00C505D5"/>
    <w:rsid w:val="00C5061B"/>
    <w:rsid w:val="00C50694"/>
    <w:rsid w:val="00C506AE"/>
    <w:rsid w:val="00C50703"/>
    <w:rsid w:val="00C50784"/>
    <w:rsid w:val="00C5078A"/>
    <w:rsid w:val="00C507B7"/>
    <w:rsid w:val="00C507CE"/>
    <w:rsid w:val="00C507D2"/>
    <w:rsid w:val="00C50818"/>
    <w:rsid w:val="00C5085A"/>
    <w:rsid w:val="00C50864"/>
    <w:rsid w:val="00C508E6"/>
    <w:rsid w:val="00C50946"/>
    <w:rsid w:val="00C509A5"/>
    <w:rsid w:val="00C509ED"/>
    <w:rsid w:val="00C50A0F"/>
    <w:rsid w:val="00C50A12"/>
    <w:rsid w:val="00C50A75"/>
    <w:rsid w:val="00C50B8B"/>
    <w:rsid w:val="00C50BAA"/>
    <w:rsid w:val="00C50C08"/>
    <w:rsid w:val="00C50C21"/>
    <w:rsid w:val="00C50C72"/>
    <w:rsid w:val="00C50CBF"/>
    <w:rsid w:val="00C50DA9"/>
    <w:rsid w:val="00C50DDC"/>
    <w:rsid w:val="00C50E10"/>
    <w:rsid w:val="00C50E3A"/>
    <w:rsid w:val="00C50E4A"/>
    <w:rsid w:val="00C50E69"/>
    <w:rsid w:val="00C50EF7"/>
    <w:rsid w:val="00C50F65"/>
    <w:rsid w:val="00C510C2"/>
    <w:rsid w:val="00C510D5"/>
    <w:rsid w:val="00C5119E"/>
    <w:rsid w:val="00C511A6"/>
    <w:rsid w:val="00C51235"/>
    <w:rsid w:val="00C512DF"/>
    <w:rsid w:val="00C5136E"/>
    <w:rsid w:val="00C5141F"/>
    <w:rsid w:val="00C5144C"/>
    <w:rsid w:val="00C5154F"/>
    <w:rsid w:val="00C51575"/>
    <w:rsid w:val="00C5157A"/>
    <w:rsid w:val="00C5159F"/>
    <w:rsid w:val="00C515E4"/>
    <w:rsid w:val="00C515E5"/>
    <w:rsid w:val="00C51629"/>
    <w:rsid w:val="00C51663"/>
    <w:rsid w:val="00C51677"/>
    <w:rsid w:val="00C5175C"/>
    <w:rsid w:val="00C51761"/>
    <w:rsid w:val="00C5177F"/>
    <w:rsid w:val="00C5178F"/>
    <w:rsid w:val="00C517A0"/>
    <w:rsid w:val="00C51877"/>
    <w:rsid w:val="00C51920"/>
    <w:rsid w:val="00C5195B"/>
    <w:rsid w:val="00C51974"/>
    <w:rsid w:val="00C519AE"/>
    <w:rsid w:val="00C51A24"/>
    <w:rsid w:val="00C51A4E"/>
    <w:rsid w:val="00C51A7C"/>
    <w:rsid w:val="00C51AAB"/>
    <w:rsid w:val="00C51B0C"/>
    <w:rsid w:val="00C51B3E"/>
    <w:rsid w:val="00C51B4D"/>
    <w:rsid w:val="00C51BC2"/>
    <w:rsid w:val="00C51BC3"/>
    <w:rsid w:val="00C51BD2"/>
    <w:rsid w:val="00C51BEA"/>
    <w:rsid w:val="00C51C47"/>
    <w:rsid w:val="00C51C9B"/>
    <w:rsid w:val="00C51CBB"/>
    <w:rsid w:val="00C51CFF"/>
    <w:rsid w:val="00C51D0D"/>
    <w:rsid w:val="00C51DEE"/>
    <w:rsid w:val="00C51E48"/>
    <w:rsid w:val="00C51E9E"/>
    <w:rsid w:val="00C51EB8"/>
    <w:rsid w:val="00C51EBF"/>
    <w:rsid w:val="00C51EE3"/>
    <w:rsid w:val="00C51F56"/>
    <w:rsid w:val="00C5206E"/>
    <w:rsid w:val="00C52095"/>
    <w:rsid w:val="00C520D7"/>
    <w:rsid w:val="00C52115"/>
    <w:rsid w:val="00C52161"/>
    <w:rsid w:val="00C5218D"/>
    <w:rsid w:val="00C5228C"/>
    <w:rsid w:val="00C522EA"/>
    <w:rsid w:val="00C52412"/>
    <w:rsid w:val="00C5246F"/>
    <w:rsid w:val="00C5253A"/>
    <w:rsid w:val="00C525ED"/>
    <w:rsid w:val="00C5260E"/>
    <w:rsid w:val="00C52614"/>
    <w:rsid w:val="00C526D6"/>
    <w:rsid w:val="00C526D8"/>
    <w:rsid w:val="00C52753"/>
    <w:rsid w:val="00C5276F"/>
    <w:rsid w:val="00C527A3"/>
    <w:rsid w:val="00C52805"/>
    <w:rsid w:val="00C528A2"/>
    <w:rsid w:val="00C5290B"/>
    <w:rsid w:val="00C52934"/>
    <w:rsid w:val="00C52968"/>
    <w:rsid w:val="00C52A02"/>
    <w:rsid w:val="00C52A1B"/>
    <w:rsid w:val="00C52A84"/>
    <w:rsid w:val="00C52AA0"/>
    <w:rsid w:val="00C52AE5"/>
    <w:rsid w:val="00C52B35"/>
    <w:rsid w:val="00C52C9A"/>
    <w:rsid w:val="00C52D55"/>
    <w:rsid w:val="00C52D5A"/>
    <w:rsid w:val="00C52DAF"/>
    <w:rsid w:val="00C52DD0"/>
    <w:rsid w:val="00C52E2D"/>
    <w:rsid w:val="00C52E5D"/>
    <w:rsid w:val="00C52E94"/>
    <w:rsid w:val="00C52F12"/>
    <w:rsid w:val="00C52F2E"/>
    <w:rsid w:val="00C52F5B"/>
    <w:rsid w:val="00C52FB9"/>
    <w:rsid w:val="00C52FCC"/>
    <w:rsid w:val="00C52FD4"/>
    <w:rsid w:val="00C53045"/>
    <w:rsid w:val="00C530BF"/>
    <w:rsid w:val="00C530D2"/>
    <w:rsid w:val="00C530F5"/>
    <w:rsid w:val="00C53120"/>
    <w:rsid w:val="00C53155"/>
    <w:rsid w:val="00C53170"/>
    <w:rsid w:val="00C53197"/>
    <w:rsid w:val="00C531CC"/>
    <w:rsid w:val="00C531CF"/>
    <w:rsid w:val="00C531F0"/>
    <w:rsid w:val="00C532FE"/>
    <w:rsid w:val="00C53356"/>
    <w:rsid w:val="00C533D0"/>
    <w:rsid w:val="00C53400"/>
    <w:rsid w:val="00C5341A"/>
    <w:rsid w:val="00C53453"/>
    <w:rsid w:val="00C534E5"/>
    <w:rsid w:val="00C53513"/>
    <w:rsid w:val="00C535DA"/>
    <w:rsid w:val="00C535E6"/>
    <w:rsid w:val="00C536B5"/>
    <w:rsid w:val="00C536F8"/>
    <w:rsid w:val="00C536FA"/>
    <w:rsid w:val="00C5372A"/>
    <w:rsid w:val="00C537F6"/>
    <w:rsid w:val="00C53884"/>
    <w:rsid w:val="00C53894"/>
    <w:rsid w:val="00C538FA"/>
    <w:rsid w:val="00C5392F"/>
    <w:rsid w:val="00C53979"/>
    <w:rsid w:val="00C5399A"/>
    <w:rsid w:val="00C539BA"/>
    <w:rsid w:val="00C539D0"/>
    <w:rsid w:val="00C539D8"/>
    <w:rsid w:val="00C53B99"/>
    <w:rsid w:val="00C53C3C"/>
    <w:rsid w:val="00C53C43"/>
    <w:rsid w:val="00C53C96"/>
    <w:rsid w:val="00C53CED"/>
    <w:rsid w:val="00C53D4B"/>
    <w:rsid w:val="00C53D6F"/>
    <w:rsid w:val="00C53DDC"/>
    <w:rsid w:val="00C53E3C"/>
    <w:rsid w:val="00C53F36"/>
    <w:rsid w:val="00C5406F"/>
    <w:rsid w:val="00C540BB"/>
    <w:rsid w:val="00C54178"/>
    <w:rsid w:val="00C54183"/>
    <w:rsid w:val="00C541AC"/>
    <w:rsid w:val="00C541B3"/>
    <w:rsid w:val="00C541FC"/>
    <w:rsid w:val="00C54247"/>
    <w:rsid w:val="00C5424B"/>
    <w:rsid w:val="00C542A9"/>
    <w:rsid w:val="00C54315"/>
    <w:rsid w:val="00C54318"/>
    <w:rsid w:val="00C5432F"/>
    <w:rsid w:val="00C54336"/>
    <w:rsid w:val="00C54344"/>
    <w:rsid w:val="00C5435B"/>
    <w:rsid w:val="00C54375"/>
    <w:rsid w:val="00C543FA"/>
    <w:rsid w:val="00C5449B"/>
    <w:rsid w:val="00C544A4"/>
    <w:rsid w:val="00C544E8"/>
    <w:rsid w:val="00C54547"/>
    <w:rsid w:val="00C5455D"/>
    <w:rsid w:val="00C5459F"/>
    <w:rsid w:val="00C54630"/>
    <w:rsid w:val="00C5466F"/>
    <w:rsid w:val="00C546E6"/>
    <w:rsid w:val="00C5476D"/>
    <w:rsid w:val="00C54847"/>
    <w:rsid w:val="00C54869"/>
    <w:rsid w:val="00C5486E"/>
    <w:rsid w:val="00C548A3"/>
    <w:rsid w:val="00C54932"/>
    <w:rsid w:val="00C5496A"/>
    <w:rsid w:val="00C549F1"/>
    <w:rsid w:val="00C54A1C"/>
    <w:rsid w:val="00C54B59"/>
    <w:rsid w:val="00C54B95"/>
    <w:rsid w:val="00C54D50"/>
    <w:rsid w:val="00C54D61"/>
    <w:rsid w:val="00C54D9E"/>
    <w:rsid w:val="00C54DB8"/>
    <w:rsid w:val="00C54EEF"/>
    <w:rsid w:val="00C54EFB"/>
    <w:rsid w:val="00C54EFF"/>
    <w:rsid w:val="00C54F45"/>
    <w:rsid w:val="00C54F5C"/>
    <w:rsid w:val="00C5506A"/>
    <w:rsid w:val="00C55097"/>
    <w:rsid w:val="00C5511A"/>
    <w:rsid w:val="00C55253"/>
    <w:rsid w:val="00C552FF"/>
    <w:rsid w:val="00C55302"/>
    <w:rsid w:val="00C5535F"/>
    <w:rsid w:val="00C55379"/>
    <w:rsid w:val="00C5539B"/>
    <w:rsid w:val="00C55478"/>
    <w:rsid w:val="00C554E7"/>
    <w:rsid w:val="00C555AC"/>
    <w:rsid w:val="00C5564F"/>
    <w:rsid w:val="00C55663"/>
    <w:rsid w:val="00C55680"/>
    <w:rsid w:val="00C556CF"/>
    <w:rsid w:val="00C55724"/>
    <w:rsid w:val="00C55794"/>
    <w:rsid w:val="00C557D8"/>
    <w:rsid w:val="00C5587E"/>
    <w:rsid w:val="00C558A6"/>
    <w:rsid w:val="00C55993"/>
    <w:rsid w:val="00C559A8"/>
    <w:rsid w:val="00C55A41"/>
    <w:rsid w:val="00C55B71"/>
    <w:rsid w:val="00C55B96"/>
    <w:rsid w:val="00C55C30"/>
    <w:rsid w:val="00C55C68"/>
    <w:rsid w:val="00C55CD1"/>
    <w:rsid w:val="00C55D30"/>
    <w:rsid w:val="00C55D68"/>
    <w:rsid w:val="00C55DA7"/>
    <w:rsid w:val="00C55DD7"/>
    <w:rsid w:val="00C55DFA"/>
    <w:rsid w:val="00C55E79"/>
    <w:rsid w:val="00C55E92"/>
    <w:rsid w:val="00C55F3A"/>
    <w:rsid w:val="00C55F51"/>
    <w:rsid w:val="00C55F68"/>
    <w:rsid w:val="00C55F72"/>
    <w:rsid w:val="00C56017"/>
    <w:rsid w:val="00C5602B"/>
    <w:rsid w:val="00C56073"/>
    <w:rsid w:val="00C560A2"/>
    <w:rsid w:val="00C560F2"/>
    <w:rsid w:val="00C56155"/>
    <w:rsid w:val="00C561B5"/>
    <w:rsid w:val="00C56364"/>
    <w:rsid w:val="00C563A9"/>
    <w:rsid w:val="00C563AD"/>
    <w:rsid w:val="00C56442"/>
    <w:rsid w:val="00C5644A"/>
    <w:rsid w:val="00C56496"/>
    <w:rsid w:val="00C564D0"/>
    <w:rsid w:val="00C564E9"/>
    <w:rsid w:val="00C5650C"/>
    <w:rsid w:val="00C56549"/>
    <w:rsid w:val="00C565AC"/>
    <w:rsid w:val="00C56617"/>
    <w:rsid w:val="00C5668B"/>
    <w:rsid w:val="00C5676E"/>
    <w:rsid w:val="00C567EF"/>
    <w:rsid w:val="00C56866"/>
    <w:rsid w:val="00C569FB"/>
    <w:rsid w:val="00C56A58"/>
    <w:rsid w:val="00C56B93"/>
    <w:rsid w:val="00C56BCC"/>
    <w:rsid w:val="00C56C77"/>
    <w:rsid w:val="00C56CC4"/>
    <w:rsid w:val="00C56DE5"/>
    <w:rsid w:val="00C56E37"/>
    <w:rsid w:val="00C56E3C"/>
    <w:rsid w:val="00C56E78"/>
    <w:rsid w:val="00C56E87"/>
    <w:rsid w:val="00C56EBB"/>
    <w:rsid w:val="00C56ECC"/>
    <w:rsid w:val="00C56EF0"/>
    <w:rsid w:val="00C56EF2"/>
    <w:rsid w:val="00C57039"/>
    <w:rsid w:val="00C57053"/>
    <w:rsid w:val="00C570D7"/>
    <w:rsid w:val="00C570E7"/>
    <w:rsid w:val="00C570F4"/>
    <w:rsid w:val="00C570FF"/>
    <w:rsid w:val="00C5718C"/>
    <w:rsid w:val="00C572BB"/>
    <w:rsid w:val="00C57375"/>
    <w:rsid w:val="00C5738C"/>
    <w:rsid w:val="00C57409"/>
    <w:rsid w:val="00C57421"/>
    <w:rsid w:val="00C57467"/>
    <w:rsid w:val="00C57478"/>
    <w:rsid w:val="00C574D8"/>
    <w:rsid w:val="00C57561"/>
    <w:rsid w:val="00C57587"/>
    <w:rsid w:val="00C575B0"/>
    <w:rsid w:val="00C575B4"/>
    <w:rsid w:val="00C5767E"/>
    <w:rsid w:val="00C576B8"/>
    <w:rsid w:val="00C576D7"/>
    <w:rsid w:val="00C576F3"/>
    <w:rsid w:val="00C577DB"/>
    <w:rsid w:val="00C577DE"/>
    <w:rsid w:val="00C578DD"/>
    <w:rsid w:val="00C578F2"/>
    <w:rsid w:val="00C57929"/>
    <w:rsid w:val="00C57A74"/>
    <w:rsid w:val="00C57AAC"/>
    <w:rsid w:val="00C57AB9"/>
    <w:rsid w:val="00C57B87"/>
    <w:rsid w:val="00C57C20"/>
    <w:rsid w:val="00C57C3A"/>
    <w:rsid w:val="00C57CB7"/>
    <w:rsid w:val="00C57CFD"/>
    <w:rsid w:val="00C57D25"/>
    <w:rsid w:val="00C57D49"/>
    <w:rsid w:val="00C57DC3"/>
    <w:rsid w:val="00C57E26"/>
    <w:rsid w:val="00C57E42"/>
    <w:rsid w:val="00C57E6D"/>
    <w:rsid w:val="00C57EFA"/>
    <w:rsid w:val="00C57F21"/>
    <w:rsid w:val="00C57FAE"/>
    <w:rsid w:val="00C57FE9"/>
    <w:rsid w:val="00C60077"/>
    <w:rsid w:val="00C60085"/>
    <w:rsid w:val="00C600B0"/>
    <w:rsid w:val="00C600DD"/>
    <w:rsid w:val="00C6011A"/>
    <w:rsid w:val="00C6011D"/>
    <w:rsid w:val="00C60120"/>
    <w:rsid w:val="00C60141"/>
    <w:rsid w:val="00C60314"/>
    <w:rsid w:val="00C6036A"/>
    <w:rsid w:val="00C6036B"/>
    <w:rsid w:val="00C60476"/>
    <w:rsid w:val="00C604FD"/>
    <w:rsid w:val="00C60508"/>
    <w:rsid w:val="00C6055B"/>
    <w:rsid w:val="00C60614"/>
    <w:rsid w:val="00C60629"/>
    <w:rsid w:val="00C6063E"/>
    <w:rsid w:val="00C607B5"/>
    <w:rsid w:val="00C607CA"/>
    <w:rsid w:val="00C6080F"/>
    <w:rsid w:val="00C60898"/>
    <w:rsid w:val="00C608D4"/>
    <w:rsid w:val="00C60A19"/>
    <w:rsid w:val="00C60A30"/>
    <w:rsid w:val="00C60ABF"/>
    <w:rsid w:val="00C60AD0"/>
    <w:rsid w:val="00C60B2B"/>
    <w:rsid w:val="00C60BA8"/>
    <w:rsid w:val="00C60BB2"/>
    <w:rsid w:val="00C60BED"/>
    <w:rsid w:val="00C60C1A"/>
    <w:rsid w:val="00C60D40"/>
    <w:rsid w:val="00C60D6D"/>
    <w:rsid w:val="00C60DBC"/>
    <w:rsid w:val="00C60E46"/>
    <w:rsid w:val="00C60E73"/>
    <w:rsid w:val="00C60F28"/>
    <w:rsid w:val="00C60F93"/>
    <w:rsid w:val="00C60FB0"/>
    <w:rsid w:val="00C61029"/>
    <w:rsid w:val="00C6108C"/>
    <w:rsid w:val="00C610B2"/>
    <w:rsid w:val="00C610B9"/>
    <w:rsid w:val="00C61166"/>
    <w:rsid w:val="00C611DF"/>
    <w:rsid w:val="00C61270"/>
    <w:rsid w:val="00C612BC"/>
    <w:rsid w:val="00C6130D"/>
    <w:rsid w:val="00C613D7"/>
    <w:rsid w:val="00C61447"/>
    <w:rsid w:val="00C61457"/>
    <w:rsid w:val="00C61494"/>
    <w:rsid w:val="00C614BA"/>
    <w:rsid w:val="00C61569"/>
    <w:rsid w:val="00C61576"/>
    <w:rsid w:val="00C61577"/>
    <w:rsid w:val="00C615F0"/>
    <w:rsid w:val="00C61660"/>
    <w:rsid w:val="00C616A2"/>
    <w:rsid w:val="00C61747"/>
    <w:rsid w:val="00C61792"/>
    <w:rsid w:val="00C61820"/>
    <w:rsid w:val="00C61882"/>
    <w:rsid w:val="00C61897"/>
    <w:rsid w:val="00C61989"/>
    <w:rsid w:val="00C61999"/>
    <w:rsid w:val="00C61A37"/>
    <w:rsid w:val="00C61A68"/>
    <w:rsid w:val="00C61A7F"/>
    <w:rsid w:val="00C61A8A"/>
    <w:rsid w:val="00C61B51"/>
    <w:rsid w:val="00C61B7E"/>
    <w:rsid w:val="00C61BD7"/>
    <w:rsid w:val="00C61C54"/>
    <w:rsid w:val="00C61C6C"/>
    <w:rsid w:val="00C61D0E"/>
    <w:rsid w:val="00C61D65"/>
    <w:rsid w:val="00C61D8F"/>
    <w:rsid w:val="00C61DA9"/>
    <w:rsid w:val="00C61DD1"/>
    <w:rsid w:val="00C61E18"/>
    <w:rsid w:val="00C61E36"/>
    <w:rsid w:val="00C61E43"/>
    <w:rsid w:val="00C61E99"/>
    <w:rsid w:val="00C61E9B"/>
    <w:rsid w:val="00C61EAB"/>
    <w:rsid w:val="00C61FA2"/>
    <w:rsid w:val="00C61FD4"/>
    <w:rsid w:val="00C6204B"/>
    <w:rsid w:val="00C62056"/>
    <w:rsid w:val="00C6209F"/>
    <w:rsid w:val="00C62109"/>
    <w:rsid w:val="00C62175"/>
    <w:rsid w:val="00C62285"/>
    <w:rsid w:val="00C6228D"/>
    <w:rsid w:val="00C62298"/>
    <w:rsid w:val="00C622C2"/>
    <w:rsid w:val="00C622F7"/>
    <w:rsid w:val="00C62318"/>
    <w:rsid w:val="00C6236F"/>
    <w:rsid w:val="00C62498"/>
    <w:rsid w:val="00C624BA"/>
    <w:rsid w:val="00C624CB"/>
    <w:rsid w:val="00C624DB"/>
    <w:rsid w:val="00C6250B"/>
    <w:rsid w:val="00C6254C"/>
    <w:rsid w:val="00C625CB"/>
    <w:rsid w:val="00C6260C"/>
    <w:rsid w:val="00C62636"/>
    <w:rsid w:val="00C62692"/>
    <w:rsid w:val="00C626F2"/>
    <w:rsid w:val="00C62830"/>
    <w:rsid w:val="00C6287D"/>
    <w:rsid w:val="00C629B4"/>
    <w:rsid w:val="00C629D6"/>
    <w:rsid w:val="00C62A2C"/>
    <w:rsid w:val="00C62A44"/>
    <w:rsid w:val="00C62A7D"/>
    <w:rsid w:val="00C62A80"/>
    <w:rsid w:val="00C62AAD"/>
    <w:rsid w:val="00C62B3C"/>
    <w:rsid w:val="00C62C0C"/>
    <w:rsid w:val="00C62C2E"/>
    <w:rsid w:val="00C62CBD"/>
    <w:rsid w:val="00C62CC3"/>
    <w:rsid w:val="00C62CEF"/>
    <w:rsid w:val="00C62DE5"/>
    <w:rsid w:val="00C62E0A"/>
    <w:rsid w:val="00C62E2F"/>
    <w:rsid w:val="00C62FB6"/>
    <w:rsid w:val="00C62FEC"/>
    <w:rsid w:val="00C630E5"/>
    <w:rsid w:val="00C63147"/>
    <w:rsid w:val="00C63168"/>
    <w:rsid w:val="00C6316B"/>
    <w:rsid w:val="00C63219"/>
    <w:rsid w:val="00C632A9"/>
    <w:rsid w:val="00C632AB"/>
    <w:rsid w:val="00C6334E"/>
    <w:rsid w:val="00C63363"/>
    <w:rsid w:val="00C63376"/>
    <w:rsid w:val="00C633A3"/>
    <w:rsid w:val="00C633F4"/>
    <w:rsid w:val="00C63429"/>
    <w:rsid w:val="00C63449"/>
    <w:rsid w:val="00C6344B"/>
    <w:rsid w:val="00C63476"/>
    <w:rsid w:val="00C63490"/>
    <w:rsid w:val="00C63496"/>
    <w:rsid w:val="00C634D0"/>
    <w:rsid w:val="00C63596"/>
    <w:rsid w:val="00C63675"/>
    <w:rsid w:val="00C636BC"/>
    <w:rsid w:val="00C63739"/>
    <w:rsid w:val="00C6378A"/>
    <w:rsid w:val="00C63795"/>
    <w:rsid w:val="00C63A12"/>
    <w:rsid w:val="00C63A5F"/>
    <w:rsid w:val="00C63DA8"/>
    <w:rsid w:val="00C63E26"/>
    <w:rsid w:val="00C63E58"/>
    <w:rsid w:val="00C63E7E"/>
    <w:rsid w:val="00C63F1D"/>
    <w:rsid w:val="00C63F1F"/>
    <w:rsid w:val="00C63F33"/>
    <w:rsid w:val="00C64061"/>
    <w:rsid w:val="00C64085"/>
    <w:rsid w:val="00C641AF"/>
    <w:rsid w:val="00C641D0"/>
    <w:rsid w:val="00C641E5"/>
    <w:rsid w:val="00C64201"/>
    <w:rsid w:val="00C6432C"/>
    <w:rsid w:val="00C64395"/>
    <w:rsid w:val="00C6442E"/>
    <w:rsid w:val="00C644F1"/>
    <w:rsid w:val="00C64536"/>
    <w:rsid w:val="00C64587"/>
    <w:rsid w:val="00C64590"/>
    <w:rsid w:val="00C645A0"/>
    <w:rsid w:val="00C64681"/>
    <w:rsid w:val="00C646AB"/>
    <w:rsid w:val="00C646B1"/>
    <w:rsid w:val="00C64778"/>
    <w:rsid w:val="00C6479C"/>
    <w:rsid w:val="00C64827"/>
    <w:rsid w:val="00C6484B"/>
    <w:rsid w:val="00C6484E"/>
    <w:rsid w:val="00C648EA"/>
    <w:rsid w:val="00C64909"/>
    <w:rsid w:val="00C64912"/>
    <w:rsid w:val="00C6492F"/>
    <w:rsid w:val="00C64985"/>
    <w:rsid w:val="00C649A8"/>
    <w:rsid w:val="00C649AE"/>
    <w:rsid w:val="00C649CA"/>
    <w:rsid w:val="00C64A23"/>
    <w:rsid w:val="00C64ACB"/>
    <w:rsid w:val="00C64B21"/>
    <w:rsid w:val="00C64B35"/>
    <w:rsid w:val="00C64BE4"/>
    <w:rsid w:val="00C64C3F"/>
    <w:rsid w:val="00C64CF2"/>
    <w:rsid w:val="00C64CFD"/>
    <w:rsid w:val="00C64D25"/>
    <w:rsid w:val="00C64D5C"/>
    <w:rsid w:val="00C64DA1"/>
    <w:rsid w:val="00C64DC6"/>
    <w:rsid w:val="00C64E24"/>
    <w:rsid w:val="00C64E3C"/>
    <w:rsid w:val="00C64EB7"/>
    <w:rsid w:val="00C64EBF"/>
    <w:rsid w:val="00C64EC0"/>
    <w:rsid w:val="00C64EC8"/>
    <w:rsid w:val="00C64F1F"/>
    <w:rsid w:val="00C64F3E"/>
    <w:rsid w:val="00C64F55"/>
    <w:rsid w:val="00C64FA6"/>
    <w:rsid w:val="00C64FD3"/>
    <w:rsid w:val="00C65081"/>
    <w:rsid w:val="00C65129"/>
    <w:rsid w:val="00C65146"/>
    <w:rsid w:val="00C65157"/>
    <w:rsid w:val="00C651C1"/>
    <w:rsid w:val="00C651C9"/>
    <w:rsid w:val="00C651F5"/>
    <w:rsid w:val="00C65231"/>
    <w:rsid w:val="00C6527B"/>
    <w:rsid w:val="00C65287"/>
    <w:rsid w:val="00C6529B"/>
    <w:rsid w:val="00C652CC"/>
    <w:rsid w:val="00C652FF"/>
    <w:rsid w:val="00C65361"/>
    <w:rsid w:val="00C6537F"/>
    <w:rsid w:val="00C653E2"/>
    <w:rsid w:val="00C653E6"/>
    <w:rsid w:val="00C65430"/>
    <w:rsid w:val="00C654E1"/>
    <w:rsid w:val="00C65517"/>
    <w:rsid w:val="00C6552C"/>
    <w:rsid w:val="00C65549"/>
    <w:rsid w:val="00C6555C"/>
    <w:rsid w:val="00C65587"/>
    <w:rsid w:val="00C65595"/>
    <w:rsid w:val="00C65658"/>
    <w:rsid w:val="00C65681"/>
    <w:rsid w:val="00C656E5"/>
    <w:rsid w:val="00C656F8"/>
    <w:rsid w:val="00C65756"/>
    <w:rsid w:val="00C6575E"/>
    <w:rsid w:val="00C6576D"/>
    <w:rsid w:val="00C657F2"/>
    <w:rsid w:val="00C6581E"/>
    <w:rsid w:val="00C658D1"/>
    <w:rsid w:val="00C6593F"/>
    <w:rsid w:val="00C65A15"/>
    <w:rsid w:val="00C65B0D"/>
    <w:rsid w:val="00C65B44"/>
    <w:rsid w:val="00C65BBA"/>
    <w:rsid w:val="00C65BCF"/>
    <w:rsid w:val="00C65BEF"/>
    <w:rsid w:val="00C65C17"/>
    <w:rsid w:val="00C65C4F"/>
    <w:rsid w:val="00C65C93"/>
    <w:rsid w:val="00C65D11"/>
    <w:rsid w:val="00C65DF2"/>
    <w:rsid w:val="00C65DFC"/>
    <w:rsid w:val="00C65E08"/>
    <w:rsid w:val="00C65E82"/>
    <w:rsid w:val="00C65EC4"/>
    <w:rsid w:val="00C65EED"/>
    <w:rsid w:val="00C65F04"/>
    <w:rsid w:val="00C65F38"/>
    <w:rsid w:val="00C65F7D"/>
    <w:rsid w:val="00C6601F"/>
    <w:rsid w:val="00C6605A"/>
    <w:rsid w:val="00C66148"/>
    <w:rsid w:val="00C661B1"/>
    <w:rsid w:val="00C66212"/>
    <w:rsid w:val="00C66225"/>
    <w:rsid w:val="00C66251"/>
    <w:rsid w:val="00C6628F"/>
    <w:rsid w:val="00C662F1"/>
    <w:rsid w:val="00C66324"/>
    <w:rsid w:val="00C6646A"/>
    <w:rsid w:val="00C664AF"/>
    <w:rsid w:val="00C66511"/>
    <w:rsid w:val="00C66556"/>
    <w:rsid w:val="00C665B2"/>
    <w:rsid w:val="00C6662F"/>
    <w:rsid w:val="00C667A4"/>
    <w:rsid w:val="00C66812"/>
    <w:rsid w:val="00C66886"/>
    <w:rsid w:val="00C6698D"/>
    <w:rsid w:val="00C66A1F"/>
    <w:rsid w:val="00C66A6E"/>
    <w:rsid w:val="00C66AD3"/>
    <w:rsid w:val="00C66B28"/>
    <w:rsid w:val="00C66B4B"/>
    <w:rsid w:val="00C66C71"/>
    <w:rsid w:val="00C66C8C"/>
    <w:rsid w:val="00C66CEC"/>
    <w:rsid w:val="00C66D59"/>
    <w:rsid w:val="00C66D84"/>
    <w:rsid w:val="00C66D96"/>
    <w:rsid w:val="00C66DB2"/>
    <w:rsid w:val="00C66DCC"/>
    <w:rsid w:val="00C66F10"/>
    <w:rsid w:val="00C66F59"/>
    <w:rsid w:val="00C66F82"/>
    <w:rsid w:val="00C66F9E"/>
    <w:rsid w:val="00C6712C"/>
    <w:rsid w:val="00C67132"/>
    <w:rsid w:val="00C67168"/>
    <w:rsid w:val="00C6718E"/>
    <w:rsid w:val="00C671C1"/>
    <w:rsid w:val="00C671FE"/>
    <w:rsid w:val="00C6731D"/>
    <w:rsid w:val="00C67334"/>
    <w:rsid w:val="00C67361"/>
    <w:rsid w:val="00C6737A"/>
    <w:rsid w:val="00C673A6"/>
    <w:rsid w:val="00C67501"/>
    <w:rsid w:val="00C6759F"/>
    <w:rsid w:val="00C675A5"/>
    <w:rsid w:val="00C6762D"/>
    <w:rsid w:val="00C67644"/>
    <w:rsid w:val="00C676AA"/>
    <w:rsid w:val="00C676AD"/>
    <w:rsid w:val="00C6779F"/>
    <w:rsid w:val="00C677ED"/>
    <w:rsid w:val="00C67806"/>
    <w:rsid w:val="00C6784C"/>
    <w:rsid w:val="00C67858"/>
    <w:rsid w:val="00C678BC"/>
    <w:rsid w:val="00C67900"/>
    <w:rsid w:val="00C67929"/>
    <w:rsid w:val="00C67948"/>
    <w:rsid w:val="00C67953"/>
    <w:rsid w:val="00C6795F"/>
    <w:rsid w:val="00C67961"/>
    <w:rsid w:val="00C67A43"/>
    <w:rsid w:val="00C67A5B"/>
    <w:rsid w:val="00C67AC9"/>
    <w:rsid w:val="00C67AE3"/>
    <w:rsid w:val="00C67BBB"/>
    <w:rsid w:val="00C67BC7"/>
    <w:rsid w:val="00C67C32"/>
    <w:rsid w:val="00C67C9C"/>
    <w:rsid w:val="00C67D45"/>
    <w:rsid w:val="00C67D8C"/>
    <w:rsid w:val="00C67F0F"/>
    <w:rsid w:val="00C67F22"/>
    <w:rsid w:val="00C67F6B"/>
    <w:rsid w:val="00C70006"/>
    <w:rsid w:val="00C700D7"/>
    <w:rsid w:val="00C700E6"/>
    <w:rsid w:val="00C70159"/>
    <w:rsid w:val="00C701EB"/>
    <w:rsid w:val="00C70248"/>
    <w:rsid w:val="00C702A9"/>
    <w:rsid w:val="00C702DE"/>
    <w:rsid w:val="00C7035B"/>
    <w:rsid w:val="00C7039D"/>
    <w:rsid w:val="00C70411"/>
    <w:rsid w:val="00C7043C"/>
    <w:rsid w:val="00C70449"/>
    <w:rsid w:val="00C7044C"/>
    <w:rsid w:val="00C7052A"/>
    <w:rsid w:val="00C70581"/>
    <w:rsid w:val="00C7064C"/>
    <w:rsid w:val="00C7066C"/>
    <w:rsid w:val="00C70675"/>
    <w:rsid w:val="00C706BB"/>
    <w:rsid w:val="00C70759"/>
    <w:rsid w:val="00C70763"/>
    <w:rsid w:val="00C7076D"/>
    <w:rsid w:val="00C707D2"/>
    <w:rsid w:val="00C7086B"/>
    <w:rsid w:val="00C708AB"/>
    <w:rsid w:val="00C708F6"/>
    <w:rsid w:val="00C70952"/>
    <w:rsid w:val="00C70990"/>
    <w:rsid w:val="00C709EF"/>
    <w:rsid w:val="00C70A4C"/>
    <w:rsid w:val="00C70B16"/>
    <w:rsid w:val="00C70B59"/>
    <w:rsid w:val="00C70B95"/>
    <w:rsid w:val="00C70BE5"/>
    <w:rsid w:val="00C70C0A"/>
    <w:rsid w:val="00C70D4C"/>
    <w:rsid w:val="00C70D56"/>
    <w:rsid w:val="00C70D7A"/>
    <w:rsid w:val="00C70D96"/>
    <w:rsid w:val="00C70E02"/>
    <w:rsid w:val="00C70E28"/>
    <w:rsid w:val="00C70E29"/>
    <w:rsid w:val="00C70E32"/>
    <w:rsid w:val="00C70E36"/>
    <w:rsid w:val="00C70E98"/>
    <w:rsid w:val="00C70ED2"/>
    <w:rsid w:val="00C70F48"/>
    <w:rsid w:val="00C7113C"/>
    <w:rsid w:val="00C7118D"/>
    <w:rsid w:val="00C7124A"/>
    <w:rsid w:val="00C71394"/>
    <w:rsid w:val="00C713A4"/>
    <w:rsid w:val="00C714A0"/>
    <w:rsid w:val="00C714D7"/>
    <w:rsid w:val="00C7156C"/>
    <w:rsid w:val="00C715CA"/>
    <w:rsid w:val="00C715DC"/>
    <w:rsid w:val="00C715FC"/>
    <w:rsid w:val="00C716AC"/>
    <w:rsid w:val="00C71709"/>
    <w:rsid w:val="00C71762"/>
    <w:rsid w:val="00C717B1"/>
    <w:rsid w:val="00C717DA"/>
    <w:rsid w:val="00C7188C"/>
    <w:rsid w:val="00C718A4"/>
    <w:rsid w:val="00C718E2"/>
    <w:rsid w:val="00C71949"/>
    <w:rsid w:val="00C71962"/>
    <w:rsid w:val="00C719FC"/>
    <w:rsid w:val="00C71ACC"/>
    <w:rsid w:val="00C71B12"/>
    <w:rsid w:val="00C71B25"/>
    <w:rsid w:val="00C71BC8"/>
    <w:rsid w:val="00C71C0C"/>
    <w:rsid w:val="00C71C22"/>
    <w:rsid w:val="00C71D1C"/>
    <w:rsid w:val="00C71D1D"/>
    <w:rsid w:val="00C71DF5"/>
    <w:rsid w:val="00C71E13"/>
    <w:rsid w:val="00C71E2E"/>
    <w:rsid w:val="00C71E8D"/>
    <w:rsid w:val="00C71EA4"/>
    <w:rsid w:val="00C71EA7"/>
    <w:rsid w:val="00C71EE9"/>
    <w:rsid w:val="00C71EFA"/>
    <w:rsid w:val="00C71FA6"/>
    <w:rsid w:val="00C71FBD"/>
    <w:rsid w:val="00C71FD3"/>
    <w:rsid w:val="00C71FF2"/>
    <w:rsid w:val="00C7204E"/>
    <w:rsid w:val="00C72104"/>
    <w:rsid w:val="00C7211D"/>
    <w:rsid w:val="00C721CB"/>
    <w:rsid w:val="00C72216"/>
    <w:rsid w:val="00C7222F"/>
    <w:rsid w:val="00C72277"/>
    <w:rsid w:val="00C7229D"/>
    <w:rsid w:val="00C722D9"/>
    <w:rsid w:val="00C72363"/>
    <w:rsid w:val="00C7237C"/>
    <w:rsid w:val="00C723AB"/>
    <w:rsid w:val="00C72418"/>
    <w:rsid w:val="00C7257C"/>
    <w:rsid w:val="00C725CB"/>
    <w:rsid w:val="00C7262B"/>
    <w:rsid w:val="00C72631"/>
    <w:rsid w:val="00C72634"/>
    <w:rsid w:val="00C72652"/>
    <w:rsid w:val="00C726DC"/>
    <w:rsid w:val="00C7273B"/>
    <w:rsid w:val="00C7278E"/>
    <w:rsid w:val="00C7283E"/>
    <w:rsid w:val="00C72880"/>
    <w:rsid w:val="00C728E2"/>
    <w:rsid w:val="00C728EC"/>
    <w:rsid w:val="00C72940"/>
    <w:rsid w:val="00C729CC"/>
    <w:rsid w:val="00C72A58"/>
    <w:rsid w:val="00C72AAD"/>
    <w:rsid w:val="00C72ADE"/>
    <w:rsid w:val="00C72B08"/>
    <w:rsid w:val="00C72BCB"/>
    <w:rsid w:val="00C72BD9"/>
    <w:rsid w:val="00C72C7A"/>
    <w:rsid w:val="00C72CEB"/>
    <w:rsid w:val="00C72DAA"/>
    <w:rsid w:val="00C72E0F"/>
    <w:rsid w:val="00C72E59"/>
    <w:rsid w:val="00C72F41"/>
    <w:rsid w:val="00C72F52"/>
    <w:rsid w:val="00C72F76"/>
    <w:rsid w:val="00C72F85"/>
    <w:rsid w:val="00C72FA9"/>
    <w:rsid w:val="00C72FBC"/>
    <w:rsid w:val="00C72FF7"/>
    <w:rsid w:val="00C730DF"/>
    <w:rsid w:val="00C731FD"/>
    <w:rsid w:val="00C7320C"/>
    <w:rsid w:val="00C7322C"/>
    <w:rsid w:val="00C7322E"/>
    <w:rsid w:val="00C73287"/>
    <w:rsid w:val="00C7329B"/>
    <w:rsid w:val="00C732AB"/>
    <w:rsid w:val="00C732C2"/>
    <w:rsid w:val="00C73349"/>
    <w:rsid w:val="00C73370"/>
    <w:rsid w:val="00C733BA"/>
    <w:rsid w:val="00C73433"/>
    <w:rsid w:val="00C73521"/>
    <w:rsid w:val="00C735FC"/>
    <w:rsid w:val="00C735FE"/>
    <w:rsid w:val="00C73622"/>
    <w:rsid w:val="00C7366D"/>
    <w:rsid w:val="00C736C6"/>
    <w:rsid w:val="00C73784"/>
    <w:rsid w:val="00C737B6"/>
    <w:rsid w:val="00C737BD"/>
    <w:rsid w:val="00C73979"/>
    <w:rsid w:val="00C73A22"/>
    <w:rsid w:val="00C73A46"/>
    <w:rsid w:val="00C73AFC"/>
    <w:rsid w:val="00C73B57"/>
    <w:rsid w:val="00C73B62"/>
    <w:rsid w:val="00C73BB7"/>
    <w:rsid w:val="00C73C51"/>
    <w:rsid w:val="00C73CCB"/>
    <w:rsid w:val="00C73D36"/>
    <w:rsid w:val="00C73D6D"/>
    <w:rsid w:val="00C73DC5"/>
    <w:rsid w:val="00C73DFD"/>
    <w:rsid w:val="00C73E3B"/>
    <w:rsid w:val="00C73E47"/>
    <w:rsid w:val="00C73E7A"/>
    <w:rsid w:val="00C73E9F"/>
    <w:rsid w:val="00C73EEC"/>
    <w:rsid w:val="00C73F19"/>
    <w:rsid w:val="00C73F1E"/>
    <w:rsid w:val="00C73F82"/>
    <w:rsid w:val="00C7400B"/>
    <w:rsid w:val="00C74043"/>
    <w:rsid w:val="00C74077"/>
    <w:rsid w:val="00C740D2"/>
    <w:rsid w:val="00C741A4"/>
    <w:rsid w:val="00C74214"/>
    <w:rsid w:val="00C74251"/>
    <w:rsid w:val="00C742AA"/>
    <w:rsid w:val="00C742B1"/>
    <w:rsid w:val="00C7431E"/>
    <w:rsid w:val="00C74337"/>
    <w:rsid w:val="00C74398"/>
    <w:rsid w:val="00C74426"/>
    <w:rsid w:val="00C74440"/>
    <w:rsid w:val="00C744F9"/>
    <w:rsid w:val="00C7453C"/>
    <w:rsid w:val="00C7454D"/>
    <w:rsid w:val="00C745D7"/>
    <w:rsid w:val="00C745EC"/>
    <w:rsid w:val="00C7463E"/>
    <w:rsid w:val="00C7464C"/>
    <w:rsid w:val="00C74653"/>
    <w:rsid w:val="00C74669"/>
    <w:rsid w:val="00C7467D"/>
    <w:rsid w:val="00C746D6"/>
    <w:rsid w:val="00C7474B"/>
    <w:rsid w:val="00C74790"/>
    <w:rsid w:val="00C747AB"/>
    <w:rsid w:val="00C747FB"/>
    <w:rsid w:val="00C7483B"/>
    <w:rsid w:val="00C7490D"/>
    <w:rsid w:val="00C74951"/>
    <w:rsid w:val="00C74981"/>
    <w:rsid w:val="00C74B18"/>
    <w:rsid w:val="00C74B87"/>
    <w:rsid w:val="00C74BB8"/>
    <w:rsid w:val="00C74BFD"/>
    <w:rsid w:val="00C74C00"/>
    <w:rsid w:val="00C74C15"/>
    <w:rsid w:val="00C74D1B"/>
    <w:rsid w:val="00C74D29"/>
    <w:rsid w:val="00C74D3F"/>
    <w:rsid w:val="00C74DDB"/>
    <w:rsid w:val="00C74DF7"/>
    <w:rsid w:val="00C74E43"/>
    <w:rsid w:val="00C74E60"/>
    <w:rsid w:val="00C74E94"/>
    <w:rsid w:val="00C74EA7"/>
    <w:rsid w:val="00C74EAF"/>
    <w:rsid w:val="00C74F36"/>
    <w:rsid w:val="00C74F64"/>
    <w:rsid w:val="00C74FCA"/>
    <w:rsid w:val="00C75010"/>
    <w:rsid w:val="00C7502E"/>
    <w:rsid w:val="00C7504C"/>
    <w:rsid w:val="00C75071"/>
    <w:rsid w:val="00C750CC"/>
    <w:rsid w:val="00C750DC"/>
    <w:rsid w:val="00C75133"/>
    <w:rsid w:val="00C751BB"/>
    <w:rsid w:val="00C751C0"/>
    <w:rsid w:val="00C751F8"/>
    <w:rsid w:val="00C7527B"/>
    <w:rsid w:val="00C75296"/>
    <w:rsid w:val="00C752C7"/>
    <w:rsid w:val="00C75361"/>
    <w:rsid w:val="00C753CF"/>
    <w:rsid w:val="00C753F3"/>
    <w:rsid w:val="00C75463"/>
    <w:rsid w:val="00C75479"/>
    <w:rsid w:val="00C75486"/>
    <w:rsid w:val="00C75716"/>
    <w:rsid w:val="00C75722"/>
    <w:rsid w:val="00C75737"/>
    <w:rsid w:val="00C7574B"/>
    <w:rsid w:val="00C75765"/>
    <w:rsid w:val="00C75833"/>
    <w:rsid w:val="00C758D0"/>
    <w:rsid w:val="00C759CA"/>
    <w:rsid w:val="00C75A41"/>
    <w:rsid w:val="00C75A6B"/>
    <w:rsid w:val="00C75AEF"/>
    <w:rsid w:val="00C75B3A"/>
    <w:rsid w:val="00C75B44"/>
    <w:rsid w:val="00C75B91"/>
    <w:rsid w:val="00C75C13"/>
    <w:rsid w:val="00C75CCE"/>
    <w:rsid w:val="00C75D1B"/>
    <w:rsid w:val="00C75D42"/>
    <w:rsid w:val="00C75D96"/>
    <w:rsid w:val="00C75DCF"/>
    <w:rsid w:val="00C75DD5"/>
    <w:rsid w:val="00C75EA6"/>
    <w:rsid w:val="00C75ED0"/>
    <w:rsid w:val="00C75EF6"/>
    <w:rsid w:val="00C75F4C"/>
    <w:rsid w:val="00C75F6C"/>
    <w:rsid w:val="00C75FA3"/>
    <w:rsid w:val="00C75FB6"/>
    <w:rsid w:val="00C75FE1"/>
    <w:rsid w:val="00C76035"/>
    <w:rsid w:val="00C7603E"/>
    <w:rsid w:val="00C76069"/>
    <w:rsid w:val="00C760F8"/>
    <w:rsid w:val="00C7617B"/>
    <w:rsid w:val="00C76190"/>
    <w:rsid w:val="00C76191"/>
    <w:rsid w:val="00C761A8"/>
    <w:rsid w:val="00C761BC"/>
    <w:rsid w:val="00C7620D"/>
    <w:rsid w:val="00C76214"/>
    <w:rsid w:val="00C7638E"/>
    <w:rsid w:val="00C764C1"/>
    <w:rsid w:val="00C76555"/>
    <w:rsid w:val="00C765C8"/>
    <w:rsid w:val="00C76681"/>
    <w:rsid w:val="00C7668D"/>
    <w:rsid w:val="00C766B0"/>
    <w:rsid w:val="00C766EC"/>
    <w:rsid w:val="00C767F7"/>
    <w:rsid w:val="00C7689D"/>
    <w:rsid w:val="00C768AC"/>
    <w:rsid w:val="00C768CC"/>
    <w:rsid w:val="00C7691C"/>
    <w:rsid w:val="00C76952"/>
    <w:rsid w:val="00C769F1"/>
    <w:rsid w:val="00C76AA3"/>
    <w:rsid w:val="00C76AB3"/>
    <w:rsid w:val="00C76AD3"/>
    <w:rsid w:val="00C76B5D"/>
    <w:rsid w:val="00C76B6F"/>
    <w:rsid w:val="00C76B87"/>
    <w:rsid w:val="00C76B8C"/>
    <w:rsid w:val="00C76BB8"/>
    <w:rsid w:val="00C76BC2"/>
    <w:rsid w:val="00C76BFB"/>
    <w:rsid w:val="00C76C18"/>
    <w:rsid w:val="00C76C8B"/>
    <w:rsid w:val="00C76C9B"/>
    <w:rsid w:val="00C76CB3"/>
    <w:rsid w:val="00C76CBC"/>
    <w:rsid w:val="00C76CC7"/>
    <w:rsid w:val="00C76CDE"/>
    <w:rsid w:val="00C76CFD"/>
    <w:rsid w:val="00C76DA1"/>
    <w:rsid w:val="00C76E9A"/>
    <w:rsid w:val="00C76EA8"/>
    <w:rsid w:val="00C76EEE"/>
    <w:rsid w:val="00C76F19"/>
    <w:rsid w:val="00C76F38"/>
    <w:rsid w:val="00C76F5F"/>
    <w:rsid w:val="00C76F93"/>
    <w:rsid w:val="00C76F9F"/>
    <w:rsid w:val="00C76FA7"/>
    <w:rsid w:val="00C76FE8"/>
    <w:rsid w:val="00C77003"/>
    <w:rsid w:val="00C7705D"/>
    <w:rsid w:val="00C77082"/>
    <w:rsid w:val="00C770BA"/>
    <w:rsid w:val="00C770F0"/>
    <w:rsid w:val="00C770F2"/>
    <w:rsid w:val="00C77129"/>
    <w:rsid w:val="00C7719A"/>
    <w:rsid w:val="00C771C3"/>
    <w:rsid w:val="00C771C8"/>
    <w:rsid w:val="00C77260"/>
    <w:rsid w:val="00C772AA"/>
    <w:rsid w:val="00C77325"/>
    <w:rsid w:val="00C7738C"/>
    <w:rsid w:val="00C773A3"/>
    <w:rsid w:val="00C773AB"/>
    <w:rsid w:val="00C77539"/>
    <w:rsid w:val="00C776EC"/>
    <w:rsid w:val="00C777CB"/>
    <w:rsid w:val="00C77808"/>
    <w:rsid w:val="00C7782A"/>
    <w:rsid w:val="00C77990"/>
    <w:rsid w:val="00C779FB"/>
    <w:rsid w:val="00C77A47"/>
    <w:rsid w:val="00C77A4D"/>
    <w:rsid w:val="00C77ABB"/>
    <w:rsid w:val="00C77B09"/>
    <w:rsid w:val="00C77B78"/>
    <w:rsid w:val="00C77B82"/>
    <w:rsid w:val="00C77C04"/>
    <w:rsid w:val="00C77C22"/>
    <w:rsid w:val="00C77CFF"/>
    <w:rsid w:val="00C77D00"/>
    <w:rsid w:val="00C77D48"/>
    <w:rsid w:val="00C77D94"/>
    <w:rsid w:val="00C77E0E"/>
    <w:rsid w:val="00C77E18"/>
    <w:rsid w:val="00C77E24"/>
    <w:rsid w:val="00C77E42"/>
    <w:rsid w:val="00C77E87"/>
    <w:rsid w:val="00C77EAD"/>
    <w:rsid w:val="00C77F12"/>
    <w:rsid w:val="00C77F4A"/>
    <w:rsid w:val="00C77F5E"/>
    <w:rsid w:val="00C77FA2"/>
    <w:rsid w:val="00C77FCC"/>
    <w:rsid w:val="00C80012"/>
    <w:rsid w:val="00C80057"/>
    <w:rsid w:val="00C8015D"/>
    <w:rsid w:val="00C8019A"/>
    <w:rsid w:val="00C801C3"/>
    <w:rsid w:val="00C80202"/>
    <w:rsid w:val="00C80207"/>
    <w:rsid w:val="00C80255"/>
    <w:rsid w:val="00C802C6"/>
    <w:rsid w:val="00C8030D"/>
    <w:rsid w:val="00C803CA"/>
    <w:rsid w:val="00C803E1"/>
    <w:rsid w:val="00C803F8"/>
    <w:rsid w:val="00C80481"/>
    <w:rsid w:val="00C804A4"/>
    <w:rsid w:val="00C804C5"/>
    <w:rsid w:val="00C804E7"/>
    <w:rsid w:val="00C8058A"/>
    <w:rsid w:val="00C8059D"/>
    <w:rsid w:val="00C805D8"/>
    <w:rsid w:val="00C80785"/>
    <w:rsid w:val="00C80806"/>
    <w:rsid w:val="00C8080C"/>
    <w:rsid w:val="00C80828"/>
    <w:rsid w:val="00C808C1"/>
    <w:rsid w:val="00C808CB"/>
    <w:rsid w:val="00C80909"/>
    <w:rsid w:val="00C8094F"/>
    <w:rsid w:val="00C80992"/>
    <w:rsid w:val="00C809A9"/>
    <w:rsid w:val="00C809F1"/>
    <w:rsid w:val="00C80A6F"/>
    <w:rsid w:val="00C80AE4"/>
    <w:rsid w:val="00C80B27"/>
    <w:rsid w:val="00C80B9E"/>
    <w:rsid w:val="00C80D48"/>
    <w:rsid w:val="00C80DBF"/>
    <w:rsid w:val="00C80E58"/>
    <w:rsid w:val="00C80E82"/>
    <w:rsid w:val="00C80F35"/>
    <w:rsid w:val="00C80FAF"/>
    <w:rsid w:val="00C810D0"/>
    <w:rsid w:val="00C810E1"/>
    <w:rsid w:val="00C810F1"/>
    <w:rsid w:val="00C8114A"/>
    <w:rsid w:val="00C8114B"/>
    <w:rsid w:val="00C812AE"/>
    <w:rsid w:val="00C81376"/>
    <w:rsid w:val="00C8138A"/>
    <w:rsid w:val="00C813B5"/>
    <w:rsid w:val="00C81405"/>
    <w:rsid w:val="00C8140F"/>
    <w:rsid w:val="00C81424"/>
    <w:rsid w:val="00C814CB"/>
    <w:rsid w:val="00C8151B"/>
    <w:rsid w:val="00C8161E"/>
    <w:rsid w:val="00C81680"/>
    <w:rsid w:val="00C816A3"/>
    <w:rsid w:val="00C8170E"/>
    <w:rsid w:val="00C8176A"/>
    <w:rsid w:val="00C817CF"/>
    <w:rsid w:val="00C817D4"/>
    <w:rsid w:val="00C8186C"/>
    <w:rsid w:val="00C8188D"/>
    <w:rsid w:val="00C81944"/>
    <w:rsid w:val="00C819A6"/>
    <w:rsid w:val="00C819B8"/>
    <w:rsid w:val="00C81A02"/>
    <w:rsid w:val="00C81A16"/>
    <w:rsid w:val="00C81A2F"/>
    <w:rsid w:val="00C81A3D"/>
    <w:rsid w:val="00C81AA2"/>
    <w:rsid w:val="00C81ACA"/>
    <w:rsid w:val="00C81B55"/>
    <w:rsid w:val="00C81B70"/>
    <w:rsid w:val="00C81B84"/>
    <w:rsid w:val="00C81BC6"/>
    <w:rsid w:val="00C81BDE"/>
    <w:rsid w:val="00C81BF8"/>
    <w:rsid w:val="00C81C79"/>
    <w:rsid w:val="00C81CEC"/>
    <w:rsid w:val="00C81D1D"/>
    <w:rsid w:val="00C81D20"/>
    <w:rsid w:val="00C81D30"/>
    <w:rsid w:val="00C81E14"/>
    <w:rsid w:val="00C81E24"/>
    <w:rsid w:val="00C81E64"/>
    <w:rsid w:val="00C81E75"/>
    <w:rsid w:val="00C81E98"/>
    <w:rsid w:val="00C81F46"/>
    <w:rsid w:val="00C81F84"/>
    <w:rsid w:val="00C8200F"/>
    <w:rsid w:val="00C820C8"/>
    <w:rsid w:val="00C820DD"/>
    <w:rsid w:val="00C820E5"/>
    <w:rsid w:val="00C8212B"/>
    <w:rsid w:val="00C8212E"/>
    <w:rsid w:val="00C821C8"/>
    <w:rsid w:val="00C821DD"/>
    <w:rsid w:val="00C821EC"/>
    <w:rsid w:val="00C8220F"/>
    <w:rsid w:val="00C82235"/>
    <w:rsid w:val="00C8225A"/>
    <w:rsid w:val="00C822B7"/>
    <w:rsid w:val="00C82311"/>
    <w:rsid w:val="00C823B9"/>
    <w:rsid w:val="00C823D9"/>
    <w:rsid w:val="00C824D0"/>
    <w:rsid w:val="00C824E8"/>
    <w:rsid w:val="00C8252F"/>
    <w:rsid w:val="00C825AB"/>
    <w:rsid w:val="00C825E1"/>
    <w:rsid w:val="00C82655"/>
    <w:rsid w:val="00C8267B"/>
    <w:rsid w:val="00C82773"/>
    <w:rsid w:val="00C82790"/>
    <w:rsid w:val="00C827EE"/>
    <w:rsid w:val="00C8289F"/>
    <w:rsid w:val="00C828AA"/>
    <w:rsid w:val="00C828E2"/>
    <w:rsid w:val="00C82945"/>
    <w:rsid w:val="00C82958"/>
    <w:rsid w:val="00C829CF"/>
    <w:rsid w:val="00C82A52"/>
    <w:rsid w:val="00C82ABB"/>
    <w:rsid w:val="00C82B2A"/>
    <w:rsid w:val="00C82C9E"/>
    <w:rsid w:val="00C82D75"/>
    <w:rsid w:val="00C82E04"/>
    <w:rsid w:val="00C82F33"/>
    <w:rsid w:val="00C82F45"/>
    <w:rsid w:val="00C82F4D"/>
    <w:rsid w:val="00C82FF7"/>
    <w:rsid w:val="00C83013"/>
    <w:rsid w:val="00C830E9"/>
    <w:rsid w:val="00C8311B"/>
    <w:rsid w:val="00C83178"/>
    <w:rsid w:val="00C83214"/>
    <w:rsid w:val="00C83276"/>
    <w:rsid w:val="00C8327F"/>
    <w:rsid w:val="00C832A9"/>
    <w:rsid w:val="00C832C4"/>
    <w:rsid w:val="00C832E6"/>
    <w:rsid w:val="00C83305"/>
    <w:rsid w:val="00C83317"/>
    <w:rsid w:val="00C8332C"/>
    <w:rsid w:val="00C833CA"/>
    <w:rsid w:val="00C833EF"/>
    <w:rsid w:val="00C83430"/>
    <w:rsid w:val="00C83443"/>
    <w:rsid w:val="00C834BB"/>
    <w:rsid w:val="00C83513"/>
    <w:rsid w:val="00C83569"/>
    <w:rsid w:val="00C83582"/>
    <w:rsid w:val="00C83587"/>
    <w:rsid w:val="00C835B9"/>
    <w:rsid w:val="00C8367A"/>
    <w:rsid w:val="00C8371D"/>
    <w:rsid w:val="00C83732"/>
    <w:rsid w:val="00C8375D"/>
    <w:rsid w:val="00C837AB"/>
    <w:rsid w:val="00C837C8"/>
    <w:rsid w:val="00C837F2"/>
    <w:rsid w:val="00C83808"/>
    <w:rsid w:val="00C8380D"/>
    <w:rsid w:val="00C8384E"/>
    <w:rsid w:val="00C83972"/>
    <w:rsid w:val="00C839EC"/>
    <w:rsid w:val="00C83A12"/>
    <w:rsid w:val="00C83A29"/>
    <w:rsid w:val="00C83A78"/>
    <w:rsid w:val="00C83ABB"/>
    <w:rsid w:val="00C83B0F"/>
    <w:rsid w:val="00C83BA2"/>
    <w:rsid w:val="00C83BA9"/>
    <w:rsid w:val="00C83BCA"/>
    <w:rsid w:val="00C83CCA"/>
    <w:rsid w:val="00C83DEE"/>
    <w:rsid w:val="00C83EFA"/>
    <w:rsid w:val="00C83F6C"/>
    <w:rsid w:val="00C83F9B"/>
    <w:rsid w:val="00C84009"/>
    <w:rsid w:val="00C8407E"/>
    <w:rsid w:val="00C840E7"/>
    <w:rsid w:val="00C84188"/>
    <w:rsid w:val="00C841B5"/>
    <w:rsid w:val="00C841E6"/>
    <w:rsid w:val="00C8422E"/>
    <w:rsid w:val="00C8423F"/>
    <w:rsid w:val="00C842A1"/>
    <w:rsid w:val="00C84338"/>
    <w:rsid w:val="00C843CC"/>
    <w:rsid w:val="00C84409"/>
    <w:rsid w:val="00C844A1"/>
    <w:rsid w:val="00C844AC"/>
    <w:rsid w:val="00C84501"/>
    <w:rsid w:val="00C8452D"/>
    <w:rsid w:val="00C8455B"/>
    <w:rsid w:val="00C84565"/>
    <w:rsid w:val="00C84588"/>
    <w:rsid w:val="00C845B8"/>
    <w:rsid w:val="00C845BE"/>
    <w:rsid w:val="00C845BF"/>
    <w:rsid w:val="00C845C0"/>
    <w:rsid w:val="00C845F3"/>
    <w:rsid w:val="00C845F8"/>
    <w:rsid w:val="00C84626"/>
    <w:rsid w:val="00C84667"/>
    <w:rsid w:val="00C8468C"/>
    <w:rsid w:val="00C84705"/>
    <w:rsid w:val="00C8475B"/>
    <w:rsid w:val="00C847BF"/>
    <w:rsid w:val="00C84894"/>
    <w:rsid w:val="00C848CF"/>
    <w:rsid w:val="00C84989"/>
    <w:rsid w:val="00C849AA"/>
    <w:rsid w:val="00C84A1A"/>
    <w:rsid w:val="00C84AA0"/>
    <w:rsid w:val="00C84AD5"/>
    <w:rsid w:val="00C84B86"/>
    <w:rsid w:val="00C84BA3"/>
    <w:rsid w:val="00C84BE1"/>
    <w:rsid w:val="00C84C3A"/>
    <w:rsid w:val="00C84CCC"/>
    <w:rsid w:val="00C84CDD"/>
    <w:rsid w:val="00C84D33"/>
    <w:rsid w:val="00C84D79"/>
    <w:rsid w:val="00C84D96"/>
    <w:rsid w:val="00C84DB1"/>
    <w:rsid w:val="00C84E41"/>
    <w:rsid w:val="00C84E49"/>
    <w:rsid w:val="00C84EE6"/>
    <w:rsid w:val="00C84F20"/>
    <w:rsid w:val="00C84FC8"/>
    <w:rsid w:val="00C84FFE"/>
    <w:rsid w:val="00C85011"/>
    <w:rsid w:val="00C8503C"/>
    <w:rsid w:val="00C85043"/>
    <w:rsid w:val="00C850B2"/>
    <w:rsid w:val="00C850C4"/>
    <w:rsid w:val="00C850F4"/>
    <w:rsid w:val="00C8512E"/>
    <w:rsid w:val="00C85176"/>
    <w:rsid w:val="00C851B2"/>
    <w:rsid w:val="00C852F1"/>
    <w:rsid w:val="00C8532E"/>
    <w:rsid w:val="00C85359"/>
    <w:rsid w:val="00C85367"/>
    <w:rsid w:val="00C8536D"/>
    <w:rsid w:val="00C853A3"/>
    <w:rsid w:val="00C853D7"/>
    <w:rsid w:val="00C8540B"/>
    <w:rsid w:val="00C85456"/>
    <w:rsid w:val="00C854C3"/>
    <w:rsid w:val="00C854F3"/>
    <w:rsid w:val="00C85513"/>
    <w:rsid w:val="00C8556D"/>
    <w:rsid w:val="00C8558C"/>
    <w:rsid w:val="00C8559D"/>
    <w:rsid w:val="00C855CF"/>
    <w:rsid w:val="00C8564C"/>
    <w:rsid w:val="00C8566C"/>
    <w:rsid w:val="00C85696"/>
    <w:rsid w:val="00C856C6"/>
    <w:rsid w:val="00C856C7"/>
    <w:rsid w:val="00C856EE"/>
    <w:rsid w:val="00C85724"/>
    <w:rsid w:val="00C85739"/>
    <w:rsid w:val="00C8575A"/>
    <w:rsid w:val="00C8582E"/>
    <w:rsid w:val="00C8583A"/>
    <w:rsid w:val="00C8593F"/>
    <w:rsid w:val="00C85968"/>
    <w:rsid w:val="00C859AF"/>
    <w:rsid w:val="00C85A4B"/>
    <w:rsid w:val="00C85BC1"/>
    <w:rsid w:val="00C85C1B"/>
    <w:rsid w:val="00C85C3B"/>
    <w:rsid w:val="00C85D27"/>
    <w:rsid w:val="00C85D64"/>
    <w:rsid w:val="00C85E0D"/>
    <w:rsid w:val="00C85E44"/>
    <w:rsid w:val="00C85E5E"/>
    <w:rsid w:val="00C85E6E"/>
    <w:rsid w:val="00C85EBD"/>
    <w:rsid w:val="00C85ED6"/>
    <w:rsid w:val="00C85EFC"/>
    <w:rsid w:val="00C85F3C"/>
    <w:rsid w:val="00C85FB1"/>
    <w:rsid w:val="00C85FB4"/>
    <w:rsid w:val="00C86090"/>
    <w:rsid w:val="00C860EB"/>
    <w:rsid w:val="00C860EE"/>
    <w:rsid w:val="00C8611B"/>
    <w:rsid w:val="00C8614B"/>
    <w:rsid w:val="00C861E0"/>
    <w:rsid w:val="00C861ED"/>
    <w:rsid w:val="00C8624E"/>
    <w:rsid w:val="00C86282"/>
    <w:rsid w:val="00C86348"/>
    <w:rsid w:val="00C863C4"/>
    <w:rsid w:val="00C86431"/>
    <w:rsid w:val="00C8646B"/>
    <w:rsid w:val="00C864F2"/>
    <w:rsid w:val="00C865B8"/>
    <w:rsid w:val="00C865F3"/>
    <w:rsid w:val="00C8668B"/>
    <w:rsid w:val="00C866E2"/>
    <w:rsid w:val="00C866FF"/>
    <w:rsid w:val="00C86723"/>
    <w:rsid w:val="00C86793"/>
    <w:rsid w:val="00C868C3"/>
    <w:rsid w:val="00C868D4"/>
    <w:rsid w:val="00C868E1"/>
    <w:rsid w:val="00C868F5"/>
    <w:rsid w:val="00C8697A"/>
    <w:rsid w:val="00C8697F"/>
    <w:rsid w:val="00C86998"/>
    <w:rsid w:val="00C869A1"/>
    <w:rsid w:val="00C86A09"/>
    <w:rsid w:val="00C86A0A"/>
    <w:rsid w:val="00C86AAE"/>
    <w:rsid w:val="00C86AC2"/>
    <w:rsid w:val="00C86B9B"/>
    <w:rsid w:val="00C86BD3"/>
    <w:rsid w:val="00C86C11"/>
    <w:rsid w:val="00C86C58"/>
    <w:rsid w:val="00C86CB6"/>
    <w:rsid w:val="00C86D32"/>
    <w:rsid w:val="00C86DE0"/>
    <w:rsid w:val="00C86E1E"/>
    <w:rsid w:val="00C86F03"/>
    <w:rsid w:val="00C86FA4"/>
    <w:rsid w:val="00C86FF1"/>
    <w:rsid w:val="00C86FFE"/>
    <w:rsid w:val="00C87026"/>
    <w:rsid w:val="00C87055"/>
    <w:rsid w:val="00C87193"/>
    <w:rsid w:val="00C871AB"/>
    <w:rsid w:val="00C871C2"/>
    <w:rsid w:val="00C872A4"/>
    <w:rsid w:val="00C87363"/>
    <w:rsid w:val="00C8738A"/>
    <w:rsid w:val="00C873AC"/>
    <w:rsid w:val="00C873DC"/>
    <w:rsid w:val="00C874C1"/>
    <w:rsid w:val="00C874DA"/>
    <w:rsid w:val="00C874FD"/>
    <w:rsid w:val="00C87512"/>
    <w:rsid w:val="00C8752E"/>
    <w:rsid w:val="00C8754B"/>
    <w:rsid w:val="00C8755A"/>
    <w:rsid w:val="00C87563"/>
    <w:rsid w:val="00C875F6"/>
    <w:rsid w:val="00C8762D"/>
    <w:rsid w:val="00C87665"/>
    <w:rsid w:val="00C87813"/>
    <w:rsid w:val="00C878B3"/>
    <w:rsid w:val="00C878D3"/>
    <w:rsid w:val="00C8791D"/>
    <w:rsid w:val="00C8793A"/>
    <w:rsid w:val="00C87954"/>
    <w:rsid w:val="00C87969"/>
    <w:rsid w:val="00C87AC2"/>
    <w:rsid w:val="00C87AC9"/>
    <w:rsid w:val="00C87AF1"/>
    <w:rsid w:val="00C87C70"/>
    <w:rsid w:val="00C87C88"/>
    <w:rsid w:val="00C87CA6"/>
    <w:rsid w:val="00C87CD8"/>
    <w:rsid w:val="00C87D6A"/>
    <w:rsid w:val="00C87DE9"/>
    <w:rsid w:val="00C87E10"/>
    <w:rsid w:val="00C87E76"/>
    <w:rsid w:val="00C87E97"/>
    <w:rsid w:val="00C87EB1"/>
    <w:rsid w:val="00C87EDA"/>
    <w:rsid w:val="00C87EE3"/>
    <w:rsid w:val="00C87F05"/>
    <w:rsid w:val="00C87F56"/>
    <w:rsid w:val="00C87FA7"/>
    <w:rsid w:val="00C90064"/>
    <w:rsid w:val="00C900E0"/>
    <w:rsid w:val="00C900ED"/>
    <w:rsid w:val="00C90135"/>
    <w:rsid w:val="00C90175"/>
    <w:rsid w:val="00C901B9"/>
    <w:rsid w:val="00C901E3"/>
    <w:rsid w:val="00C901F1"/>
    <w:rsid w:val="00C90207"/>
    <w:rsid w:val="00C9023E"/>
    <w:rsid w:val="00C90252"/>
    <w:rsid w:val="00C9025D"/>
    <w:rsid w:val="00C902A2"/>
    <w:rsid w:val="00C9030B"/>
    <w:rsid w:val="00C90320"/>
    <w:rsid w:val="00C9033F"/>
    <w:rsid w:val="00C903E0"/>
    <w:rsid w:val="00C90406"/>
    <w:rsid w:val="00C90457"/>
    <w:rsid w:val="00C90469"/>
    <w:rsid w:val="00C9046D"/>
    <w:rsid w:val="00C9046E"/>
    <w:rsid w:val="00C904F7"/>
    <w:rsid w:val="00C90555"/>
    <w:rsid w:val="00C90564"/>
    <w:rsid w:val="00C90606"/>
    <w:rsid w:val="00C90665"/>
    <w:rsid w:val="00C9066C"/>
    <w:rsid w:val="00C906B2"/>
    <w:rsid w:val="00C907AB"/>
    <w:rsid w:val="00C907EA"/>
    <w:rsid w:val="00C90809"/>
    <w:rsid w:val="00C9080F"/>
    <w:rsid w:val="00C90866"/>
    <w:rsid w:val="00C908B7"/>
    <w:rsid w:val="00C908EC"/>
    <w:rsid w:val="00C90935"/>
    <w:rsid w:val="00C90994"/>
    <w:rsid w:val="00C909C8"/>
    <w:rsid w:val="00C90A37"/>
    <w:rsid w:val="00C90A48"/>
    <w:rsid w:val="00C90A51"/>
    <w:rsid w:val="00C90AB0"/>
    <w:rsid w:val="00C90AE3"/>
    <w:rsid w:val="00C90B4D"/>
    <w:rsid w:val="00C90C10"/>
    <w:rsid w:val="00C90C34"/>
    <w:rsid w:val="00C90CB5"/>
    <w:rsid w:val="00C90D18"/>
    <w:rsid w:val="00C90D84"/>
    <w:rsid w:val="00C90E73"/>
    <w:rsid w:val="00C90FA1"/>
    <w:rsid w:val="00C91046"/>
    <w:rsid w:val="00C91055"/>
    <w:rsid w:val="00C91069"/>
    <w:rsid w:val="00C9106E"/>
    <w:rsid w:val="00C91083"/>
    <w:rsid w:val="00C912D2"/>
    <w:rsid w:val="00C912DE"/>
    <w:rsid w:val="00C9130B"/>
    <w:rsid w:val="00C9134F"/>
    <w:rsid w:val="00C91368"/>
    <w:rsid w:val="00C91372"/>
    <w:rsid w:val="00C913C9"/>
    <w:rsid w:val="00C913D1"/>
    <w:rsid w:val="00C91425"/>
    <w:rsid w:val="00C9143E"/>
    <w:rsid w:val="00C91450"/>
    <w:rsid w:val="00C91522"/>
    <w:rsid w:val="00C915E4"/>
    <w:rsid w:val="00C91628"/>
    <w:rsid w:val="00C91633"/>
    <w:rsid w:val="00C9163C"/>
    <w:rsid w:val="00C91713"/>
    <w:rsid w:val="00C91729"/>
    <w:rsid w:val="00C91779"/>
    <w:rsid w:val="00C91781"/>
    <w:rsid w:val="00C917A5"/>
    <w:rsid w:val="00C917B9"/>
    <w:rsid w:val="00C917DA"/>
    <w:rsid w:val="00C91826"/>
    <w:rsid w:val="00C91839"/>
    <w:rsid w:val="00C91845"/>
    <w:rsid w:val="00C91880"/>
    <w:rsid w:val="00C918FE"/>
    <w:rsid w:val="00C91938"/>
    <w:rsid w:val="00C91994"/>
    <w:rsid w:val="00C91AD2"/>
    <w:rsid w:val="00C91AF5"/>
    <w:rsid w:val="00C91B31"/>
    <w:rsid w:val="00C91B35"/>
    <w:rsid w:val="00C91C08"/>
    <w:rsid w:val="00C91C0B"/>
    <w:rsid w:val="00C91C4C"/>
    <w:rsid w:val="00C91C6D"/>
    <w:rsid w:val="00C91C77"/>
    <w:rsid w:val="00C91C8E"/>
    <w:rsid w:val="00C91C99"/>
    <w:rsid w:val="00C91D07"/>
    <w:rsid w:val="00C91D2C"/>
    <w:rsid w:val="00C91D5D"/>
    <w:rsid w:val="00C91D5F"/>
    <w:rsid w:val="00C91DEB"/>
    <w:rsid w:val="00C91E1D"/>
    <w:rsid w:val="00C91ED1"/>
    <w:rsid w:val="00C91EFD"/>
    <w:rsid w:val="00C91F6A"/>
    <w:rsid w:val="00C91F7D"/>
    <w:rsid w:val="00C91F92"/>
    <w:rsid w:val="00C92066"/>
    <w:rsid w:val="00C920A5"/>
    <w:rsid w:val="00C920A7"/>
    <w:rsid w:val="00C9217F"/>
    <w:rsid w:val="00C92187"/>
    <w:rsid w:val="00C921B5"/>
    <w:rsid w:val="00C92246"/>
    <w:rsid w:val="00C922CA"/>
    <w:rsid w:val="00C922DC"/>
    <w:rsid w:val="00C9230D"/>
    <w:rsid w:val="00C92335"/>
    <w:rsid w:val="00C9237C"/>
    <w:rsid w:val="00C92382"/>
    <w:rsid w:val="00C923D9"/>
    <w:rsid w:val="00C92409"/>
    <w:rsid w:val="00C9243F"/>
    <w:rsid w:val="00C924A7"/>
    <w:rsid w:val="00C92502"/>
    <w:rsid w:val="00C92563"/>
    <w:rsid w:val="00C9258E"/>
    <w:rsid w:val="00C92697"/>
    <w:rsid w:val="00C9277E"/>
    <w:rsid w:val="00C927AC"/>
    <w:rsid w:val="00C92845"/>
    <w:rsid w:val="00C928AC"/>
    <w:rsid w:val="00C928EC"/>
    <w:rsid w:val="00C928FE"/>
    <w:rsid w:val="00C92920"/>
    <w:rsid w:val="00C9294D"/>
    <w:rsid w:val="00C929E7"/>
    <w:rsid w:val="00C92A98"/>
    <w:rsid w:val="00C92B71"/>
    <w:rsid w:val="00C92C56"/>
    <w:rsid w:val="00C92CCC"/>
    <w:rsid w:val="00C92CDA"/>
    <w:rsid w:val="00C92CFC"/>
    <w:rsid w:val="00C92D61"/>
    <w:rsid w:val="00C92DE6"/>
    <w:rsid w:val="00C92E2B"/>
    <w:rsid w:val="00C92E42"/>
    <w:rsid w:val="00C92E6E"/>
    <w:rsid w:val="00C92F1B"/>
    <w:rsid w:val="00C92F2F"/>
    <w:rsid w:val="00C92F88"/>
    <w:rsid w:val="00C92FB6"/>
    <w:rsid w:val="00C9309E"/>
    <w:rsid w:val="00C9314B"/>
    <w:rsid w:val="00C9314D"/>
    <w:rsid w:val="00C9327D"/>
    <w:rsid w:val="00C9328E"/>
    <w:rsid w:val="00C9329D"/>
    <w:rsid w:val="00C93360"/>
    <w:rsid w:val="00C933FF"/>
    <w:rsid w:val="00C934AC"/>
    <w:rsid w:val="00C9358F"/>
    <w:rsid w:val="00C935EA"/>
    <w:rsid w:val="00C93634"/>
    <w:rsid w:val="00C93635"/>
    <w:rsid w:val="00C93646"/>
    <w:rsid w:val="00C9365C"/>
    <w:rsid w:val="00C9367D"/>
    <w:rsid w:val="00C936C6"/>
    <w:rsid w:val="00C9374B"/>
    <w:rsid w:val="00C937F9"/>
    <w:rsid w:val="00C93805"/>
    <w:rsid w:val="00C9380D"/>
    <w:rsid w:val="00C93843"/>
    <w:rsid w:val="00C93859"/>
    <w:rsid w:val="00C938D9"/>
    <w:rsid w:val="00C938FA"/>
    <w:rsid w:val="00C93925"/>
    <w:rsid w:val="00C9392E"/>
    <w:rsid w:val="00C93943"/>
    <w:rsid w:val="00C9399D"/>
    <w:rsid w:val="00C93A98"/>
    <w:rsid w:val="00C93A9D"/>
    <w:rsid w:val="00C93AD0"/>
    <w:rsid w:val="00C93B18"/>
    <w:rsid w:val="00C93B1A"/>
    <w:rsid w:val="00C93B28"/>
    <w:rsid w:val="00C93B2E"/>
    <w:rsid w:val="00C93BB7"/>
    <w:rsid w:val="00C93BDA"/>
    <w:rsid w:val="00C93BE0"/>
    <w:rsid w:val="00C93C28"/>
    <w:rsid w:val="00C93C6D"/>
    <w:rsid w:val="00C93CAF"/>
    <w:rsid w:val="00C93CC4"/>
    <w:rsid w:val="00C93DA1"/>
    <w:rsid w:val="00C93E1F"/>
    <w:rsid w:val="00C93EA1"/>
    <w:rsid w:val="00C93F1D"/>
    <w:rsid w:val="00C93F7F"/>
    <w:rsid w:val="00C9407B"/>
    <w:rsid w:val="00C94166"/>
    <w:rsid w:val="00C94177"/>
    <w:rsid w:val="00C94241"/>
    <w:rsid w:val="00C94252"/>
    <w:rsid w:val="00C942B5"/>
    <w:rsid w:val="00C942DA"/>
    <w:rsid w:val="00C9434E"/>
    <w:rsid w:val="00C94357"/>
    <w:rsid w:val="00C94361"/>
    <w:rsid w:val="00C9436D"/>
    <w:rsid w:val="00C944AF"/>
    <w:rsid w:val="00C944DD"/>
    <w:rsid w:val="00C944EE"/>
    <w:rsid w:val="00C9452D"/>
    <w:rsid w:val="00C9454B"/>
    <w:rsid w:val="00C94598"/>
    <w:rsid w:val="00C945A3"/>
    <w:rsid w:val="00C945AD"/>
    <w:rsid w:val="00C94611"/>
    <w:rsid w:val="00C9461B"/>
    <w:rsid w:val="00C94646"/>
    <w:rsid w:val="00C9468F"/>
    <w:rsid w:val="00C9471E"/>
    <w:rsid w:val="00C94723"/>
    <w:rsid w:val="00C94739"/>
    <w:rsid w:val="00C9476E"/>
    <w:rsid w:val="00C94781"/>
    <w:rsid w:val="00C94795"/>
    <w:rsid w:val="00C94797"/>
    <w:rsid w:val="00C947A3"/>
    <w:rsid w:val="00C947D8"/>
    <w:rsid w:val="00C94803"/>
    <w:rsid w:val="00C948AF"/>
    <w:rsid w:val="00C948D9"/>
    <w:rsid w:val="00C94934"/>
    <w:rsid w:val="00C94939"/>
    <w:rsid w:val="00C94A15"/>
    <w:rsid w:val="00C94A4C"/>
    <w:rsid w:val="00C94B57"/>
    <w:rsid w:val="00C94C9C"/>
    <w:rsid w:val="00C94CB1"/>
    <w:rsid w:val="00C94CBF"/>
    <w:rsid w:val="00C94E35"/>
    <w:rsid w:val="00C94E3F"/>
    <w:rsid w:val="00C94E4A"/>
    <w:rsid w:val="00C94E7F"/>
    <w:rsid w:val="00C94EE3"/>
    <w:rsid w:val="00C94EFE"/>
    <w:rsid w:val="00C94F6E"/>
    <w:rsid w:val="00C94FE9"/>
    <w:rsid w:val="00C950C5"/>
    <w:rsid w:val="00C9517A"/>
    <w:rsid w:val="00C9525A"/>
    <w:rsid w:val="00C952B0"/>
    <w:rsid w:val="00C9530B"/>
    <w:rsid w:val="00C95424"/>
    <w:rsid w:val="00C9543C"/>
    <w:rsid w:val="00C95447"/>
    <w:rsid w:val="00C954FA"/>
    <w:rsid w:val="00C955DC"/>
    <w:rsid w:val="00C95629"/>
    <w:rsid w:val="00C95654"/>
    <w:rsid w:val="00C95775"/>
    <w:rsid w:val="00C95804"/>
    <w:rsid w:val="00C9587B"/>
    <w:rsid w:val="00C95896"/>
    <w:rsid w:val="00C9589F"/>
    <w:rsid w:val="00C95A70"/>
    <w:rsid w:val="00C95A72"/>
    <w:rsid w:val="00C95A87"/>
    <w:rsid w:val="00C95AC4"/>
    <w:rsid w:val="00C95AFC"/>
    <w:rsid w:val="00C95B02"/>
    <w:rsid w:val="00C95B34"/>
    <w:rsid w:val="00C95C93"/>
    <w:rsid w:val="00C95CC8"/>
    <w:rsid w:val="00C95CD1"/>
    <w:rsid w:val="00C95CE2"/>
    <w:rsid w:val="00C95D23"/>
    <w:rsid w:val="00C95D30"/>
    <w:rsid w:val="00C95D6F"/>
    <w:rsid w:val="00C95D9A"/>
    <w:rsid w:val="00C95DD6"/>
    <w:rsid w:val="00C95E05"/>
    <w:rsid w:val="00C95E78"/>
    <w:rsid w:val="00C95EB3"/>
    <w:rsid w:val="00C95F25"/>
    <w:rsid w:val="00C95F6C"/>
    <w:rsid w:val="00C95F91"/>
    <w:rsid w:val="00C95FBA"/>
    <w:rsid w:val="00C95FBC"/>
    <w:rsid w:val="00C96059"/>
    <w:rsid w:val="00C96062"/>
    <w:rsid w:val="00C960F1"/>
    <w:rsid w:val="00C9623F"/>
    <w:rsid w:val="00C9624C"/>
    <w:rsid w:val="00C96344"/>
    <w:rsid w:val="00C9642A"/>
    <w:rsid w:val="00C964A3"/>
    <w:rsid w:val="00C96541"/>
    <w:rsid w:val="00C96547"/>
    <w:rsid w:val="00C965DC"/>
    <w:rsid w:val="00C9664E"/>
    <w:rsid w:val="00C96732"/>
    <w:rsid w:val="00C96754"/>
    <w:rsid w:val="00C967EC"/>
    <w:rsid w:val="00C967F1"/>
    <w:rsid w:val="00C96804"/>
    <w:rsid w:val="00C968A8"/>
    <w:rsid w:val="00C96906"/>
    <w:rsid w:val="00C96970"/>
    <w:rsid w:val="00C96AC9"/>
    <w:rsid w:val="00C96AF3"/>
    <w:rsid w:val="00C96B10"/>
    <w:rsid w:val="00C96BA7"/>
    <w:rsid w:val="00C96BBA"/>
    <w:rsid w:val="00C96C19"/>
    <w:rsid w:val="00C96C2D"/>
    <w:rsid w:val="00C96C43"/>
    <w:rsid w:val="00C96C44"/>
    <w:rsid w:val="00C96C54"/>
    <w:rsid w:val="00C96CB8"/>
    <w:rsid w:val="00C96CBC"/>
    <w:rsid w:val="00C96D45"/>
    <w:rsid w:val="00C96E6C"/>
    <w:rsid w:val="00C96EC6"/>
    <w:rsid w:val="00C96F75"/>
    <w:rsid w:val="00C96F96"/>
    <w:rsid w:val="00C97085"/>
    <w:rsid w:val="00C97111"/>
    <w:rsid w:val="00C97114"/>
    <w:rsid w:val="00C9718C"/>
    <w:rsid w:val="00C971A2"/>
    <w:rsid w:val="00C97296"/>
    <w:rsid w:val="00C972A6"/>
    <w:rsid w:val="00C972CE"/>
    <w:rsid w:val="00C97385"/>
    <w:rsid w:val="00C9743B"/>
    <w:rsid w:val="00C97441"/>
    <w:rsid w:val="00C9744B"/>
    <w:rsid w:val="00C97463"/>
    <w:rsid w:val="00C974B2"/>
    <w:rsid w:val="00C97539"/>
    <w:rsid w:val="00C97588"/>
    <w:rsid w:val="00C975AD"/>
    <w:rsid w:val="00C97607"/>
    <w:rsid w:val="00C976B9"/>
    <w:rsid w:val="00C978C1"/>
    <w:rsid w:val="00C97949"/>
    <w:rsid w:val="00C9798F"/>
    <w:rsid w:val="00C979A5"/>
    <w:rsid w:val="00C97A51"/>
    <w:rsid w:val="00C97A9A"/>
    <w:rsid w:val="00C97AD6"/>
    <w:rsid w:val="00C97B18"/>
    <w:rsid w:val="00C97B5E"/>
    <w:rsid w:val="00C97BEB"/>
    <w:rsid w:val="00C97C26"/>
    <w:rsid w:val="00C97C2D"/>
    <w:rsid w:val="00C97C83"/>
    <w:rsid w:val="00C97CC5"/>
    <w:rsid w:val="00C97D03"/>
    <w:rsid w:val="00C97D64"/>
    <w:rsid w:val="00C97D76"/>
    <w:rsid w:val="00C97D77"/>
    <w:rsid w:val="00C97D84"/>
    <w:rsid w:val="00C97D93"/>
    <w:rsid w:val="00C97DF6"/>
    <w:rsid w:val="00C97E21"/>
    <w:rsid w:val="00C97E3B"/>
    <w:rsid w:val="00C97E60"/>
    <w:rsid w:val="00C97F26"/>
    <w:rsid w:val="00C97F59"/>
    <w:rsid w:val="00CA0014"/>
    <w:rsid w:val="00CA00D8"/>
    <w:rsid w:val="00CA00F8"/>
    <w:rsid w:val="00CA0204"/>
    <w:rsid w:val="00CA0217"/>
    <w:rsid w:val="00CA026A"/>
    <w:rsid w:val="00CA033D"/>
    <w:rsid w:val="00CA0428"/>
    <w:rsid w:val="00CA04A6"/>
    <w:rsid w:val="00CA04CD"/>
    <w:rsid w:val="00CA04CF"/>
    <w:rsid w:val="00CA0528"/>
    <w:rsid w:val="00CA0545"/>
    <w:rsid w:val="00CA0586"/>
    <w:rsid w:val="00CA05B5"/>
    <w:rsid w:val="00CA05EF"/>
    <w:rsid w:val="00CA0639"/>
    <w:rsid w:val="00CA070A"/>
    <w:rsid w:val="00CA0798"/>
    <w:rsid w:val="00CA0896"/>
    <w:rsid w:val="00CA08FD"/>
    <w:rsid w:val="00CA0AB3"/>
    <w:rsid w:val="00CA0AE2"/>
    <w:rsid w:val="00CA0B37"/>
    <w:rsid w:val="00CA0B5C"/>
    <w:rsid w:val="00CA0B78"/>
    <w:rsid w:val="00CA0B8B"/>
    <w:rsid w:val="00CA0C57"/>
    <w:rsid w:val="00CA0CFC"/>
    <w:rsid w:val="00CA0DD6"/>
    <w:rsid w:val="00CA0E04"/>
    <w:rsid w:val="00CA0E9F"/>
    <w:rsid w:val="00CA0ED7"/>
    <w:rsid w:val="00CA0F1A"/>
    <w:rsid w:val="00CA0F3B"/>
    <w:rsid w:val="00CA0F49"/>
    <w:rsid w:val="00CA0FFD"/>
    <w:rsid w:val="00CA1043"/>
    <w:rsid w:val="00CA108A"/>
    <w:rsid w:val="00CA1091"/>
    <w:rsid w:val="00CA10A1"/>
    <w:rsid w:val="00CA10C9"/>
    <w:rsid w:val="00CA1103"/>
    <w:rsid w:val="00CA1211"/>
    <w:rsid w:val="00CA126F"/>
    <w:rsid w:val="00CA129D"/>
    <w:rsid w:val="00CA12F7"/>
    <w:rsid w:val="00CA131E"/>
    <w:rsid w:val="00CA13CD"/>
    <w:rsid w:val="00CA13E0"/>
    <w:rsid w:val="00CA141E"/>
    <w:rsid w:val="00CA1426"/>
    <w:rsid w:val="00CA14B6"/>
    <w:rsid w:val="00CA14F0"/>
    <w:rsid w:val="00CA1501"/>
    <w:rsid w:val="00CA1603"/>
    <w:rsid w:val="00CA160F"/>
    <w:rsid w:val="00CA1667"/>
    <w:rsid w:val="00CA1676"/>
    <w:rsid w:val="00CA1716"/>
    <w:rsid w:val="00CA172F"/>
    <w:rsid w:val="00CA17F9"/>
    <w:rsid w:val="00CA18A2"/>
    <w:rsid w:val="00CA18D7"/>
    <w:rsid w:val="00CA1936"/>
    <w:rsid w:val="00CA1972"/>
    <w:rsid w:val="00CA19ED"/>
    <w:rsid w:val="00CA1A18"/>
    <w:rsid w:val="00CA1AEE"/>
    <w:rsid w:val="00CA1BA1"/>
    <w:rsid w:val="00CA1D6E"/>
    <w:rsid w:val="00CA1E00"/>
    <w:rsid w:val="00CA1E44"/>
    <w:rsid w:val="00CA1E8C"/>
    <w:rsid w:val="00CA1F63"/>
    <w:rsid w:val="00CA1F88"/>
    <w:rsid w:val="00CA1F8E"/>
    <w:rsid w:val="00CA2125"/>
    <w:rsid w:val="00CA21C0"/>
    <w:rsid w:val="00CA21D0"/>
    <w:rsid w:val="00CA21EB"/>
    <w:rsid w:val="00CA2230"/>
    <w:rsid w:val="00CA2256"/>
    <w:rsid w:val="00CA2263"/>
    <w:rsid w:val="00CA227F"/>
    <w:rsid w:val="00CA22CC"/>
    <w:rsid w:val="00CA235A"/>
    <w:rsid w:val="00CA236B"/>
    <w:rsid w:val="00CA2378"/>
    <w:rsid w:val="00CA237A"/>
    <w:rsid w:val="00CA237E"/>
    <w:rsid w:val="00CA238D"/>
    <w:rsid w:val="00CA2396"/>
    <w:rsid w:val="00CA23D0"/>
    <w:rsid w:val="00CA2453"/>
    <w:rsid w:val="00CA2481"/>
    <w:rsid w:val="00CA24C0"/>
    <w:rsid w:val="00CA24FA"/>
    <w:rsid w:val="00CA2552"/>
    <w:rsid w:val="00CA25CA"/>
    <w:rsid w:val="00CA2606"/>
    <w:rsid w:val="00CA2621"/>
    <w:rsid w:val="00CA262A"/>
    <w:rsid w:val="00CA2647"/>
    <w:rsid w:val="00CA272A"/>
    <w:rsid w:val="00CA2752"/>
    <w:rsid w:val="00CA2788"/>
    <w:rsid w:val="00CA282E"/>
    <w:rsid w:val="00CA283E"/>
    <w:rsid w:val="00CA283F"/>
    <w:rsid w:val="00CA284B"/>
    <w:rsid w:val="00CA28E6"/>
    <w:rsid w:val="00CA292E"/>
    <w:rsid w:val="00CA29BC"/>
    <w:rsid w:val="00CA29DA"/>
    <w:rsid w:val="00CA29F0"/>
    <w:rsid w:val="00CA2A69"/>
    <w:rsid w:val="00CA2AB6"/>
    <w:rsid w:val="00CA2AEC"/>
    <w:rsid w:val="00CA2B03"/>
    <w:rsid w:val="00CA2B49"/>
    <w:rsid w:val="00CA2B9D"/>
    <w:rsid w:val="00CA2BED"/>
    <w:rsid w:val="00CA2C1F"/>
    <w:rsid w:val="00CA2C21"/>
    <w:rsid w:val="00CA2C28"/>
    <w:rsid w:val="00CA2C2B"/>
    <w:rsid w:val="00CA2C66"/>
    <w:rsid w:val="00CA2D33"/>
    <w:rsid w:val="00CA2D4D"/>
    <w:rsid w:val="00CA2E69"/>
    <w:rsid w:val="00CA2FBF"/>
    <w:rsid w:val="00CA3013"/>
    <w:rsid w:val="00CA3029"/>
    <w:rsid w:val="00CA3054"/>
    <w:rsid w:val="00CA3061"/>
    <w:rsid w:val="00CA3083"/>
    <w:rsid w:val="00CA3102"/>
    <w:rsid w:val="00CA3170"/>
    <w:rsid w:val="00CA3192"/>
    <w:rsid w:val="00CA3251"/>
    <w:rsid w:val="00CA3378"/>
    <w:rsid w:val="00CA3416"/>
    <w:rsid w:val="00CA3496"/>
    <w:rsid w:val="00CA351F"/>
    <w:rsid w:val="00CA3564"/>
    <w:rsid w:val="00CA3618"/>
    <w:rsid w:val="00CA368B"/>
    <w:rsid w:val="00CA3690"/>
    <w:rsid w:val="00CA3699"/>
    <w:rsid w:val="00CA370C"/>
    <w:rsid w:val="00CA3769"/>
    <w:rsid w:val="00CA37EB"/>
    <w:rsid w:val="00CA3837"/>
    <w:rsid w:val="00CA38E0"/>
    <w:rsid w:val="00CA3948"/>
    <w:rsid w:val="00CA39B9"/>
    <w:rsid w:val="00CA3A03"/>
    <w:rsid w:val="00CA3A06"/>
    <w:rsid w:val="00CA3A69"/>
    <w:rsid w:val="00CA3AED"/>
    <w:rsid w:val="00CA3AF6"/>
    <w:rsid w:val="00CA3B19"/>
    <w:rsid w:val="00CA3B32"/>
    <w:rsid w:val="00CA3B40"/>
    <w:rsid w:val="00CA3BC3"/>
    <w:rsid w:val="00CA3BDB"/>
    <w:rsid w:val="00CA3BF3"/>
    <w:rsid w:val="00CA3C10"/>
    <w:rsid w:val="00CA3CD2"/>
    <w:rsid w:val="00CA3D67"/>
    <w:rsid w:val="00CA3D91"/>
    <w:rsid w:val="00CA3E1E"/>
    <w:rsid w:val="00CA3E6C"/>
    <w:rsid w:val="00CA3EA3"/>
    <w:rsid w:val="00CA3EB8"/>
    <w:rsid w:val="00CA3EDF"/>
    <w:rsid w:val="00CA3F35"/>
    <w:rsid w:val="00CA3FC9"/>
    <w:rsid w:val="00CA403E"/>
    <w:rsid w:val="00CA4138"/>
    <w:rsid w:val="00CA4147"/>
    <w:rsid w:val="00CA423F"/>
    <w:rsid w:val="00CA4290"/>
    <w:rsid w:val="00CA4297"/>
    <w:rsid w:val="00CA42A8"/>
    <w:rsid w:val="00CA439D"/>
    <w:rsid w:val="00CA43B7"/>
    <w:rsid w:val="00CA43E4"/>
    <w:rsid w:val="00CA4420"/>
    <w:rsid w:val="00CA4435"/>
    <w:rsid w:val="00CA444D"/>
    <w:rsid w:val="00CA4451"/>
    <w:rsid w:val="00CA450B"/>
    <w:rsid w:val="00CA450C"/>
    <w:rsid w:val="00CA4535"/>
    <w:rsid w:val="00CA4580"/>
    <w:rsid w:val="00CA45F3"/>
    <w:rsid w:val="00CA4607"/>
    <w:rsid w:val="00CA46AE"/>
    <w:rsid w:val="00CA4735"/>
    <w:rsid w:val="00CA4784"/>
    <w:rsid w:val="00CA4795"/>
    <w:rsid w:val="00CA47D5"/>
    <w:rsid w:val="00CA484B"/>
    <w:rsid w:val="00CA484D"/>
    <w:rsid w:val="00CA487E"/>
    <w:rsid w:val="00CA4896"/>
    <w:rsid w:val="00CA48D8"/>
    <w:rsid w:val="00CA4A25"/>
    <w:rsid w:val="00CA4A78"/>
    <w:rsid w:val="00CA4A98"/>
    <w:rsid w:val="00CA4ABB"/>
    <w:rsid w:val="00CA4C10"/>
    <w:rsid w:val="00CA4C39"/>
    <w:rsid w:val="00CA4C8A"/>
    <w:rsid w:val="00CA4CDD"/>
    <w:rsid w:val="00CA4D30"/>
    <w:rsid w:val="00CA4D6D"/>
    <w:rsid w:val="00CA4DC4"/>
    <w:rsid w:val="00CA4DE5"/>
    <w:rsid w:val="00CA4E79"/>
    <w:rsid w:val="00CA4EC9"/>
    <w:rsid w:val="00CA4F03"/>
    <w:rsid w:val="00CA4FB7"/>
    <w:rsid w:val="00CA5061"/>
    <w:rsid w:val="00CA51B0"/>
    <w:rsid w:val="00CA52B0"/>
    <w:rsid w:val="00CA52ED"/>
    <w:rsid w:val="00CA5322"/>
    <w:rsid w:val="00CA533D"/>
    <w:rsid w:val="00CA5340"/>
    <w:rsid w:val="00CA53FF"/>
    <w:rsid w:val="00CA5419"/>
    <w:rsid w:val="00CA5433"/>
    <w:rsid w:val="00CA54E3"/>
    <w:rsid w:val="00CA558F"/>
    <w:rsid w:val="00CA55AE"/>
    <w:rsid w:val="00CA55BC"/>
    <w:rsid w:val="00CA55E4"/>
    <w:rsid w:val="00CA55E7"/>
    <w:rsid w:val="00CA5679"/>
    <w:rsid w:val="00CA5740"/>
    <w:rsid w:val="00CA5754"/>
    <w:rsid w:val="00CA57A8"/>
    <w:rsid w:val="00CA5889"/>
    <w:rsid w:val="00CA58CB"/>
    <w:rsid w:val="00CA5A40"/>
    <w:rsid w:val="00CA5A68"/>
    <w:rsid w:val="00CA5A6C"/>
    <w:rsid w:val="00CA5A74"/>
    <w:rsid w:val="00CA5B18"/>
    <w:rsid w:val="00CA5B41"/>
    <w:rsid w:val="00CA5B92"/>
    <w:rsid w:val="00CA5BAD"/>
    <w:rsid w:val="00CA5BFD"/>
    <w:rsid w:val="00CA5C84"/>
    <w:rsid w:val="00CA5D0A"/>
    <w:rsid w:val="00CA5D3B"/>
    <w:rsid w:val="00CA5DA2"/>
    <w:rsid w:val="00CA5DB5"/>
    <w:rsid w:val="00CA5E0C"/>
    <w:rsid w:val="00CA5E7F"/>
    <w:rsid w:val="00CA5F68"/>
    <w:rsid w:val="00CA5F89"/>
    <w:rsid w:val="00CA5F9C"/>
    <w:rsid w:val="00CA5FAE"/>
    <w:rsid w:val="00CA6061"/>
    <w:rsid w:val="00CA6083"/>
    <w:rsid w:val="00CA609D"/>
    <w:rsid w:val="00CA6104"/>
    <w:rsid w:val="00CA624B"/>
    <w:rsid w:val="00CA629F"/>
    <w:rsid w:val="00CA62F6"/>
    <w:rsid w:val="00CA6324"/>
    <w:rsid w:val="00CA63CF"/>
    <w:rsid w:val="00CA6498"/>
    <w:rsid w:val="00CA64D9"/>
    <w:rsid w:val="00CA6506"/>
    <w:rsid w:val="00CA6509"/>
    <w:rsid w:val="00CA664D"/>
    <w:rsid w:val="00CA6698"/>
    <w:rsid w:val="00CA66BF"/>
    <w:rsid w:val="00CA66D5"/>
    <w:rsid w:val="00CA66E4"/>
    <w:rsid w:val="00CA66ED"/>
    <w:rsid w:val="00CA67E0"/>
    <w:rsid w:val="00CA67E4"/>
    <w:rsid w:val="00CA67EF"/>
    <w:rsid w:val="00CA67FD"/>
    <w:rsid w:val="00CA6868"/>
    <w:rsid w:val="00CA691E"/>
    <w:rsid w:val="00CA698F"/>
    <w:rsid w:val="00CA6A18"/>
    <w:rsid w:val="00CA6A55"/>
    <w:rsid w:val="00CA6B16"/>
    <w:rsid w:val="00CA6B55"/>
    <w:rsid w:val="00CA6BF4"/>
    <w:rsid w:val="00CA6C27"/>
    <w:rsid w:val="00CA6C9F"/>
    <w:rsid w:val="00CA6CA5"/>
    <w:rsid w:val="00CA6DE6"/>
    <w:rsid w:val="00CA6E4C"/>
    <w:rsid w:val="00CA6E56"/>
    <w:rsid w:val="00CA6E60"/>
    <w:rsid w:val="00CA6EAD"/>
    <w:rsid w:val="00CA6F02"/>
    <w:rsid w:val="00CA6F3A"/>
    <w:rsid w:val="00CA6F92"/>
    <w:rsid w:val="00CA6FA6"/>
    <w:rsid w:val="00CA6FAF"/>
    <w:rsid w:val="00CA7004"/>
    <w:rsid w:val="00CA701D"/>
    <w:rsid w:val="00CA702E"/>
    <w:rsid w:val="00CA7052"/>
    <w:rsid w:val="00CA707D"/>
    <w:rsid w:val="00CA709F"/>
    <w:rsid w:val="00CA70B3"/>
    <w:rsid w:val="00CA70BE"/>
    <w:rsid w:val="00CA7155"/>
    <w:rsid w:val="00CA71C8"/>
    <w:rsid w:val="00CA728D"/>
    <w:rsid w:val="00CA72A9"/>
    <w:rsid w:val="00CA72AF"/>
    <w:rsid w:val="00CA7311"/>
    <w:rsid w:val="00CA742D"/>
    <w:rsid w:val="00CA7433"/>
    <w:rsid w:val="00CA750D"/>
    <w:rsid w:val="00CA7564"/>
    <w:rsid w:val="00CA77DF"/>
    <w:rsid w:val="00CA7812"/>
    <w:rsid w:val="00CA7858"/>
    <w:rsid w:val="00CA7926"/>
    <w:rsid w:val="00CA7946"/>
    <w:rsid w:val="00CA7955"/>
    <w:rsid w:val="00CA79F3"/>
    <w:rsid w:val="00CA79FD"/>
    <w:rsid w:val="00CA7B55"/>
    <w:rsid w:val="00CA7BFF"/>
    <w:rsid w:val="00CA7C32"/>
    <w:rsid w:val="00CA7CFB"/>
    <w:rsid w:val="00CA7D78"/>
    <w:rsid w:val="00CA7DDE"/>
    <w:rsid w:val="00CA7E86"/>
    <w:rsid w:val="00CA7EEC"/>
    <w:rsid w:val="00CA7F2D"/>
    <w:rsid w:val="00CA7F5D"/>
    <w:rsid w:val="00CA7FA8"/>
    <w:rsid w:val="00CA7FEB"/>
    <w:rsid w:val="00CB0012"/>
    <w:rsid w:val="00CB0021"/>
    <w:rsid w:val="00CB005D"/>
    <w:rsid w:val="00CB005E"/>
    <w:rsid w:val="00CB0097"/>
    <w:rsid w:val="00CB00A7"/>
    <w:rsid w:val="00CB00B3"/>
    <w:rsid w:val="00CB0137"/>
    <w:rsid w:val="00CB013C"/>
    <w:rsid w:val="00CB01AB"/>
    <w:rsid w:val="00CB01EA"/>
    <w:rsid w:val="00CB020B"/>
    <w:rsid w:val="00CB0247"/>
    <w:rsid w:val="00CB0256"/>
    <w:rsid w:val="00CB0263"/>
    <w:rsid w:val="00CB02E0"/>
    <w:rsid w:val="00CB0328"/>
    <w:rsid w:val="00CB032B"/>
    <w:rsid w:val="00CB0381"/>
    <w:rsid w:val="00CB039E"/>
    <w:rsid w:val="00CB03D5"/>
    <w:rsid w:val="00CB03E5"/>
    <w:rsid w:val="00CB03FE"/>
    <w:rsid w:val="00CB04E9"/>
    <w:rsid w:val="00CB0501"/>
    <w:rsid w:val="00CB0527"/>
    <w:rsid w:val="00CB053B"/>
    <w:rsid w:val="00CB05C0"/>
    <w:rsid w:val="00CB05C5"/>
    <w:rsid w:val="00CB064A"/>
    <w:rsid w:val="00CB0655"/>
    <w:rsid w:val="00CB06AE"/>
    <w:rsid w:val="00CB07F2"/>
    <w:rsid w:val="00CB08BB"/>
    <w:rsid w:val="00CB08C7"/>
    <w:rsid w:val="00CB094C"/>
    <w:rsid w:val="00CB09E9"/>
    <w:rsid w:val="00CB0A11"/>
    <w:rsid w:val="00CB0A18"/>
    <w:rsid w:val="00CB0A3D"/>
    <w:rsid w:val="00CB0A4F"/>
    <w:rsid w:val="00CB0A82"/>
    <w:rsid w:val="00CB0A9B"/>
    <w:rsid w:val="00CB0AA2"/>
    <w:rsid w:val="00CB0AB7"/>
    <w:rsid w:val="00CB0BB7"/>
    <w:rsid w:val="00CB0BBC"/>
    <w:rsid w:val="00CB0E4E"/>
    <w:rsid w:val="00CB0E7B"/>
    <w:rsid w:val="00CB0E86"/>
    <w:rsid w:val="00CB0F38"/>
    <w:rsid w:val="00CB0FFC"/>
    <w:rsid w:val="00CB100B"/>
    <w:rsid w:val="00CB10E5"/>
    <w:rsid w:val="00CB116B"/>
    <w:rsid w:val="00CB1191"/>
    <w:rsid w:val="00CB11C9"/>
    <w:rsid w:val="00CB11D4"/>
    <w:rsid w:val="00CB11E6"/>
    <w:rsid w:val="00CB1203"/>
    <w:rsid w:val="00CB1275"/>
    <w:rsid w:val="00CB131B"/>
    <w:rsid w:val="00CB1378"/>
    <w:rsid w:val="00CB13A1"/>
    <w:rsid w:val="00CB13E7"/>
    <w:rsid w:val="00CB1546"/>
    <w:rsid w:val="00CB15BB"/>
    <w:rsid w:val="00CB1618"/>
    <w:rsid w:val="00CB1662"/>
    <w:rsid w:val="00CB1710"/>
    <w:rsid w:val="00CB174D"/>
    <w:rsid w:val="00CB17BB"/>
    <w:rsid w:val="00CB17DE"/>
    <w:rsid w:val="00CB17E3"/>
    <w:rsid w:val="00CB17F7"/>
    <w:rsid w:val="00CB182A"/>
    <w:rsid w:val="00CB183F"/>
    <w:rsid w:val="00CB1904"/>
    <w:rsid w:val="00CB1946"/>
    <w:rsid w:val="00CB199E"/>
    <w:rsid w:val="00CB19A9"/>
    <w:rsid w:val="00CB19CE"/>
    <w:rsid w:val="00CB1A5E"/>
    <w:rsid w:val="00CB1ACA"/>
    <w:rsid w:val="00CB1B29"/>
    <w:rsid w:val="00CB1C8C"/>
    <w:rsid w:val="00CB1CBC"/>
    <w:rsid w:val="00CB1CF3"/>
    <w:rsid w:val="00CB1CF9"/>
    <w:rsid w:val="00CB1D09"/>
    <w:rsid w:val="00CB1D18"/>
    <w:rsid w:val="00CB1D6C"/>
    <w:rsid w:val="00CB1DFE"/>
    <w:rsid w:val="00CB1EB7"/>
    <w:rsid w:val="00CB1F2C"/>
    <w:rsid w:val="00CB1F48"/>
    <w:rsid w:val="00CB1F7B"/>
    <w:rsid w:val="00CB1F8E"/>
    <w:rsid w:val="00CB1FBD"/>
    <w:rsid w:val="00CB1FC1"/>
    <w:rsid w:val="00CB1FD9"/>
    <w:rsid w:val="00CB1FE5"/>
    <w:rsid w:val="00CB20A2"/>
    <w:rsid w:val="00CB212C"/>
    <w:rsid w:val="00CB21AA"/>
    <w:rsid w:val="00CB21CC"/>
    <w:rsid w:val="00CB22C2"/>
    <w:rsid w:val="00CB2327"/>
    <w:rsid w:val="00CB2365"/>
    <w:rsid w:val="00CB23C1"/>
    <w:rsid w:val="00CB2414"/>
    <w:rsid w:val="00CB24CA"/>
    <w:rsid w:val="00CB24F6"/>
    <w:rsid w:val="00CB2559"/>
    <w:rsid w:val="00CB25E5"/>
    <w:rsid w:val="00CB267E"/>
    <w:rsid w:val="00CB26C9"/>
    <w:rsid w:val="00CB26EC"/>
    <w:rsid w:val="00CB2802"/>
    <w:rsid w:val="00CB2810"/>
    <w:rsid w:val="00CB284A"/>
    <w:rsid w:val="00CB2935"/>
    <w:rsid w:val="00CB294C"/>
    <w:rsid w:val="00CB2971"/>
    <w:rsid w:val="00CB2A70"/>
    <w:rsid w:val="00CB2B8A"/>
    <w:rsid w:val="00CB2BBD"/>
    <w:rsid w:val="00CB2BDC"/>
    <w:rsid w:val="00CB2C82"/>
    <w:rsid w:val="00CB2C98"/>
    <w:rsid w:val="00CB2CAB"/>
    <w:rsid w:val="00CB2CFE"/>
    <w:rsid w:val="00CB2D00"/>
    <w:rsid w:val="00CB2D02"/>
    <w:rsid w:val="00CB2D45"/>
    <w:rsid w:val="00CB2D68"/>
    <w:rsid w:val="00CB2DB9"/>
    <w:rsid w:val="00CB2DE3"/>
    <w:rsid w:val="00CB2E32"/>
    <w:rsid w:val="00CB2E44"/>
    <w:rsid w:val="00CB2E93"/>
    <w:rsid w:val="00CB2EAF"/>
    <w:rsid w:val="00CB2F44"/>
    <w:rsid w:val="00CB2F4A"/>
    <w:rsid w:val="00CB2F4F"/>
    <w:rsid w:val="00CB2FB0"/>
    <w:rsid w:val="00CB2FF4"/>
    <w:rsid w:val="00CB30EA"/>
    <w:rsid w:val="00CB3108"/>
    <w:rsid w:val="00CB315C"/>
    <w:rsid w:val="00CB319C"/>
    <w:rsid w:val="00CB3261"/>
    <w:rsid w:val="00CB3287"/>
    <w:rsid w:val="00CB3292"/>
    <w:rsid w:val="00CB330D"/>
    <w:rsid w:val="00CB33BB"/>
    <w:rsid w:val="00CB344D"/>
    <w:rsid w:val="00CB3476"/>
    <w:rsid w:val="00CB34E2"/>
    <w:rsid w:val="00CB34F0"/>
    <w:rsid w:val="00CB3528"/>
    <w:rsid w:val="00CB3539"/>
    <w:rsid w:val="00CB35DA"/>
    <w:rsid w:val="00CB35EC"/>
    <w:rsid w:val="00CB369B"/>
    <w:rsid w:val="00CB36C4"/>
    <w:rsid w:val="00CB36CE"/>
    <w:rsid w:val="00CB3767"/>
    <w:rsid w:val="00CB37AC"/>
    <w:rsid w:val="00CB37D7"/>
    <w:rsid w:val="00CB37E3"/>
    <w:rsid w:val="00CB37FD"/>
    <w:rsid w:val="00CB38B5"/>
    <w:rsid w:val="00CB38BA"/>
    <w:rsid w:val="00CB3950"/>
    <w:rsid w:val="00CB395B"/>
    <w:rsid w:val="00CB398F"/>
    <w:rsid w:val="00CB3A2D"/>
    <w:rsid w:val="00CB3AD4"/>
    <w:rsid w:val="00CB3AEF"/>
    <w:rsid w:val="00CB3B13"/>
    <w:rsid w:val="00CB3B3A"/>
    <w:rsid w:val="00CB3BC7"/>
    <w:rsid w:val="00CB3BF0"/>
    <w:rsid w:val="00CB3D0C"/>
    <w:rsid w:val="00CB3D65"/>
    <w:rsid w:val="00CB3E34"/>
    <w:rsid w:val="00CB3E87"/>
    <w:rsid w:val="00CB3EC4"/>
    <w:rsid w:val="00CB3EC5"/>
    <w:rsid w:val="00CB3ED9"/>
    <w:rsid w:val="00CB3F25"/>
    <w:rsid w:val="00CB3F3B"/>
    <w:rsid w:val="00CB3F94"/>
    <w:rsid w:val="00CB3FE9"/>
    <w:rsid w:val="00CB4018"/>
    <w:rsid w:val="00CB403E"/>
    <w:rsid w:val="00CB4054"/>
    <w:rsid w:val="00CB418F"/>
    <w:rsid w:val="00CB4202"/>
    <w:rsid w:val="00CB4314"/>
    <w:rsid w:val="00CB4320"/>
    <w:rsid w:val="00CB445A"/>
    <w:rsid w:val="00CB4461"/>
    <w:rsid w:val="00CB4555"/>
    <w:rsid w:val="00CB458F"/>
    <w:rsid w:val="00CB45D3"/>
    <w:rsid w:val="00CB45EB"/>
    <w:rsid w:val="00CB4637"/>
    <w:rsid w:val="00CB464B"/>
    <w:rsid w:val="00CB468A"/>
    <w:rsid w:val="00CB469B"/>
    <w:rsid w:val="00CB46CD"/>
    <w:rsid w:val="00CB46D1"/>
    <w:rsid w:val="00CB46D3"/>
    <w:rsid w:val="00CB4709"/>
    <w:rsid w:val="00CB4731"/>
    <w:rsid w:val="00CB4781"/>
    <w:rsid w:val="00CB480F"/>
    <w:rsid w:val="00CB4850"/>
    <w:rsid w:val="00CB4898"/>
    <w:rsid w:val="00CB48DE"/>
    <w:rsid w:val="00CB4929"/>
    <w:rsid w:val="00CB492E"/>
    <w:rsid w:val="00CB4935"/>
    <w:rsid w:val="00CB496E"/>
    <w:rsid w:val="00CB4984"/>
    <w:rsid w:val="00CB49FA"/>
    <w:rsid w:val="00CB4A92"/>
    <w:rsid w:val="00CB4AD0"/>
    <w:rsid w:val="00CB4B18"/>
    <w:rsid w:val="00CB4BD2"/>
    <w:rsid w:val="00CB4C1C"/>
    <w:rsid w:val="00CB4CA0"/>
    <w:rsid w:val="00CB4D6C"/>
    <w:rsid w:val="00CB4D78"/>
    <w:rsid w:val="00CB4D9A"/>
    <w:rsid w:val="00CB4E3D"/>
    <w:rsid w:val="00CB4E72"/>
    <w:rsid w:val="00CB4EBB"/>
    <w:rsid w:val="00CB4F36"/>
    <w:rsid w:val="00CB4F57"/>
    <w:rsid w:val="00CB4F78"/>
    <w:rsid w:val="00CB4FCF"/>
    <w:rsid w:val="00CB4FD5"/>
    <w:rsid w:val="00CB4FF0"/>
    <w:rsid w:val="00CB504F"/>
    <w:rsid w:val="00CB5099"/>
    <w:rsid w:val="00CB5152"/>
    <w:rsid w:val="00CB51B4"/>
    <w:rsid w:val="00CB51F1"/>
    <w:rsid w:val="00CB52C1"/>
    <w:rsid w:val="00CB5321"/>
    <w:rsid w:val="00CB535B"/>
    <w:rsid w:val="00CB5363"/>
    <w:rsid w:val="00CB5424"/>
    <w:rsid w:val="00CB5427"/>
    <w:rsid w:val="00CB545E"/>
    <w:rsid w:val="00CB54C7"/>
    <w:rsid w:val="00CB557A"/>
    <w:rsid w:val="00CB55C8"/>
    <w:rsid w:val="00CB5639"/>
    <w:rsid w:val="00CB5663"/>
    <w:rsid w:val="00CB56D1"/>
    <w:rsid w:val="00CB5745"/>
    <w:rsid w:val="00CB5774"/>
    <w:rsid w:val="00CB57CA"/>
    <w:rsid w:val="00CB57F3"/>
    <w:rsid w:val="00CB5812"/>
    <w:rsid w:val="00CB5872"/>
    <w:rsid w:val="00CB587D"/>
    <w:rsid w:val="00CB589B"/>
    <w:rsid w:val="00CB5900"/>
    <w:rsid w:val="00CB595C"/>
    <w:rsid w:val="00CB59F5"/>
    <w:rsid w:val="00CB5A21"/>
    <w:rsid w:val="00CB5A98"/>
    <w:rsid w:val="00CB5AB8"/>
    <w:rsid w:val="00CB5B23"/>
    <w:rsid w:val="00CB5B2B"/>
    <w:rsid w:val="00CB5B7E"/>
    <w:rsid w:val="00CB5C34"/>
    <w:rsid w:val="00CB5C46"/>
    <w:rsid w:val="00CB5C62"/>
    <w:rsid w:val="00CB5D9E"/>
    <w:rsid w:val="00CB5DD5"/>
    <w:rsid w:val="00CB5DFD"/>
    <w:rsid w:val="00CB5E88"/>
    <w:rsid w:val="00CB5F03"/>
    <w:rsid w:val="00CB5F2B"/>
    <w:rsid w:val="00CB5F86"/>
    <w:rsid w:val="00CB5F89"/>
    <w:rsid w:val="00CB5F91"/>
    <w:rsid w:val="00CB5FE5"/>
    <w:rsid w:val="00CB601A"/>
    <w:rsid w:val="00CB602C"/>
    <w:rsid w:val="00CB60F7"/>
    <w:rsid w:val="00CB6189"/>
    <w:rsid w:val="00CB618F"/>
    <w:rsid w:val="00CB61D5"/>
    <w:rsid w:val="00CB6223"/>
    <w:rsid w:val="00CB6283"/>
    <w:rsid w:val="00CB6289"/>
    <w:rsid w:val="00CB63B8"/>
    <w:rsid w:val="00CB649F"/>
    <w:rsid w:val="00CB64C5"/>
    <w:rsid w:val="00CB6535"/>
    <w:rsid w:val="00CB65BD"/>
    <w:rsid w:val="00CB6636"/>
    <w:rsid w:val="00CB66C4"/>
    <w:rsid w:val="00CB6725"/>
    <w:rsid w:val="00CB6881"/>
    <w:rsid w:val="00CB6908"/>
    <w:rsid w:val="00CB690F"/>
    <w:rsid w:val="00CB69FB"/>
    <w:rsid w:val="00CB6AB4"/>
    <w:rsid w:val="00CB6AFF"/>
    <w:rsid w:val="00CB6B87"/>
    <w:rsid w:val="00CB6B96"/>
    <w:rsid w:val="00CB6BAB"/>
    <w:rsid w:val="00CB6C29"/>
    <w:rsid w:val="00CB6C91"/>
    <w:rsid w:val="00CB6CE8"/>
    <w:rsid w:val="00CB6CFF"/>
    <w:rsid w:val="00CB6D29"/>
    <w:rsid w:val="00CB6E71"/>
    <w:rsid w:val="00CB6E83"/>
    <w:rsid w:val="00CB6EA7"/>
    <w:rsid w:val="00CB6F2E"/>
    <w:rsid w:val="00CB6F48"/>
    <w:rsid w:val="00CB6F70"/>
    <w:rsid w:val="00CB6F81"/>
    <w:rsid w:val="00CB7020"/>
    <w:rsid w:val="00CB7059"/>
    <w:rsid w:val="00CB7090"/>
    <w:rsid w:val="00CB70A2"/>
    <w:rsid w:val="00CB717C"/>
    <w:rsid w:val="00CB71C8"/>
    <w:rsid w:val="00CB71D4"/>
    <w:rsid w:val="00CB725E"/>
    <w:rsid w:val="00CB72A4"/>
    <w:rsid w:val="00CB7316"/>
    <w:rsid w:val="00CB7353"/>
    <w:rsid w:val="00CB7377"/>
    <w:rsid w:val="00CB73E5"/>
    <w:rsid w:val="00CB744A"/>
    <w:rsid w:val="00CB744D"/>
    <w:rsid w:val="00CB74EC"/>
    <w:rsid w:val="00CB74F4"/>
    <w:rsid w:val="00CB7574"/>
    <w:rsid w:val="00CB75D5"/>
    <w:rsid w:val="00CB75DD"/>
    <w:rsid w:val="00CB75E1"/>
    <w:rsid w:val="00CB7604"/>
    <w:rsid w:val="00CB778C"/>
    <w:rsid w:val="00CB785A"/>
    <w:rsid w:val="00CB790A"/>
    <w:rsid w:val="00CB7926"/>
    <w:rsid w:val="00CB7960"/>
    <w:rsid w:val="00CB7A3C"/>
    <w:rsid w:val="00CB7A8E"/>
    <w:rsid w:val="00CB7AF1"/>
    <w:rsid w:val="00CB7B32"/>
    <w:rsid w:val="00CB7B3A"/>
    <w:rsid w:val="00CB7BCD"/>
    <w:rsid w:val="00CB7BDC"/>
    <w:rsid w:val="00CB7C6E"/>
    <w:rsid w:val="00CB7C81"/>
    <w:rsid w:val="00CB7D8D"/>
    <w:rsid w:val="00CB7E19"/>
    <w:rsid w:val="00CB7E52"/>
    <w:rsid w:val="00CB7E7A"/>
    <w:rsid w:val="00CB7F33"/>
    <w:rsid w:val="00CB7F3B"/>
    <w:rsid w:val="00CB7F4C"/>
    <w:rsid w:val="00CB7F60"/>
    <w:rsid w:val="00CB7F6F"/>
    <w:rsid w:val="00CB7F72"/>
    <w:rsid w:val="00CB7F87"/>
    <w:rsid w:val="00CB7F94"/>
    <w:rsid w:val="00CC0037"/>
    <w:rsid w:val="00CC0039"/>
    <w:rsid w:val="00CC0093"/>
    <w:rsid w:val="00CC0129"/>
    <w:rsid w:val="00CC0164"/>
    <w:rsid w:val="00CC01F4"/>
    <w:rsid w:val="00CC0334"/>
    <w:rsid w:val="00CC034A"/>
    <w:rsid w:val="00CC0386"/>
    <w:rsid w:val="00CC03A8"/>
    <w:rsid w:val="00CC03C1"/>
    <w:rsid w:val="00CC03EA"/>
    <w:rsid w:val="00CC043B"/>
    <w:rsid w:val="00CC0490"/>
    <w:rsid w:val="00CC04F1"/>
    <w:rsid w:val="00CC0566"/>
    <w:rsid w:val="00CC057F"/>
    <w:rsid w:val="00CC059A"/>
    <w:rsid w:val="00CC0664"/>
    <w:rsid w:val="00CC0689"/>
    <w:rsid w:val="00CC0696"/>
    <w:rsid w:val="00CC06F1"/>
    <w:rsid w:val="00CC071F"/>
    <w:rsid w:val="00CC077F"/>
    <w:rsid w:val="00CC07F2"/>
    <w:rsid w:val="00CC0963"/>
    <w:rsid w:val="00CC09F4"/>
    <w:rsid w:val="00CC0AD8"/>
    <w:rsid w:val="00CC0BE5"/>
    <w:rsid w:val="00CC0CBB"/>
    <w:rsid w:val="00CC0CE3"/>
    <w:rsid w:val="00CC0D23"/>
    <w:rsid w:val="00CC0DB4"/>
    <w:rsid w:val="00CC0DD1"/>
    <w:rsid w:val="00CC0E49"/>
    <w:rsid w:val="00CC0EFE"/>
    <w:rsid w:val="00CC0F8B"/>
    <w:rsid w:val="00CC1055"/>
    <w:rsid w:val="00CC1080"/>
    <w:rsid w:val="00CC109D"/>
    <w:rsid w:val="00CC10B9"/>
    <w:rsid w:val="00CC10BA"/>
    <w:rsid w:val="00CC111B"/>
    <w:rsid w:val="00CC1145"/>
    <w:rsid w:val="00CC117C"/>
    <w:rsid w:val="00CC11ED"/>
    <w:rsid w:val="00CC129F"/>
    <w:rsid w:val="00CC12AB"/>
    <w:rsid w:val="00CC12CA"/>
    <w:rsid w:val="00CC1330"/>
    <w:rsid w:val="00CC1390"/>
    <w:rsid w:val="00CC13BD"/>
    <w:rsid w:val="00CC13FB"/>
    <w:rsid w:val="00CC1400"/>
    <w:rsid w:val="00CC1465"/>
    <w:rsid w:val="00CC14DC"/>
    <w:rsid w:val="00CC158A"/>
    <w:rsid w:val="00CC1590"/>
    <w:rsid w:val="00CC1651"/>
    <w:rsid w:val="00CC166A"/>
    <w:rsid w:val="00CC1675"/>
    <w:rsid w:val="00CC16BE"/>
    <w:rsid w:val="00CC16E1"/>
    <w:rsid w:val="00CC1783"/>
    <w:rsid w:val="00CC179B"/>
    <w:rsid w:val="00CC17E5"/>
    <w:rsid w:val="00CC17FE"/>
    <w:rsid w:val="00CC182C"/>
    <w:rsid w:val="00CC1875"/>
    <w:rsid w:val="00CC18AD"/>
    <w:rsid w:val="00CC18E9"/>
    <w:rsid w:val="00CC1901"/>
    <w:rsid w:val="00CC190B"/>
    <w:rsid w:val="00CC19F1"/>
    <w:rsid w:val="00CC1A64"/>
    <w:rsid w:val="00CC1B00"/>
    <w:rsid w:val="00CC1B21"/>
    <w:rsid w:val="00CC1B35"/>
    <w:rsid w:val="00CC1B5D"/>
    <w:rsid w:val="00CC1BAD"/>
    <w:rsid w:val="00CC1BB1"/>
    <w:rsid w:val="00CC1C7A"/>
    <w:rsid w:val="00CC1C90"/>
    <w:rsid w:val="00CC1D28"/>
    <w:rsid w:val="00CC1D5F"/>
    <w:rsid w:val="00CC1E61"/>
    <w:rsid w:val="00CC1F98"/>
    <w:rsid w:val="00CC205B"/>
    <w:rsid w:val="00CC206F"/>
    <w:rsid w:val="00CC2075"/>
    <w:rsid w:val="00CC20D5"/>
    <w:rsid w:val="00CC20EC"/>
    <w:rsid w:val="00CC21C0"/>
    <w:rsid w:val="00CC21D8"/>
    <w:rsid w:val="00CC21ED"/>
    <w:rsid w:val="00CC221D"/>
    <w:rsid w:val="00CC2290"/>
    <w:rsid w:val="00CC22B5"/>
    <w:rsid w:val="00CC236B"/>
    <w:rsid w:val="00CC23EE"/>
    <w:rsid w:val="00CC2415"/>
    <w:rsid w:val="00CC2428"/>
    <w:rsid w:val="00CC24F1"/>
    <w:rsid w:val="00CC2561"/>
    <w:rsid w:val="00CC262C"/>
    <w:rsid w:val="00CC26C3"/>
    <w:rsid w:val="00CC2733"/>
    <w:rsid w:val="00CC277F"/>
    <w:rsid w:val="00CC27A1"/>
    <w:rsid w:val="00CC27B0"/>
    <w:rsid w:val="00CC27DF"/>
    <w:rsid w:val="00CC27F0"/>
    <w:rsid w:val="00CC2822"/>
    <w:rsid w:val="00CC2873"/>
    <w:rsid w:val="00CC28AF"/>
    <w:rsid w:val="00CC28CF"/>
    <w:rsid w:val="00CC29A0"/>
    <w:rsid w:val="00CC29AA"/>
    <w:rsid w:val="00CC2A28"/>
    <w:rsid w:val="00CC2A71"/>
    <w:rsid w:val="00CC2A85"/>
    <w:rsid w:val="00CC2B23"/>
    <w:rsid w:val="00CC2B31"/>
    <w:rsid w:val="00CC2B5A"/>
    <w:rsid w:val="00CC2B5F"/>
    <w:rsid w:val="00CC2BCB"/>
    <w:rsid w:val="00CC2BEE"/>
    <w:rsid w:val="00CC2C52"/>
    <w:rsid w:val="00CC2CA1"/>
    <w:rsid w:val="00CC2D58"/>
    <w:rsid w:val="00CC2D8C"/>
    <w:rsid w:val="00CC2DAA"/>
    <w:rsid w:val="00CC2DE9"/>
    <w:rsid w:val="00CC2E0B"/>
    <w:rsid w:val="00CC2E6C"/>
    <w:rsid w:val="00CC2E92"/>
    <w:rsid w:val="00CC2EDF"/>
    <w:rsid w:val="00CC2EE3"/>
    <w:rsid w:val="00CC302A"/>
    <w:rsid w:val="00CC306D"/>
    <w:rsid w:val="00CC30D3"/>
    <w:rsid w:val="00CC3150"/>
    <w:rsid w:val="00CC317F"/>
    <w:rsid w:val="00CC327B"/>
    <w:rsid w:val="00CC327E"/>
    <w:rsid w:val="00CC33FF"/>
    <w:rsid w:val="00CC3443"/>
    <w:rsid w:val="00CC3498"/>
    <w:rsid w:val="00CC3571"/>
    <w:rsid w:val="00CC3581"/>
    <w:rsid w:val="00CC3589"/>
    <w:rsid w:val="00CC3631"/>
    <w:rsid w:val="00CC369C"/>
    <w:rsid w:val="00CC3704"/>
    <w:rsid w:val="00CC3798"/>
    <w:rsid w:val="00CC380F"/>
    <w:rsid w:val="00CC3830"/>
    <w:rsid w:val="00CC3883"/>
    <w:rsid w:val="00CC3888"/>
    <w:rsid w:val="00CC38B7"/>
    <w:rsid w:val="00CC3903"/>
    <w:rsid w:val="00CC3A6B"/>
    <w:rsid w:val="00CC3AA2"/>
    <w:rsid w:val="00CC3AAB"/>
    <w:rsid w:val="00CC3AC7"/>
    <w:rsid w:val="00CC3ADB"/>
    <w:rsid w:val="00CC3AF4"/>
    <w:rsid w:val="00CC3BE7"/>
    <w:rsid w:val="00CC3C17"/>
    <w:rsid w:val="00CC3CF7"/>
    <w:rsid w:val="00CC3D6A"/>
    <w:rsid w:val="00CC3D8E"/>
    <w:rsid w:val="00CC3DF7"/>
    <w:rsid w:val="00CC3E1A"/>
    <w:rsid w:val="00CC3F61"/>
    <w:rsid w:val="00CC3F65"/>
    <w:rsid w:val="00CC4030"/>
    <w:rsid w:val="00CC406D"/>
    <w:rsid w:val="00CC4071"/>
    <w:rsid w:val="00CC4083"/>
    <w:rsid w:val="00CC4147"/>
    <w:rsid w:val="00CC41AA"/>
    <w:rsid w:val="00CC41BD"/>
    <w:rsid w:val="00CC42B6"/>
    <w:rsid w:val="00CC42CB"/>
    <w:rsid w:val="00CC4400"/>
    <w:rsid w:val="00CC447B"/>
    <w:rsid w:val="00CC4504"/>
    <w:rsid w:val="00CC458C"/>
    <w:rsid w:val="00CC4595"/>
    <w:rsid w:val="00CC45A1"/>
    <w:rsid w:val="00CC45A4"/>
    <w:rsid w:val="00CC45AF"/>
    <w:rsid w:val="00CC4640"/>
    <w:rsid w:val="00CC4683"/>
    <w:rsid w:val="00CC46D6"/>
    <w:rsid w:val="00CC4797"/>
    <w:rsid w:val="00CC4836"/>
    <w:rsid w:val="00CC4872"/>
    <w:rsid w:val="00CC48F4"/>
    <w:rsid w:val="00CC4A0E"/>
    <w:rsid w:val="00CC4A79"/>
    <w:rsid w:val="00CC4A8A"/>
    <w:rsid w:val="00CC4ABB"/>
    <w:rsid w:val="00CC4B13"/>
    <w:rsid w:val="00CC4B53"/>
    <w:rsid w:val="00CC4B57"/>
    <w:rsid w:val="00CC4B80"/>
    <w:rsid w:val="00CC4B94"/>
    <w:rsid w:val="00CC4BC1"/>
    <w:rsid w:val="00CC4BC2"/>
    <w:rsid w:val="00CC4C15"/>
    <w:rsid w:val="00CC4CF4"/>
    <w:rsid w:val="00CC4D31"/>
    <w:rsid w:val="00CC4D41"/>
    <w:rsid w:val="00CC4DA7"/>
    <w:rsid w:val="00CC4E91"/>
    <w:rsid w:val="00CC4EAE"/>
    <w:rsid w:val="00CC4F49"/>
    <w:rsid w:val="00CC4F55"/>
    <w:rsid w:val="00CC4F5A"/>
    <w:rsid w:val="00CC4FA0"/>
    <w:rsid w:val="00CC4FA1"/>
    <w:rsid w:val="00CC5013"/>
    <w:rsid w:val="00CC5053"/>
    <w:rsid w:val="00CC5088"/>
    <w:rsid w:val="00CC50A8"/>
    <w:rsid w:val="00CC50B4"/>
    <w:rsid w:val="00CC516D"/>
    <w:rsid w:val="00CC5178"/>
    <w:rsid w:val="00CC51BE"/>
    <w:rsid w:val="00CC53C1"/>
    <w:rsid w:val="00CC53CB"/>
    <w:rsid w:val="00CC5415"/>
    <w:rsid w:val="00CC5462"/>
    <w:rsid w:val="00CC5484"/>
    <w:rsid w:val="00CC54A8"/>
    <w:rsid w:val="00CC54ED"/>
    <w:rsid w:val="00CC551E"/>
    <w:rsid w:val="00CC55BA"/>
    <w:rsid w:val="00CC565D"/>
    <w:rsid w:val="00CC5713"/>
    <w:rsid w:val="00CC575B"/>
    <w:rsid w:val="00CC576C"/>
    <w:rsid w:val="00CC57BF"/>
    <w:rsid w:val="00CC5842"/>
    <w:rsid w:val="00CC5850"/>
    <w:rsid w:val="00CC5860"/>
    <w:rsid w:val="00CC586E"/>
    <w:rsid w:val="00CC5875"/>
    <w:rsid w:val="00CC58BF"/>
    <w:rsid w:val="00CC58C7"/>
    <w:rsid w:val="00CC58EB"/>
    <w:rsid w:val="00CC595B"/>
    <w:rsid w:val="00CC5A4E"/>
    <w:rsid w:val="00CC5AE3"/>
    <w:rsid w:val="00CC5B3A"/>
    <w:rsid w:val="00CC5B5E"/>
    <w:rsid w:val="00CC5BF9"/>
    <w:rsid w:val="00CC5C2E"/>
    <w:rsid w:val="00CC5E90"/>
    <w:rsid w:val="00CC5F74"/>
    <w:rsid w:val="00CC5FCE"/>
    <w:rsid w:val="00CC6019"/>
    <w:rsid w:val="00CC6032"/>
    <w:rsid w:val="00CC6055"/>
    <w:rsid w:val="00CC60B3"/>
    <w:rsid w:val="00CC613D"/>
    <w:rsid w:val="00CC614D"/>
    <w:rsid w:val="00CC619E"/>
    <w:rsid w:val="00CC61BC"/>
    <w:rsid w:val="00CC6237"/>
    <w:rsid w:val="00CC6260"/>
    <w:rsid w:val="00CC6269"/>
    <w:rsid w:val="00CC6324"/>
    <w:rsid w:val="00CC637C"/>
    <w:rsid w:val="00CC6385"/>
    <w:rsid w:val="00CC6399"/>
    <w:rsid w:val="00CC6413"/>
    <w:rsid w:val="00CC6463"/>
    <w:rsid w:val="00CC6488"/>
    <w:rsid w:val="00CC64D4"/>
    <w:rsid w:val="00CC64DF"/>
    <w:rsid w:val="00CC65C5"/>
    <w:rsid w:val="00CC668B"/>
    <w:rsid w:val="00CC6696"/>
    <w:rsid w:val="00CC66C1"/>
    <w:rsid w:val="00CC6742"/>
    <w:rsid w:val="00CC68D1"/>
    <w:rsid w:val="00CC697B"/>
    <w:rsid w:val="00CC69DB"/>
    <w:rsid w:val="00CC6A86"/>
    <w:rsid w:val="00CC6A92"/>
    <w:rsid w:val="00CC6A9C"/>
    <w:rsid w:val="00CC6AE9"/>
    <w:rsid w:val="00CC6B27"/>
    <w:rsid w:val="00CC6B32"/>
    <w:rsid w:val="00CC6B45"/>
    <w:rsid w:val="00CC6B8A"/>
    <w:rsid w:val="00CC6BA5"/>
    <w:rsid w:val="00CC6BF3"/>
    <w:rsid w:val="00CC6C0B"/>
    <w:rsid w:val="00CC6C28"/>
    <w:rsid w:val="00CC6C44"/>
    <w:rsid w:val="00CC6C5C"/>
    <w:rsid w:val="00CC6C83"/>
    <w:rsid w:val="00CC6CAB"/>
    <w:rsid w:val="00CC6CB2"/>
    <w:rsid w:val="00CC6D2C"/>
    <w:rsid w:val="00CC6D56"/>
    <w:rsid w:val="00CC6DC3"/>
    <w:rsid w:val="00CC6DC8"/>
    <w:rsid w:val="00CC6E20"/>
    <w:rsid w:val="00CC6E69"/>
    <w:rsid w:val="00CC6E7D"/>
    <w:rsid w:val="00CC6EAF"/>
    <w:rsid w:val="00CC6F36"/>
    <w:rsid w:val="00CC7070"/>
    <w:rsid w:val="00CC70B1"/>
    <w:rsid w:val="00CC7148"/>
    <w:rsid w:val="00CC718A"/>
    <w:rsid w:val="00CC71B2"/>
    <w:rsid w:val="00CC727F"/>
    <w:rsid w:val="00CC7280"/>
    <w:rsid w:val="00CC72E7"/>
    <w:rsid w:val="00CC73CE"/>
    <w:rsid w:val="00CC743D"/>
    <w:rsid w:val="00CC74E1"/>
    <w:rsid w:val="00CC74F5"/>
    <w:rsid w:val="00CC7539"/>
    <w:rsid w:val="00CC7563"/>
    <w:rsid w:val="00CC75A7"/>
    <w:rsid w:val="00CC75B5"/>
    <w:rsid w:val="00CC76ED"/>
    <w:rsid w:val="00CC76F3"/>
    <w:rsid w:val="00CC770B"/>
    <w:rsid w:val="00CC7724"/>
    <w:rsid w:val="00CC7774"/>
    <w:rsid w:val="00CC7777"/>
    <w:rsid w:val="00CC7807"/>
    <w:rsid w:val="00CC78CB"/>
    <w:rsid w:val="00CC78CF"/>
    <w:rsid w:val="00CC78D6"/>
    <w:rsid w:val="00CC796F"/>
    <w:rsid w:val="00CC7A16"/>
    <w:rsid w:val="00CC7A1C"/>
    <w:rsid w:val="00CC7A4E"/>
    <w:rsid w:val="00CC7A6B"/>
    <w:rsid w:val="00CC7AC2"/>
    <w:rsid w:val="00CC7B3B"/>
    <w:rsid w:val="00CC7B59"/>
    <w:rsid w:val="00CC7B9D"/>
    <w:rsid w:val="00CC7BBE"/>
    <w:rsid w:val="00CC7C2F"/>
    <w:rsid w:val="00CC7D2F"/>
    <w:rsid w:val="00CC7D34"/>
    <w:rsid w:val="00CC7D79"/>
    <w:rsid w:val="00CC7D8F"/>
    <w:rsid w:val="00CC7DED"/>
    <w:rsid w:val="00CC7DFA"/>
    <w:rsid w:val="00CC7ED6"/>
    <w:rsid w:val="00CC7EF2"/>
    <w:rsid w:val="00CC7F28"/>
    <w:rsid w:val="00CD00AD"/>
    <w:rsid w:val="00CD0152"/>
    <w:rsid w:val="00CD016F"/>
    <w:rsid w:val="00CD02F3"/>
    <w:rsid w:val="00CD04AB"/>
    <w:rsid w:val="00CD04E6"/>
    <w:rsid w:val="00CD04F4"/>
    <w:rsid w:val="00CD0592"/>
    <w:rsid w:val="00CD05C1"/>
    <w:rsid w:val="00CD0600"/>
    <w:rsid w:val="00CD0670"/>
    <w:rsid w:val="00CD06DE"/>
    <w:rsid w:val="00CD0724"/>
    <w:rsid w:val="00CD07C9"/>
    <w:rsid w:val="00CD07FB"/>
    <w:rsid w:val="00CD0815"/>
    <w:rsid w:val="00CD0847"/>
    <w:rsid w:val="00CD0871"/>
    <w:rsid w:val="00CD088C"/>
    <w:rsid w:val="00CD096C"/>
    <w:rsid w:val="00CD0A46"/>
    <w:rsid w:val="00CD0AC1"/>
    <w:rsid w:val="00CD0B91"/>
    <w:rsid w:val="00CD0BE8"/>
    <w:rsid w:val="00CD0BEB"/>
    <w:rsid w:val="00CD0BF4"/>
    <w:rsid w:val="00CD0C29"/>
    <w:rsid w:val="00CD0CDD"/>
    <w:rsid w:val="00CD0CF3"/>
    <w:rsid w:val="00CD0DDF"/>
    <w:rsid w:val="00CD0E88"/>
    <w:rsid w:val="00CD1002"/>
    <w:rsid w:val="00CD105C"/>
    <w:rsid w:val="00CD105E"/>
    <w:rsid w:val="00CD10F2"/>
    <w:rsid w:val="00CD1106"/>
    <w:rsid w:val="00CD116A"/>
    <w:rsid w:val="00CD119F"/>
    <w:rsid w:val="00CD11A5"/>
    <w:rsid w:val="00CD11B2"/>
    <w:rsid w:val="00CD11B5"/>
    <w:rsid w:val="00CD1254"/>
    <w:rsid w:val="00CD1275"/>
    <w:rsid w:val="00CD128D"/>
    <w:rsid w:val="00CD128E"/>
    <w:rsid w:val="00CD12B3"/>
    <w:rsid w:val="00CD1371"/>
    <w:rsid w:val="00CD13C0"/>
    <w:rsid w:val="00CD1556"/>
    <w:rsid w:val="00CD155A"/>
    <w:rsid w:val="00CD158E"/>
    <w:rsid w:val="00CD16B4"/>
    <w:rsid w:val="00CD17A4"/>
    <w:rsid w:val="00CD1893"/>
    <w:rsid w:val="00CD18D4"/>
    <w:rsid w:val="00CD18E8"/>
    <w:rsid w:val="00CD18FD"/>
    <w:rsid w:val="00CD1904"/>
    <w:rsid w:val="00CD1920"/>
    <w:rsid w:val="00CD1954"/>
    <w:rsid w:val="00CD1A35"/>
    <w:rsid w:val="00CD1A91"/>
    <w:rsid w:val="00CD1A92"/>
    <w:rsid w:val="00CD1B6D"/>
    <w:rsid w:val="00CD1C43"/>
    <w:rsid w:val="00CD1CA0"/>
    <w:rsid w:val="00CD1D3C"/>
    <w:rsid w:val="00CD1D56"/>
    <w:rsid w:val="00CD1D5B"/>
    <w:rsid w:val="00CD1DB0"/>
    <w:rsid w:val="00CD1ED1"/>
    <w:rsid w:val="00CD1F20"/>
    <w:rsid w:val="00CD1FF1"/>
    <w:rsid w:val="00CD1FFD"/>
    <w:rsid w:val="00CD208A"/>
    <w:rsid w:val="00CD20A3"/>
    <w:rsid w:val="00CD2105"/>
    <w:rsid w:val="00CD222A"/>
    <w:rsid w:val="00CD230D"/>
    <w:rsid w:val="00CD239C"/>
    <w:rsid w:val="00CD23A2"/>
    <w:rsid w:val="00CD24E8"/>
    <w:rsid w:val="00CD2527"/>
    <w:rsid w:val="00CD254B"/>
    <w:rsid w:val="00CD2556"/>
    <w:rsid w:val="00CD2589"/>
    <w:rsid w:val="00CD259F"/>
    <w:rsid w:val="00CD2668"/>
    <w:rsid w:val="00CD27AB"/>
    <w:rsid w:val="00CD286E"/>
    <w:rsid w:val="00CD28E1"/>
    <w:rsid w:val="00CD2933"/>
    <w:rsid w:val="00CD293B"/>
    <w:rsid w:val="00CD298C"/>
    <w:rsid w:val="00CD29C5"/>
    <w:rsid w:val="00CD2A0F"/>
    <w:rsid w:val="00CD2A96"/>
    <w:rsid w:val="00CD2AC3"/>
    <w:rsid w:val="00CD2B78"/>
    <w:rsid w:val="00CD2BB2"/>
    <w:rsid w:val="00CD2BC9"/>
    <w:rsid w:val="00CD2CCF"/>
    <w:rsid w:val="00CD2DAC"/>
    <w:rsid w:val="00CD2DD7"/>
    <w:rsid w:val="00CD2DFE"/>
    <w:rsid w:val="00CD2EB1"/>
    <w:rsid w:val="00CD2EE1"/>
    <w:rsid w:val="00CD2FD1"/>
    <w:rsid w:val="00CD3033"/>
    <w:rsid w:val="00CD3059"/>
    <w:rsid w:val="00CD30CD"/>
    <w:rsid w:val="00CD31CD"/>
    <w:rsid w:val="00CD328F"/>
    <w:rsid w:val="00CD329D"/>
    <w:rsid w:val="00CD32C5"/>
    <w:rsid w:val="00CD3328"/>
    <w:rsid w:val="00CD33ED"/>
    <w:rsid w:val="00CD3420"/>
    <w:rsid w:val="00CD3429"/>
    <w:rsid w:val="00CD3442"/>
    <w:rsid w:val="00CD3475"/>
    <w:rsid w:val="00CD3518"/>
    <w:rsid w:val="00CD354C"/>
    <w:rsid w:val="00CD3618"/>
    <w:rsid w:val="00CD371C"/>
    <w:rsid w:val="00CD3742"/>
    <w:rsid w:val="00CD377C"/>
    <w:rsid w:val="00CD37EA"/>
    <w:rsid w:val="00CD382E"/>
    <w:rsid w:val="00CD38D8"/>
    <w:rsid w:val="00CD3958"/>
    <w:rsid w:val="00CD3980"/>
    <w:rsid w:val="00CD39A6"/>
    <w:rsid w:val="00CD3A61"/>
    <w:rsid w:val="00CD3AB8"/>
    <w:rsid w:val="00CD3B02"/>
    <w:rsid w:val="00CD3B92"/>
    <w:rsid w:val="00CD3B9B"/>
    <w:rsid w:val="00CD3CA3"/>
    <w:rsid w:val="00CD3CBD"/>
    <w:rsid w:val="00CD3DE8"/>
    <w:rsid w:val="00CD3E38"/>
    <w:rsid w:val="00CD3E40"/>
    <w:rsid w:val="00CD3E41"/>
    <w:rsid w:val="00CD3E58"/>
    <w:rsid w:val="00CD3EDF"/>
    <w:rsid w:val="00CD3F43"/>
    <w:rsid w:val="00CD3F62"/>
    <w:rsid w:val="00CD3F73"/>
    <w:rsid w:val="00CD40F4"/>
    <w:rsid w:val="00CD4120"/>
    <w:rsid w:val="00CD415B"/>
    <w:rsid w:val="00CD4183"/>
    <w:rsid w:val="00CD41DF"/>
    <w:rsid w:val="00CD421F"/>
    <w:rsid w:val="00CD4228"/>
    <w:rsid w:val="00CD4269"/>
    <w:rsid w:val="00CD4270"/>
    <w:rsid w:val="00CD427A"/>
    <w:rsid w:val="00CD42BC"/>
    <w:rsid w:val="00CD42F5"/>
    <w:rsid w:val="00CD4302"/>
    <w:rsid w:val="00CD43C9"/>
    <w:rsid w:val="00CD4477"/>
    <w:rsid w:val="00CD44C2"/>
    <w:rsid w:val="00CD451F"/>
    <w:rsid w:val="00CD4532"/>
    <w:rsid w:val="00CD455B"/>
    <w:rsid w:val="00CD458B"/>
    <w:rsid w:val="00CD45F3"/>
    <w:rsid w:val="00CD46EB"/>
    <w:rsid w:val="00CD470D"/>
    <w:rsid w:val="00CD4728"/>
    <w:rsid w:val="00CD4779"/>
    <w:rsid w:val="00CD47FB"/>
    <w:rsid w:val="00CD484A"/>
    <w:rsid w:val="00CD4852"/>
    <w:rsid w:val="00CD486B"/>
    <w:rsid w:val="00CD48F2"/>
    <w:rsid w:val="00CD4949"/>
    <w:rsid w:val="00CD49E7"/>
    <w:rsid w:val="00CD4A0A"/>
    <w:rsid w:val="00CD4A12"/>
    <w:rsid w:val="00CD4A62"/>
    <w:rsid w:val="00CD4AC2"/>
    <w:rsid w:val="00CD4B58"/>
    <w:rsid w:val="00CD4B72"/>
    <w:rsid w:val="00CD4BC3"/>
    <w:rsid w:val="00CD4CD9"/>
    <w:rsid w:val="00CD4D16"/>
    <w:rsid w:val="00CD4DA3"/>
    <w:rsid w:val="00CD4E38"/>
    <w:rsid w:val="00CD4E8F"/>
    <w:rsid w:val="00CD4EA1"/>
    <w:rsid w:val="00CD4EB2"/>
    <w:rsid w:val="00CD4FA1"/>
    <w:rsid w:val="00CD4FF1"/>
    <w:rsid w:val="00CD502D"/>
    <w:rsid w:val="00CD50C8"/>
    <w:rsid w:val="00CD513F"/>
    <w:rsid w:val="00CD516C"/>
    <w:rsid w:val="00CD51BB"/>
    <w:rsid w:val="00CD5470"/>
    <w:rsid w:val="00CD550A"/>
    <w:rsid w:val="00CD550D"/>
    <w:rsid w:val="00CD55C9"/>
    <w:rsid w:val="00CD561E"/>
    <w:rsid w:val="00CD5664"/>
    <w:rsid w:val="00CD568D"/>
    <w:rsid w:val="00CD56DA"/>
    <w:rsid w:val="00CD5704"/>
    <w:rsid w:val="00CD5773"/>
    <w:rsid w:val="00CD57EC"/>
    <w:rsid w:val="00CD5852"/>
    <w:rsid w:val="00CD5895"/>
    <w:rsid w:val="00CD591D"/>
    <w:rsid w:val="00CD5963"/>
    <w:rsid w:val="00CD59D6"/>
    <w:rsid w:val="00CD59FC"/>
    <w:rsid w:val="00CD59FF"/>
    <w:rsid w:val="00CD5A6D"/>
    <w:rsid w:val="00CD5B30"/>
    <w:rsid w:val="00CD5B4E"/>
    <w:rsid w:val="00CD5BC6"/>
    <w:rsid w:val="00CD5BEC"/>
    <w:rsid w:val="00CD5BFB"/>
    <w:rsid w:val="00CD5C33"/>
    <w:rsid w:val="00CD5C5F"/>
    <w:rsid w:val="00CD5C71"/>
    <w:rsid w:val="00CD5CD4"/>
    <w:rsid w:val="00CD5D86"/>
    <w:rsid w:val="00CD5E2A"/>
    <w:rsid w:val="00CD5EAD"/>
    <w:rsid w:val="00CD5F07"/>
    <w:rsid w:val="00CD5F1F"/>
    <w:rsid w:val="00CD5F26"/>
    <w:rsid w:val="00CD5F30"/>
    <w:rsid w:val="00CD5F48"/>
    <w:rsid w:val="00CD6006"/>
    <w:rsid w:val="00CD6058"/>
    <w:rsid w:val="00CD6091"/>
    <w:rsid w:val="00CD6144"/>
    <w:rsid w:val="00CD6145"/>
    <w:rsid w:val="00CD6169"/>
    <w:rsid w:val="00CD6175"/>
    <w:rsid w:val="00CD61BC"/>
    <w:rsid w:val="00CD61C3"/>
    <w:rsid w:val="00CD61C5"/>
    <w:rsid w:val="00CD6236"/>
    <w:rsid w:val="00CD629C"/>
    <w:rsid w:val="00CD62BB"/>
    <w:rsid w:val="00CD630D"/>
    <w:rsid w:val="00CD6310"/>
    <w:rsid w:val="00CD63C7"/>
    <w:rsid w:val="00CD6415"/>
    <w:rsid w:val="00CD6486"/>
    <w:rsid w:val="00CD64FA"/>
    <w:rsid w:val="00CD6533"/>
    <w:rsid w:val="00CD6652"/>
    <w:rsid w:val="00CD6680"/>
    <w:rsid w:val="00CD66B9"/>
    <w:rsid w:val="00CD66C8"/>
    <w:rsid w:val="00CD6700"/>
    <w:rsid w:val="00CD670E"/>
    <w:rsid w:val="00CD6715"/>
    <w:rsid w:val="00CD6739"/>
    <w:rsid w:val="00CD6865"/>
    <w:rsid w:val="00CD6896"/>
    <w:rsid w:val="00CD68F1"/>
    <w:rsid w:val="00CD698A"/>
    <w:rsid w:val="00CD6A90"/>
    <w:rsid w:val="00CD6B15"/>
    <w:rsid w:val="00CD6B48"/>
    <w:rsid w:val="00CD6B56"/>
    <w:rsid w:val="00CD6B7A"/>
    <w:rsid w:val="00CD6BF2"/>
    <w:rsid w:val="00CD6C8C"/>
    <w:rsid w:val="00CD6DA6"/>
    <w:rsid w:val="00CD6DC2"/>
    <w:rsid w:val="00CD6F0F"/>
    <w:rsid w:val="00CD6F33"/>
    <w:rsid w:val="00CD6F7A"/>
    <w:rsid w:val="00CD6F90"/>
    <w:rsid w:val="00CD6FC4"/>
    <w:rsid w:val="00CD702A"/>
    <w:rsid w:val="00CD704B"/>
    <w:rsid w:val="00CD705A"/>
    <w:rsid w:val="00CD7060"/>
    <w:rsid w:val="00CD7066"/>
    <w:rsid w:val="00CD7086"/>
    <w:rsid w:val="00CD70B0"/>
    <w:rsid w:val="00CD7106"/>
    <w:rsid w:val="00CD712E"/>
    <w:rsid w:val="00CD7131"/>
    <w:rsid w:val="00CD725A"/>
    <w:rsid w:val="00CD72A9"/>
    <w:rsid w:val="00CD72C8"/>
    <w:rsid w:val="00CD72FC"/>
    <w:rsid w:val="00CD749A"/>
    <w:rsid w:val="00CD74F7"/>
    <w:rsid w:val="00CD7545"/>
    <w:rsid w:val="00CD7555"/>
    <w:rsid w:val="00CD7570"/>
    <w:rsid w:val="00CD76D5"/>
    <w:rsid w:val="00CD7753"/>
    <w:rsid w:val="00CD7793"/>
    <w:rsid w:val="00CD77CE"/>
    <w:rsid w:val="00CD77E1"/>
    <w:rsid w:val="00CD77FD"/>
    <w:rsid w:val="00CD78BB"/>
    <w:rsid w:val="00CD78CF"/>
    <w:rsid w:val="00CD7A23"/>
    <w:rsid w:val="00CD7A37"/>
    <w:rsid w:val="00CD7A86"/>
    <w:rsid w:val="00CD7AA5"/>
    <w:rsid w:val="00CD7AAD"/>
    <w:rsid w:val="00CD7AB6"/>
    <w:rsid w:val="00CD7AE5"/>
    <w:rsid w:val="00CD7B12"/>
    <w:rsid w:val="00CD7B76"/>
    <w:rsid w:val="00CD7C2B"/>
    <w:rsid w:val="00CD7C73"/>
    <w:rsid w:val="00CD7CDC"/>
    <w:rsid w:val="00CD7CEE"/>
    <w:rsid w:val="00CD7D86"/>
    <w:rsid w:val="00CD7DDD"/>
    <w:rsid w:val="00CD7E7A"/>
    <w:rsid w:val="00CD7EA5"/>
    <w:rsid w:val="00CD7F24"/>
    <w:rsid w:val="00CE00B7"/>
    <w:rsid w:val="00CE011D"/>
    <w:rsid w:val="00CE0122"/>
    <w:rsid w:val="00CE01B5"/>
    <w:rsid w:val="00CE01E2"/>
    <w:rsid w:val="00CE023B"/>
    <w:rsid w:val="00CE0251"/>
    <w:rsid w:val="00CE02FD"/>
    <w:rsid w:val="00CE031E"/>
    <w:rsid w:val="00CE0327"/>
    <w:rsid w:val="00CE034B"/>
    <w:rsid w:val="00CE0397"/>
    <w:rsid w:val="00CE03B6"/>
    <w:rsid w:val="00CE03BD"/>
    <w:rsid w:val="00CE040A"/>
    <w:rsid w:val="00CE0446"/>
    <w:rsid w:val="00CE046F"/>
    <w:rsid w:val="00CE0589"/>
    <w:rsid w:val="00CE05AA"/>
    <w:rsid w:val="00CE05B5"/>
    <w:rsid w:val="00CE060B"/>
    <w:rsid w:val="00CE0627"/>
    <w:rsid w:val="00CE0629"/>
    <w:rsid w:val="00CE0688"/>
    <w:rsid w:val="00CE069D"/>
    <w:rsid w:val="00CE06AA"/>
    <w:rsid w:val="00CE06C0"/>
    <w:rsid w:val="00CE06EF"/>
    <w:rsid w:val="00CE0942"/>
    <w:rsid w:val="00CE0952"/>
    <w:rsid w:val="00CE09F8"/>
    <w:rsid w:val="00CE0A7B"/>
    <w:rsid w:val="00CE0A95"/>
    <w:rsid w:val="00CE0ADD"/>
    <w:rsid w:val="00CE0AE0"/>
    <w:rsid w:val="00CE0BC9"/>
    <w:rsid w:val="00CE0C1E"/>
    <w:rsid w:val="00CE0C8A"/>
    <w:rsid w:val="00CE0D1C"/>
    <w:rsid w:val="00CE0D44"/>
    <w:rsid w:val="00CE0DB1"/>
    <w:rsid w:val="00CE0E02"/>
    <w:rsid w:val="00CE0E6C"/>
    <w:rsid w:val="00CE0E7D"/>
    <w:rsid w:val="00CE0EAA"/>
    <w:rsid w:val="00CE0EB0"/>
    <w:rsid w:val="00CE0F5C"/>
    <w:rsid w:val="00CE0F78"/>
    <w:rsid w:val="00CE0FC1"/>
    <w:rsid w:val="00CE102E"/>
    <w:rsid w:val="00CE1034"/>
    <w:rsid w:val="00CE103B"/>
    <w:rsid w:val="00CE1061"/>
    <w:rsid w:val="00CE1075"/>
    <w:rsid w:val="00CE10C4"/>
    <w:rsid w:val="00CE10EF"/>
    <w:rsid w:val="00CE1184"/>
    <w:rsid w:val="00CE11E8"/>
    <w:rsid w:val="00CE1259"/>
    <w:rsid w:val="00CE1285"/>
    <w:rsid w:val="00CE12A3"/>
    <w:rsid w:val="00CE12E7"/>
    <w:rsid w:val="00CE1346"/>
    <w:rsid w:val="00CE13A2"/>
    <w:rsid w:val="00CE13C4"/>
    <w:rsid w:val="00CE13CA"/>
    <w:rsid w:val="00CE1440"/>
    <w:rsid w:val="00CE1469"/>
    <w:rsid w:val="00CE1472"/>
    <w:rsid w:val="00CE1479"/>
    <w:rsid w:val="00CE148F"/>
    <w:rsid w:val="00CE14E5"/>
    <w:rsid w:val="00CE14FD"/>
    <w:rsid w:val="00CE152C"/>
    <w:rsid w:val="00CE1596"/>
    <w:rsid w:val="00CE1674"/>
    <w:rsid w:val="00CE1694"/>
    <w:rsid w:val="00CE169A"/>
    <w:rsid w:val="00CE16F9"/>
    <w:rsid w:val="00CE179E"/>
    <w:rsid w:val="00CE17AD"/>
    <w:rsid w:val="00CE17DB"/>
    <w:rsid w:val="00CE17F2"/>
    <w:rsid w:val="00CE17F6"/>
    <w:rsid w:val="00CE18C0"/>
    <w:rsid w:val="00CE18E0"/>
    <w:rsid w:val="00CE1908"/>
    <w:rsid w:val="00CE1961"/>
    <w:rsid w:val="00CE198E"/>
    <w:rsid w:val="00CE1A31"/>
    <w:rsid w:val="00CE1B1E"/>
    <w:rsid w:val="00CE1B34"/>
    <w:rsid w:val="00CE1B95"/>
    <w:rsid w:val="00CE1C56"/>
    <w:rsid w:val="00CE1C67"/>
    <w:rsid w:val="00CE1C87"/>
    <w:rsid w:val="00CE1CBD"/>
    <w:rsid w:val="00CE1CF3"/>
    <w:rsid w:val="00CE1CFA"/>
    <w:rsid w:val="00CE1CFC"/>
    <w:rsid w:val="00CE1D24"/>
    <w:rsid w:val="00CE1D2F"/>
    <w:rsid w:val="00CE1D90"/>
    <w:rsid w:val="00CE1DD5"/>
    <w:rsid w:val="00CE1DF7"/>
    <w:rsid w:val="00CE1E5A"/>
    <w:rsid w:val="00CE1E6A"/>
    <w:rsid w:val="00CE1EBF"/>
    <w:rsid w:val="00CE1EC6"/>
    <w:rsid w:val="00CE1F0C"/>
    <w:rsid w:val="00CE1F50"/>
    <w:rsid w:val="00CE2054"/>
    <w:rsid w:val="00CE2082"/>
    <w:rsid w:val="00CE2285"/>
    <w:rsid w:val="00CE228F"/>
    <w:rsid w:val="00CE229A"/>
    <w:rsid w:val="00CE22A3"/>
    <w:rsid w:val="00CE22D4"/>
    <w:rsid w:val="00CE2334"/>
    <w:rsid w:val="00CE240B"/>
    <w:rsid w:val="00CE2452"/>
    <w:rsid w:val="00CE2510"/>
    <w:rsid w:val="00CE251B"/>
    <w:rsid w:val="00CE252C"/>
    <w:rsid w:val="00CE254B"/>
    <w:rsid w:val="00CE25B6"/>
    <w:rsid w:val="00CE262E"/>
    <w:rsid w:val="00CE2638"/>
    <w:rsid w:val="00CE265B"/>
    <w:rsid w:val="00CE2671"/>
    <w:rsid w:val="00CE2699"/>
    <w:rsid w:val="00CE26BC"/>
    <w:rsid w:val="00CE26CB"/>
    <w:rsid w:val="00CE2879"/>
    <w:rsid w:val="00CE28A7"/>
    <w:rsid w:val="00CE28C7"/>
    <w:rsid w:val="00CE2901"/>
    <w:rsid w:val="00CE293D"/>
    <w:rsid w:val="00CE2977"/>
    <w:rsid w:val="00CE2978"/>
    <w:rsid w:val="00CE2B5D"/>
    <w:rsid w:val="00CE2B72"/>
    <w:rsid w:val="00CE2B74"/>
    <w:rsid w:val="00CE2BA5"/>
    <w:rsid w:val="00CE2C9F"/>
    <w:rsid w:val="00CE2D94"/>
    <w:rsid w:val="00CE2DB3"/>
    <w:rsid w:val="00CE2DC2"/>
    <w:rsid w:val="00CE2E80"/>
    <w:rsid w:val="00CE3056"/>
    <w:rsid w:val="00CE306C"/>
    <w:rsid w:val="00CE308B"/>
    <w:rsid w:val="00CE3094"/>
    <w:rsid w:val="00CE30EF"/>
    <w:rsid w:val="00CE313F"/>
    <w:rsid w:val="00CE31CD"/>
    <w:rsid w:val="00CE31D8"/>
    <w:rsid w:val="00CE323A"/>
    <w:rsid w:val="00CE3270"/>
    <w:rsid w:val="00CE3284"/>
    <w:rsid w:val="00CE32CB"/>
    <w:rsid w:val="00CE3367"/>
    <w:rsid w:val="00CE337D"/>
    <w:rsid w:val="00CE3383"/>
    <w:rsid w:val="00CE343D"/>
    <w:rsid w:val="00CE3488"/>
    <w:rsid w:val="00CE354D"/>
    <w:rsid w:val="00CE36B3"/>
    <w:rsid w:val="00CE36F6"/>
    <w:rsid w:val="00CE370E"/>
    <w:rsid w:val="00CE3713"/>
    <w:rsid w:val="00CE376E"/>
    <w:rsid w:val="00CE37BF"/>
    <w:rsid w:val="00CE37E8"/>
    <w:rsid w:val="00CE3893"/>
    <w:rsid w:val="00CE38A7"/>
    <w:rsid w:val="00CE398F"/>
    <w:rsid w:val="00CE3A42"/>
    <w:rsid w:val="00CE3A4B"/>
    <w:rsid w:val="00CE3AE2"/>
    <w:rsid w:val="00CE3B25"/>
    <w:rsid w:val="00CE3C29"/>
    <w:rsid w:val="00CE3C39"/>
    <w:rsid w:val="00CE3CA4"/>
    <w:rsid w:val="00CE3D17"/>
    <w:rsid w:val="00CE3D2A"/>
    <w:rsid w:val="00CE3E07"/>
    <w:rsid w:val="00CE3E46"/>
    <w:rsid w:val="00CE3F29"/>
    <w:rsid w:val="00CE411E"/>
    <w:rsid w:val="00CE41D1"/>
    <w:rsid w:val="00CE42F3"/>
    <w:rsid w:val="00CE4325"/>
    <w:rsid w:val="00CE4334"/>
    <w:rsid w:val="00CE436D"/>
    <w:rsid w:val="00CE43A2"/>
    <w:rsid w:val="00CE4426"/>
    <w:rsid w:val="00CE447C"/>
    <w:rsid w:val="00CE449A"/>
    <w:rsid w:val="00CE4510"/>
    <w:rsid w:val="00CE4520"/>
    <w:rsid w:val="00CE4531"/>
    <w:rsid w:val="00CE4565"/>
    <w:rsid w:val="00CE457E"/>
    <w:rsid w:val="00CE4592"/>
    <w:rsid w:val="00CE4633"/>
    <w:rsid w:val="00CE471B"/>
    <w:rsid w:val="00CE4733"/>
    <w:rsid w:val="00CE475E"/>
    <w:rsid w:val="00CE47D9"/>
    <w:rsid w:val="00CE489F"/>
    <w:rsid w:val="00CE48AE"/>
    <w:rsid w:val="00CE48EB"/>
    <w:rsid w:val="00CE4956"/>
    <w:rsid w:val="00CE49C2"/>
    <w:rsid w:val="00CE4A1F"/>
    <w:rsid w:val="00CE4A78"/>
    <w:rsid w:val="00CE4A81"/>
    <w:rsid w:val="00CE4AC0"/>
    <w:rsid w:val="00CE4AFC"/>
    <w:rsid w:val="00CE4B5C"/>
    <w:rsid w:val="00CE4C7C"/>
    <w:rsid w:val="00CE4CE6"/>
    <w:rsid w:val="00CE4D06"/>
    <w:rsid w:val="00CE4E17"/>
    <w:rsid w:val="00CE4EAC"/>
    <w:rsid w:val="00CE4EF4"/>
    <w:rsid w:val="00CE4F36"/>
    <w:rsid w:val="00CE4F6E"/>
    <w:rsid w:val="00CE4FAD"/>
    <w:rsid w:val="00CE50B5"/>
    <w:rsid w:val="00CE50ED"/>
    <w:rsid w:val="00CE5132"/>
    <w:rsid w:val="00CE5175"/>
    <w:rsid w:val="00CE519E"/>
    <w:rsid w:val="00CE51C9"/>
    <w:rsid w:val="00CE51F9"/>
    <w:rsid w:val="00CE520D"/>
    <w:rsid w:val="00CE529D"/>
    <w:rsid w:val="00CE53E6"/>
    <w:rsid w:val="00CE544B"/>
    <w:rsid w:val="00CE548B"/>
    <w:rsid w:val="00CE549E"/>
    <w:rsid w:val="00CE54AF"/>
    <w:rsid w:val="00CE54C4"/>
    <w:rsid w:val="00CE54F9"/>
    <w:rsid w:val="00CE55AE"/>
    <w:rsid w:val="00CE5729"/>
    <w:rsid w:val="00CE5795"/>
    <w:rsid w:val="00CE5824"/>
    <w:rsid w:val="00CE5856"/>
    <w:rsid w:val="00CE588F"/>
    <w:rsid w:val="00CE596C"/>
    <w:rsid w:val="00CE599A"/>
    <w:rsid w:val="00CE5A36"/>
    <w:rsid w:val="00CE5A93"/>
    <w:rsid w:val="00CE5A9C"/>
    <w:rsid w:val="00CE5AE1"/>
    <w:rsid w:val="00CE5B5A"/>
    <w:rsid w:val="00CE5B68"/>
    <w:rsid w:val="00CE5BFC"/>
    <w:rsid w:val="00CE5D4E"/>
    <w:rsid w:val="00CE5D5E"/>
    <w:rsid w:val="00CE5DAF"/>
    <w:rsid w:val="00CE5DF3"/>
    <w:rsid w:val="00CE5E0B"/>
    <w:rsid w:val="00CE5E37"/>
    <w:rsid w:val="00CE5EA3"/>
    <w:rsid w:val="00CE5F6F"/>
    <w:rsid w:val="00CE5F76"/>
    <w:rsid w:val="00CE5FD2"/>
    <w:rsid w:val="00CE5FFC"/>
    <w:rsid w:val="00CE6085"/>
    <w:rsid w:val="00CE610D"/>
    <w:rsid w:val="00CE6113"/>
    <w:rsid w:val="00CE61A5"/>
    <w:rsid w:val="00CE61CE"/>
    <w:rsid w:val="00CE61F4"/>
    <w:rsid w:val="00CE620E"/>
    <w:rsid w:val="00CE6244"/>
    <w:rsid w:val="00CE637B"/>
    <w:rsid w:val="00CE639B"/>
    <w:rsid w:val="00CE6411"/>
    <w:rsid w:val="00CE6465"/>
    <w:rsid w:val="00CE646E"/>
    <w:rsid w:val="00CE6502"/>
    <w:rsid w:val="00CE652D"/>
    <w:rsid w:val="00CE6549"/>
    <w:rsid w:val="00CE655D"/>
    <w:rsid w:val="00CE65A0"/>
    <w:rsid w:val="00CE666A"/>
    <w:rsid w:val="00CE6686"/>
    <w:rsid w:val="00CE669C"/>
    <w:rsid w:val="00CE66D1"/>
    <w:rsid w:val="00CE66DB"/>
    <w:rsid w:val="00CE678A"/>
    <w:rsid w:val="00CE678E"/>
    <w:rsid w:val="00CE679C"/>
    <w:rsid w:val="00CE67FF"/>
    <w:rsid w:val="00CE6882"/>
    <w:rsid w:val="00CE68AF"/>
    <w:rsid w:val="00CE694A"/>
    <w:rsid w:val="00CE6955"/>
    <w:rsid w:val="00CE6972"/>
    <w:rsid w:val="00CE69E2"/>
    <w:rsid w:val="00CE6A31"/>
    <w:rsid w:val="00CE6AB1"/>
    <w:rsid w:val="00CE6AC2"/>
    <w:rsid w:val="00CE6B30"/>
    <w:rsid w:val="00CE6B5E"/>
    <w:rsid w:val="00CE6B8B"/>
    <w:rsid w:val="00CE6BE8"/>
    <w:rsid w:val="00CE6C23"/>
    <w:rsid w:val="00CE6C2A"/>
    <w:rsid w:val="00CE6C56"/>
    <w:rsid w:val="00CE6CA0"/>
    <w:rsid w:val="00CE6CA7"/>
    <w:rsid w:val="00CE6CD7"/>
    <w:rsid w:val="00CE6CE2"/>
    <w:rsid w:val="00CE6CEA"/>
    <w:rsid w:val="00CE6D13"/>
    <w:rsid w:val="00CE6E68"/>
    <w:rsid w:val="00CE6EEC"/>
    <w:rsid w:val="00CE6FA4"/>
    <w:rsid w:val="00CE6FDA"/>
    <w:rsid w:val="00CE6FE3"/>
    <w:rsid w:val="00CE7010"/>
    <w:rsid w:val="00CE7020"/>
    <w:rsid w:val="00CE7033"/>
    <w:rsid w:val="00CE7056"/>
    <w:rsid w:val="00CE7097"/>
    <w:rsid w:val="00CE70D3"/>
    <w:rsid w:val="00CE70F2"/>
    <w:rsid w:val="00CE7108"/>
    <w:rsid w:val="00CE7112"/>
    <w:rsid w:val="00CE716B"/>
    <w:rsid w:val="00CE7189"/>
    <w:rsid w:val="00CE718B"/>
    <w:rsid w:val="00CE71A5"/>
    <w:rsid w:val="00CE726E"/>
    <w:rsid w:val="00CE7293"/>
    <w:rsid w:val="00CE72AA"/>
    <w:rsid w:val="00CE7300"/>
    <w:rsid w:val="00CE73A4"/>
    <w:rsid w:val="00CE7404"/>
    <w:rsid w:val="00CE740A"/>
    <w:rsid w:val="00CE749C"/>
    <w:rsid w:val="00CE750A"/>
    <w:rsid w:val="00CE7554"/>
    <w:rsid w:val="00CE7556"/>
    <w:rsid w:val="00CE758D"/>
    <w:rsid w:val="00CE7635"/>
    <w:rsid w:val="00CE764D"/>
    <w:rsid w:val="00CE76C8"/>
    <w:rsid w:val="00CE7706"/>
    <w:rsid w:val="00CE772B"/>
    <w:rsid w:val="00CE7738"/>
    <w:rsid w:val="00CE7757"/>
    <w:rsid w:val="00CE7766"/>
    <w:rsid w:val="00CE77E2"/>
    <w:rsid w:val="00CE78C7"/>
    <w:rsid w:val="00CE78D4"/>
    <w:rsid w:val="00CE7906"/>
    <w:rsid w:val="00CE7924"/>
    <w:rsid w:val="00CE79D8"/>
    <w:rsid w:val="00CE79ED"/>
    <w:rsid w:val="00CE7A09"/>
    <w:rsid w:val="00CE7A4A"/>
    <w:rsid w:val="00CE7A90"/>
    <w:rsid w:val="00CE7BF7"/>
    <w:rsid w:val="00CE7C3E"/>
    <w:rsid w:val="00CE7C89"/>
    <w:rsid w:val="00CE7C99"/>
    <w:rsid w:val="00CE7CC2"/>
    <w:rsid w:val="00CE7CDF"/>
    <w:rsid w:val="00CE7D29"/>
    <w:rsid w:val="00CE7D6C"/>
    <w:rsid w:val="00CE7D93"/>
    <w:rsid w:val="00CE7DAB"/>
    <w:rsid w:val="00CE7DE0"/>
    <w:rsid w:val="00CE7DF5"/>
    <w:rsid w:val="00CE7E6D"/>
    <w:rsid w:val="00CE7E86"/>
    <w:rsid w:val="00CE7ED1"/>
    <w:rsid w:val="00CE7F88"/>
    <w:rsid w:val="00CF002A"/>
    <w:rsid w:val="00CF003C"/>
    <w:rsid w:val="00CF008C"/>
    <w:rsid w:val="00CF015A"/>
    <w:rsid w:val="00CF0180"/>
    <w:rsid w:val="00CF0192"/>
    <w:rsid w:val="00CF02D8"/>
    <w:rsid w:val="00CF03CA"/>
    <w:rsid w:val="00CF03FC"/>
    <w:rsid w:val="00CF0520"/>
    <w:rsid w:val="00CF0546"/>
    <w:rsid w:val="00CF0567"/>
    <w:rsid w:val="00CF05F3"/>
    <w:rsid w:val="00CF05FF"/>
    <w:rsid w:val="00CF0630"/>
    <w:rsid w:val="00CF0730"/>
    <w:rsid w:val="00CF0759"/>
    <w:rsid w:val="00CF0765"/>
    <w:rsid w:val="00CF07E3"/>
    <w:rsid w:val="00CF0899"/>
    <w:rsid w:val="00CF08A5"/>
    <w:rsid w:val="00CF08D4"/>
    <w:rsid w:val="00CF0930"/>
    <w:rsid w:val="00CF095B"/>
    <w:rsid w:val="00CF0964"/>
    <w:rsid w:val="00CF09BD"/>
    <w:rsid w:val="00CF09F9"/>
    <w:rsid w:val="00CF0A58"/>
    <w:rsid w:val="00CF0B94"/>
    <w:rsid w:val="00CF0BB1"/>
    <w:rsid w:val="00CF0C16"/>
    <w:rsid w:val="00CF0C9B"/>
    <w:rsid w:val="00CF0CBE"/>
    <w:rsid w:val="00CF0DA6"/>
    <w:rsid w:val="00CF0DB5"/>
    <w:rsid w:val="00CF0E69"/>
    <w:rsid w:val="00CF0EAA"/>
    <w:rsid w:val="00CF0F64"/>
    <w:rsid w:val="00CF0FC4"/>
    <w:rsid w:val="00CF1017"/>
    <w:rsid w:val="00CF1083"/>
    <w:rsid w:val="00CF11C1"/>
    <w:rsid w:val="00CF11F1"/>
    <w:rsid w:val="00CF1229"/>
    <w:rsid w:val="00CF12AB"/>
    <w:rsid w:val="00CF12C5"/>
    <w:rsid w:val="00CF12CF"/>
    <w:rsid w:val="00CF133D"/>
    <w:rsid w:val="00CF1427"/>
    <w:rsid w:val="00CF1487"/>
    <w:rsid w:val="00CF14C0"/>
    <w:rsid w:val="00CF15B1"/>
    <w:rsid w:val="00CF166E"/>
    <w:rsid w:val="00CF16BA"/>
    <w:rsid w:val="00CF16DE"/>
    <w:rsid w:val="00CF16E2"/>
    <w:rsid w:val="00CF171A"/>
    <w:rsid w:val="00CF1765"/>
    <w:rsid w:val="00CF1788"/>
    <w:rsid w:val="00CF179F"/>
    <w:rsid w:val="00CF17B3"/>
    <w:rsid w:val="00CF1832"/>
    <w:rsid w:val="00CF18E3"/>
    <w:rsid w:val="00CF18F7"/>
    <w:rsid w:val="00CF1974"/>
    <w:rsid w:val="00CF1981"/>
    <w:rsid w:val="00CF19EF"/>
    <w:rsid w:val="00CF19F9"/>
    <w:rsid w:val="00CF1BE3"/>
    <w:rsid w:val="00CF1C22"/>
    <w:rsid w:val="00CF1C77"/>
    <w:rsid w:val="00CF1CBD"/>
    <w:rsid w:val="00CF1CD7"/>
    <w:rsid w:val="00CF1CFA"/>
    <w:rsid w:val="00CF1CFF"/>
    <w:rsid w:val="00CF1D2F"/>
    <w:rsid w:val="00CF1DC3"/>
    <w:rsid w:val="00CF1E97"/>
    <w:rsid w:val="00CF1EE6"/>
    <w:rsid w:val="00CF1F31"/>
    <w:rsid w:val="00CF1FD1"/>
    <w:rsid w:val="00CF2095"/>
    <w:rsid w:val="00CF20AC"/>
    <w:rsid w:val="00CF20F7"/>
    <w:rsid w:val="00CF21AD"/>
    <w:rsid w:val="00CF21D5"/>
    <w:rsid w:val="00CF2309"/>
    <w:rsid w:val="00CF234D"/>
    <w:rsid w:val="00CF2359"/>
    <w:rsid w:val="00CF2419"/>
    <w:rsid w:val="00CF247B"/>
    <w:rsid w:val="00CF24AA"/>
    <w:rsid w:val="00CF253B"/>
    <w:rsid w:val="00CF254E"/>
    <w:rsid w:val="00CF256D"/>
    <w:rsid w:val="00CF2587"/>
    <w:rsid w:val="00CF25ED"/>
    <w:rsid w:val="00CF25FC"/>
    <w:rsid w:val="00CF260F"/>
    <w:rsid w:val="00CF2617"/>
    <w:rsid w:val="00CF27BE"/>
    <w:rsid w:val="00CF27D2"/>
    <w:rsid w:val="00CF2815"/>
    <w:rsid w:val="00CF2856"/>
    <w:rsid w:val="00CF2880"/>
    <w:rsid w:val="00CF28A8"/>
    <w:rsid w:val="00CF28C4"/>
    <w:rsid w:val="00CF2922"/>
    <w:rsid w:val="00CF2948"/>
    <w:rsid w:val="00CF2A0A"/>
    <w:rsid w:val="00CF2A3A"/>
    <w:rsid w:val="00CF2AC2"/>
    <w:rsid w:val="00CF2BA0"/>
    <w:rsid w:val="00CF2BD8"/>
    <w:rsid w:val="00CF2BEB"/>
    <w:rsid w:val="00CF2C00"/>
    <w:rsid w:val="00CF2C45"/>
    <w:rsid w:val="00CF2C6E"/>
    <w:rsid w:val="00CF2C6F"/>
    <w:rsid w:val="00CF2CA8"/>
    <w:rsid w:val="00CF2CD8"/>
    <w:rsid w:val="00CF2D12"/>
    <w:rsid w:val="00CF2D1C"/>
    <w:rsid w:val="00CF2FB6"/>
    <w:rsid w:val="00CF3080"/>
    <w:rsid w:val="00CF30B3"/>
    <w:rsid w:val="00CF3182"/>
    <w:rsid w:val="00CF3189"/>
    <w:rsid w:val="00CF31B2"/>
    <w:rsid w:val="00CF320D"/>
    <w:rsid w:val="00CF321C"/>
    <w:rsid w:val="00CF3268"/>
    <w:rsid w:val="00CF329D"/>
    <w:rsid w:val="00CF32E6"/>
    <w:rsid w:val="00CF3318"/>
    <w:rsid w:val="00CF3335"/>
    <w:rsid w:val="00CF3383"/>
    <w:rsid w:val="00CF33D9"/>
    <w:rsid w:val="00CF343E"/>
    <w:rsid w:val="00CF34E9"/>
    <w:rsid w:val="00CF35C4"/>
    <w:rsid w:val="00CF35CF"/>
    <w:rsid w:val="00CF361D"/>
    <w:rsid w:val="00CF371D"/>
    <w:rsid w:val="00CF3759"/>
    <w:rsid w:val="00CF378F"/>
    <w:rsid w:val="00CF3809"/>
    <w:rsid w:val="00CF3829"/>
    <w:rsid w:val="00CF391A"/>
    <w:rsid w:val="00CF3A61"/>
    <w:rsid w:val="00CF3AD3"/>
    <w:rsid w:val="00CF3B08"/>
    <w:rsid w:val="00CF3B09"/>
    <w:rsid w:val="00CF3B84"/>
    <w:rsid w:val="00CF3C07"/>
    <w:rsid w:val="00CF3D81"/>
    <w:rsid w:val="00CF3E17"/>
    <w:rsid w:val="00CF3E70"/>
    <w:rsid w:val="00CF3E77"/>
    <w:rsid w:val="00CF3E9E"/>
    <w:rsid w:val="00CF3F6A"/>
    <w:rsid w:val="00CF3F81"/>
    <w:rsid w:val="00CF3FA3"/>
    <w:rsid w:val="00CF3FF4"/>
    <w:rsid w:val="00CF4001"/>
    <w:rsid w:val="00CF4052"/>
    <w:rsid w:val="00CF4081"/>
    <w:rsid w:val="00CF417D"/>
    <w:rsid w:val="00CF4195"/>
    <w:rsid w:val="00CF427B"/>
    <w:rsid w:val="00CF42EC"/>
    <w:rsid w:val="00CF4373"/>
    <w:rsid w:val="00CF438B"/>
    <w:rsid w:val="00CF43CB"/>
    <w:rsid w:val="00CF43F4"/>
    <w:rsid w:val="00CF457F"/>
    <w:rsid w:val="00CF4597"/>
    <w:rsid w:val="00CF45B7"/>
    <w:rsid w:val="00CF45C9"/>
    <w:rsid w:val="00CF4620"/>
    <w:rsid w:val="00CF467D"/>
    <w:rsid w:val="00CF468C"/>
    <w:rsid w:val="00CF46E0"/>
    <w:rsid w:val="00CF470A"/>
    <w:rsid w:val="00CF472B"/>
    <w:rsid w:val="00CF47C5"/>
    <w:rsid w:val="00CF4802"/>
    <w:rsid w:val="00CF4853"/>
    <w:rsid w:val="00CF48A0"/>
    <w:rsid w:val="00CF48B2"/>
    <w:rsid w:val="00CF48F3"/>
    <w:rsid w:val="00CF49FD"/>
    <w:rsid w:val="00CF4AAC"/>
    <w:rsid w:val="00CF4AE0"/>
    <w:rsid w:val="00CF4AE6"/>
    <w:rsid w:val="00CF4B58"/>
    <w:rsid w:val="00CF4C94"/>
    <w:rsid w:val="00CF4D14"/>
    <w:rsid w:val="00CF4D9A"/>
    <w:rsid w:val="00CF4D9B"/>
    <w:rsid w:val="00CF4DBF"/>
    <w:rsid w:val="00CF4DEB"/>
    <w:rsid w:val="00CF4E9A"/>
    <w:rsid w:val="00CF4EC9"/>
    <w:rsid w:val="00CF4F0C"/>
    <w:rsid w:val="00CF4F2B"/>
    <w:rsid w:val="00CF4F62"/>
    <w:rsid w:val="00CF4FB8"/>
    <w:rsid w:val="00CF5016"/>
    <w:rsid w:val="00CF5108"/>
    <w:rsid w:val="00CF510E"/>
    <w:rsid w:val="00CF5110"/>
    <w:rsid w:val="00CF512D"/>
    <w:rsid w:val="00CF519A"/>
    <w:rsid w:val="00CF51A5"/>
    <w:rsid w:val="00CF51C6"/>
    <w:rsid w:val="00CF522A"/>
    <w:rsid w:val="00CF5260"/>
    <w:rsid w:val="00CF5266"/>
    <w:rsid w:val="00CF52FA"/>
    <w:rsid w:val="00CF53C6"/>
    <w:rsid w:val="00CF5462"/>
    <w:rsid w:val="00CF5578"/>
    <w:rsid w:val="00CF55B0"/>
    <w:rsid w:val="00CF5618"/>
    <w:rsid w:val="00CF5632"/>
    <w:rsid w:val="00CF5694"/>
    <w:rsid w:val="00CF5699"/>
    <w:rsid w:val="00CF56BC"/>
    <w:rsid w:val="00CF56D5"/>
    <w:rsid w:val="00CF56DF"/>
    <w:rsid w:val="00CF5791"/>
    <w:rsid w:val="00CF57BB"/>
    <w:rsid w:val="00CF588B"/>
    <w:rsid w:val="00CF589F"/>
    <w:rsid w:val="00CF58AD"/>
    <w:rsid w:val="00CF58BA"/>
    <w:rsid w:val="00CF58CF"/>
    <w:rsid w:val="00CF58D0"/>
    <w:rsid w:val="00CF58F3"/>
    <w:rsid w:val="00CF5912"/>
    <w:rsid w:val="00CF594E"/>
    <w:rsid w:val="00CF5962"/>
    <w:rsid w:val="00CF599C"/>
    <w:rsid w:val="00CF59EF"/>
    <w:rsid w:val="00CF5B37"/>
    <w:rsid w:val="00CF5B9F"/>
    <w:rsid w:val="00CF5CAA"/>
    <w:rsid w:val="00CF5CAB"/>
    <w:rsid w:val="00CF5D50"/>
    <w:rsid w:val="00CF5D5F"/>
    <w:rsid w:val="00CF5D65"/>
    <w:rsid w:val="00CF5D69"/>
    <w:rsid w:val="00CF5D85"/>
    <w:rsid w:val="00CF5D86"/>
    <w:rsid w:val="00CF5F4C"/>
    <w:rsid w:val="00CF5FDA"/>
    <w:rsid w:val="00CF60A9"/>
    <w:rsid w:val="00CF60ED"/>
    <w:rsid w:val="00CF6122"/>
    <w:rsid w:val="00CF614F"/>
    <w:rsid w:val="00CF6217"/>
    <w:rsid w:val="00CF632D"/>
    <w:rsid w:val="00CF6360"/>
    <w:rsid w:val="00CF6364"/>
    <w:rsid w:val="00CF63BF"/>
    <w:rsid w:val="00CF63C6"/>
    <w:rsid w:val="00CF641C"/>
    <w:rsid w:val="00CF6458"/>
    <w:rsid w:val="00CF64BA"/>
    <w:rsid w:val="00CF6516"/>
    <w:rsid w:val="00CF656C"/>
    <w:rsid w:val="00CF6576"/>
    <w:rsid w:val="00CF6580"/>
    <w:rsid w:val="00CF658F"/>
    <w:rsid w:val="00CF65BF"/>
    <w:rsid w:val="00CF65F1"/>
    <w:rsid w:val="00CF6608"/>
    <w:rsid w:val="00CF6685"/>
    <w:rsid w:val="00CF66F0"/>
    <w:rsid w:val="00CF6748"/>
    <w:rsid w:val="00CF67D0"/>
    <w:rsid w:val="00CF684A"/>
    <w:rsid w:val="00CF6858"/>
    <w:rsid w:val="00CF685C"/>
    <w:rsid w:val="00CF6939"/>
    <w:rsid w:val="00CF695F"/>
    <w:rsid w:val="00CF699E"/>
    <w:rsid w:val="00CF69C1"/>
    <w:rsid w:val="00CF6A17"/>
    <w:rsid w:val="00CF6A42"/>
    <w:rsid w:val="00CF6AAE"/>
    <w:rsid w:val="00CF6B46"/>
    <w:rsid w:val="00CF6BE0"/>
    <w:rsid w:val="00CF6C4D"/>
    <w:rsid w:val="00CF6CDC"/>
    <w:rsid w:val="00CF6CE9"/>
    <w:rsid w:val="00CF6D02"/>
    <w:rsid w:val="00CF6D59"/>
    <w:rsid w:val="00CF6DC1"/>
    <w:rsid w:val="00CF6DDA"/>
    <w:rsid w:val="00CF6E6A"/>
    <w:rsid w:val="00CF6EFB"/>
    <w:rsid w:val="00CF6EFE"/>
    <w:rsid w:val="00CF6FA9"/>
    <w:rsid w:val="00CF7015"/>
    <w:rsid w:val="00CF7032"/>
    <w:rsid w:val="00CF7131"/>
    <w:rsid w:val="00CF71F2"/>
    <w:rsid w:val="00CF7284"/>
    <w:rsid w:val="00CF7507"/>
    <w:rsid w:val="00CF7558"/>
    <w:rsid w:val="00CF755E"/>
    <w:rsid w:val="00CF7593"/>
    <w:rsid w:val="00CF75B4"/>
    <w:rsid w:val="00CF7646"/>
    <w:rsid w:val="00CF771F"/>
    <w:rsid w:val="00CF7755"/>
    <w:rsid w:val="00CF789C"/>
    <w:rsid w:val="00CF789F"/>
    <w:rsid w:val="00CF797B"/>
    <w:rsid w:val="00CF79A4"/>
    <w:rsid w:val="00CF7A1E"/>
    <w:rsid w:val="00CF7AE3"/>
    <w:rsid w:val="00CF7AEA"/>
    <w:rsid w:val="00CF7B4C"/>
    <w:rsid w:val="00CF7B7A"/>
    <w:rsid w:val="00CF7C88"/>
    <w:rsid w:val="00CF7C8C"/>
    <w:rsid w:val="00CF7CE5"/>
    <w:rsid w:val="00CF7D6B"/>
    <w:rsid w:val="00CF7DC9"/>
    <w:rsid w:val="00CF7DFD"/>
    <w:rsid w:val="00CF7E2B"/>
    <w:rsid w:val="00CF7E80"/>
    <w:rsid w:val="00CF7EBC"/>
    <w:rsid w:val="00CF7F1F"/>
    <w:rsid w:val="00CF7F61"/>
    <w:rsid w:val="00CF7F8E"/>
    <w:rsid w:val="00D0005C"/>
    <w:rsid w:val="00D0006E"/>
    <w:rsid w:val="00D0007D"/>
    <w:rsid w:val="00D000A7"/>
    <w:rsid w:val="00D000E9"/>
    <w:rsid w:val="00D00124"/>
    <w:rsid w:val="00D001C7"/>
    <w:rsid w:val="00D002D8"/>
    <w:rsid w:val="00D002E4"/>
    <w:rsid w:val="00D0031E"/>
    <w:rsid w:val="00D00324"/>
    <w:rsid w:val="00D00411"/>
    <w:rsid w:val="00D00437"/>
    <w:rsid w:val="00D00455"/>
    <w:rsid w:val="00D00460"/>
    <w:rsid w:val="00D0047E"/>
    <w:rsid w:val="00D0048B"/>
    <w:rsid w:val="00D004B7"/>
    <w:rsid w:val="00D004FA"/>
    <w:rsid w:val="00D0054A"/>
    <w:rsid w:val="00D0063F"/>
    <w:rsid w:val="00D00641"/>
    <w:rsid w:val="00D00688"/>
    <w:rsid w:val="00D006A5"/>
    <w:rsid w:val="00D006FA"/>
    <w:rsid w:val="00D0073B"/>
    <w:rsid w:val="00D00770"/>
    <w:rsid w:val="00D0098C"/>
    <w:rsid w:val="00D009D0"/>
    <w:rsid w:val="00D009D4"/>
    <w:rsid w:val="00D00A10"/>
    <w:rsid w:val="00D00A3C"/>
    <w:rsid w:val="00D00A93"/>
    <w:rsid w:val="00D00A9F"/>
    <w:rsid w:val="00D00B13"/>
    <w:rsid w:val="00D00B1A"/>
    <w:rsid w:val="00D00C91"/>
    <w:rsid w:val="00D00D50"/>
    <w:rsid w:val="00D00D7E"/>
    <w:rsid w:val="00D00DA2"/>
    <w:rsid w:val="00D00DBC"/>
    <w:rsid w:val="00D00E27"/>
    <w:rsid w:val="00D00E3F"/>
    <w:rsid w:val="00D00E91"/>
    <w:rsid w:val="00D00F24"/>
    <w:rsid w:val="00D00F3D"/>
    <w:rsid w:val="00D00F4D"/>
    <w:rsid w:val="00D00F50"/>
    <w:rsid w:val="00D00F6C"/>
    <w:rsid w:val="00D00F76"/>
    <w:rsid w:val="00D00FD1"/>
    <w:rsid w:val="00D0106E"/>
    <w:rsid w:val="00D01088"/>
    <w:rsid w:val="00D01098"/>
    <w:rsid w:val="00D010A1"/>
    <w:rsid w:val="00D011B0"/>
    <w:rsid w:val="00D0123C"/>
    <w:rsid w:val="00D01305"/>
    <w:rsid w:val="00D01315"/>
    <w:rsid w:val="00D0131A"/>
    <w:rsid w:val="00D01396"/>
    <w:rsid w:val="00D01410"/>
    <w:rsid w:val="00D014C9"/>
    <w:rsid w:val="00D01562"/>
    <w:rsid w:val="00D015FC"/>
    <w:rsid w:val="00D01621"/>
    <w:rsid w:val="00D01791"/>
    <w:rsid w:val="00D017B9"/>
    <w:rsid w:val="00D01835"/>
    <w:rsid w:val="00D018DC"/>
    <w:rsid w:val="00D018E3"/>
    <w:rsid w:val="00D01927"/>
    <w:rsid w:val="00D01938"/>
    <w:rsid w:val="00D01995"/>
    <w:rsid w:val="00D019C0"/>
    <w:rsid w:val="00D019C1"/>
    <w:rsid w:val="00D019E0"/>
    <w:rsid w:val="00D01A0D"/>
    <w:rsid w:val="00D01ACC"/>
    <w:rsid w:val="00D01B2E"/>
    <w:rsid w:val="00D01B4A"/>
    <w:rsid w:val="00D01B56"/>
    <w:rsid w:val="00D01B61"/>
    <w:rsid w:val="00D01BD4"/>
    <w:rsid w:val="00D01BEB"/>
    <w:rsid w:val="00D01C8F"/>
    <w:rsid w:val="00D01C9D"/>
    <w:rsid w:val="00D01CC7"/>
    <w:rsid w:val="00D01CDB"/>
    <w:rsid w:val="00D01D03"/>
    <w:rsid w:val="00D01D3B"/>
    <w:rsid w:val="00D01D41"/>
    <w:rsid w:val="00D01D80"/>
    <w:rsid w:val="00D01D8F"/>
    <w:rsid w:val="00D01E12"/>
    <w:rsid w:val="00D01E51"/>
    <w:rsid w:val="00D01E6C"/>
    <w:rsid w:val="00D01F54"/>
    <w:rsid w:val="00D01FA4"/>
    <w:rsid w:val="00D01FAF"/>
    <w:rsid w:val="00D01FD9"/>
    <w:rsid w:val="00D01FE5"/>
    <w:rsid w:val="00D01FF2"/>
    <w:rsid w:val="00D02000"/>
    <w:rsid w:val="00D02004"/>
    <w:rsid w:val="00D020A4"/>
    <w:rsid w:val="00D020C6"/>
    <w:rsid w:val="00D020EF"/>
    <w:rsid w:val="00D021F4"/>
    <w:rsid w:val="00D0222F"/>
    <w:rsid w:val="00D0227E"/>
    <w:rsid w:val="00D022E1"/>
    <w:rsid w:val="00D022FB"/>
    <w:rsid w:val="00D02330"/>
    <w:rsid w:val="00D02397"/>
    <w:rsid w:val="00D02457"/>
    <w:rsid w:val="00D0249F"/>
    <w:rsid w:val="00D024DA"/>
    <w:rsid w:val="00D0253C"/>
    <w:rsid w:val="00D025C8"/>
    <w:rsid w:val="00D025E0"/>
    <w:rsid w:val="00D0263C"/>
    <w:rsid w:val="00D02738"/>
    <w:rsid w:val="00D0275D"/>
    <w:rsid w:val="00D0276E"/>
    <w:rsid w:val="00D027E8"/>
    <w:rsid w:val="00D028D7"/>
    <w:rsid w:val="00D02907"/>
    <w:rsid w:val="00D0292C"/>
    <w:rsid w:val="00D0295B"/>
    <w:rsid w:val="00D029EE"/>
    <w:rsid w:val="00D02A7D"/>
    <w:rsid w:val="00D02A8F"/>
    <w:rsid w:val="00D02AAE"/>
    <w:rsid w:val="00D02AF0"/>
    <w:rsid w:val="00D02B00"/>
    <w:rsid w:val="00D02B53"/>
    <w:rsid w:val="00D02B61"/>
    <w:rsid w:val="00D02B90"/>
    <w:rsid w:val="00D02BB2"/>
    <w:rsid w:val="00D02BCE"/>
    <w:rsid w:val="00D02BD8"/>
    <w:rsid w:val="00D02CBC"/>
    <w:rsid w:val="00D02CEE"/>
    <w:rsid w:val="00D02CF8"/>
    <w:rsid w:val="00D02D38"/>
    <w:rsid w:val="00D02D4A"/>
    <w:rsid w:val="00D02D58"/>
    <w:rsid w:val="00D02D90"/>
    <w:rsid w:val="00D02DA6"/>
    <w:rsid w:val="00D02DCC"/>
    <w:rsid w:val="00D02E2F"/>
    <w:rsid w:val="00D02E68"/>
    <w:rsid w:val="00D02E97"/>
    <w:rsid w:val="00D02E9B"/>
    <w:rsid w:val="00D02EA5"/>
    <w:rsid w:val="00D02EB3"/>
    <w:rsid w:val="00D03019"/>
    <w:rsid w:val="00D03034"/>
    <w:rsid w:val="00D030DE"/>
    <w:rsid w:val="00D0310D"/>
    <w:rsid w:val="00D03170"/>
    <w:rsid w:val="00D031BF"/>
    <w:rsid w:val="00D031F7"/>
    <w:rsid w:val="00D032E8"/>
    <w:rsid w:val="00D03371"/>
    <w:rsid w:val="00D033CF"/>
    <w:rsid w:val="00D033DA"/>
    <w:rsid w:val="00D0344A"/>
    <w:rsid w:val="00D03462"/>
    <w:rsid w:val="00D0354C"/>
    <w:rsid w:val="00D03577"/>
    <w:rsid w:val="00D035BE"/>
    <w:rsid w:val="00D03648"/>
    <w:rsid w:val="00D03674"/>
    <w:rsid w:val="00D03715"/>
    <w:rsid w:val="00D0378F"/>
    <w:rsid w:val="00D037A7"/>
    <w:rsid w:val="00D037C8"/>
    <w:rsid w:val="00D03843"/>
    <w:rsid w:val="00D03866"/>
    <w:rsid w:val="00D038B7"/>
    <w:rsid w:val="00D03983"/>
    <w:rsid w:val="00D039B6"/>
    <w:rsid w:val="00D039C3"/>
    <w:rsid w:val="00D03A13"/>
    <w:rsid w:val="00D03A15"/>
    <w:rsid w:val="00D03A73"/>
    <w:rsid w:val="00D03A80"/>
    <w:rsid w:val="00D03AD8"/>
    <w:rsid w:val="00D03B03"/>
    <w:rsid w:val="00D03B52"/>
    <w:rsid w:val="00D03B5B"/>
    <w:rsid w:val="00D03B81"/>
    <w:rsid w:val="00D03C39"/>
    <w:rsid w:val="00D03C3C"/>
    <w:rsid w:val="00D03C3F"/>
    <w:rsid w:val="00D03C79"/>
    <w:rsid w:val="00D03D3C"/>
    <w:rsid w:val="00D03E29"/>
    <w:rsid w:val="00D03E56"/>
    <w:rsid w:val="00D03EC7"/>
    <w:rsid w:val="00D03F59"/>
    <w:rsid w:val="00D03F9F"/>
    <w:rsid w:val="00D03FBD"/>
    <w:rsid w:val="00D03FC9"/>
    <w:rsid w:val="00D03FE6"/>
    <w:rsid w:val="00D04013"/>
    <w:rsid w:val="00D0407E"/>
    <w:rsid w:val="00D0408E"/>
    <w:rsid w:val="00D0416C"/>
    <w:rsid w:val="00D0419C"/>
    <w:rsid w:val="00D041A9"/>
    <w:rsid w:val="00D041B9"/>
    <w:rsid w:val="00D0426C"/>
    <w:rsid w:val="00D04293"/>
    <w:rsid w:val="00D042A6"/>
    <w:rsid w:val="00D0430B"/>
    <w:rsid w:val="00D04313"/>
    <w:rsid w:val="00D04353"/>
    <w:rsid w:val="00D043F6"/>
    <w:rsid w:val="00D04404"/>
    <w:rsid w:val="00D0449C"/>
    <w:rsid w:val="00D0449D"/>
    <w:rsid w:val="00D044CD"/>
    <w:rsid w:val="00D044DC"/>
    <w:rsid w:val="00D04515"/>
    <w:rsid w:val="00D04567"/>
    <w:rsid w:val="00D04629"/>
    <w:rsid w:val="00D04649"/>
    <w:rsid w:val="00D04675"/>
    <w:rsid w:val="00D046CB"/>
    <w:rsid w:val="00D04700"/>
    <w:rsid w:val="00D047C2"/>
    <w:rsid w:val="00D047DC"/>
    <w:rsid w:val="00D0480C"/>
    <w:rsid w:val="00D048F2"/>
    <w:rsid w:val="00D0493F"/>
    <w:rsid w:val="00D04946"/>
    <w:rsid w:val="00D04958"/>
    <w:rsid w:val="00D049BC"/>
    <w:rsid w:val="00D04AA7"/>
    <w:rsid w:val="00D04AF8"/>
    <w:rsid w:val="00D04B23"/>
    <w:rsid w:val="00D04B84"/>
    <w:rsid w:val="00D04BB8"/>
    <w:rsid w:val="00D04BC6"/>
    <w:rsid w:val="00D04D51"/>
    <w:rsid w:val="00D04DA2"/>
    <w:rsid w:val="00D04DDF"/>
    <w:rsid w:val="00D04DF9"/>
    <w:rsid w:val="00D04E90"/>
    <w:rsid w:val="00D04EA9"/>
    <w:rsid w:val="00D04F10"/>
    <w:rsid w:val="00D04F2C"/>
    <w:rsid w:val="00D04F44"/>
    <w:rsid w:val="00D04F79"/>
    <w:rsid w:val="00D04F7A"/>
    <w:rsid w:val="00D04F7D"/>
    <w:rsid w:val="00D04FF4"/>
    <w:rsid w:val="00D05075"/>
    <w:rsid w:val="00D0508A"/>
    <w:rsid w:val="00D050A8"/>
    <w:rsid w:val="00D050DE"/>
    <w:rsid w:val="00D0510E"/>
    <w:rsid w:val="00D0512B"/>
    <w:rsid w:val="00D0512D"/>
    <w:rsid w:val="00D05182"/>
    <w:rsid w:val="00D051F2"/>
    <w:rsid w:val="00D052C5"/>
    <w:rsid w:val="00D052EC"/>
    <w:rsid w:val="00D05459"/>
    <w:rsid w:val="00D05481"/>
    <w:rsid w:val="00D05491"/>
    <w:rsid w:val="00D054BB"/>
    <w:rsid w:val="00D054C7"/>
    <w:rsid w:val="00D054CA"/>
    <w:rsid w:val="00D05560"/>
    <w:rsid w:val="00D0556C"/>
    <w:rsid w:val="00D0557F"/>
    <w:rsid w:val="00D055AA"/>
    <w:rsid w:val="00D055B7"/>
    <w:rsid w:val="00D0563D"/>
    <w:rsid w:val="00D0568C"/>
    <w:rsid w:val="00D0572B"/>
    <w:rsid w:val="00D057D4"/>
    <w:rsid w:val="00D05881"/>
    <w:rsid w:val="00D058D1"/>
    <w:rsid w:val="00D0594F"/>
    <w:rsid w:val="00D05977"/>
    <w:rsid w:val="00D059B5"/>
    <w:rsid w:val="00D059E2"/>
    <w:rsid w:val="00D05A08"/>
    <w:rsid w:val="00D05AA1"/>
    <w:rsid w:val="00D05AD7"/>
    <w:rsid w:val="00D05B29"/>
    <w:rsid w:val="00D05B8F"/>
    <w:rsid w:val="00D05BA2"/>
    <w:rsid w:val="00D05BD5"/>
    <w:rsid w:val="00D05D08"/>
    <w:rsid w:val="00D05D81"/>
    <w:rsid w:val="00D05D8B"/>
    <w:rsid w:val="00D05DDC"/>
    <w:rsid w:val="00D05DF8"/>
    <w:rsid w:val="00D05E1D"/>
    <w:rsid w:val="00D05E45"/>
    <w:rsid w:val="00D05E71"/>
    <w:rsid w:val="00D05E9B"/>
    <w:rsid w:val="00D05EC4"/>
    <w:rsid w:val="00D05F12"/>
    <w:rsid w:val="00D05FE5"/>
    <w:rsid w:val="00D05FF2"/>
    <w:rsid w:val="00D06018"/>
    <w:rsid w:val="00D0601E"/>
    <w:rsid w:val="00D06061"/>
    <w:rsid w:val="00D0606E"/>
    <w:rsid w:val="00D06083"/>
    <w:rsid w:val="00D0608D"/>
    <w:rsid w:val="00D0619E"/>
    <w:rsid w:val="00D061A5"/>
    <w:rsid w:val="00D061B5"/>
    <w:rsid w:val="00D061B9"/>
    <w:rsid w:val="00D061CF"/>
    <w:rsid w:val="00D0630B"/>
    <w:rsid w:val="00D06325"/>
    <w:rsid w:val="00D0637E"/>
    <w:rsid w:val="00D063DE"/>
    <w:rsid w:val="00D064F7"/>
    <w:rsid w:val="00D06516"/>
    <w:rsid w:val="00D0653D"/>
    <w:rsid w:val="00D065FC"/>
    <w:rsid w:val="00D066F6"/>
    <w:rsid w:val="00D06720"/>
    <w:rsid w:val="00D06743"/>
    <w:rsid w:val="00D06807"/>
    <w:rsid w:val="00D0683A"/>
    <w:rsid w:val="00D0688F"/>
    <w:rsid w:val="00D068A5"/>
    <w:rsid w:val="00D068BD"/>
    <w:rsid w:val="00D068D1"/>
    <w:rsid w:val="00D06A58"/>
    <w:rsid w:val="00D06A6D"/>
    <w:rsid w:val="00D06B78"/>
    <w:rsid w:val="00D06B8C"/>
    <w:rsid w:val="00D06BFD"/>
    <w:rsid w:val="00D06C13"/>
    <w:rsid w:val="00D06CA5"/>
    <w:rsid w:val="00D06D43"/>
    <w:rsid w:val="00D06D9E"/>
    <w:rsid w:val="00D06E70"/>
    <w:rsid w:val="00D06F47"/>
    <w:rsid w:val="00D06F4A"/>
    <w:rsid w:val="00D06F6C"/>
    <w:rsid w:val="00D06FC8"/>
    <w:rsid w:val="00D06FE6"/>
    <w:rsid w:val="00D06FE9"/>
    <w:rsid w:val="00D07053"/>
    <w:rsid w:val="00D07068"/>
    <w:rsid w:val="00D070CA"/>
    <w:rsid w:val="00D070F4"/>
    <w:rsid w:val="00D07165"/>
    <w:rsid w:val="00D071C3"/>
    <w:rsid w:val="00D072FE"/>
    <w:rsid w:val="00D07326"/>
    <w:rsid w:val="00D0732F"/>
    <w:rsid w:val="00D073E0"/>
    <w:rsid w:val="00D074CF"/>
    <w:rsid w:val="00D074FC"/>
    <w:rsid w:val="00D075BC"/>
    <w:rsid w:val="00D075D3"/>
    <w:rsid w:val="00D0761E"/>
    <w:rsid w:val="00D0765A"/>
    <w:rsid w:val="00D07667"/>
    <w:rsid w:val="00D07677"/>
    <w:rsid w:val="00D076B6"/>
    <w:rsid w:val="00D076DB"/>
    <w:rsid w:val="00D077B3"/>
    <w:rsid w:val="00D077C9"/>
    <w:rsid w:val="00D07827"/>
    <w:rsid w:val="00D07876"/>
    <w:rsid w:val="00D078BA"/>
    <w:rsid w:val="00D0790E"/>
    <w:rsid w:val="00D0791B"/>
    <w:rsid w:val="00D079E5"/>
    <w:rsid w:val="00D07A08"/>
    <w:rsid w:val="00D07A4E"/>
    <w:rsid w:val="00D07A77"/>
    <w:rsid w:val="00D07ACB"/>
    <w:rsid w:val="00D07B70"/>
    <w:rsid w:val="00D07B82"/>
    <w:rsid w:val="00D07C70"/>
    <w:rsid w:val="00D07E34"/>
    <w:rsid w:val="00D07E8D"/>
    <w:rsid w:val="00D07E9E"/>
    <w:rsid w:val="00D07F02"/>
    <w:rsid w:val="00D07F47"/>
    <w:rsid w:val="00D07FDC"/>
    <w:rsid w:val="00D1004E"/>
    <w:rsid w:val="00D1005D"/>
    <w:rsid w:val="00D10088"/>
    <w:rsid w:val="00D1011B"/>
    <w:rsid w:val="00D10236"/>
    <w:rsid w:val="00D102C5"/>
    <w:rsid w:val="00D1033A"/>
    <w:rsid w:val="00D10388"/>
    <w:rsid w:val="00D103AE"/>
    <w:rsid w:val="00D1041E"/>
    <w:rsid w:val="00D10468"/>
    <w:rsid w:val="00D104EE"/>
    <w:rsid w:val="00D1050E"/>
    <w:rsid w:val="00D105D6"/>
    <w:rsid w:val="00D10604"/>
    <w:rsid w:val="00D106D1"/>
    <w:rsid w:val="00D10754"/>
    <w:rsid w:val="00D10763"/>
    <w:rsid w:val="00D1079E"/>
    <w:rsid w:val="00D10893"/>
    <w:rsid w:val="00D108A4"/>
    <w:rsid w:val="00D108FA"/>
    <w:rsid w:val="00D10929"/>
    <w:rsid w:val="00D1092E"/>
    <w:rsid w:val="00D1096F"/>
    <w:rsid w:val="00D10992"/>
    <w:rsid w:val="00D109F0"/>
    <w:rsid w:val="00D10A29"/>
    <w:rsid w:val="00D10A7B"/>
    <w:rsid w:val="00D10AE6"/>
    <w:rsid w:val="00D10C0E"/>
    <w:rsid w:val="00D10C4F"/>
    <w:rsid w:val="00D10C9B"/>
    <w:rsid w:val="00D10CA1"/>
    <w:rsid w:val="00D10CBC"/>
    <w:rsid w:val="00D10D8C"/>
    <w:rsid w:val="00D10DAE"/>
    <w:rsid w:val="00D10E5F"/>
    <w:rsid w:val="00D10EE8"/>
    <w:rsid w:val="00D10FA3"/>
    <w:rsid w:val="00D11076"/>
    <w:rsid w:val="00D11089"/>
    <w:rsid w:val="00D110A2"/>
    <w:rsid w:val="00D110D3"/>
    <w:rsid w:val="00D111F4"/>
    <w:rsid w:val="00D112A1"/>
    <w:rsid w:val="00D112C9"/>
    <w:rsid w:val="00D113B3"/>
    <w:rsid w:val="00D113E4"/>
    <w:rsid w:val="00D11573"/>
    <w:rsid w:val="00D1158C"/>
    <w:rsid w:val="00D11661"/>
    <w:rsid w:val="00D11688"/>
    <w:rsid w:val="00D116D2"/>
    <w:rsid w:val="00D1171A"/>
    <w:rsid w:val="00D1178A"/>
    <w:rsid w:val="00D117F6"/>
    <w:rsid w:val="00D1189E"/>
    <w:rsid w:val="00D11A09"/>
    <w:rsid w:val="00D11AD5"/>
    <w:rsid w:val="00D11B3F"/>
    <w:rsid w:val="00D11BF9"/>
    <w:rsid w:val="00D11C03"/>
    <w:rsid w:val="00D11C51"/>
    <w:rsid w:val="00D11CA4"/>
    <w:rsid w:val="00D11CFB"/>
    <w:rsid w:val="00D11D84"/>
    <w:rsid w:val="00D11E07"/>
    <w:rsid w:val="00D11E3E"/>
    <w:rsid w:val="00D11E5B"/>
    <w:rsid w:val="00D11EB6"/>
    <w:rsid w:val="00D11ECB"/>
    <w:rsid w:val="00D11F35"/>
    <w:rsid w:val="00D12102"/>
    <w:rsid w:val="00D1213D"/>
    <w:rsid w:val="00D121A8"/>
    <w:rsid w:val="00D121B4"/>
    <w:rsid w:val="00D12264"/>
    <w:rsid w:val="00D1226C"/>
    <w:rsid w:val="00D12272"/>
    <w:rsid w:val="00D12287"/>
    <w:rsid w:val="00D123B9"/>
    <w:rsid w:val="00D12415"/>
    <w:rsid w:val="00D1241D"/>
    <w:rsid w:val="00D12424"/>
    <w:rsid w:val="00D1242D"/>
    <w:rsid w:val="00D1246D"/>
    <w:rsid w:val="00D1247A"/>
    <w:rsid w:val="00D12492"/>
    <w:rsid w:val="00D124D8"/>
    <w:rsid w:val="00D12584"/>
    <w:rsid w:val="00D125F6"/>
    <w:rsid w:val="00D125FB"/>
    <w:rsid w:val="00D12643"/>
    <w:rsid w:val="00D12677"/>
    <w:rsid w:val="00D1277F"/>
    <w:rsid w:val="00D127EA"/>
    <w:rsid w:val="00D127EF"/>
    <w:rsid w:val="00D12813"/>
    <w:rsid w:val="00D1287B"/>
    <w:rsid w:val="00D128BB"/>
    <w:rsid w:val="00D128BE"/>
    <w:rsid w:val="00D128C3"/>
    <w:rsid w:val="00D1291B"/>
    <w:rsid w:val="00D12945"/>
    <w:rsid w:val="00D12949"/>
    <w:rsid w:val="00D12973"/>
    <w:rsid w:val="00D1297C"/>
    <w:rsid w:val="00D129BE"/>
    <w:rsid w:val="00D12ABC"/>
    <w:rsid w:val="00D12AE6"/>
    <w:rsid w:val="00D12B28"/>
    <w:rsid w:val="00D12B5A"/>
    <w:rsid w:val="00D12B5F"/>
    <w:rsid w:val="00D12B84"/>
    <w:rsid w:val="00D12C5C"/>
    <w:rsid w:val="00D12CFB"/>
    <w:rsid w:val="00D12D01"/>
    <w:rsid w:val="00D12DDC"/>
    <w:rsid w:val="00D12E51"/>
    <w:rsid w:val="00D12EE0"/>
    <w:rsid w:val="00D12F42"/>
    <w:rsid w:val="00D13011"/>
    <w:rsid w:val="00D13207"/>
    <w:rsid w:val="00D13209"/>
    <w:rsid w:val="00D132A6"/>
    <w:rsid w:val="00D132D3"/>
    <w:rsid w:val="00D13340"/>
    <w:rsid w:val="00D13342"/>
    <w:rsid w:val="00D13352"/>
    <w:rsid w:val="00D13417"/>
    <w:rsid w:val="00D134C1"/>
    <w:rsid w:val="00D134F2"/>
    <w:rsid w:val="00D13623"/>
    <w:rsid w:val="00D13687"/>
    <w:rsid w:val="00D13692"/>
    <w:rsid w:val="00D136AF"/>
    <w:rsid w:val="00D13772"/>
    <w:rsid w:val="00D13814"/>
    <w:rsid w:val="00D13829"/>
    <w:rsid w:val="00D1382F"/>
    <w:rsid w:val="00D13855"/>
    <w:rsid w:val="00D138F4"/>
    <w:rsid w:val="00D139B9"/>
    <w:rsid w:val="00D139BA"/>
    <w:rsid w:val="00D13A5E"/>
    <w:rsid w:val="00D13A9A"/>
    <w:rsid w:val="00D13AC6"/>
    <w:rsid w:val="00D13AC9"/>
    <w:rsid w:val="00D13AEC"/>
    <w:rsid w:val="00D13BF7"/>
    <w:rsid w:val="00D13C6E"/>
    <w:rsid w:val="00D13CA5"/>
    <w:rsid w:val="00D13CC2"/>
    <w:rsid w:val="00D13D0D"/>
    <w:rsid w:val="00D13D73"/>
    <w:rsid w:val="00D13DC0"/>
    <w:rsid w:val="00D13DF1"/>
    <w:rsid w:val="00D13E9B"/>
    <w:rsid w:val="00D13ECE"/>
    <w:rsid w:val="00D13F3C"/>
    <w:rsid w:val="00D1407B"/>
    <w:rsid w:val="00D1410F"/>
    <w:rsid w:val="00D1411A"/>
    <w:rsid w:val="00D14138"/>
    <w:rsid w:val="00D14192"/>
    <w:rsid w:val="00D14227"/>
    <w:rsid w:val="00D14235"/>
    <w:rsid w:val="00D14293"/>
    <w:rsid w:val="00D142DC"/>
    <w:rsid w:val="00D142DF"/>
    <w:rsid w:val="00D14308"/>
    <w:rsid w:val="00D14396"/>
    <w:rsid w:val="00D14416"/>
    <w:rsid w:val="00D14449"/>
    <w:rsid w:val="00D1447E"/>
    <w:rsid w:val="00D1456C"/>
    <w:rsid w:val="00D14581"/>
    <w:rsid w:val="00D14599"/>
    <w:rsid w:val="00D14658"/>
    <w:rsid w:val="00D1466F"/>
    <w:rsid w:val="00D146C2"/>
    <w:rsid w:val="00D147A3"/>
    <w:rsid w:val="00D14850"/>
    <w:rsid w:val="00D148E5"/>
    <w:rsid w:val="00D149DB"/>
    <w:rsid w:val="00D149E3"/>
    <w:rsid w:val="00D149EE"/>
    <w:rsid w:val="00D14A01"/>
    <w:rsid w:val="00D14A0E"/>
    <w:rsid w:val="00D14AB2"/>
    <w:rsid w:val="00D14ABD"/>
    <w:rsid w:val="00D14ACD"/>
    <w:rsid w:val="00D14B1D"/>
    <w:rsid w:val="00D14B6F"/>
    <w:rsid w:val="00D14B9C"/>
    <w:rsid w:val="00D14BD7"/>
    <w:rsid w:val="00D14BE7"/>
    <w:rsid w:val="00D14BEB"/>
    <w:rsid w:val="00D14C08"/>
    <w:rsid w:val="00D14C56"/>
    <w:rsid w:val="00D14CB1"/>
    <w:rsid w:val="00D14CE2"/>
    <w:rsid w:val="00D14D6C"/>
    <w:rsid w:val="00D14E21"/>
    <w:rsid w:val="00D14E6F"/>
    <w:rsid w:val="00D14F0E"/>
    <w:rsid w:val="00D14F67"/>
    <w:rsid w:val="00D14F7E"/>
    <w:rsid w:val="00D14F9D"/>
    <w:rsid w:val="00D1504B"/>
    <w:rsid w:val="00D15155"/>
    <w:rsid w:val="00D15228"/>
    <w:rsid w:val="00D15405"/>
    <w:rsid w:val="00D15480"/>
    <w:rsid w:val="00D154BB"/>
    <w:rsid w:val="00D154D6"/>
    <w:rsid w:val="00D155A3"/>
    <w:rsid w:val="00D155A5"/>
    <w:rsid w:val="00D15625"/>
    <w:rsid w:val="00D156C1"/>
    <w:rsid w:val="00D157AA"/>
    <w:rsid w:val="00D15804"/>
    <w:rsid w:val="00D1580C"/>
    <w:rsid w:val="00D1586B"/>
    <w:rsid w:val="00D15888"/>
    <w:rsid w:val="00D15889"/>
    <w:rsid w:val="00D15898"/>
    <w:rsid w:val="00D158CE"/>
    <w:rsid w:val="00D15918"/>
    <w:rsid w:val="00D1591A"/>
    <w:rsid w:val="00D15979"/>
    <w:rsid w:val="00D159AF"/>
    <w:rsid w:val="00D159B3"/>
    <w:rsid w:val="00D159C3"/>
    <w:rsid w:val="00D159C6"/>
    <w:rsid w:val="00D15ACF"/>
    <w:rsid w:val="00D15AF7"/>
    <w:rsid w:val="00D15B00"/>
    <w:rsid w:val="00D15B61"/>
    <w:rsid w:val="00D15B78"/>
    <w:rsid w:val="00D15C53"/>
    <w:rsid w:val="00D15C7D"/>
    <w:rsid w:val="00D15C80"/>
    <w:rsid w:val="00D15C8E"/>
    <w:rsid w:val="00D15D33"/>
    <w:rsid w:val="00D15D64"/>
    <w:rsid w:val="00D15E4A"/>
    <w:rsid w:val="00D15E9A"/>
    <w:rsid w:val="00D15F93"/>
    <w:rsid w:val="00D15FB4"/>
    <w:rsid w:val="00D15FC9"/>
    <w:rsid w:val="00D15FD7"/>
    <w:rsid w:val="00D160EC"/>
    <w:rsid w:val="00D16115"/>
    <w:rsid w:val="00D16167"/>
    <w:rsid w:val="00D1618B"/>
    <w:rsid w:val="00D16196"/>
    <w:rsid w:val="00D161A8"/>
    <w:rsid w:val="00D161AE"/>
    <w:rsid w:val="00D161D2"/>
    <w:rsid w:val="00D1620B"/>
    <w:rsid w:val="00D16297"/>
    <w:rsid w:val="00D162B5"/>
    <w:rsid w:val="00D162BB"/>
    <w:rsid w:val="00D164AB"/>
    <w:rsid w:val="00D16501"/>
    <w:rsid w:val="00D166D1"/>
    <w:rsid w:val="00D1679E"/>
    <w:rsid w:val="00D16811"/>
    <w:rsid w:val="00D16816"/>
    <w:rsid w:val="00D16925"/>
    <w:rsid w:val="00D16933"/>
    <w:rsid w:val="00D16935"/>
    <w:rsid w:val="00D1693E"/>
    <w:rsid w:val="00D1697F"/>
    <w:rsid w:val="00D16984"/>
    <w:rsid w:val="00D16AA2"/>
    <w:rsid w:val="00D16AF2"/>
    <w:rsid w:val="00D16B05"/>
    <w:rsid w:val="00D16B0E"/>
    <w:rsid w:val="00D16BC6"/>
    <w:rsid w:val="00D16C60"/>
    <w:rsid w:val="00D16CDE"/>
    <w:rsid w:val="00D16CEC"/>
    <w:rsid w:val="00D16D01"/>
    <w:rsid w:val="00D16D16"/>
    <w:rsid w:val="00D16D36"/>
    <w:rsid w:val="00D16D98"/>
    <w:rsid w:val="00D16DC4"/>
    <w:rsid w:val="00D16E1C"/>
    <w:rsid w:val="00D16E38"/>
    <w:rsid w:val="00D1706E"/>
    <w:rsid w:val="00D1709C"/>
    <w:rsid w:val="00D170A0"/>
    <w:rsid w:val="00D170CA"/>
    <w:rsid w:val="00D170FB"/>
    <w:rsid w:val="00D17114"/>
    <w:rsid w:val="00D17189"/>
    <w:rsid w:val="00D171CB"/>
    <w:rsid w:val="00D17204"/>
    <w:rsid w:val="00D17219"/>
    <w:rsid w:val="00D17386"/>
    <w:rsid w:val="00D173D9"/>
    <w:rsid w:val="00D173FD"/>
    <w:rsid w:val="00D17406"/>
    <w:rsid w:val="00D1745E"/>
    <w:rsid w:val="00D17481"/>
    <w:rsid w:val="00D17592"/>
    <w:rsid w:val="00D175E7"/>
    <w:rsid w:val="00D1765F"/>
    <w:rsid w:val="00D17670"/>
    <w:rsid w:val="00D17683"/>
    <w:rsid w:val="00D1769A"/>
    <w:rsid w:val="00D1771B"/>
    <w:rsid w:val="00D17862"/>
    <w:rsid w:val="00D17898"/>
    <w:rsid w:val="00D178AA"/>
    <w:rsid w:val="00D17925"/>
    <w:rsid w:val="00D17926"/>
    <w:rsid w:val="00D17971"/>
    <w:rsid w:val="00D1798B"/>
    <w:rsid w:val="00D179A7"/>
    <w:rsid w:val="00D179B0"/>
    <w:rsid w:val="00D179F9"/>
    <w:rsid w:val="00D17AB6"/>
    <w:rsid w:val="00D17B4C"/>
    <w:rsid w:val="00D17BBC"/>
    <w:rsid w:val="00D17C2A"/>
    <w:rsid w:val="00D17C2B"/>
    <w:rsid w:val="00D17D9F"/>
    <w:rsid w:val="00D17E14"/>
    <w:rsid w:val="00D17ED4"/>
    <w:rsid w:val="00D2005E"/>
    <w:rsid w:val="00D2016D"/>
    <w:rsid w:val="00D20204"/>
    <w:rsid w:val="00D2022D"/>
    <w:rsid w:val="00D2029A"/>
    <w:rsid w:val="00D202B2"/>
    <w:rsid w:val="00D202F8"/>
    <w:rsid w:val="00D20302"/>
    <w:rsid w:val="00D2033C"/>
    <w:rsid w:val="00D203DD"/>
    <w:rsid w:val="00D2040D"/>
    <w:rsid w:val="00D2044A"/>
    <w:rsid w:val="00D2048D"/>
    <w:rsid w:val="00D2051C"/>
    <w:rsid w:val="00D2054F"/>
    <w:rsid w:val="00D20591"/>
    <w:rsid w:val="00D206DD"/>
    <w:rsid w:val="00D207CC"/>
    <w:rsid w:val="00D2084A"/>
    <w:rsid w:val="00D209F3"/>
    <w:rsid w:val="00D20A07"/>
    <w:rsid w:val="00D20AA6"/>
    <w:rsid w:val="00D20ACD"/>
    <w:rsid w:val="00D20B1F"/>
    <w:rsid w:val="00D20B7D"/>
    <w:rsid w:val="00D20B83"/>
    <w:rsid w:val="00D20BF8"/>
    <w:rsid w:val="00D20C2A"/>
    <w:rsid w:val="00D20C58"/>
    <w:rsid w:val="00D20CB2"/>
    <w:rsid w:val="00D20CF1"/>
    <w:rsid w:val="00D20D5C"/>
    <w:rsid w:val="00D20DED"/>
    <w:rsid w:val="00D20E56"/>
    <w:rsid w:val="00D20E87"/>
    <w:rsid w:val="00D20F11"/>
    <w:rsid w:val="00D20F42"/>
    <w:rsid w:val="00D20F49"/>
    <w:rsid w:val="00D20F6F"/>
    <w:rsid w:val="00D20FC8"/>
    <w:rsid w:val="00D2100C"/>
    <w:rsid w:val="00D21088"/>
    <w:rsid w:val="00D210B2"/>
    <w:rsid w:val="00D210C0"/>
    <w:rsid w:val="00D210E9"/>
    <w:rsid w:val="00D2119F"/>
    <w:rsid w:val="00D211B2"/>
    <w:rsid w:val="00D211DA"/>
    <w:rsid w:val="00D21229"/>
    <w:rsid w:val="00D2129D"/>
    <w:rsid w:val="00D21331"/>
    <w:rsid w:val="00D21337"/>
    <w:rsid w:val="00D2147D"/>
    <w:rsid w:val="00D21483"/>
    <w:rsid w:val="00D2148F"/>
    <w:rsid w:val="00D214CC"/>
    <w:rsid w:val="00D2155C"/>
    <w:rsid w:val="00D2160E"/>
    <w:rsid w:val="00D21630"/>
    <w:rsid w:val="00D2167D"/>
    <w:rsid w:val="00D216B8"/>
    <w:rsid w:val="00D216CF"/>
    <w:rsid w:val="00D216FD"/>
    <w:rsid w:val="00D21719"/>
    <w:rsid w:val="00D21735"/>
    <w:rsid w:val="00D21743"/>
    <w:rsid w:val="00D2176A"/>
    <w:rsid w:val="00D217C5"/>
    <w:rsid w:val="00D217D0"/>
    <w:rsid w:val="00D21846"/>
    <w:rsid w:val="00D21887"/>
    <w:rsid w:val="00D218AC"/>
    <w:rsid w:val="00D218B9"/>
    <w:rsid w:val="00D218DD"/>
    <w:rsid w:val="00D21913"/>
    <w:rsid w:val="00D21953"/>
    <w:rsid w:val="00D21992"/>
    <w:rsid w:val="00D219AE"/>
    <w:rsid w:val="00D219ED"/>
    <w:rsid w:val="00D219F7"/>
    <w:rsid w:val="00D21AC2"/>
    <w:rsid w:val="00D21B4E"/>
    <w:rsid w:val="00D21B55"/>
    <w:rsid w:val="00D21B81"/>
    <w:rsid w:val="00D21C15"/>
    <w:rsid w:val="00D21C31"/>
    <w:rsid w:val="00D21C6C"/>
    <w:rsid w:val="00D21C7E"/>
    <w:rsid w:val="00D21C92"/>
    <w:rsid w:val="00D21D33"/>
    <w:rsid w:val="00D21DA4"/>
    <w:rsid w:val="00D21F6D"/>
    <w:rsid w:val="00D21FAB"/>
    <w:rsid w:val="00D21FAE"/>
    <w:rsid w:val="00D21FB8"/>
    <w:rsid w:val="00D2207C"/>
    <w:rsid w:val="00D2207F"/>
    <w:rsid w:val="00D220A5"/>
    <w:rsid w:val="00D220CF"/>
    <w:rsid w:val="00D220D6"/>
    <w:rsid w:val="00D22182"/>
    <w:rsid w:val="00D22327"/>
    <w:rsid w:val="00D22354"/>
    <w:rsid w:val="00D2246C"/>
    <w:rsid w:val="00D22489"/>
    <w:rsid w:val="00D225A4"/>
    <w:rsid w:val="00D225B8"/>
    <w:rsid w:val="00D2268A"/>
    <w:rsid w:val="00D226A8"/>
    <w:rsid w:val="00D22772"/>
    <w:rsid w:val="00D227F9"/>
    <w:rsid w:val="00D22802"/>
    <w:rsid w:val="00D2285F"/>
    <w:rsid w:val="00D22911"/>
    <w:rsid w:val="00D229FA"/>
    <w:rsid w:val="00D22A0A"/>
    <w:rsid w:val="00D22AB5"/>
    <w:rsid w:val="00D22ADB"/>
    <w:rsid w:val="00D22B17"/>
    <w:rsid w:val="00D22B63"/>
    <w:rsid w:val="00D22C07"/>
    <w:rsid w:val="00D22D77"/>
    <w:rsid w:val="00D22DAA"/>
    <w:rsid w:val="00D22DC8"/>
    <w:rsid w:val="00D22F27"/>
    <w:rsid w:val="00D22F55"/>
    <w:rsid w:val="00D22F81"/>
    <w:rsid w:val="00D22FA0"/>
    <w:rsid w:val="00D22FD2"/>
    <w:rsid w:val="00D23023"/>
    <w:rsid w:val="00D230FB"/>
    <w:rsid w:val="00D2316B"/>
    <w:rsid w:val="00D23184"/>
    <w:rsid w:val="00D23199"/>
    <w:rsid w:val="00D23264"/>
    <w:rsid w:val="00D232C9"/>
    <w:rsid w:val="00D23351"/>
    <w:rsid w:val="00D233C9"/>
    <w:rsid w:val="00D234B4"/>
    <w:rsid w:val="00D2353D"/>
    <w:rsid w:val="00D23568"/>
    <w:rsid w:val="00D236F4"/>
    <w:rsid w:val="00D23739"/>
    <w:rsid w:val="00D23753"/>
    <w:rsid w:val="00D23755"/>
    <w:rsid w:val="00D237BE"/>
    <w:rsid w:val="00D23828"/>
    <w:rsid w:val="00D23851"/>
    <w:rsid w:val="00D2387E"/>
    <w:rsid w:val="00D23899"/>
    <w:rsid w:val="00D238AD"/>
    <w:rsid w:val="00D23934"/>
    <w:rsid w:val="00D2396C"/>
    <w:rsid w:val="00D23978"/>
    <w:rsid w:val="00D239DC"/>
    <w:rsid w:val="00D23A01"/>
    <w:rsid w:val="00D23A80"/>
    <w:rsid w:val="00D23A9B"/>
    <w:rsid w:val="00D23AC8"/>
    <w:rsid w:val="00D23B44"/>
    <w:rsid w:val="00D23BA9"/>
    <w:rsid w:val="00D23BC0"/>
    <w:rsid w:val="00D23BDE"/>
    <w:rsid w:val="00D23BE8"/>
    <w:rsid w:val="00D23C08"/>
    <w:rsid w:val="00D23C26"/>
    <w:rsid w:val="00D23C44"/>
    <w:rsid w:val="00D23C93"/>
    <w:rsid w:val="00D23D2A"/>
    <w:rsid w:val="00D23D69"/>
    <w:rsid w:val="00D23ED1"/>
    <w:rsid w:val="00D23F58"/>
    <w:rsid w:val="00D23FAB"/>
    <w:rsid w:val="00D23FC6"/>
    <w:rsid w:val="00D2402B"/>
    <w:rsid w:val="00D240A9"/>
    <w:rsid w:val="00D24138"/>
    <w:rsid w:val="00D2413B"/>
    <w:rsid w:val="00D2414D"/>
    <w:rsid w:val="00D24177"/>
    <w:rsid w:val="00D24195"/>
    <w:rsid w:val="00D241A8"/>
    <w:rsid w:val="00D241C0"/>
    <w:rsid w:val="00D24246"/>
    <w:rsid w:val="00D24253"/>
    <w:rsid w:val="00D24271"/>
    <w:rsid w:val="00D242EA"/>
    <w:rsid w:val="00D24377"/>
    <w:rsid w:val="00D2437E"/>
    <w:rsid w:val="00D24387"/>
    <w:rsid w:val="00D2446A"/>
    <w:rsid w:val="00D2453C"/>
    <w:rsid w:val="00D2459F"/>
    <w:rsid w:val="00D24602"/>
    <w:rsid w:val="00D24677"/>
    <w:rsid w:val="00D24693"/>
    <w:rsid w:val="00D246B8"/>
    <w:rsid w:val="00D24714"/>
    <w:rsid w:val="00D2472C"/>
    <w:rsid w:val="00D24739"/>
    <w:rsid w:val="00D247D8"/>
    <w:rsid w:val="00D24881"/>
    <w:rsid w:val="00D249A0"/>
    <w:rsid w:val="00D24A0D"/>
    <w:rsid w:val="00D24A94"/>
    <w:rsid w:val="00D24BAD"/>
    <w:rsid w:val="00D24BAF"/>
    <w:rsid w:val="00D24C11"/>
    <w:rsid w:val="00D24C23"/>
    <w:rsid w:val="00D24CCB"/>
    <w:rsid w:val="00D24CF7"/>
    <w:rsid w:val="00D24D1F"/>
    <w:rsid w:val="00D24D6F"/>
    <w:rsid w:val="00D24D7D"/>
    <w:rsid w:val="00D24D8D"/>
    <w:rsid w:val="00D24D97"/>
    <w:rsid w:val="00D24E04"/>
    <w:rsid w:val="00D24F0B"/>
    <w:rsid w:val="00D24F49"/>
    <w:rsid w:val="00D2500D"/>
    <w:rsid w:val="00D25015"/>
    <w:rsid w:val="00D2504F"/>
    <w:rsid w:val="00D25061"/>
    <w:rsid w:val="00D250B8"/>
    <w:rsid w:val="00D25178"/>
    <w:rsid w:val="00D251C8"/>
    <w:rsid w:val="00D251D8"/>
    <w:rsid w:val="00D251DA"/>
    <w:rsid w:val="00D25218"/>
    <w:rsid w:val="00D2529C"/>
    <w:rsid w:val="00D252A8"/>
    <w:rsid w:val="00D252EE"/>
    <w:rsid w:val="00D2536C"/>
    <w:rsid w:val="00D2537B"/>
    <w:rsid w:val="00D253A4"/>
    <w:rsid w:val="00D25439"/>
    <w:rsid w:val="00D254D4"/>
    <w:rsid w:val="00D25558"/>
    <w:rsid w:val="00D255F3"/>
    <w:rsid w:val="00D2565E"/>
    <w:rsid w:val="00D2567B"/>
    <w:rsid w:val="00D256F7"/>
    <w:rsid w:val="00D25709"/>
    <w:rsid w:val="00D25719"/>
    <w:rsid w:val="00D25734"/>
    <w:rsid w:val="00D257FD"/>
    <w:rsid w:val="00D25859"/>
    <w:rsid w:val="00D2589C"/>
    <w:rsid w:val="00D2593A"/>
    <w:rsid w:val="00D259EC"/>
    <w:rsid w:val="00D25AC4"/>
    <w:rsid w:val="00D25B01"/>
    <w:rsid w:val="00D25B5E"/>
    <w:rsid w:val="00D25BDF"/>
    <w:rsid w:val="00D25C0A"/>
    <w:rsid w:val="00D25C4D"/>
    <w:rsid w:val="00D25CBB"/>
    <w:rsid w:val="00D25CD9"/>
    <w:rsid w:val="00D25D1D"/>
    <w:rsid w:val="00D25D55"/>
    <w:rsid w:val="00D25D9A"/>
    <w:rsid w:val="00D25DBC"/>
    <w:rsid w:val="00D25E4A"/>
    <w:rsid w:val="00D25E54"/>
    <w:rsid w:val="00D25E80"/>
    <w:rsid w:val="00D25ED6"/>
    <w:rsid w:val="00D25FBC"/>
    <w:rsid w:val="00D25FE3"/>
    <w:rsid w:val="00D26021"/>
    <w:rsid w:val="00D26067"/>
    <w:rsid w:val="00D260AF"/>
    <w:rsid w:val="00D2617D"/>
    <w:rsid w:val="00D261A3"/>
    <w:rsid w:val="00D261C8"/>
    <w:rsid w:val="00D261FE"/>
    <w:rsid w:val="00D26211"/>
    <w:rsid w:val="00D26259"/>
    <w:rsid w:val="00D2628B"/>
    <w:rsid w:val="00D2629A"/>
    <w:rsid w:val="00D262A5"/>
    <w:rsid w:val="00D262C5"/>
    <w:rsid w:val="00D263AF"/>
    <w:rsid w:val="00D264C8"/>
    <w:rsid w:val="00D264E4"/>
    <w:rsid w:val="00D26650"/>
    <w:rsid w:val="00D26657"/>
    <w:rsid w:val="00D2666E"/>
    <w:rsid w:val="00D266AA"/>
    <w:rsid w:val="00D26708"/>
    <w:rsid w:val="00D267AD"/>
    <w:rsid w:val="00D26801"/>
    <w:rsid w:val="00D2680A"/>
    <w:rsid w:val="00D26821"/>
    <w:rsid w:val="00D26846"/>
    <w:rsid w:val="00D26856"/>
    <w:rsid w:val="00D2688C"/>
    <w:rsid w:val="00D26893"/>
    <w:rsid w:val="00D268E6"/>
    <w:rsid w:val="00D26903"/>
    <w:rsid w:val="00D26945"/>
    <w:rsid w:val="00D2695F"/>
    <w:rsid w:val="00D269B0"/>
    <w:rsid w:val="00D269C4"/>
    <w:rsid w:val="00D26A25"/>
    <w:rsid w:val="00D26BEF"/>
    <w:rsid w:val="00D26BF4"/>
    <w:rsid w:val="00D26C1A"/>
    <w:rsid w:val="00D26D0E"/>
    <w:rsid w:val="00D26D3A"/>
    <w:rsid w:val="00D26DA6"/>
    <w:rsid w:val="00D26E85"/>
    <w:rsid w:val="00D26EB0"/>
    <w:rsid w:val="00D26F19"/>
    <w:rsid w:val="00D26F6B"/>
    <w:rsid w:val="00D2713D"/>
    <w:rsid w:val="00D2714A"/>
    <w:rsid w:val="00D2719F"/>
    <w:rsid w:val="00D27218"/>
    <w:rsid w:val="00D27279"/>
    <w:rsid w:val="00D272E3"/>
    <w:rsid w:val="00D2733E"/>
    <w:rsid w:val="00D273A0"/>
    <w:rsid w:val="00D273BB"/>
    <w:rsid w:val="00D2748C"/>
    <w:rsid w:val="00D274A3"/>
    <w:rsid w:val="00D2755A"/>
    <w:rsid w:val="00D275E2"/>
    <w:rsid w:val="00D27615"/>
    <w:rsid w:val="00D27685"/>
    <w:rsid w:val="00D2770F"/>
    <w:rsid w:val="00D27788"/>
    <w:rsid w:val="00D2778F"/>
    <w:rsid w:val="00D277A9"/>
    <w:rsid w:val="00D277D0"/>
    <w:rsid w:val="00D277E0"/>
    <w:rsid w:val="00D277E8"/>
    <w:rsid w:val="00D277F3"/>
    <w:rsid w:val="00D2787E"/>
    <w:rsid w:val="00D27886"/>
    <w:rsid w:val="00D278C3"/>
    <w:rsid w:val="00D27919"/>
    <w:rsid w:val="00D27928"/>
    <w:rsid w:val="00D279B7"/>
    <w:rsid w:val="00D279ED"/>
    <w:rsid w:val="00D27A64"/>
    <w:rsid w:val="00D27B51"/>
    <w:rsid w:val="00D27BC8"/>
    <w:rsid w:val="00D27C36"/>
    <w:rsid w:val="00D27C3A"/>
    <w:rsid w:val="00D27CA7"/>
    <w:rsid w:val="00D27CBF"/>
    <w:rsid w:val="00D27CEE"/>
    <w:rsid w:val="00D27D55"/>
    <w:rsid w:val="00D27FCD"/>
    <w:rsid w:val="00D27FDA"/>
    <w:rsid w:val="00D27FF0"/>
    <w:rsid w:val="00D300CE"/>
    <w:rsid w:val="00D30153"/>
    <w:rsid w:val="00D30181"/>
    <w:rsid w:val="00D30183"/>
    <w:rsid w:val="00D3029E"/>
    <w:rsid w:val="00D3031B"/>
    <w:rsid w:val="00D30356"/>
    <w:rsid w:val="00D30390"/>
    <w:rsid w:val="00D30397"/>
    <w:rsid w:val="00D303DE"/>
    <w:rsid w:val="00D30433"/>
    <w:rsid w:val="00D30511"/>
    <w:rsid w:val="00D30567"/>
    <w:rsid w:val="00D305AD"/>
    <w:rsid w:val="00D305CF"/>
    <w:rsid w:val="00D3068E"/>
    <w:rsid w:val="00D306D9"/>
    <w:rsid w:val="00D306FB"/>
    <w:rsid w:val="00D3073E"/>
    <w:rsid w:val="00D3080A"/>
    <w:rsid w:val="00D30819"/>
    <w:rsid w:val="00D30824"/>
    <w:rsid w:val="00D30847"/>
    <w:rsid w:val="00D308CB"/>
    <w:rsid w:val="00D3095F"/>
    <w:rsid w:val="00D30975"/>
    <w:rsid w:val="00D30986"/>
    <w:rsid w:val="00D30A01"/>
    <w:rsid w:val="00D30A36"/>
    <w:rsid w:val="00D30A96"/>
    <w:rsid w:val="00D30AA2"/>
    <w:rsid w:val="00D30C26"/>
    <w:rsid w:val="00D30C3D"/>
    <w:rsid w:val="00D30C63"/>
    <w:rsid w:val="00D30C7C"/>
    <w:rsid w:val="00D30CB0"/>
    <w:rsid w:val="00D30CC0"/>
    <w:rsid w:val="00D30D0D"/>
    <w:rsid w:val="00D30DAD"/>
    <w:rsid w:val="00D30E95"/>
    <w:rsid w:val="00D30EA5"/>
    <w:rsid w:val="00D30EC2"/>
    <w:rsid w:val="00D30F14"/>
    <w:rsid w:val="00D30FA3"/>
    <w:rsid w:val="00D30FCC"/>
    <w:rsid w:val="00D31034"/>
    <w:rsid w:val="00D3104E"/>
    <w:rsid w:val="00D310F4"/>
    <w:rsid w:val="00D31145"/>
    <w:rsid w:val="00D311D8"/>
    <w:rsid w:val="00D3125E"/>
    <w:rsid w:val="00D31287"/>
    <w:rsid w:val="00D31293"/>
    <w:rsid w:val="00D31370"/>
    <w:rsid w:val="00D3138B"/>
    <w:rsid w:val="00D313A3"/>
    <w:rsid w:val="00D315A1"/>
    <w:rsid w:val="00D315B2"/>
    <w:rsid w:val="00D3161F"/>
    <w:rsid w:val="00D316A0"/>
    <w:rsid w:val="00D316CF"/>
    <w:rsid w:val="00D316EC"/>
    <w:rsid w:val="00D31735"/>
    <w:rsid w:val="00D31784"/>
    <w:rsid w:val="00D3184E"/>
    <w:rsid w:val="00D318DA"/>
    <w:rsid w:val="00D31922"/>
    <w:rsid w:val="00D31953"/>
    <w:rsid w:val="00D3199B"/>
    <w:rsid w:val="00D319A7"/>
    <w:rsid w:val="00D31B8A"/>
    <w:rsid w:val="00D31BA5"/>
    <w:rsid w:val="00D31BDE"/>
    <w:rsid w:val="00D31BE7"/>
    <w:rsid w:val="00D31C26"/>
    <w:rsid w:val="00D31C7A"/>
    <w:rsid w:val="00D31CE7"/>
    <w:rsid w:val="00D31D02"/>
    <w:rsid w:val="00D31D0A"/>
    <w:rsid w:val="00D31D71"/>
    <w:rsid w:val="00D31DE3"/>
    <w:rsid w:val="00D31E37"/>
    <w:rsid w:val="00D31E4F"/>
    <w:rsid w:val="00D31E77"/>
    <w:rsid w:val="00D31EBE"/>
    <w:rsid w:val="00D31F42"/>
    <w:rsid w:val="00D31F46"/>
    <w:rsid w:val="00D31F78"/>
    <w:rsid w:val="00D3205D"/>
    <w:rsid w:val="00D3208A"/>
    <w:rsid w:val="00D32095"/>
    <w:rsid w:val="00D3214D"/>
    <w:rsid w:val="00D32188"/>
    <w:rsid w:val="00D3220D"/>
    <w:rsid w:val="00D3228D"/>
    <w:rsid w:val="00D322A7"/>
    <w:rsid w:val="00D32302"/>
    <w:rsid w:val="00D323F3"/>
    <w:rsid w:val="00D32486"/>
    <w:rsid w:val="00D324DE"/>
    <w:rsid w:val="00D324FE"/>
    <w:rsid w:val="00D32515"/>
    <w:rsid w:val="00D32520"/>
    <w:rsid w:val="00D32563"/>
    <w:rsid w:val="00D32590"/>
    <w:rsid w:val="00D32622"/>
    <w:rsid w:val="00D326E9"/>
    <w:rsid w:val="00D326F2"/>
    <w:rsid w:val="00D3271E"/>
    <w:rsid w:val="00D32723"/>
    <w:rsid w:val="00D3274A"/>
    <w:rsid w:val="00D32750"/>
    <w:rsid w:val="00D32775"/>
    <w:rsid w:val="00D3278C"/>
    <w:rsid w:val="00D3280B"/>
    <w:rsid w:val="00D32859"/>
    <w:rsid w:val="00D32873"/>
    <w:rsid w:val="00D328A4"/>
    <w:rsid w:val="00D328BC"/>
    <w:rsid w:val="00D3298D"/>
    <w:rsid w:val="00D32997"/>
    <w:rsid w:val="00D329E4"/>
    <w:rsid w:val="00D32AE9"/>
    <w:rsid w:val="00D32B2C"/>
    <w:rsid w:val="00D32B57"/>
    <w:rsid w:val="00D32B9D"/>
    <w:rsid w:val="00D32C1D"/>
    <w:rsid w:val="00D32CBB"/>
    <w:rsid w:val="00D32CC1"/>
    <w:rsid w:val="00D32D53"/>
    <w:rsid w:val="00D32D7A"/>
    <w:rsid w:val="00D32D9F"/>
    <w:rsid w:val="00D32E57"/>
    <w:rsid w:val="00D32ED3"/>
    <w:rsid w:val="00D32F16"/>
    <w:rsid w:val="00D32F1B"/>
    <w:rsid w:val="00D32F7A"/>
    <w:rsid w:val="00D33127"/>
    <w:rsid w:val="00D331A9"/>
    <w:rsid w:val="00D331AC"/>
    <w:rsid w:val="00D3324B"/>
    <w:rsid w:val="00D33265"/>
    <w:rsid w:val="00D3327C"/>
    <w:rsid w:val="00D33314"/>
    <w:rsid w:val="00D3336F"/>
    <w:rsid w:val="00D33394"/>
    <w:rsid w:val="00D33444"/>
    <w:rsid w:val="00D334CC"/>
    <w:rsid w:val="00D334F2"/>
    <w:rsid w:val="00D33510"/>
    <w:rsid w:val="00D3356D"/>
    <w:rsid w:val="00D3357C"/>
    <w:rsid w:val="00D335AC"/>
    <w:rsid w:val="00D335B3"/>
    <w:rsid w:val="00D335C1"/>
    <w:rsid w:val="00D33640"/>
    <w:rsid w:val="00D33708"/>
    <w:rsid w:val="00D33713"/>
    <w:rsid w:val="00D33727"/>
    <w:rsid w:val="00D33753"/>
    <w:rsid w:val="00D3378F"/>
    <w:rsid w:val="00D33816"/>
    <w:rsid w:val="00D33832"/>
    <w:rsid w:val="00D33876"/>
    <w:rsid w:val="00D3393A"/>
    <w:rsid w:val="00D3397B"/>
    <w:rsid w:val="00D33998"/>
    <w:rsid w:val="00D33A10"/>
    <w:rsid w:val="00D33ABB"/>
    <w:rsid w:val="00D33ABF"/>
    <w:rsid w:val="00D33B01"/>
    <w:rsid w:val="00D33B22"/>
    <w:rsid w:val="00D33B2D"/>
    <w:rsid w:val="00D33BCE"/>
    <w:rsid w:val="00D33C39"/>
    <w:rsid w:val="00D33C7A"/>
    <w:rsid w:val="00D33D2C"/>
    <w:rsid w:val="00D33D30"/>
    <w:rsid w:val="00D33D96"/>
    <w:rsid w:val="00D33DB6"/>
    <w:rsid w:val="00D33E01"/>
    <w:rsid w:val="00D33E08"/>
    <w:rsid w:val="00D33E61"/>
    <w:rsid w:val="00D33E9D"/>
    <w:rsid w:val="00D33F4B"/>
    <w:rsid w:val="00D33F6F"/>
    <w:rsid w:val="00D33FA0"/>
    <w:rsid w:val="00D33FC8"/>
    <w:rsid w:val="00D33FD4"/>
    <w:rsid w:val="00D33FF6"/>
    <w:rsid w:val="00D341B0"/>
    <w:rsid w:val="00D341CE"/>
    <w:rsid w:val="00D341CF"/>
    <w:rsid w:val="00D341D7"/>
    <w:rsid w:val="00D3422A"/>
    <w:rsid w:val="00D3424B"/>
    <w:rsid w:val="00D34254"/>
    <w:rsid w:val="00D34282"/>
    <w:rsid w:val="00D3431F"/>
    <w:rsid w:val="00D343FE"/>
    <w:rsid w:val="00D34438"/>
    <w:rsid w:val="00D344E2"/>
    <w:rsid w:val="00D344FB"/>
    <w:rsid w:val="00D34625"/>
    <w:rsid w:val="00D3462A"/>
    <w:rsid w:val="00D34632"/>
    <w:rsid w:val="00D34645"/>
    <w:rsid w:val="00D347A7"/>
    <w:rsid w:val="00D34930"/>
    <w:rsid w:val="00D34ABE"/>
    <w:rsid w:val="00D34B69"/>
    <w:rsid w:val="00D34BAE"/>
    <w:rsid w:val="00D34BD7"/>
    <w:rsid w:val="00D34C65"/>
    <w:rsid w:val="00D34C9C"/>
    <w:rsid w:val="00D34E48"/>
    <w:rsid w:val="00D34EB8"/>
    <w:rsid w:val="00D34F3B"/>
    <w:rsid w:val="00D34F55"/>
    <w:rsid w:val="00D34FD0"/>
    <w:rsid w:val="00D34FE3"/>
    <w:rsid w:val="00D3501E"/>
    <w:rsid w:val="00D35022"/>
    <w:rsid w:val="00D35026"/>
    <w:rsid w:val="00D350D8"/>
    <w:rsid w:val="00D35113"/>
    <w:rsid w:val="00D35216"/>
    <w:rsid w:val="00D35258"/>
    <w:rsid w:val="00D35263"/>
    <w:rsid w:val="00D35280"/>
    <w:rsid w:val="00D352AA"/>
    <w:rsid w:val="00D352C2"/>
    <w:rsid w:val="00D352CE"/>
    <w:rsid w:val="00D353A0"/>
    <w:rsid w:val="00D353C5"/>
    <w:rsid w:val="00D353CD"/>
    <w:rsid w:val="00D353FB"/>
    <w:rsid w:val="00D35502"/>
    <w:rsid w:val="00D3558E"/>
    <w:rsid w:val="00D355CC"/>
    <w:rsid w:val="00D35600"/>
    <w:rsid w:val="00D35693"/>
    <w:rsid w:val="00D3571A"/>
    <w:rsid w:val="00D35845"/>
    <w:rsid w:val="00D358D7"/>
    <w:rsid w:val="00D358F8"/>
    <w:rsid w:val="00D3598D"/>
    <w:rsid w:val="00D359E4"/>
    <w:rsid w:val="00D35A96"/>
    <w:rsid w:val="00D35B2F"/>
    <w:rsid w:val="00D35B6E"/>
    <w:rsid w:val="00D35C43"/>
    <w:rsid w:val="00D35C4B"/>
    <w:rsid w:val="00D35CEB"/>
    <w:rsid w:val="00D35D12"/>
    <w:rsid w:val="00D35DD9"/>
    <w:rsid w:val="00D35E4B"/>
    <w:rsid w:val="00D35EA5"/>
    <w:rsid w:val="00D35F00"/>
    <w:rsid w:val="00D36018"/>
    <w:rsid w:val="00D360A4"/>
    <w:rsid w:val="00D361B5"/>
    <w:rsid w:val="00D361BB"/>
    <w:rsid w:val="00D361BE"/>
    <w:rsid w:val="00D36252"/>
    <w:rsid w:val="00D36289"/>
    <w:rsid w:val="00D362C6"/>
    <w:rsid w:val="00D36385"/>
    <w:rsid w:val="00D363AD"/>
    <w:rsid w:val="00D363FE"/>
    <w:rsid w:val="00D364C0"/>
    <w:rsid w:val="00D364C7"/>
    <w:rsid w:val="00D36544"/>
    <w:rsid w:val="00D36578"/>
    <w:rsid w:val="00D36580"/>
    <w:rsid w:val="00D36589"/>
    <w:rsid w:val="00D365B8"/>
    <w:rsid w:val="00D3666A"/>
    <w:rsid w:val="00D3667E"/>
    <w:rsid w:val="00D3669D"/>
    <w:rsid w:val="00D3669F"/>
    <w:rsid w:val="00D36719"/>
    <w:rsid w:val="00D3672E"/>
    <w:rsid w:val="00D36788"/>
    <w:rsid w:val="00D367FA"/>
    <w:rsid w:val="00D3683F"/>
    <w:rsid w:val="00D36848"/>
    <w:rsid w:val="00D3685A"/>
    <w:rsid w:val="00D36882"/>
    <w:rsid w:val="00D3688E"/>
    <w:rsid w:val="00D36903"/>
    <w:rsid w:val="00D369C3"/>
    <w:rsid w:val="00D36A0E"/>
    <w:rsid w:val="00D36A25"/>
    <w:rsid w:val="00D36A79"/>
    <w:rsid w:val="00D36A88"/>
    <w:rsid w:val="00D36A96"/>
    <w:rsid w:val="00D36AC8"/>
    <w:rsid w:val="00D36AED"/>
    <w:rsid w:val="00D36B20"/>
    <w:rsid w:val="00D36B67"/>
    <w:rsid w:val="00D36B70"/>
    <w:rsid w:val="00D36B8C"/>
    <w:rsid w:val="00D36CAC"/>
    <w:rsid w:val="00D36D5D"/>
    <w:rsid w:val="00D36DC1"/>
    <w:rsid w:val="00D36DC4"/>
    <w:rsid w:val="00D36E1D"/>
    <w:rsid w:val="00D36E2F"/>
    <w:rsid w:val="00D36EBD"/>
    <w:rsid w:val="00D36F04"/>
    <w:rsid w:val="00D36F35"/>
    <w:rsid w:val="00D36FCE"/>
    <w:rsid w:val="00D36FDD"/>
    <w:rsid w:val="00D37033"/>
    <w:rsid w:val="00D37089"/>
    <w:rsid w:val="00D37166"/>
    <w:rsid w:val="00D37180"/>
    <w:rsid w:val="00D371B6"/>
    <w:rsid w:val="00D371C8"/>
    <w:rsid w:val="00D371C9"/>
    <w:rsid w:val="00D37204"/>
    <w:rsid w:val="00D3726C"/>
    <w:rsid w:val="00D37279"/>
    <w:rsid w:val="00D3728C"/>
    <w:rsid w:val="00D372ED"/>
    <w:rsid w:val="00D372F4"/>
    <w:rsid w:val="00D37335"/>
    <w:rsid w:val="00D3733F"/>
    <w:rsid w:val="00D3736C"/>
    <w:rsid w:val="00D37378"/>
    <w:rsid w:val="00D3739A"/>
    <w:rsid w:val="00D37419"/>
    <w:rsid w:val="00D374B6"/>
    <w:rsid w:val="00D374D8"/>
    <w:rsid w:val="00D37529"/>
    <w:rsid w:val="00D37563"/>
    <w:rsid w:val="00D375AB"/>
    <w:rsid w:val="00D375CB"/>
    <w:rsid w:val="00D375E7"/>
    <w:rsid w:val="00D3764D"/>
    <w:rsid w:val="00D376C4"/>
    <w:rsid w:val="00D37760"/>
    <w:rsid w:val="00D37975"/>
    <w:rsid w:val="00D379DE"/>
    <w:rsid w:val="00D37A8A"/>
    <w:rsid w:val="00D37A96"/>
    <w:rsid w:val="00D37ADB"/>
    <w:rsid w:val="00D37B7A"/>
    <w:rsid w:val="00D37B90"/>
    <w:rsid w:val="00D37BAE"/>
    <w:rsid w:val="00D37C5E"/>
    <w:rsid w:val="00D37CBB"/>
    <w:rsid w:val="00D37CD3"/>
    <w:rsid w:val="00D37CEE"/>
    <w:rsid w:val="00D37D26"/>
    <w:rsid w:val="00D37E12"/>
    <w:rsid w:val="00D37E56"/>
    <w:rsid w:val="00D37E64"/>
    <w:rsid w:val="00D37EE2"/>
    <w:rsid w:val="00D37FEF"/>
    <w:rsid w:val="00D4007B"/>
    <w:rsid w:val="00D4007D"/>
    <w:rsid w:val="00D400AD"/>
    <w:rsid w:val="00D400C9"/>
    <w:rsid w:val="00D400F9"/>
    <w:rsid w:val="00D40114"/>
    <w:rsid w:val="00D40181"/>
    <w:rsid w:val="00D40336"/>
    <w:rsid w:val="00D403C6"/>
    <w:rsid w:val="00D40407"/>
    <w:rsid w:val="00D40435"/>
    <w:rsid w:val="00D4044E"/>
    <w:rsid w:val="00D40474"/>
    <w:rsid w:val="00D404C0"/>
    <w:rsid w:val="00D405B8"/>
    <w:rsid w:val="00D407DD"/>
    <w:rsid w:val="00D4081A"/>
    <w:rsid w:val="00D4083F"/>
    <w:rsid w:val="00D4084E"/>
    <w:rsid w:val="00D4088A"/>
    <w:rsid w:val="00D408BD"/>
    <w:rsid w:val="00D4094B"/>
    <w:rsid w:val="00D409C7"/>
    <w:rsid w:val="00D409CC"/>
    <w:rsid w:val="00D40A3F"/>
    <w:rsid w:val="00D40A67"/>
    <w:rsid w:val="00D40A85"/>
    <w:rsid w:val="00D40B01"/>
    <w:rsid w:val="00D40B15"/>
    <w:rsid w:val="00D40B94"/>
    <w:rsid w:val="00D40BD0"/>
    <w:rsid w:val="00D40C1C"/>
    <w:rsid w:val="00D40C84"/>
    <w:rsid w:val="00D40CB3"/>
    <w:rsid w:val="00D40D1E"/>
    <w:rsid w:val="00D40D4F"/>
    <w:rsid w:val="00D40D93"/>
    <w:rsid w:val="00D40D9A"/>
    <w:rsid w:val="00D40D9C"/>
    <w:rsid w:val="00D40DB7"/>
    <w:rsid w:val="00D40DCD"/>
    <w:rsid w:val="00D40E2A"/>
    <w:rsid w:val="00D40F09"/>
    <w:rsid w:val="00D40F70"/>
    <w:rsid w:val="00D40FD5"/>
    <w:rsid w:val="00D41020"/>
    <w:rsid w:val="00D41028"/>
    <w:rsid w:val="00D410C3"/>
    <w:rsid w:val="00D410CC"/>
    <w:rsid w:val="00D4125D"/>
    <w:rsid w:val="00D4126F"/>
    <w:rsid w:val="00D41276"/>
    <w:rsid w:val="00D41293"/>
    <w:rsid w:val="00D412E5"/>
    <w:rsid w:val="00D41329"/>
    <w:rsid w:val="00D41380"/>
    <w:rsid w:val="00D4140F"/>
    <w:rsid w:val="00D41455"/>
    <w:rsid w:val="00D414E6"/>
    <w:rsid w:val="00D4155A"/>
    <w:rsid w:val="00D4155E"/>
    <w:rsid w:val="00D41594"/>
    <w:rsid w:val="00D415C9"/>
    <w:rsid w:val="00D415D2"/>
    <w:rsid w:val="00D415F2"/>
    <w:rsid w:val="00D41687"/>
    <w:rsid w:val="00D4172F"/>
    <w:rsid w:val="00D41737"/>
    <w:rsid w:val="00D41830"/>
    <w:rsid w:val="00D41842"/>
    <w:rsid w:val="00D418D2"/>
    <w:rsid w:val="00D418E1"/>
    <w:rsid w:val="00D418F4"/>
    <w:rsid w:val="00D4194D"/>
    <w:rsid w:val="00D4196D"/>
    <w:rsid w:val="00D4199B"/>
    <w:rsid w:val="00D419DA"/>
    <w:rsid w:val="00D41A26"/>
    <w:rsid w:val="00D41A2F"/>
    <w:rsid w:val="00D41A6A"/>
    <w:rsid w:val="00D41AD3"/>
    <w:rsid w:val="00D41AED"/>
    <w:rsid w:val="00D41BE4"/>
    <w:rsid w:val="00D41BFC"/>
    <w:rsid w:val="00D41F43"/>
    <w:rsid w:val="00D41F77"/>
    <w:rsid w:val="00D420C1"/>
    <w:rsid w:val="00D4212A"/>
    <w:rsid w:val="00D4214C"/>
    <w:rsid w:val="00D42184"/>
    <w:rsid w:val="00D421CC"/>
    <w:rsid w:val="00D42225"/>
    <w:rsid w:val="00D42267"/>
    <w:rsid w:val="00D4233A"/>
    <w:rsid w:val="00D42355"/>
    <w:rsid w:val="00D4238F"/>
    <w:rsid w:val="00D42462"/>
    <w:rsid w:val="00D42506"/>
    <w:rsid w:val="00D42582"/>
    <w:rsid w:val="00D42675"/>
    <w:rsid w:val="00D426AC"/>
    <w:rsid w:val="00D4271C"/>
    <w:rsid w:val="00D42749"/>
    <w:rsid w:val="00D4286A"/>
    <w:rsid w:val="00D4287C"/>
    <w:rsid w:val="00D428F3"/>
    <w:rsid w:val="00D429BC"/>
    <w:rsid w:val="00D42A0B"/>
    <w:rsid w:val="00D42A0C"/>
    <w:rsid w:val="00D42A10"/>
    <w:rsid w:val="00D42A13"/>
    <w:rsid w:val="00D42A52"/>
    <w:rsid w:val="00D42A78"/>
    <w:rsid w:val="00D42A82"/>
    <w:rsid w:val="00D42AF2"/>
    <w:rsid w:val="00D42B64"/>
    <w:rsid w:val="00D42C1E"/>
    <w:rsid w:val="00D42C47"/>
    <w:rsid w:val="00D42CE6"/>
    <w:rsid w:val="00D42D00"/>
    <w:rsid w:val="00D42D80"/>
    <w:rsid w:val="00D42DC2"/>
    <w:rsid w:val="00D42E4C"/>
    <w:rsid w:val="00D42ECB"/>
    <w:rsid w:val="00D42F08"/>
    <w:rsid w:val="00D42F2D"/>
    <w:rsid w:val="00D42F52"/>
    <w:rsid w:val="00D42FF9"/>
    <w:rsid w:val="00D42FFC"/>
    <w:rsid w:val="00D43054"/>
    <w:rsid w:val="00D430C6"/>
    <w:rsid w:val="00D430F1"/>
    <w:rsid w:val="00D4310E"/>
    <w:rsid w:val="00D4318C"/>
    <w:rsid w:val="00D431A0"/>
    <w:rsid w:val="00D431DB"/>
    <w:rsid w:val="00D43215"/>
    <w:rsid w:val="00D43404"/>
    <w:rsid w:val="00D43461"/>
    <w:rsid w:val="00D43482"/>
    <w:rsid w:val="00D43573"/>
    <w:rsid w:val="00D4366A"/>
    <w:rsid w:val="00D43697"/>
    <w:rsid w:val="00D4369E"/>
    <w:rsid w:val="00D436AC"/>
    <w:rsid w:val="00D43735"/>
    <w:rsid w:val="00D4382D"/>
    <w:rsid w:val="00D43831"/>
    <w:rsid w:val="00D43878"/>
    <w:rsid w:val="00D43909"/>
    <w:rsid w:val="00D4391F"/>
    <w:rsid w:val="00D4395D"/>
    <w:rsid w:val="00D43AC9"/>
    <w:rsid w:val="00D43AF2"/>
    <w:rsid w:val="00D43C3A"/>
    <w:rsid w:val="00D43C3E"/>
    <w:rsid w:val="00D43C6A"/>
    <w:rsid w:val="00D43CAD"/>
    <w:rsid w:val="00D43CE1"/>
    <w:rsid w:val="00D43CFF"/>
    <w:rsid w:val="00D43D32"/>
    <w:rsid w:val="00D43D62"/>
    <w:rsid w:val="00D43DF6"/>
    <w:rsid w:val="00D43E34"/>
    <w:rsid w:val="00D43E6A"/>
    <w:rsid w:val="00D43F15"/>
    <w:rsid w:val="00D43F4D"/>
    <w:rsid w:val="00D43FDD"/>
    <w:rsid w:val="00D44017"/>
    <w:rsid w:val="00D44134"/>
    <w:rsid w:val="00D44197"/>
    <w:rsid w:val="00D441B2"/>
    <w:rsid w:val="00D44224"/>
    <w:rsid w:val="00D44231"/>
    <w:rsid w:val="00D4423E"/>
    <w:rsid w:val="00D4425C"/>
    <w:rsid w:val="00D442EE"/>
    <w:rsid w:val="00D442F3"/>
    <w:rsid w:val="00D442F5"/>
    <w:rsid w:val="00D443B3"/>
    <w:rsid w:val="00D443CC"/>
    <w:rsid w:val="00D443FD"/>
    <w:rsid w:val="00D44402"/>
    <w:rsid w:val="00D444A7"/>
    <w:rsid w:val="00D444CD"/>
    <w:rsid w:val="00D4457A"/>
    <w:rsid w:val="00D445DD"/>
    <w:rsid w:val="00D4468F"/>
    <w:rsid w:val="00D446AD"/>
    <w:rsid w:val="00D44729"/>
    <w:rsid w:val="00D447CA"/>
    <w:rsid w:val="00D448B6"/>
    <w:rsid w:val="00D44948"/>
    <w:rsid w:val="00D449C3"/>
    <w:rsid w:val="00D449F2"/>
    <w:rsid w:val="00D44A79"/>
    <w:rsid w:val="00D44BBC"/>
    <w:rsid w:val="00D44BDB"/>
    <w:rsid w:val="00D44BEB"/>
    <w:rsid w:val="00D44C1D"/>
    <w:rsid w:val="00D44C9B"/>
    <w:rsid w:val="00D44C9D"/>
    <w:rsid w:val="00D44CE4"/>
    <w:rsid w:val="00D44D67"/>
    <w:rsid w:val="00D44D96"/>
    <w:rsid w:val="00D44E17"/>
    <w:rsid w:val="00D44E23"/>
    <w:rsid w:val="00D44E68"/>
    <w:rsid w:val="00D44E6B"/>
    <w:rsid w:val="00D44F0E"/>
    <w:rsid w:val="00D44F42"/>
    <w:rsid w:val="00D44FE3"/>
    <w:rsid w:val="00D44FE5"/>
    <w:rsid w:val="00D44FE8"/>
    <w:rsid w:val="00D44FFA"/>
    <w:rsid w:val="00D44FFC"/>
    <w:rsid w:val="00D45015"/>
    <w:rsid w:val="00D45047"/>
    <w:rsid w:val="00D4507D"/>
    <w:rsid w:val="00D45097"/>
    <w:rsid w:val="00D451A1"/>
    <w:rsid w:val="00D451D3"/>
    <w:rsid w:val="00D4523F"/>
    <w:rsid w:val="00D4528F"/>
    <w:rsid w:val="00D452AD"/>
    <w:rsid w:val="00D4530C"/>
    <w:rsid w:val="00D45311"/>
    <w:rsid w:val="00D45333"/>
    <w:rsid w:val="00D45358"/>
    <w:rsid w:val="00D453AE"/>
    <w:rsid w:val="00D45420"/>
    <w:rsid w:val="00D45446"/>
    <w:rsid w:val="00D4547F"/>
    <w:rsid w:val="00D4567F"/>
    <w:rsid w:val="00D4569C"/>
    <w:rsid w:val="00D456B1"/>
    <w:rsid w:val="00D456BA"/>
    <w:rsid w:val="00D456CB"/>
    <w:rsid w:val="00D456F2"/>
    <w:rsid w:val="00D45727"/>
    <w:rsid w:val="00D45751"/>
    <w:rsid w:val="00D4575A"/>
    <w:rsid w:val="00D457EC"/>
    <w:rsid w:val="00D457EE"/>
    <w:rsid w:val="00D45806"/>
    <w:rsid w:val="00D45807"/>
    <w:rsid w:val="00D45827"/>
    <w:rsid w:val="00D45844"/>
    <w:rsid w:val="00D45908"/>
    <w:rsid w:val="00D4593E"/>
    <w:rsid w:val="00D45B3C"/>
    <w:rsid w:val="00D45BF1"/>
    <w:rsid w:val="00D45C0D"/>
    <w:rsid w:val="00D45C3C"/>
    <w:rsid w:val="00D45C7E"/>
    <w:rsid w:val="00D45D27"/>
    <w:rsid w:val="00D45D60"/>
    <w:rsid w:val="00D45E1F"/>
    <w:rsid w:val="00D45F8A"/>
    <w:rsid w:val="00D45FB1"/>
    <w:rsid w:val="00D45FC2"/>
    <w:rsid w:val="00D4602B"/>
    <w:rsid w:val="00D46044"/>
    <w:rsid w:val="00D461A8"/>
    <w:rsid w:val="00D461D1"/>
    <w:rsid w:val="00D461E8"/>
    <w:rsid w:val="00D461F9"/>
    <w:rsid w:val="00D462B5"/>
    <w:rsid w:val="00D4634D"/>
    <w:rsid w:val="00D4636E"/>
    <w:rsid w:val="00D46384"/>
    <w:rsid w:val="00D463F4"/>
    <w:rsid w:val="00D46476"/>
    <w:rsid w:val="00D46480"/>
    <w:rsid w:val="00D465DA"/>
    <w:rsid w:val="00D465E5"/>
    <w:rsid w:val="00D465F6"/>
    <w:rsid w:val="00D465FD"/>
    <w:rsid w:val="00D4665B"/>
    <w:rsid w:val="00D466F8"/>
    <w:rsid w:val="00D46773"/>
    <w:rsid w:val="00D467F8"/>
    <w:rsid w:val="00D467FE"/>
    <w:rsid w:val="00D46857"/>
    <w:rsid w:val="00D46872"/>
    <w:rsid w:val="00D468AE"/>
    <w:rsid w:val="00D468B9"/>
    <w:rsid w:val="00D468C4"/>
    <w:rsid w:val="00D4690C"/>
    <w:rsid w:val="00D46911"/>
    <w:rsid w:val="00D46921"/>
    <w:rsid w:val="00D46996"/>
    <w:rsid w:val="00D469A1"/>
    <w:rsid w:val="00D46A0D"/>
    <w:rsid w:val="00D46A5F"/>
    <w:rsid w:val="00D46AC7"/>
    <w:rsid w:val="00D46AC9"/>
    <w:rsid w:val="00D46ACA"/>
    <w:rsid w:val="00D46B1E"/>
    <w:rsid w:val="00D46CBB"/>
    <w:rsid w:val="00D46DC6"/>
    <w:rsid w:val="00D46DDE"/>
    <w:rsid w:val="00D46E84"/>
    <w:rsid w:val="00D46EED"/>
    <w:rsid w:val="00D46F3B"/>
    <w:rsid w:val="00D46F63"/>
    <w:rsid w:val="00D46F8E"/>
    <w:rsid w:val="00D46FE7"/>
    <w:rsid w:val="00D47064"/>
    <w:rsid w:val="00D47090"/>
    <w:rsid w:val="00D4712E"/>
    <w:rsid w:val="00D47153"/>
    <w:rsid w:val="00D4719C"/>
    <w:rsid w:val="00D47390"/>
    <w:rsid w:val="00D4739F"/>
    <w:rsid w:val="00D47401"/>
    <w:rsid w:val="00D474B2"/>
    <w:rsid w:val="00D47582"/>
    <w:rsid w:val="00D475D4"/>
    <w:rsid w:val="00D47676"/>
    <w:rsid w:val="00D4767F"/>
    <w:rsid w:val="00D47695"/>
    <w:rsid w:val="00D476EB"/>
    <w:rsid w:val="00D477C0"/>
    <w:rsid w:val="00D4782E"/>
    <w:rsid w:val="00D4786C"/>
    <w:rsid w:val="00D47871"/>
    <w:rsid w:val="00D478AA"/>
    <w:rsid w:val="00D47943"/>
    <w:rsid w:val="00D47968"/>
    <w:rsid w:val="00D47AB6"/>
    <w:rsid w:val="00D47B86"/>
    <w:rsid w:val="00D47C9B"/>
    <w:rsid w:val="00D47CF8"/>
    <w:rsid w:val="00D47DD2"/>
    <w:rsid w:val="00D47E93"/>
    <w:rsid w:val="00D47F6F"/>
    <w:rsid w:val="00D47FBE"/>
    <w:rsid w:val="00D47FEF"/>
    <w:rsid w:val="00D47FFA"/>
    <w:rsid w:val="00D50014"/>
    <w:rsid w:val="00D500A3"/>
    <w:rsid w:val="00D50132"/>
    <w:rsid w:val="00D50178"/>
    <w:rsid w:val="00D501CF"/>
    <w:rsid w:val="00D501DD"/>
    <w:rsid w:val="00D5024F"/>
    <w:rsid w:val="00D5026B"/>
    <w:rsid w:val="00D5031F"/>
    <w:rsid w:val="00D50476"/>
    <w:rsid w:val="00D50488"/>
    <w:rsid w:val="00D505D6"/>
    <w:rsid w:val="00D50699"/>
    <w:rsid w:val="00D5075B"/>
    <w:rsid w:val="00D50783"/>
    <w:rsid w:val="00D5078B"/>
    <w:rsid w:val="00D5080B"/>
    <w:rsid w:val="00D50826"/>
    <w:rsid w:val="00D5085D"/>
    <w:rsid w:val="00D50899"/>
    <w:rsid w:val="00D508A9"/>
    <w:rsid w:val="00D508BC"/>
    <w:rsid w:val="00D508E8"/>
    <w:rsid w:val="00D50954"/>
    <w:rsid w:val="00D509D8"/>
    <w:rsid w:val="00D509E4"/>
    <w:rsid w:val="00D50A02"/>
    <w:rsid w:val="00D50A5B"/>
    <w:rsid w:val="00D50A62"/>
    <w:rsid w:val="00D50B1E"/>
    <w:rsid w:val="00D50B5A"/>
    <w:rsid w:val="00D50B5D"/>
    <w:rsid w:val="00D50BB4"/>
    <w:rsid w:val="00D50C0F"/>
    <w:rsid w:val="00D50C4B"/>
    <w:rsid w:val="00D50CB5"/>
    <w:rsid w:val="00D50CDE"/>
    <w:rsid w:val="00D50D47"/>
    <w:rsid w:val="00D50DDE"/>
    <w:rsid w:val="00D50DE0"/>
    <w:rsid w:val="00D50FA0"/>
    <w:rsid w:val="00D50FB4"/>
    <w:rsid w:val="00D51008"/>
    <w:rsid w:val="00D5101F"/>
    <w:rsid w:val="00D5104F"/>
    <w:rsid w:val="00D5109C"/>
    <w:rsid w:val="00D5111D"/>
    <w:rsid w:val="00D51134"/>
    <w:rsid w:val="00D5116F"/>
    <w:rsid w:val="00D5127E"/>
    <w:rsid w:val="00D51287"/>
    <w:rsid w:val="00D5131F"/>
    <w:rsid w:val="00D51336"/>
    <w:rsid w:val="00D51357"/>
    <w:rsid w:val="00D513F9"/>
    <w:rsid w:val="00D5140D"/>
    <w:rsid w:val="00D51428"/>
    <w:rsid w:val="00D5148F"/>
    <w:rsid w:val="00D514BD"/>
    <w:rsid w:val="00D5152C"/>
    <w:rsid w:val="00D51549"/>
    <w:rsid w:val="00D515C4"/>
    <w:rsid w:val="00D51604"/>
    <w:rsid w:val="00D51615"/>
    <w:rsid w:val="00D51624"/>
    <w:rsid w:val="00D51694"/>
    <w:rsid w:val="00D516DA"/>
    <w:rsid w:val="00D517C6"/>
    <w:rsid w:val="00D517CF"/>
    <w:rsid w:val="00D518D2"/>
    <w:rsid w:val="00D518D9"/>
    <w:rsid w:val="00D5194C"/>
    <w:rsid w:val="00D51A17"/>
    <w:rsid w:val="00D51A33"/>
    <w:rsid w:val="00D51A7C"/>
    <w:rsid w:val="00D51A8C"/>
    <w:rsid w:val="00D51AED"/>
    <w:rsid w:val="00D51B28"/>
    <w:rsid w:val="00D51B2E"/>
    <w:rsid w:val="00D51CA6"/>
    <w:rsid w:val="00D51CF0"/>
    <w:rsid w:val="00D51CFD"/>
    <w:rsid w:val="00D51DF5"/>
    <w:rsid w:val="00D51EBB"/>
    <w:rsid w:val="00D51F0A"/>
    <w:rsid w:val="00D51F11"/>
    <w:rsid w:val="00D51F28"/>
    <w:rsid w:val="00D51F4F"/>
    <w:rsid w:val="00D51F5A"/>
    <w:rsid w:val="00D51F7D"/>
    <w:rsid w:val="00D51FE2"/>
    <w:rsid w:val="00D52040"/>
    <w:rsid w:val="00D52052"/>
    <w:rsid w:val="00D52082"/>
    <w:rsid w:val="00D520BE"/>
    <w:rsid w:val="00D520D0"/>
    <w:rsid w:val="00D520E8"/>
    <w:rsid w:val="00D52213"/>
    <w:rsid w:val="00D52260"/>
    <w:rsid w:val="00D5226A"/>
    <w:rsid w:val="00D5226C"/>
    <w:rsid w:val="00D5226D"/>
    <w:rsid w:val="00D5227C"/>
    <w:rsid w:val="00D52365"/>
    <w:rsid w:val="00D523B9"/>
    <w:rsid w:val="00D52417"/>
    <w:rsid w:val="00D5246D"/>
    <w:rsid w:val="00D524B9"/>
    <w:rsid w:val="00D52517"/>
    <w:rsid w:val="00D5252A"/>
    <w:rsid w:val="00D5252C"/>
    <w:rsid w:val="00D52541"/>
    <w:rsid w:val="00D52641"/>
    <w:rsid w:val="00D526B3"/>
    <w:rsid w:val="00D526D6"/>
    <w:rsid w:val="00D5271A"/>
    <w:rsid w:val="00D52740"/>
    <w:rsid w:val="00D528E5"/>
    <w:rsid w:val="00D528FF"/>
    <w:rsid w:val="00D52920"/>
    <w:rsid w:val="00D52939"/>
    <w:rsid w:val="00D52A5F"/>
    <w:rsid w:val="00D52AA2"/>
    <w:rsid w:val="00D52ABF"/>
    <w:rsid w:val="00D52AD6"/>
    <w:rsid w:val="00D52AEB"/>
    <w:rsid w:val="00D52B83"/>
    <w:rsid w:val="00D52BAA"/>
    <w:rsid w:val="00D52BE0"/>
    <w:rsid w:val="00D52BEB"/>
    <w:rsid w:val="00D52C30"/>
    <w:rsid w:val="00D52C61"/>
    <w:rsid w:val="00D52CCE"/>
    <w:rsid w:val="00D52D04"/>
    <w:rsid w:val="00D52D13"/>
    <w:rsid w:val="00D52D57"/>
    <w:rsid w:val="00D52D61"/>
    <w:rsid w:val="00D52E1E"/>
    <w:rsid w:val="00D52EFB"/>
    <w:rsid w:val="00D52F0F"/>
    <w:rsid w:val="00D52F87"/>
    <w:rsid w:val="00D52FCF"/>
    <w:rsid w:val="00D5305A"/>
    <w:rsid w:val="00D5309C"/>
    <w:rsid w:val="00D5310D"/>
    <w:rsid w:val="00D53168"/>
    <w:rsid w:val="00D5316A"/>
    <w:rsid w:val="00D53171"/>
    <w:rsid w:val="00D5317C"/>
    <w:rsid w:val="00D53198"/>
    <w:rsid w:val="00D531FE"/>
    <w:rsid w:val="00D53213"/>
    <w:rsid w:val="00D5323C"/>
    <w:rsid w:val="00D5323D"/>
    <w:rsid w:val="00D533BD"/>
    <w:rsid w:val="00D533FE"/>
    <w:rsid w:val="00D53503"/>
    <w:rsid w:val="00D53522"/>
    <w:rsid w:val="00D5353E"/>
    <w:rsid w:val="00D53541"/>
    <w:rsid w:val="00D53567"/>
    <w:rsid w:val="00D53594"/>
    <w:rsid w:val="00D535EC"/>
    <w:rsid w:val="00D53630"/>
    <w:rsid w:val="00D53666"/>
    <w:rsid w:val="00D5374C"/>
    <w:rsid w:val="00D537C0"/>
    <w:rsid w:val="00D537D2"/>
    <w:rsid w:val="00D5383B"/>
    <w:rsid w:val="00D5384C"/>
    <w:rsid w:val="00D53869"/>
    <w:rsid w:val="00D53992"/>
    <w:rsid w:val="00D53A3A"/>
    <w:rsid w:val="00D53A95"/>
    <w:rsid w:val="00D53AE0"/>
    <w:rsid w:val="00D53B55"/>
    <w:rsid w:val="00D53BD3"/>
    <w:rsid w:val="00D53C14"/>
    <w:rsid w:val="00D53C60"/>
    <w:rsid w:val="00D53C71"/>
    <w:rsid w:val="00D53C8E"/>
    <w:rsid w:val="00D53CB6"/>
    <w:rsid w:val="00D53D21"/>
    <w:rsid w:val="00D53D45"/>
    <w:rsid w:val="00D53D4C"/>
    <w:rsid w:val="00D53DB3"/>
    <w:rsid w:val="00D53E16"/>
    <w:rsid w:val="00D53E9C"/>
    <w:rsid w:val="00D53ED2"/>
    <w:rsid w:val="00D53F39"/>
    <w:rsid w:val="00D53F5E"/>
    <w:rsid w:val="00D54000"/>
    <w:rsid w:val="00D540EE"/>
    <w:rsid w:val="00D54128"/>
    <w:rsid w:val="00D54275"/>
    <w:rsid w:val="00D54276"/>
    <w:rsid w:val="00D542E3"/>
    <w:rsid w:val="00D5431B"/>
    <w:rsid w:val="00D54344"/>
    <w:rsid w:val="00D54349"/>
    <w:rsid w:val="00D5435C"/>
    <w:rsid w:val="00D543F9"/>
    <w:rsid w:val="00D5440F"/>
    <w:rsid w:val="00D54646"/>
    <w:rsid w:val="00D54656"/>
    <w:rsid w:val="00D546A7"/>
    <w:rsid w:val="00D54710"/>
    <w:rsid w:val="00D54721"/>
    <w:rsid w:val="00D5476B"/>
    <w:rsid w:val="00D54783"/>
    <w:rsid w:val="00D54789"/>
    <w:rsid w:val="00D547F8"/>
    <w:rsid w:val="00D5488B"/>
    <w:rsid w:val="00D5488F"/>
    <w:rsid w:val="00D548C0"/>
    <w:rsid w:val="00D548D6"/>
    <w:rsid w:val="00D5498B"/>
    <w:rsid w:val="00D54991"/>
    <w:rsid w:val="00D549AB"/>
    <w:rsid w:val="00D549F4"/>
    <w:rsid w:val="00D54ABF"/>
    <w:rsid w:val="00D54AD1"/>
    <w:rsid w:val="00D54C31"/>
    <w:rsid w:val="00D54C88"/>
    <w:rsid w:val="00D54CF0"/>
    <w:rsid w:val="00D54D0C"/>
    <w:rsid w:val="00D54D6D"/>
    <w:rsid w:val="00D54D88"/>
    <w:rsid w:val="00D54E67"/>
    <w:rsid w:val="00D54E84"/>
    <w:rsid w:val="00D54E95"/>
    <w:rsid w:val="00D54E9D"/>
    <w:rsid w:val="00D54F24"/>
    <w:rsid w:val="00D54F38"/>
    <w:rsid w:val="00D54F61"/>
    <w:rsid w:val="00D54FD4"/>
    <w:rsid w:val="00D55016"/>
    <w:rsid w:val="00D5501F"/>
    <w:rsid w:val="00D550B2"/>
    <w:rsid w:val="00D5511E"/>
    <w:rsid w:val="00D55133"/>
    <w:rsid w:val="00D55151"/>
    <w:rsid w:val="00D5515C"/>
    <w:rsid w:val="00D5518D"/>
    <w:rsid w:val="00D5519D"/>
    <w:rsid w:val="00D551E5"/>
    <w:rsid w:val="00D55220"/>
    <w:rsid w:val="00D55227"/>
    <w:rsid w:val="00D5524B"/>
    <w:rsid w:val="00D55270"/>
    <w:rsid w:val="00D5527D"/>
    <w:rsid w:val="00D5528F"/>
    <w:rsid w:val="00D5529A"/>
    <w:rsid w:val="00D55352"/>
    <w:rsid w:val="00D55372"/>
    <w:rsid w:val="00D553B5"/>
    <w:rsid w:val="00D5542B"/>
    <w:rsid w:val="00D55589"/>
    <w:rsid w:val="00D5559E"/>
    <w:rsid w:val="00D555DA"/>
    <w:rsid w:val="00D555DB"/>
    <w:rsid w:val="00D55602"/>
    <w:rsid w:val="00D55609"/>
    <w:rsid w:val="00D5566D"/>
    <w:rsid w:val="00D55690"/>
    <w:rsid w:val="00D556EC"/>
    <w:rsid w:val="00D55719"/>
    <w:rsid w:val="00D5573C"/>
    <w:rsid w:val="00D55740"/>
    <w:rsid w:val="00D5576A"/>
    <w:rsid w:val="00D557B0"/>
    <w:rsid w:val="00D557EE"/>
    <w:rsid w:val="00D5584C"/>
    <w:rsid w:val="00D558A8"/>
    <w:rsid w:val="00D558BA"/>
    <w:rsid w:val="00D558CB"/>
    <w:rsid w:val="00D558D9"/>
    <w:rsid w:val="00D558E6"/>
    <w:rsid w:val="00D55908"/>
    <w:rsid w:val="00D55929"/>
    <w:rsid w:val="00D5593C"/>
    <w:rsid w:val="00D55943"/>
    <w:rsid w:val="00D55968"/>
    <w:rsid w:val="00D559A4"/>
    <w:rsid w:val="00D559C8"/>
    <w:rsid w:val="00D55A0B"/>
    <w:rsid w:val="00D55B0F"/>
    <w:rsid w:val="00D55BC3"/>
    <w:rsid w:val="00D55C26"/>
    <w:rsid w:val="00D55C44"/>
    <w:rsid w:val="00D55C52"/>
    <w:rsid w:val="00D55C9B"/>
    <w:rsid w:val="00D55CD6"/>
    <w:rsid w:val="00D55D1D"/>
    <w:rsid w:val="00D55D87"/>
    <w:rsid w:val="00D55DC6"/>
    <w:rsid w:val="00D55E27"/>
    <w:rsid w:val="00D55EF5"/>
    <w:rsid w:val="00D55FAD"/>
    <w:rsid w:val="00D56017"/>
    <w:rsid w:val="00D5602C"/>
    <w:rsid w:val="00D5603C"/>
    <w:rsid w:val="00D560D5"/>
    <w:rsid w:val="00D56139"/>
    <w:rsid w:val="00D561A2"/>
    <w:rsid w:val="00D561AC"/>
    <w:rsid w:val="00D561E5"/>
    <w:rsid w:val="00D56248"/>
    <w:rsid w:val="00D56270"/>
    <w:rsid w:val="00D56275"/>
    <w:rsid w:val="00D5629F"/>
    <w:rsid w:val="00D562BD"/>
    <w:rsid w:val="00D562F9"/>
    <w:rsid w:val="00D5635E"/>
    <w:rsid w:val="00D5639C"/>
    <w:rsid w:val="00D563C1"/>
    <w:rsid w:val="00D5646D"/>
    <w:rsid w:val="00D5649E"/>
    <w:rsid w:val="00D564F1"/>
    <w:rsid w:val="00D564F8"/>
    <w:rsid w:val="00D56515"/>
    <w:rsid w:val="00D5653A"/>
    <w:rsid w:val="00D56565"/>
    <w:rsid w:val="00D565F7"/>
    <w:rsid w:val="00D56602"/>
    <w:rsid w:val="00D5665B"/>
    <w:rsid w:val="00D566A7"/>
    <w:rsid w:val="00D566CB"/>
    <w:rsid w:val="00D56769"/>
    <w:rsid w:val="00D5679A"/>
    <w:rsid w:val="00D567BD"/>
    <w:rsid w:val="00D567C9"/>
    <w:rsid w:val="00D567FC"/>
    <w:rsid w:val="00D568DB"/>
    <w:rsid w:val="00D568F3"/>
    <w:rsid w:val="00D569B7"/>
    <w:rsid w:val="00D569CF"/>
    <w:rsid w:val="00D56A63"/>
    <w:rsid w:val="00D56ABF"/>
    <w:rsid w:val="00D56ACB"/>
    <w:rsid w:val="00D56AE3"/>
    <w:rsid w:val="00D56B12"/>
    <w:rsid w:val="00D56B19"/>
    <w:rsid w:val="00D56B80"/>
    <w:rsid w:val="00D56B99"/>
    <w:rsid w:val="00D56CCF"/>
    <w:rsid w:val="00D56CD9"/>
    <w:rsid w:val="00D56D28"/>
    <w:rsid w:val="00D56D6D"/>
    <w:rsid w:val="00D56D7E"/>
    <w:rsid w:val="00D56EE6"/>
    <w:rsid w:val="00D56EE9"/>
    <w:rsid w:val="00D56F49"/>
    <w:rsid w:val="00D56F7D"/>
    <w:rsid w:val="00D56F80"/>
    <w:rsid w:val="00D56F9B"/>
    <w:rsid w:val="00D56FE7"/>
    <w:rsid w:val="00D57034"/>
    <w:rsid w:val="00D57077"/>
    <w:rsid w:val="00D570E2"/>
    <w:rsid w:val="00D57100"/>
    <w:rsid w:val="00D57139"/>
    <w:rsid w:val="00D57155"/>
    <w:rsid w:val="00D571BA"/>
    <w:rsid w:val="00D571BF"/>
    <w:rsid w:val="00D571CC"/>
    <w:rsid w:val="00D571E3"/>
    <w:rsid w:val="00D57207"/>
    <w:rsid w:val="00D57238"/>
    <w:rsid w:val="00D5728B"/>
    <w:rsid w:val="00D572A2"/>
    <w:rsid w:val="00D572D4"/>
    <w:rsid w:val="00D57306"/>
    <w:rsid w:val="00D5733D"/>
    <w:rsid w:val="00D5737C"/>
    <w:rsid w:val="00D5739F"/>
    <w:rsid w:val="00D573CE"/>
    <w:rsid w:val="00D573D7"/>
    <w:rsid w:val="00D573F5"/>
    <w:rsid w:val="00D57434"/>
    <w:rsid w:val="00D574E4"/>
    <w:rsid w:val="00D5753C"/>
    <w:rsid w:val="00D57598"/>
    <w:rsid w:val="00D5759F"/>
    <w:rsid w:val="00D575A7"/>
    <w:rsid w:val="00D575B1"/>
    <w:rsid w:val="00D575D4"/>
    <w:rsid w:val="00D575F2"/>
    <w:rsid w:val="00D575F9"/>
    <w:rsid w:val="00D5764F"/>
    <w:rsid w:val="00D576B9"/>
    <w:rsid w:val="00D576C6"/>
    <w:rsid w:val="00D576CB"/>
    <w:rsid w:val="00D576D7"/>
    <w:rsid w:val="00D57782"/>
    <w:rsid w:val="00D577E8"/>
    <w:rsid w:val="00D57808"/>
    <w:rsid w:val="00D5786B"/>
    <w:rsid w:val="00D5792F"/>
    <w:rsid w:val="00D579C8"/>
    <w:rsid w:val="00D579DB"/>
    <w:rsid w:val="00D57A45"/>
    <w:rsid w:val="00D57A6D"/>
    <w:rsid w:val="00D57A71"/>
    <w:rsid w:val="00D57A76"/>
    <w:rsid w:val="00D57B0E"/>
    <w:rsid w:val="00D57B37"/>
    <w:rsid w:val="00D57B8B"/>
    <w:rsid w:val="00D57BCE"/>
    <w:rsid w:val="00D57C8F"/>
    <w:rsid w:val="00D57CA0"/>
    <w:rsid w:val="00D57D9B"/>
    <w:rsid w:val="00D57DBE"/>
    <w:rsid w:val="00D57DE1"/>
    <w:rsid w:val="00D57DF2"/>
    <w:rsid w:val="00D57DFD"/>
    <w:rsid w:val="00D57E60"/>
    <w:rsid w:val="00D57EEB"/>
    <w:rsid w:val="00D57EED"/>
    <w:rsid w:val="00D57F0E"/>
    <w:rsid w:val="00D57F18"/>
    <w:rsid w:val="00D60094"/>
    <w:rsid w:val="00D6010A"/>
    <w:rsid w:val="00D60118"/>
    <w:rsid w:val="00D6011E"/>
    <w:rsid w:val="00D6019E"/>
    <w:rsid w:val="00D601B1"/>
    <w:rsid w:val="00D601B3"/>
    <w:rsid w:val="00D60219"/>
    <w:rsid w:val="00D60288"/>
    <w:rsid w:val="00D6028A"/>
    <w:rsid w:val="00D60323"/>
    <w:rsid w:val="00D6038D"/>
    <w:rsid w:val="00D604E6"/>
    <w:rsid w:val="00D60507"/>
    <w:rsid w:val="00D60537"/>
    <w:rsid w:val="00D60554"/>
    <w:rsid w:val="00D6055B"/>
    <w:rsid w:val="00D6055C"/>
    <w:rsid w:val="00D605DC"/>
    <w:rsid w:val="00D605FB"/>
    <w:rsid w:val="00D6062A"/>
    <w:rsid w:val="00D60660"/>
    <w:rsid w:val="00D60675"/>
    <w:rsid w:val="00D60679"/>
    <w:rsid w:val="00D6067E"/>
    <w:rsid w:val="00D60698"/>
    <w:rsid w:val="00D6069E"/>
    <w:rsid w:val="00D60749"/>
    <w:rsid w:val="00D60775"/>
    <w:rsid w:val="00D607D9"/>
    <w:rsid w:val="00D6084D"/>
    <w:rsid w:val="00D608EE"/>
    <w:rsid w:val="00D60958"/>
    <w:rsid w:val="00D6096C"/>
    <w:rsid w:val="00D609E2"/>
    <w:rsid w:val="00D60A30"/>
    <w:rsid w:val="00D60AB2"/>
    <w:rsid w:val="00D60B03"/>
    <w:rsid w:val="00D60BAB"/>
    <w:rsid w:val="00D60BF7"/>
    <w:rsid w:val="00D60C59"/>
    <w:rsid w:val="00D60C99"/>
    <w:rsid w:val="00D60CCE"/>
    <w:rsid w:val="00D60D5D"/>
    <w:rsid w:val="00D60D60"/>
    <w:rsid w:val="00D60D72"/>
    <w:rsid w:val="00D60D8B"/>
    <w:rsid w:val="00D60DAE"/>
    <w:rsid w:val="00D60E62"/>
    <w:rsid w:val="00D60EC1"/>
    <w:rsid w:val="00D60F5B"/>
    <w:rsid w:val="00D60F97"/>
    <w:rsid w:val="00D60FA8"/>
    <w:rsid w:val="00D61001"/>
    <w:rsid w:val="00D611CE"/>
    <w:rsid w:val="00D61313"/>
    <w:rsid w:val="00D61369"/>
    <w:rsid w:val="00D613C2"/>
    <w:rsid w:val="00D61412"/>
    <w:rsid w:val="00D61453"/>
    <w:rsid w:val="00D6147B"/>
    <w:rsid w:val="00D614DE"/>
    <w:rsid w:val="00D61525"/>
    <w:rsid w:val="00D61556"/>
    <w:rsid w:val="00D61647"/>
    <w:rsid w:val="00D6168A"/>
    <w:rsid w:val="00D616E8"/>
    <w:rsid w:val="00D6170A"/>
    <w:rsid w:val="00D617FA"/>
    <w:rsid w:val="00D61820"/>
    <w:rsid w:val="00D6183C"/>
    <w:rsid w:val="00D61917"/>
    <w:rsid w:val="00D619A6"/>
    <w:rsid w:val="00D61A37"/>
    <w:rsid w:val="00D61A82"/>
    <w:rsid w:val="00D61B47"/>
    <w:rsid w:val="00D61C10"/>
    <w:rsid w:val="00D61C4C"/>
    <w:rsid w:val="00D61C98"/>
    <w:rsid w:val="00D61CA4"/>
    <w:rsid w:val="00D61CC3"/>
    <w:rsid w:val="00D61CEA"/>
    <w:rsid w:val="00D61DB7"/>
    <w:rsid w:val="00D61DB8"/>
    <w:rsid w:val="00D61DBE"/>
    <w:rsid w:val="00D61DCE"/>
    <w:rsid w:val="00D61DD1"/>
    <w:rsid w:val="00D61DE3"/>
    <w:rsid w:val="00D61EC1"/>
    <w:rsid w:val="00D61F11"/>
    <w:rsid w:val="00D61FC5"/>
    <w:rsid w:val="00D620A2"/>
    <w:rsid w:val="00D620CE"/>
    <w:rsid w:val="00D62107"/>
    <w:rsid w:val="00D6218F"/>
    <w:rsid w:val="00D622AD"/>
    <w:rsid w:val="00D622C8"/>
    <w:rsid w:val="00D622E6"/>
    <w:rsid w:val="00D62303"/>
    <w:rsid w:val="00D62306"/>
    <w:rsid w:val="00D6234D"/>
    <w:rsid w:val="00D623E2"/>
    <w:rsid w:val="00D624E7"/>
    <w:rsid w:val="00D6252B"/>
    <w:rsid w:val="00D62577"/>
    <w:rsid w:val="00D625BA"/>
    <w:rsid w:val="00D62640"/>
    <w:rsid w:val="00D6267C"/>
    <w:rsid w:val="00D6269C"/>
    <w:rsid w:val="00D6277F"/>
    <w:rsid w:val="00D62803"/>
    <w:rsid w:val="00D62885"/>
    <w:rsid w:val="00D6298B"/>
    <w:rsid w:val="00D629CC"/>
    <w:rsid w:val="00D62A7E"/>
    <w:rsid w:val="00D62B07"/>
    <w:rsid w:val="00D62B30"/>
    <w:rsid w:val="00D62C45"/>
    <w:rsid w:val="00D62C56"/>
    <w:rsid w:val="00D62C82"/>
    <w:rsid w:val="00D62CA2"/>
    <w:rsid w:val="00D62CB6"/>
    <w:rsid w:val="00D62D12"/>
    <w:rsid w:val="00D62E3C"/>
    <w:rsid w:val="00D62F0E"/>
    <w:rsid w:val="00D62F34"/>
    <w:rsid w:val="00D62F6E"/>
    <w:rsid w:val="00D62FFC"/>
    <w:rsid w:val="00D63068"/>
    <w:rsid w:val="00D630C2"/>
    <w:rsid w:val="00D63118"/>
    <w:rsid w:val="00D6316D"/>
    <w:rsid w:val="00D63181"/>
    <w:rsid w:val="00D63344"/>
    <w:rsid w:val="00D633A8"/>
    <w:rsid w:val="00D63508"/>
    <w:rsid w:val="00D6366B"/>
    <w:rsid w:val="00D636E4"/>
    <w:rsid w:val="00D6372E"/>
    <w:rsid w:val="00D63773"/>
    <w:rsid w:val="00D63774"/>
    <w:rsid w:val="00D63779"/>
    <w:rsid w:val="00D63807"/>
    <w:rsid w:val="00D63841"/>
    <w:rsid w:val="00D63873"/>
    <w:rsid w:val="00D63929"/>
    <w:rsid w:val="00D63959"/>
    <w:rsid w:val="00D63A0B"/>
    <w:rsid w:val="00D63A29"/>
    <w:rsid w:val="00D63A33"/>
    <w:rsid w:val="00D63A96"/>
    <w:rsid w:val="00D63A97"/>
    <w:rsid w:val="00D63B3B"/>
    <w:rsid w:val="00D63B80"/>
    <w:rsid w:val="00D63CB3"/>
    <w:rsid w:val="00D63D64"/>
    <w:rsid w:val="00D63DB8"/>
    <w:rsid w:val="00D63E18"/>
    <w:rsid w:val="00D63F38"/>
    <w:rsid w:val="00D63F8A"/>
    <w:rsid w:val="00D63FD2"/>
    <w:rsid w:val="00D63FF5"/>
    <w:rsid w:val="00D64022"/>
    <w:rsid w:val="00D640A6"/>
    <w:rsid w:val="00D64193"/>
    <w:rsid w:val="00D641AC"/>
    <w:rsid w:val="00D641B7"/>
    <w:rsid w:val="00D641E9"/>
    <w:rsid w:val="00D6429E"/>
    <w:rsid w:val="00D642D8"/>
    <w:rsid w:val="00D642F9"/>
    <w:rsid w:val="00D64380"/>
    <w:rsid w:val="00D6439B"/>
    <w:rsid w:val="00D643E1"/>
    <w:rsid w:val="00D64462"/>
    <w:rsid w:val="00D64479"/>
    <w:rsid w:val="00D644CB"/>
    <w:rsid w:val="00D64563"/>
    <w:rsid w:val="00D645CD"/>
    <w:rsid w:val="00D64624"/>
    <w:rsid w:val="00D64673"/>
    <w:rsid w:val="00D64988"/>
    <w:rsid w:val="00D64996"/>
    <w:rsid w:val="00D649C0"/>
    <w:rsid w:val="00D64AA9"/>
    <w:rsid w:val="00D64B0D"/>
    <w:rsid w:val="00D64B26"/>
    <w:rsid w:val="00D64B7C"/>
    <w:rsid w:val="00D64B9F"/>
    <w:rsid w:val="00D64C1E"/>
    <w:rsid w:val="00D64C6A"/>
    <w:rsid w:val="00D64CD7"/>
    <w:rsid w:val="00D64D55"/>
    <w:rsid w:val="00D64DB9"/>
    <w:rsid w:val="00D64DF4"/>
    <w:rsid w:val="00D64E0F"/>
    <w:rsid w:val="00D64E57"/>
    <w:rsid w:val="00D64E7D"/>
    <w:rsid w:val="00D64F45"/>
    <w:rsid w:val="00D64F4B"/>
    <w:rsid w:val="00D64F83"/>
    <w:rsid w:val="00D64FB1"/>
    <w:rsid w:val="00D65153"/>
    <w:rsid w:val="00D651A2"/>
    <w:rsid w:val="00D651F6"/>
    <w:rsid w:val="00D651FA"/>
    <w:rsid w:val="00D652BD"/>
    <w:rsid w:val="00D65357"/>
    <w:rsid w:val="00D65419"/>
    <w:rsid w:val="00D65422"/>
    <w:rsid w:val="00D65485"/>
    <w:rsid w:val="00D65488"/>
    <w:rsid w:val="00D654D5"/>
    <w:rsid w:val="00D65517"/>
    <w:rsid w:val="00D655DE"/>
    <w:rsid w:val="00D656AA"/>
    <w:rsid w:val="00D656FB"/>
    <w:rsid w:val="00D6574E"/>
    <w:rsid w:val="00D6575B"/>
    <w:rsid w:val="00D657A5"/>
    <w:rsid w:val="00D65829"/>
    <w:rsid w:val="00D6582A"/>
    <w:rsid w:val="00D65852"/>
    <w:rsid w:val="00D65928"/>
    <w:rsid w:val="00D65AD9"/>
    <w:rsid w:val="00D65AEA"/>
    <w:rsid w:val="00D65B31"/>
    <w:rsid w:val="00D65B33"/>
    <w:rsid w:val="00D65B69"/>
    <w:rsid w:val="00D65B7C"/>
    <w:rsid w:val="00D65B8C"/>
    <w:rsid w:val="00D65C57"/>
    <w:rsid w:val="00D65C77"/>
    <w:rsid w:val="00D65CEF"/>
    <w:rsid w:val="00D65D1E"/>
    <w:rsid w:val="00D65DB4"/>
    <w:rsid w:val="00D65DC1"/>
    <w:rsid w:val="00D65DCA"/>
    <w:rsid w:val="00D65E35"/>
    <w:rsid w:val="00D65EA0"/>
    <w:rsid w:val="00D65F0E"/>
    <w:rsid w:val="00D65F8F"/>
    <w:rsid w:val="00D6602B"/>
    <w:rsid w:val="00D66095"/>
    <w:rsid w:val="00D66107"/>
    <w:rsid w:val="00D66165"/>
    <w:rsid w:val="00D661AB"/>
    <w:rsid w:val="00D661C9"/>
    <w:rsid w:val="00D662DF"/>
    <w:rsid w:val="00D662E1"/>
    <w:rsid w:val="00D6632E"/>
    <w:rsid w:val="00D66389"/>
    <w:rsid w:val="00D663A8"/>
    <w:rsid w:val="00D664A3"/>
    <w:rsid w:val="00D6653D"/>
    <w:rsid w:val="00D6654A"/>
    <w:rsid w:val="00D6654E"/>
    <w:rsid w:val="00D66642"/>
    <w:rsid w:val="00D6665C"/>
    <w:rsid w:val="00D666BD"/>
    <w:rsid w:val="00D666CE"/>
    <w:rsid w:val="00D666CF"/>
    <w:rsid w:val="00D6670A"/>
    <w:rsid w:val="00D6670D"/>
    <w:rsid w:val="00D66755"/>
    <w:rsid w:val="00D6679B"/>
    <w:rsid w:val="00D668E6"/>
    <w:rsid w:val="00D668EE"/>
    <w:rsid w:val="00D66A1C"/>
    <w:rsid w:val="00D66A6C"/>
    <w:rsid w:val="00D66B0C"/>
    <w:rsid w:val="00D66B60"/>
    <w:rsid w:val="00D66C05"/>
    <w:rsid w:val="00D66C1F"/>
    <w:rsid w:val="00D66C29"/>
    <w:rsid w:val="00D66C2C"/>
    <w:rsid w:val="00D66C44"/>
    <w:rsid w:val="00D66C8B"/>
    <w:rsid w:val="00D66CE8"/>
    <w:rsid w:val="00D66D08"/>
    <w:rsid w:val="00D66D62"/>
    <w:rsid w:val="00D66D7D"/>
    <w:rsid w:val="00D66E19"/>
    <w:rsid w:val="00D66E41"/>
    <w:rsid w:val="00D66E8B"/>
    <w:rsid w:val="00D66EB7"/>
    <w:rsid w:val="00D66ED4"/>
    <w:rsid w:val="00D66EEA"/>
    <w:rsid w:val="00D66F5A"/>
    <w:rsid w:val="00D66F63"/>
    <w:rsid w:val="00D67082"/>
    <w:rsid w:val="00D670B2"/>
    <w:rsid w:val="00D6710F"/>
    <w:rsid w:val="00D67208"/>
    <w:rsid w:val="00D67253"/>
    <w:rsid w:val="00D67268"/>
    <w:rsid w:val="00D6726F"/>
    <w:rsid w:val="00D67275"/>
    <w:rsid w:val="00D672E0"/>
    <w:rsid w:val="00D673B0"/>
    <w:rsid w:val="00D673D5"/>
    <w:rsid w:val="00D6741C"/>
    <w:rsid w:val="00D67443"/>
    <w:rsid w:val="00D674CE"/>
    <w:rsid w:val="00D674DD"/>
    <w:rsid w:val="00D67503"/>
    <w:rsid w:val="00D67532"/>
    <w:rsid w:val="00D6755D"/>
    <w:rsid w:val="00D67562"/>
    <w:rsid w:val="00D67626"/>
    <w:rsid w:val="00D67692"/>
    <w:rsid w:val="00D676A8"/>
    <w:rsid w:val="00D676ED"/>
    <w:rsid w:val="00D67794"/>
    <w:rsid w:val="00D67797"/>
    <w:rsid w:val="00D677E1"/>
    <w:rsid w:val="00D6783A"/>
    <w:rsid w:val="00D6792A"/>
    <w:rsid w:val="00D67952"/>
    <w:rsid w:val="00D679C5"/>
    <w:rsid w:val="00D67A06"/>
    <w:rsid w:val="00D67AF6"/>
    <w:rsid w:val="00D67B10"/>
    <w:rsid w:val="00D67C18"/>
    <w:rsid w:val="00D67D94"/>
    <w:rsid w:val="00D67E23"/>
    <w:rsid w:val="00D67F4F"/>
    <w:rsid w:val="00D7006E"/>
    <w:rsid w:val="00D7008C"/>
    <w:rsid w:val="00D70090"/>
    <w:rsid w:val="00D700A2"/>
    <w:rsid w:val="00D7018B"/>
    <w:rsid w:val="00D701D4"/>
    <w:rsid w:val="00D7021E"/>
    <w:rsid w:val="00D702CD"/>
    <w:rsid w:val="00D702CF"/>
    <w:rsid w:val="00D702F2"/>
    <w:rsid w:val="00D70316"/>
    <w:rsid w:val="00D7034A"/>
    <w:rsid w:val="00D70357"/>
    <w:rsid w:val="00D70388"/>
    <w:rsid w:val="00D703B8"/>
    <w:rsid w:val="00D704FC"/>
    <w:rsid w:val="00D70591"/>
    <w:rsid w:val="00D7059A"/>
    <w:rsid w:val="00D705B9"/>
    <w:rsid w:val="00D70673"/>
    <w:rsid w:val="00D706C6"/>
    <w:rsid w:val="00D708AF"/>
    <w:rsid w:val="00D7091C"/>
    <w:rsid w:val="00D70941"/>
    <w:rsid w:val="00D7094F"/>
    <w:rsid w:val="00D70961"/>
    <w:rsid w:val="00D7098B"/>
    <w:rsid w:val="00D70A29"/>
    <w:rsid w:val="00D70BAA"/>
    <w:rsid w:val="00D70C12"/>
    <w:rsid w:val="00D70CA8"/>
    <w:rsid w:val="00D70D76"/>
    <w:rsid w:val="00D70DB3"/>
    <w:rsid w:val="00D70DBF"/>
    <w:rsid w:val="00D70DFE"/>
    <w:rsid w:val="00D70E4F"/>
    <w:rsid w:val="00D70E55"/>
    <w:rsid w:val="00D70E91"/>
    <w:rsid w:val="00D70EAD"/>
    <w:rsid w:val="00D7109F"/>
    <w:rsid w:val="00D71197"/>
    <w:rsid w:val="00D711E8"/>
    <w:rsid w:val="00D71260"/>
    <w:rsid w:val="00D71335"/>
    <w:rsid w:val="00D713A3"/>
    <w:rsid w:val="00D713BC"/>
    <w:rsid w:val="00D713E9"/>
    <w:rsid w:val="00D71655"/>
    <w:rsid w:val="00D71657"/>
    <w:rsid w:val="00D71688"/>
    <w:rsid w:val="00D716B6"/>
    <w:rsid w:val="00D71701"/>
    <w:rsid w:val="00D71745"/>
    <w:rsid w:val="00D71750"/>
    <w:rsid w:val="00D717A3"/>
    <w:rsid w:val="00D717CE"/>
    <w:rsid w:val="00D7184B"/>
    <w:rsid w:val="00D71972"/>
    <w:rsid w:val="00D71999"/>
    <w:rsid w:val="00D719B2"/>
    <w:rsid w:val="00D71A74"/>
    <w:rsid w:val="00D71AF1"/>
    <w:rsid w:val="00D71B07"/>
    <w:rsid w:val="00D71C16"/>
    <w:rsid w:val="00D71C2C"/>
    <w:rsid w:val="00D71C95"/>
    <w:rsid w:val="00D71CAD"/>
    <w:rsid w:val="00D71D41"/>
    <w:rsid w:val="00D71D67"/>
    <w:rsid w:val="00D71DAF"/>
    <w:rsid w:val="00D71E5A"/>
    <w:rsid w:val="00D71EB9"/>
    <w:rsid w:val="00D71F56"/>
    <w:rsid w:val="00D71F9C"/>
    <w:rsid w:val="00D71FC7"/>
    <w:rsid w:val="00D71FEE"/>
    <w:rsid w:val="00D720A9"/>
    <w:rsid w:val="00D72151"/>
    <w:rsid w:val="00D72183"/>
    <w:rsid w:val="00D7226C"/>
    <w:rsid w:val="00D72378"/>
    <w:rsid w:val="00D723BD"/>
    <w:rsid w:val="00D723D0"/>
    <w:rsid w:val="00D72407"/>
    <w:rsid w:val="00D724C8"/>
    <w:rsid w:val="00D72507"/>
    <w:rsid w:val="00D7255E"/>
    <w:rsid w:val="00D7263A"/>
    <w:rsid w:val="00D72749"/>
    <w:rsid w:val="00D72779"/>
    <w:rsid w:val="00D727F5"/>
    <w:rsid w:val="00D727FE"/>
    <w:rsid w:val="00D7280B"/>
    <w:rsid w:val="00D72860"/>
    <w:rsid w:val="00D72873"/>
    <w:rsid w:val="00D728CA"/>
    <w:rsid w:val="00D7291D"/>
    <w:rsid w:val="00D7291E"/>
    <w:rsid w:val="00D7294F"/>
    <w:rsid w:val="00D72AA8"/>
    <w:rsid w:val="00D72BE3"/>
    <w:rsid w:val="00D72C78"/>
    <w:rsid w:val="00D72CAD"/>
    <w:rsid w:val="00D72D3C"/>
    <w:rsid w:val="00D72D73"/>
    <w:rsid w:val="00D72D7B"/>
    <w:rsid w:val="00D72DE4"/>
    <w:rsid w:val="00D72F46"/>
    <w:rsid w:val="00D72F6A"/>
    <w:rsid w:val="00D73022"/>
    <w:rsid w:val="00D730A2"/>
    <w:rsid w:val="00D7314E"/>
    <w:rsid w:val="00D73152"/>
    <w:rsid w:val="00D731B7"/>
    <w:rsid w:val="00D7321B"/>
    <w:rsid w:val="00D73281"/>
    <w:rsid w:val="00D73337"/>
    <w:rsid w:val="00D73344"/>
    <w:rsid w:val="00D73369"/>
    <w:rsid w:val="00D733F0"/>
    <w:rsid w:val="00D7350C"/>
    <w:rsid w:val="00D735B3"/>
    <w:rsid w:val="00D73618"/>
    <w:rsid w:val="00D73690"/>
    <w:rsid w:val="00D73771"/>
    <w:rsid w:val="00D737A9"/>
    <w:rsid w:val="00D73882"/>
    <w:rsid w:val="00D738D7"/>
    <w:rsid w:val="00D738DB"/>
    <w:rsid w:val="00D73997"/>
    <w:rsid w:val="00D73A64"/>
    <w:rsid w:val="00D73AAF"/>
    <w:rsid w:val="00D73AFF"/>
    <w:rsid w:val="00D73B0E"/>
    <w:rsid w:val="00D73CAD"/>
    <w:rsid w:val="00D73D28"/>
    <w:rsid w:val="00D73D35"/>
    <w:rsid w:val="00D73D99"/>
    <w:rsid w:val="00D73DE4"/>
    <w:rsid w:val="00D73E51"/>
    <w:rsid w:val="00D73EE1"/>
    <w:rsid w:val="00D73F95"/>
    <w:rsid w:val="00D7400A"/>
    <w:rsid w:val="00D74098"/>
    <w:rsid w:val="00D740E3"/>
    <w:rsid w:val="00D7410E"/>
    <w:rsid w:val="00D741C8"/>
    <w:rsid w:val="00D74269"/>
    <w:rsid w:val="00D742AB"/>
    <w:rsid w:val="00D7430A"/>
    <w:rsid w:val="00D74314"/>
    <w:rsid w:val="00D743A2"/>
    <w:rsid w:val="00D743A4"/>
    <w:rsid w:val="00D743B0"/>
    <w:rsid w:val="00D743B8"/>
    <w:rsid w:val="00D74465"/>
    <w:rsid w:val="00D7449E"/>
    <w:rsid w:val="00D74521"/>
    <w:rsid w:val="00D7452D"/>
    <w:rsid w:val="00D74534"/>
    <w:rsid w:val="00D74597"/>
    <w:rsid w:val="00D745F5"/>
    <w:rsid w:val="00D74608"/>
    <w:rsid w:val="00D746D3"/>
    <w:rsid w:val="00D74723"/>
    <w:rsid w:val="00D747A4"/>
    <w:rsid w:val="00D747E2"/>
    <w:rsid w:val="00D74886"/>
    <w:rsid w:val="00D748B4"/>
    <w:rsid w:val="00D74926"/>
    <w:rsid w:val="00D7495D"/>
    <w:rsid w:val="00D749AD"/>
    <w:rsid w:val="00D749AE"/>
    <w:rsid w:val="00D74A5E"/>
    <w:rsid w:val="00D74B89"/>
    <w:rsid w:val="00D74BBE"/>
    <w:rsid w:val="00D74D83"/>
    <w:rsid w:val="00D74DC9"/>
    <w:rsid w:val="00D74DF6"/>
    <w:rsid w:val="00D74E89"/>
    <w:rsid w:val="00D74E8E"/>
    <w:rsid w:val="00D74EAE"/>
    <w:rsid w:val="00D74EDB"/>
    <w:rsid w:val="00D74F3B"/>
    <w:rsid w:val="00D74F3C"/>
    <w:rsid w:val="00D74FA3"/>
    <w:rsid w:val="00D75081"/>
    <w:rsid w:val="00D750EC"/>
    <w:rsid w:val="00D752E6"/>
    <w:rsid w:val="00D752F1"/>
    <w:rsid w:val="00D752F3"/>
    <w:rsid w:val="00D75318"/>
    <w:rsid w:val="00D75337"/>
    <w:rsid w:val="00D75412"/>
    <w:rsid w:val="00D7549D"/>
    <w:rsid w:val="00D754A8"/>
    <w:rsid w:val="00D755BA"/>
    <w:rsid w:val="00D75683"/>
    <w:rsid w:val="00D75701"/>
    <w:rsid w:val="00D75721"/>
    <w:rsid w:val="00D7572F"/>
    <w:rsid w:val="00D7577C"/>
    <w:rsid w:val="00D757CE"/>
    <w:rsid w:val="00D758A8"/>
    <w:rsid w:val="00D75949"/>
    <w:rsid w:val="00D7595B"/>
    <w:rsid w:val="00D759B2"/>
    <w:rsid w:val="00D759C6"/>
    <w:rsid w:val="00D759F5"/>
    <w:rsid w:val="00D75A36"/>
    <w:rsid w:val="00D75A48"/>
    <w:rsid w:val="00D75AC9"/>
    <w:rsid w:val="00D75AD6"/>
    <w:rsid w:val="00D75B52"/>
    <w:rsid w:val="00D75B9A"/>
    <w:rsid w:val="00D75BA9"/>
    <w:rsid w:val="00D75D28"/>
    <w:rsid w:val="00D75D4A"/>
    <w:rsid w:val="00D75D82"/>
    <w:rsid w:val="00D75DCA"/>
    <w:rsid w:val="00D75E3D"/>
    <w:rsid w:val="00D75EFD"/>
    <w:rsid w:val="00D75F29"/>
    <w:rsid w:val="00D75F8A"/>
    <w:rsid w:val="00D75FAE"/>
    <w:rsid w:val="00D75FD4"/>
    <w:rsid w:val="00D7603C"/>
    <w:rsid w:val="00D76096"/>
    <w:rsid w:val="00D760DF"/>
    <w:rsid w:val="00D761C0"/>
    <w:rsid w:val="00D76275"/>
    <w:rsid w:val="00D7628D"/>
    <w:rsid w:val="00D762F5"/>
    <w:rsid w:val="00D76317"/>
    <w:rsid w:val="00D763C1"/>
    <w:rsid w:val="00D76478"/>
    <w:rsid w:val="00D76482"/>
    <w:rsid w:val="00D76534"/>
    <w:rsid w:val="00D7657F"/>
    <w:rsid w:val="00D765D1"/>
    <w:rsid w:val="00D76651"/>
    <w:rsid w:val="00D766A3"/>
    <w:rsid w:val="00D766B1"/>
    <w:rsid w:val="00D76734"/>
    <w:rsid w:val="00D7673B"/>
    <w:rsid w:val="00D76755"/>
    <w:rsid w:val="00D767E2"/>
    <w:rsid w:val="00D769D4"/>
    <w:rsid w:val="00D76A08"/>
    <w:rsid w:val="00D76A11"/>
    <w:rsid w:val="00D76B6E"/>
    <w:rsid w:val="00D76BF2"/>
    <w:rsid w:val="00D76C94"/>
    <w:rsid w:val="00D76CE2"/>
    <w:rsid w:val="00D76D27"/>
    <w:rsid w:val="00D76D76"/>
    <w:rsid w:val="00D76D77"/>
    <w:rsid w:val="00D76DC6"/>
    <w:rsid w:val="00D76DFC"/>
    <w:rsid w:val="00D76E03"/>
    <w:rsid w:val="00D76E7C"/>
    <w:rsid w:val="00D76E7E"/>
    <w:rsid w:val="00D76EBC"/>
    <w:rsid w:val="00D76F05"/>
    <w:rsid w:val="00D76F2F"/>
    <w:rsid w:val="00D76F7E"/>
    <w:rsid w:val="00D7708C"/>
    <w:rsid w:val="00D770A2"/>
    <w:rsid w:val="00D77161"/>
    <w:rsid w:val="00D771CB"/>
    <w:rsid w:val="00D77235"/>
    <w:rsid w:val="00D77243"/>
    <w:rsid w:val="00D7727B"/>
    <w:rsid w:val="00D772A6"/>
    <w:rsid w:val="00D772AD"/>
    <w:rsid w:val="00D7732E"/>
    <w:rsid w:val="00D77443"/>
    <w:rsid w:val="00D7748A"/>
    <w:rsid w:val="00D774B5"/>
    <w:rsid w:val="00D775B3"/>
    <w:rsid w:val="00D77643"/>
    <w:rsid w:val="00D7774E"/>
    <w:rsid w:val="00D7779E"/>
    <w:rsid w:val="00D7783D"/>
    <w:rsid w:val="00D77906"/>
    <w:rsid w:val="00D77A27"/>
    <w:rsid w:val="00D77A7C"/>
    <w:rsid w:val="00D77ACF"/>
    <w:rsid w:val="00D77AF1"/>
    <w:rsid w:val="00D77B46"/>
    <w:rsid w:val="00D77B5D"/>
    <w:rsid w:val="00D77B85"/>
    <w:rsid w:val="00D77BEC"/>
    <w:rsid w:val="00D77C06"/>
    <w:rsid w:val="00D77C7B"/>
    <w:rsid w:val="00D77CC9"/>
    <w:rsid w:val="00D77CDC"/>
    <w:rsid w:val="00D77D7C"/>
    <w:rsid w:val="00D77DE7"/>
    <w:rsid w:val="00D77DEE"/>
    <w:rsid w:val="00D77E97"/>
    <w:rsid w:val="00D77F11"/>
    <w:rsid w:val="00D77FF4"/>
    <w:rsid w:val="00D80087"/>
    <w:rsid w:val="00D800E1"/>
    <w:rsid w:val="00D800F0"/>
    <w:rsid w:val="00D80143"/>
    <w:rsid w:val="00D80151"/>
    <w:rsid w:val="00D801E8"/>
    <w:rsid w:val="00D80201"/>
    <w:rsid w:val="00D80240"/>
    <w:rsid w:val="00D802CF"/>
    <w:rsid w:val="00D802ED"/>
    <w:rsid w:val="00D802F2"/>
    <w:rsid w:val="00D80309"/>
    <w:rsid w:val="00D80383"/>
    <w:rsid w:val="00D80387"/>
    <w:rsid w:val="00D80488"/>
    <w:rsid w:val="00D80500"/>
    <w:rsid w:val="00D80559"/>
    <w:rsid w:val="00D80560"/>
    <w:rsid w:val="00D80569"/>
    <w:rsid w:val="00D80588"/>
    <w:rsid w:val="00D8068C"/>
    <w:rsid w:val="00D806D3"/>
    <w:rsid w:val="00D8071B"/>
    <w:rsid w:val="00D8074E"/>
    <w:rsid w:val="00D80784"/>
    <w:rsid w:val="00D807F3"/>
    <w:rsid w:val="00D8089A"/>
    <w:rsid w:val="00D80911"/>
    <w:rsid w:val="00D8093A"/>
    <w:rsid w:val="00D80987"/>
    <w:rsid w:val="00D809A5"/>
    <w:rsid w:val="00D809F3"/>
    <w:rsid w:val="00D80A01"/>
    <w:rsid w:val="00D80AEF"/>
    <w:rsid w:val="00D80BB2"/>
    <w:rsid w:val="00D80BB4"/>
    <w:rsid w:val="00D80C3A"/>
    <w:rsid w:val="00D80CF8"/>
    <w:rsid w:val="00D80D0E"/>
    <w:rsid w:val="00D80D54"/>
    <w:rsid w:val="00D80E3D"/>
    <w:rsid w:val="00D80E96"/>
    <w:rsid w:val="00D80ED3"/>
    <w:rsid w:val="00D80ED5"/>
    <w:rsid w:val="00D80EF8"/>
    <w:rsid w:val="00D80FDB"/>
    <w:rsid w:val="00D8103B"/>
    <w:rsid w:val="00D81063"/>
    <w:rsid w:val="00D81081"/>
    <w:rsid w:val="00D81201"/>
    <w:rsid w:val="00D81329"/>
    <w:rsid w:val="00D813FB"/>
    <w:rsid w:val="00D81444"/>
    <w:rsid w:val="00D814CE"/>
    <w:rsid w:val="00D814D2"/>
    <w:rsid w:val="00D814FE"/>
    <w:rsid w:val="00D8156E"/>
    <w:rsid w:val="00D815CD"/>
    <w:rsid w:val="00D8166E"/>
    <w:rsid w:val="00D8169B"/>
    <w:rsid w:val="00D816A6"/>
    <w:rsid w:val="00D816AC"/>
    <w:rsid w:val="00D816BB"/>
    <w:rsid w:val="00D81708"/>
    <w:rsid w:val="00D8179A"/>
    <w:rsid w:val="00D817C4"/>
    <w:rsid w:val="00D81845"/>
    <w:rsid w:val="00D8185F"/>
    <w:rsid w:val="00D8189B"/>
    <w:rsid w:val="00D8191B"/>
    <w:rsid w:val="00D81999"/>
    <w:rsid w:val="00D819E5"/>
    <w:rsid w:val="00D81A76"/>
    <w:rsid w:val="00D81A9A"/>
    <w:rsid w:val="00D81AED"/>
    <w:rsid w:val="00D81AF7"/>
    <w:rsid w:val="00D81B01"/>
    <w:rsid w:val="00D81B05"/>
    <w:rsid w:val="00D81B10"/>
    <w:rsid w:val="00D81B97"/>
    <w:rsid w:val="00D81BA2"/>
    <w:rsid w:val="00D81BB9"/>
    <w:rsid w:val="00D81C39"/>
    <w:rsid w:val="00D81C6A"/>
    <w:rsid w:val="00D81CB1"/>
    <w:rsid w:val="00D81DD5"/>
    <w:rsid w:val="00D81DE3"/>
    <w:rsid w:val="00D81DF9"/>
    <w:rsid w:val="00D81E78"/>
    <w:rsid w:val="00D81EE5"/>
    <w:rsid w:val="00D81FE6"/>
    <w:rsid w:val="00D8212C"/>
    <w:rsid w:val="00D821A4"/>
    <w:rsid w:val="00D821F4"/>
    <w:rsid w:val="00D82246"/>
    <w:rsid w:val="00D822DB"/>
    <w:rsid w:val="00D82323"/>
    <w:rsid w:val="00D82460"/>
    <w:rsid w:val="00D8247A"/>
    <w:rsid w:val="00D8248A"/>
    <w:rsid w:val="00D825B1"/>
    <w:rsid w:val="00D825C7"/>
    <w:rsid w:val="00D8278F"/>
    <w:rsid w:val="00D827AD"/>
    <w:rsid w:val="00D828A2"/>
    <w:rsid w:val="00D828FA"/>
    <w:rsid w:val="00D82908"/>
    <w:rsid w:val="00D82939"/>
    <w:rsid w:val="00D829BC"/>
    <w:rsid w:val="00D829D5"/>
    <w:rsid w:val="00D82A4A"/>
    <w:rsid w:val="00D82AFC"/>
    <w:rsid w:val="00D82B47"/>
    <w:rsid w:val="00D82B50"/>
    <w:rsid w:val="00D82B85"/>
    <w:rsid w:val="00D82BB7"/>
    <w:rsid w:val="00D82BEF"/>
    <w:rsid w:val="00D82C08"/>
    <w:rsid w:val="00D82C2A"/>
    <w:rsid w:val="00D82CAB"/>
    <w:rsid w:val="00D82CB1"/>
    <w:rsid w:val="00D82CFB"/>
    <w:rsid w:val="00D82D01"/>
    <w:rsid w:val="00D82DF2"/>
    <w:rsid w:val="00D82EE1"/>
    <w:rsid w:val="00D82FCF"/>
    <w:rsid w:val="00D82FE1"/>
    <w:rsid w:val="00D831B7"/>
    <w:rsid w:val="00D831D0"/>
    <w:rsid w:val="00D831D3"/>
    <w:rsid w:val="00D83216"/>
    <w:rsid w:val="00D832B2"/>
    <w:rsid w:val="00D8330D"/>
    <w:rsid w:val="00D83312"/>
    <w:rsid w:val="00D8338D"/>
    <w:rsid w:val="00D833C5"/>
    <w:rsid w:val="00D83431"/>
    <w:rsid w:val="00D83466"/>
    <w:rsid w:val="00D8349D"/>
    <w:rsid w:val="00D83520"/>
    <w:rsid w:val="00D83554"/>
    <w:rsid w:val="00D83564"/>
    <w:rsid w:val="00D83567"/>
    <w:rsid w:val="00D8357A"/>
    <w:rsid w:val="00D835DD"/>
    <w:rsid w:val="00D83604"/>
    <w:rsid w:val="00D83703"/>
    <w:rsid w:val="00D83735"/>
    <w:rsid w:val="00D8373E"/>
    <w:rsid w:val="00D83786"/>
    <w:rsid w:val="00D837E4"/>
    <w:rsid w:val="00D837EC"/>
    <w:rsid w:val="00D83802"/>
    <w:rsid w:val="00D8385D"/>
    <w:rsid w:val="00D8385E"/>
    <w:rsid w:val="00D8390A"/>
    <w:rsid w:val="00D83961"/>
    <w:rsid w:val="00D83A73"/>
    <w:rsid w:val="00D83B18"/>
    <w:rsid w:val="00D83B8E"/>
    <w:rsid w:val="00D83BD2"/>
    <w:rsid w:val="00D83BFB"/>
    <w:rsid w:val="00D83C30"/>
    <w:rsid w:val="00D83CFB"/>
    <w:rsid w:val="00D83DA0"/>
    <w:rsid w:val="00D83E4E"/>
    <w:rsid w:val="00D83EB4"/>
    <w:rsid w:val="00D83EBF"/>
    <w:rsid w:val="00D83EF1"/>
    <w:rsid w:val="00D83F35"/>
    <w:rsid w:val="00D83F84"/>
    <w:rsid w:val="00D84017"/>
    <w:rsid w:val="00D84064"/>
    <w:rsid w:val="00D841D2"/>
    <w:rsid w:val="00D8420F"/>
    <w:rsid w:val="00D84214"/>
    <w:rsid w:val="00D84230"/>
    <w:rsid w:val="00D842BC"/>
    <w:rsid w:val="00D843C6"/>
    <w:rsid w:val="00D843E1"/>
    <w:rsid w:val="00D8444C"/>
    <w:rsid w:val="00D844AD"/>
    <w:rsid w:val="00D844BA"/>
    <w:rsid w:val="00D844EF"/>
    <w:rsid w:val="00D84538"/>
    <w:rsid w:val="00D845CF"/>
    <w:rsid w:val="00D84657"/>
    <w:rsid w:val="00D8465D"/>
    <w:rsid w:val="00D84669"/>
    <w:rsid w:val="00D8467C"/>
    <w:rsid w:val="00D84689"/>
    <w:rsid w:val="00D84692"/>
    <w:rsid w:val="00D846B3"/>
    <w:rsid w:val="00D846EA"/>
    <w:rsid w:val="00D8475C"/>
    <w:rsid w:val="00D847EB"/>
    <w:rsid w:val="00D84816"/>
    <w:rsid w:val="00D84828"/>
    <w:rsid w:val="00D8482F"/>
    <w:rsid w:val="00D848A3"/>
    <w:rsid w:val="00D84920"/>
    <w:rsid w:val="00D8493E"/>
    <w:rsid w:val="00D849AB"/>
    <w:rsid w:val="00D849BF"/>
    <w:rsid w:val="00D849FE"/>
    <w:rsid w:val="00D84A38"/>
    <w:rsid w:val="00D84A43"/>
    <w:rsid w:val="00D84B0F"/>
    <w:rsid w:val="00D84B19"/>
    <w:rsid w:val="00D84B92"/>
    <w:rsid w:val="00D84BDB"/>
    <w:rsid w:val="00D84C0A"/>
    <w:rsid w:val="00D84C2D"/>
    <w:rsid w:val="00D84E1E"/>
    <w:rsid w:val="00D84E31"/>
    <w:rsid w:val="00D84E4D"/>
    <w:rsid w:val="00D84ED6"/>
    <w:rsid w:val="00D84F1C"/>
    <w:rsid w:val="00D84FB0"/>
    <w:rsid w:val="00D84FEA"/>
    <w:rsid w:val="00D84FF9"/>
    <w:rsid w:val="00D850AB"/>
    <w:rsid w:val="00D850C6"/>
    <w:rsid w:val="00D850FD"/>
    <w:rsid w:val="00D85107"/>
    <w:rsid w:val="00D8513E"/>
    <w:rsid w:val="00D85159"/>
    <w:rsid w:val="00D851C9"/>
    <w:rsid w:val="00D851E7"/>
    <w:rsid w:val="00D85211"/>
    <w:rsid w:val="00D8525B"/>
    <w:rsid w:val="00D8527F"/>
    <w:rsid w:val="00D852A0"/>
    <w:rsid w:val="00D853E8"/>
    <w:rsid w:val="00D854A1"/>
    <w:rsid w:val="00D855A7"/>
    <w:rsid w:val="00D855D7"/>
    <w:rsid w:val="00D85625"/>
    <w:rsid w:val="00D856A9"/>
    <w:rsid w:val="00D856D5"/>
    <w:rsid w:val="00D85721"/>
    <w:rsid w:val="00D8575F"/>
    <w:rsid w:val="00D85868"/>
    <w:rsid w:val="00D85A80"/>
    <w:rsid w:val="00D85ABE"/>
    <w:rsid w:val="00D85AC2"/>
    <w:rsid w:val="00D85B24"/>
    <w:rsid w:val="00D85B49"/>
    <w:rsid w:val="00D85B4B"/>
    <w:rsid w:val="00D85B9D"/>
    <w:rsid w:val="00D85BC8"/>
    <w:rsid w:val="00D85BDA"/>
    <w:rsid w:val="00D85D5A"/>
    <w:rsid w:val="00D85DDF"/>
    <w:rsid w:val="00D85E62"/>
    <w:rsid w:val="00D85EAF"/>
    <w:rsid w:val="00D85F30"/>
    <w:rsid w:val="00D85F82"/>
    <w:rsid w:val="00D86024"/>
    <w:rsid w:val="00D860BC"/>
    <w:rsid w:val="00D8613A"/>
    <w:rsid w:val="00D8615F"/>
    <w:rsid w:val="00D86170"/>
    <w:rsid w:val="00D861F2"/>
    <w:rsid w:val="00D86275"/>
    <w:rsid w:val="00D86291"/>
    <w:rsid w:val="00D862EB"/>
    <w:rsid w:val="00D862F1"/>
    <w:rsid w:val="00D8635A"/>
    <w:rsid w:val="00D86366"/>
    <w:rsid w:val="00D86389"/>
    <w:rsid w:val="00D863D5"/>
    <w:rsid w:val="00D864B2"/>
    <w:rsid w:val="00D864E8"/>
    <w:rsid w:val="00D86571"/>
    <w:rsid w:val="00D865A8"/>
    <w:rsid w:val="00D86773"/>
    <w:rsid w:val="00D86787"/>
    <w:rsid w:val="00D86788"/>
    <w:rsid w:val="00D867F5"/>
    <w:rsid w:val="00D86971"/>
    <w:rsid w:val="00D869F7"/>
    <w:rsid w:val="00D86A78"/>
    <w:rsid w:val="00D86AC1"/>
    <w:rsid w:val="00D86C00"/>
    <w:rsid w:val="00D86C62"/>
    <w:rsid w:val="00D86CC1"/>
    <w:rsid w:val="00D86D14"/>
    <w:rsid w:val="00D86E05"/>
    <w:rsid w:val="00D86E84"/>
    <w:rsid w:val="00D86EE0"/>
    <w:rsid w:val="00D86F40"/>
    <w:rsid w:val="00D86FC8"/>
    <w:rsid w:val="00D86FFD"/>
    <w:rsid w:val="00D87028"/>
    <w:rsid w:val="00D870F2"/>
    <w:rsid w:val="00D8710B"/>
    <w:rsid w:val="00D87167"/>
    <w:rsid w:val="00D87204"/>
    <w:rsid w:val="00D8720C"/>
    <w:rsid w:val="00D8724C"/>
    <w:rsid w:val="00D872E0"/>
    <w:rsid w:val="00D8732B"/>
    <w:rsid w:val="00D8733C"/>
    <w:rsid w:val="00D87388"/>
    <w:rsid w:val="00D87416"/>
    <w:rsid w:val="00D87438"/>
    <w:rsid w:val="00D874FB"/>
    <w:rsid w:val="00D87500"/>
    <w:rsid w:val="00D87556"/>
    <w:rsid w:val="00D87574"/>
    <w:rsid w:val="00D876BA"/>
    <w:rsid w:val="00D876D5"/>
    <w:rsid w:val="00D87759"/>
    <w:rsid w:val="00D877AA"/>
    <w:rsid w:val="00D8780B"/>
    <w:rsid w:val="00D87816"/>
    <w:rsid w:val="00D878B1"/>
    <w:rsid w:val="00D878F1"/>
    <w:rsid w:val="00D87938"/>
    <w:rsid w:val="00D87949"/>
    <w:rsid w:val="00D8798D"/>
    <w:rsid w:val="00D879EC"/>
    <w:rsid w:val="00D87BB8"/>
    <w:rsid w:val="00D87C6D"/>
    <w:rsid w:val="00D87C8A"/>
    <w:rsid w:val="00D87D24"/>
    <w:rsid w:val="00D87EC1"/>
    <w:rsid w:val="00D87EFF"/>
    <w:rsid w:val="00D87F4A"/>
    <w:rsid w:val="00D87F4F"/>
    <w:rsid w:val="00D87F5E"/>
    <w:rsid w:val="00D87F8D"/>
    <w:rsid w:val="00D87FC7"/>
    <w:rsid w:val="00D900B4"/>
    <w:rsid w:val="00D90108"/>
    <w:rsid w:val="00D90243"/>
    <w:rsid w:val="00D90278"/>
    <w:rsid w:val="00D90279"/>
    <w:rsid w:val="00D902E4"/>
    <w:rsid w:val="00D90332"/>
    <w:rsid w:val="00D90358"/>
    <w:rsid w:val="00D90376"/>
    <w:rsid w:val="00D90410"/>
    <w:rsid w:val="00D9042D"/>
    <w:rsid w:val="00D9043E"/>
    <w:rsid w:val="00D90498"/>
    <w:rsid w:val="00D904C2"/>
    <w:rsid w:val="00D90555"/>
    <w:rsid w:val="00D90558"/>
    <w:rsid w:val="00D90565"/>
    <w:rsid w:val="00D90592"/>
    <w:rsid w:val="00D905C9"/>
    <w:rsid w:val="00D90707"/>
    <w:rsid w:val="00D907A4"/>
    <w:rsid w:val="00D907F7"/>
    <w:rsid w:val="00D90888"/>
    <w:rsid w:val="00D908DA"/>
    <w:rsid w:val="00D90987"/>
    <w:rsid w:val="00D90A0D"/>
    <w:rsid w:val="00D90A12"/>
    <w:rsid w:val="00D90AC9"/>
    <w:rsid w:val="00D90BDC"/>
    <w:rsid w:val="00D90C02"/>
    <w:rsid w:val="00D90C85"/>
    <w:rsid w:val="00D90D24"/>
    <w:rsid w:val="00D90D31"/>
    <w:rsid w:val="00D90E80"/>
    <w:rsid w:val="00D90E9B"/>
    <w:rsid w:val="00D90EAB"/>
    <w:rsid w:val="00D90F67"/>
    <w:rsid w:val="00D90FC0"/>
    <w:rsid w:val="00D91095"/>
    <w:rsid w:val="00D910C3"/>
    <w:rsid w:val="00D9111A"/>
    <w:rsid w:val="00D91197"/>
    <w:rsid w:val="00D91206"/>
    <w:rsid w:val="00D9121C"/>
    <w:rsid w:val="00D9128F"/>
    <w:rsid w:val="00D912CC"/>
    <w:rsid w:val="00D912E5"/>
    <w:rsid w:val="00D91301"/>
    <w:rsid w:val="00D91357"/>
    <w:rsid w:val="00D913C9"/>
    <w:rsid w:val="00D913F9"/>
    <w:rsid w:val="00D9145E"/>
    <w:rsid w:val="00D914C6"/>
    <w:rsid w:val="00D914E8"/>
    <w:rsid w:val="00D91577"/>
    <w:rsid w:val="00D91613"/>
    <w:rsid w:val="00D91642"/>
    <w:rsid w:val="00D91714"/>
    <w:rsid w:val="00D9171D"/>
    <w:rsid w:val="00D91935"/>
    <w:rsid w:val="00D91A6A"/>
    <w:rsid w:val="00D91A86"/>
    <w:rsid w:val="00D91AC5"/>
    <w:rsid w:val="00D91B23"/>
    <w:rsid w:val="00D91B34"/>
    <w:rsid w:val="00D91B7C"/>
    <w:rsid w:val="00D91C8A"/>
    <w:rsid w:val="00D91D5E"/>
    <w:rsid w:val="00D91D96"/>
    <w:rsid w:val="00D91E1E"/>
    <w:rsid w:val="00D91EA4"/>
    <w:rsid w:val="00D91F5F"/>
    <w:rsid w:val="00D91FE6"/>
    <w:rsid w:val="00D91FEA"/>
    <w:rsid w:val="00D92060"/>
    <w:rsid w:val="00D920AD"/>
    <w:rsid w:val="00D920F7"/>
    <w:rsid w:val="00D9218E"/>
    <w:rsid w:val="00D921E5"/>
    <w:rsid w:val="00D921E8"/>
    <w:rsid w:val="00D921ED"/>
    <w:rsid w:val="00D92202"/>
    <w:rsid w:val="00D92217"/>
    <w:rsid w:val="00D92322"/>
    <w:rsid w:val="00D9233A"/>
    <w:rsid w:val="00D92341"/>
    <w:rsid w:val="00D9239C"/>
    <w:rsid w:val="00D92402"/>
    <w:rsid w:val="00D9240D"/>
    <w:rsid w:val="00D92464"/>
    <w:rsid w:val="00D92485"/>
    <w:rsid w:val="00D92497"/>
    <w:rsid w:val="00D924C0"/>
    <w:rsid w:val="00D9250B"/>
    <w:rsid w:val="00D92512"/>
    <w:rsid w:val="00D925B0"/>
    <w:rsid w:val="00D925E5"/>
    <w:rsid w:val="00D92616"/>
    <w:rsid w:val="00D926AF"/>
    <w:rsid w:val="00D92766"/>
    <w:rsid w:val="00D9278C"/>
    <w:rsid w:val="00D927DE"/>
    <w:rsid w:val="00D928C5"/>
    <w:rsid w:val="00D92929"/>
    <w:rsid w:val="00D929AC"/>
    <w:rsid w:val="00D92AA2"/>
    <w:rsid w:val="00D92AE2"/>
    <w:rsid w:val="00D92B6A"/>
    <w:rsid w:val="00D92B93"/>
    <w:rsid w:val="00D92BC9"/>
    <w:rsid w:val="00D92C42"/>
    <w:rsid w:val="00D92C4B"/>
    <w:rsid w:val="00D92C6D"/>
    <w:rsid w:val="00D92C8D"/>
    <w:rsid w:val="00D92D4C"/>
    <w:rsid w:val="00D92D76"/>
    <w:rsid w:val="00D92D84"/>
    <w:rsid w:val="00D92D9E"/>
    <w:rsid w:val="00D92E03"/>
    <w:rsid w:val="00D92E14"/>
    <w:rsid w:val="00D92E2C"/>
    <w:rsid w:val="00D92E91"/>
    <w:rsid w:val="00D92EDD"/>
    <w:rsid w:val="00D92F09"/>
    <w:rsid w:val="00D92F0A"/>
    <w:rsid w:val="00D92F0F"/>
    <w:rsid w:val="00D92F33"/>
    <w:rsid w:val="00D92F54"/>
    <w:rsid w:val="00D92F67"/>
    <w:rsid w:val="00D92F6B"/>
    <w:rsid w:val="00D92FAB"/>
    <w:rsid w:val="00D92FAF"/>
    <w:rsid w:val="00D92FBD"/>
    <w:rsid w:val="00D92FD7"/>
    <w:rsid w:val="00D92FE1"/>
    <w:rsid w:val="00D92FE9"/>
    <w:rsid w:val="00D9312C"/>
    <w:rsid w:val="00D9318D"/>
    <w:rsid w:val="00D931DF"/>
    <w:rsid w:val="00D93221"/>
    <w:rsid w:val="00D9324E"/>
    <w:rsid w:val="00D9325F"/>
    <w:rsid w:val="00D932A9"/>
    <w:rsid w:val="00D9332D"/>
    <w:rsid w:val="00D9335D"/>
    <w:rsid w:val="00D9338C"/>
    <w:rsid w:val="00D933E1"/>
    <w:rsid w:val="00D9341D"/>
    <w:rsid w:val="00D93479"/>
    <w:rsid w:val="00D9347C"/>
    <w:rsid w:val="00D9349B"/>
    <w:rsid w:val="00D934D0"/>
    <w:rsid w:val="00D9356C"/>
    <w:rsid w:val="00D935B1"/>
    <w:rsid w:val="00D935EF"/>
    <w:rsid w:val="00D935F7"/>
    <w:rsid w:val="00D93601"/>
    <w:rsid w:val="00D93678"/>
    <w:rsid w:val="00D936E3"/>
    <w:rsid w:val="00D93758"/>
    <w:rsid w:val="00D937B0"/>
    <w:rsid w:val="00D937CE"/>
    <w:rsid w:val="00D93828"/>
    <w:rsid w:val="00D93846"/>
    <w:rsid w:val="00D93848"/>
    <w:rsid w:val="00D938A3"/>
    <w:rsid w:val="00D938E8"/>
    <w:rsid w:val="00D93917"/>
    <w:rsid w:val="00D93994"/>
    <w:rsid w:val="00D939E8"/>
    <w:rsid w:val="00D93B00"/>
    <w:rsid w:val="00D93B02"/>
    <w:rsid w:val="00D93B0D"/>
    <w:rsid w:val="00D93B16"/>
    <w:rsid w:val="00D93BB7"/>
    <w:rsid w:val="00D93D60"/>
    <w:rsid w:val="00D93F53"/>
    <w:rsid w:val="00D93F87"/>
    <w:rsid w:val="00D93FA0"/>
    <w:rsid w:val="00D94009"/>
    <w:rsid w:val="00D94153"/>
    <w:rsid w:val="00D941A2"/>
    <w:rsid w:val="00D941C2"/>
    <w:rsid w:val="00D941D7"/>
    <w:rsid w:val="00D941F4"/>
    <w:rsid w:val="00D9424F"/>
    <w:rsid w:val="00D942BD"/>
    <w:rsid w:val="00D942F4"/>
    <w:rsid w:val="00D9434A"/>
    <w:rsid w:val="00D9436D"/>
    <w:rsid w:val="00D943E8"/>
    <w:rsid w:val="00D9444F"/>
    <w:rsid w:val="00D944A0"/>
    <w:rsid w:val="00D944FD"/>
    <w:rsid w:val="00D9450C"/>
    <w:rsid w:val="00D94512"/>
    <w:rsid w:val="00D945D4"/>
    <w:rsid w:val="00D94696"/>
    <w:rsid w:val="00D946AB"/>
    <w:rsid w:val="00D9474B"/>
    <w:rsid w:val="00D947BB"/>
    <w:rsid w:val="00D947F9"/>
    <w:rsid w:val="00D94804"/>
    <w:rsid w:val="00D9486E"/>
    <w:rsid w:val="00D94915"/>
    <w:rsid w:val="00D94992"/>
    <w:rsid w:val="00D949AB"/>
    <w:rsid w:val="00D949B0"/>
    <w:rsid w:val="00D94A38"/>
    <w:rsid w:val="00D94A49"/>
    <w:rsid w:val="00D94A89"/>
    <w:rsid w:val="00D94AE2"/>
    <w:rsid w:val="00D94AE5"/>
    <w:rsid w:val="00D94AF5"/>
    <w:rsid w:val="00D94B5C"/>
    <w:rsid w:val="00D94B61"/>
    <w:rsid w:val="00D94BC3"/>
    <w:rsid w:val="00D94C53"/>
    <w:rsid w:val="00D94C82"/>
    <w:rsid w:val="00D94CEE"/>
    <w:rsid w:val="00D94D1A"/>
    <w:rsid w:val="00D94D58"/>
    <w:rsid w:val="00D94EDB"/>
    <w:rsid w:val="00D95016"/>
    <w:rsid w:val="00D95035"/>
    <w:rsid w:val="00D95136"/>
    <w:rsid w:val="00D95190"/>
    <w:rsid w:val="00D951DD"/>
    <w:rsid w:val="00D951F2"/>
    <w:rsid w:val="00D95206"/>
    <w:rsid w:val="00D95222"/>
    <w:rsid w:val="00D952FB"/>
    <w:rsid w:val="00D9531A"/>
    <w:rsid w:val="00D953A7"/>
    <w:rsid w:val="00D9542D"/>
    <w:rsid w:val="00D95473"/>
    <w:rsid w:val="00D95567"/>
    <w:rsid w:val="00D95574"/>
    <w:rsid w:val="00D95583"/>
    <w:rsid w:val="00D956B0"/>
    <w:rsid w:val="00D9570E"/>
    <w:rsid w:val="00D95769"/>
    <w:rsid w:val="00D9579E"/>
    <w:rsid w:val="00D9582D"/>
    <w:rsid w:val="00D95885"/>
    <w:rsid w:val="00D958BC"/>
    <w:rsid w:val="00D95A53"/>
    <w:rsid w:val="00D95A9E"/>
    <w:rsid w:val="00D95B02"/>
    <w:rsid w:val="00D95B19"/>
    <w:rsid w:val="00D95B68"/>
    <w:rsid w:val="00D95BE9"/>
    <w:rsid w:val="00D95D05"/>
    <w:rsid w:val="00D95D4A"/>
    <w:rsid w:val="00D95DB6"/>
    <w:rsid w:val="00D95DD0"/>
    <w:rsid w:val="00D95E9D"/>
    <w:rsid w:val="00D95F10"/>
    <w:rsid w:val="00D95F34"/>
    <w:rsid w:val="00D95F3E"/>
    <w:rsid w:val="00D95FB4"/>
    <w:rsid w:val="00D9602A"/>
    <w:rsid w:val="00D96039"/>
    <w:rsid w:val="00D96068"/>
    <w:rsid w:val="00D96077"/>
    <w:rsid w:val="00D9612C"/>
    <w:rsid w:val="00D9620C"/>
    <w:rsid w:val="00D9622E"/>
    <w:rsid w:val="00D9628D"/>
    <w:rsid w:val="00D9638B"/>
    <w:rsid w:val="00D963C6"/>
    <w:rsid w:val="00D963EC"/>
    <w:rsid w:val="00D96401"/>
    <w:rsid w:val="00D96473"/>
    <w:rsid w:val="00D964BD"/>
    <w:rsid w:val="00D96628"/>
    <w:rsid w:val="00D96633"/>
    <w:rsid w:val="00D96759"/>
    <w:rsid w:val="00D9677B"/>
    <w:rsid w:val="00D96A5D"/>
    <w:rsid w:val="00D96A6C"/>
    <w:rsid w:val="00D96A75"/>
    <w:rsid w:val="00D96B13"/>
    <w:rsid w:val="00D96C59"/>
    <w:rsid w:val="00D96D30"/>
    <w:rsid w:val="00D96D49"/>
    <w:rsid w:val="00D96DC4"/>
    <w:rsid w:val="00D96DE4"/>
    <w:rsid w:val="00D96DF5"/>
    <w:rsid w:val="00D96EAF"/>
    <w:rsid w:val="00D96FC6"/>
    <w:rsid w:val="00D97078"/>
    <w:rsid w:val="00D970B3"/>
    <w:rsid w:val="00D97146"/>
    <w:rsid w:val="00D97250"/>
    <w:rsid w:val="00D97271"/>
    <w:rsid w:val="00D9728B"/>
    <w:rsid w:val="00D973A8"/>
    <w:rsid w:val="00D9743E"/>
    <w:rsid w:val="00D97457"/>
    <w:rsid w:val="00D9746E"/>
    <w:rsid w:val="00D974DC"/>
    <w:rsid w:val="00D974DD"/>
    <w:rsid w:val="00D974F1"/>
    <w:rsid w:val="00D97581"/>
    <w:rsid w:val="00D97625"/>
    <w:rsid w:val="00D9762A"/>
    <w:rsid w:val="00D9772D"/>
    <w:rsid w:val="00D97754"/>
    <w:rsid w:val="00D97761"/>
    <w:rsid w:val="00D97817"/>
    <w:rsid w:val="00D97854"/>
    <w:rsid w:val="00D978BC"/>
    <w:rsid w:val="00D978EF"/>
    <w:rsid w:val="00D9799A"/>
    <w:rsid w:val="00D97A6F"/>
    <w:rsid w:val="00D97B12"/>
    <w:rsid w:val="00D97CAD"/>
    <w:rsid w:val="00D97D4D"/>
    <w:rsid w:val="00D97E8C"/>
    <w:rsid w:val="00D97E9A"/>
    <w:rsid w:val="00D97EDF"/>
    <w:rsid w:val="00D97EE3"/>
    <w:rsid w:val="00D97EEB"/>
    <w:rsid w:val="00D97F2B"/>
    <w:rsid w:val="00D97F58"/>
    <w:rsid w:val="00D97FE0"/>
    <w:rsid w:val="00D97FE4"/>
    <w:rsid w:val="00D97FE9"/>
    <w:rsid w:val="00D97FF4"/>
    <w:rsid w:val="00DA006D"/>
    <w:rsid w:val="00DA0099"/>
    <w:rsid w:val="00DA011A"/>
    <w:rsid w:val="00DA01C0"/>
    <w:rsid w:val="00DA01E0"/>
    <w:rsid w:val="00DA0240"/>
    <w:rsid w:val="00DA024C"/>
    <w:rsid w:val="00DA0279"/>
    <w:rsid w:val="00DA029C"/>
    <w:rsid w:val="00DA02DE"/>
    <w:rsid w:val="00DA0342"/>
    <w:rsid w:val="00DA0397"/>
    <w:rsid w:val="00DA04A9"/>
    <w:rsid w:val="00DA04F0"/>
    <w:rsid w:val="00DA04F8"/>
    <w:rsid w:val="00DA051E"/>
    <w:rsid w:val="00DA063E"/>
    <w:rsid w:val="00DA0667"/>
    <w:rsid w:val="00DA06A9"/>
    <w:rsid w:val="00DA0713"/>
    <w:rsid w:val="00DA0792"/>
    <w:rsid w:val="00DA07E4"/>
    <w:rsid w:val="00DA0892"/>
    <w:rsid w:val="00DA08D0"/>
    <w:rsid w:val="00DA096F"/>
    <w:rsid w:val="00DA0975"/>
    <w:rsid w:val="00DA09B7"/>
    <w:rsid w:val="00DA0AA1"/>
    <w:rsid w:val="00DA0AB3"/>
    <w:rsid w:val="00DA0B0D"/>
    <w:rsid w:val="00DA0B3D"/>
    <w:rsid w:val="00DA0BF6"/>
    <w:rsid w:val="00DA0C16"/>
    <w:rsid w:val="00DA0C7D"/>
    <w:rsid w:val="00DA0C87"/>
    <w:rsid w:val="00DA0CB8"/>
    <w:rsid w:val="00DA0D04"/>
    <w:rsid w:val="00DA0D09"/>
    <w:rsid w:val="00DA0D31"/>
    <w:rsid w:val="00DA0D4A"/>
    <w:rsid w:val="00DA0D4E"/>
    <w:rsid w:val="00DA0E01"/>
    <w:rsid w:val="00DA0E23"/>
    <w:rsid w:val="00DA0ED7"/>
    <w:rsid w:val="00DA0F83"/>
    <w:rsid w:val="00DA0FA9"/>
    <w:rsid w:val="00DA100A"/>
    <w:rsid w:val="00DA1086"/>
    <w:rsid w:val="00DA122B"/>
    <w:rsid w:val="00DA125B"/>
    <w:rsid w:val="00DA12F4"/>
    <w:rsid w:val="00DA1300"/>
    <w:rsid w:val="00DA133F"/>
    <w:rsid w:val="00DA1401"/>
    <w:rsid w:val="00DA14E8"/>
    <w:rsid w:val="00DA1512"/>
    <w:rsid w:val="00DA1527"/>
    <w:rsid w:val="00DA1531"/>
    <w:rsid w:val="00DA153B"/>
    <w:rsid w:val="00DA15F4"/>
    <w:rsid w:val="00DA1619"/>
    <w:rsid w:val="00DA1649"/>
    <w:rsid w:val="00DA16A2"/>
    <w:rsid w:val="00DA16FA"/>
    <w:rsid w:val="00DA170F"/>
    <w:rsid w:val="00DA171C"/>
    <w:rsid w:val="00DA17B4"/>
    <w:rsid w:val="00DA17D1"/>
    <w:rsid w:val="00DA17DF"/>
    <w:rsid w:val="00DA181A"/>
    <w:rsid w:val="00DA1867"/>
    <w:rsid w:val="00DA187D"/>
    <w:rsid w:val="00DA18E5"/>
    <w:rsid w:val="00DA19ED"/>
    <w:rsid w:val="00DA1A27"/>
    <w:rsid w:val="00DA1AC4"/>
    <w:rsid w:val="00DA1BC9"/>
    <w:rsid w:val="00DA1C2A"/>
    <w:rsid w:val="00DA1C44"/>
    <w:rsid w:val="00DA1CB8"/>
    <w:rsid w:val="00DA1D68"/>
    <w:rsid w:val="00DA1D9E"/>
    <w:rsid w:val="00DA1EA3"/>
    <w:rsid w:val="00DA1ECB"/>
    <w:rsid w:val="00DA1EDC"/>
    <w:rsid w:val="00DA1F24"/>
    <w:rsid w:val="00DA1FA2"/>
    <w:rsid w:val="00DA20B9"/>
    <w:rsid w:val="00DA20C1"/>
    <w:rsid w:val="00DA20DC"/>
    <w:rsid w:val="00DA20DD"/>
    <w:rsid w:val="00DA2169"/>
    <w:rsid w:val="00DA21E4"/>
    <w:rsid w:val="00DA21F2"/>
    <w:rsid w:val="00DA220E"/>
    <w:rsid w:val="00DA222F"/>
    <w:rsid w:val="00DA2294"/>
    <w:rsid w:val="00DA2347"/>
    <w:rsid w:val="00DA243D"/>
    <w:rsid w:val="00DA24FD"/>
    <w:rsid w:val="00DA2640"/>
    <w:rsid w:val="00DA268F"/>
    <w:rsid w:val="00DA26BE"/>
    <w:rsid w:val="00DA273F"/>
    <w:rsid w:val="00DA274B"/>
    <w:rsid w:val="00DA2780"/>
    <w:rsid w:val="00DA278A"/>
    <w:rsid w:val="00DA27FD"/>
    <w:rsid w:val="00DA28A1"/>
    <w:rsid w:val="00DA2905"/>
    <w:rsid w:val="00DA2990"/>
    <w:rsid w:val="00DA29AC"/>
    <w:rsid w:val="00DA29D4"/>
    <w:rsid w:val="00DA29E7"/>
    <w:rsid w:val="00DA2A1D"/>
    <w:rsid w:val="00DA2A3E"/>
    <w:rsid w:val="00DA2A41"/>
    <w:rsid w:val="00DA2B4D"/>
    <w:rsid w:val="00DA2B71"/>
    <w:rsid w:val="00DA2B9C"/>
    <w:rsid w:val="00DA2BC2"/>
    <w:rsid w:val="00DA2C10"/>
    <w:rsid w:val="00DA2C65"/>
    <w:rsid w:val="00DA2C8A"/>
    <w:rsid w:val="00DA2CF0"/>
    <w:rsid w:val="00DA2D0B"/>
    <w:rsid w:val="00DA2D84"/>
    <w:rsid w:val="00DA2D93"/>
    <w:rsid w:val="00DA2E60"/>
    <w:rsid w:val="00DA2E79"/>
    <w:rsid w:val="00DA2EF4"/>
    <w:rsid w:val="00DA2F0E"/>
    <w:rsid w:val="00DA2F29"/>
    <w:rsid w:val="00DA2FD9"/>
    <w:rsid w:val="00DA2FE1"/>
    <w:rsid w:val="00DA3025"/>
    <w:rsid w:val="00DA315F"/>
    <w:rsid w:val="00DA3191"/>
    <w:rsid w:val="00DA31E0"/>
    <w:rsid w:val="00DA322F"/>
    <w:rsid w:val="00DA331C"/>
    <w:rsid w:val="00DA3378"/>
    <w:rsid w:val="00DA33D2"/>
    <w:rsid w:val="00DA34CF"/>
    <w:rsid w:val="00DA34FB"/>
    <w:rsid w:val="00DA350A"/>
    <w:rsid w:val="00DA3520"/>
    <w:rsid w:val="00DA353E"/>
    <w:rsid w:val="00DA3543"/>
    <w:rsid w:val="00DA3557"/>
    <w:rsid w:val="00DA3621"/>
    <w:rsid w:val="00DA36B5"/>
    <w:rsid w:val="00DA37B1"/>
    <w:rsid w:val="00DA37CF"/>
    <w:rsid w:val="00DA382A"/>
    <w:rsid w:val="00DA3837"/>
    <w:rsid w:val="00DA38D5"/>
    <w:rsid w:val="00DA3992"/>
    <w:rsid w:val="00DA3A8E"/>
    <w:rsid w:val="00DA3B6D"/>
    <w:rsid w:val="00DA3BDE"/>
    <w:rsid w:val="00DA3BE9"/>
    <w:rsid w:val="00DA3C53"/>
    <w:rsid w:val="00DA3E57"/>
    <w:rsid w:val="00DA3EE4"/>
    <w:rsid w:val="00DA3FA9"/>
    <w:rsid w:val="00DA3FC1"/>
    <w:rsid w:val="00DA4029"/>
    <w:rsid w:val="00DA4036"/>
    <w:rsid w:val="00DA4082"/>
    <w:rsid w:val="00DA40A4"/>
    <w:rsid w:val="00DA4187"/>
    <w:rsid w:val="00DA41ED"/>
    <w:rsid w:val="00DA4324"/>
    <w:rsid w:val="00DA434A"/>
    <w:rsid w:val="00DA4353"/>
    <w:rsid w:val="00DA4385"/>
    <w:rsid w:val="00DA4427"/>
    <w:rsid w:val="00DA44AA"/>
    <w:rsid w:val="00DA44CB"/>
    <w:rsid w:val="00DA4515"/>
    <w:rsid w:val="00DA453B"/>
    <w:rsid w:val="00DA454D"/>
    <w:rsid w:val="00DA45D1"/>
    <w:rsid w:val="00DA45F9"/>
    <w:rsid w:val="00DA4610"/>
    <w:rsid w:val="00DA4677"/>
    <w:rsid w:val="00DA46AF"/>
    <w:rsid w:val="00DA46DE"/>
    <w:rsid w:val="00DA4758"/>
    <w:rsid w:val="00DA4761"/>
    <w:rsid w:val="00DA4833"/>
    <w:rsid w:val="00DA4885"/>
    <w:rsid w:val="00DA490B"/>
    <w:rsid w:val="00DA49AC"/>
    <w:rsid w:val="00DA49E4"/>
    <w:rsid w:val="00DA49FB"/>
    <w:rsid w:val="00DA4BBE"/>
    <w:rsid w:val="00DA4C51"/>
    <w:rsid w:val="00DA4D1F"/>
    <w:rsid w:val="00DA4D72"/>
    <w:rsid w:val="00DA4DCA"/>
    <w:rsid w:val="00DA4DD7"/>
    <w:rsid w:val="00DA4E27"/>
    <w:rsid w:val="00DA4E51"/>
    <w:rsid w:val="00DA4E9A"/>
    <w:rsid w:val="00DA4F28"/>
    <w:rsid w:val="00DA4F89"/>
    <w:rsid w:val="00DA4FBF"/>
    <w:rsid w:val="00DA4FF3"/>
    <w:rsid w:val="00DA5001"/>
    <w:rsid w:val="00DA50BE"/>
    <w:rsid w:val="00DA5203"/>
    <w:rsid w:val="00DA52E5"/>
    <w:rsid w:val="00DA5467"/>
    <w:rsid w:val="00DA54A0"/>
    <w:rsid w:val="00DA5595"/>
    <w:rsid w:val="00DA566A"/>
    <w:rsid w:val="00DA56D8"/>
    <w:rsid w:val="00DA5703"/>
    <w:rsid w:val="00DA570F"/>
    <w:rsid w:val="00DA576A"/>
    <w:rsid w:val="00DA57AA"/>
    <w:rsid w:val="00DA57D7"/>
    <w:rsid w:val="00DA57E0"/>
    <w:rsid w:val="00DA5853"/>
    <w:rsid w:val="00DA58FA"/>
    <w:rsid w:val="00DA59C9"/>
    <w:rsid w:val="00DA5A50"/>
    <w:rsid w:val="00DA5A60"/>
    <w:rsid w:val="00DA5AB3"/>
    <w:rsid w:val="00DA5AB5"/>
    <w:rsid w:val="00DA5AC7"/>
    <w:rsid w:val="00DA5AF7"/>
    <w:rsid w:val="00DA5B07"/>
    <w:rsid w:val="00DA5B16"/>
    <w:rsid w:val="00DA5B95"/>
    <w:rsid w:val="00DA5BAC"/>
    <w:rsid w:val="00DA5C17"/>
    <w:rsid w:val="00DA5C2B"/>
    <w:rsid w:val="00DA5CB1"/>
    <w:rsid w:val="00DA5CC7"/>
    <w:rsid w:val="00DA5CF9"/>
    <w:rsid w:val="00DA5D3D"/>
    <w:rsid w:val="00DA5DA7"/>
    <w:rsid w:val="00DA5DC3"/>
    <w:rsid w:val="00DA5DC9"/>
    <w:rsid w:val="00DA5DD4"/>
    <w:rsid w:val="00DA5E4C"/>
    <w:rsid w:val="00DA5EA3"/>
    <w:rsid w:val="00DA5EA4"/>
    <w:rsid w:val="00DA5EB7"/>
    <w:rsid w:val="00DA5FCA"/>
    <w:rsid w:val="00DA5FCD"/>
    <w:rsid w:val="00DA5FD1"/>
    <w:rsid w:val="00DA5FFF"/>
    <w:rsid w:val="00DA6045"/>
    <w:rsid w:val="00DA60DD"/>
    <w:rsid w:val="00DA612A"/>
    <w:rsid w:val="00DA6205"/>
    <w:rsid w:val="00DA6238"/>
    <w:rsid w:val="00DA623E"/>
    <w:rsid w:val="00DA6297"/>
    <w:rsid w:val="00DA630F"/>
    <w:rsid w:val="00DA6400"/>
    <w:rsid w:val="00DA6412"/>
    <w:rsid w:val="00DA648C"/>
    <w:rsid w:val="00DA64CB"/>
    <w:rsid w:val="00DA64F6"/>
    <w:rsid w:val="00DA6535"/>
    <w:rsid w:val="00DA6552"/>
    <w:rsid w:val="00DA6567"/>
    <w:rsid w:val="00DA6570"/>
    <w:rsid w:val="00DA65A0"/>
    <w:rsid w:val="00DA65DF"/>
    <w:rsid w:val="00DA66E8"/>
    <w:rsid w:val="00DA6781"/>
    <w:rsid w:val="00DA67B3"/>
    <w:rsid w:val="00DA67D0"/>
    <w:rsid w:val="00DA6854"/>
    <w:rsid w:val="00DA685A"/>
    <w:rsid w:val="00DA68B4"/>
    <w:rsid w:val="00DA6901"/>
    <w:rsid w:val="00DA6B21"/>
    <w:rsid w:val="00DA6B5E"/>
    <w:rsid w:val="00DA6B9C"/>
    <w:rsid w:val="00DA6BE2"/>
    <w:rsid w:val="00DA6BF1"/>
    <w:rsid w:val="00DA6CAE"/>
    <w:rsid w:val="00DA6CB4"/>
    <w:rsid w:val="00DA6CCD"/>
    <w:rsid w:val="00DA6EE5"/>
    <w:rsid w:val="00DA6F18"/>
    <w:rsid w:val="00DA6F50"/>
    <w:rsid w:val="00DA6FD9"/>
    <w:rsid w:val="00DA6FF3"/>
    <w:rsid w:val="00DA7029"/>
    <w:rsid w:val="00DA7081"/>
    <w:rsid w:val="00DA70DE"/>
    <w:rsid w:val="00DA714A"/>
    <w:rsid w:val="00DA716B"/>
    <w:rsid w:val="00DA7177"/>
    <w:rsid w:val="00DA7233"/>
    <w:rsid w:val="00DA7234"/>
    <w:rsid w:val="00DA746B"/>
    <w:rsid w:val="00DA748C"/>
    <w:rsid w:val="00DA7578"/>
    <w:rsid w:val="00DA7608"/>
    <w:rsid w:val="00DA7696"/>
    <w:rsid w:val="00DA7837"/>
    <w:rsid w:val="00DA785A"/>
    <w:rsid w:val="00DA7897"/>
    <w:rsid w:val="00DA78C1"/>
    <w:rsid w:val="00DA7921"/>
    <w:rsid w:val="00DA7944"/>
    <w:rsid w:val="00DA7A59"/>
    <w:rsid w:val="00DA7AA3"/>
    <w:rsid w:val="00DA7ABA"/>
    <w:rsid w:val="00DA7AFD"/>
    <w:rsid w:val="00DA7B55"/>
    <w:rsid w:val="00DA7B66"/>
    <w:rsid w:val="00DA7B6A"/>
    <w:rsid w:val="00DA7C7D"/>
    <w:rsid w:val="00DA7C98"/>
    <w:rsid w:val="00DA7CE1"/>
    <w:rsid w:val="00DA7D8F"/>
    <w:rsid w:val="00DA7E5F"/>
    <w:rsid w:val="00DA7E7E"/>
    <w:rsid w:val="00DA7EE8"/>
    <w:rsid w:val="00DA7F6F"/>
    <w:rsid w:val="00DA7F8F"/>
    <w:rsid w:val="00DA7FB9"/>
    <w:rsid w:val="00DB000F"/>
    <w:rsid w:val="00DB004A"/>
    <w:rsid w:val="00DB019A"/>
    <w:rsid w:val="00DB01C5"/>
    <w:rsid w:val="00DB01DB"/>
    <w:rsid w:val="00DB0256"/>
    <w:rsid w:val="00DB0276"/>
    <w:rsid w:val="00DB027D"/>
    <w:rsid w:val="00DB032E"/>
    <w:rsid w:val="00DB0408"/>
    <w:rsid w:val="00DB0422"/>
    <w:rsid w:val="00DB0436"/>
    <w:rsid w:val="00DB043F"/>
    <w:rsid w:val="00DB046E"/>
    <w:rsid w:val="00DB04C8"/>
    <w:rsid w:val="00DB04F0"/>
    <w:rsid w:val="00DB0600"/>
    <w:rsid w:val="00DB0683"/>
    <w:rsid w:val="00DB06A3"/>
    <w:rsid w:val="00DB06BC"/>
    <w:rsid w:val="00DB06FD"/>
    <w:rsid w:val="00DB070F"/>
    <w:rsid w:val="00DB07C1"/>
    <w:rsid w:val="00DB07E2"/>
    <w:rsid w:val="00DB0852"/>
    <w:rsid w:val="00DB085B"/>
    <w:rsid w:val="00DB087C"/>
    <w:rsid w:val="00DB0898"/>
    <w:rsid w:val="00DB08CD"/>
    <w:rsid w:val="00DB092B"/>
    <w:rsid w:val="00DB093E"/>
    <w:rsid w:val="00DB094B"/>
    <w:rsid w:val="00DB0987"/>
    <w:rsid w:val="00DB0A09"/>
    <w:rsid w:val="00DB0A31"/>
    <w:rsid w:val="00DB0A3A"/>
    <w:rsid w:val="00DB0A44"/>
    <w:rsid w:val="00DB0B31"/>
    <w:rsid w:val="00DB0BDA"/>
    <w:rsid w:val="00DB0C94"/>
    <w:rsid w:val="00DB0CBE"/>
    <w:rsid w:val="00DB0E3E"/>
    <w:rsid w:val="00DB0E3F"/>
    <w:rsid w:val="00DB0E58"/>
    <w:rsid w:val="00DB0EA5"/>
    <w:rsid w:val="00DB0ED6"/>
    <w:rsid w:val="00DB0ED7"/>
    <w:rsid w:val="00DB0F9C"/>
    <w:rsid w:val="00DB0FED"/>
    <w:rsid w:val="00DB1111"/>
    <w:rsid w:val="00DB1282"/>
    <w:rsid w:val="00DB131B"/>
    <w:rsid w:val="00DB1380"/>
    <w:rsid w:val="00DB13AD"/>
    <w:rsid w:val="00DB13F0"/>
    <w:rsid w:val="00DB142A"/>
    <w:rsid w:val="00DB1458"/>
    <w:rsid w:val="00DB1475"/>
    <w:rsid w:val="00DB148C"/>
    <w:rsid w:val="00DB14DE"/>
    <w:rsid w:val="00DB1528"/>
    <w:rsid w:val="00DB15C3"/>
    <w:rsid w:val="00DB160F"/>
    <w:rsid w:val="00DB1633"/>
    <w:rsid w:val="00DB169F"/>
    <w:rsid w:val="00DB16E0"/>
    <w:rsid w:val="00DB178B"/>
    <w:rsid w:val="00DB17C8"/>
    <w:rsid w:val="00DB1862"/>
    <w:rsid w:val="00DB18D5"/>
    <w:rsid w:val="00DB1961"/>
    <w:rsid w:val="00DB198C"/>
    <w:rsid w:val="00DB19CB"/>
    <w:rsid w:val="00DB19CF"/>
    <w:rsid w:val="00DB1A0C"/>
    <w:rsid w:val="00DB1A48"/>
    <w:rsid w:val="00DB1A9B"/>
    <w:rsid w:val="00DB1B0D"/>
    <w:rsid w:val="00DB1B28"/>
    <w:rsid w:val="00DB1B9C"/>
    <w:rsid w:val="00DB1BD7"/>
    <w:rsid w:val="00DB1C0D"/>
    <w:rsid w:val="00DB1C63"/>
    <w:rsid w:val="00DB1D0D"/>
    <w:rsid w:val="00DB1E24"/>
    <w:rsid w:val="00DB1EE8"/>
    <w:rsid w:val="00DB1FDD"/>
    <w:rsid w:val="00DB2041"/>
    <w:rsid w:val="00DB210C"/>
    <w:rsid w:val="00DB21A6"/>
    <w:rsid w:val="00DB2243"/>
    <w:rsid w:val="00DB22CD"/>
    <w:rsid w:val="00DB235C"/>
    <w:rsid w:val="00DB23D5"/>
    <w:rsid w:val="00DB2493"/>
    <w:rsid w:val="00DB24F7"/>
    <w:rsid w:val="00DB2520"/>
    <w:rsid w:val="00DB259E"/>
    <w:rsid w:val="00DB25C5"/>
    <w:rsid w:val="00DB25E8"/>
    <w:rsid w:val="00DB2605"/>
    <w:rsid w:val="00DB2642"/>
    <w:rsid w:val="00DB26D5"/>
    <w:rsid w:val="00DB2741"/>
    <w:rsid w:val="00DB2761"/>
    <w:rsid w:val="00DB2807"/>
    <w:rsid w:val="00DB2984"/>
    <w:rsid w:val="00DB29BC"/>
    <w:rsid w:val="00DB2AB3"/>
    <w:rsid w:val="00DB2AF4"/>
    <w:rsid w:val="00DB2B0D"/>
    <w:rsid w:val="00DB2BD4"/>
    <w:rsid w:val="00DB2BF7"/>
    <w:rsid w:val="00DB2C29"/>
    <w:rsid w:val="00DB2C64"/>
    <w:rsid w:val="00DB2CBD"/>
    <w:rsid w:val="00DB2D19"/>
    <w:rsid w:val="00DB2D41"/>
    <w:rsid w:val="00DB2D89"/>
    <w:rsid w:val="00DB2DAB"/>
    <w:rsid w:val="00DB2DFA"/>
    <w:rsid w:val="00DB2E90"/>
    <w:rsid w:val="00DB2EBE"/>
    <w:rsid w:val="00DB2ECD"/>
    <w:rsid w:val="00DB2EEF"/>
    <w:rsid w:val="00DB2F1F"/>
    <w:rsid w:val="00DB2F26"/>
    <w:rsid w:val="00DB2F98"/>
    <w:rsid w:val="00DB2FA6"/>
    <w:rsid w:val="00DB2FC5"/>
    <w:rsid w:val="00DB3176"/>
    <w:rsid w:val="00DB3251"/>
    <w:rsid w:val="00DB3351"/>
    <w:rsid w:val="00DB33D6"/>
    <w:rsid w:val="00DB3438"/>
    <w:rsid w:val="00DB3480"/>
    <w:rsid w:val="00DB351E"/>
    <w:rsid w:val="00DB35F8"/>
    <w:rsid w:val="00DB36BA"/>
    <w:rsid w:val="00DB37A0"/>
    <w:rsid w:val="00DB37E3"/>
    <w:rsid w:val="00DB37F0"/>
    <w:rsid w:val="00DB3897"/>
    <w:rsid w:val="00DB38D9"/>
    <w:rsid w:val="00DB394C"/>
    <w:rsid w:val="00DB3AA4"/>
    <w:rsid w:val="00DB3AFF"/>
    <w:rsid w:val="00DB3B2A"/>
    <w:rsid w:val="00DB3B30"/>
    <w:rsid w:val="00DB3B4B"/>
    <w:rsid w:val="00DB3B85"/>
    <w:rsid w:val="00DB3B95"/>
    <w:rsid w:val="00DB3BC6"/>
    <w:rsid w:val="00DB3C06"/>
    <w:rsid w:val="00DB3D75"/>
    <w:rsid w:val="00DB3E05"/>
    <w:rsid w:val="00DB3E53"/>
    <w:rsid w:val="00DB3F3C"/>
    <w:rsid w:val="00DB3F70"/>
    <w:rsid w:val="00DB3F8E"/>
    <w:rsid w:val="00DB4050"/>
    <w:rsid w:val="00DB40D3"/>
    <w:rsid w:val="00DB40F3"/>
    <w:rsid w:val="00DB411C"/>
    <w:rsid w:val="00DB414F"/>
    <w:rsid w:val="00DB4156"/>
    <w:rsid w:val="00DB4179"/>
    <w:rsid w:val="00DB41D7"/>
    <w:rsid w:val="00DB430F"/>
    <w:rsid w:val="00DB4383"/>
    <w:rsid w:val="00DB43F1"/>
    <w:rsid w:val="00DB4468"/>
    <w:rsid w:val="00DB4488"/>
    <w:rsid w:val="00DB44A2"/>
    <w:rsid w:val="00DB4531"/>
    <w:rsid w:val="00DB4547"/>
    <w:rsid w:val="00DB45D6"/>
    <w:rsid w:val="00DB467D"/>
    <w:rsid w:val="00DB4697"/>
    <w:rsid w:val="00DB47B4"/>
    <w:rsid w:val="00DB4811"/>
    <w:rsid w:val="00DB483E"/>
    <w:rsid w:val="00DB484D"/>
    <w:rsid w:val="00DB490D"/>
    <w:rsid w:val="00DB4945"/>
    <w:rsid w:val="00DB499C"/>
    <w:rsid w:val="00DB4A70"/>
    <w:rsid w:val="00DB4B25"/>
    <w:rsid w:val="00DB4B82"/>
    <w:rsid w:val="00DB4B92"/>
    <w:rsid w:val="00DB4C18"/>
    <w:rsid w:val="00DB4C2C"/>
    <w:rsid w:val="00DB4C7D"/>
    <w:rsid w:val="00DB4CC6"/>
    <w:rsid w:val="00DB4D65"/>
    <w:rsid w:val="00DB4E21"/>
    <w:rsid w:val="00DB4E63"/>
    <w:rsid w:val="00DB4EBF"/>
    <w:rsid w:val="00DB4EDD"/>
    <w:rsid w:val="00DB4EFE"/>
    <w:rsid w:val="00DB4F4B"/>
    <w:rsid w:val="00DB4F5A"/>
    <w:rsid w:val="00DB4FD9"/>
    <w:rsid w:val="00DB5082"/>
    <w:rsid w:val="00DB50C6"/>
    <w:rsid w:val="00DB511E"/>
    <w:rsid w:val="00DB5149"/>
    <w:rsid w:val="00DB521D"/>
    <w:rsid w:val="00DB5290"/>
    <w:rsid w:val="00DB5296"/>
    <w:rsid w:val="00DB5299"/>
    <w:rsid w:val="00DB5308"/>
    <w:rsid w:val="00DB5386"/>
    <w:rsid w:val="00DB53CA"/>
    <w:rsid w:val="00DB53D9"/>
    <w:rsid w:val="00DB53F0"/>
    <w:rsid w:val="00DB541D"/>
    <w:rsid w:val="00DB5455"/>
    <w:rsid w:val="00DB546E"/>
    <w:rsid w:val="00DB549F"/>
    <w:rsid w:val="00DB559D"/>
    <w:rsid w:val="00DB569B"/>
    <w:rsid w:val="00DB56AB"/>
    <w:rsid w:val="00DB56BE"/>
    <w:rsid w:val="00DB579F"/>
    <w:rsid w:val="00DB57B3"/>
    <w:rsid w:val="00DB5815"/>
    <w:rsid w:val="00DB5872"/>
    <w:rsid w:val="00DB58B0"/>
    <w:rsid w:val="00DB59B8"/>
    <w:rsid w:val="00DB59CF"/>
    <w:rsid w:val="00DB59D3"/>
    <w:rsid w:val="00DB5A16"/>
    <w:rsid w:val="00DB5AAD"/>
    <w:rsid w:val="00DB5B23"/>
    <w:rsid w:val="00DB5C04"/>
    <w:rsid w:val="00DB5C72"/>
    <w:rsid w:val="00DB5CA8"/>
    <w:rsid w:val="00DB5CDD"/>
    <w:rsid w:val="00DB5D13"/>
    <w:rsid w:val="00DB5D32"/>
    <w:rsid w:val="00DB5D43"/>
    <w:rsid w:val="00DB5D8B"/>
    <w:rsid w:val="00DB5E2F"/>
    <w:rsid w:val="00DB5E4A"/>
    <w:rsid w:val="00DB5F15"/>
    <w:rsid w:val="00DB5F94"/>
    <w:rsid w:val="00DB5FA4"/>
    <w:rsid w:val="00DB5FFA"/>
    <w:rsid w:val="00DB601D"/>
    <w:rsid w:val="00DB6021"/>
    <w:rsid w:val="00DB6073"/>
    <w:rsid w:val="00DB60E2"/>
    <w:rsid w:val="00DB6175"/>
    <w:rsid w:val="00DB62DB"/>
    <w:rsid w:val="00DB63B3"/>
    <w:rsid w:val="00DB645C"/>
    <w:rsid w:val="00DB6490"/>
    <w:rsid w:val="00DB64C1"/>
    <w:rsid w:val="00DB6512"/>
    <w:rsid w:val="00DB6536"/>
    <w:rsid w:val="00DB655B"/>
    <w:rsid w:val="00DB656E"/>
    <w:rsid w:val="00DB65D5"/>
    <w:rsid w:val="00DB65F8"/>
    <w:rsid w:val="00DB6645"/>
    <w:rsid w:val="00DB668F"/>
    <w:rsid w:val="00DB66B5"/>
    <w:rsid w:val="00DB66EA"/>
    <w:rsid w:val="00DB672C"/>
    <w:rsid w:val="00DB6735"/>
    <w:rsid w:val="00DB676D"/>
    <w:rsid w:val="00DB6783"/>
    <w:rsid w:val="00DB67F4"/>
    <w:rsid w:val="00DB68C4"/>
    <w:rsid w:val="00DB68E8"/>
    <w:rsid w:val="00DB6959"/>
    <w:rsid w:val="00DB6AD1"/>
    <w:rsid w:val="00DB6B1C"/>
    <w:rsid w:val="00DB6B66"/>
    <w:rsid w:val="00DB6B76"/>
    <w:rsid w:val="00DB6BCA"/>
    <w:rsid w:val="00DB6C29"/>
    <w:rsid w:val="00DB6CB6"/>
    <w:rsid w:val="00DB6CF0"/>
    <w:rsid w:val="00DB6D6B"/>
    <w:rsid w:val="00DB6E28"/>
    <w:rsid w:val="00DB6E80"/>
    <w:rsid w:val="00DB6E8D"/>
    <w:rsid w:val="00DB6EAC"/>
    <w:rsid w:val="00DB6EFF"/>
    <w:rsid w:val="00DB6F49"/>
    <w:rsid w:val="00DB7026"/>
    <w:rsid w:val="00DB70F2"/>
    <w:rsid w:val="00DB7121"/>
    <w:rsid w:val="00DB7137"/>
    <w:rsid w:val="00DB71BC"/>
    <w:rsid w:val="00DB72BB"/>
    <w:rsid w:val="00DB72E1"/>
    <w:rsid w:val="00DB72F1"/>
    <w:rsid w:val="00DB73D3"/>
    <w:rsid w:val="00DB74BD"/>
    <w:rsid w:val="00DB7527"/>
    <w:rsid w:val="00DB757F"/>
    <w:rsid w:val="00DB7605"/>
    <w:rsid w:val="00DB763B"/>
    <w:rsid w:val="00DB766E"/>
    <w:rsid w:val="00DB76D9"/>
    <w:rsid w:val="00DB7728"/>
    <w:rsid w:val="00DB77D3"/>
    <w:rsid w:val="00DB77EA"/>
    <w:rsid w:val="00DB77F8"/>
    <w:rsid w:val="00DB7828"/>
    <w:rsid w:val="00DB784F"/>
    <w:rsid w:val="00DB7882"/>
    <w:rsid w:val="00DB78BA"/>
    <w:rsid w:val="00DB78CC"/>
    <w:rsid w:val="00DB78FA"/>
    <w:rsid w:val="00DB79B5"/>
    <w:rsid w:val="00DB7A05"/>
    <w:rsid w:val="00DB7B7D"/>
    <w:rsid w:val="00DB7C17"/>
    <w:rsid w:val="00DB7CAE"/>
    <w:rsid w:val="00DB7D4C"/>
    <w:rsid w:val="00DB7D4F"/>
    <w:rsid w:val="00DB7DCA"/>
    <w:rsid w:val="00DB7DF6"/>
    <w:rsid w:val="00DB7E6B"/>
    <w:rsid w:val="00DB7EEF"/>
    <w:rsid w:val="00DB7EF2"/>
    <w:rsid w:val="00DB7FB4"/>
    <w:rsid w:val="00DC004C"/>
    <w:rsid w:val="00DC004E"/>
    <w:rsid w:val="00DC016C"/>
    <w:rsid w:val="00DC0261"/>
    <w:rsid w:val="00DC0294"/>
    <w:rsid w:val="00DC02FC"/>
    <w:rsid w:val="00DC03B6"/>
    <w:rsid w:val="00DC045E"/>
    <w:rsid w:val="00DC04C7"/>
    <w:rsid w:val="00DC04CA"/>
    <w:rsid w:val="00DC0503"/>
    <w:rsid w:val="00DC051C"/>
    <w:rsid w:val="00DC05EB"/>
    <w:rsid w:val="00DC064B"/>
    <w:rsid w:val="00DC0678"/>
    <w:rsid w:val="00DC06F8"/>
    <w:rsid w:val="00DC070F"/>
    <w:rsid w:val="00DC0792"/>
    <w:rsid w:val="00DC083E"/>
    <w:rsid w:val="00DC087B"/>
    <w:rsid w:val="00DC09D5"/>
    <w:rsid w:val="00DC0A6B"/>
    <w:rsid w:val="00DC0B37"/>
    <w:rsid w:val="00DC0B76"/>
    <w:rsid w:val="00DC0B91"/>
    <w:rsid w:val="00DC0C82"/>
    <w:rsid w:val="00DC0C99"/>
    <w:rsid w:val="00DC0D0C"/>
    <w:rsid w:val="00DC0D79"/>
    <w:rsid w:val="00DC0D9F"/>
    <w:rsid w:val="00DC0DA5"/>
    <w:rsid w:val="00DC0E81"/>
    <w:rsid w:val="00DC0EA4"/>
    <w:rsid w:val="00DC0F26"/>
    <w:rsid w:val="00DC0F6B"/>
    <w:rsid w:val="00DC0F79"/>
    <w:rsid w:val="00DC0F7C"/>
    <w:rsid w:val="00DC0FDA"/>
    <w:rsid w:val="00DC1051"/>
    <w:rsid w:val="00DC11B7"/>
    <w:rsid w:val="00DC11F7"/>
    <w:rsid w:val="00DC11FD"/>
    <w:rsid w:val="00DC120A"/>
    <w:rsid w:val="00DC122A"/>
    <w:rsid w:val="00DC1236"/>
    <w:rsid w:val="00DC125F"/>
    <w:rsid w:val="00DC1287"/>
    <w:rsid w:val="00DC1317"/>
    <w:rsid w:val="00DC1335"/>
    <w:rsid w:val="00DC13BF"/>
    <w:rsid w:val="00DC13D0"/>
    <w:rsid w:val="00DC148A"/>
    <w:rsid w:val="00DC1493"/>
    <w:rsid w:val="00DC14B7"/>
    <w:rsid w:val="00DC1532"/>
    <w:rsid w:val="00DC15C7"/>
    <w:rsid w:val="00DC15EA"/>
    <w:rsid w:val="00DC161D"/>
    <w:rsid w:val="00DC1666"/>
    <w:rsid w:val="00DC16A1"/>
    <w:rsid w:val="00DC16CF"/>
    <w:rsid w:val="00DC1753"/>
    <w:rsid w:val="00DC17A3"/>
    <w:rsid w:val="00DC185F"/>
    <w:rsid w:val="00DC1AA5"/>
    <w:rsid w:val="00DC1B82"/>
    <w:rsid w:val="00DC1BDF"/>
    <w:rsid w:val="00DC1C00"/>
    <w:rsid w:val="00DC1D1E"/>
    <w:rsid w:val="00DC1D88"/>
    <w:rsid w:val="00DC1ED5"/>
    <w:rsid w:val="00DC1F2D"/>
    <w:rsid w:val="00DC1F2F"/>
    <w:rsid w:val="00DC1FAE"/>
    <w:rsid w:val="00DC1FB0"/>
    <w:rsid w:val="00DC1FE2"/>
    <w:rsid w:val="00DC2019"/>
    <w:rsid w:val="00DC2070"/>
    <w:rsid w:val="00DC213F"/>
    <w:rsid w:val="00DC2141"/>
    <w:rsid w:val="00DC214A"/>
    <w:rsid w:val="00DC2326"/>
    <w:rsid w:val="00DC2340"/>
    <w:rsid w:val="00DC234F"/>
    <w:rsid w:val="00DC235B"/>
    <w:rsid w:val="00DC23CE"/>
    <w:rsid w:val="00DC2415"/>
    <w:rsid w:val="00DC2464"/>
    <w:rsid w:val="00DC2481"/>
    <w:rsid w:val="00DC256F"/>
    <w:rsid w:val="00DC25C4"/>
    <w:rsid w:val="00DC2602"/>
    <w:rsid w:val="00DC2622"/>
    <w:rsid w:val="00DC2688"/>
    <w:rsid w:val="00DC2705"/>
    <w:rsid w:val="00DC2708"/>
    <w:rsid w:val="00DC271F"/>
    <w:rsid w:val="00DC2786"/>
    <w:rsid w:val="00DC27E6"/>
    <w:rsid w:val="00DC27EB"/>
    <w:rsid w:val="00DC27F4"/>
    <w:rsid w:val="00DC281E"/>
    <w:rsid w:val="00DC2857"/>
    <w:rsid w:val="00DC28A6"/>
    <w:rsid w:val="00DC28CF"/>
    <w:rsid w:val="00DC28DA"/>
    <w:rsid w:val="00DC297C"/>
    <w:rsid w:val="00DC2992"/>
    <w:rsid w:val="00DC29A3"/>
    <w:rsid w:val="00DC2A4B"/>
    <w:rsid w:val="00DC2A97"/>
    <w:rsid w:val="00DC2AB5"/>
    <w:rsid w:val="00DC2B0C"/>
    <w:rsid w:val="00DC2B83"/>
    <w:rsid w:val="00DC2B8B"/>
    <w:rsid w:val="00DC2BD0"/>
    <w:rsid w:val="00DC2C55"/>
    <w:rsid w:val="00DC2CE0"/>
    <w:rsid w:val="00DC2CF7"/>
    <w:rsid w:val="00DC2D17"/>
    <w:rsid w:val="00DC2D37"/>
    <w:rsid w:val="00DC2D5E"/>
    <w:rsid w:val="00DC2D90"/>
    <w:rsid w:val="00DC2DB3"/>
    <w:rsid w:val="00DC2E44"/>
    <w:rsid w:val="00DC2F0C"/>
    <w:rsid w:val="00DC2F1B"/>
    <w:rsid w:val="00DC2F2A"/>
    <w:rsid w:val="00DC2F4C"/>
    <w:rsid w:val="00DC2F81"/>
    <w:rsid w:val="00DC304E"/>
    <w:rsid w:val="00DC30F0"/>
    <w:rsid w:val="00DC3170"/>
    <w:rsid w:val="00DC3192"/>
    <w:rsid w:val="00DC3251"/>
    <w:rsid w:val="00DC32DC"/>
    <w:rsid w:val="00DC3335"/>
    <w:rsid w:val="00DC3377"/>
    <w:rsid w:val="00DC3403"/>
    <w:rsid w:val="00DC342F"/>
    <w:rsid w:val="00DC3567"/>
    <w:rsid w:val="00DC3590"/>
    <w:rsid w:val="00DC35F1"/>
    <w:rsid w:val="00DC369A"/>
    <w:rsid w:val="00DC37CF"/>
    <w:rsid w:val="00DC386B"/>
    <w:rsid w:val="00DC3972"/>
    <w:rsid w:val="00DC39C7"/>
    <w:rsid w:val="00DC3A0E"/>
    <w:rsid w:val="00DC3A19"/>
    <w:rsid w:val="00DC3AA9"/>
    <w:rsid w:val="00DC3AE7"/>
    <w:rsid w:val="00DC3B29"/>
    <w:rsid w:val="00DC3BC3"/>
    <w:rsid w:val="00DC3C5F"/>
    <w:rsid w:val="00DC3C8C"/>
    <w:rsid w:val="00DC3CFC"/>
    <w:rsid w:val="00DC3DDE"/>
    <w:rsid w:val="00DC3E1A"/>
    <w:rsid w:val="00DC3E4C"/>
    <w:rsid w:val="00DC3E7C"/>
    <w:rsid w:val="00DC3F65"/>
    <w:rsid w:val="00DC3F85"/>
    <w:rsid w:val="00DC3F88"/>
    <w:rsid w:val="00DC40C7"/>
    <w:rsid w:val="00DC40EE"/>
    <w:rsid w:val="00DC4117"/>
    <w:rsid w:val="00DC414C"/>
    <w:rsid w:val="00DC4181"/>
    <w:rsid w:val="00DC41E2"/>
    <w:rsid w:val="00DC4243"/>
    <w:rsid w:val="00DC425C"/>
    <w:rsid w:val="00DC425D"/>
    <w:rsid w:val="00DC430E"/>
    <w:rsid w:val="00DC4335"/>
    <w:rsid w:val="00DC442E"/>
    <w:rsid w:val="00DC44D6"/>
    <w:rsid w:val="00DC45B0"/>
    <w:rsid w:val="00DC45F2"/>
    <w:rsid w:val="00DC4632"/>
    <w:rsid w:val="00DC46F9"/>
    <w:rsid w:val="00DC46FC"/>
    <w:rsid w:val="00DC47EF"/>
    <w:rsid w:val="00DC4806"/>
    <w:rsid w:val="00DC4836"/>
    <w:rsid w:val="00DC485E"/>
    <w:rsid w:val="00DC48C9"/>
    <w:rsid w:val="00DC48D1"/>
    <w:rsid w:val="00DC48D2"/>
    <w:rsid w:val="00DC4A17"/>
    <w:rsid w:val="00DC4A53"/>
    <w:rsid w:val="00DC4A97"/>
    <w:rsid w:val="00DC4A9C"/>
    <w:rsid w:val="00DC4A9F"/>
    <w:rsid w:val="00DC4B09"/>
    <w:rsid w:val="00DC4B36"/>
    <w:rsid w:val="00DC4B3B"/>
    <w:rsid w:val="00DC4B46"/>
    <w:rsid w:val="00DC4B5A"/>
    <w:rsid w:val="00DC4C15"/>
    <w:rsid w:val="00DC4C64"/>
    <w:rsid w:val="00DC4C6F"/>
    <w:rsid w:val="00DC4C71"/>
    <w:rsid w:val="00DC4CC6"/>
    <w:rsid w:val="00DC4CEA"/>
    <w:rsid w:val="00DC4D07"/>
    <w:rsid w:val="00DC4D7F"/>
    <w:rsid w:val="00DC4D9B"/>
    <w:rsid w:val="00DC4E14"/>
    <w:rsid w:val="00DC4E48"/>
    <w:rsid w:val="00DC4E58"/>
    <w:rsid w:val="00DC4E8F"/>
    <w:rsid w:val="00DC4F06"/>
    <w:rsid w:val="00DC4F15"/>
    <w:rsid w:val="00DC4F5C"/>
    <w:rsid w:val="00DC4F69"/>
    <w:rsid w:val="00DC4F7F"/>
    <w:rsid w:val="00DC4FE9"/>
    <w:rsid w:val="00DC5018"/>
    <w:rsid w:val="00DC507F"/>
    <w:rsid w:val="00DC509B"/>
    <w:rsid w:val="00DC51AF"/>
    <w:rsid w:val="00DC5269"/>
    <w:rsid w:val="00DC52B0"/>
    <w:rsid w:val="00DC53A0"/>
    <w:rsid w:val="00DC53E7"/>
    <w:rsid w:val="00DC53F6"/>
    <w:rsid w:val="00DC542B"/>
    <w:rsid w:val="00DC5493"/>
    <w:rsid w:val="00DC54D0"/>
    <w:rsid w:val="00DC55EF"/>
    <w:rsid w:val="00DC56B8"/>
    <w:rsid w:val="00DC5756"/>
    <w:rsid w:val="00DC57B9"/>
    <w:rsid w:val="00DC5827"/>
    <w:rsid w:val="00DC5849"/>
    <w:rsid w:val="00DC584E"/>
    <w:rsid w:val="00DC5898"/>
    <w:rsid w:val="00DC58E1"/>
    <w:rsid w:val="00DC597E"/>
    <w:rsid w:val="00DC599D"/>
    <w:rsid w:val="00DC59A8"/>
    <w:rsid w:val="00DC59AE"/>
    <w:rsid w:val="00DC59E7"/>
    <w:rsid w:val="00DC5A0C"/>
    <w:rsid w:val="00DC5C69"/>
    <w:rsid w:val="00DC5CB7"/>
    <w:rsid w:val="00DC5CD4"/>
    <w:rsid w:val="00DC5D3C"/>
    <w:rsid w:val="00DC5E1E"/>
    <w:rsid w:val="00DC5E4F"/>
    <w:rsid w:val="00DC5EEE"/>
    <w:rsid w:val="00DC5F7E"/>
    <w:rsid w:val="00DC5FFD"/>
    <w:rsid w:val="00DC6002"/>
    <w:rsid w:val="00DC601E"/>
    <w:rsid w:val="00DC60ED"/>
    <w:rsid w:val="00DC6193"/>
    <w:rsid w:val="00DC61E2"/>
    <w:rsid w:val="00DC621A"/>
    <w:rsid w:val="00DC627E"/>
    <w:rsid w:val="00DC6365"/>
    <w:rsid w:val="00DC6382"/>
    <w:rsid w:val="00DC63BE"/>
    <w:rsid w:val="00DC64DE"/>
    <w:rsid w:val="00DC651B"/>
    <w:rsid w:val="00DC6601"/>
    <w:rsid w:val="00DC6710"/>
    <w:rsid w:val="00DC673D"/>
    <w:rsid w:val="00DC6745"/>
    <w:rsid w:val="00DC67B7"/>
    <w:rsid w:val="00DC69A2"/>
    <w:rsid w:val="00DC6AAE"/>
    <w:rsid w:val="00DC6B4D"/>
    <w:rsid w:val="00DC6C5E"/>
    <w:rsid w:val="00DC6D5A"/>
    <w:rsid w:val="00DC6E67"/>
    <w:rsid w:val="00DC6EB9"/>
    <w:rsid w:val="00DC6FDE"/>
    <w:rsid w:val="00DC700F"/>
    <w:rsid w:val="00DC7014"/>
    <w:rsid w:val="00DC70FA"/>
    <w:rsid w:val="00DC71D5"/>
    <w:rsid w:val="00DC72B0"/>
    <w:rsid w:val="00DC72EF"/>
    <w:rsid w:val="00DC7307"/>
    <w:rsid w:val="00DC7323"/>
    <w:rsid w:val="00DC7373"/>
    <w:rsid w:val="00DC7387"/>
    <w:rsid w:val="00DC7426"/>
    <w:rsid w:val="00DC745C"/>
    <w:rsid w:val="00DC7478"/>
    <w:rsid w:val="00DC7489"/>
    <w:rsid w:val="00DC7554"/>
    <w:rsid w:val="00DC7568"/>
    <w:rsid w:val="00DC75BB"/>
    <w:rsid w:val="00DC75CD"/>
    <w:rsid w:val="00DC75F2"/>
    <w:rsid w:val="00DC763B"/>
    <w:rsid w:val="00DC764E"/>
    <w:rsid w:val="00DC7665"/>
    <w:rsid w:val="00DC76C3"/>
    <w:rsid w:val="00DC76D3"/>
    <w:rsid w:val="00DC7760"/>
    <w:rsid w:val="00DC7798"/>
    <w:rsid w:val="00DC77A1"/>
    <w:rsid w:val="00DC77E5"/>
    <w:rsid w:val="00DC783A"/>
    <w:rsid w:val="00DC78B6"/>
    <w:rsid w:val="00DC78D4"/>
    <w:rsid w:val="00DC7907"/>
    <w:rsid w:val="00DC79FB"/>
    <w:rsid w:val="00DC7A01"/>
    <w:rsid w:val="00DC7A0B"/>
    <w:rsid w:val="00DC7A1A"/>
    <w:rsid w:val="00DC7A70"/>
    <w:rsid w:val="00DC7C03"/>
    <w:rsid w:val="00DC7D7F"/>
    <w:rsid w:val="00DC7D8C"/>
    <w:rsid w:val="00DC7E62"/>
    <w:rsid w:val="00DC7F41"/>
    <w:rsid w:val="00DC7F44"/>
    <w:rsid w:val="00DC7F66"/>
    <w:rsid w:val="00DD0010"/>
    <w:rsid w:val="00DD001D"/>
    <w:rsid w:val="00DD0055"/>
    <w:rsid w:val="00DD00B7"/>
    <w:rsid w:val="00DD00CE"/>
    <w:rsid w:val="00DD017F"/>
    <w:rsid w:val="00DD01BD"/>
    <w:rsid w:val="00DD0203"/>
    <w:rsid w:val="00DD0208"/>
    <w:rsid w:val="00DD0212"/>
    <w:rsid w:val="00DD021A"/>
    <w:rsid w:val="00DD02FA"/>
    <w:rsid w:val="00DD04BE"/>
    <w:rsid w:val="00DD04FB"/>
    <w:rsid w:val="00DD0559"/>
    <w:rsid w:val="00DD059F"/>
    <w:rsid w:val="00DD05B7"/>
    <w:rsid w:val="00DD060F"/>
    <w:rsid w:val="00DD06AF"/>
    <w:rsid w:val="00DD06C6"/>
    <w:rsid w:val="00DD06FE"/>
    <w:rsid w:val="00DD071C"/>
    <w:rsid w:val="00DD079B"/>
    <w:rsid w:val="00DD0877"/>
    <w:rsid w:val="00DD0886"/>
    <w:rsid w:val="00DD08E2"/>
    <w:rsid w:val="00DD0966"/>
    <w:rsid w:val="00DD0976"/>
    <w:rsid w:val="00DD0994"/>
    <w:rsid w:val="00DD09B7"/>
    <w:rsid w:val="00DD09C7"/>
    <w:rsid w:val="00DD09F0"/>
    <w:rsid w:val="00DD09F2"/>
    <w:rsid w:val="00DD0A11"/>
    <w:rsid w:val="00DD0ADE"/>
    <w:rsid w:val="00DD0B59"/>
    <w:rsid w:val="00DD0BAE"/>
    <w:rsid w:val="00DD0BD7"/>
    <w:rsid w:val="00DD0C8D"/>
    <w:rsid w:val="00DD0CB5"/>
    <w:rsid w:val="00DD0D06"/>
    <w:rsid w:val="00DD0D1F"/>
    <w:rsid w:val="00DD0DC1"/>
    <w:rsid w:val="00DD0E06"/>
    <w:rsid w:val="00DD0E10"/>
    <w:rsid w:val="00DD0E2D"/>
    <w:rsid w:val="00DD0E93"/>
    <w:rsid w:val="00DD0E99"/>
    <w:rsid w:val="00DD0EC3"/>
    <w:rsid w:val="00DD0F9B"/>
    <w:rsid w:val="00DD0FB9"/>
    <w:rsid w:val="00DD0FED"/>
    <w:rsid w:val="00DD1051"/>
    <w:rsid w:val="00DD1107"/>
    <w:rsid w:val="00DD113C"/>
    <w:rsid w:val="00DD114F"/>
    <w:rsid w:val="00DD1154"/>
    <w:rsid w:val="00DD11C8"/>
    <w:rsid w:val="00DD132D"/>
    <w:rsid w:val="00DD134B"/>
    <w:rsid w:val="00DD13AE"/>
    <w:rsid w:val="00DD13BD"/>
    <w:rsid w:val="00DD141D"/>
    <w:rsid w:val="00DD1490"/>
    <w:rsid w:val="00DD14E5"/>
    <w:rsid w:val="00DD14F8"/>
    <w:rsid w:val="00DD15A3"/>
    <w:rsid w:val="00DD15E6"/>
    <w:rsid w:val="00DD16FE"/>
    <w:rsid w:val="00DD170D"/>
    <w:rsid w:val="00DD1786"/>
    <w:rsid w:val="00DD17DA"/>
    <w:rsid w:val="00DD1814"/>
    <w:rsid w:val="00DD194E"/>
    <w:rsid w:val="00DD1994"/>
    <w:rsid w:val="00DD19BE"/>
    <w:rsid w:val="00DD1A4A"/>
    <w:rsid w:val="00DD1A72"/>
    <w:rsid w:val="00DD1A95"/>
    <w:rsid w:val="00DD1B9B"/>
    <w:rsid w:val="00DD1BA6"/>
    <w:rsid w:val="00DD1BF5"/>
    <w:rsid w:val="00DD1C0E"/>
    <w:rsid w:val="00DD1C37"/>
    <w:rsid w:val="00DD1C63"/>
    <w:rsid w:val="00DD1C99"/>
    <w:rsid w:val="00DD1CB7"/>
    <w:rsid w:val="00DD1D0A"/>
    <w:rsid w:val="00DD1DB3"/>
    <w:rsid w:val="00DD1DB5"/>
    <w:rsid w:val="00DD1E43"/>
    <w:rsid w:val="00DD1E64"/>
    <w:rsid w:val="00DD1E9F"/>
    <w:rsid w:val="00DD1ED8"/>
    <w:rsid w:val="00DD1EE7"/>
    <w:rsid w:val="00DD1F30"/>
    <w:rsid w:val="00DD1F39"/>
    <w:rsid w:val="00DD1F3F"/>
    <w:rsid w:val="00DD1F77"/>
    <w:rsid w:val="00DD1F86"/>
    <w:rsid w:val="00DD2079"/>
    <w:rsid w:val="00DD215D"/>
    <w:rsid w:val="00DD21C7"/>
    <w:rsid w:val="00DD2211"/>
    <w:rsid w:val="00DD2268"/>
    <w:rsid w:val="00DD22E8"/>
    <w:rsid w:val="00DD2339"/>
    <w:rsid w:val="00DD2432"/>
    <w:rsid w:val="00DD246E"/>
    <w:rsid w:val="00DD2470"/>
    <w:rsid w:val="00DD249B"/>
    <w:rsid w:val="00DD2547"/>
    <w:rsid w:val="00DD25B1"/>
    <w:rsid w:val="00DD25B3"/>
    <w:rsid w:val="00DD2614"/>
    <w:rsid w:val="00DD2668"/>
    <w:rsid w:val="00DD2674"/>
    <w:rsid w:val="00DD2682"/>
    <w:rsid w:val="00DD26C7"/>
    <w:rsid w:val="00DD274F"/>
    <w:rsid w:val="00DD27A6"/>
    <w:rsid w:val="00DD2837"/>
    <w:rsid w:val="00DD2844"/>
    <w:rsid w:val="00DD28D0"/>
    <w:rsid w:val="00DD28E5"/>
    <w:rsid w:val="00DD292A"/>
    <w:rsid w:val="00DD29BD"/>
    <w:rsid w:val="00DD2A36"/>
    <w:rsid w:val="00DD2A7B"/>
    <w:rsid w:val="00DD2B8C"/>
    <w:rsid w:val="00DD2BC6"/>
    <w:rsid w:val="00DD2BDD"/>
    <w:rsid w:val="00DD2C23"/>
    <w:rsid w:val="00DD2C26"/>
    <w:rsid w:val="00DD2C61"/>
    <w:rsid w:val="00DD2C67"/>
    <w:rsid w:val="00DD2C89"/>
    <w:rsid w:val="00DD2D2D"/>
    <w:rsid w:val="00DD2D4D"/>
    <w:rsid w:val="00DD2D56"/>
    <w:rsid w:val="00DD2D57"/>
    <w:rsid w:val="00DD2DAE"/>
    <w:rsid w:val="00DD2E4C"/>
    <w:rsid w:val="00DD2EF8"/>
    <w:rsid w:val="00DD2F43"/>
    <w:rsid w:val="00DD2F47"/>
    <w:rsid w:val="00DD2F75"/>
    <w:rsid w:val="00DD3040"/>
    <w:rsid w:val="00DD308E"/>
    <w:rsid w:val="00DD312D"/>
    <w:rsid w:val="00DD3144"/>
    <w:rsid w:val="00DD3150"/>
    <w:rsid w:val="00DD31FA"/>
    <w:rsid w:val="00DD323C"/>
    <w:rsid w:val="00DD324F"/>
    <w:rsid w:val="00DD3260"/>
    <w:rsid w:val="00DD3289"/>
    <w:rsid w:val="00DD32B1"/>
    <w:rsid w:val="00DD336A"/>
    <w:rsid w:val="00DD3378"/>
    <w:rsid w:val="00DD33FD"/>
    <w:rsid w:val="00DD342B"/>
    <w:rsid w:val="00DD343D"/>
    <w:rsid w:val="00DD350F"/>
    <w:rsid w:val="00DD3516"/>
    <w:rsid w:val="00DD363B"/>
    <w:rsid w:val="00DD3649"/>
    <w:rsid w:val="00DD364C"/>
    <w:rsid w:val="00DD3677"/>
    <w:rsid w:val="00DD36BC"/>
    <w:rsid w:val="00DD3717"/>
    <w:rsid w:val="00DD3743"/>
    <w:rsid w:val="00DD3758"/>
    <w:rsid w:val="00DD37A9"/>
    <w:rsid w:val="00DD37C8"/>
    <w:rsid w:val="00DD37DF"/>
    <w:rsid w:val="00DD37E9"/>
    <w:rsid w:val="00DD3856"/>
    <w:rsid w:val="00DD3878"/>
    <w:rsid w:val="00DD38E4"/>
    <w:rsid w:val="00DD38F8"/>
    <w:rsid w:val="00DD39B4"/>
    <w:rsid w:val="00DD3A0A"/>
    <w:rsid w:val="00DD3A8E"/>
    <w:rsid w:val="00DD3AF0"/>
    <w:rsid w:val="00DD3BAF"/>
    <w:rsid w:val="00DD3BD6"/>
    <w:rsid w:val="00DD3CB9"/>
    <w:rsid w:val="00DD3D9A"/>
    <w:rsid w:val="00DD3E36"/>
    <w:rsid w:val="00DD3EF4"/>
    <w:rsid w:val="00DD3F41"/>
    <w:rsid w:val="00DD3F8B"/>
    <w:rsid w:val="00DD3FF3"/>
    <w:rsid w:val="00DD4119"/>
    <w:rsid w:val="00DD4162"/>
    <w:rsid w:val="00DD4163"/>
    <w:rsid w:val="00DD417C"/>
    <w:rsid w:val="00DD417E"/>
    <w:rsid w:val="00DD4184"/>
    <w:rsid w:val="00DD41BC"/>
    <w:rsid w:val="00DD41CF"/>
    <w:rsid w:val="00DD41D8"/>
    <w:rsid w:val="00DD4265"/>
    <w:rsid w:val="00DD4336"/>
    <w:rsid w:val="00DD435F"/>
    <w:rsid w:val="00DD4365"/>
    <w:rsid w:val="00DD43B1"/>
    <w:rsid w:val="00DD43BB"/>
    <w:rsid w:val="00DD43C5"/>
    <w:rsid w:val="00DD4432"/>
    <w:rsid w:val="00DD451D"/>
    <w:rsid w:val="00DD459E"/>
    <w:rsid w:val="00DD45AB"/>
    <w:rsid w:val="00DD45E6"/>
    <w:rsid w:val="00DD4602"/>
    <w:rsid w:val="00DD460F"/>
    <w:rsid w:val="00DD4640"/>
    <w:rsid w:val="00DD468D"/>
    <w:rsid w:val="00DD4694"/>
    <w:rsid w:val="00DD46F0"/>
    <w:rsid w:val="00DD4700"/>
    <w:rsid w:val="00DD470E"/>
    <w:rsid w:val="00DD4738"/>
    <w:rsid w:val="00DD4756"/>
    <w:rsid w:val="00DD4773"/>
    <w:rsid w:val="00DD47CC"/>
    <w:rsid w:val="00DD4814"/>
    <w:rsid w:val="00DD4873"/>
    <w:rsid w:val="00DD4879"/>
    <w:rsid w:val="00DD4892"/>
    <w:rsid w:val="00DD493C"/>
    <w:rsid w:val="00DD494B"/>
    <w:rsid w:val="00DD4968"/>
    <w:rsid w:val="00DD49B8"/>
    <w:rsid w:val="00DD49E9"/>
    <w:rsid w:val="00DD4A5C"/>
    <w:rsid w:val="00DD4AAE"/>
    <w:rsid w:val="00DD4ADD"/>
    <w:rsid w:val="00DD4AEE"/>
    <w:rsid w:val="00DD4B16"/>
    <w:rsid w:val="00DD4B53"/>
    <w:rsid w:val="00DD4B78"/>
    <w:rsid w:val="00DD4BED"/>
    <w:rsid w:val="00DD4C38"/>
    <w:rsid w:val="00DD4C80"/>
    <w:rsid w:val="00DD4CAC"/>
    <w:rsid w:val="00DD4CB9"/>
    <w:rsid w:val="00DD4CC0"/>
    <w:rsid w:val="00DD4D78"/>
    <w:rsid w:val="00DD4E28"/>
    <w:rsid w:val="00DD4EC7"/>
    <w:rsid w:val="00DD4F0C"/>
    <w:rsid w:val="00DD4F5E"/>
    <w:rsid w:val="00DD4FE2"/>
    <w:rsid w:val="00DD50AD"/>
    <w:rsid w:val="00DD5158"/>
    <w:rsid w:val="00DD5165"/>
    <w:rsid w:val="00DD51BD"/>
    <w:rsid w:val="00DD5300"/>
    <w:rsid w:val="00DD54A6"/>
    <w:rsid w:val="00DD5506"/>
    <w:rsid w:val="00DD5523"/>
    <w:rsid w:val="00DD552E"/>
    <w:rsid w:val="00DD55A3"/>
    <w:rsid w:val="00DD55D2"/>
    <w:rsid w:val="00DD5604"/>
    <w:rsid w:val="00DD5621"/>
    <w:rsid w:val="00DD5639"/>
    <w:rsid w:val="00DD565E"/>
    <w:rsid w:val="00DD56DF"/>
    <w:rsid w:val="00DD56E3"/>
    <w:rsid w:val="00DD574E"/>
    <w:rsid w:val="00DD5781"/>
    <w:rsid w:val="00DD57DB"/>
    <w:rsid w:val="00DD57EC"/>
    <w:rsid w:val="00DD5827"/>
    <w:rsid w:val="00DD5862"/>
    <w:rsid w:val="00DD5A2B"/>
    <w:rsid w:val="00DD5A2D"/>
    <w:rsid w:val="00DD5A84"/>
    <w:rsid w:val="00DD5B23"/>
    <w:rsid w:val="00DD5C42"/>
    <w:rsid w:val="00DD5C55"/>
    <w:rsid w:val="00DD5CEC"/>
    <w:rsid w:val="00DD5D0E"/>
    <w:rsid w:val="00DD5DBA"/>
    <w:rsid w:val="00DD5DC5"/>
    <w:rsid w:val="00DD5E68"/>
    <w:rsid w:val="00DD5EC8"/>
    <w:rsid w:val="00DD5F4F"/>
    <w:rsid w:val="00DD5F69"/>
    <w:rsid w:val="00DD5F76"/>
    <w:rsid w:val="00DD5F78"/>
    <w:rsid w:val="00DD5F7D"/>
    <w:rsid w:val="00DD5FB1"/>
    <w:rsid w:val="00DD6038"/>
    <w:rsid w:val="00DD607B"/>
    <w:rsid w:val="00DD6125"/>
    <w:rsid w:val="00DD612E"/>
    <w:rsid w:val="00DD6153"/>
    <w:rsid w:val="00DD61C3"/>
    <w:rsid w:val="00DD62AE"/>
    <w:rsid w:val="00DD62BC"/>
    <w:rsid w:val="00DD6369"/>
    <w:rsid w:val="00DD63B2"/>
    <w:rsid w:val="00DD63D8"/>
    <w:rsid w:val="00DD63FE"/>
    <w:rsid w:val="00DD64C4"/>
    <w:rsid w:val="00DD64CC"/>
    <w:rsid w:val="00DD6540"/>
    <w:rsid w:val="00DD65C4"/>
    <w:rsid w:val="00DD65EF"/>
    <w:rsid w:val="00DD6605"/>
    <w:rsid w:val="00DD66D5"/>
    <w:rsid w:val="00DD6747"/>
    <w:rsid w:val="00DD6789"/>
    <w:rsid w:val="00DD6801"/>
    <w:rsid w:val="00DD6824"/>
    <w:rsid w:val="00DD6862"/>
    <w:rsid w:val="00DD686F"/>
    <w:rsid w:val="00DD68A8"/>
    <w:rsid w:val="00DD68F3"/>
    <w:rsid w:val="00DD692E"/>
    <w:rsid w:val="00DD6936"/>
    <w:rsid w:val="00DD693E"/>
    <w:rsid w:val="00DD697C"/>
    <w:rsid w:val="00DD69BB"/>
    <w:rsid w:val="00DD69C6"/>
    <w:rsid w:val="00DD69E7"/>
    <w:rsid w:val="00DD6A1A"/>
    <w:rsid w:val="00DD6AB8"/>
    <w:rsid w:val="00DD6B71"/>
    <w:rsid w:val="00DD6BF1"/>
    <w:rsid w:val="00DD6C5D"/>
    <w:rsid w:val="00DD6C83"/>
    <w:rsid w:val="00DD6C8D"/>
    <w:rsid w:val="00DD6C98"/>
    <w:rsid w:val="00DD6D64"/>
    <w:rsid w:val="00DD6EC6"/>
    <w:rsid w:val="00DD6F01"/>
    <w:rsid w:val="00DD7033"/>
    <w:rsid w:val="00DD7108"/>
    <w:rsid w:val="00DD711C"/>
    <w:rsid w:val="00DD71A8"/>
    <w:rsid w:val="00DD71F5"/>
    <w:rsid w:val="00DD7271"/>
    <w:rsid w:val="00DD72B6"/>
    <w:rsid w:val="00DD72C2"/>
    <w:rsid w:val="00DD72D4"/>
    <w:rsid w:val="00DD7314"/>
    <w:rsid w:val="00DD738F"/>
    <w:rsid w:val="00DD73FB"/>
    <w:rsid w:val="00DD754A"/>
    <w:rsid w:val="00DD75BD"/>
    <w:rsid w:val="00DD75DA"/>
    <w:rsid w:val="00DD75DF"/>
    <w:rsid w:val="00DD760E"/>
    <w:rsid w:val="00DD7655"/>
    <w:rsid w:val="00DD7684"/>
    <w:rsid w:val="00DD76F6"/>
    <w:rsid w:val="00DD7753"/>
    <w:rsid w:val="00DD7785"/>
    <w:rsid w:val="00DD7787"/>
    <w:rsid w:val="00DD7858"/>
    <w:rsid w:val="00DD7861"/>
    <w:rsid w:val="00DD78DF"/>
    <w:rsid w:val="00DD79E4"/>
    <w:rsid w:val="00DD79EF"/>
    <w:rsid w:val="00DD7A50"/>
    <w:rsid w:val="00DD7C06"/>
    <w:rsid w:val="00DD7C3F"/>
    <w:rsid w:val="00DD7C4B"/>
    <w:rsid w:val="00DD7C66"/>
    <w:rsid w:val="00DD7C97"/>
    <w:rsid w:val="00DD7D29"/>
    <w:rsid w:val="00DD7D34"/>
    <w:rsid w:val="00DD7D56"/>
    <w:rsid w:val="00DD7D7B"/>
    <w:rsid w:val="00DD7EA4"/>
    <w:rsid w:val="00DD7EDC"/>
    <w:rsid w:val="00DD7F2D"/>
    <w:rsid w:val="00DD7F41"/>
    <w:rsid w:val="00DD7F7A"/>
    <w:rsid w:val="00DD7F8B"/>
    <w:rsid w:val="00DD7FC6"/>
    <w:rsid w:val="00DE0079"/>
    <w:rsid w:val="00DE00DC"/>
    <w:rsid w:val="00DE01CA"/>
    <w:rsid w:val="00DE01EE"/>
    <w:rsid w:val="00DE01FA"/>
    <w:rsid w:val="00DE02AF"/>
    <w:rsid w:val="00DE0345"/>
    <w:rsid w:val="00DE03AB"/>
    <w:rsid w:val="00DE03CB"/>
    <w:rsid w:val="00DE0478"/>
    <w:rsid w:val="00DE04AD"/>
    <w:rsid w:val="00DE04BA"/>
    <w:rsid w:val="00DE0525"/>
    <w:rsid w:val="00DE058D"/>
    <w:rsid w:val="00DE05AC"/>
    <w:rsid w:val="00DE05BB"/>
    <w:rsid w:val="00DE05D9"/>
    <w:rsid w:val="00DE0625"/>
    <w:rsid w:val="00DE0666"/>
    <w:rsid w:val="00DE0672"/>
    <w:rsid w:val="00DE06FA"/>
    <w:rsid w:val="00DE0700"/>
    <w:rsid w:val="00DE0718"/>
    <w:rsid w:val="00DE073C"/>
    <w:rsid w:val="00DE0781"/>
    <w:rsid w:val="00DE0792"/>
    <w:rsid w:val="00DE0800"/>
    <w:rsid w:val="00DE0870"/>
    <w:rsid w:val="00DE0898"/>
    <w:rsid w:val="00DE0899"/>
    <w:rsid w:val="00DE089C"/>
    <w:rsid w:val="00DE08A1"/>
    <w:rsid w:val="00DE08D1"/>
    <w:rsid w:val="00DE08D2"/>
    <w:rsid w:val="00DE08F7"/>
    <w:rsid w:val="00DE09DC"/>
    <w:rsid w:val="00DE0A30"/>
    <w:rsid w:val="00DE0A77"/>
    <w:rsid w:val="00DE0AB7"/>
    <w:rsid w:val="00DE0AF2"/>
    <w:rsid w:val="00DE0B55"/>
    <w:rsid w:val="00DE0B67"/>
    <w:rsid w:val="00DE0BBD"/>
    <w:rsid w:val="00DE0C6F"/>
    <w:rsid w:val="00DE0C77"/>
    <w:rsid w:val="00DE0D06"/>
    <w:rsid w:val="00DE0D60"/>
    <w:rsid w:val="00DE0DC9"/>
    <w:rsid w:val="00DE0F5C"/>
    <w:rsid w:val="00DE0FB5"/>
    <w:rsid w:val="00DE0FEE"/>
    <w:rsid w:val="00DE1010"/>
    <w:rsid w:val="00DE10AC"/>
    <w:rsid w:val="00DE1100"/>
    <w:rsid w:val="00DE1106"/>
    <w:rsid w:val="00DE1118"/>
    <w:rsid w:val="00DE1159"/>
    <w:rsid w:val="00DE122D"/>
    <w:rsid w:val="00DE125E"/>
    <w:rsid w:val="00DE12AF"/>
    <w:rsid w:val="00DE12C1"/>
    <w:rsid w:val="00DE13DA"/>
    <w:rsid w:val="00DE13ED"/>
    <w:rsid w:val="00DE1515"/>
    <w:rsid w:val="00DE1565"/>
    <w:rsid w:val="00DE15DA"/>
    <w:rsid w:val="00DE16A8"/>
    <w:rsid w:val="00DE16B7"/>
    <w:rsid w:val="00DE16D7"/>
    <w:rsid w:val="00DE16FE"/>
    <w:rsid w:val="00DE17EE"/>
    <w:rsid w:val="00DE17FC"/>
    <w:rsid w:val="00DE1893"/>
    <w:rsid w:val="00DE18AA"/>
    <w:rsid w:val="00DE18BC"/>
    <w:rsid w:val="00DE1938"/>
    <w:rsid w:val="00DE19F7"/>
    <w:rsid w:val="00DE1A22"/>
    <w:rsid w:val="00DE1A8B"/>
    <w:rsid w:val="00DE1AF9"/>
    <w:rsid w:val="00DE1BD1"/>
    <w:rsid w:val="00DE1BEE"/>
    <w:rsid w:val="00DE1C6C"/>
    <w:rsid w:val="00DE1E04"/>
    <w:rsid w:val="00DE1E2E"/>
    <w:rsid w:val="00DE1E57"/>
    <w:rsid w:val="00DE1E8F"/>
    <w:rsid w:val="00DE1EBF"/>
    <w:rsid w:val="00DE1F2F"/>
    <w:rsid w:val="00DE1FEC"/>
    <w:rsid w:val="00DE1FF2"/>
    <w:rsid w:val="00DE200B"/>
    <w:rsid w:val="00DE204B"/>
    <w:rsid w:val="00DE20AE"/>
    <w:rsid w:val="00DE2119"/>
    <w:rsid w:val="00DE214B"/>
    <w:rsid w:val="00DE2150"/>
    <w:rsid w:val="00DE218A"/>
    <w:rsid w:val="00DE2196"/>
    <w:rsid w:val="00DE22B2"/>
    <w:rsid w:val="00DE22DA"/>
    <w:rsid w:val="00DE22F5"/>
    <w:rsid w:val="00DE2366"/>
    <w:rsid w:val="00DE2368"/>
    <w:rsid w:val="00DE23AB"/>
    <w:rsid w:val="00DE2400"/>
    <w:rsid w:val="00DE240C"/>
    <w:rsid w:val="00DE2410"/>
    <w:rsid w:val="00DE2450"/>
    <w:rsid w:val="00DE2473"/>
    <w:rsid w:val="00DE257E"/>
    <w:rsid w:val="00DE2595"/>
    <w:rsid w:val="00DE2612"/>
    <w:rsid w:val="00DE2656"/>
    <w:rsid w:val="00DE26B4"/>
    <w:rsid w:val="00DE26F8"/>
    <w:rsid w:val="00DE2716"/>
    <w:rsid w:val="00DE2787"/>
    <w:rsid w:val="00DE27C5"/>
    <w:rsid w:val="00DE2818"/>
    <w:rsid w:val="00DE2828"/>
    <w:rsid w:val="00DE283B"/>
    <w:rsid w:val="00DE28B7"/>
    <w:rsid w:val="00DE290D"/>
    <w:rsid w:val="00DE292F"/>
    <w:rsid w:val="00DE295D"/>
    <w:rsid w:val="00DE2A14"/>
    <w:rsid w:val="00DE2B2A"/>
    <w:rsid w:val="00DE2BC1"/>
    <w:rsid w:val="00DE2BED"/>
    <w:rsid w:val="00DE2BF7"/>
    <w:rsid w:val="00DE2C07"/>
    <w:rsid w:val="00DE2E1C"/>
    <w:rsid w:val="00DE2E74"/>
    <w:rsid w:val="00DE2EDA"/>
    <w:rsid w:val="00DE2F79"/>
    <w:rsid w:val="00DE2F82"/>
    <w:rsid w:val="00DE2F95"/>
    <w:rsid w:val="00DE2FA9"/>
    <w:rsid w:val="00DE2FC9"/>
    <w:rsid w:val="00DE3026"/>
    <w:rsid w:val="00DE30C0"/>
    <w:rsid w:val="00DE3125"/>
    <w:rsid w:val="00DE31AE"/>
    <w:rsid w:val="00DE31EB"/>
    <w:rsid w:val="00DE320C"/>
    <w:rsid w:val="00DE3251"/>
    <w:rsid w:val="00DE32C3"/>
    <w:rsid w:val="00DE3347"/>
    <w:rsid w:val="00DE33C1"/>
    <w:rsid w:val="00DE3477"/>
    <w:rsid w:val="00DE34A7"/>
    <w:rsid w:val="00DE34B2"/>
    <w:rsid w:val="00DE3532"/>
    <w:rsid w:val="00DE35D9"/>
    <w:rsid w:val="00DE361E"/>
    <w:rsid w:val="00DE3641"/>
    <w:rsid w:val="00DE367A"/>
    <w:rsid w:val="00DE36D5"/>
    <w:rsid w:val="00DE36F5"/>
    <w:rsid w:val="00DE3787"/>
    <w:rsid w:val="00DE3796"/>
    <w:rsid w:val="00DE37B4"/>
    <w:rsid w:val="00DE37B7"/>
    <w:rsid w:val="00DE38F4"/>
    <w:rsid w:val="00DE390A"/>
    <w:rsid w:val="00DE39A2"/>
    <w:rsid w:val="00DE3A01"/>
    <w:rsid w:val="00DE3A40"/>
    <w:rsid w:val="00DE3A65"/>
    <w:rsid w:val="00DE3AA8"/>
    <w:rsid w:val="00DE3AB4"/>
    <w:rsid w:val="00DE3AF6"/>
    <w:rsid w:val="00DE3B63"/>
    <w:rsid w:val="00DE3B81"/>
    <w:rsid w:val="00DE3BA3"/>
    <w:rsid w:val="00DE3BF9"/>
    <w:rsid w:val="00DE3C9D"/>
    <w:rsid w:val="00DE3CCD"/>
    <w:rsid w:val="00DE3DB8"/>
    <w:rsid w:val="00DE3E13"/>
    <w:rsid w:val="00DE3E28"/>
    <w:rsid w:val="00DE3E64"/>
    <w:rsid w:val="00DE3E66"/>
    <w:rsid w:val="00DE3E70"/>
    <w:rsid w:val="00DE3E8F"/>
    <w:rsid w:val="00DE3FB3"/>
    <w:rsid w:val="00DE4022"/>
    <w:rsid w:val="00DE405C"/>
    <w:rsid w:val="00DE409C"/>
    <w:rsid w:val="00DE40A4"/>
    <w:rsid w:val="00DE40FE"/>
    <w:rsid w:val="00DE41B4"/>
    <w:rsid w:val="00DE41E2"/>
    <w:rsid w:val="00DE41F2"/>
    <w:rsid w:val="00DE4299"/>
    <w:rsid w:val="00DE42CE"/>
    <w:rsid w:val="00DE42E0"/>
    <w:rsid w:val="00DE4375"/>
    <w:rsid w:val="00DE437B"/>
    <w:rsid w:val="00DE437E"/>
    <w:rsid w:val="00DE43A6"/>
    <w:rsid w:val="00DE4401"/>
    <w:rsid w:val="00DE4461"/>
    <w:rsid w:val="00DE44A4"/>
    <w:rsid w:val="00DE44D0"/>
    <w:rsid w:val="00DE44D9"/>
    <w:rsid w:val="00DE450E"/>
    <w:rsid w:val="00DE45A9"/>
    <w:rsid w:val="00DE45E0"/>
    <w:rsid w:val="00DE45FC"/>
    <w:rsid w:val="00DE460C"/>
    <w:rsid w:val="00DE465E"/>
    <w:rsid w:val="00DE46F1"/>
    <w:rsid w:val="00DE4722"/>
    <w:rsid w:val="00DE472B"/>
    <w:rsid w:val="00DE4752"/>
    <w:rsid w:val="00DE475C"/>
    <w:rsid w:val="00DE4788"/>
    <w:rsid w:val="00DE47BE"/>
    <w:rsid w:val="00DE47E5"/>
    <w:rsid w:val="00DE47FA"/>
    <w:rsid w:val="00DE487E"/>
    <w:rsid w:val="00DE489D"/>
    <w:rsid w:val="00DE490E"/>
    <w:rsid w:val="00DE4935"/>
    <w:rsid w:val="00DE49F1"/>
    <w:rsid w:val="00DE4A9B"/>
    <w:rsid w:val="00DE4A9F"/>
    <w:rsid w:val="00DE4ABA"/>
    <w:rsid w:val="00DE4AF9"/>
    <w:rsid w:val="00DE4B33"/>
    <w:rsid w:val="00DE4B42"/>
    <w:rsid w:val="00DE4B78"/>
    <w:rsid w:val="00DE4C11"/>
    <w:rsid w:val="00DE4C56"/>
    <w:rsid w:val="00DE4C98"/>
    <w:rsid w:val="00DE4D02"/>
    <w:rsid w:val="00DE4D25"/>
    <w:rsid w:val="00DE4D3F"/>
    <w:rsid w:val="00DE4DCF"/>
    <w:rsid w:val="00DE4E23"/>
    <w:rsid w:val="00DE4E37"/>
    <w:rsid w:val="00DE4E67"/>
    <w:rsid w:val="00DE4EBD"/>
    <w:rsid w:val="00DE4F53"/>
    <w:rsid w:val="00DE4FA4"/>
    <w:rsid w:val="00DE4FFA"/>
    <w:rsid w:val="00DE5011"/>
    <w:rsid w:val="00DE5076"/>
    <w:rsid w:val="00DE5086"/>
    <w:rsid w:val="00DE50AF"/>
    <w:rsid w:val="00DE50C2"/>
    <w:rsid w:val="00DE5126"/>
    <w:rsid w:val="00DE5192"/>
    <w:rsid w:val="00DE51B9"/>
    <w:rsid w:val="00DE51D9"/>
    <w:rsid w:val="00DE521E"/>
    <w:rsid w:val="00DE524D"/>
    <w:rsid w:val="00DE530E"/>
    <w:rsid w:val="00DE53B9"/>
    <w:rsid w:val="00DE5474"/>
    <w:rsid w:val="00DE549B"/>
    <w:rsid w:val="00DE54F5"/>
    <w:rsid w:val="00DE5590"/>
    <w:rsid w:val="00DE5644"/>
    <w:rsid w:val="00DE5682"/>
    <w:rsid w:val="00DE56CC"/>
    <w:rsid w:val="00DE56DB"/>
    <w:rsid w:val="00DE56F8"/>
    <w:rsid w:val="00DE574B"/>
    <w:rsid w:val="00DE5778"/>
    <w:rsid w:val="00DE57AC"/>
    <w:rsid w:val="00DE57FD"/>
    <w:rsid w:val="00DE5862"/>
    <w:rsid w:val="00DE5922"/>
    <w:rsid w:val="00DE59CA"/>
    <w:rsid w:val="00DE5A41"/>
    <w:rsid w:val="00DE5A8F"/>
    <w:rsid w:val="00DE5A99"/>
    <w:rsid w:val="00DE5AD6"/>
    <w:rsid w:val="00DE5B2B"/>
    <w:rsid w:val="00DE5B91"/>
    <w:rsid w:val="00DE5B99"/>
    <w:rsid w:val="00DE5D12"/>
    <w:rsid w:val="00DE5D93"/>
    <w:rsid w:val="00DE5E1B"/>
    <w:rsid w:val="00DE5EAE"/>
    <w:rsid w:val="00DE5F85"/>
    <w:rsid w:val="00DE5F9A"/>
    <w:rsid w:val="00DE5FCE"/>
    <w:rsid w:val="00DE5FDB"/>
    <w:rsid w:val="00DE5FDD"/>
    <w:rsid w:val="00DE6001"/>
    <w:rsid w:val="00DE608C"/>
    <w:rsid w:val="00DE60DF"/>
    <w:rsid w:val="00DE611E"/>
    <w:rsid w:val="00DE628B"/>
    <w:rsid w:val="00DE62C8"/>
    <w:rsid w:val="00DE62F4"/>
    <w:rsid w:val="00DE635A"/>
    <w:rsid w:val="00DE6378"/>
    <w:rsid w:val="00DE637C"/>
    <w:rsid w:val="00DE6395"/>
    <w:rsid w:val="00DE63A9"/>
    <w:rsid w:val="00DE643F"/>
    <w:rsid w:val="00DE6459"/>
    <w:rsid w:val="00DE6462"/>
    <w:rsid w:val="00DE64BC"/>
    <w:rsid w:val="00DE6535"/>
    <w:rsid w:val="00DE654A"/>
    <w:rsid w:val="00DE66EB"/>
    <w:rsid w:val="00DE6726"/>
    <w:rsid w:val="00DE6756"/>
    <w:rsid w:val="00DE6790"/>
    <w:rsid w:val="00DE67B8"/>
    <w:rsid w:val="00DE67CE"/>
    <w:rsid w:val="00DE67EF"/>
    <w:rsid w:val="00DE67FC"/>
    <w:rsid w:val="00DE681B"/>
    <w:rsid w:val="00DE69CA"/>
    <w:rsid w:val="00DE6A42"/>
    <w:rsid w:val="00DE6A6C"/>
    <w:rsid w:val="00DE6ABA"/>
    <w:rsid w:val="00DE6ADC"/>
    <w:rsid w:val="00DE6BE6"/>
    <w:rsid w:val="00DE6BE7"/>
    <w:rsid w:val="00DE6BF6"/>
    <w:rsid w:val="00DE6C8F"/>
    <w:rsid w:val="00DE6CA5"/>
    <w:rsid w:val="00DE6D0C"/>
    <w:rsid w:val="00DE6D20"/>
    <w:rsid w:val="00DE6D27"/>
    <w:rsid w:val="00DE6DAB"/>
    <w:rsid w:val="00DE6E36"/>
    <w:rsid w:val="00DE6EBD"/>
    <w:rsid w:val="00DE6EC9"/>
    <w:rsid w:val="00DE6F73"/>
    <w:rsid w:val="00DE6F87"/>
    <w:rsid w:val="00DE6FBF"/>
    <w:rsid w:val="00DE7054"/>
    <w:rsid w:val="00DE70E7"/>
    <w:rsid w:val="00DE712F"/>
    <w:rsid w:val="00DE713E"/>
    <w:rsid w:val="00DE7155"/>
    <w:rsid w:val="00DE7167"/>
    <w:rsid w:val="00DE726E"/>
    <w:rsid w:val="00DE72FC"/>
    <w:rsid w:val="00DE735C"/>
    <w:rsid w:val="00DE73BE"/>
    <w:rsid w:val="00DE73DF"/>
    <w:rsid w:val="00DE74E8"/>
    <w:rsid w:val="00DE757C"/>
    <w:rsid w:val="00DE75F7"/>
    <w:rsid w:val="00DE7620"/>
    <w:rsid w:val="00DE76B0"/>
    <w:rsid w:val="00DE76B1"/>
    <w:rsid w:val="00DE7725"/>
    <w:rsid w:val="00DE778F"/>
    <w:rsid w:val="00DE77CE"/>
    <w:rsid w:val="00DE785C"/>
    <w:rsid w:val="00DE78D5"/>
    <w:rsid w:val="00DE78EE"/>
    <w:rsid w:val="00DE7904"/>
    <w:rsid w:val="00DE7980"/>
    <w:rsid w:val="00DE798F"/>
    <w:rsid w:val="00DE79B0"/>
    <w:rsid w:val="00DE79B9"/>
    <w:rsid w:val="00DE7A1A"/>
    <w:rsid w:val="00DE7AE5"/>
    <w:rsid w:val="00DE7B8C"/>
    <w:rsid w:val="00DE7BF6"/>
    <w:rsid w:val="00DE7C0C"/>
    <w:rsid w:val="00DE7C2C"/>
    <w:rsid w:val="00DE7C2F"/>
    <w:rsid w:val="00DE7D19"/>
    <w:rsid w:val="00DE7D25"/>
    <w:rsid w:val="00DE7D3B"/>
    <w:rsid w:val="00DE7E17"/>
    <w:rsid w:val="00DE7E59"/>
    <w:rsid w:val="00DE7F00"/>
    <w:rsid w:val="00DE7F4C"/>
    <w:rsid w:val="00DE7F64"/>
    <w:rsid w:val="00DE7F72"/>
    <w:rsid w:val="00DE7F7F"/>
    <w:rsid w:val="00DE7F81"/>
    <w:rsid w:val="00DE7F84"/>
    <w:rsid w:val="00DF0010"/>
    <w:rsid w:val="00DF005F"/>
    <w:rsid w:val="00DF0065"/>
    <w:rsid w:val="00DF0072"/>
    <w:rsid w:val="00DF00FA"/>
    <w:rsid w:val="00DF0157"/>
    <w:rsid w:val="00DF016E"/>
    <w:rsid w:val="00DF01B9"/>
    <w:rsid w:val="00DF0288"/>
    <w:rsid w:val="00DF03F8"/>
    <w:rsid w:val="00DF043D"/>
    <w:rsid w:val="00DF052B"/>
    <w:rsid w:val="00DF05E0"/>
    <w:rsid w:val="00DF05F4"/>
    <w:rsid w:val="00DF0646"/>
    <w:rsid w:val="00DF065F"/>
    <w:rsid w:val="00DF0671"/>
    <w:rsid w:val="00DF06BC"/>
    <w:rsid w:val="00DF074F"/>
    <w:rsid w:val="00DF07A2"/>
    <w:rsid w:val="00DF07EA"/>
    <w:rsid w:val="00DF08CA"/>
    <w:rsid w:val="00DF0911"/>
    <w:rsid w:val="00DF0947"/>
    <w:rsid w:val="00DF0997"/>
    <w:rsid w:val="00DF09AB"/>
    <w:rsid w:val="00DF0A01"/>
    <w:rsid w:val="00DF0A78"/>
    <w:rsid w:val="00DF0B78"/>
    <w:rsid w:val="00DF0BBB"/>
    <w:rsid w:val="00DF0C2B"/>
    <w:rsid w:val="00DF0C99"/>
    <w:rsid w:val="00DF0CA5"/>
    <w:rsid w:val="00DF0CAD"/>
    <w:rsid w:val="00DF0CD8"/>
    <w:rsid w:val="00DF0CED"/>
    <w:rsid w:val="00DF0D7B"/>
    <w:rsid w:val="00DF0DDA"/>
    <w:rsid w:val="00DF0E21"/>
    <w:rsid w:val="00DF0EE8"/>
    <w:rsid w:val="00DF0F54"/>
    <w:rsid w:val="00DF0F94"/>
    <w:rsid w:val="00DF1009"/>
    <w:rsid w:val="00DF105F"/>
    <w:rsid w:val="00DF1065"/>
    <w:rsid w:val="00DF10C6"/>
    <w:rsid w:val="00DF1156"/>
    <w:rsid w:val="00DF11F4"/>
    <w:rsid w:val="00DF121A"/>
    <w:rsid w:val="00DF1238"/>
    <w:rsid w:val="00DF127B"/>
    <w:rsid w:val="00DF12BC"/>
    <w:rsid w:val="00DF1310"/>
    <w:rsid w:val="00DF137F"/>
    <w:rsid w:val="00DF1387"/>
    <w:rsid w:val="00DF14BB"/>
    <w:rsid w:val="00DF15E2"/>
    <w:rsid w:val="00DF1626"/>
    <w:rsid w:val="00DF1688"/>
    <w:rsid w:val="00DF1690"/>
    <w:rsid w:val="00DF1692"/>
    <w:rsid w:val="00DF16FA"/>
    <w:rsid w:val="00DF1703"/>
    <w:rsid w:val="00DF171C"/>
    <w:rsid w:val="00DF1724"/>
    <w:rsid w:val="00DF17ED"/>
    <w:rsid w:val="00DF1835"/>
    <w:rsid w:val="00DF188F"/>
    <w:rsid w:val="00DF18B3"/>
    <w:rsid w:val="00DF18E7"/>
    <w:rsid w:val="00DF1909"/>
    <w:rsid w:val="00DF193B"/>
    <w:rsid w:val="00DF19A2"/>
    <w:rsid w:val="00DF1A1F"/>
    <w:rsid w:val="00DF1A2A"/>
    <w:rsid w:val="00DF1A42"/>
    <w:rsid w:val="00DF1B76"/>
    <w:rsid w:val="00DF1BC0"/>
    <w:rsid w:val="00DF1C57"/>
    <w:rsid w:val="00DF1CFF"/>
    <w:rsid w:val="00DF1D0E"/>
    <w:rsid w:val="00DF1E0C"/>
    <w:rsid w:val="00DF1E79"/>
    <w:rsid w:val="00DF1EA3"/>
    <w:rsid w:val="00DF1EC8"/>
    <w:rsid w:val="00DF1F00"/>
    <w:rsid w:val="00DF1F8B"/>
    <w:rsid w:val="00DF2038"/>
    <w:rsid w:val="00DF2052"/>
    <w:rsid w:val="00DF2059"/>
    <w:rsid w:val="00DF2087"/>
    <w:rsid w:val="00DF20D6"/>
    <w:rsid w:val="00DF2133"/>
    <w:rsid w:val="00DF21BD"/>
    <w:rsid w:val="00DF21E7"/>
    <w:rsid w:val="00DF2213"/>
    <w:rsid w:val="00DF2226"/>
    <w:rsid w:val="00DF2243"/>
    <w:rsid w:val="00DF2296"/>
    <w:rsid w:val="00DF2299"/>
    <w:rsid w:val="00DF22AF"/>
    <w:rsid w:val="00DF22CE"/>
    <w:rsid w:val="00DF22D7"/>
    <w:rsid w:val="00DF23BF"/>
    <w:rsid w:val="00DF23E3"/>
    <w:rsid w:val="00DF23FB"/>
    <w:rsid w:val="00DF2407"/>
    <w:rsid w:val="00DF2452"/>
    <w:rsid w:val="00DF2493"/>
    <w:rsid w:val="00DF24A4"/>
    <w:rsid w:val="00DF24E2"/>
    <w:rsid w:val="00DF2509"/>
    <w:rsid w:val="00DF25DE"/>
    <w:rsid w:val="00DF25FD"/>
    <w:rsid w:val="00DF27F8"/>
    <w:rsid w:val="00DF27FB"/>
    <w:rsid w:val="00DF288A"/>
    <w:rsid w:val="00DF2910"/>
    <w:rsid w:val="00DF2944"/>
    <w:rsid w:val="00DF2974"/>
    <w:rsid w:val="00DF29E9"/>
    <w:rsid w:val="00DF2A48"/>
    <w:rsid w:val="00DF2B86"/>
    <w:rsid w:val="00DF2C02"/>
    <w:rsid w:val="00DF2C5E"/>
    <w:rsid w:val="00DF2C9A"/>
    <w:rsid w:val="00DF2CAF"/>
    <w:rsid w:val="00DF2D1F"/>
    <w:rsid w:val="00DF2D21"/>
    <w:rsid w:val="00DF2D75"/>
    <w:rsid w:val="00DF2DEE"/>
    <w:rsid w:val="00DF2E19"/>
    <w:rsid w:val="00DF2ED9"/>
    <w:rsid w:val="00DF2FD9"/>
    <w:rsid w:val="00DF301F"/>
    <w:rsid w:val="00DF3140"/>
    <w:rsid w:val="00DF3162"/>
    <w:rsid w:val="00DF31CC"/>
    <w:rsid w:val="00DF31FF"/>
    <w:rsid w:val="00DF3247"/>
    <w:rsid w:val="00DF3308"/>
    <w:rsid w:val="00DF331C"/>
    <w:rsid w:val="00DF336D"/>
    <w:rsid w:val="00DF33B5"/>
    <w:rsid w:val="00DF347F"/>
    <w:rsid w:val="00DF34A5"/>
    <w:rsid w:val="00DF34DB"/>
    <w:rsid w:val="00DF3583"/>
    <w:rsid w:val="00DF3689"/>
    <w:rsid w:val="00DF36DC"/>
    <w:rsid w:val="00DF3708"/>
    <w:rsid w:val="00DF3710"/>
    <w:rsid w:val="00DF37B4"/>
    <w:rsid w:val="00DF37B6"/>
    <w:rsid w:val="00DF37DE"/>
    <w:rsid w:val="00DF37E7"/>
    <w:rsid w:val="00DF37FB"/>
    <w:rsid w:val="00DF381F"/>
    <w:rsid w:val="00DF386C"/>
    <w:rsid w:val="00DF3881"/>
    <w:rsid w:val="00DF38FD"/>
    <w:rsid w:val="00DF395C"/>
    <w:rsid w:val="00DF39B6"/>
    <w:rsid w:val="00DF3A95"/>
    <w:rsid w:val="00DF3ADD"/>
    <w:rsid w:val="00DF3B13"/>
    <w:rsid w:val="00DF3B8C"/>
    <w:rsid w:val="00DF3BC0"/>
    <w:rsid w:val="00DF3BDE"/>
    <w:rsid w:val="00DF3BE2"/>
    <w:rsid w:val="00DF3C21"/>
    <w:rsid w:val="00DF3C60"/>
    <w:rsid w:val="00DF3C71"/>
    <w:rsid w:val="00DF3C78"/>
    <w:rsid w:val="00DF3C95"/>
    <w:rsid w:val="00DF3C9C"/>
    <w:rsid w:val="00DF3D16"/>
    <w:rsid w:val="00DF3D47"/>
    <w:rsid w:val="00DF3D91"/>
    <w:rsid w:val="00DF3DDA"/>
    <w:rsid w:val="00DF3E00"/>
    <w:rsid w:val="00DF3E4D"/>
    <w:rsid w:val="00DF3EB6"/>
    <w:rsid w:val="00DF3EBF"/>
    <w:rsid w:val="00DF3F16"/>
    <w:rsid w:val="00DF3FE3"/>
    <w:rsid w:val="00DF4029"/>
    <w:rsid w:val="00DF4042"/>
    <w:rsid w:val="00DF40A5"/>
    <w:rsid w:val="00DF40F7"/>
    <w:rsid w:val="00DF415B"/>
    <w:rsid w:val="00DF424C"/>
    <w:rsid w:val="00DF4395"/>
    <w:rsid w:val="00DF4432"/>
    <w:rsid w:val="00DF4488"/>
    <w:rsid w:val="00DF4552"/>
    <w:rsid w:val="00DF45CF"/>
    <w:rsid w:val="00DF45EF"/>
    <w:rsid w:val="00DF4613"/>
    <w:rsid w:val="00DF463E"/>
    <w:rsid w:val="00DF4651"/>
    <w:rsid w:val="00DF472C"/>
    <w:rsid w:val="00DF47EB"/>
    <w:rsid w:val="00DF48B9"/>
    <w:rsid w:val="00DF48FB"/>
    <w:rsid w:val="00DF4923"/>
    <w:rsid w:val="00DF498F"/>
    <w:rsid w:val="00DF49BA"/>
    <w:rsid w:val="00DF4AA4"/>
    <w:rsid w:val="00DF4AB8"/>
    <w:rsid w:val="00DF4AC7"/>
    <w:rsid w:val="00DF4ACB"/>
    <w:rsid w:val="00DF4B92"/>
    <w:rsid w:val="00DF4BAD"/>
    <w:rsid w:val="00DF4BFE"/>
    <w:rsid w:val="00DF4C06"/>
    <w:rsid w:val="00DF4C13"/>
    <w:rsid w:val="00DF4C5F"/>
    <w:rsid w:val="00DF4C61"/>
    <w:rsid w:val="00DF4CD0"/>
    <w:rsid w:val="00DF4D24"/>
    <w:rsid w:val="00DF4D51"/>
    <w:rsid w:val="00DF4D7B"/>
    <w:rsid w:val="00DF4F7D"/>
    <w:rsid w:val="00DF4FC4"/>
    <w:rsid w:val="00DF4FFB"/>
    <w:rsid w:val="00DF5044"/>
    <w:rsid w:val="00DF50C8"/>
    <w:rsid w:val="00DF5149"/>
    <w:rsid w:val="00DF51C1"/>
    <w:rsid w:val="00DF51EE"/>
    <w:rsid w:val="00DF51FD"/>
    <w:rsid w:val="00DF530F"/>
    <w:rsid w:val="00DF5340"/>
    <w:rsid w:val="00DF53A2"/>
    <w:rsid w:val="00DF53CE"/>
    <w:rsid w:val="00DF5530"/>
    <w:rsid w:val="00DF5698"/>
    <w:rsid w:val="00DF5772"/>
    <w:rsid w:val="00DF57BF"/>
    <w:rsid w:val="00DF57DC"/>
    <w:rsid w:val="00DF5839"/>
    <w:rsid w:val="00DF5840"/>
    <w:rsid w:val="00DF584A"/>
    <w:rsid w:val="00DF587B"/>
    <w:rsid w:val="00DF58D9"/>
    <w:rsid w:val="00DF58F2"/>
    <w:rsid w:val="00DF5987"/>
    <w:rsid w:val="00DF5A37"/>
    <w:rsid w:val="00DF5A6B"/>
    <w:rsid w:val="00DF5A6E"/>
    <w:rsid w:val="00DF5A84"/>
    <w:rsid w:val="00DF5A8D"/>
    <w:rsid w:val="00DF5B1D"/>
    <w:rsid w:val="00DF5B23"/>
    <w:rsid w:val="00DF5C22"/>
    <w:rsid w:val="00DF5C8A"/>
    <w:rsid w:val="00DF5C9B"/>
    <w:rsid w:val="00DF5CB0"/>
    <w:rsid w:val="00DF5CF8"/>
    <w:rsid w:val="00DF5D1B"/>
    <w:rsid w:val="00DF5D3C"/>
    <w:rsid w:val="00DF5D73"/>
    <w:rsid w:val="00DF5DFE"/>
    <w:rsid w:val="00DF5E7F"/>
    <w:rsid w:val="00DF5EA7"/>
    <w:rsid w:val="00DF5EDB"/>
    <w:rsid w:val="00DF5F1A"/>
    <w:rsid w:val="00DF5F42"/>
    <w:rsid w:val="00DF5F82"/>
    <w:rsid w:val="00DF5F88"/>
    <w:rsid w:val="00DF5FAD"/>
    <w:rsid w:val="00DF5FC3"/>
    <w:rsid w:val="00DF5FFE"/>
    <w:rsid w:val="00DF602B"/>
    <w:rsid w:val="00DF603F"/>
    <w:rsid w:val="00DF6083"/>
    <w:rsid w:val="00DF609F"/>
    <w:rsid w:val="00DF610F"/>
    <w:rsid w:val="00DF6112"/>
    <w:rsid w:val="00DF6144"/>
    <w:rsid w:val="00DF6189"/>
    <w:rsid w:val="00DF61FD"/>
    <w:rsid w:val="00DF61FF"/>
    <w:rsid w:val="00DF6246"/>
    <w:rsid w:val="00DF62C3"/>
    <w:rsid w:val="00DF62CD"/>
    <w:rsid w:val="00DF636F"/>
    <w:rsid w:val="00DF63DD"/>
    <w:rsid w:val="00DF63F8"/>
    <w:rsid w:val="00DF643F"/>
    <w:rsid w:val="00DF648A"/>
    <w:rsid w:val="00DF6545"/>
    <w:rsid w:val="00DF656D"/>
    <w:rsid w:val="00DF661D"/>
    <w:rsid w:val="00DF66C7"/>
    <w:rsid w:val="00DF6708"/>
    <w:rsid w:val="00DF677F"/>
    <w:rsid w:val="00DF67FC"/>
    <w:rsid w:val="00DF6814"/>
    <w:rsid w:val="00DF681B"/>
    <w:rsid w:val="00DF6869"/>
    <w:rsid w:val="00DF68F5"/>
    <w:rsid w:val="00DF69AB"/>
    <w:rsid w:val="00DF6A00"/>
    <w:rsid w:val="00DF6A1E"/>
    <w:rsid w:val="00DF6A51"/>
    <w:rsid w:val="00DF6A5E"/>
    <w:rsid w:val="00DF6A95"/>
    <w:rsid w:val="00DF6AAA"/>
    <w:rsid w:val="00DF6B5A"/>
    <w:rsid w:val="00DF6B75"/>
    <w:rsid w:val="00DF6B76"/>
    <w:rsid w:val="00DF6BCF"/>
    <w:rsid w:val="00DF6BED"/>
    <w:rsid w:val="00DF6C84"/>
    <w:rsid w:val="00DF6CC5"/>
    <w:rsid w:val="00DF6CDD"/>
    <w:rsid w:val="00DF6D84"/>
    <w:rsid w:val="00DF6E40"/>
    <w:rsid w:val="00DF6F29"/>
    <w:rsid w:val="00DF6F3E"/>
    <w:rsid w:val="00DF6FAD"/>
    <w:rsid w:val="00DF6FC1"/>
    <w:rsid w:val="00DF700B"/>
    <w:rsid w:val="00DF7038"/>
    <w:rsid w:val="00DF70B7"/>
    <w:rsid w:val="00DF71B6"/>
    <w:rsid w:val="00DF7252"/>
    <w:rsid w:val="00DF7259"/>
    <w:rsid w:val="00DF727F"/>
    <w:rsid w:val="00DF72E1"/>
    <w:rsid w:val="00DF7315"/>
    <w:rsid w:val="00DF736A"/>
    <w:rsid w:val="00DF748D"/>
    <w:rsid w:val="00DF74F7"/>
    <w:rsid w:val="00DF7663"/>
    <w:rsid w:val="00DF7665"/>
    <w:rsid w:val="00DF7689"/>
    <w:rsid w:val="00DF768E"/>
    <w:rsid w:val="00DF76E9"/>
    <w:rsid w:val="00DF7709"/>
    <w:rsid w:val="00DF77A5"/>
    <w:rsid w:val="00DF780F"/>
    <w:rsid w:val="00DF78DA"/>
    <w:rsid w:val="00DF79B5"/>
    <w:rsid w:val="00DF7AB5"/>
    <w:rsid w:val="00DF7ADB"/>
    <w:rsid w:val="00DF7AFF"/>
    <w:rsid w:val="00DF7B69"/>
    <w:rsid w:val="00DF7C1B"/>
    <w:rsid w:val="00DF7C27"/>
    <w:rsid w:val="00DF7C30"/>
    <w:rsid w:val="00DF7CB3"/>
    <w:rsid w:val="00DF7D0B"/>
    <w:rsid w:val="00DF7D22"/>
    <w:rsid w:val="00DF7D32"/>
    <w:rsid w:val="00DF7D90"/>
    <w:rsid w:val="00DF7DE2"/>
    <w:rsid w:val="00DF7E07"/>
    <w:rsid w:val="00DF7E65"/>
    <w:rsid w:val="00DF7EC1"/>
    <w:rsid w:val="00DF7F04"/>
    <w:rsid w:val="00DF7FA2"/>
    <w:rsid w:val="00DF7FA8"/>
    <w:rsid w:val="00DF7FA9"/>
    <w:rsid w:val="00DF7FAD"/>
    <w:rsid w:val="00DF7FFD"/>
    <w:rsid w:val="00E00024"/>
    <w:rsid w:val="00E00070"/>
    <w:rsid w:val="00E0012B"/>
    <w:rsid w:val="00E00172"/>
    <w:rsid w:val="00E00210"/>
    <w:rsid w:val="00E00247"/>
    <w:rsid w:val="00E00283"/>
    <w:rsid w:val="00E002A4"/>
    <w:rsid w:val="00E002A9"/>
    <w:rsid w:val="00E00366"/>
    <w:rsid w:val="00E003CB"/>
    <w:rsid w:val="00E003D7"/>
    <w:rsid w:val="00E003EC"/>
    <w:rsid w:val="00E003FC"/>
    <w:rsid w:val="00E00461"/>
    <w:rsid w:val="00E004EB"/>
    <w:rsid w:val="00E00523"/>
    <w:rsid w:val="00E005F4"/>
    <w:rsid w:val="00E00695"/>
    <w:rsid w:val="00E006A5"/>
    <w:rsid w:val="00E006B0"/>
    <w:rsid w:val="00E006F6"/>
    <w:rsid w:val="00E0074F"/>
    <w:rsid w:val="00E0075C"/>
    <w:rsid w:val="00E007B3"/>
    <w:rsid w:val="00E007B4"/>
    <w:rsid w:val="00E007F0"/>
    <w:rsid w:val="00E0084B"/>
    <w:rsid w:val="00E00853"/>
    <w:rsid w:val="00E0089C"/>
    <w:rsid w:val="00E008A3"/>
    <w:rsid w:val="00E00988"/>
    <w:rsid w:val="00E009AC"/>
    <w:rsid w:val="00E00A02"/>
    <w:rsid w:val="00E00A38"/>
    <w:rsid w:val="00E00AF4"/>
    <w:rsid w:val="00E00B45"/>
    <w:rsid w:val="00E00C25"/>
    <w:rsid w:val="00E00CB3"/>
    <w:rsid w:val="00E00D98"/>
    <w:rsid w:val="00E00DE0"/>
    <w:rsid w:val="00E00E36"/>
    <w:rsid w:val="00E00E98"/>
    <w:rsid w:val="00E00EFC"/>
    <w:rsid w:val="00E00F38"/>
    <w:rsid w:val="00E00F8F"/>
    <w:rsid w:val="00E00FAC"/>
    <w:rsid w:val="00E0101C"/>
    <w:rsid w:val="00E01039"/>
    <w:rsid w:val="00E01071"/>
    <w:rsid w:val="00E01132"/>
    <w:rsid w:val="00E011A6"/>
    <w:rsid w:val="00E011B8"/>
    <w:rsid w:val="00E011BB"/>
    <w:rsid w:val="00E011CC"/>
    <w:rsid w:val="00E011F9"/>
    <w:rsid w:val="00E011FF"/>
    <w:rsid w:val="00E0127F"/>
    <w:rsid w:val="00E012BF"/>
    <w:rsid w:val="00E01350"/>
    <w:rsid w:val="00E01381"/>
    <w:rsid w:val="00E013B5"/>
    <w:rsid w:val="00E01445"/>
    <w:rsid w:val="00E0149D"/>
    <w:rsid w:val="00E014B2"/>
    <w:rsid w:val="00E014D4"/>
    <w:rsid w:val="00E014DB"/>
    <w:rsid w:val="00E0150C"/>
    <w:rsid w:val="00E01682"/>
    <w:rsid w:val="00E01739"/>
    <w:rsid w:val="00E0176B"/>
    <w:rsid w:val="00E01786"/>
    <w:rsid w:val="00E017D8"/>
    <w:rsid w:val="00E01886"/>
    <w:rsid w:val="00E018CB"/>
    <w:rsid w:val="00E01907"/>
    <w:rsid w:val="00E01913"/>
    <w:rsid w:val="00E01915"/>
    <w:rsid w:val="00E0192D"/>
    <w:rsid w:val="00E01A1F"/>
    <w:rsid w:val="00E01A71"/>
    <w:rsid w:val="00E01B52"/>
    <w:rsid w:val="00E01B87"/>
    <w:rsid w:val="00E01B99"/>
    <w:rsid w:val="00E01D9A"/>
    <w:rsid w:val="00E01E17"/>
    <w:rsid w:val="00E01E4A"/>
    <w:rsid w:val="00E01E58"/>
    <w:rsid w:val="00E01F24"/>
    <w:rsid w:val="00E01F25"/>
    <w:rsid w:val="00E01F2A"/>
    <w:rsid w:val="00E01F4C"/>
    <w:rsid w:val="00E01F67"/>
    <w:rsid w:val="00E01F75"/>
    <w:rsid w:val="00E02061"/>
    <w:rsid w:val="00E020A5"/>
    <w:rsid w:val="00E020B1"/>
    <w:rsid w:val="00E020D3"/>
    <w:rsid w:val="00E02122"/>
    <w:rsid w:val="00E0214D"/>
    <w:rsid w:val="00E0215C"/>
    <w:rsid w:val="00E02163"/>
    <w:rsid w:val="00E021A6"/>
    <w:rsid w:val="00E021D7"/>
    <w:rsid w:val="00E02292"/>
    <w:rsid w:val="00E022BF"/>
    <w:rsid w:val="00E0235E"/>
    <w:rsid w:val="00E023AF"/>
    <w:rsid w:val="00E023C0"/>
    <w:rsid w:val="00E02433"/>
    <w:rsid w:val="00E02468"/>
    <w:rsid w:val="00E02509"/>
    <w:rsid w:val="00E02528"/>
    <w:rsid w:val="00E0261E"/>
    <w:rsid w:val="00E026DF"/>
    <w:rsid w:val="00E026E0"/>
    <w:rsid w:val="00E026FA"/>
    <w:rsid w:val="00E02737"/>
    <w:rsid w:val="00E02799"/>
    <w:rsid w:val="00E027B1"/>
    <w:rsid w:val="00E02813"/>
    <w:rsid w:val="00E02876"/>
    <w:rsid w:val="00E0287E"/>
    <w:rsid w:val="00E02956"/>
    <w:rsid w:val="00E02987"/>
    <w:rsid w:val="00E029B8"/>
    <w:rsid w:val="00E029F5"/>
    <w:rsid w:val="00E02B40"/>
    <w:rsid w:val="00E02B46"/>
    <w:rsid w:val="00E02B63"/>
    <w:rsid w:val="00E02B73"/>
    <w:rsid w:val="00E02C0E"/>
    <w:rsid w:val="00E02C22"/>
    <w:rsid w:val="00E02C5E"/>
    <w:rsid w:val="00E02CB8"/>
    <w:rsid w:val="00E02CD7"/>
    <w:rsid w:val="00E02D00"/>
    <w:rsid w:val="00E02D58"/>
    <w:rsid w:val="00E02DE2"/>
    <w:rsid w:val="00E02DEB"/>
    <w:rsid w:val="00E02E98"/>
    <w:rsid w:val="00E02ECC"/>
    <w:rsid w:val="00E02F09"/>
    <w:rsid w:val="00E02F14"/>
    <w:rsid w:val="00E02F15"/>
    <w:rsid w:val="00E02F87"/>
    <w:rsid w:val="00E02FC5"/>
    <w:rsid w:val="00E030D2"/>
    <w:rsid w:val="00E03137"/>
    <w:rsid w:val="00E03181"/>
    <w:rsid w:val="00E0318C"/>
    <w:rsid w:val="00E0318F"/>
    <w:rsid w:val="00E032DF"/>
    <w:rsid w:val="00E032EE"/>
    <w:rsid w:val="00E032F0"/>
    <w:rsid w:val="00E033CC"/>
    <w:rsid w:val="00E0343D"/>
    <w:rsid w:val="00E03453"/>
    <w:rsid w:val="00E034F8"/>
    <w:rsid w:val="00E0353B"/>
    <w:rsid w:val="00E03555"/>
    <w:rsid w:val="00E03586"/>
    <w:rsid w:val="00E035AB"/>
    <w:rsid w:val="00E035B8"/>
    <w:rsid w:val="00E0360F"/>
    <w:rsid w:val="00E03684"/>
    <w:rsid w:val="00E0369E"/>
    <w:rsid w:val="00E0369F"/>
    <w:rsid w:val="00E036AA"/>
    <w:rsid w:val="00E036C8"/>
    <w:rsid w:val="00E03722"/>
    <w:rsid w:val="00E037A6"/>
    <w:rsid w:val="00E037FA"/>
    <w:rsid w:val="00E037FD"/>
    <w:rsid w:val="00E0383A"/>
    <w:rsid w:val="00E0389B"/>
    <w:rsid w:val="00E03902"/>
    <w:rsid w:val="00E03995"/>
    <w:rsid w:val="00E03A65"/>
    <w:rsid w:val="00E03AEA"/>
    <w:rsid w:val="00E03AFD"/>
    <w:rsid w:val="00E03B29"/>
    <w:rsid w:val="00E03B42"/>
    <w:rsid w:val="00E03B89"/>
    <w:rsid w:val="00E03BA2"/>
    <w:rsid w:val="00E03C11"/>
    <w:rsid w:val="00E03C35"/>
    <w:rsid w:val="00E03C9C"/>
    <w:rsid w:val="00E03CEE"/>
    <w:rsid w:val="00E03E01"/>
    <w:rsid w:val="00E03EF0"/>
    <w:rsid w:val="00E03F64"/>
    <w:rsid w:val="00E03FB7"/>
    <w:rsid w:val="00E04025"/>
    <w:rsid w:val="00E04045"/>
    <w:rsid w:val="00E04062"/>
    <w:rsid w:val="00E04106"/>
    <w:rsid w:val="00E04173"/>
    <w:rsid w:val="00E04222"/>
    <w:rsid w:val="00E04285"/>
    <w:rsid w:val="00E0437E"/>
    <w:rsid w:val="00E043F8"/>
    <w:rsid w:val="00E04402"/>
    <w:rsid w:val="00E0441D"/>
    <w:rsid w:val="00E04442"/>
    <w:rsid w:val="00E04469"/>
    <w:rsid w:val="00E044CB"/>
    <w:rsid w:val="00E04539"/>
    <w:rsid w:val="00E045B5"/>
    <w:rsid w:val="00E045C6"/>
    <w:rsid w:val="00E045EE"/>
    <w:rsid w:val="00E0461B"/>
    <w:rsid w:val="00E0462A"/>
    <w:rsid w:val="00E0463E"/>
    <w:rsid w:val="00E04665"/>
    <w:rsid w:val="00E046D1"/>
    <w:rsid w:val="00E047A4"/>
    <w:rsid w:val="00E047C3"/>
    <w:rsid w:val="00E04845"/>
    <w:rsid w:val="00E04862"/>
    <w:rsid w:val="00E0489D"/>
    <w:rsid w:val="00E04900"/>
    <w:rsid w:val="00E04912"/>
    <w:rsid w:val="00E04972"/>
    <w:rsid w:val="00E04AB3"/>
    <w:rsid w:val="00E04AE6"/>
    <w:rsid w:val="00E04B30"/>
    <w:rsid w:val="00E04BE2"/>
    <w:rsid w:val="00E04C3A"/>
    <w:rsid w:val="00E04C72"/>
    <w:rsid w:val="00E04C8A"/>
    <w:rsid w:val="00E04CBC"/>
    <w:rsid w:val="00E04CE3"/>
    <w:rsid w:val="00E04D70"/>
    <w:rsid w:val="00E04D7C"/>
    <w:rsid w:val="00E04E64"/>
    <w:rsid w:val="00E04EB8"/>
    <w:rsid w:val="00E04F8A"/>
    <w:rsid w:val="00E04FF0"/>
    <w:rsid w:val="00E05079"/>
    <w:rsid w:val="00E0510C"/>
    <w:rsid w:val="00E05124"/>
    <w:rsid w:val="00E0515C"/>
    <w:rsid w:val="00E05179"/>
    <w:rsid w:val="00E0527B"/>
    <w:rsid w:val="00E05283"/>
    <w:rsid w:val="00E0528E"/>
    <w:rsid w:val="00E05382"/>
    <w:rsid w:val="00E053CD"/>
    <w:rsid w:val="00E053CF"/>
    <w:rsid w:val="00E0541F"/>
    <w:rsid w:val="00E054A7"/>
    <w:rsid w:val="00E054EE"/>
    <w:rsid w:val="00E05553"/>
    <w:rsid w:val="00E05623"/>
    <w:rsid w:val="00E0562D"/>
    <w:rsid w:val="00E0574E"/>
    <w:rsid w:val="00E05784"/>
    <w:rsid w:val="00E05918"/>
    <w:rsid w:val="00E059BB"/>
    <w:rsid w:val="00E059CB"/>
    <w:rsid w:val="00E05A3A"/>
    <w:rsid w:val="00E05ADC"/>
    <w:rsid w:val="00E05AFE"/>
    <w:rsid w:val="00E05B23"/>
    <w:rsid w:val="00E05B2C"/>
    <w:rsid w:val="00E05B3C"/>
    <w:rsid w:val="00E05B5B"/>
    <w:rsid w:val="00E05C5D"/>
    <w:rsid w:val="00E05C9A"/>
    <w:rsid w:val="00E05CA7"/>
    <w:rsid w:val="00E05CE5"/>
    <w:rsid w:val="00E05D31"/>
    <w:rsid w:val="00E05D69"/>
    <w:rsid w:val="00E05E55"/>
    <w:rsid w:val="00E05E7C"/>
    <w:rsid w:val="00E05E86"/>
    <w:rsid w:val="00E05EB0"/>
    <w:rsid w:val="00E05F35"/>
    <w:rsid w:val="00E05F3A"/>
    <w:rsid w:val="00E06073"/>
    <w:rsid w:val="00E060B3"/>
    <w:rsid w:val="00E0611C"/>
    <w:rsid w:val="00E0616D"/>
    <w:rsid w:val="00E0623D"/>
    <w:rsid w:val="00E06289"/>
    <w:rsid w:val="00E0630E"/>
    <w:rsid w:val="00E0639A"/>
    <w:rsid w:val="00E063CE"/>
    <w:rsid w:val="00E063DF"/>
    <w:rsid w:val="00E063FD"/>
    <w:rsid w:val="00E0647E"/>
    <w:rsid w:val="00E0653A"/>
    <w:rsid w:val="00E0657B"/>
    <w:rsid w:val="00E065A6"/>
    <w:rsid w:val="00E06631"/>
    <w:rsid w:val="00E0664B"/>
    <w:rsid w:val="00E06679"/>
    <w:rsid w:val="00E06687"/>
    <w:rsid w:val="00E0669C"/>
    <w:rsid w:val="00E06747"/>
    <w:rsid w:val="00E067FC"/>
    <w:rsid w:val="00E06822"/>
    <w:rsid w:val="00E0687C"/>
    <w:rsid w:val="00E068BF"/>
    <w:rsid w:val="00E068C2"/>
    <w:rsid w:val="00E068E7"/>
    <w:rsid w:val="00E06904"/>
    <w:rsid w:val="00E0690E"/>
    <w:rsid w:val="00E06A33"/>
    <w:rsid w:val="00E06AF7"/>
    <w:rsid w:val="00E06B00"/>
    <w:rsid w:val="00E06BD0"/>
    <w:rsid w:val="00E06CFE"/>
    <w:rsid w:val="00E06DE2"/>
    <w:rsid w:val="00E06E7C"/>
    <w:rsid w:val="00E06E91"/>
    <w:rsid w:val="00E06EB1"/>
    <w:rsid w:val="00E06EBB"/>
    <w:rsid w:val="00E06F5F"/>
    <w:rsid w:val="00E06F71"/>
    <w:rsid w:val="00E06FA8"/>
    <w:rsid w:val="00E06FBF"/>
    <w:rsid w:val="00E06FF5"/>
    <w:rsid w:val="00E07008"/>
    <w:rsid w:val="00E0701C"/>
    <w:rsid w:val="00E07022"/>
    <w:rsid w:val="00E0705E"/>
    <w:rsid w:val="00E0709E"/>
    <w:rsid w:val="00E070FC"/>
    <w:rsid w:val="00E0714C"/>
    <w:rsid w:val="00E07166"/>
    <w:rsid w:val="00E071CE"/>
    <w:rsid w:val="00E0725C"/>
    <w:rsid w:val="00E07335"/>
    <w:rsid w:val="00E0733A"/>
    <w:rsid w:val="00E0741F"/>
    <w:rsid w:val="00E0748E"/>
    <w:rsid w:val="00E074A8"/>
    <w:rsid w:val="00E074CC"/>
    <w:rsid w:val="00E07517"/>
    <w:rsid w:val="00E07518"/>
    <w:rsid w:val="00E07522"/>
    <w:rsid w:val="00E075C8"/>
    <w:rsid w:val="00E075D9"/>
    <w:rsid w:val="00E075F2"/>
    <w:rsid w:val="00E0765A"/>
    <w:rsid w:val="00E0779A"/>
    <w:rsid w:val="00E077A6"/>
    <w:rsid w:val="00E079A8"/>
    <w:rsid w:val="00E079C2"/>
    <w:rsid w:val="00E07B13"/>
    <w:rsid w:val="00E07B19"/>
    <w:rsid w:val="00E07B87"/>
    <w:rsid w:val="00E07B90"/>
    <w:rsid w:val="00E07BE4"/>
    <w:rsid w:val="00E07BF4"/>
    <w:rsid w:val="00E07C3A"/>
    <w:rsid w:val="00E07C46"/>
    <w:rsid w:val="00E07C56"/>
    <w:rsid w:val="00E07D53"/>
    <w:rsid w:val="00E07D74"/>
    <w:rsid w:val="00E07DB9"/>
    <w:rsid w:val="00E07E6F"/>
    <w:rsid w:val="00E07E81"/>
    <w:rsid w:val="00E07E9E"/>
    <w:rsid w:val="00E07EDF"/>
    <w:rsid w:val="00E07F3D"/>
    <w:rsid w:val="00E07F3F"/>
    <w:rsid w:val="00E10023"/>
    <w:rsid w:val="00E100AE"/>
    <w:rsid w:val="00E10118"/>
    <w:rsid w:val="00E10154"/>
    <w:rsid w:val="00E10190"/>
    <w:rsid w:val="00E1019C"/>
    <w:rsid w:val="00E10264"/>
    <w:rsid w:val="00E10429"/>
    <w:rsid w:val="00E1050B"/>
    <w:rsid w:val="00E1051B"/>
    <w:rsid w:val="00E10545"/>
    <w:rsid w:val="00E10577"/>
    <w:rsid w:val="00E10599"/>
    <w:rsid w:val="00E105E3"/>
    <w:rsid w:val="00E1063F"/>
    <w:rsid w:val="00E1068D"/>
    <w:rsid w:val="00E10699"/>
    <w:rsid w:val="00E1070C"/>
    <w:rsid w:val="00E10734"/>
    <w:rsid w:val="00E10785"/>
    <w:rsid w:val="00E107C8"/>
    <w:rsid w:val="00E107D0"/>
    <w:rsid w:val="00E10887"/>
    <w:rsid w:val="00E108C5"/>
    <w:rsid w:val="00E1092F"/>
    <w:rsid w:val="00E109DC"/>
    <w:rsid w:val="00E109E4"/>
    <w:rsid w:val="00E109F8"/>
    <w:rsid w:val="00E10A41"/>
    <w:rsid w:val="00E10AA4"/>
    <w:rsid w:val="00E10AC4"/>
    <w:rsid w:val="00E10B32"/>
    <w:rsid w:val="00E10B72"/>
    <w:rsid w:val="00E10B75"/>
    <w:rsid w:val="00E10B8D"/>
    <w:rsid w:val="00E10D14"/>
    <w:rsid w:val="00E10D7F"/>
    <w:rsid w:val="00E10DA7"/>
    <w:rsid w:val="00E10DCC"/>
    <w:rsid w:val="00E10DD6"/>
    <w:rsid w:val="00E10DF3"/>
    <w:rsid w:val="00E10E56"/>
    <w:rsid w:val="00E10F13"/>
    <w:rsid w:val="00E10F33"/>
    <w:rsid w:val="00E10F9A"/>
    <w:rsid w:val="00E11091"/>
    <w:rsid w:val="00E11095"/>
    <w:rsid w:val="00E110BF"/>
    <w:rsid w:val="00E110C4"/>
    <w:rsid w:val="00E110F7"/>
    <w:rsid w:val="00E1112D"/>
    <w:rsid w:val="00E11179"/>
    <w:rsid w:val="00E111A8"/>
    <w:rsid w:val="00E11200"/>
    <w:rsid w:val="00E11206"/>
    <w:rsid w:val="00E1122F"/>
    <w:rsid w:val="00E11233"/>
    <w:rsid w:val="00E11287"/>
    <w:rsid w:val="00E112A9"/>
    <w:rsid w:val="00E112B6"/>
    <w:rsid w:val="00E1131B"/>
    <w:rsid w:val="00E1139A"/>
    <w:rsid w:val="00E113A3"/>
    <w:rsid w:val="00E11424"/>
    <w:rsid w:val="00E1151C"/>
    <w:rsid w:val="00E1152E"/>
    <w:rsid w:val="00E1155B"/>
    <w:rsid w:val="00E115C9"/>
    <w:rsid w:val="00E11756"/>
    <w:rsid w:val="00E1175C"/>
    <w:rsid w:val="00E11777"/>
    <w:rsid w:val="00E117A4"/>
    <w:rsid w:val="00E1180D"/>
    <w:rsid w:val="00E11833"/>
    <w:rsid w:val="00E118A3"/>
    <w:rsid w:val="00E118C4"/>
    <w:rsid w:val="00E11940"/>
    <w:rsid w:val="00E119BE"/>
    <w:rsid w:val="00E119FB"/>
    <w:rsid w:val="00E11A20"/>
    <w:rsid w:val="00E11ABE"/>
    <w:rsid w:val="00E11B33"/>
    <w:rsid w:val="00E11B55"/>
    <w:rsid w:val="00E11BAF"/>
    <w:rsid w:val="00E11BD4"/>
    <w:rsid w:val="00E11C46"/>
    <w:rsid w:val="00E11CB8"/>
    <w:rsid w:val="00E11CC2"/>
    <w:rsid w:val="00E11D01"/>
    <w:rsid w:val="00E11D3A"/>
    <w:rsid w:val="00E11E01"/>
    <w:rsid w:val="00E11E83"/>
    <w:rsid w:val="00E11E92"/>
    <w:rsid w:val="00E11EBD"/>
    <w:rsid w:val="00E11F09"/>
    <w:rsid w:val="00E11F0B"/>
    <w:rsid w:val="00E11F97"/>
    <w:rsid w:val="00E11FF7"/>
    <w:rsid w:val="00E12026"/>
    <w:rsid w:val="00E1203E"/>
    <w:rsid w:val="00E12094"/>
    <w:rsid w:val="00E120AB"/>
    <w:rsid w:val="00E12133"/>
    <w:rsid w:val="00E12161"/>
    <w:rsid w:val="00E121B3"/>
    <w:rsid w:val="00E121EC"/>
    <w:rsid w:val="00E1220A"/>
    <w:rsid w:val="00E1221E"/>
    <w:rsid w:val="00E1224B"/>
    <w:rsid w:val="00E12373"/>
    <w:rsid w:val="00E123A7"/>
    <w:rsid w:val="00E123DC"/>
    <w:rsid w:val="00E123F0"/>
    <w:rsid w:val="00E1241C"/>
    <w:rsid w:val="00E1244E"/>
    <w:rsid w:val="00E1247B"/>
    <w:rsid w:val="00E124BA"/>
    <w:rsid w:val="00E124E7"/>
    <w:rsid w:val="00E12542"/>
    <w:rsid w:val="00E12595"/>
    <w:rsid w:val="00E1260D"/>
    <w:rsid w:val="00E1263E"/>
    <w:rsid w:val="00E126C9"/>
    <w:rsid w:val="00E12759"/>
    <w:rsid w:val="00E12795"/>
    <w:rsid w:val="00E12827"/>
    <w:rsid w:val="00E12888"/>
    <w:rsid w:val="00E12958"/>
    <w:rsid w:val="00E129BC"/>
    <w:rsid w:val="00E129CB"/>
    <w:rsid w:val="00E129CF"/>
    <w:rsid w:val="00E129D9"/>
    <w:rsid w:val="00E129F0"/>
    <w:rsid w:val="00E12A36"/>
    <w:rsid w:val="00E12A4B"/>
    <w:rsid w:val="00E12A6C"/>
    <w:rsid w:val="00E12AA2"/>
    <w:rsid w:val="00E12B8D"/>
    <w:rsid w:val="00E12C65"/>
    <w:rsid w:val="00E12CD6"/>
    <w:rsid w:val="00E12D0F"/>
    <w:rsid w:val="00E12D11"/>
    <w:rsid w:val="00E12D52"/>
    <w:rsid w:val="00E12E20"/>
    <w:rsid w:val="00E12E65"/>
    <w:rsid w:val="00E12E9A"/>
    <w:rsid w:val="00E12EE2"/>
    <w:rsid w:val="00E12F31"/>
    <w:rsid w:val="00E12F70"/>
    <w:rsid w:val="00E13021"/>
    <w:rsid w:val="00E130B9"/>
    <w:rsid w:val="00E130F1"/>
    <w:rsid w:val="00E1312B"/>
    <w:rsid w:val="00E13146"/>
    <w:rsid w:val="00E13196"/>
    <w:rsid w:val="00E13287"/>
    <w:rsid w:val="00E1330D"/>
    <w:rsid w:val="00E13325"/>
    <w:rsid w:val="00E133A2"/>
    <w:rsid w:val="00E13410"/>
    <w:rsid w:val="00E13428"/>
    <w:rsid w:val="00E13488"/>
    <w:rsid w:val="00E1359D"/>
    <w:rsid w:val="00E136DD"/>
    <w:rsid w:val="00E13761"/>
    <w:rsid w:val="00E137DF"/>
    <w:rsid w:val="00E138A9"/>
    <w:rsid w:val="00E138CE"/>
    <w:rsid w:val="00E138FB"/>
    <w:rsid w:val="00E139C9"/>
    <w:rsid w:val="00E13A22"/>
    <w:rsid w:val="00E13AEB"/>
    <w:rsid w:val="00E13BA2"/>
    <w:rsid w:val="00E13BA4"/>
    <w:rsid w:val="00E13C0B"/>
    <w:rsid w:val="00E13C1F"/>
    <w:rsid w:val="00E13C3D"/>
    <w:rsid w:val="00E13D0D"/>
    <w:rsid w:val="00E13D80"/>
    <w:rsid w:val="00E13E64"/>
    <w:rsid w:val="00E13E97"/>
    <w:rsid w:val="00E13F29"/>
    <w:rsid w:val="00E13F31"/>
    <w:rsid w:val="00E13FAC"/>
    <w:rsid w:val="00E14066"/>
    <w:rsid w:val="00E140B6"/>
    <w:rsid w:val="00E14145"/>
    <w:rsid w:val="00E1415A"/>
    <w:rsid w:val="00E14173"/>
    <w:rsid w:val="00E14183"/>
    <w:rsid w:val="00E14196"/>
    <w:rsid w:val="00E141C4"/>
    <w:rsid w:val="00E141FC"/>
    <w:rsid w:val="00E14216"/>
    <w:rsid w:val="00E1431B"/>
    <w:rsid w:val="00E14378"/>
    <w:rsid w:val="00E14405"/>
    <w:rsid w:val="00E1441E"/>
    <w:rsid w:val="00E1447E"/>
    <w:rsid w:val="00E1448A"/>
    <w:rsid w:val="00E144C2"/>
    <w:rsid w:val="00E144F7"/>
    <w:rsid w:val="00E14500"/>
    <w:rsid w:val="00E1452F"/>
    <w:rsid w:val="00E1466A"/>
    <w:rsid w:val="00E147C3"/>
    <w:rsid w:val="00E1486C"/>
    <w:rsid w:val="00E14906"/>
    <w:rsid w:val="00E14914"/>
    <w:rsid w:val="00E14957"/>
    <w:rsid w:val="00E1497D"/>
    <w:rsid w:val="00E14989"/>
    <w:rsid w:val="00E149C4"/>
    <w:rsid w:val="00E149C8"/>
    <w:rsid w:val="00E149F2"/>
    <w:rsid w:val="00E14A2A"/>
    <w:rsid w:val="00E14A35"/>
    <w:rsid w:val="00E14A91"/>
    <w:rsid w:val="00E14BC4"/>
    <w:rsid w:val="00E14BE6"/>
    <w:rsid w:val="00E14C1F"/>
    <w:rsid w:val="00E14C8C"/>
    <w:rsid w:val="00E14CAE"/>
    <w:rsid w:val="00E14CBB"/>
    <w:rsid w:val="00E14DAF"/>
    <w:rsid w:val="00E14EB9"/>
    <w:rsid w:val="00E14F0B"/>
    <w:rsid w:val="00E14F89"/>
    <w:rsid w:val="00E1502C"/>
    <w:rsid w:val="00E15045"/>
    <w:rsid w:val="00E15098"/>
    <w:rsid w:val="00E1509D"/>
    <w:rsid w:val="00E150B1"/>
    <w:rsid w:val="00E1511B"/>
    <w:rsid w:val="00E1518F"/>
    <w:rsid w:val="00E151D3"/>
    <w:rsid w:val="00E151DE"/>
    <w:rsid w:val="00E152EA"/>
    <w:rsid w:val="00E15321"/>
    <w:rsid w:val="00E15334"/>
    <w:rsid w:val="00E154F2"/>
    <w:rsid w:val="00E15568"/>
    <w:rsid w:val="00E155D3"/>
    <w:rsid w:val="00E15636"/>
    <w:rsid w:val="00E156C2"/>
    <w:rsid w:val="00E157ED"/>
    <w:rsid w:val="00E1589C"/>
    <w:rsid w:val="00E158B6"/>
    <w:rsid w:val="00E1598E"/>
    <w:rsid w:val="00E15A98"/>
    <w:rsid w:val="00E15AB1"/>
    <w:rsid w:val="00E15B07"/>
    <w:rsid w:val="00E15B9B"/>
    <w:rsid w:val="00E15C00"/>
    <w:rsid w:val="00E15D47"/>
    <w:rsid w:val="00E15E86"/>
    <w:rsid w:val="00E15EB0"/>
    <w:rsid w:val="00E15EBF"/>
    <w:rsid w:val="00E15EC9"/>
    <w:rsid w:val="00E15EDB"/>
    <w:rsid w:val="00E15F66"/>
    <w:rsid w:val="00E15FEF"/>
    <w:rsid w:val="00E160B5"/>
    <w:rsid w:val="00E160D9"/>
    <w:rsid w:val="00E1610E"/>
    <w:rsid w:val="00E161E4"/>
    <w:rsid w:val="00E16204"/>
    <w:rsid w:val="00E16232"/>
    <w:rsid w:val="00E16266"/>
    <w:rsid w:val="00E16292"/>
    <w:rsid w:val="00E16295"/>
    <w:rsid w:val="00E16296"/>
    <w:rsid w:val="00E1629E"/>
    <w:rsid w:val="00E163D3"/>
    <w:rsid w:val="00E16407"/>
    <w:rsid w:val="00E16480"/>
    <w:rsid w:val="00E164B6"/>
    <w:rsid w:val="00E1659F"/>
    <w:rsid w:val="00E166ED"/>
    <w:rsid w:val="00E167D0"/>
    <w:rsid w:val="00E167FE"/>
    <w:rsid w:val="00E168F3"/>
    <w:rsid w:val="00E16916"/>
    <w:rsid w:val="00E16ABC"/>
    <w:rsid w:val="00E16B06"/>
    <w:rsid w:val="00E16B48"/>
    <w:rsid w:val="00E16B92"/>
    <w:rsid w:val="00E16B9E"/>
    <w:rsid w:val="00E16BEE"/>
    <w:rsid w:val="00E16C6E"/>
    <w:rsid w:val="00E16CF3"/>
    <w:rsid w:val="00E16DA9"/>
    <w:rsid w:val="00E16DBB"/>
    <w:rsid w:val="00E16E23"/>
    <w:rsid w:val="00E16E74"/>
    <w:rsid w:val="00E16EFE"/>
    <w:rsid w:val="00E16F4B"/>
    <w:rsid w:val="00E16F96"/>
    <w:rsid w:val="00E16FAC"/>
    <w:rsid w:val="00E1700E"/>
    <w:rsid w:val="00E17023"/>
    <w:rsid w:val="00E17048"/>
    <w:rsid w:val="00E17051"/>
    <w:rsid w:val="00E17167"/>
    <w:rsid w:val="00E1721B"/>
    <w:rsid w:val="00E17359"/>
    <w:rsid w:val="00E1738D"/>
    <w:rsid w:val="00E173A0"/>
    <w:rsid w:val="00E173E6"/>
    <w:rsid w:val="00E17422"/>
    <w:rsid w:val="00E1758F"/>
    <w:rsid w:val="00E176C0"/>
    <w:rsid w:val="00E17731"/>
    <w:rsid w:val="00E1786F"/>
    <w:rsid w:val="00E178DB"/>
    <w:rsid w:val="00E178EA"/>
    <w:rsid w:val="00E17944"/>
    <w:rsid w:val="00E1794E"/>
    <w:rsid w:val="00E179DA"/>
    <w:rsid w:val="00E17A02"/>
    <w:rsid w:val="00E17A3F"/>
    <w:rsid w:val="00E17A67"/>
    <w:rsid w:val="00E17A89"/>
    <w:rsid w:val="00E17B2A"/>
    <w:rsid w:val="00E17B37"/>
    <w:rsid w:val="00E17B53"/>
    <w:rsid w:val="00E17B6D"/>
    <w:rsid w:val="00E17C2D"/>
    <w:rsid w:val="00E17C40"/>
    <w:rsid w:val="00E17C54"/>
    <w:rsid w:val="00E17D69"/>
    <w:rsid w:val="00E17DDC"/>
    <w:rsid w:val="00E17E06"/>
    <w:rsid w:val="00E17E25"/>
    <w:rsid w:val="00E17E47"/>
    <w:rsid w:val="00E17F1C"/>
    <w:rsid w:val="00E17FAA"/>
    <w:rsid w:val="00E2002B"/>
    <w:rsid w:val="00E200A8"/>
    <w:rsid w:val="00E200DD"/>
    <w:rsid w:val="00E2014B"/>
    <w:rsid w:val="00E2017B"/>
    <w:rsid w:val="00E201D9"/>
    <w:rsid w:val="00E2021E"/>
    <w:rsid w:val="00E2022B"/>
    <w:rsid w:val="00E202F3"/>
    <w:rsid w:val="00E20327"/>
    <w:rsid w:val="00E204EC"/>
    <w:rsid w:val="00E2053F"/>
    <w:rsid w:val="00E20574"/>
    <w:rsid w:val="00E20593"/>
    <w:rsid w:val="00E20604"/>
    <w:rsid w:val="00E20629"/>
    <w:rsid w:val="00E20656"/>
    <w:rsid w:val="00E2068E"/>
    <w:rsid w:val="00E206A9"/>
    <w:rsid w:val="00E20716"/>
    <w:rsid w:val="00E20720"/>
    <w:rsid w:val="00E20741"/>
    <w:rsid w:val="00E2077B"/>
    <w:rsid w:val="00E20794"/>
    <w:rsid w:val="00E207AE"/>
    <w:rsid w:val="00E2084C"/>
    <w:rsid w:val="00E208B4"/>
    <w:rsid w:val="00E208C5"/>
    <w:rsid w:val="00E2093B"/>
    <w:rsid w:val="00E209D3"/>
    <w:rsid w:val="00E209EB"/>
    <w:rsid w:val="00E20A7A"/>
    <w:rsid w:val="00E20A97"/>
    <w:rsid w:val="00E20B4D"/>
    <w:rsid w:val="00E20B60"/>
    <w:rsid w:val="00E20B66"/>
    <w:rsid w:val="00E20B8E"/>
    <w:rsid w:val="00E20BCE"/>
    <w:rsid w:val="00E20BD3"/>
    <w:rsid w:val="00E20C1C"/>
    <w:rsid w:val="00E20C97"/>
    <w:rsid w:val="00E20CD6"/>
    <w:rsid w:val="00E20CE7"/>
    <w:rsid w:val="00E20D84"/>
    <w:rsid w:val="00E20E03"/>
    <w:rsid w:val="00E20E18"/>
    <w:rsid w:val="00E20E6F"/>
    <w:rsid w:val="00E20ED2"/>
    <w:rsid w:val="00E20EED"/>
    <w:rsid w:val="00E20F12"/>
    <w:rsid w:val="00E20F42"/>
    <w:rsid w:val="00E20F48"/>
    <w:rsid w:val="00E20F4E"/>
    <w:rsid w:val="00E20F54"/>
    <w:rsid w:val="00E210DF"/>
    <w:rsid w:val="00E2122A"/>
    <w:rsid w:val="00E2122B"/>
    <w:rsid w:val="00E2123F"/>
    <w:rsid w:val="00E2124A"/>
    <w:rsid w:val="00E212A7"/>
    <w:rsid w:val="00E213A4"/>
    <w:rsid w:val="00E213B4"/>
    <w:rsid w:val="00E213B7"/>
    <w:rsid w:val="00E213E7"/>
    <w:rsid w:val="00E21475"/>
    <w:rsid w:val="00E2148D"/>
    <w:rsid w:val="00E214CB"/>
    <w:rsid w:val="00E215D8"/>
    <w:rsid w:val="00E215F1"/>
    <w:rsid w:val="00E215F4"/>
    <w:rsid w:val="00E21697"/>
    <w:rsid w:val="00E21702"/>
    <w:rsid w:val="00E2175D"/>
    <w:rsid w:val="00E217A2"/>
    <w:rsid w:val="00E218D6"/>
    <w:rsid w:val="00E219DB"/>
    <w:rsid w:val="00E21A21"/>
    <w:rsid w:val="00E21A54"/>
    <w:rsid w:val="00E21AF1"/>
    <w:rsid w:val="00E21BF1"/>
    <w:rsid w:val="00E21C50"/>
    <w:rsid w:val="00E21CE6"/>
    <w:rsid w:val="00E21CF6"/>
    <w:rsid w:val="00E21D28"/>
    <w:rsid w:val="00E21D3B"/>
    <w:rsid w:val="00E21D57"/>
    <w:rsid w:val="00E21D74"/>
    <w:rsid w:val="00E21D97"/>
    <w:rsid w:val="00E21E8B"/>
    <w:rsid w:val="00E21E9C"/>
    <w:rsid w:val="00E21EA9"/>
    <w:rsid w:val="00E21EAA"/>
    <w:rsid w:val="00E21EB9"/>
    <w:rsid w:val="00E21ECB"/>
    <w:rsid w:val="00E21EDC"/>
    <w:rsid w:val="00E21F72"/>
    <w:rsid w:val="00E21F8C"/>
    <w:rsid w:val="00E22056"/>
    <w:rsid w:val="00E220AC"/>
    <w:rsid w:val="00E220D7"/>
    <w:rsid w:val="00E220F5"/>
    <w:rsid w:val="00E2210F"/>
    <w:rsid w:val="00E22141"/>
    <w:rsid w:val="00E221C0"/>
    <w:rsid w:val="00E22262"/>
    <w:rsid w:val="00E2227E"/>
    <w:rsid w:val="00E2242E"/>
    <w:rsid w:val="00E22480"/>
    <w:rsid w:val="00E224C2"/>
    <w:rsid w:val="00E2251B"/>
    <w:rsid w:val="00E22541"/>
    <w:rsid w:val="00E22587"/>
    <w:rsid w:val="00E22643"/>
    <w:rsid w:val="00E226AE"/>
    <w:rsid w:val="00E226EE"/>
    <w:rsid w:val="00E2275C"/>
    <w:rsid w:val="00E2277A"/>
    <w:rsid w:val="00E22805"/>
    <w:rsid w:val="00E2288D"/>
    <w:rsid w:val="00E2289D"/>
    <w:rsid w:val="00E228A9"/>
    <w:rsid w:val="00E228D2"/>
    <w:rsid w:val="00E22974"/>
    <w:rsid w:val="00E22A05"/>
    <w:rsid w:val="00E22A2E"/>
    <w:rsid w:val="00E22A4C"/>
    <w:rsid w:val="00E22ADE"/>
    <w:rsid w:val="00E22BEB"/>
    <w:rsid w:val="00E22BF2"/>
    <w:rsid w:val="00E22DEE"/>
    <w:rsid w:val="00E22DF2"/>
    <w:rsid w:val="00E22EFD"/>
    <w:rsid w:val="00E22FDD"/>
    <w:rsid w:val="00E23021"/>
    <w:rsid w:val="00E23056"/>
    <w:rsid w:val="00E230D5"/>
    <w:rsid w:val="00E230F9"/>
    <w:rsid w:val="00E23149"/>
    <w:rsid w:val="00E23178"/>
    <w:rsid w:val="00E2326E"/>
    <w:rsid w:val="00E232E9"/>
    <w:rsid w:val="00E23452"/>
    <w:rsid w:val="00E2345D"/>
    <w:rsid w:val="00E23463"/>
    <w:rsid w:val="00E234D4"/>
    <w:rsid w:val="00E23513"/>
    <w:rsid w:val="00E23522"/>
    <w:rsid w:val="00E2356A"/>
    <w:rsid w:val="00E235C2"/>
    <w:rsid w:val="00E23605"/>
    <w:rsid w:val="00E2362F"/>
    <w:rsid w:val="00E23634"/>
    <w:rsid w:val="00E23638"/>
    <w:rsid w:val="00E2370C"/>
    <w:rsid w:val="00E23777"/>
    <w:rsid w:val="00E237A9"/>
    <w:rsid w:val="00E2380B"/>
    <w:rsid w:val="00E2380C"/>
    <w:rsid w:val="00E23847"/>
    <w:rsid w:val="00E23941"/>
    <w:rsid w:val="00E2395A"/>
    <w:rsid w:val="00E239B8"/>
    <w:rsid w:val="00E23A9D"/>
    <w:rsid w:val="00E23AE9"/>
    <w:rsid w:val="00E23B1F"/>
    <w:rsid w:val="00E23B60"/>
    <w:rsid w:val="00E23C5E"/>
    <w:rsid w:val="00E23C84"/>
    <w:rsid w:val="00E23D07"/>
    <w:rsid w:val="00E23D41"/>
    <w:rsid w:val="00E23DDD"/>
    <w:rsid w:val="00E23E0C"/>
    <w:rsid w:val="00E23E28"/>
    <w:rsid w:val="00E23ED0"/>
    <w:rsid w:val="00E23F4D"/>
    <w:rsid w:val="00E23F54"/>
    <w:rsid w:val="00E23F8D"/>
    <w:rsid w:val="00E23F96"/>
    <w:rsid w:val="00E24077"/>
    <w:rsid w:val="00E24161"/>
    <w:rsid w:val="00E2419F"/>
    <w:rsid w:val="00E24231"/>
    <w:rsid w:val="00E24237"/>
    <w:rsid w:val="00E2425E"/>
    <w:rsid w:val="00E2427C"/>
    <w:rsid w:val="00E24280"/>
    <w:rsid w:val="00E24290"/>
    <w:rsid w:val="00E24325"/>
    <w:rsid w:val="00E2436F"/>
    <w:rsid w:val="00E243B3"/>
    <w:rsid w:val="00E243B9"/>
    <w:rsid w:val="00E2441D"/>
    <w:rsid w:val="00E24432"/>
    <w:rsid w:val="00E24482"/>
    <w:rsid w:val="00E244DE"/>
    <w:rsid w:val="00E24583"/>
    <w:rsid w:val="00E245A6"/>
    <w:rsid w:val="00E24650"/>
    <w:rsid w:val="00E246EC"/>
    <w:rsid w:val="00E24763"/>
    <w:rsid w:val="00E24799"/>
    <w:rsid w:val="00E247E9"/>
    <w:rsid w:val="00E2483C"/>
    <w:rsid w:val="00E24994"/>
    <w:rsid w:val="00E249A5"/>
    <w:rsid w:val="00E249C2"/>
    <w:rsid w:val="00E249CC"/>
    <w:rsid w:val="00E24AA8"/>
    <w:rsid w:val="00E24B3B"/>
    <w:rsid w:val="00E24C0D"/>
    <w:rsid w:val="00E24C50"/>
    <w:rsid w:val="00E24CF6"/>
    <w:rsid w:val="00E24D43"/>
    <w:rsid w:val="00E24D91"/>
    <w:rsid w:val="00E24DBA"/>
    <w:rsid w:val="00E24DE6"/>
    <w:rsid w:val="00E24E12"/>
    <w:rsid w:val="00E24E9D"/>
    <w:rsid w:val="00E24EAE"/>
    <w:rsid w:val="00E24EB2"/>
    <w:rsid w:val="00E24EC9"/>
    <w:rsid w:val="00E24F62"/>
    <w:rsid w:val="00E24FEF"/>
    <w:rsid w:val="00E2508E"/>
    <w:rsid w:val="00E250C8"/>
    <w:rsid w:val="00E250CF"/>
    <w:rsid w:val="00E250FC"/>
    <w:rsid w:val="00E2517F"/>
    <w:rsid w:val="00E251A2"/>
    <w:rsid w:val="00E25205"/>
    <w:rsid w:val="00E25213"/>
    <w:rsid w:val="00E25243"/>
    <w:rsid w:val="00E2525B"/>
    <w:rsid w:val="00E252ED"/>
    <w:rsid w:val="00E2533F"/>
    <w:rsid w:val="00E253F9"/>
    <w:rsid w:val="00E25445"/>
    <w:rsid w:val="00E2544F"/>
    <w:rsid w:val="00E2547B"/>
    <w:rsid w:val="00E2556D"/>
    <w:rsid w:val="00E2558D"/>
    <w:rsid w:val="00E255B2"/>
    <w:rsid w:val="00E25637"/>
    <w:rsid w:val="00E2571B"/>
    <w:rsid w:val="00E257A3"/>
    <w:rsid w:val="00E2581B"/>
    <w:rsid w:val="00E25838"/>
    <w:rsid w:val="00E2584D"/>
    <w:rsid w:val="00E25873"/>
    <w:rsid w:val="00E2589A"/>
    <w:rsid w:val="00E2589F"/>
    <w:rsid w:val="00E25920"/>
    <w:rsid w:val="00E2596F"/>
    <w:rsid w:val="00E25987"/>
    <w:rsid w:val="00E259B4"/>
    <w:rsid w:val="00E259C6"/>
    <w:rsid w:val="00E259E9"/>
    <w:rsid w:val="00E25A3B"/>
    <w:rsid w:val="00E25AC4"/>
    <w:rsid w:val="00E25B95"/>
    <w:rsid w:val="00E25BE4"/>
    <w:rsid w:val="00E25CDB"/>
    <w:rsid w:val="00E25DDB"/>
    <w:rsid w:val="00E25E54"/>
    <w:rsid w:val="00E25E8C"/>
    <w:rsid w:val="00E25EC4"/>
    <w:rsid w:val="00E25EDE"/>
    <w:rsid w:val="00E25F4D"/>
    <w:rsid w:val="00E25FF3"/>
    <w:rsid w:val="00E260D5"/>
    <w:rsid w:val="00E2611C"/>
    <w:rsid w:val="00E26187"/>
    <w:rsid w:val="00E261D3"/>
    <w:rsid w:val="00E261E1"/>
    <w:rsid w:val="00E261FC"/>
    <w:rsid w:val="00E26265"/>
    <w:rsid w:val="00E26292"/>
    <w:rsid w:val="00E262C1"/>
    <w:rsid w:val="00E2630A"/>
    <w:rsid w:val="00E26391"/>
    <w:rsid w:val="00E263B2"/>
    <w:rsid w:val="00E263BB"/>
    <w:rsid w:val="00E26420"/>
    <w:rsid w:val="00E2646F"/>
    <w:rsid w:val="00E26491"/>
    <w:rsid w:val="00E264CD"/>
    <w:rsid w:val="00E2656F"/>
    <w:rsid w:val="00E265D6"/>
    <w:rsid w:val="00E26703"/>
    <w:rsid w:val="00E26774"/>
    <w:rsid w:val="00E267C4"/>
    <w:rsid w:val="00E2682C"/>
    <w:rsid w:val="00E268F9"/>
    <w:rsid w:val="00E26978"/>
    <w:rsid w:val="00E26A0D"/>
    <w:rsid w:val="00E26A12"/>
    <w:rsid w:val="00E26AFA"/>
    <w:rsid w:val="00E26B13"/>
    <w:rsid w:val="00E26B75"/>
    <w:rsid w:val="00E26BCA"/>
    <w:rsid w:val="00E26BF5"/>
    <w:rsid w:val="00E26C96"/>
    <w:rsid w:val="00E26D51"/>
    <w:rsid w:val="00E26D53"/>
    <w:rsid w:val="00E26D5B"/>
    <w:rsid w:val="00E26D99"/>
    <w:rsid w:val="00E26DE2"/>
    <w:rsid w:val="00E26E1F"/>
    <w:rsid w:val="00E26E2F"/>
    <w:rsid w:val="00E26F98"/>
    <w:rsid w:val="00E2700E"/>
    <w:rsid w:val="00E270DC"/>
    <w:rsid w:val="00E2715B"/>
    <w:rsid w:val="00E27174"/>
    <w:rsid w:val="00E271CF"/>
    <w:rsid w:val="00E271E9"/>
    <w:rsid w:val="00E271F5"/>
    <w:rsid w:val="00E272A1"/>
    <w:rsid w:val="00E272B1"/>
    <w:rsid w:val="00E272BE"/>
    <w:rsid w:val="00E272C1"/>
    <w:rsid w:val="00E2736C"/>
    <w:rsid w:val="00E274D6"/>
    <w:rsid w:val="00E274FF"/>
    <w:rsid w:val="00E275A0"/>
    <w:rsid w:val="00E27642"/>
    <w:rsid w:val="00E276AC"/>
    <w:rsid w:val="00E276BC"/>
    <w:rsid w:val="00E276DE"/>
    <w:rsid w:val="00E27728"/>
    <w:rsid w:val="00E27785"/>
    <w:rsid w:val="00E2779F"/>
    <w:rsid w:val="00E277CA"/>
    <w:rsid w:val="00E27889"/>
    <w:rsid w:val="00E278C2"/>
    <w:rsid w:val="00E278D8"/>
    <w:rsid w:val="00E27903"/>
    <w:rsid w:val="00E27969"/>
    <w:rsid w:val="00E279D2"/>
    <w:rsid w:val="00E279D7"/>
    <w:rsid w:val="00E27A59"/>
    <w:rsid w:val="00E27B3C"/>
    <w:rsid w:val="00E27BA9"/>
    <w:rsid w:val="00E27C4F"/>
    <w:rsid w:val="00E27CC8"/>
    <w:rsid w:val="00E27D03"/>
    <w:rsid w:val="00E27D32"/>
    <w:rsid w:val="00E27D5A"/>
    <w:rsid w:val="00E27E2A"/>
    <w:rsid w:val="00E27E37"/>
    <w:rsid w:val="00E27E5F"/>
    <w:rsid w:val="00E27F2D"/>
    <w:rsid w:val="00E30043"/>
    <w:rsid w:val="00E3005B"/>
    <w:rsid w:val="00E30095"/>
    <w:rsid w:val="00E3011D"/>
    <w:rsid w:val="00E3015A"/>
    <w:rsid w:val="00E3018E"/>
    <w:rsid w:val="00E30227"/>
    <w:rsid w:val="00E30240"/>
    <w:rsid w:val="00E30246"/>
    <w:rsid w:val="00E30274"/>
    <w:rsid w:val="00E302DD"/>
    <w:rsid w:val="00E30464"/>
    <w:rsid w:val="00E30476"/>
    <w:rsid w:val="00E30480"/>
    <w:rsid w:val="00E304AE"/>
    <w:rsid w:val="00E30536"/>
    <w:rsid w:val="00E30556"/>
    <w:rsid w:val="00E30576"/>
    <w:rsid w:val="00E305C0"/>
    <w:rsid w:val="00E305CD"/>
    <w:rsid w:val="00E30673"/>
    <w:rsid w:val="00E3068B"/>
    <w:rsid w:val="00E30780"/>
    <w:rsid w:val="00E30782"/>
    <w:rsid w:val="00E307F8"/>
    <w:rsid w:val="00E3085E"/>
    <w:rsid w:val="00E30958"/>
    <w:rsid w:val="00E309B0"/>
    <w:rsid w:val="00E30A2E"/>
    <w:rsid w:val="00E30ACE"/>
    <w:rsid w:val="00E30AEE"/>
    <w:rsid w:val="00E30BD3"/>
    <w:rsid w:val="00E30C7C"/>
    <w:rsid w:val="00E30CE8"/>
    <w:rsid w:val="00E30D96"/>
    <w:rsid w:val="00E30DB8"/>
    <w:rsid w:val="00E30E6C"/>
    <w:rsid w:val="00E30F0A"/>
    <w:rsid w:val="00E30F4D"/>
    <w:rsid w:val="00E30F51"/>
    <w:rsid w:val="00E3104A"/>
    <w:rsid w:val="00E31076"/>
    <w:rsid w:val="00E310D4"/>
    <w:rsid w:val="00E310F8"/>
    <w:rsid w:val="00E3116D"/>
    <w:rsid w:val="00E311F5"/>
    <w:rsid w:val="00E313E0"/>
    <w:rsid w:val="00E3140F"/>
    <w:rsid w:val="00E31518"/>
    <w:rsid w:val="00E3155F"/>
    <w:rsid w:val="00E315E2"/>
    <w:rsid w:val="00E3166A"/>
    <w:rsid w:val="00E31687"/>
    <w:rsid w:val="00E316EC"/>
    <w:rsid w:val="00E316FB"/>
    <w:rsid w:val="00E31770"/>
    <w:rsid w:val="00E317B7"/>
    <w:rsid w:val="00E31800"/>
    <w:rsid w:val="00E31809"/>
    <w:rsid w:val="00E318BC"/>
    <w:rsid w:val="00E318C6"/>
    <w:rsid w:val="00E3191E"/>
    <w:rsid w:val="00E3195F"/>
    <w:rsid w:val="00E319AF"/>
    <w:rsid w:val="00E319D7"/>
    <w:rsid w:val="00E319F4"/>
    <w:rsid w:val="00E319F6"/>
    <w:rsid w:val="00E319FD"/>
    <w:rsid w:val="00E31A08"/>
    <w:rsid w:val="00E31A34"/>
    <w:rsid w:val="00E31A3B"/>
    <w:rsid w:val="00E31A56"/>
    <w:rsid w:val="00E31A5E"/>
    <w:rsid w:val="00E31ADD"/>
    <w:rsid w:val="00E31B4D"/>
    <w:rsid w:val="00E31B5C"/>
    <w:rsid w:val="00E31C9C"/>
    <w:rsid w:val="00E31D44"/>
    <w:rsid w:val="00E31D69"/>
    <w:rsid w:val="00E31D9B"/>
    <w:rsid w:val="00E31DBF"/>
    <w:rsid w:val="00E31DC5"/>
    <w:rsid w:val="00E31E0B"/>
    <w:rsid w:val="00E31E27"/>
    <w:rsid w:val="00E31EE2"/>
    <w:rsid w:val="00E32019"/>
    <w:rsid w:val="00E3206F"/>
    <w:rsid w:val="00E320CD"/>
    <w:rsid w:val="00E320F4"/>
    <w:rsid w:val="00E3211B"/>
    <w:rsid w:val="00E3212D"/>
    <w:rsid w:val="00E3219D"/>
    <w:rsid w:val="00E3219F"/>
    <w:rsid w:val="00E321A8"/>
    <w:rsid w:val="00E322F7"/>
    <w:rsid w:val="00E322FB"/>
    <w:rsid w:val="00E32313"/>
    <w:rsid w:val="00E32337"/>
    <w:rsid w:val="00E323D2"/>
    <w:rsid w:val="00E3243E"/>
    <w:rsid w:val="00E3247D"/>
    <w:rsid w:val="00E324C2"/>
    <w:rsid w:val="00E32510"/>
    <w:rsid w:val="00E32521"/>
    <w:rsid w:val="00E32523"/>
    <w:rsid w:val="00E32533"/>
    <w:rsid w:val="00E325A2"/>
    <w:rsid w:val="00E325A7"/>
    <w:rsid w:val="00E325A8"/>
    <w:rsid w:val="00E32614"/>
    <w:rsid w:val="00E3261D"/>
    <w:rsid w:val="00E3265F"/>
    <w:rsid w:val="00E326DC"/>
    <w:rsid w:val="00E3278F"/>
    <w:rsid w:val="00E327A6"/>
    <w:rsid w:val="00E327CD"/>
    <w:rsid w:val="00E32922"/>
    <w:rsid w:val="00E3295A"/>
    <w:rsid w:val="00E32971"/>
    <w:rsid w:val="00E32A1F"/>
    <w:rsid w:val="00E32C16"/>
    <w:rsid w:val="00E32C53"/>
    <w:rsid w:val="00E32C68"/>
    <w:rsid w:val="00E32C6C"/>
    <w:rsid w:val="00E32C8D"/>
    <w:rsid w:val="00E32CDD"/>
    <w:rsid w:val="00E32D43"/>
    <w:rsid w:val="00E32D6D"/>
    <w:rsid w:val="00E32D74"/>
    <w:rsid w:val="00E32DA7"/>
    <w:rsid w:val="00E32DC6"/>
    <w:rsid w:val="00E32DC7"/>
    <w:rsid w:val="00E32DCB"/>
    <w:rsid w:val="00E32DD0"/>
    <w:rsid w:val="00E32E27"/>
    <w:rsid w:val="00E32ECE"/>
    <w:rsid w:val="00E32ED7"/>
    <w:rsid w:val="00E32F43"/>
    <w:rsid w:val="00E32F70"/>
    <w:rsid w:val="00E32FDF"/>
    <w:rsid w:val="00E33005"/>
    <w:rsid w:val="00E33026"/>
    <w:rsid w:val="00E3307C"/>
    <w:rsid w:val="00E330A3"/>
    <w:rsid w:val="00E330FC"/>
    <w:rsid w:val="00E330FD"/>
    <w:rsid w:val="00E33214"/>
    <w:rsid w:val="00E332B3"/>
    <w:rsid w:val="00E33392"/>
    <w:rsid w:val="00E333D8"/>
    <w:rsid w:val="00E33449"/>
    <w:rsid w:val="00E33456"/>
    <w:rsid w:val="00E334DF"/>
    <w:rsid w:val="00E334E2"/>
    <w:rsid w:val="00E33550"/>
    <w:rsid w:val="00E335C4"/>
    <w:rsid w:val="00E335C7"/>
    <w:rsid w:val="00E336B6"/>
    <w:rsid w:val="00E336F8"/>
    <w:rsid w:val="00E33729"/>
    <w:rsid w:val="00E3374F"/>
    <w:rsid w:val="00E33762"/>
    <w:rsid w:val="00E33819"/>
    <w:rsid w:val="00E3388B"/>
    <w:rsid w:val="00E338C5"/>
    <w:rsid w:val="00E33972"/>
    <w:rsid w:val="00E33984"/>
    <w:rsid w:val="00E33AB6"/>
    <w:rsid w:val="00E33B02"/>
    <w:rsid w:val="00E33B4B"/>
    <w:rsid w:val="00E33C5B"/>
    <w:rsid w:val="00E33CA6"/>
    <w:rsid w:val="00E33CC3"/>
    <w:rsid w:val="00E33D14"/>
    <w:rsid w:val="00E33DBE"/>
    <w:rsid w:val="00E33E29"/>
    <w:rsid w:val="00E33EAA"/>
    <w:rsid w:val="00E33EF6"/>
    <w:rsid w:val="00E33FEA"/>
    <w:rsid w:val="00E34052"/>
    <w:rsid w:val="00E34098"/>
    <w:rsid w:val="00E340A9"/>
    <w:rsid w:val="00E34125"/>
    <w:rsid w:val="00E34141"/>
    <w:rsid w:val="00E34172"/>
    <w:rsid w:val="00E342B9"/>
    <w:rsid w:val="00E342C6"/>
    <w:rsid w:val="00E34300"/>
    <w:rsid w:val="00E3432E"/>
    <w:rsid w:val="00E34412"/>
    <w:rsid w:val="00E34452"/>
    <w:rsid w:val="00E3448F"/>
    <w:rsid w:val="00E3449F"/>
    <w:rsid w:val="00E3450B"/>
    <w:rsid w:val="00E34545"/>
    <w:rsid w:val="00E34561"/>
    <w:rsid w:val="00E3456F"/>
    <w:rsid w:val="00E345F4"/>
    <w:rsid w:val="00E34642"/>
    <w:rsid w:val="00E347CA"/>
    <w:rsid w:val="00E347D3"/>
    <w:rsid w:val="00E347E9"/>
    <w:rsid w:val="00E34884"/>
    <w:rsid w:val="00E349C4"/>
    <w:rsid w:val="00E34A42"/>
    <w:rsid w:val="00E34AB6"/>
    <w:rsid w:val="00E34ABD"/>
    <w:rsid w:val="00E34AE8"/>
    <w:rsid w:val="00E34B4D"/>
    <w:rsid w:val="00E34B6E"/>
    <w:rsid w:val="00E34B71"/>
    <w:rsid w:val="00E34B8E"/>
    <w:rsid w:val="00E34BE3"/>
    <w:rsid w:val="00E34BE9"/>
    <w:rsid w:val="00E34BED"/>
    <w:rsid w:val="00E34BF8"/>
    <w:rsid w:val="00E34C45"/>
    <w:rsid w:val="00E34D54"/>
    <w:rsid w:val="00E34D97"/>
    <w:rsid w:val="00E34DDC"/>
    <w:rsid w:val="00E34E04"/>
    <w:rsid w:val="00E34E7D"/>
    <w:rsid w:val="00E34EC2"/>
    <w:rsid w:val="00E34EE4"/>
    <w:rsid w:val="00E34F58"/>
    <w:rsid w:val="00E34F7B"/>
    <w:rsid w:val="00E34FAC"/>
    <w:rsid w:val="00E34FAE"/>
    <w:rsid w:val="00E34FC5"/>
    <w:rsid w:val="00E3500E"/>
    <w:rsid w:val="00E35028"/>
    <w:rsid w:val="00E3503B"/>
    <w:rsid w:val="00E3504C"/>
    <w:rsid w:val="00E35105"/>
    <w:rsid w:val="00E35139"/>
    <w:rsid w:val="00E3523B"/>
    <w:rsid w:val="00E352A0"/>
    <w:rsid w:val="00E352AB"/>
    <w:rsid w:val="00E352E6"/>
    <w:rsid w:val="00E3534B"/>
    <w:rsid w:val="00E35396"/>
    <w:rsid w:val="00E353AC"/>
    <w:rsid w:val="00E353AD"/>
    <w:rsid w:val="00E353EA"/>
    <w:rsid w:val="00E354A4"/>
    <w:rsid w:val="00E354D2"/>
    <w:rsid w:val="00E354DA"/>
    <w:rsid w:val="00E354F7"/>
    <w:rsid w:val="00E3553F"/>
    <w:rsid w:val="00E355D4"/>
    <w:rsid w:val="00E35626"/>
    <w:rsid w:val="00E35702"/>
    <w:rsid w:val="00E3570A"/>
    <w:rsid w:val="00E35790"/>
    <w:rsid w:val="00E3585D"/>
    <w:rsid w:val="00E358EA"/>
    <w:rsid w:val="00E358FE"/>
    <w:rsid w:val="00E358FF"/>
    <w:rsid w:val="00E359B3"/>
    <w:rsid w:val="00E359E5"/>
    <w:rsid w:val="00E359FD"/>
    <w:rsid w:val="00E35A82"/>
    <w:rsid w:val="00E35AF4"/>
    <w:rsid w:val="00E35BE7"/>
    <w:rsid w:val="00E35CBA"/>
    <w:rsid w:val="00E35CD4"/>
    <w:rsid w:val="00E35D08"/>
    <w:rsid w:val="00E35D0E"/>
    <w:rsid w:val="00E35D34"/>
    <w:rsid w:val="00E35DFA"/>
    <w:rsid w:val="00E35E32"/>
    <w:rsid w:val="00E35EF0"/>
    <w:rsid w:val="00E35F3A"/>
    <w:rsid w:val="00E35FBE"/>
    <w:rsid w:val="00E35FE4"/>
    <w:rsid w:val="00E36077"/>
    <w:rsid w:val="00E36102"/>
    <w:rsid w:val="00E361F9"/>
    <w:rsid w:val="00E364FB"/>
    <w:rsid w:val="00E3652F"/>
    <w:rsid w:val="00E3657E"/>
    <w:rsid w:val="00E365E3"/>
    <w:rsid w:val="00E365F7"/>
    <w:rsid w:val="00E3664A"/>
    <w:rsid w:val="00E36658"/>
    <w:rsid w:val="00E3671C"/>
    <w:rsid w:val="00E3673F"/>
    <w:rsid w:val="00E367B0"/>
    <w:rsid w:val="00E368C8"/>
    <w:rsid w:val="00E369A2"/>
    <w:rsid w:val="00E369B1"/>
    <w:rsid w:val="00E369C7"/>
    <w:rsid w:val="00E36A5E"/>
    <w:rsid w:val="00E36ADB"/>
    <w:rsid w:val="00E36BCF"/>
    <w:rsid w:val="00E36C41"/>
    <w:rsid w:val="00E36C6E"/>
    <w:rsid w:val="00E36CAF"/>
    <w:rsid w:val="00E36CCB"/>
    <w:rsid w:val="00E36E6A"/>
    <w:rsid w:val="00E36E6D"/>
    <w:rsid w:val="00E36E7E"/>
    <w:rsid w:val="00E36FB1"/>
    <w:rsid w:val="00E36FF2"/>
    <w:rsid w:val="00E3702E"/>
    <w:rsid w:val="00E3703E"/>
    <w:rsid w:val="00E37040"/>
    <w:rsid w:val="00E3705B"/>
    <w:rsid w:val="00E37127"/>
    <w:rsid w:val="00E37140"/>
    <w:rsid w:val="00E37169"/>
    <w:rsid w:val="00E3716F"/>
    <w:rsid w:val="00E3717D"/>
    <w:rsid w:val="00E37199"/>
    <w:rsid w:val="00E371B0"/>
    <w:rsid w:val="00E37294"/>
    <w:rsid w:val="00E3729E"/>
    <w:rsid w:val="00E372B8"/>
    <w:rsid w:val="00E37341"/>
    <w:rsid w:val="00E37385"/>
    <w:rsid w:val="00E373A4"/>
    <w:rsid w:val="00E373EE"/>
    <w:rsid w:val="00E37425"/>
    <w:rsid w:val="00E3744A"/>
    <w:rsid w:val="00E3752C"/>
    <w:rsid w:val="00E3759D"/>
    <w:rsid w:val="00E375B6"/>
    <w:rsid w:val="00E3761B"/>
    <w:rsid w:val="00E37691"/>
    <w:rsid w:val="00E376B0"/>
    <w:rsid w:val="00E3780C"/>
    <w:rsid w:val="00E37823"/>
    <w:rsid w:val="00E3794D"/>
    <w:rsid w:val="00E3797F"/>
    <w:rsid w:val="00E379FF"/>
    <w:rsid w:val="00E37A49"/>
    <w:rsid w:val="00E37A66"/>
    <w:rsid w:val="00E37AAC"/>
    <w:rsid w:val="00E37AC5"/>
    <w:rsid w:val="00E37AD2"/>
    <w:rsid w:val="00E37B26"/>
    <w:rsid w:val="00E37B5D"/>
    <w:rsid w:val="00E37BB9"/>
    <w:rsid w:val="00E37D2D"/>
    <w:rsid w:val="00E37DA4"/>
    <w:rsid w:val="00E37DF5"/>
    <w:rsid w:val="00E37E3F"/>
    <w:rsid w:val="00E37E67"/>
    <w:rsid w:val="00E37EE7"/>
    <w:rsid w:val="00E37F0B"/>
    <w:rsid w:val="00E37F5D"/>
    <w:rsid w:val="00E37FCF"/>
    <w:rsid w:val="00E40083"/>
    <w:rsid w:val="00E4018A"/>
    <w:rsid w:val="00E401C9"/>
    <w:rsid w:val="00E401DC"/>
    <w:rsid w:val="00E40270"/>
    <w:rsid w:val="00E4028E"/>
    <w:rsid w:val="00E402F7"/>
    <w:rsid w:val="00E40367"/>
    <w:rsid w:val="00E40368"/>
    <w:rsid w:val="00E40381"/>
    <w:rsid w:val="00E403F5"/>
    <w:rsid w:val="00E4041A"/>
    <w:rsid w:val="00E404B2"/>
    <w:rsid w:val="00E40534"/>
    <w:rsid w:val="00E40681"/>
    <w:rsid w:val="00E406BF"/>
    <w:rsid w:val="00E4077D"/>
    <w:rsid w:val="00E4087D"/>
    <w:rsid w:val="00E408E1"/>
    <w:rsid w:val="00E40929"/>
    <w:rsid w:val="00E4094F"/>
    <w:rsid w:val="00E4098C"/>
    <w:rsid w:val="00E409C1"/>
    <w:rsid w:val="00E40A33"/>
    <w:rsid w:val="00E40ABA"/>
    <w:rsid w:val="00E40B69"/>
    <w:rsid w:val="00E40B73"/>
    <w:rsid w:val="00E40B7C"/>
    <w:rsid w:val="00E40C70"/>
    <w:rsid w:val="00E40D10"/>
    <w:rsid w:val="00E40D46"/>
    <w:rsid w:val="00E40D7A"/>
    <w:rsid w:val="00E40DC4"/>
    <w:rsid w:val="00E40DE4"/>
    <w:rsid w:val="00E40F52"/>
    <w:rsid w:val="00E40F80"/>
    <w:rsid w:val="00E4102C"/>
    <w:rsid w:val="00E41040"/>
    <w:rsid w:val="00E41070"/>
    <w:rsid w:val="00E41080"/>
    <w:rsid w:val="00E411E2"/>
    <w:rsid w:val="00E4126D"/>
    <w:rsid w:val="00E412B6"/>
    <w:rsid w:val="00E412BA"/>
    <w:rsid w:val="00E41311"/>
    <w:rsid w:val="00E41361"/>
    <w:rsid w:val="00E41367"/>
    <w:rsid w:val="00E41381"/>
    <w:rsid w:val="00E413ED"/>
    <w:rsid w:val="00E41420"/>
    <w:rsid w:val="00E41454"/>
    <w:rsid w:val="00E41552"/>
    <w:rsid w:val="00E415E0"/>
    <w:rsid w:val="00E41621"/>
    <w:rsid w:val="00E41626"/>
    <w:rsid w:val="00E4170C"/>
    <w:rsid w:val="00E4175F"/>
    <w:rsid w:val="00E41799"/>
    <w:rsid w:val="00E417C9"/>
    <w:rsid w:val="00E4187E"/>
    <w:rsid w:val="00E4190A"/>
    <w:rsid w:val="00E41978"/>
    <w:rsid w:val="00E419E1"/>
    <w:rsid w:val="00E41A25"/>
    <w:rsid w:val="00E41A33"/>
    <w:rsid w:val="00E41A9F"/>
    <w:rsid w:val="00E41B72"/>
    <w:rsid w:val="00E41BE2"/>
    <w:rsid w:val="00E41C0B"/>
    <w:rsid w:val="00E41C81"/>
    <w:rsid w:val="00E41C9C"/>
    <w:rsid w:val="00E41D1D"/>
    <w:rsid w:val="00E41D4F"/>
    <w:rsid w:val="00E41DCE"/>
    <w:rsid w:val="00E41EB3"/>
    <w:rsid w:val="00E41EF7"/>
    <w:rsid w:val="00E41F92"/>
    <w:rsid w:val="00E41FE0"/>
    <w:rsid w:val="00E41FE6"/>
    <w:rsid w:val="00E42071"/>
    <w:rsid w:val="00E42083"/>
    <w:rsid w:val="00E42091"/>
    <w:rsid w:val="00E42099"/>
    <w:rsid w:val="00E420B5"/>
    <w:rsid w:val="00E42175"/>
    <w:rsid w:val="00E421AD"/>
    <w:rsid w:val="00E421AE"/>
    <w:rsid w:val="00E422D1"/>
    <w:rsid w:val="00E423A8"/>
    <w:rsid w:val="00E42444"/>
    <w:rsid w:val="00E42490"/>
    <w:rsid w:val="00E4253A"/>
    <w:rsid w:val="00E425B7"/>
    <w:rsid w:val="00E42689"/>
    <w:rsid w:val="00E426B2"/>
    <w:rsid w:val="00E426E5"/>
    <w:rsid w:val="00E42705"/>
    <w:rsid w:val="00E42708"/>
    <w:rsid w:val="00E42713"/>
    <w:rsid w:val="00E427AA"/>
    <w:rsid w:val="00E427CC"/>
    <w:rsid w:val="00E427D4"/>
    <w:rsid w:val="00E427D6"/>
    <w:rsid w:val="00E42808"/>
    <w:rsid w:val="00E42834"/>
    <w:rsid w:val="00E4287B"/>
    <w:rsid w:val="00E42989"/>
    <w:rsid w:val="00E429AC"/>
    <w:rsid w:val="00E429B7"/>
    <w:rsid w:val="00E429DC"/>
    <w:rsid w:val="00E42B1C"/>
    <w:rsid w:val="00E42BF1"/>
    <w:rsid w:val="00E42CAC"/>
    <w:rsid w:val="00E42D51"/>
    <w:rsid w:val="00E42EBB"/>
    <w:rsid w:val="00E42F1D"/>
    <w:rsid w:val="00E42FA8"/>
    <w:rsid w:val="00E43021"/>
    <w:rsid w:val="00E43028"/>
    <w:rsid w:val="00E430AD"/>
    <w:rsid w:val="00E430B1"/>
    <w:rsid w:val="00E430C7"/>
    <w:rsid w:val="00E430D8"/>
    <w:rsid w:val="00E43170"/>
    <w:rsid w:val="00E43196"/>
    <w:rsid w:val="00E431BC"/>
    <w:rsid w:val="00E431D2"/>
    <w:rsid w:val="00E4322E"/>
    <w:rsid w:val="00E43283"/>
    <w:rsid w:val="00E4329E"/>
    <w:rsid w:val="00E432BA"/>
    <w:rsid w:val="00E43318"/>
    <w:rsid w:val="00E433C5"/>
    <w:rsid w:val="00E433E4"/>
    <w:rsid w:val="00E43464"/>
    <w:rsid w:val="00E43593"/>
    <w:rsid w:val="00E43650"/>
    <w:rsid w:val="00E436B9"/>
    <w:rsid w:val="00E436C1"/>
    <w:rsid w:val="00E436EC"/>
    <w:rsid w:val="00E437B2"/>
    <w:rsid w:val="00E437D5"/>
    <w:rsid w:val="00E43800"/>
    <w:rsid w:val="00E43815"/>
    <w:rsid w:val="00E43842"/>
    <w:rsid w:val="00E4388E"/>
    <w:rsid w:val="00E43904"/>
    <w:rsid w:val="00E43937"/>
    <w:rsid w:val="00E43988"/>
    <w:rsid w:val="00E43A46"/>
    <w:rsid w:val="00E43A83"/>
    <w:rsid w:val="00E43A89"/>
    <w:rsid w:val="00E43AE4"/>
    <w:rsid w:val="00E43AF2"/>
    <w:rsid w:val="00E43B10"/>
    <w:rsid w:val="00E43B24"/>
    <w:rsid w:val="00E43B2B"/>
    <w:rsid w:val="00E43C4C"/>
    <w:rsid w:val="00E43C69"/>
    <w:rsid w:val="00E43CCC"/>
    <w:rsid w:val="00E43D2A"/>
    <w:rsid w:val="00E43D74"/>
    <w:rsid w:val="00E43E2F"/>
    <w:rsid w:val="00E43E5D"/>
    <w:rsid w:val="00E43ECE"/>
    <w:rsid w:val="00E43EF0"/>
    <w:rsid w:val="00E43FAD"/>
    <w:rsid w:val="00E44071"/>
    <w:rsid w:val="00E4414C"/>
    <w:rsid w:val="00E44203"/>
    <w:rsid w:val="00E442AA"/>
    <w:rsid w:val="00E442C1"/>
    <w:rsid w:val="00E44330"/>
    <w:rsid w:val="00E44339"/>
    <w:rsid w:val="00E44388"/>
    <w:rsid w:val="00E443AE"/>
    <w:rsid w:val="00E443CC"/>
    <w:rsid w:val="00E44423"/>
    <w:rsid w:val="00E444D7"/>
    <w:rsid w:val="00E444F4"/>
    <w:rsid w:val="00E44586"/>
    <w:rsid w:val="00E445D5"/>
    <w:rsid w:val="00E44673"/>
    <w:rsid w:val="00E446C1"/>
    <w:rsid w:val="00E446C2"/>
    <w:rsid w:val="00E446D5"/>
    <w:rsid w:val="00E44711"/>
    <w:rsid w:val="00E44788"/>
    <w:rsid w:val="00E44829"/>
    <w:rsid w:val="00E44914"/>
    <w:rsid w:val="00E449BC"/>
    <w:rsid w:val="00E449C7"/>
    <w:rsid w:val="00E44A55"/>
    <w:rsid w:val="00E44B25"/>
    <w:rsid w:val="00E44B53"/>
    <w:rsid w:val="00E44B71"/>
    <w:rsid w:val="00E44C21"/>
    <w:rsid w:val="00E44D8C"/>
    <w:rsid w:val="00E44DF6"/>
    <w:rsid w:val="00E44E0A"/>
    <w:rsid w:val="00E44E14"/>
    <w:rsid w:val="00E44E8E"/>
    <w:rsid w:val="00E44ED5"/>
    <w:rsid w:val="00E44EE0"/>
    <w:rsid w:val="00E44F2D"/>
    <w:rsid w:val="00E44F63"/>
    <w:rsid w:val="00E44F7D"/>
    <w:rsid w:val="00E44FF8"/>
    <w:rsid w:val="00E45047"/>
    <w:rsid w:val="00E45083"/>
    <w:rsid w:val="00E450F4"/>
    <w:rsid w:val="00E4513B"/>
    <w:rsid w:val="00E45152"/>
    <w:rsid w:val="00E451BB"/>
    <w:rsid w:val="00E451BF"/>
    <w:rsid w:val="00E451D3"/>
    <w:rsid w:val="00E451E4"/>
    <w:rsid w:val="00E451E5"/>
    <w:rsid w:val="00E45284"/>
    <w:rsid w:val="00E452AC"/>
    <w:rsid w:val="00E4539C"/>
    <w:rsid w:val="00E4542C"/>
    <w:rsid w:val="00E45532"/>
    <w:rsid w:val="00E4562C"/>
    <w:rsid w:val="00E45635"/>
    <w:rsid w:val="00E456A9"/>
    <w:rsid w:val="00E45736"/>
    <w:rsid w:val="00E457B0"/>
    <w:rsid w:val="00E457E2"/>
    <w:rsid w:val="00E4581B"/>
    <w:rsid w:val="00E4581F"/>
    <w:rsid w:val="00E45836"/>
    <w:rsid w:val="00E45890"/>
    <w:rsid w:val="00E458C0"/>
    <w:rsid w:val="00E45970"/>
    <w:rsid w:val="00E459C9"/>
    <w:rsid w:val="00E459CD"/>
    <w:rsid w:val="00E459FA"/>
    <w:rsid w:val="00E45A58"/>
    <w:rsid w:val="00E45AD1"/>
    <w:rsid w:val="00E45B8C"/>
    <w:rsid w:val="00E45BB6"/>
    <w:rsid w:val="00E45C40"/>
    <w:rsid w:val="00E45C55"/>
    <w:rsid w:val="00E45D0E"/>
    <w:rsid w:val="00E45D16"/>
    <w:rsid w:val="00E45D39"/>
    <w:rsid w:val="00E45D9C"/>
    <w:rsid w:val="00E45EED"/>
    <w:rsid w:val="00E45F16"/>
    <w:rsid w:val="00E45F2B"/>
    <w:rsid w:val="00E45FEB"/>
    <w:rsid w:val="00E46009"/>
    <w:rsid w:val="00E460FB"/>
    <w:rsid w:val="00E4619B"/>
    <w:rsid w:val="00E4620B"/>
    <w:rsid w:val="00E46262"/>
    <w:rsid w:val="00E46287"/>
    <w:rsid w:val="00E462F9"/>
    <w:rsid w:val="00E462FB"/>
    <w:rsid w:val="00E463B2"/>
    <w:rsid w:val="00E464C5"/>
    <w:rsid w:val="00E46611"/>
    <w:rsid w:val="00E466F9"/>
    <w:rsid w:val="00E4680F"/>
    <w:rsid w:val="00E46887"/>
    <w:rsid w:val="00E468F4"/>
    <w:rsid w:val="00E4694A"/>
    <w:rsid w:val="00E46A70"/>
    <w:rsid w:val="00E46B1F"/>
    <w:rsid w:val="00E46B5E"/>
    <w:rsid w:val="00E46B79"/>
    <w:rsid w:val="00E46B86"/>
    <w:rsid w:val="00E46BE0"/>
    <w:rsid w:val="00E46BE1"/>
    <w:rsid w:val="00E46C0A"/>
    <w:rsid w:val="00E46C51"/>
    <w:rsid w:val="00E46C57"/>
    <w:rsid w:val="00E46C64"/>
    <w:rsid w:val="00E46C72"/>
    <w:rsid w:val="00E46CDE"/>
    <w:rsid w:val="00E46CE2"/>
    <w:rsid w:val="00E46D47"/>
    <w:rsid w:val="00E46D5F"/>
    <w:rsid w:val="00E46DF1"/>
    <w:rsid w:val="00E46E6F"/>
    <w:rsid w:val="00E46EA9"/>
    <w:rsid w:val="00E46F16"/>
    <w:rsid w:val="00E46F53"/>
    <w:rsid w:val="00E46F54"/>
    <w:rsid w:val="00E47052"/>
    <w:rsid w:val="00E47109"/>
    <w:rsid w:val="00E47159"/>
    <w:rsid w:val="00E471FF"/>
    <w:rsid w:val="00E47223"/>
    <w:rsid w:val="00E47267"/>
    <w:rsid w:val="00E4728E"/>
    <w:rsid w:val="00E47397"/>
    <w:rsid w:val="00E473C7"/>
    <w:rsid w:val="00E473ED"/>
    <w:rsid w:val="00E474DB"/>
    <w:rsid w:val="00E47552"/>
    <w:rsid w:val="00E47565"/>
    <w:rsid w:val="00E4758A"/>
    <w:rsid w:val="00E47645"/>
    <w:rsid w:val="00E47748"/>
    <w:rsid w:val="00E47798"/>
    <w:rsid w:val="00E477A9"/>
    <w:rsid w:val="00E477B3"/>
    <w:rsid w:val="00E477D1"/>
    <w:rsid w:val="00E477E1"/>
    <w:rsid w:val="00E4784C"/>
    <w:rsid w:val="00E47856"/>
    <w:rsid w:val="00E47870"/>
    <w:rsid w:val="00E47987"/>
    <w:rsid w:val="00E479C0"/>
    <w:rsid w:val="00E47A3B"/>
    <w:rsid w:val="00E47A97"/>
    <w:rsid w:val="00E47AAA"/>
    <w:rsid w:val="00E47ACE"/>
    <w:rsid w:val="00E47C1B"/>
    <w:rsid w:val="00E47C6D"/>
    <w:rsid w:val="00E47C8A"/>
    <w:rsid w:val="00E47CC5"/>
    <w:rsid w:val="00E47CCA"/>
    <w:rsid w:val="00E47D92"/>
    <w:rsid w:val="00E47E19"/>
    <w:rsid w:val="00E47E31"/>
    <w:rsid w:val="00E47E51"/>
    <w:rsid w:val="00E47E61"/>
    <w:rsid w:val="00E47EAB"/>
    <w:rsid w:val="00E50075"/>
    <w:rsid w:val="00E500D9"/>
    <w:rsid w:val="00E50110"/>
    <w:rsid w:val="00E501D1"/>
    <w:rsid w:val="00E501ED"/>
    <w:rsid w:val="00E50244"/>
    <w:rsid w:val="00E5028F"/>
    <w:rsid w:val="00E5029D"/>
    <w:rsid w:val="00E5029F"/>
    <w:rsid w:val="00E502CD"/>
    <w:rsid w:val="00E50328"/>
    <w:rsid w:val="00E503B0"/>
    <w:rsid w:val="00E50483"/>
    <w:rsid w:val="00E504C7"/>
    <w:rsid w:val="00E504E7"/>
    <w:rsid w:val="00E504EF"/>
    <w:rsid w:val="00E5054E"/>
    <w:rsid w:val="00E5056C"/>
    <w:rsid w:val="00E505CE"/>
    <w:rsid w:val="00E505D1"/>
    <w:rsid w:val="00E5065E"/>
    <w:rsid w:val="00E5070E"/>
    <w:rsid w:val="00E507B2"/>
    <w:rsid w:val="00E507C6"/>
    <w:rsid w:val="00E50847"/>
    <w:rsid w:val="00E5089C"/>
    <w:rsid w:val="00E50954"/>
    <w:rsid w:val="00E5095E"/>
    <w:rsid w:val="00E50978"/>
    <w:rsid w:val="00E50999"/>
    <w:rsid w:val="00E509A5"/>
    <w:rsid w:val="00E509BC"/>
    <w:rsid w:val="00E509F8"/>
    <w:rsid w:val="00E50A13"/>
    <w:rsid w:val="00E50A16"/>
    <w:rsid w:val="00E50BA2"/>
    <w:rsid w:val="00E50BA9"/>
    <w:rsid w:val="00E50C2C"/>
    <w:rsid w:val="00E50C59"/>
    <w:rsid w:val="00E50CD4"/>
    <w:rsid w:val="00E50CDE"/>
    <w:rsid w:val="00E50D18"/>
    <w:rsid w:val="00E50DB1"/>
    <w:rsid w:val="00E50DD8"/>
    <w:rsid w:val="00E50E06"/>
    <w:rsid w:val="00E50E43"/>
    <w:rsid w:val="00E50E56"/>
    <w:rsid w:val="00E50E90"/>
    <w:rsid w:val="00E50EA7"/>
    <w:rsid w:val="00E50EAF"/>
    <w:rsid w:val="00E50ECE"/>
    <w:rsid w:val="00E50F07"/>
    <w:rsid w:val="00E50F48"/>
    <w:rsid w:val="00E51085"/>
    <w:rsid w:val="00E51126"/>
    <w:rsid w:val="00E5112C"/>
    <w:rsid w:val="00E51154"/>
    <w:rsid w:val="00E512DB"/>
    <w:rsid w:val="00E512F4"/>
    <w:rsid w:val="00E512FA"/>
    <w:rsid w:val="00E51363"/>
    <w:rsid w:val="00E51370"/>
    <w:rsid w:val="00E5141A"/>
    <w:rsid w:val="00E51447"/>
    <w:rsid w:val="00E51630"/>
    <w:rsid w:val="00E5178E"/>
    <w:rsid w:val="00E517D6"/>
    <w:rsid w:val="00E51822"/>
    <w:rsid w:val="00E518CE"/>
    <w:rsid w:val="00E51930"/>
    <w:rsid w:val="00E5194B"/>
    <w:rsid w:val="00E51A26"/>
    <w:rsid w:val="00E51B9D"/>
    <w:rsid w:val="00E51B9F"/>
    <w:rsid w:val="00E51BC7"/>
    <w:rsid w:val="00E51CB5"/>
    <w:rsid w:val="00E51D9D"/>
    <w:rsid w:val="00E51DA9"/>
    <w:rsid w:val="00E51E63"/>
    <w:rsid w:val="00E51E89"/>
    <w:rsid w:val="00E51FDD"/>
    <w:rsid w:val="00E52035"/>
    <w:rsid w:val="00E52095"/>
    <w:rsid w:val="00E520E6"/>
    <w:rsid w:val="00E52135"/>
    <w:rsid w:val="00E52160"/>
    <w:rsid w:val="00E521B8"/>
    <w:rsid w:val="00E521F9"/>
    <w:rsid w:val="00E5226B"/>
    <w:rsid w:val="00E52273"/>
    <w:rsid w:val="00E52279"/>
    <w:rsid w:val="00E522C8"/>
    <w:rsid w:val="00E523AC"/>
    <w:rsid w:val="00E52405"/>
    <w:rsid w:val="00E5242B"/>
    <w:rsid w:val="00E5244D"/>
    <w:rsid w:val="00E524AE"/>
    <w:rsid w:val="00E524D5"/>
    <w:rsid w:val="00E52582"/>
    <w:rsid w:val="00E525A4"/>
    <w:rsid w:val="00E52651"/>
    <w:rsid w:val="00E526DB"/>
    <w:rsid w:val="00E52789"/>
    <w:rsid w:val="00E527DB"/>
    <w:rsid w:val="00E52872"/>
    <w:rsid w:val="00E52914"/>
    <w:rsid w:val="00E52975"/>
    <w:rsid w:val="00E529AA"/>
    <w:rsid w:val="00E529C2"/>
    <w:rsid w:val="00E529EF"/>
    <w:rsid w:val="00E529FE"/>
    <w:rsid w:val="00E52A68"/>
    <w:rsid w:val="00E52AF7"/>
    <w:rsid w:val="00E52B00"/>
    <w:rsid w:val="00E52B15"/>
    <w:rsid w:val="00E52B3F"/>
    <w:rsid w:val="00E52B66"/>
    <w:rsid w:val="00E52BBF"/>
    <w:rsid w:val="00E52BF3"/>
    <w:rsid w:val="00E52C2B"/>
    <w:rsid w:val="00E52CB0"/>
    <w:rsid w:val="00E52DAA"/>
    <w:rsid w:val="00E52DB8"/>
    <w:rsid w:val="00E52E87"/>
    <w:rsid w:val="00E52EAE"/>
    <w:rsid w:val="00E52F02"/>
    <w:rsid w:val="00E52F07"/>
    <w:rsid w:val="00E52F1D"/>
    <w:rsid w:val="00E52F2D"/>
    <w:rsid w:val="00E52FE9"/>
    <w:rsid w:val="00E53028"/>
    <w:rsid w:val="00E53054"/>
    <w:rsid w:val="00E530C2"/>
    <w:rsid w:val="00E5318F"/>
    <w:rsid w:val="00E531A4"/>
    <w:rsid w:val="00E5324E"/>
    <w:rsid w:val="00E532BA"/>
    <w:rsid w:val="00E532F6"/>
    <w:rsid w:val="00E53319"/>
    <w:rsid w:val="00E5337A"/>
    <w:rsid w:val="00E533E4"/>
    <w:rsid w:val="00E533F7"/>
    <w:rsid w:val="00E53533"/>
    <w:rsid w:val="00E5356D"/>
    <w:rsid w:val="00E53579"/>
    <w:rsid w:val="00E53589"/>
    <w:rsid w:val="00E535B0"/>
    <w:rsid w:val="00E535E1"/>
    <w:rsid w:val="00E535EC"/>
    <w:rsid w:val="00E53650"/>
    <w:rsid w:val="00E536E6"/>
    <w:rsid w:val="00E536EC"/>
    <w:rsid w:val="00E5374B"/>
    <w:rsid w:val="00E53795"/>
    <w:rsid w:val="00E5380D"/>
    <w:rsid w:val="00E53824"/>
    <w:rsid w:val="00E539C8"/>
    <w:rsid w:val="00E53A66"/>
    <w:rsid w:val="00E53A69"/>
    <w:rsid w:val="00E53B92"/>
    <w:rsid w:val="00E53B9D"/>
    <w:rsid w:val="00E53C2A"/>
    <w:rsid w:val="00E53C4A"/>
    <w:rsid w:val="00E53E30"/>
    <w:rsid w:val="00E53E50"/>
    <w:rsid w:val="00E53E8D"/>
    <w:rsid w:val="00E53EB2"/>
    <w:rsid w:val="00E53F07"/>
    <w:rsid w:val="00E53F57"/>
    <w:rsid w:val="00E53FE3"/>
    <w:rsid w:val="00E54049"/>
    <w:rsid w:val="00E54073"/>
    <w:rsid w:val="00E54083"/>
    <w:rsid w:val="00E5414D"/>
    <w:rsid w:val="00E54164"/>
    <w:rsid w:val="00E54168"/>
    <w:rsid w:val="00E5418B"/>
    <w:rsid w:val="00E541D7"/>
    <w:rsid w:val="00E541F3"/>
    <w:rsid w:val="00E5423F"/>
    <w:rsid w:val="00E5438B"/>
    <w:rsid w:val="00E5446B"/>
    <w:rsid w:val="00E54499"/>
    <w:rsid w:val="00E544D5"/>
    <w:rsid w:val="00E54524"/>
    <w:rsid w:val="00E54527"/>
    <w:rsid w:val="00E54596"/>
    <w:rsid w:val="00E5460F"/>
    <w:rsid w:val="00E54621"/>
    <w:rsid w:val="00E5473B"/>
    <w:rsid w:val="00E5479B"/>
    <w:rsid w:val="00E547B3"/>
    <w:rsid w:val="00E5482A"/>
    <w:rsid w:val="00E548D8"/>
    <w:rsid w:val="00E5497C"/>
    <w:rsid w:val="00E549BA"/>
    <w:rsid w:val="00E54A03"/>
    <w:rsid w:val="00E54A21"/>
    <w:rsid w:val="00E54A2D"/>
    <w:rsid w:val="00E54A52"/>
    <w:rsid w:val="00E54ACC"/>
    <w:rsid w:val="00E54BE2"/>
    <w:rsid w:val="00E54C0D"/>
    <w:rsid w:val="00E54C16"/>
    <w:rsid w:val="00E54C24"/>
    <w:rsid w:val="00E54C5C"/>
    <w:rsid w:val="00E54D07"/>
    <w:rsid w:val="00E54D64"/>
    <w:rsid w:val="00E54DB2"/>
    <w:rsid w:val="00E54EB6"/>
    <w:rsid w:val="00E54EEA"/>
    <w:rsid w:val="00E54F11"/>
    <w:rsid w:val="00E54F1C"/>
    <w:rsid w:val="00E54F22"/>
    <w:rsid w:val="00E54F83"/>
    <w:rsid w:val="00E54FE5"/>
    <w:rsid w:val="00E5506D"/>
    <w:rsid w:val="00E551CB"/>
    <w:rsid w:val="00E551E0"/>
    <w:rsid w:val="00E55211"/>
    <w:rsid w:val="00E552AB"/>
    <w:rsid w:val="00E552F4"/>
    <w:rsid w:val="00E55310"/>
    <w:rsid w:val="00E55317"/>
    <w:rsid w:val="00E55343"/>
    <w:rsid w:val="00E55383"/>
    <w:rsid w:val="00E553C0"/>
    <w:rsid w:val="00E553DD"/>
    <w:rsid w:val="00E55412"/>
    <w:rsid w:val="00E5544A"/>
    <w:rsid w:val="00E55487"/>
    <w:rsid w:val="00E5551C"/>
    <w:rsid w:val="00E55536"/>
    <w:rsid w:val="00E555F0"/>
    <w:rsid w:val="00E555FA"/>
    <w:rsid w:val="00E55672"/>
    <w:rsid w:val="00E55700"/>
    <w:rsid w:val="00E55795"/>
    <w:rsid w:val="00E557F3"/>
    <w:rsid w:val="00E5586E"/>
    <w:rsid w:val="00E558D6"/>
    <w:rsid w:val="00E55901"/>
    <w:rsid w:val="00E55915"/>
    <w:rsid w:val="00E55922"/>
    <w:rsid w:val="00E5594F"/>
    <w:rsid w:val="00E55A1C"/>
    <w:rsid w:val="00E55A33"/>
    <w:rsid w:val="00E55A89"/>
    <w:rsid w:val="00E55A98"/>
    <w:rsid w:val="00E55ABF"/>
    <w:rsid w:val="00E55ACD"/>
    <w:rsid w:val="00E55B40"/>
    <w:rsid w:val="00E55C56"/>
    <w:rsid w:val="00E55CBA"/>
    <w:rsid w:val="00E55D05"/>
    <w:rsid w:val="00E55D07"/>
    <w:rsid w:val="00E55D13"/>
    <w:rsid w:val="00E55D40"/>
    <w:rsid w:val="00E55D74"/>
    <w:rsid w:val="00E55D87"/>
    <w:rsid w:val="00E55E47"/>
    <w:rsid w:val="00E55EA0"/>
    <w:rsid w:val="00E55EC7"/>
    <w:rsid w:val="00E55ED1"/>
    <w:rsid w:val="00E55EED"/>
    <w:rsid w:val="00E55F1C"/>
    <w:rsid w:val="00E55F61"/>
    <w:rsid w:val="00E55F74"/>
    <w:rsid w:val="00E56055"/>
    <w:rsid w:val="00E560D3"/>
    <w:rsid w:val="00E5616B"/>
    <w:rsid w:val="00E561E4"/>
    <w:rsid w:val="00E56211"/>
    <w:rsid w:val="00E562C0"/>
    <w:rsid w:val="00E562EB"/>
    <w:rsid w:val="00E56409"/>
    <w:rsid w:val="00E56479"/>
    <w:rsid w:val="00E564B4"/>
    <w:rsid w:val="00E564C9"/>
    <w:rsid w:val="00E564E6"/>
    <w:rsid w:val="00E56512"/>
    <w:rsid w:val="00E5653B"/>
    <w:rsid w:val="00E5657F"/>
    <w:rsid w:val="00E565C9"/>
    <w:rsid w:val="00E565EF"/>
    <w:rsid w:val="00E5662E"/>
    <w:rsid w:val="00E5663D"/>
    <w:rsid w:val="00E56681"/>
    <w:rsid w:val="00E566C5"/>
    <w:rsid w:val="00E566CB"/>
    <w:rsid w:val="00E566F9"/>
    <w:rsid w:val="00E567E7"/>
    <w:rsid w:val="00E567ED"/>
    <w:rsid w:val="00E568CA"/>
    <w:rsid w:val="00E56957"/>
    <w:rsid w:val="00E5696A"/>
    <w:rsid w:val="00E56A84"/>
    <w:rsid w:val="00E56B10"/>
    <w:rsid w:val="00E56B1D"/>
    <w:rsid w:val="00E56B61"/>
    <w:rsid w:val="00E56BAA"/>
    <w:rsid w:val="00E56C90"/>
    <w:rsid w:val="00E56CA9"/>
    <w:rsid w:val="00E56CBC"/>
    <w:rsid w:val="00E56D00"/>
    <w:rsid w:val="00E56D0F"/>
    <w:rsid w:val="00E56D89"/>
    <w:rsid w:val="00E56DB0"/>
    <w:rsid w:val="00E56E2C"/>
    <w:rsid w:val="00E56F0A"/>
    <w:rsid w:val="00E56F2E"/>
    <w:rsid w:val="00E56FC1"/>
    <w:rsid w:val="00E56FEB"/>
    <w:rsid w:val="00E56FF3"/>
    <w:rsid w:val="00E5700E"/>
    <w:rsid w:val="00E57087"/>
    <w:rsid w:val="00E5714E"/>
    <w:rsid w:val="00E57195"/>
    <w:rsid w:val="00E5723A"/>
    <w:rsid w:val="00E572B7"/>
    <w:rsid w:val="00E57335"/>
    <w:rsid w:val="00E57370"/>
    <w:rsid w:val="00E57379"/>
    <w:rsid w:val="00E5741C"/>
    <w:rsid w:val="00E5744A"/>
    <w:rsid w:val="00E5745B"/>
    <w:rsid w:val="00E5758D"/>
    <w:rsid w:val="00E57699"/>
    <w:rsid w:val="00E576CC"/>
    <w:rsid w:val="00E57706"/>
    <w:rsid w:val="00E57773"/>
    <w:rsid w:val="00E5779A"/>
    <w:rsid w:val="00E577D0"/>
    <w:rsid w:val="00E578B7"/>
    <w:rsid w:val="00E578EE"/>
    <w:rsid w:val="00E57903"/>
    <w:rsid w:val="00E5795C"/>
    <w:rsid w:val="00E579B2"/>
    <w:rsid w:val="00E579C0"/>
    <w:rsid w:val="00E579E3"/>
    <w:rsid w:val="00E57A38"/>
    <w:rsid w:val="00E57A88"/>
    <w:rsid w:val="00E57AFC"/>
    <w:rsid w:val="00E57B67"/>
    <w:rsid w:val="00E57B8C"/>
    <w:rsid w:val="00E57B96"/>
    <w:rsid w:val="00E57C0F"/>
    <w:rsid w:val="00E57C2C"/>
    <w:rsid w:val="00E57CDC"/>
    <w:rsid w:val="00E57CE7"/>
    <w:rsid w:val="00E57D41"/>
    <w:rsid w:val="00E57D98"/>
    <w:rsid w:val="00E57DF4"/>
    <w:rsid w:val="00E57E7A"/>
    <w:rsid w:val="00E57E89"/>
    <w:rsid w:val="00E57EDE"/>
    <w:rsid w:val="00E57EFC"/>
    <w:rsid w:val="00E57F1A"/>
    <w:rsid w:val="00E57F35"/>
    <w:rsid w:val="00E57FA6"/>
    <w:rsid w:val="00E6001B"/>
    <w:rsid w:val="00E6009A"/>
    <w:rsid w:val="00E60169"/>
    <w:rsid w:val="00E60211"/>
    <w:rsid w:val="00E60222"/>
    <w:rsid w:val="00E60225"/>
    <w:rsid w:val="00E602B0"/>
    <w:rsid w:val="00E60311"/>
    <w:rsid w:val="00E6034B"/>
    <w:rsid w:val="00E6039E"/>
    <w:rsid w:val="00E60446"/>
    <w:rsid w:val="00E6045F"/>
    <w:rsid w:val="00E6054B"/>
    <w:rsid w:val="00E605CA"/>
    <w:rsid w:val="00E605E1"/>
    <w:rsid w:val="00E60620"/>
    <w:rsid w:val="00E606D8"/>
    <w:rsid w:val="00E606DE"/>
    <w:rsid w:val="00E60774"/>
    <w:rsid w:val="00E60799"/>
    <w:rsid w:val="00E6083F"/>
    <w:rsid w:val="00E6087B"/>
    <w:rsid w:val="00E608D1"/>
    <w:rsid w:val="00E608DE"/>
    <w:rsid w:val="00E608F8"/>
    <w:rsid w:val="00E6094F"/>
    <w:rsid w:val="00E60956"/>
    <w:rsid w:val="00E60982"/>
    <w:rsid w:val="00E609A0"/>
    <w:rsid w:val="00E609F4"/>
    <w:rsid w:val="00E60A25"/>
    <w:rsid w:val="00E60AD9"/>
    <w:rsid w:val="00E60B3E"/>
    <w:rsid w:val="00E60B75"/>
    <w:rsid w:val="00E60CAA"/>
    <w:rsid w:val="00E60D00"/>
    <w:rsid w:val="00E60D8B"/>
    <w:rsid w:val="00E60D99"/>
    <w:rsid w:val="00E60D9E"/>
    <w:rsid w:val="00E60DAF"/>
    <w:rsid w:val="00E60E9F"/>
    <w:rsid w:val="00E60EBF"/>
    <w:rsid w:val="00E60F83"/>
    <w:rsid w:val="00E60FC8"/>
    <w:rsid w:val="00E6103E"/>
    <w:rsid w:val="00E61045"/>
    <w:rsid w:val="00E61077"/>
    <w:rsid w:val="00E61092"/>
    <w:rsid w:val="00E610BF"/>
    <w:rsid w:val="00E611AA"/>
    <w:rsid w:val="00E611CF"/>
    <w:rsid w:val="00E61218"/>
    <w:rsid w:val="00E61296"/>
    <w:rsid w:val="00E612D8"/>
    <w:rsid w:val="00E61382"/>
    <w:rsid w:val="00E613A2"/>
    <w:rsid w:val="00E613CB"/>
    <w:rsid w:val="00E613F2"/>
    <w:rsid w:val="00E6140E"/>
    <w:rsid w:val="00E61441"/>
    <w:rsid w:val="00E61501"/>
    <w:rsid w:val="00E6150B"/>
    <w:rsid w:val="00E615A8"/>
    <w:rsid w:val="00E615DB"/>
    <w:rsid w:val="00E61654"/>
    <w:rsid w:val="00E616E2"/>
    <w:rsid w:val="00E61726"/>
    <w:rsid w:val="00E6176B"/>
    <w:rsid w:val="00E61771"/>
    <w:rsid w:val="00E617B3"/>
    <w:rsid w:val="00E617F4"/>
    <w:rsid w:val="00E61863"/>
    <w:rsid w:val="00E618CF"/>
    <w:rsid w:val="00E61A28"/>
    <w:rsid w:val="00E61A3D"/>
    <w:rsid w:val="00E61AE6"/>
    <w:rsid w:val="00E61B7E"/>
    <w:rsid w:val="00E61BBF"/>
    <w:rsid w:val="00E61C07"/>
    <w:rsid w:val="00E61C0D"/>
    <w:rsid w:val="00E61C74"/>
    <w:rsid w:val="00E61CBA"/>
    <w:rsid w:val="00E61D54"/>
    <w:rsid w:val="00E61DAA"/>
    <w:rsid w:val="00E61DAE"/>
    <w:rsid w:val="00E61DE1"/>
    <w:rsid w:val="00E61E26"/>
    <w:rsid w:val="00E61EA7"/>
    <w:rsid w:val="00E61EAB"/>
    <w:rsid w:val="00E61F12"/>
    <w:rsid w:val="00E61F32"/>
    <w:rsid w:val="00E61F6A"/>
    <w:rsid w:val="00E61FF7"/>
    <w:rsid w:val="00E621A9"/>
    <w:rsid w:val="00E6221C"/>
    <w:rsid w:val="00E62229"/>
    <w:rsid w:val="00E6224F"/>
    <w:rsid w:val="00E6227E"/>
    <w:rsid w:val="00E62297"/>
    <w:rsid w:val="00E62316"/>
    <w:rsid w:val="00E62330"/>
    <w:rsid w:val="00E62378"/>
    <w:rsid w:val="00E623E5"/>
    <w:rsid w:val="00E623E9"/>
    <w:rsid w:val="00E62404"/>
    <w:rsid w:val="00E62440"/>
    <w:rsid w:val="00E6248F"/>
    <w:rsid w:val="00E624C8"/>
    <w:rsid w:val="00E624EB"/>
    <w:rsid w:val="00E624F1"/>
    <w:rsid w:val="00E624F5"/>
    <w:rsid w:val="00E6253C"/>
    <w:rsid w:val="00E62555"/>
    <w:rsid w:val="00E625AB"/>
    <w:rsid w:val="00E62684"/>
    <w:rsid w:val="00E626EB"/>
    <w:rsid w:val="00E626EC"/>
    <w:rsid w:val="00E62747"/>
    <w:rsid w:val="00E627A5"/>
    <w:rsid w:val="00E627B9"/>
    <w:rsid w:val="00E627BD"/>
    <w:rsid w:val="00E628A0"/>
    <w:rsid w:val="00E6297C"/>
    <w:rsid w:val="00E629FB"/>
    <w:rsid w:val="00E62AB3"/>
    <w:rsid w:val="00E62B02"/>
    <w:rsid w:val="00E62B43"/>
    <w:rsid w:val="00E62BBF"/>
    <w:rsid w:val="00E62C02"/>
    <w:rsid w:val="00E62CAE"/>
    <w:rsid w:val="00E62CCC"/>
    <w:rsid w:val="00E62D11"/>
    <w:rsid w:val="00E62DAA"/>
    <w:rsid w:val="00E62E00"/>
    <w:rsid w:val="00E62F09"/>
    <w:rsid w:val="00E62F25"/>
    <w:rsid w:val="00E62F38"/>
    <w:rsid w:val="00E62FA2"/>
    <w:rsid w:val="00E630B6"/>
    <w:rsid w:val="00E631BE"/>
    <w:rsid w:val="00E631FE"/>
    <w:rsid w:val="00E6329E"/>
    <w:rsid w:val="00E632CC"/>
    <w:rsid w:val="00E632D4"/>
    <w:rsid w:val="00E632E6"/>
    <w:rsid w:val="00E63303"/>
    <w:rsid w:val="00E63382"/>
    <w:rsid w:val="00E633FB"/>
    <w:rsid w:val="00E6344F"/>
    <w:rsid w:val="00E6345B"/>
    <w:rsid w:val="00E634DF"/>
    <w:rsid w:val="00E63592"/>
    <w:rsid w:val="00E635BB"/>
    <w:rsid w:val="00E63609"/>
    <w:rsid w:val="00E63624"/>
    <w:rsid w:val="00E6362B"/>
    <w:rsid w:val="00E63694"/>
    <w:rsid w:val="00E636C2"/>
    <w:rsid w:val="00E637F4"/>
    <w:rsid w:val="00E637F6"/>
    <w:rsid w:val="00E638C8"/>
    <w:rsid w:val="00E639C9"/>
    <w:rsid w:val="00E63AD4"/>
    <w:rsid w:val="00E63B05"/>
    <w:rsid w:val="00E63BB5"/>
    <w:rsid w:val="00E63C0A"/>
    <w:rsid w:val="00E63C1D"/>
    <w:rsid w:val="00E63C60"/>
    <w:rsid w:val="00E63D02"/>
    <w:rsid w:val="00E63D21"/>
    <w:rsid w:val="00E63D6B"/>
    <w:rsid w:val="00E63D98"/>
    <w:rsid w:val="00E63D9C"/>
    <w:rsid w:val="00E63DA8"/>
    <w:rsid w:val="00E63DFF"/>
    <w:rsid w:val="00E63E1D"/>
    <w:rsid w:val="00E63EB2"/>
    <w:rsid w:val="00E63F0E"/>
    <w:rsid w:val="00E6408D"/>
    <w:rsid w:val="00E640E0"/>
    <w:rsid w:val="00E640F2"/>
    <w:rsid w:val="00E64124"/>
    <w:rsid w:val="00E64149"/>
    <w:rsid w:val="00E64169"/>
    <w:rsid w:val="00E641B0"/>
    <w:rsid w:val="00E64310"/>
    <w:rsid w:val="00E64321"/>
    <w:rsid w:val="00E64441"/>
    <w:rsid w:val="00E64467"/>
    <w:rsid w:val="00E64476"/>
    <w:rsid w:val="00E6448D"/>
    <w:rsid w:val="00E644F4"/>
    <w:rsid w:val="00E64506"/>
    <w:rsid w:val="00E645B1"/>
    <w:rsid w:val="00E64626"/>
    <w:rsid w:val="00E6463A"/>
    <w:rsid w:val="00E6463C"/>
    <w:rsid w:val="00E6476B"/>
    <w:rsid w:val="00E647AB"/>
    <w:rsid w:val="00E647BF"/>
    <w:rsid w:val="00E6481B"/>
    <w:rsid w:val="00E6485B"/>
    <w:rsid w:val="00E64984"/>
    <w:rsid w:val="00E64990"/>
    <w:rsid w:val="00E649E3"/>
    <w:rsid w:val="00E64A9E"/>
    <w:rsid w:val="00E64AA3"/>
    <w:rsid w:val="00E64AC8"/>
    <w:rsid w:val="00E64B09"/>
    <w:rsid w:val="00E64B55"/>
    <w:rsid w:val="00E64B5A"/>
    <w:rsid w:val="00E64B8D"/>
    <w:rsid w:val="00E64BB4"/>
    <w:rsid w:val="00E64C0A"/>
    <w:rsid w:val="00E64C53"/>
    <w:rsid w:val="00E64C5D"/>
    <w:rsid w:val="00E64D09"/>
    <w:rsid w:val="00E64D17"/>
    <w:rsid w:val="00E64D1C"/>
    <w:rsid w:val="00E64D42"/>
    <w:rsid w:val="00E64D50"/>
    <w:rsid w:val="00E64DA6"/>
    <w:rsid w:val="00E64DBF"/>
    <w:rsid w:val="00E64E26"/>
    <w:rsid w:val="00E64E9A"/>
    <w:rsid w:val="00E64ED4"/>
    <w:rsid w:val="00E64EF7"/>
    <w:rsid w:val="00E64F07"/>
    <w:rsid w:val="00E64FD3"/>
    <w:rsid w:val="00E64FE2"/>
    <w:rsid w:val="00E64FF6"/>
    <w:rsid w:val="00E6508B"/>
    <w:rsid w:val="00E650DD"/>
    <w:rsid w:val="00E65127"/>
    <w:rsid w:val="00E65135"/>
    <w:rsid w:val="00E6514B"/>
    <w:rsid w:val="00E651D9"/>
    <w:rsid w:val="00E651EB"/>
    <w:rsid w:val="00E652E3"/>
    <w:rsid w:val="00E6536F"/>
    <w:rsid w:val="00E653F7"/>
    <w:rsid w:val="00E65411"/>
    <w:rsid w:val="00E65420"/>
    <w:rsid w:val="00E65437"/>
    <w:rsid w:val="00E654B9"/>
    <w:rsid w:val="00E6558D"/>
    <w:rsid w:val="00E655F6"/>
    <w:rsid w:val="00E656AC"/>
    <w:rsid w:val="00E656C6"/>
    <w:rsid w:val="00E6571C"/>
    <w:rsid w:val="00E65741"/>
    <w:rsid w:val="00E657F7"/>
    <w:rsid w:val="00E65906"/>
    <w:rsid w:val="00E65A1A"/>
    <w:rsid w:val="00E65AA5"/>
    <w:rsid w:val="00E65AAD"/>
    <w:rsid w:val="00E65AE3"/>
    <w:rsid w:val="00E65AE8"/>
    <w:rsid w:val="00E65C0F"/>
    <w:rsid w:val="00E65C35"/>
    <w:rsid w:val="00E65D48"/>
    <w:rsid w:val="00E65DD3"/>
    <w:rsid w:val="00E65DEB"/>
    <w:rsid w:val="00E65DF3"/>
    <w:rsid w:val="00E65E50"/>
    <w:rsid w:val="00E65F58"/>
    <w:rsid w:val="00E65F7B"/>
    <w:rsid w:val="00E66140"/>
    <w:rsid w:val="00E661B6"/>
    <w:rsid w:val="00E661D9"/>
    <w:rsid w:val="00E66223"/>
    <w:rsid w:val="00E662AA"/>
    <w:rsid w:val="00E662F5"/>
    <w:rsid w:val="00E663BE"/>
    <w:rsid w:val="00E663C1"/>
    <w:rsid w:val="00E66406"/>
    <w:rsid w:val="00E6645C"/>
    <w:rsid w:val="00E66515"/>
    <w:rsid w:val="00E665A1"/>
    <w:rsid w:val="00E665E3"/>
    <w:rsid w:val="00E66656"/>
    <w:rsid w:val="00E666FC"/>
    <w:rsid w:val="00E66742"/>
    <w:rsid w:val="00E66782"/>
    <w:rsid w:val="00E66793"/>
    <w:rsid w:val="00E667F6"/>
    <w:rsid w:val="00E66801"/>
    <w:rsid w:val="00E66825"/>
    <w:rsid w:val="00E66869"/>
    <w:rsid w:val="00E6687C"/>
    <w:rsid w:val="00E668B7"/>
    <w:rsid w:val="00E66961"/>
    <w:rsid w:val="00E66967"/>
    <w:rsid w:val="00E66991"/>
    <w:rsid w:val="00E66A0B"/>
    <w:rsid w:val="00E66A8F"/>
    <w:rsid w:val="00E66BA0"/>
    <w:rsid w:val="00E66BBD"/>
    <w:rsid w:val="00E66BDC"/>
    <w:rsid w:val="00E66C5B"/>
    <w:rsid w:val="00E66C64"/>
    <w:rsid w:val="00E66D06"/>
    <w:rsid w:val="00E66D10"/>
    <w:rsid w:val="00E66D4F"/>
    <w:rsid w:val="00E66D6A"/>
    <w:rsid w:val="00E66DA6"/>
    <w:rsid w:val="00E66E9F"/>
    <w:rsid w:val="00E66ED1"/>
    <w:rsid w:val="00E66FA7"/>
    <w:rsid w:val="00E66FDB"/>
    <w:rsid w:val="00E670AB"/>
    <w:rsid w:val="00E6710A"/>
    <w:rsid w:val="00E6723E"/>
    <w:rsid w:val="00E672A0"/>
    <w:rsid w:val="00E672C3"/>
    <w:rsid w:val="00E67328"/>
    <w:rsid w:val="00E67344"/>
    <w:rsid w:val="00E67394"/>
    <w:rsid w:val="00E67418"/>
    <w:rsid w:val="00E674D0"/>
    <w:rsid w:val="00E674F1"/>
    <w:rsid w:val="00E67508"/>
    <w:rsid w:val="00E675C3"/>
    <w:rsid w:val="00E675C9"/>
    <w:rsid w:val="00E675DB"/>
    <w:rsid w:val="00E67604"/>
    <w:rsid w:val="00E6769F"/>
    <w:rsid w:val="00E676B9"/>
    <w:rsid w:val="00E676F3"/>
    <w:rsid w:val="00E67713"/>
    <w:rsid w:val="00E6774D"/>
    <w:rsid w:val="00E67757"/>
    <w:rsid w:val="00E677A9"/>
    <w:rsid w:val="00E677F5"/>
    <w:rsid w:val="00E67884"/>
    <w:rsid w:val="00E678FD"/>
    <w:rsid w:val="00E6795F"/>
    <w:rsid w:val="00E679FA"/>
    <w:rsid w:val="00E67A00"/>
    <w:rsid w:val="00E67A1B"/>
    <w:rsid w:val="00E67A5A"/>
    <w:rsid w:val="00E67A72"/>
    <w:rsid w:val="00E67A90"/>
    <w:rsid w:val="00E67AFC"/>
    <w:rsid w:val="00E67B7E"/>
    <w:rsid w:val="00E67B95"/>
    <w:rsid w:val="00E67D67"/>
    <w:rsid w:val="00E67D75"/>
    <w:rsid w:val="00E67D79"/>
    <w:rsid w:val="00E67D80"/>
    <w:rsid w:val="00E67E19"/>
    <w:rsid w:val="00E67E59"/>
    <w:rsid w:val="00E67E78"/>
    <w:rsid w:val="00E67E90"/>
    <w:rsid w:val="00E67EBB"/>
    <w:rsid w:val="00E67F38"/>
    <w:rsid w:val="00E67F6B"/>
    <w:rsid w:val="00E67FC4"/>
    <w:rsid w:val="00E700AD"/>
    <w:rsid w:val="00E700D9"/>
    <w:rsid w:val="00E7014A"/>
    <w:rsid w:val="00E701BD"/>
    <w:rsid w:val="00E70284"/>
    <w:rsid w:val="00E70316"/>
    <w:rsid w:val="00E7039A"/>
    <w:rsid w:val="00E703AA"/>
    <w:rsid w:val="00E703AD"/>
    <w:rsid w:val="00E7047A"/>
    <w:rsid w:val="00E704E4"/>
    <w:rsid w:val="00E7053A"/>
    <w:rsid w:val="00E70570"/>
    <w:rsid w:val="00E7060A"/>
    <w:rsid w:val="00E70650"/>
    <w:rsid w:val="00E70657"/>
    <w:rsid w:val="00E70677"/>
    <w:rsid w:val="00E70697"/>
    <w:rsid w:val="00E70731"/>
    <w:rsid w:val="00E70735"/>
    <w:rsid w:val="00E70740"/>
    <w:rsid w:val="00E70799"/>
    <w:rsid w:val="00E707C4"/>
    <w:rsid w:val="00E707EA"/>
    <w:rsid w:val="00E707FF"/>
    <w:rsid w:val="00E70890"/>
    <w:rsid w:val="00E708D1"/>
    <w:rsid w:val="00E70962"/>
    <w:rsid w:val="00E70965"/>
    <w:rsid w:val="00E70975"/>
    <w:rsid w:val="00E70A2D"/>
    <w:rsid w:val="00E70A32"/>
    <w:rsid w:val="00E70B26"/>
    <w:rsid w:val="00E70B68"/>
    <w:rsid w:val="00E70C10"/>
    <w:rsid w:val="00E70C16"/>
    <w:rsid w:val="00E70C88"/>
    <w:rsid w:val="00E70CCB"/>
    <w:rsid w:val="00E70CF6"/>
    <w:rsid w:val="00E70D73"/>
    <w:rsid w:val="00E70E43"/>
    <w:rsid w:val="00E70E94"/>
    <w:rsid w:val="00E70EFE"/>
    <w:rsid w:val="00E70F01"/>
    <w:rsid w:val="00E70F20"/>
    <w:rsid w:val="00E70F29"/>
    <w:rsid w:val="00E70F99"/>
    <w:rsid w:val="00E7103F"/>
    <w:rsid w:val="00E710F2"/>
    <w:rsid w:val="00E71122"/>
    <w:rsid w:val="00E71162"/>
    <w:rsid w:val="00E712CC"/>
    <w:rsid w:val="00E712E5"/>
    <w:rsid w:val="00E71323"/>
    <w:rsid w:val="00E71383"/>
    <w:rsid w:val="00E714BA"/>
    <w:rsid w:val="00E714BF"/>
    <w:rsid w:val="00E7165C"/>
    <w:rsid w:val="00E71687"/>
    <w:rsid w:val="00E716EB"/>
    <w:rsid w:val="00E7174F"/>
    <w:rsid w:val="00E7178C"/>
    <w:rsid w:val="00E7179B"/>
    <w:rsid w:val="00E717A0"/>
    <w:rsid w:val="00E717E2"/>
    <w:rsid w:val="00E7186F"/>
    <w:rsid w:val="00E7189C"/>
    <w:rsid w:val="00E718B2"/>
    <w:rsid w:val="00E718BA"/>
    <w:rsid w:val="00E718BD"/>
    <w:rsid w:val="00E718CA"/>
    <w:rsid w:val="00E718F7"/>
    <w:rsid w:val="00E71958"/>
    <w:rsid w:val="00E71995"/>
    <w:rsid w:val="00E71B89"/>
    <w:rsid w:val="00E71BCB"/>
    <w:rsid w:val="00E71BD6"/>
    <w:rsid w:val="00E71BF2"/>
    <w:rsid w:val="00E71C49"/>
    <w:rsid w:val="00E71CA7"/>
    <w:rsid w:val="00E71CE5"/>
    <w:rsid w:val="00E71D3B"/>
    <w:rsid w:val="00E71D8A"/>
    <w:rsid w:val="00E71DD2"/>
    <w:rsid w:val="00E71DD3"/>
    <w:rsid w:val="00E71E6B"/>
    <w:rsid w:val="00E71F50"/>
    <w:rsid w:val="00E71FDC"/>
    <w:rsid w:val="00E71FFA"/>
    <w:rsid w:val="00E7213B"/>
    <w:rsid w:val="00E7219C"/>
    <w:rsid w:val="00E721CC"/>
    <w:rsid w:val="00E72234"/>
    <w:rsid w:val="00E72238"/>
    <w:rsid w:val="00E72293"/>
    <w:rsid w:val="00E72299"/>
    <w:rsid w:val="00E722AA"/>
    <w:rsid w:val="00E722AC"/>
    <w:rsid w:val="00E72308"/>
    <w:rsid w:val="00E72316"/>
    <w:rsid w:val="00E72328"/>
    <w:rsid w:val="00E72339"/>
    <w:rsid w:val="00E724DF"/>
    <w:rsid w:val="00E72584"/>
    <w:rsid w:val="00E7258F"/>
    <w:rsid w:val="00E725EA"/>
    <w:rsid w:val="00E72680"/>
    <w:rsid w:val="00E7271D"/>
    <w:rsid w:val="00E7276C"/>
    <w:rsid w:val="00E727A2"/>
    <w:rsid w:val="00E727CE"/>
    <w:rsid w:val="00E727E5"/>
    <w:rsid w:val="00E727E7"/>
    <w:rsid w:val="00E72895"/>
    <w:rsid w:val="00E728A7"/>
    <w:rsid w:val="00E7295F"/>
    <w:rsid w:val="00E7298A"/>
    <w:rsid w:val="00E72A3C"/>
    <w:rsid w:val="00E72A77"/>
    <w:rsid w:val="00E72B4C"/>
    <w:rsid w:val="00E72B7B"/>
    <w:rsid w:val="00E72BB9"/>
    <w:rsid w:val="00E72C32"/>
    <w:rsid w:val="00E72C50"/>
    <w:rsid w:val="00E72C67"/>
    <w:rsid w:val="00E72D46"/>
    <w:rsid w:val="00E72D56"/>
    <w:rsid w:val="00E72DAE"/>
    <w:rsid w:val="00E72E7F"/>
    <w:rsid w:val="00E72EE2"/>
    <w:rsid w:val="00E72F16"/>
    <w:rsid w:val="00E72F74"/>
    <w:rsid w:val="00E72F92"/>
    <w:rsid w:val="00E72FE9"/>
    <w:rsid w:val="00E7302F"/>
    <w:rsid w:val="00E7307A"/>
    <w:rsid w:val="00E730F8"/>
    <w:rsid w:val="00E73105"/>
    <w:rsid w:val="00E7311C"/>
    <w:rsid w:val="00E7317B"/>
    <w:rsid w:val="00E73194"/>
    <w:rsid w:val="00E73205"/>
    <w:rsid w:val="00E7329E"/>
    <w:rsid w:val="00E732ED"/>
    <w:rsid w:val="00E73307"/>
    <w:rsid w:val="00E73316"/>
    <w:rsid w:val="00E73318"/>
    <w:rsid w:val="00E73325"/>
    <w:rsid w:val="00E73336"/>
    <w:rsid w:val="00E73352"/>
    <w:rsid w:val="00E733A7"/>
    <w:rsid w:val="00E733ED"/>
    <w:rsid w:val="00E733FA"/>
    <w:rsid w:val="00E7340F"/>
    <w:rsid w:val="00E7352C"/>
    <w:rsid w:val="00E73606"/>
    <w:rsid w:val="00E73684"/>
    <w:rsid w:val="00E736CE"/>
    <w:rsid w:val="00E736E0"/>
    <w:rsid w:val="00E7388F"/>
    <w:rsid w:val="00E738AA"/>
    <w:rsid w:val="00E738AD"/>
    <w:rsid w:val="00E738CF"/>
    <w:rsid w:val="00E73934"/>
    <w:rsid w:val="00E73A04"/>
    <w:rsid w:val="00E73A16"/>
    <w:rsid w:val="00E73A5A"/>
    <w:rsid w:val="00E73B73"/>
    <w:rsid w:val="00E73BA6"/>
    <w:rsid w:val="00E73BD3"/>
    <w:rsid w:val="00E73BF7"/>
    <w:rsid w:val="00E73C09"/>
    <w:rsid w:val="00E73CFD"/>
    <w:rsid w:val="00E73D6E"/>
    <w:rsid w:val="00E73E2B"/>
    <w:rsid w:val="00E73F35"/>
    <w:rsid w:val="00E73F6C"/>
    <w:rsid w:val="00E74077"/>
    <w:rsid w:val="00E74171"/>
    <w:rsid w:val="00E74182"/>
    <w:rsid w:val="00E741A0"/>
    <w:rsid w:val="00E741A6"/>
    <w:rsid w:val="00E741BB"/>
    <w:rsid w:val="00E741FF"/>
    <w:rsid w:val="00E74312"/>
    <w:rsid w:val="00E74377"/>
    <w:rsid w:val="00E743B7"/>
    <w:rsid w:val="00E743F0"/>
    <w:rsid w:val="00E7447C"/>
    <w:rsid w:val="00E74486"/>
    <w:rsid w:val="00E7451E"/>
    <w:rsid w:val="00E74532"/>
    <w:rsid w:val="00E74543"/>
    <w:rsid w:val="00E74591"/>
    <w:rsid w:val="00E74720"/>
    <w:rsid w:val="00E747B9"/>
    <w:rsid w:val="00E74815"/>
    <w:rsid w:val="00E74840"/>
    <w:rsid w:val="00E7484E"/>
    <w:rsid w:val="00E7488D"/>
    <w:rsid w:val="00E748B5"/>
    <w:rsid w:val="00E749CA"/>
    <w:rsid w:val="00E74AAA"/>
    <w:rsid w:val="00E74AB4"/>
    <w:rsid w:val="00E74ADB"/>
    <w:rsid w:val="00E74AE1"/>
    <w:rsid w:val="00E74B76"/>
    <w:rsid w:val="00E74B9C"/>
    <w:rsid w:val="00E74C25"/>
    <w:rsid w:val="00E74C44"/>
    <w:rsid w:val="00E74C9C"/>
    <w:rsid w:val="00E74CFC"/>
    <w:rsid w:val="00E74DAB"/>
    <w:rsid w:val="00E74DB4"/>
    <w:rsid w:val="00E74E4D"/>
    <w:rsid w:val="00E74ED9"/>
    <w:rsid w:val="00E74F5D"/>
    <w:rsid w:val="00E74FAF"/>
    <w:rsid w:val="00E75028"/>
    <w:rsid w:val="00E7504A"/>
    <w:rsid w:val="00E75070"/>
    <w:rsid w:val="00E750EB"/>
    <w:rsid w:val="00E750EE"/>
    <w:rsid w:val="00E750F2"/>
    <w:rsid w:val="00E7513E"/>
    <w:rsid w:val="00E7513F"/>
    <w:rsid w:val="00E7515C"/>
    <w:rsid w:val="00E751BB"/>
    <w:rsid w:val="00E751F6"/>
    <w:rsid w:val="00E75277"/>
    <w:rsid w:val="00E75344"/>
    <w:rsid w:val="00E75422"/>
    <w:rsid w:val="00E754B8"/>
    <w:rsid w:val="00E75550"/>
    <w:rsid w:val="00E756BB"/>
    <w:rsid w:val="00E75707"/>
    <w:rsid w:val="00E757B8"/>
    <w:rsid w:val="00E7580C"/>
    <w:rsid w:val="00E7592A"/>
    <w:rsid w:val="00E7594D"/>
    <w:rsid w:val="00E7599A"/>
    <w:rsid w:val="00E759F8"/>
    <w:rsid w:val="00E75A3F"/>
    <w:rsid w:val="00E75A9A"/>
    <w:rsid w:val="00E75AF5"/>
    <w:rsid w:val="00E75B6B"/>
    <w:rsid w:val="00E75BFB"/>
    <w:rsid w:val="00E75C70"/>
    <w:rsid w:val="00E75C7B"/>
    <w:rsid w:val="00E75CD3"/>
    <w:rsid w:val="00E75E0C"/>
    <w:rsid w:val="00E75E10"/>
    <w:rsid w:val="00E75E16"/>
    <w:rsid w:val="00E75ED2"/>
    <w:rsid w:val="00E75F35"/>
    <w:rsid w:val="00E75F3E"/>
    <w:rsid w:val="00E75F81"/>
    <w:rsid w:val="00E76018"/>
    <w:rsid w:val="00E76049"/>
    <w:rsid w:val="00E7609D"/>
    <w:rsid w:val="00E760D3"/>
    <w:rsid w:val="00E76120"/>
    <w:rsid w:val="00E76283"/>
    <w:rsid w:val="00E76304"/>
    <w:rsid w:val="00E7636A"/>
    <w:rsid w:val="00E76391"/>
    <w:rsid w:val="00E76413"/>
    <w:rsid w:val="00E764FE"/>
    <w:rsid w:val="00E76520"/>
    <w:rsid w:val="00E76598"/>
    <w:rsid w:val="00E7659C"/>
    <w:rsid w:val="00E76633"/>
    <w:rsid w:val="00E76667"/>
    <w:rsid w:val="00E767B5"/>
    <w:rsid w:val="00E76851"/>
    <w:rsid w:val="00E7685B"/>
    <w:rsid w:val="00E76A6E"/>
    <w:rsid w:val="00E76AA8"/>
    <w:rsid w:val="00E76B69"/>
    <w:rsid w:val="00E76B91"/>
    <w:rsid w:val="00E76BF9"/>
    <w:rsid w:val="00E76C13"/>
    <w:rsid w:val="00E76C50"/>
    <w:rsid w:val="00E76D05"/>
    <w:rsid w:val="00E76D44"/>
    <w:rsid w:val="00E76D92"/>
    <w:rsid w:val="00E76DD9"/>
    <w:rsid w:val="00E76E21"/>
    <w:rsid w:val="00E76E6D"/>
    <w:rsid w:val="00E76E8B"/>
    <w:rsid w:val="00E76EBC"/>
    <w:rsid w:val="00E76F33"/>
    <w:rsid w:val="00E76FA3"/>
    <w:rsid w:val="00E76FFC"/>
    <w:rsid w:val="00E77037"/>
    <w:rsid w:val="00E77135"/>
    <w:rsid w:val="00E77146"/>
    <w:rsid w:val="00E7716E"/>
    <w:rsid w:val="00E77194"/>
    <w:rsid w:val="00E771B8"/>
    <w:rsid w:val="00E771D2"/>
    <w:rsid w:val="00E771F0"/>
    <w:rsid w:val="00E771FB"/>
    <w:rsid w:val="00E7720A"/>
    <w:rsid w:val="00E77270"/>
    <w:rsid w:val="00E77306"/>
    <w:rsid w:val="00E77316"/>
    <w:rsid w:val="00E77394"/>
    <w:rsid w:val="00E773C6"/>
    <w:rsid w:val="00E773F9"/>
    <w:rsid w:val="00E7743E"/>
    <w:rsid w:val="00E774E0"/>
    <w:rsid w:val="00E77554"/>
    <w:rsid w:val="00E7758C"/>
    <w:rsid w:val="00E775AF"/>
    <w:rsid w:val="00E775B6"/>
    <w:rsid w:val="00E77642"/>
    <w:rsid w:val="00E776C3"/>
    <w:rsid w:val="00E77761"/>
    <w:rsid w:val="00E7776B"/>
    <w:rsid w:val="00E7777E"/>
    <w:rsid w:val="00E777FC"/>
    <w:rsid w:val="00E77813"/>
    <w:rsid w:val="00E77857"/>
    <w:rsid w:val="00E778CB"/>
    <w:rsid w:val="00E77A51"/>
    <w:rsid w:val="00E77A5C"/>
    <w:rsid w:val="00E77AFB"/>
    <w:rsid w:val="00E77B01"/>
    <w:rsid w:val="00E77B07"/>
    <w:rsid w:val="00E77C45"/>
    <w:rsid w:val="00E77C70"/>
    <w:rsid w:val="00E77CDB"/>
    <w:rsid w:val="00E77D0E"/>
    <w:rsid w:val="00E77D23"/>
    <w:rsid w:val="00E77D84"/>
    <w:rsid w:val="00E77DDB"/>
    <w:rsid w:val="00E77DDF"/>
    <w:rsid w:val="00E77E65"/>
    <w:rsid w:val="00E77FB9"/>
    <w:rsid w:val="00E800D1"/>
    <w:rsid w:val="00E800F7"/>
    <w:rsid w:val="00E801E6"/>
    <w:rsid w:val="00E802EB"/>
    <w:rsid w:val="00E8035E"/>
    <w:rsid w:val="00E80366"/>
    <w:rsid w:val="00E8039E"/>
    <w:rsid w:val="00E804AB"/>
    <w:rsid w:val="00E804E2"/>
    <w:rsid w:val="00E8058F"/>
    <w:rsid w:val="00E80597"/>
    <w:rsid w:val="00E805B5"/>
    <w:rsid w:val="00E805BC"/>
    <w:rsid w:val="00E805E7"/>
    <w:rsid w:val="00E80616"/>
    <w:rsid w:val="00E80624"/>
    <w:rsid w:val="00E8068C"/>
    <w:rsid w:val="00E80712"/>
    <w:rsid w:val="00E807F0"/>
    <w:rsid w:val="00E807FD"/>
    <w:rsid w:val="00E8084D"/>
    <w:rsid w:val="00E8085F"/>
    <w:rsid w:val="00E8098C"/>
    <w:rsid w:val="00E809F9"/>
    <w:rsid w:val="00E80A45"/>
    <w:rsid w:val="00E80A46"/>
    <w:rsid w:val="00E80B74"/>
    <w:rsid w:val="00E80B9E"/>
    <w:rsid w:val="00E80BEA"/>
    <w:rsid w:val="00E80C09"/>
    <w:rsid w:val="00E80C29"/>
    <w:rsid w:val="00E80DA7"/>
    <w:rsid w:val="00E80DF7"/>
    <w:rsid w:val="00E80E48"/>
    <w:rsid w:val="00E80F35"/>
    <w:rsid w:val="00E80F43"/>
    <w:rsid w:val="00E81116"/>
    <w:rsid w:val="00E81120"/>
    <w:rsid w:val="00E8116E"/>
    <w:rsid w:val="00E811A3"/>
    <w:rsid w:val="00E811E0"/>
    <w:rsid w:val="00E81243"/>
    <w:rsid w:val="00E81266"/>
    <w:rsid w:val="00E8130A"/>
    <w:rsid w:val="00E81316"/>
    <w:rsid w:val="00E81326"/>
    <w:rsid w:val="00E8137D"/>
    <w:rsid w:val="00E813AF"/>
    <w:rsid w:val="00E813D9"/>
    <w:rsid w:val="00E813DE"/>
    <w:rsid w:val="00E8146D"/>
    <w:rsid w:val="00E81471"/>
    <w:rsid w:val="00E814BD"/>
    <w:rsid w:val="00E81577"/>
    <w:rsid w:val="00E81679"/>
    <w:rsid w:val="00E816D1"/>
    <w:rsid w:val="00E816F4"/>
    <w:rsid w:val="00E8178A"/>
    <w:rsid w:val="00E817FA"/>
    <w:rsid w:val="00E81859"/>
    <w:rsid w:val="00E8188A"/>
    <w:rsid w:val="00E8189D"/>
    <w:rsid w:val="00E81957"/>
    <w:rsid w:val="00E819CE"/>
    <w:rsid w:val="00E81B17"/>
    <w:rsid w:val="00E81B34"/>
    <w:rsid w:val="00E81B37"/>
    <w:rsid w:val="00E81BAB"/>
    <w:rsid w:val="00E81BBD"/>
    <w:rsid w:val="00E81D0A"/>
    <w:rsid w:val="00E81D2D"/>
    <w:rsid w:val="00E81D5C"/>
    <w:rsid w:val="00E81D69"/>
    <w:rsid w:val="00E81D88"/>
    <w:rsid w:val="00E81DA1"/>
    <w:rsid w:val="00E81DDB"/>
    <w:rsid w:val="00E81E28"/>
    <w:rsid w:val="00E81E2F"/>
    <w:rsid w:val="00E81FBC"/>
    <w:rsid w:val="00E82057"/>
    <w:rsid w:val="00E820A6"/>
    <w:rsid w:val="00E82165"/>
    <w:rsid w:val="00E8218E"/>
    <w:rsid w:val="00E821FB"/>
    <w:rsid w:val="00E8222F"/>
    <w:rsid w:val="00E82245"/>
    <w:rsid w:val="00E822CF"/>
    <w:rsid w:val="00E8237B"/>
    <w:rsid w:val="00E82395"/>
    <w:rsid w:val="00E823A5"/>
    <w:rsid w:val="00E823F5"/>
    <w:rsid w:val="00E823FF"/>
    <w:rsid w:val="00E82424"/>
    <w:rsid w:val="00E8247F"/>
    <w:rsid w:val="00E824A5"/>
    <w:rsid w:val="00E824B2"/>
    <w:rsid w:val="00E82573"/>
    <w:rsid w:val="00E825D2"/>
    <w:rsid w:val="00E825DC"/>
    <w:rsid w:val="00E82607"/>
    <w:rsid w:val="00E826C8"/>
    <w:rsid w:val="00E82704"/>
    <w:rsid w:val="00E82781"/>
    <w:rsid w:val="00E827E3"/>
    <w:rsid w:val="00E8286F"/>
    <w:rsid w:val="00E828A4"/>
    <w:rsid w:val="00E828D3"/>
    <w:rsid w:val="00E828FB"/>
    <w:rsid w:val="00E8291A"/>
    <w:rsid w:val="00E82951"/>
    <w:rsid w:val="00E82953"/>
    <w:rsid w:val="00E8296D"/>
    <w:rsid w:val="00E82A56"/>
    <w:rsid w:val="00E82A7F"/>
    <w:rsid w:val="00E82A87"/>
    <w:rsid w:val="00E82AA2"/>
    <w:rsid w:val="00E82C32"/>
    <w:rsid w:val="00E82C50"/>
    <w:rsid w:val="00E82C69"/>
    <w:rsid w:val="00E82C7C"/>
    <w:rsid w:val="00E82CCA"/>
    <w:rsid w:val="00E82CDE"/>
    <w:rsid w:val="00E82D2C"/>
    <w:rsid w:val="00E82D69"/>
    <w:rsid w:val="00E82DCC"/>
    <w:rsid w:val="00E82E3E"/>
    <w:rsid w:val="00E82E98"/>
    <w:rsid w:val="00E82F1C"/>
    <w:rsid w:val="00E82F4A"/>
    <w:rsid w:val="00E82F89"/>
    <w:rsid w:val="00E82F9C"/>
    <w:rsid w:val="00E82FE4"/>
    <w:rsid w:val="00E83003"/>
    <w:rsid w:val="00E8301E"/>
    <w:rsid w:val="00E83020"/>
    <w:rsid w:val="00E83055"/>
    <w:rsid w:val="00E8307A"/>
    <w:rsid w:val="00E8314B"/>
    <w:rsid w:val="00E8329E"/>
    <w:rsid w:val="00E832A2"/>
    <w:rsid w:val="00E832AE"/>
    <w:rsid w:val="00E8331B"/>
    <w:rsid w:val="00E8336C"/>
    <w:rsid w:val="00E833EB"/>
    <w:rsid w:val="00E83413"/>
    <w:rsid w:val="00E8342F"/>
    <w:rsid w:val="00E8344C"/>
    <w:rsid w:val="00E8345B"/>
    <w:rsid w:val="00E834C6"/>
    <w:rsid w:val="00E835AA"/>
    <w:rsid w:val="00E835F3"/>
    <w:rsid w:val="00E8364D"/>
    <w:rsid w:val="00E836BA"/>
    <w:rsid w:val="00E83784"/>
    <w:rsid w:val="00E837FC"/>
    <w:rsid w:val="00E83806"/>
    <w:rsid w:val="00E83840"/>
    <w:rsid w:val="00E8384A"/>
    <w:rsid w:val="00E8384F"/>
    <w:rsid w:val="00E838DA"/>
    <w:rsid w:val="00E83939"/>
    <w:rsid w:val="00E839FD"/>
    <w:rsid w:val="00E83A30"/>
    <w:rsid w:val="00E83A73"/>
    <w:rsid w:val="00E83A9C"/>
    <w:rsid w:val="00E83B27"/>
    <w:rsid w:val="00E83B9A"/>
    <w:rsid w:val="00E83BF7"/>
    <w:rsid w:val="00E83C83"/>
    <w:rsid w:val="00E83CB7"/>
    <w:rsid w:val="00E83CD8"/>
    <w:rsid w:val="00E83D66"/>
    <w:rsid w:val="00E83DCA"/>
    <w:rsid w:val="00E83E12"/>
    <w:rsid w:val="00E83E19"/>
    <w:rsid w:val="00E83E64"/>
    <w:rsid w:val="00E83E77"/>
    <w:rsid w:val="00E83EC8"/>
    <w:rsid w:val="00E83EFA"/>
    <w:rsid w:val="00E84029"/>
    <w:rsid w:val="00E840A9"/>
    <w:rsid w:val="00E84160"/>
    <w:rsid w:val="00E842CD"/>
    <w:rsid w:val="00E843F4"/>
    <w:rsid w:val="00E84442"/>
    <w:rsid w:val="00E844DC"/>
    <w:rsid w:val="00E84502"/>
    <w:rsid w:val="00E84564"/>
    <w:rsid w:val="00E845DB"/>
    <w:rsid w:val="00E8463D"/>
    <w:rsid w:val="00E8468D"/>
    <w:rsid w:val="00E846F3"/>
    <w:rsid w:val="00E84781"/>
    <w:rsid w:val="00E84792"/>
    <w:rsid w:val="00E84800"/>
    <w:rsid w:val="00E848B7"/>
    <w:rsid w:val="00E848E2"/>
    <w:rsid w:val="00E848FF"/>
    <w:rsid w:val="00E8497C"/>
    <w:rsid w:val="00E84986"/>
    <w:rsid w:val="00E849B0"/>
    <w:rsid w:val="00E849C1"/>
    <w:rsid w:val="00E84A1F"/>
    <w:rsid w:val="00E84A97"/>
    <w:rsid w:val="00E84B0C"/>
    <w:rsid w:val="00E84B10"/>
    <w:rsid w:val="00E84B29"/>
    <w:rsid w:val="00E84B8C"/>
    <w:rsid w:val="00E84C38"/>
    <w:rsid w:val="00E84C3D"/>
    <w:rsid w:val="00E84C5C"/>
    <w:rsid w:val="00E84D41"/>
    <w:rsid w:val="00E84D4C"/>
    <w:rsid w:val="00E84D7D"/>
    <w:rsid w:val="00E84D9C"/>
    <w:rsid w:val="00E84DA6"/>
    <w:rsid w:val="00E84DBB"/>
    <w:rsid w:val="00E84E3E"/>
    <w:rsid w:val="00E84E5E"/>
    <w:rsid w:val="00E84EB2"/>
    <w:rsid w:val="00E84F53"/>
    <w:rsid w:val="00E84F68"/>
    <w:rsid w:val="00E84F97"/>
    <w:rsid w:val="00E84FEA"/>
    <w:rsid w:val="00E85014"/>
    <w:rsid w:val="00E8503C"/>
    <w:rsid w:val="00E85050"/>
    <w:rsid w:val="00E850FB"/>
    <w:rsid w:val="00E8514F"/>
    <w:rsid w:val="00E85151"/>
    <w:rsid w:val="00E8519D"/>
    <w:rsid w:val="00E851C8"/>
    <w:rsid w:val="00E851F4"/>
    <w:rsid w:val="00E85224"/>
    <w:rsid w:val="00E85273"/>
    <w:rsid w:val="00E852E2"/>
    <w:rsid w:val="00E85325"/>
    <w:rsid w:val="00E85382"/>
    <w:rsid w:val="00E853BD"/>
    <w:rsid w:val="00E85433"/>
    <w:rsid w:val="00E854A4"/>
    <w:rsid w:val="00E854B9"/>
    <w:rsid w:val="00E854C1"/>
    <w:rsid w:val="00E8552E"/>
    <w:rsid w:val="00E85536"/>
    <w:rsid w:val="00E855B1"/>
    <w:rsid w:val="00E8560B"/>
    <w:rsid w:val="00E85671"/>
    <w:rsid w:val="00E856E9"/>
    <w:rsid w:val="00E85766"/>
    <w:rsid w:val="00E857C8"/>
    <w:rsid w:val="00E857D8"/>
    <w:rsid w:val="00E85885"/>
    <w:rsid w:val="00E85894"/>
    <w:rsid w:val="00E85895"/>
    <w:rsid w:val="00E858D9"/>
    <w:rsid w:val="00E858DE"/>
    <w:rsid w:val="00E8599A"/>
    <w:rsid w:val="00E859C5"/>
    <w:rsid w:val="00E859C6"/>
    <w:rsid w:val="00E85A09"/>
    <w:rsid w:val="00E85A30"/>
    <w:rsid w:val="00E85A43"/>
    <w:rsid w:val="00E85A5F"/>
    <w:rsid w:val="00E85A8A"/>
    <w:rsid w:val="00E85ABA"/>
    <w:rsid w:val="00E85AE7"/>
    <w:rsid w:val="00E85B81"/>
    <w:rsid w:val="00E85C50"/>
    <w:rsid w:val="00E85C65"/>
    <w:rsid w:val="00E85C76"/>
    <w:rsid w:val="00E85C77"/>
    <w:rsid w:val="00E85CED"/>
    <w:rsid w:val="00E85D00"/>
    <w:rsid w:val="00E85D53"/>
    <w:rsid w:val="00E85D6A"/>
    <w:rsid w:val="00E85DC8"/>
    <w:rsid w:val="00E85E0D"/>
    <w:rsid w:val="00E85E23"/>
    <w:rsid w:val="00E85E3D"/>
    <w:rsid w:val="00E85E7E"/>
    <w:rsid w:val="00E85E7F"/>
    <w:rsid w:val="00E85EC2"/>
    <w:rsid w:val="00E85F44"/>
    <w:rsid w:val="00E85F5B"/>
    <w:rsid w:val="00E860F8"/>
    <w:rsid w:val="00E86113"/>
    <w:rsid w:val="00E86114"/>
    <w:rsid w:val="00E86128"/>
    <w:rsid w:val="00E861F3"/>
    <w:rsid w:val="00E862B9"/>
    <w:rsid w:val="00E8630A"/>
    <w:rsid w:val="00E863F4"/>
    <w:rsid w:val="00E86426"/>
    <w:rsid w:val="00E86448"/>
    <w:rsid w:val="00E86474"/>
    <w:rsid w:val="00E864B1"/>
    <w:rsid w:val="00E864B4"/>
    <w:rsid w:val="00E864BE"/>
    <w:rsid w:val="00E86548"/>
    <w:rsid w:val="00E8658C"/>
    <w:rsid w:val="00E865A5"/>
    <w:rsid w:val="00E866CA"/>
    <w:rsid w:val="00E866D1"/>
    <w:rsid w:val="00E866ED"/>
    <w:rsid w:val="00E86749"/>
    <w:rsid w:val="00E86787"/>
    <w:rsid w:val="00E8679C"/>
    <w:rsid w:val="00E867C6"/>
    <w:rsid w:val="00E867E4"/>
    <w:rsid w:val="00E8683B"/>
    <w:rsid w:val="00E86843"/>
    <w:rsid w:val="00E86864"/>
    <w:rsid w:val="00E86924"/>
    <w:rsid w:val="00E8695F"/>
    <w:rsid w:val="00E86969"/>
    <w:rsid w:val="00E86A54"/>
    <w:rsid w:val="00E86B18"/>
    <w:rsid w:val="00E86BAA"/>
    <w:rsid w:val="00E86C25"/>
    <w:rsid w:val="00E86C38"/>
    <w:rsid w:val="00E86C49"/>
    <w:rsid w:val="00E86CCD"/>
    <w:rsid w:val="00E86D2C"/>
    <w:rsid w:val="00E86DDD"/>
    <w:rsid w:val="00E86E27"/>
    <w:rsid w:val="00E86E6B"/>
    <w:rsid w:val="00E86E75"/>
    <w:rsid w:val="00E86E7F"/>
    <w:rsid w:val="00E86E80"/>
    <w:rsid w:val="00E87026"/>
    <w:rsid w:val="00E87038"/>
    <w:rsid w:val="00E87083"/>
    <w:rsid w:val="00E87102"/>
    <w:rsid w:val="00E871B4"/>
    <w:rsid w:val="00E87223"/>
    <w:rsid w:val="00E87241"/>
    <w:rsid w:val="00E87299"/>
    <w:rsid w:val="00E872A4"/>
    <w:rsid w:val="00E872B7"/>
    <w:rsid w:val="00E872E3"/>
    <w:rsid w:val="00E87399"/>
    <w:rsid w:val="00E87401"/>
    <w:rsid w:val="00E87435"/>
    <w:rsid w:val="00E87460"/>
    <w:rsid w:val="00E874E8"/>
    <w:rsid w:val="00E8754B"/>
    <w:rsid w:val="00E87578"/>
    <w:rsid w:val="00E876EF"/>
    <w:rsid w:val="00E87708"/>
    <w:rsid w:val="00E87742"/>
    <w:rsid w:val="00E87771"/>
    <w:rsid w:val="00E877A8"/>
    <w:rsid w:val="00E877D8"/>
    <w:rsid w:val="00E877ED"/>
    <w:rsid w:val="00E8788B"/>
    <w:rsid w:val="00E878B9"/>
    <w:rsid w:val="00E878E1"/>
    <w:rsid w:val="00E87910"/>
    <w:rsid w:val="00E879AA"/>
    <w:rsid w:val="00E879CF"/>
    <w:rsid w:val="00E879E2"/>
    <w:rsid w:val="00E87AB3"/>
    <w:rsid w:val="00E87ADD"/>
    <w:rsid w:val="00E87AE4"/>
    <w:rsid w:val="00E87C16"/>
    <w:rsid w:val="00E87C25"/>
    <w:rsid w:val="00E87C3B"/>
    <w:rsid w:val="00E87C44"/>
    <w:rsid w:val="00E87C46"/>
    <w:rsid w:val="00E87C70"/>
    <w:rsid w:val="00E87C74"/>
    <w:rsid w:val="00E87C7E"/>
    <w:rsid w:val="00E87CDE"/>
    <w:rsid w:val="00E87D53"/>
    <w:rsid w:val="00E87DE9"/>
    <w:rsid w:val="00E87E2B"/>
    <w:rsid w:val="00E87E64"/>
    <w:rsid w:val="00E87EA3"/>
    <w:rsid w:val="00E87ED7"/>
    <w:rsid w:val="00E90009"/>
    <w:rsid w:val="00E900EF"/>
    <w:rsid w:val="00E9015D"/>
    <w:rsid w:val="00E90288"/>
    <w:rsid w:val="00E90297"/>
    <w:rsid w:val="00E902A1"/>
    <w:rsid w:val="00E902FD"/>
    <w:rsid w:val="00E90300"/>
    <w:rsid w:val="00E90304"/>
    <w:rsid w:val="00E9030A"/>
    <w:rsid w:val="00E90361"/>
    <w:rsid w:val="00E9037E"/>
    <w:rsid w:val="00E90471"/>
    <w:rsid w:val="00E904FA"/>
    <w:rsid w:val="00E90648"/>
    <w:rsid w:val="00E90649"/>
    <w:rsid w:val="00E9075B"/>
    <w:rsid w:val="00E9079D"/>
    <w:rsid w:val="00E907B1"/>
    <w:rsid w:val="00E907EA"/>
    <w:rsid w:val="00E90807"/>
    <w:rsid w:val="00E90877"/>
    <w:rsid w:val="00E90896"/>
    <w:rsid w:val="00E9092C"/>
    <w:rsid w:val="00E90A7E"/>
    <w:rsid w:val="00E90AD8"/>
    <w:rsid w:val="00E90AF5"/>
    <w:rsid w:val="00E90B1E"/>
    <w:rsid w:val="00E90B65"/>
    <w:rsid w:val="00E90C44"/>
    <w:rsid w:val="00E90C51"/>
    <w:rsid w:val="00E90CF5"/>
    <w:rsid w:val="00E90E20"/>
    <w:rsid w:val="00E90E5E"/>
    <w:rsid w:val="00E90F0E"/>
    <w:rsid w:val="00E90F49"/>
    <w:rsid w:val="00E90F84"/>
    <w:rsid w:val="00E90FA6"/>
    <w:rsid w:val="00E90FC3"/>
    <w:rsid w:val="00E91090"/>
    <w:rsid w:val="00E910DA"/>
    <w:rsid w:val="00E910E5"/>
    <w:rsid w:val="00E9110E"/>
    <w:rsid w:val="00E9112D"/>
    <w:rsid w:val="00E91154"/>
    <w:rsid w:val="00E91162"/>
    <w:rsid w:val="00E911E4"/>
    <w:rsid w:val="00E91261"/>
    <w:rsid w:val="00E9127C"/>
    <w:rsid w:val="00E91280"/>
    <w:rsid w:val="00E91282"/>
    <w:rsid w:val="00E912A0"/>
    <w:rsid w:val="00E912F6"/>
    <w:rsid w:val="00E91361"/>
    <w:rsid w:val="00E91402"/>
    <w:rsid w:val="00E9150A"/>
    <w:rsid w:val="00E91540"/>
    <w:rsid w:val="00E91688"/>
    <w:rsid w:val="00E9173F"/>
    <w:rsid w:val="00E91814"/>
    <w:rsid w:val="00E91872"/>
    <w:rsid w:val="00E918A6"/>
    <w:rsid w:val="00E918BE"/>
    <w:rsid w:val="00E918D5"/>
    <w:rsid w:val="00E919B6"/>
    <w:rsid w:val="00E91A1B"/>
    <w:rsid w:val="00E91AE9"/>
    <w:rsid w:val="00E91B37"/>
    <w:rsid w:val="00E91B61"/>
    <w:rsid w:val="00E91BE0"/>
    <w:rsid w:val="00E91C04"/>
    <w:rsid w:val="00E91C0C"/>
    <w:rsid w:val="00E91C46"/>
    <w:rsid w:val="00E91C4D"/>
    <w:rsid w:val="00E91C59"/>
    <w:rsid w:val="00E91C8C"/>
    <w:rsid w:val="00E91CF7"/>
    <w:rsid w:val="00E91D28"/>
    <w:rsid w:val="00E91D84"/>
    <w:rsid w:val="00E91DD7"/>
    <w:rsid w:val="00E91E29"/>
    <w:rsid w:val="00E91ED1"/>
    <w:rsid w:val="00E91F2A"/>
    <w:rsid w:val="00E91F40"/>
    <w:rsid w:val="00E91FE0"/>
    <w:rsid w:val="00E92004"/>
    <w:rsid w:val="00E92099"/>
    <w:rsid w:val="00E9213E"/>
    <w:rsid w:val="00E92205"/>
    <w:rsid w:val="00E92221"/>
    <w:rsid w:val="00E92273"/>
    <w:rsid w:val="00E922A6"/>
    <w:rsid w:val="00E92312"/>
    <w:rsid w:val="00E92374"/>
    <w:rsid w:val="00E923D3"/>
    <w:rsid w:val="00E92433"/>
    <w:rsid w:val="00E92440"/>
    <w:rsid w:val="00E92457"/>
    <w:rsid w:val="00E9254F"/>
    <w:rsid w:val="00E9259C"/>
    <w:rsid w:val="00E925BB"/>
    <w:rsid w:val="00E925F8"/>
    <w:rsid w:val="00E926F7"/>
    <w:rsid w:val="00E92809"/>
    <w:rsid w:val="00E9282C"/>
    <w:rsid w:val="00E9288F"/>
    <w:rsid w:val="00E92890"/>
    <w:rsid w:val="00E92933"/>
    <w:rsid w:val="00E9294C"/>
    <w:rsid w:val="00E92955"/>
    <w:rsid w:val="00E929F1"/>
    <w:rsid w:val="00E929F8"/>
    <w:rsid w:val="00E929FB"/>
    <w:rsid w:val="00E92A0D"/>
    <w:rsid w:val="00E92A21"/>
    <w:rsid w:val="00E92A33"/>
    <w:rsid w:val="00E92ADC"/>
    <w:rsid w:val="00E92B23"/>
    <w:rsid w:val="00E92B2D"/>
    <w:rsid w:val="00E92BBB"/>
    <w:rsid w:val="00E92BCE"/>
    <w:rsid w:val="00E92BDB"/>
    <w:rsid w:val="00E92C04"/>
    <w:rsid w:val="00E92C3D"/>
    <w:rsid w:val="00E92D05"/>
    <w:rsid w:val="00E92D3E"/>
    <w:rsid w:val="00E92FE8"/>
    <w:rsid w:val="00E93033"/>
    <w:rsid w:val="00E9306D"/>
    <w:rsid w:val="00E9307F"/>
    <w:rsid w:val="00E93096"/>
    <w:rsid w:val="00E93105"/>
    <w:rsid w:val="00E9312B"/>
    <w:rsid w:val="00E93166"/>
    <w:rsid w:val="00E93202"/>
    <w:rsid w:val="00E93216"/>
    <w:rsid w:val="00E93325"/>
    <w:rsid w:val="00E93404"/>
    <w:rsid w:val="00E9356F"/>
    <w:rsid w:val="00E935D3"/>
    <w:rsid w:val="00E9364E"/>
    <w:rsid w:val="00E93722"/>
    <w:rsid w:val="00E9372E"/>
    <w:rsid w:val="00E937A7"/>
    <w:rsid w:val="00E937B7"/>
    <w:rsid w:val="00E93803"/>
    <w:rsid w:val="00E9382D"/>
    <w:rsid w:val="00E93892"/>
    <w:rsid w:val="00E93956"/>
    <w:rsid w:val="00E939CC"/>
    <w:rsid w:val="00E939E1"/>
    <w:rsid w:val="00E93AC7"/>
    <w:rsid w:val="00E93ADC"/>
    <w:rsid w:val="00E93BF8"/>
    <w:rsid w:val="00E93C1B"/>
    <w:rsid w:val="00E93CA1"/>
    <w:rsid w:val="00E93CAA"/>
    <w:rsid w:val="00E93CCF"/>
    <w:rsid w:val="00E93ED1"/>
    <w:rsid w:val="00E93EDC"/>
    <w:rsid w:val="00E93EEA"/>
    <w:rsid w:val="00E93EF4"/>
    <w:rsid w:val="00E93F81"/>
    <w:rsid w:val="00E93FB9"/>
    <w:rsid w:val="00E93FEC"/>
    <w:rsid w:val="00E93FF7"/>
    <w:rsid w:val="00E941B6"/>
    <w:rsid w:val="00E941CA"/>
    <w:rsid w:val="00E941E3"/>
    <w:rsid w:val="00E94203"/>
    <w:rsid w:val="00E94296"/>
    <w:rsid w:val="00E94325"/>
    <w:rsid w:val="00E94351"/>
    <w:rsid w:val="00E9436B"/>
    <w:rsid w:val="00E94374"/>
    <w:rsid w:val="00E94393"/>
    <w:rsid w:val="00E9439D"/>
    <w:rsid w:val="00E943CC"/>
    <w:rsid w:val="00E94416"/>
    <w:rsid w:val="00E94424"/>
    <w:rsid w:val="00E9458A"/>
    <w:rsid w:val="00E945E1"/>
    <w:rsid w:val="00E94664"/>
    <w:rsid w:val="00E94691"/>
    <w:rsid w:val="00E946DF"/>
    <w:rsid w:val="00E94716"/>
    <w:rsid w:val="00E94805"/>
    <w:rsid w:val="00E948B4"/>
    <w:rsid w:val="00E948B5"/>
    <w:rsid w:val="00E94909"/>
    <w:rsid w:val="00E9491B"/>
    <w:rsid w:val="00E9497E"/>
    <w:rsid w:val="00E949CA"/>
    <w:rsid w:val="00E94A22"/>
    <w:rsid w:val="00E94A55"/>
    <w:rsid w:val="00E94A66"/>
    <w:rsid w:val="00E94A84"/>
    <w:rsid w:val="00E94A9F"/>
    <w:rsid w:val="00E94AF4"/>
    <w:rsid w:val="00E94B32"/>
    <w:rsid w:val="00E94B42"/>
    <w:rsid w:val="00E94BBF"/>
    <w:rsid w:val="00E94BC5"/>
    <w:rsid w:val="00E94BD8"/>
    <w:rsid w:val="00E94CA0"/>
    <w:rsid w:val="00E94D20"/>
    <w:rsid w:val="00E94D9B"/>
    <w:rsid w:val="00E94DC7"/>
    <w:rsid w:val="00E94DE7"/>
    <w:rsid w:val="00E94E30"/>
    <w:rsid w:val="00E94E40"/>
    <w:rsid w:val="00E94E49"/>
    <w:rsid w:val="00E94EAF"/>
    <w:rsid w:val="00E94EC0"/>
    <w:rsid w:val="00E94F9E"/>
    <w:rsid w:val="00E94FB6"/>
    <w:rsid w:val="00E94FD9"/>
    <w:rsid w:val="00E95025"/>
    <w:rsid w:val="00E95031"/>
    <w:rsid w:val="00E950C5"/>
    <w:rsid w:val="00E950D1"/>
    <w:rsid w:val="00E950F1"/>
    <w:rsid w:val="00E95152"/>
    <w:rsid w:val="00E95226"/>
    <w:rsid w:val="00E95279"/>
    <w:rsid w:val="00E952E1"/>
    <w:rsid w:val="00E9534C"/>
    <w:rsid w:val="00E95398"/>
    <w:rsid w:val="00E9540A"/>
    <w:rsid w:val="00E95430"/>
    <w:rsid w:val="00E954A7"/>
    <w:rsid w:val="00E95506"/>
    <w:rsid w:val="00E95517"/>
    <w:rsid w:val="00E9553A"/>
    <w:rsid w:val="00E955D4"/>
    <w:rsid w:val="00E95661"/>
    <w:rsid w:val="00E956BD"/>
    <w:rsid w:val="00E956C4"/>
    <w:rsid w:val="00E95757"/>
    <w:rsid w:val="00E958A6"/>
    <w:rsid w:val="00E95A1E"/>
    <w:rsid w:val="00E95A28"/>
    <w:rsid w:val="00E95A2E"/>
    <w:rsid w:val="00E95A9B"/>
    <w:rsid w:val="00E95AC7"/>
    <w:rsid w:val="00E95B12"/>
    <w:rsid w:val="00E95B54"/>
    <w:rsid w:val="00E95B8B"/>
    <w:rsid w:val="00E95C61"/>
    <w:rsid w:val="00E95C8D"/>
    <w:rsid w:val="00E95CAE"/>
    <w:rsid w:val="00E95D19"/>
    <w:rsid w:val="00E95D4A"/>
    <w:rsid w:val="00E95D57"/>
    <w:rsid w:val="00E95E20"/>
    <w:rsid w:val="00E95E7C"/>
    <w:rsid w:val="00E95E86"/>
    <w:rsid w:val="00E95EC8"/>
    <w:rsid w:val="00E95F48"/>
    <w:rsid w:val="00E95FD5"/>
    <w:rsid w:val="00E960BD"/>
    <w:rsid w:val="00E96108"/>
    <w:rsid w:val="00E96124"/>
    <w:rsid w:val="00E9614D"/>
    <w:rsid w:val="00E9616A"/>
    <w:rsid w:val="00E9618E"/>
    <w:rsid w:val="00E961FA"/>
    <w:rsid w:val="00E961FB"/>
    <w:rsid w:val="00E96218"/>
    <w:rsid w:val="00E96228"/>
    <w:rsid w:val="00E96235"/>
    <w:rsid w:val="00E96279"/>
    <w:rsid w:val="00E9628C"/>
    <w:rsid w:val="00E962AB"/>
    <w:rsid w:val="00E96329"/>
    <w:rsid w:val="00E9636F"/>
    <w:rsid w:val="00E963AE"/>
    <w:rsid w:val="00E963CC"/>
    <w:rsid w:val="00E96450"/>
    <w:rsid w:val="00E96459"/>
    <w:rsid w:val="00E9651D"/>
    <w:rsid w:val="00E9656E"/>
    <w:rsid w:val="00E96623"/>
    <w:rsid w:val="00E96637"/>
    <w:rsid w:val="00E96648"/>
    <w:rsid w:val="00E96688"/>
    <w:rsid w:val="00E966C8"/>
    <w:rsid w:val="00E96725"/>
    <w:rsid w:val="00E96769"/>
    <w:rsid w:val="00E96852"/>
    <w:rsid w:val="00E96AF9"/>
    <w:rsid w:val="00E96B63"/>
    <w:rsid w:val="00E96C79"/>
    <w:rsid w:val="00E96CAD"/>
    <w:rsid w:val="00E96CD2"/>
    <w:rsid w:val="00E96D4C"/>
    <w:rsid w:val="00E96DB9"/>
    <w:rsid w:val="00E96E1A"/>
    <w:rsid w:val="00E96E30"/>
    <w:rsid w:val="00E96E81"/>
    <w:rsid w:val="00E96F16"/>
    <w:rsid w:val="00E96FE9"/>
    <w:rsid w:val="00E97082"/>
    <w:rsid w:val="00E97106"/>
    <w:rsid w:val="00E97174"/>
    <w:rsid w:val="00E9717B"/>
    <w:rsid w:val="00E972A1"/>
    <w:rsid w:val="00E972F1"/>
    <w:rsid w:val="00E973BE"/>
    <w:rsid w:val="00E973E6"/>
    <w:rsid w:val="00E97465"/>
    <w:rsid w:val="00E9749C"/>
    <w:rsid w:val="00E9752A"/>
    <w:rsid w:val="00E97548"/>
    <w:rsid w:val="00E975F0"/>
    <w:rsid w:val="00E97672"/>
    <w:rsid w:val="00E97684"/>
    <w:rsid w:val="00E97686"/>
    <w:rsid w:val="00E977D5"/>
    <w:rsid w:val="00E97805"/>
    <w:rsid w:val="00E9788B"/>
    <w:rsid w:val="00E9789B"/>
    <w:rsid w:val="00E978C6"/>
    <w:rsid w:val="00E97944"/>
    <w:rsid w:val="00E9794E"/>
    <w:rsid w:val="00E9799E"/>
    <w:rsid w:val="00E97A3E"/>
    <w:rsid w:val="00E97A4B"/>
    <w:rsid w:val="00E97A4F"/>
    <w:rsid w:val="00E97A99"/>
    <w:rsid w:val="00E97C3A"/>
    <w:rsid w:val="00E97CAD"/>
    <w:rsid w:val="00E97D30"/>
    <w:rsid w:val="00E97D32"/>
    <w:rsid w:val="00E97D66"/>
    <w:rsid w:val="00E97D9A"/>
    <w:rsid w:val="00E97E69"/>
    <w:rsid w:val="00E97E71"/>
    <w:rsid w:val="00E97EAB"/>
    <w:rsid w:val="00E97EAF"/>
    <w:rsid w:val="00EA0003"/>
    <w:rsid w:val="00EA0057"/>
    <w:rsid w:val="00EA00C9"/>
    <w:rsid w:val="00EA0119"/>
    <w:rsid w:val="00EA0120"/>
    <w:rsid w:val="00EA0172"/>
    <w:rsid w:val="00EA01D1"/>
    <w:rsid w:val="00EA01E3"/>
    <w:rsid w:val="00EA01FA"/>
    <w:rsid w:val="00EA021A"/>
    <w:rsid w:val="00EA0241"/>
    <w:rsid w:val="00EA02AC"/>
    <w:rsid w:val="00EA0449"/>
    <w:rsid w:val="00EA0500"/>
    <w:rsid w:val="00EA051C"/>
    <w:rsid w:val="00EA0527"/>
    <w:rsid w:val="00EA0543"/>
    <w:rsid w:val="00EA05D8"/>
    <w:rsid w:val="00EA0606"/>
    <w:rsid w:val="00EA062B"/>
    <w:rsid w:val="00EA0653"/>
    <w:rsid w:val="00EA0754"/>
    <w:rsid w:val="00EA079A"/>
    <w:rsid w:val="00EA079B"/>
    <w:rsid w:val="00EA0962"/>
    <w:rsid w:val="00EA0A26"/>
    <w:rsid w:val="00EA0B3A"/>
    <w:rsid w:val="00EA0CE8"/>
    <w:rsid w:val="00EA0CFE"/>
    <w:rsid w:val="00EA0D02"/>
    <w:rsid w:val="00EA0D3E"/>
    <w:rsid w:val="00EA0D60"/>
    <w:rsid w:val="00EA0E29"/>
    <w:rsid w:val="00EA0E50"/>
    <w:rsid w:val="00EA0E5D"/>
    <w:rsid w:val="00EA0E97"/>
    <w:rsid w:val="00EA0F58"/>
    <w:rsid w:val="00EA0F5F"/>
    <w:rsid w:val="00EA0F6F"/>
    <w:rsid w:val="00EA0F90"/>
    <w:rsid w:val="00EA0FA5"/>
    <w:rsid w:val="00EA0FED"/>
    <w:rsid w:val="00EA1067"/>
    <w:rsid w:val="00EA10C3"/>
    <w:rsid w:val="00EA1122"/>
    <w:rsid w:val="00EA115E"/>
    <w:rsid w:val="00EA119C"/>
    <w:rsid w:val="00EA11D1"/>
    <w:rsid w:val="00EA11EE"/>
    <w:rsid w:val="00EA11FE"/>
    <w:rsid w:val="00EA1291"/>
    <w:rsid w:val="00EA12B6"/>
    <w:rsid w:val="00EA1337"/>
    <w:rsid w:val="00EA133E"/>
    <w:rsid w:val="00EA1348"/>
    <w:rsid w:val="00EA137C"/>
    <w:rsid w:val="00EA13C7"/>
    <w:rsid w:val="00EA1413"/>
    <w:rsid w:val="00EA14A9"/>
    <w:rsid w:val="00EA1520"/>
    <w:rsid w:val="00EA16EB"/>
    <w:rsid w:val="00EA1716"/>
    <w:rsid w:val="00EA1756"/>
    <w:rsid w:val="00EA17DF"/>
    <w:rsid w:val="00EA1802"/>
    <w:rsid w:val="00EA1875"/>
    <w:rsid w:val="00EA1878"/>
    <w:rsid w:val="00EA18A4"/>
    <w:rsid w:val="00EA18E9"/>
    <w:rsid w:val="00EA1902"/>
    <w:rsid w:val="00EA195C"/>
    <w:rsid w:val="00EA19C7"/>
    <w:rsid w:val="00EA19F2"/>
    <w:rsid w:val="00EA1A11"/>
    <w:rsid w:val="00EA1B23"/>
    <w:rsid w:val="00EA1C40"/>
    <w:rsid w:val="00EA1C54"/>
    <w:rsid w:val="00EA1C6C"/>
    <w:rsid w:val="00EA1CD6"/>
    <w:rsid w:val="00EA1D3C"/>
    <w:rsid w:val="00EA1D73"/>
    <w:rsid w:val="00EA1DD4"/>
    <w:rsid w:val="00EA1E4F"/>
    <w:rsid w:val="00EA1E6B"/>
    <w:rsid w:val="00EA1F4A"/>
    <w:rsid w:val="00EA1F99"/>
    <w:rsid w:val="00EA203C"/>
    <w:rsid w:val="00EA2087"/>
    <w:rsid w:val="00EA20FF"/>
    <w:rsid w:val="00EA2131"/>
    <w:rsid w:val="00EA2149"/>
    <w:rsid w:val="00EA215D"/>
    <w:rsid w:val="00EA2246"/>
    <w:rsid w:val="00EA22BA"/>
    <w:rsid w:val="00EA2325"/>
    <w:rsid w:val="00EA233E"/>
    <w:rsid w:val="00EA245D"/>
    <w:rsid w:val="00EA2488"/>
    <w:rsid w:val="00EA2514"/>
    <w:rsid w:val="00EA2515"/>
    <w:rsid w:val="00EA255D"/>
    <w:rsid w:val="00EA2583"/>
    <w:rsid w:val="00EA261D"/>
    <w:rsid w:val="00EA2648"/>
    <w:rsid w:val="00EA2656"/>
    <w:rsid w:val="00EA26AC"/>
    <w:rsid w:val="00EA26ED"/>
    <w:rsid w:val="00EA2772"/>
    <w:rsid w:val="00EA27CC"/>
    <w:rsid w:val="00EA27D7"/>
    <w:rsid w:val="00EA2844"/>
    <w:rsid w:val="00EA284A"/>
    <w:rsid w:val="00EA2888"/>
    <w:rsid w:val="00EA289E"/>
    <w:rsid w:val="00EA2951"/>
    <w:rsid w:val="00EA2A4C"/>
    <w:rsid w:val="00EA2A9A"/>
    <w:rsid w:val="00EA2B35"/>
    <w:rsid w:val="00EA2B38"/>
    <w:rsid w:val="00EA2BCE"/>
    <w:rsid w:val="00EA2C1E"/>
    <w:rsid w:val="00EA2C7E"/>
    <w:rsid w:val="00EA2CA2"/>
    <w:rsid w:val="00EA2CD2"/>
    <w:rsid w:val="00EA2CFE"/>
    <w:rsid w:val="00EA2D68"/>
    <w:rsid w:val="00EA2D6F"/>
    <w:rsid w:val="00EA2D78"/>
    <w:rsid w:val="00EA2D9C"/>
    <w:rsid w:val="00EA2DBA"/>
    <w:rsid w:val="00EA2DDB"/>
    <w:rsid w:val="00EA2E5C"/>
    <w:rsid w:val="00EA2F03"/>
    <w:rsid w:val="00EA2F20"/>
    <w:rsid w:val="00EA2F2D"/>
    <w:rsid w:val="00EA2FB8"/>
    <w:rsid w:val="00EA2FFC"/>
    <w:rsid w:val="00EA3059"/>
    <w:rsid w:val="00EA30EA"/>
    <w:rsid w:val="00EA3135"/>
    <w:rsid w:val="00EA31E7"/>
    <w:rsid w:val="00EA31EC"/>
    <w:rsid w:val="00EA31F8"/>
    <w:rsid w:val="00EA3293"/>
    <w:rsid w:val="00EA32FB"/>
    <w:rsid w:val="00EA336F"/>
    <w:rsid w:val="00EA33A3"/>
    <w:rsid w:val="00EA33D0"/>
    <w:rsid w:val="00EA33DC"/>
    <w:rsid w:val="00EA33DE"/>
    <w:rsid w:val="00EA3449"/>
    <w:rsid w:val="00EA344D"/>
    <w:rsid w:val="00EA3483"/>
    <w:rsid w:val="00EA34B9"/>
    <w:rsid w:val="00EA34C9"/>
    <w:rsid w:val="00EA351F"/>
    <w:rsid w:val="00EA36F9"/>
    <w:rsid w:val="00EA3754"/>
    <w:rsid w:val="00EA382E"/>
    <w:rsid w:val="00EA387B"/>
    <w:rsid w:val="00EA3904"/>
    <w:rsid w:val="00EA3947"/>
    <w:rsid w:val="00EA3994"/>
    <w:rsid w:val="00EA3A04"/>
    <w:rsid w:val="00EA3A26"/>
    <w:rsid w:val="00EA3A37"/>
    <w:rsid w:val="00EA3A53"/>
    <w:rsid w:val="00EA3A63"/>
    <w:rsid w:val="00EA3A8D"/>
    <w:rsid w:val="00EA3AE8"/>
    <w:rsid w:val="00EA3B5B"/>
    <w:rsid w:val="00EA3B68"/>
    <w:rsid w:val="00EA3B8E"/>
    <w:rsid w:val="00EA3B95"/>
    <w:rsid w:val="00EA3BEF"/>
    <w:rsid w:val="00EA3C20"/>
    <w:rsid w:val="00EA3C79"/>
    <w:rsid w:val="00EA3CB4"/>
    <w:rsid w:val="00EA3CDD"/>
    <w:rsid w:val="00EA3CE1"/>
    <w:rsid w:val="00EA3CF3"/>
    <w:rsid w:val="00EA3D1A"/>
    <w:rsid w:val="00EA3D66"/>
    <w:rsid w:val="00EA3DAD"/>
    <w:rsid w:val="00EA3E0B"/>
    <w:rsid w:val="00EA3E56"/>
    <w:rsid w:val="00EA3EA4"/>
    <w:rsid w:val="00EA3F63"/>
    <w:rsid w:val="00EA3FD3"/>
    <w:rsid w:val="00EA4011"/>
    <w:rsid w:val="00EA4029"/>
    <w:rsid w:val="00EA4093"/>
    <w:rsid w:val="00EA40C9"/>
    <w:rsid w:val="00EA415E"/>
    <w:rsid w:val="00EA4186"/>
    <w:rsid w:val="00EA41B4"/>
    <w:rsid w:val="00EA4209"/>
    <w:rsid w:val="00EA420F"/>
    <w:rsid w:val="00EA4270"/>
    <w:rsid w:val="00EA42DF"/>
    <w:rsid w:val="00EA4315"/>
    <w:rsid w:val="00EA4385"/>
    <w:rsid w:val="00EA4388"/>
    <w:rsid w:val="00EA4392"/>
    <w:rsid w:val="00EA43AD"/>
    <w:rsid w:val="00EA43EC"/>
    <w:rsid w:val="00EA44AA"/>
    <w:rsid w:val="00EA44CD"/>
    <w:rsid w:val="00EA4518"/>
    <w:rsid w:val="00EA451F"/>
    <w:rsid w:val="00EA4555"/>
    <w:rsid w:val="00EA458D"/>
    <w:rsid w:val="00EA459F"/>
    <w:rsid w:val="00EA45A6"/>
    <w:rsid w:val="00EA45DD"/>
    <w:rsid w:val="00EA4602"/>
    <w:rsid w:val="00EA4623"/>
    <w:rsid w:val="00EA479A"/>
    <w:rsid w:val="00EA47B3"/>
    <w:rsid w:val="00EA495B"/>
    <w:rsid w:val="00EA4A55"/>
    <w:rsid w:val="00EA4A69"/>
    <w:rsid w:val="00EA4A77"/>
    <w:rsid w:val="00EA4A9C"/>
    <w:rsid w:val="00EA4AC3"/>
    <w:rsid w:val="00EA4ACD"/>
    <w:rsid w:val="00EA4B75"/>
    <w:rsid w:val="00EA4BB7"/>
    <w:rsid w:val="00EA4BFC"/>
    <w:rsid w:val="00EA4C30"/>
    <w:rsid w:val="00EA4C31"/>
    <w:rsid w:val="00EA4C9F"/>
    <w:rsid w:val="00EA4CFA"/>
    <w:rsid w:val="00EA4D09"/>
    <w:rsid w:val="00EA4D22"/>
    <w:rsid w:val="00EA4D46"/>
    <w:rsid w:val="00EA4E00"/>
    <w:rsid w:val="00EA4F01"/>
    <w:rsid w:val="00EA4F04"/>
    <w:rsid w:val="00EA4F08"/>
    <w:rsid w:val="00EA4F86"/>
    <w:rsid w:val="00EA4FAF"/>
    <w:rsid w:val="00EA5043"/>
    <w:rsid w:val="00EA507D"/>
    <w:rsid w:val="00EA50D0"/>
    <w:rsid w:val="00EA515F"/>
    <w:rsid w:val="00EA5206"/>
    <w:rsid w:val="00EA5207"/>
    <w:rsid w:val="00EA525E"/>
    <w:rsid w:val="00EA52FE"/>
    <w:rsid w:val="00EA530F"/>
    <w:rsid w:val="00EA531F"/>
    <w:rsid w:val="00EA5344"/>
    <w:rsid w:val="00EA534E"/>
    <w:rsid w:val="00EA5453"/>
    <w:rsid w:val="00EA5456"/>
    <w:rsid w:val="00EA5481"/>
    <w:rsid w:val="00EA54E2"/>
    <w:rsid w:val="00EA5572"/>
    <w:rsid w:val="00EA55FE"/>
    <w:rsid w:val="00EA5627"/>
    <w:rsid w:val="00EA5689"/>
    <w:rsid w:val="00EA570A"/>
    <w:rsid w:val="00EA5767"/>
    <w:rsid w:val="00EA578D"/>
    <w:rsid w:val="00EA58AB"/>
    <w:rsid w:val="00EA59CC"/>
    <w:rsid w:val="00EA59CD"/>
    <w:rsid w:val="00EA59D4"/>
    <w:rsid w:val="00EA5A3F"/>
    <w:rsid w:val="00EA5B32"/>
    <w:rsid w:val="00EA5BAE"/>
    <w:rsid w:val="00EA5C12"/>
    <w:rsid w:val="00EA5D9C"/>
    <w:rsid w:val="00EA5DE3"/>
    <w:rsid w:val="00EA5E0E"/>
    <w:rsid w:val="00EA5E53"/>
    <w:rsid w:val="00EA5E69"/>
    <w:rsid w:val="00EA5EC7"/>
    <w:rsid w:val="00EA5F34"/>
    <w:rsid w:val="00EA5F84"/>
    <w:rsid w:val="00EA5FDA"/>
    <w:rsid w:val="00EA6013"/>
    <w:rsid w:val="00EA604D"/>
    <w:rsid w:val="00EA60AF"/>
    <w:rsid w:val="00EA60FD"/>
    <w:rsid w:val="00EA6265"/>
    <w:rsid w:val="00EA62CD"/>
    <w:rsid w:val="00EA62EE"/>
    <w:rsid w:val="00EA6342"/>
    <w:rsid w:val="00EA6388"/>
    <w:rsid w:val="00EA6574"/>
    <w:rsid w:val="00EA657B"/>
    <w:rsid w:val="00EA672C"/>
    <w:rsid w:val="00EA674C"/>
    <w:rsid w:val="00EA67A2"/>
    <w:rsid w:val="00EA687F"/>
    <w:rsid w:val="00EA6885"/>
    <w:rsid w:val="00EA68CA"/>
    <w:rsid w:val="00EA693B"/>
    <w:rsid w:val="00EA69D1"/>
    <w:rsid w:val="00EA69E8"/>
    <w:rsid w:val="00EA6A20"/>
    <w:rsid w:val="00EA6A3C"/>
    <w:rsid w:val="00EA6A6F"/>
    <w:rsid w:val="00EA6A7B"/>
    <w:rsid w:val="00EA6A7E"/>
    <w:rsid w:val="00EA6A9C"/>
    <w:rsid w:val="00EA6ABE"/>
    <w:rsid w:val="00EA6ADE"/>
    <w:rsid w:val="00EA6B3B"/>
    <w:rsid w:val="00EA6C1B"/>
    <w:rsid w:val="00EA6CC5"/>
    <w:rsid w:val="00EA6CD0"/>
    <w:rsid w:val="00EA6E45"/>
    <w:rsid w:val="00EA6E8A"/>
    <w:rsid w:val="00EA6E98"/>
    <w:rsid w:val="00EA6EF2"/>
    <w:rsid w:val="00EA6F77"/>
    <w:rsid w:val="00EA6FC3"/>
    <w:rsid w:val="00EA7067"/>
    <w:rsid w:val="00EA718C"/>
    <w:rsid w:val="00EA71FE"/>
    <w:rsid w:val="00EA72E5"/>
    <w:rsid w:val="00EA739E"/>
    <w:rsid w:val="00EA757D"/>
    <w:rsid w:val="00EA766E"/>
    <w:rsid w:val="00EA7699"/>
    <w:rsid w:val="00EA76D5"/>
    <w:rsid w:val="00EA7716"/>
    <w:rsid w:val="00EA773F"/>
    <w:rsid w:val="00EA7744"/>
    <w:rsid w:val="00EA7808"/>
    <w:rsid w:val="00EA7879"/>
    <w:rsid w:val="00EA790C"/>
    <w:rsid w:val="00EA79F3"/>
    <w:rsid w:val="00EA7A27"/>
    <w:rsid w:val="00EA7A6C"/>
    <w:rsid w:val="00EA7B7B"/>
    <w:rsid w:val="00EA7C1C"/>
    <w:rsid w:val="00EA7C2F"/>
    <w:rsid w:val="00EA7C44"/>
    <w:rsid w:val="00EA7C60"/>
    <w:rsid w:val="00EA7C8F"/>
    <w:rsid w:val="00EA7DBF"/>
    <w:rsid w:val="00EA7DCC"/>
    <w:rsid w:val="00EA7DCF"/>
    <w:rsid w:val="00EA7DD1"/>
    <w:rsid w:val="00EA7EA3"/>
    <w:rsid w:val="00EA7F8A"/>
    <w:rsid w:val="00EA7FBA"/>
    <w:rsid w:val="00EB00F2"/>
    <w:rsid w:val="00EB0115"/>
    <w:rsid w:val="00EB0241"/>
    <w:rsid w:val="00EB02A5"/>
    <w:rsid w:val="00EB02AD"/>
    <w:rsid w:val="00EB02E2"/>
    <w:rsid w:val="00EB031B"/>
    <w:rsid w:val="00EB036D"/>
    <w:rsid w:val="00EB0371"/>
    <w:rsid w:val="00EB03EC"/>
    <w:rsid w:val="00EB046D"/>
    <w:rsid w:val="00EB050B"/>
    <w:rsid w:val="00EB057D"/>
    <w:rsid w:val="00EB0680"/>
    <w:rsid w:val="00EB0691"/>
    <w:rsid w:val="00EB06FF"/>
    <w:rsid w:val="00EB070A"/>
    <w:rsid w:val="00EB086F"/>
    <w:rsid w:val="00EB08E1"/>
    <w:rsid w:val="00EB08E8"/>
    <w:rsid w:val="00EB0911"/>
    <w:rsid w:val="00EB0932"/>
    <w:rsid w:val="00EB0945"/>
    <w:rsid w:val="00EB0956"/>
    <w:rsid w:val="00EB09C2"/>
    <w:rsid w:val="00EB0A02"/>
    <w:rsid w:val="00EB0A75"/>
    <w:rsid w:val="00EB0A9D"/>
    <w:rsid w:val="00EB0AA9"/>
    <w:rsid w:val="00EB0B36"/>
    <w:rsid w:val="00EB0B87"/>
    <w:rsid w:val="00EB0BC0"/>
    <w:rsid w:val="00EB0C16"/>
    <w:rsid w:val="00EB0DBA"/>
    <w:rsid w:val="00EB0E02"/>
    <w:rsid w:val="00EB0E31"/>
    <w:rsid w:val="00EB0E39"/>
    <w:rsid w:val="00EB0E49"/>
    <w:rsid w:val="00EB0E74"/>
    <w:rsid w:val="00EB0EAC"/>
    <w:rsid w:val="00EB0EFC"/>
    <w:rsid w:val="00EB0F31"/>
    <w:rsid w:val="00EB0F36"/>
    <w:rsid w:val="00EB0F4A"/>
    <w:rsid w:val="00EB0FEA"/>
    <w:rsid w:val="00EB103C"/>
    <w:rsid w:val="00EB10DF"/>
    <w:rsid w:val="00EB11BC"/>
    <w:rsid w:val="00EB1205"/>
    <w:rsid w:val="00EB120A"/>
    <w:rsid w:val="00EB1214"/>
    <w:rsid w:val="00EB126D"/>
    <w:rsid w:val="00EB12E9"/>
    <w:rsid w:val="00EB1387"/>
    <w:rsid w:val="00EB1396"/>
    <w:rsid w:val="00EB13DF"/>
    <w:rsid w:val="00EB13EC"/>
    <w:rsid w:val="00EB140D"/>
    <w:rsid w:val="00EB141C"/>
    <w:rsid w:val="00EB14A5"/>
    <w:rsid w:val="00EB14CA"/>
    <w:rsid w:val="00EB1592"/>
    <w:rsid w:val="00EB159C"/>
    <w:rsid w:val="00EB159E"/>
    <w:rsid w:val="00EB1652"/>
    <w:rsid w:val="00EB1687"/>
    <w:rsid w:val="00EB16AA"/>
    <w:rsid w:val="00EB1718"/>
    <w:rsid w:val="00EB1776"/>
    <w:rsid w:val="00EB179A"/>
    <w:rsid w:val="00EB181F"/>
    <w:rsid w:val="00EB18BC"/>
    <w:rsid w:val="00EB1909"/>
    <w:rsid w:val="00EB191F"/>
    <w:rsid w:val="00EB1981"/>
    <w:rsid w:val="00EB19C0"/>
    <w:rsid w:val="00EB19C9"/>
    <w:rsid w:val="00EB1A04"/>
    <w:rsid w:val="00EB1B1A"/>
    <w:rsid w:val="00EB1BAE"/>
    <w:rsid w:val="00EB1C0B"/>
    <w:rsid w:val="00EB1C2F"/>
    <w:rsid w:val="00EB1C3E"/>
    <w:rsid w:val="00EB1C8A"/>
    <w:rsid w:val="00EB1CEF"/>
    <w:rsid w:val="00EB1DDD"/>
    <w:rsid w:val="00EB1EB6"/>
    <w:rsid w:val="00EB1F52"/>
    <w:rsid w:val="00EB1F74"/>
    <w:rsid w:val="00EB1F82"/>
    <w:rsid w:val="00EB2040"/>
    <w:rsid w:val="00EB2053"/>
    <w:rsid w:val="00EB2152"/>
    <w:rsid w:val="00EB2154"/>
    <w:rsid w:val="00EB215B"/>
    <w:rsid w:val="00EB2172"/>
    <w:rsid w:val="00EB2190"/>
    <w:rsid w:val="00EB21D6"/>
    <w:rsid w:val="00EB22EF"/>
    <w:rsid w:val="00EB2323"/>
    <w:rsid w:val="00EB2355"/>
    <w:rsid w:val="00EB2381"/>
    <w:rsid w:val="00EB238B"/>
    <w:rsid w:val="00EB2392"/>
    <w:rsid w:val="00EB23B0"/>
    <w:rsid w:val="00EB23F8"/>
    <w:rsid w:val="00EB25EA"/>
    <w:rsid w:val="00EB26A7"/>
    <w:rsid w:val="00EB26C1"/>
    <w:rsid w:val="00EB275E"/>
    <w:rsid w:val="00EB27BF"/>
    <w:rsid w:val="00EB27C6"/>
    <w:rsid w:val="00EB283B"/>
    <w:rsid w:val="00EB287D"/>
    <w:rsid w:val="00EB28CB"/>
    <w:rsid w:val="00EB28D5"/>
    <w:rsid w:val="00EB28ED"/>
    <w:rsid w:val="00EB2912"/>
    <w:rsid w:val="00EB2942"/>
    <w:rsid w:val="00EB2943"/>
    <w:rsid w:val="00EB2961"/>
    <w:rsid w:val="00EB2A1F"/>
    <w:rsid w:val="00EB2B09"/>
    <w:rsid w:val="00EB2B7A"/>
    <w:rsid w:val="00EB2B8E"/>
    <w:rsid w:val="00EB2C05"/>
    <w:rsid w:val="00EB2C30"/>
    <w:rsid w:val="00EB2C49"/>
    <w:rsid w:val="00EB2C93"/>
    <w:rsid w:val="00EB2CD9"/>
    <w:rsid w:val="00EB2CFC"/>
    <w:rsid w:val="00EB2D03"/>
    <w:rsid w:val="00EB2E4C"/>
    <w:rsid w:val="00EB2E74"/>
    <w:rsid w:val="00EB2EA8"/>
    <w:rsid w:val="00EB2EDF"/>
    <w:rsid w:val="00EB2F7D"/>
    <w:rsid w:val="00EB2FAF"/>
    <w:rsid w:val="00EB3000"/>
    <w:rsid w:val="00EB3028"/>
    <w:rsid w:val="00EB303D"/>
    <w:rsid w:val="00EB3066"/>
    <w:rsid w:val="00EB3188"/>
    <w:rsid w:val="00EB3284"/>
    <w:rsid w:val="00EB32B5"/>
    <w:rsid w:val="00EB3355"/>
    <w:rsid w:val="00EB3425"/>
    <w:rsid w:val="00EB3461"/>
    <w:rsid w:val="00EB34AC"/>
    <w:rsid w:val="00EB34CB"/>
    <w:rsid w:val="00EB34EB"/>
    <w:rsid w:val="00EB3554"/>
    <w:rsid w:val="00EB3583"/>
    <w:rsid w:val="00EB3589"/>
    <w:rsid w:val="00EB35EE"/>
    <w:rsid w:val="00EB3600"/>
    <w:rsid w:val="00EB3619"/>
    <w:rsid w:val="00EB368B"/>
    <w:rsid w:val="00EB36D3"/>
    <w:rsid w:val="00EB36FF"/>
    <w:rsid w:val="00EB37BE"/>
    <w:rsid w:val="00EB391A"/>
    <w:rsid w:val="00EB39DB"/>
    <w:rsid w:val="00EB3A6A"/>
    <w:rsid w:val="00EB3AA1"/>
    <w:rsid w:val="00EB3AC1"/>
    <w:rsid w:val="00EB3B85"/>
    <w:rsid w:val="00EB3BB7"/>
    <w:rsid w:val="00EB3BD8"/>
    <w:rsid w:val="00EB3C2F"/>
    <w:rsid w:val="00EB3CEC"/>
    <w:rsid w:val="00EB3CF1"/>
    <w:rsid w:val="00EB3CFD"/>
    <w:rsid w:val="00EB3D8A"/>
    <w:rsid w:val="00EB3E11"/>
    <w:rsid w:val="00EB3E71"/>
    <w:rsid w:val="00EB3E95"/>
    <w:rsid w:val="00EB3F0E"/>
    <w:rsid w:val="00EB3F47"/>
    <w:rsid w:val="00EB3FD4"/>
    <w:rsid w:val="00EB40AA"/>
    <w:rsid w:val="00EB41AC"/>
    <w:rsid w:val="00EB41E2"/>
    <w:rsid w:val="00EB4238"/>
    <w:rsid w:val="00EB425C"/>
    <w:rsid w:val="00EB42CE"/>
    <w:rsid w:val="00EB4352"/>
    <w:rsid w:val="00EB4379"/>
    <w:rsid w:val="00EB43B1"/>
    <w:rsid w:val="00EB4403"/>
    <w:rsid w:val="00EB44C3"/>
    <w:rsid w:val="00EB44C5"/>
    <w:rsid w:val="00EB461A"/>
    <w:rsid w:val="00EB4653"/>
    <w:rsid w:val="00EB4664"/>
    <w:rsid w:val="00EB4702"/>
    <w:rsid w:val="00EB47B3"/>
    <w:rsid w:val="00EB48C8"/>
    <w:rsid w:val="00EB48D0"/>
    <w:rsid w:val="00EB48F0"/>
    <w:rsid w:val="00EB4991"/>
    <w:rsid w:val="00EB49AC"/>
    <w:rsid w:val="00EB4A40"/>
    <w:rsid w:val="00EB4A56"/>
    <w:rsid w:val="00EB4AA9"/>
    <w:rsid w:val="00EB4AE8"/>
    <w:rsid w:val="00EB4AFE"/>
    <w:rsid w:val="00EB4B5E"/>
    <w:rsid w:val="00EB4C28"/>
    <w:rsid w:val="00EB4C3C"/>
    <w:rsid w:val="00EB4CCF"/>
    <w:rsid w:val="00EB4D03"/>
    <w:rsid w:val="00EB4DF6"/>
    <w:rsid w:val="00EB4E50"/>
    <w:rsid w:val="00EB4F61"/>
    <w:rsid w:val="00EB4FAB"/>
    <w:rsid w:val="00EB4FF6"/>
    <w:rsid w:val="00EB507D"/>
    <w:rsid w:val="00EB50F7"/>
    <w:rsid w:val="00EB5234"/>
    <w:rsid w:val="00EB5241"/>
    <w:rsid w:val="00EB53CC"/>
    <w:rsid w:val="00EB53F4"/>
    <w:rsid w:val="00EB5462"/>
    <w:rsid w:val="00EB55D7"/>
    <w:rsid w:val="00EB5668"/>
    <w:rsid w:val="00EB5699"/>
    <w:rsid w:val="00EB56C5"/>
    <w:rsid w:val="00EB57B8"/>
    <w:rsid w:val="00EB57D2"/>
    <w:rsid w:val="00EB581D"/>
    <w:rsid w:val="00EB583F"/>
    <w:rsid w:val="00EB5918"/>
    <w:rsid w:val="00EB5A35"/>
    <w:rsid w:val="00EB5A41"/>
    <w:rsid w:val="00EB5A5F"/>
    <w:rsid w:val="00EB5AD7"/>
    <w:rsid w:val="00EB5ADC"/>
    <w:rsid w:val="00EB5B3A"/>
    <w:rsid w:val="00EB5BC7"/>
    <w:rsid w:val="00EB5C90"/>
    <w:rsid w:val="00EB5CB9"/>
    <w:rsid w:val="00EB5CC3"/>
    <w:rsid w:val="00EB5D79"/>
    <w:rsid w:val="00EB5DCA"/>
    <w:rsid w:val="00EB5E38"/>
    <w:rsid w:val="00EB5E4D"/>
    <w:rsid w:val="00EB5E92"/>
    <w:rsid w:val="00EB5EF9"/>
    <w:rsid w:val="00EB5F44"/>
    <w:rsid w:val="00EB5F4E"/>
    <w:rsid w:val="00EB6012"/>
    <w:rsid w:val="00EB6050"/>
    <w:rsid w:val="00EB6075"/>
    <w:rsid w:val="00EB60AD"/>
    <w:rsid w:val="00EB60E5"/>
    <w:rsid w:val="00EB612C"/>
    <w:rsid w:val="00EB616F"/>
    <w:rsid w:val="00EB61E3"/>
    <w:rsid w:val="00EB621F"/>
    <w:rsid w:val="00EB631F"/>
    <w:rsid w:val="00EB6341"/>
    <w:rsid w:val="00EB637B"/>
    <w:rsid w:val="00EB63F6"/>
    <w:rsid w:val="00EB6428"/>
    <w:rsid w:val="00EB64A6"/>
    <w:rsid w:val="00EB64AF"/>
    <w:rsid w:val="00EB64B0"/>
    <w:rsid w:val="00EB64BC"/>
    <w:rsid w:val="00EB6514"/>
    <w:rsid w:val="00EB651A"/>
    <w:rsid w:val="00EB6550"/>
    <w:rsid w:val="00EB656C"/>
    <w:rsid w:val="00EB6623"/>
    <w:rsid w:val="00EB6624"/>
    <w:rsid w:val="00EB665E"/>
    <w:rsid w:val="00EB6687"/>
    <w:rsid w:val="00EB6715"/>
    <w:rsid w:val="00EB6728"/>
    <w:rsid w:val="00EB6739"/>
    <w:rsid w:val="00EB6746"/>
    <w:rsid w:val="00EB677A"/>
    <w:rsid w:val="00EB679F"/>
    <w:rsid w:val="00EB67D5"/>
    <w:rsid w:val="00EB67F6"/>
    <w:rsid w:val="00EB6849"/>
    <w:rsid w:val="00EB694F"/>
    <w:rsid w:val="00EB6A0C"/>
    <w:rsid w:val="00EB6A44"/>
    <w:rsid w:val="00EB6A82"/>
    <w:rsid w:val="00EB6BBC"/>
    <w:rsid w:val="00EB6BF4"/>
    <w:rsid w:val="00EB6C41"/>
    <w:rsid w:val="00EB6C88"/>
    <w:rsid w:val="00EB6CAC"/>
    <w:rsid w:val="00EB6CFE"/>
    <w:rsid w:val="00EB6DF1"/>
    <w:rsid w:val="00EB6F5C"/>
    <w:rsid w:val="00EB6FFE"/>
    <w:rsid w:val="00EB7058"/>
    <w:rsid w:val="00EB70B6"/>
    <w:rsid w:val="00EB70EC"/>
    <w:rsid w:val="00EB7139"/>
    <w:rsid w:val="00EB71B2"/>
    <w:rsid w:val="00EB71D8"/>
    <w:rsid w:val="00EB71F2"/>
    <w:rsid w:val="00EB7258"/>
    <w:rsid w:val="00EB72D7"/>
    <w:rsid w:val="00EB73EF"/>
    <w:rsid w:val="00EB7433"/>
    <w:rsid w:val="00EB7457"/>
    <w:rsid w:val="00EB7595"/>
    <w:rsid w:val="00EB768C"/>
    <w:rsid w:val="00EB76BE"/>
    <w:rsid w:val="00EB7762"/>
    <w:rsid w:val="00EB77CB"/>
    <w:rsid w:val="00EB77E3"/>
    <w:rsid w:val="00EB781E"/>
    <w:rsid w:val="00EB7851"/>
    <w:rsid w:val="00EB7909"/>
    <w:rsid w:val="00EB790E"/>
    <w:rsid w:val="00EB7958"/>
    <w:rsid w:val="00EB798D"/>
    <w:rsid w:val="00EB79C5"/>
    <w:rsid w:val="00EB79CF"/>
    <w:rsid w:val="00EB79D1"/>
    <w:rsid w:val="00EB7A37"/>
    <w:rsid w:val="00EB7A63"/>
    <w:rsid w:val="00EB7BC3"/>
    <w:rsid w:val="00EB7BCD"/>
    <w:rsid w:val="00EB7C85"/>
    <w:rsid w:val="00EB7CBE"/>
    <w:rsid w:val="00EB7CCB"/>
    <w:rsid w:val="00EB7CD5"/>
    <w:rsid w:val="00EB7D31"/>
    <w:rsid w:val="00EB7D6B"/>
    <w:rsid w:val="00EB7DCB"/>
    <w:rsid w:val="00EB7DF0"/>
    <w:rsid w:val="00EB7E9B"/>
    <w:rsid w:val="00EB7EEB"/>
    <w:rsid w:val="00EB7FCC"/>
    <w:rsid w:val="00EBED50"/>
    <w:rsid w:val="00EC000A"/>
    <w:rsid w:val="00EC0051"/>
    <w:rsid w:val="00EC00C1"/>
    <w:rsid w:val="00EC00F7"/>
    <w:rsid w:val="00EC0110"/>
    <w:rsid w:val="00EC01A0"/>
    <w:rsid w:val="00EC020C"/>
    <w:rsid w:val="00EC025F"/>
    <w:rsid w:val="00EC0275"/>
    <w:rsid w:val="00EC02F8"/>
    <w:rsid w:val="00EC032B"/>
    <w:rsid w:val="00EC03BA"/>
    <w:rsid w:val="00EC03C2"/>
    <w:rsid w:val="00EC03F1"/>
    <w:rsid w:val="00EC0417"/>
    <w:rsid w:val="00EC041C"/>
    <w:rsid w:val="00EC04EF"/>
    <w:rsid w:val="00EC04F6"/>
    <w:rsid w:val="00EC0506"/>
    <w:rsid w:val="00EC052E"/>
    <w:rsid w:val="00EC05BE"/>
    <w:rsid w:val="00EC0623"/>
    <w:rsid w:val="00EC0625"/>
    <w:rsid w:val="00EC063B"/>
    <w:rsid w:val="00EC0662"/>
    <w:rsid w:val="00EC0667"/>
    <w:rsid w:val="00EC066B"/>
    <w:rsid w:val="00EC070B"/>
    <w:rsid w:val="00EC082B"/>
    <w:rsid w:val="00EC0934"/>
    <w:rsid w:val="00EC09DF"/>
    <w:rsid w:val="00EC0A27"/>
    <w:rsid w:val="00EC0AC0"/>
    <w:rsid w:val="00EC0AF0"/>
    <w:rsid w:val="00EC0B67"/>
    <w:rsid w:val="00EC0B88"/>
    <w:rsid w:val="00EC0BCF"/>
    <w:rsid w:val="00EC0BE6"/>
    <w:rsid w:val="00EC0C76"/>
    <w:rsid w:val="00EC0CCC"/>
    <w:rsid w:val="00EC0CE9"/>
    <w:rsid w:val="00EC0D73"/>
    <w:rsid w:val="00EC0E41"/>
    <w:rsid w:val="00EC0E43"/>
    <w:rsid w:val="00EC0E80"/>
    <w:rsid w:val="00EC0EF0"/>
    <w:rsid w:val="00EC1000"/>
    <w:rsid w:val="00EC101F"/>
    <w:rsid w:val="00EC11C5"/>
    <w:rsid w:val="00EC11E9"/>
    <w:rsid w:val="00EC1210"/>
    <w:rsid w:val="00EC1213"/>
    <w:rsid w:val="00EC1216"/>
    <w:rsid w:val="00EC1236"/>
    <w:rsid w:val="00EC1244"/>
    <w:rsid w:val="00EC127A"/>
    <w:rsid w:val="00EC127D"/>
    <w:rsid w:val="00EC1286"/>
    <w:rsid w:val="00EC12CA"/>
    <w:rsid w:val="00EC1319"/>
    <w:rsid w:val="00EC1322"/>
    <w:rsid w:val="00EC136E"/>
    <w:rsid w:val="00EC1388"/>
    <w:rsid w:val="00EC141C"/>
    <w:rsid w:val="00EC14E7"/>
    <w:rsid w:val="00EC1561"/>
    <w:rsid w:val="00EC1591"/>
    <w:rsid w:val="00EC15DE"/>
    <w:rsid w:val="00EC1622"/>
    <w:rsid w:val="00EC1653"/>
    <w:rsid w:val="00EC165D"/>
    <w:rsid w:val="00EC1686"/>
    <w:rsid w:val="00EC16A8"/>
    <w:rsid w:val="00EC16DD"/>
    <w:rsid w:val="00EC171E"/>
    <w:rsid w:val="00EC1752"/>
    <w:rsid w:val="00EC17E7"/>
    <w:rsid w:val="00EC1807"/>
    <w:rsid w:val="00EC1821"/>
    <w:rsid w:val="00EC186A"/>
    <w:rsid w:val="00EC18D8"/>
    <w:rsid w:val="00EC191C"/>
    <w:rsid w:val="00EC19E5"/>
    <w:rsid w:val="00EC19EC"/>
    <w:rsid w:val="00EC1A0C"/>
    <w:rsid w:val="00EC1A82"/>
    <w:rsid w:val="00EC1AD7"/>
    <w:rsid w:val="00EC1B14"/>
    <w:rsid w:val="00EC1B16"/>
    <w:rsid w:val="00EC1B4E"/>
    <w:rsid w:val="00EC1B62"/>
    <w:rsid w:val="00EC1B95"/>
    <w:rsid w:val="00EC1BC2"/>
    <w:rsid w:val="00EC1BDB"/>
    <w:rsid w:val="00EC1BDD"/>
    <w:rsid w:val="00EC1C91"/>
    <w:rsid w:val="00EC1CB8"/>
    <w:rsid w:val="00EC1CCD"/>
    <w:rsid w:val="00EC1D20"/>
    <w:rsid w:val="00EC1E44"/>
    <w:rsid w:val="00EC1F73"/>
    <w:rsid w:val="00EC1FDC"/>
    <w:rsid w:val="00EC2016"/>
    <w:rsid w:val="00EC2084"/>
    <w:rsid w:val="00EC20CB"/>
    <w:rsid w:val="00EC20D3"/>
    <w:rsid w:val="00EC211B"/>
    <w:rsid w:val="00EC21A9"/>
    <w:rsid w:val="00EC225B"/>
    <w:rsid w:val="00EC22D1"/>
    <w:rsid w:val="00EC2447"/>
    <w:rsid w:val="00EC2468"/>
    <w:rsid w:val="00EC249F"/>
    <w:rsid w:val="00EC2513"/>
    <w:rsid w:val="00EC251A"/>
    <w:rsid w:val="00EC2535"/>
    <w:rsid w:val="00EC25D8"/>
    <w:rsid w:val="00EC260E"/>
    <w:rsid w:val="00EC2616"/>
    <w:rsid w:val="00EC26E8"/>
    <w:rsid w:val="00EC272C"/>
    <w:rsid w:val="00EC2796"/>
    <w:rsid w:val="00EC283A"/>
    <w:rsid w:val="00EC28B3"/>
    <w:rsid w:val="00EC291D"/>
    <w:rsid w:val="00EC29A0"/>
    <w:rsid w:val="00EC29B7"/>
    <w:rsid w:val="00EC2AB0"/>
    <w:rsid w:val="00EC2B63"/>
    <w:rsid w:val="00EC2BE3"/>
    <w:rsid w:val="00EC2BF2"/>
    <w:rsid w:val="00EC2CB0"/>
    <w:rsid w:val="00EC2D2C"/>
    <w:rsid w:val="00EC2D6D"/>
    <w:rsid w:val="00EC2D78"/>
    <w:rsid w:val="00EC2DAE"/>
    <w:rsid w:val="00EC2DC2"/>
    <w:rsid w:val="00EC2DED"/>
    <w:rsid w:val="00EC2E37"/>
    <w:rsid w:val="00EC2E45"/>
    <w:rsid w:val="00EC2E8F"/>
    <w:rsid w:val="00EC2ED9"/>
    <w:rsid w:val="00EC2F08"/>
    <w:rsid w:val="00EC2F3C"/>
    <w:rsid w:val="00EC2F63"/>
    <w:rsid w:val="00EC3063"/>
    <w:rsid w:val="00EC30A3"/>
    <w:rsid w:val="00EC30A7"/>
    <w:rsid w:val="00EC3143"/>
    <w:rsid w:val="00EC31B1"/>
    <w:rsid w:val="00EC31B6"/>
    <w:rsid w:val="00EC31D6"/>
    <w:rsid w:val="00EC3224"/>
    <w:rsid w:val="00EC33A6"/>
    <w:rsid w:val="00EC344D"/>
    <w:rsid w:val="00EC35BF"/>
    <w:rsid w:val="00EC35C3"/>
    <w:rsid w:val="00EC366B"/>
    <w:rsid w:val="00EC3684"/>
    <w:rsid w:val="00EC36A4"/>
    <w:rsid w:val="00EC3724"/>
    <w:rsid w:val="00EC3792"/>
    <w:rsid w:val="00EC3797"/>
    <w:rsid w:val="00EC382D"/>
    <w:rsid w:val="00EC3860"/>
    <w:rsid w:val="00EC38CD"/>
    <w:rsid w:val="00EC38DE"/>
    <w:rsid w:val="00EC3985"/>
    <w:rsid w:val="00EC39F8"/>
    <w:rsid w:val="00EC3A1B"/>
    <w:rsid w:val="00EC3A4B"/>
    <w:rsid w:val="00EC3AA2"/>
    <w:rsid w:val="00EC3B11"/>
    <w:rsid w:val="00EC3BE0"/>
    <w:rsid w:val="00EC3BFA"/>
    <w:rsid w:val="00EC3BFC"/>
    <w:rsid w:val="00EC3C3C"/>
    <w:rsid w:val="00EC3C53"/>
    <w:rsid w:val="00EC3C9B"/>
    <w:rsid w:val="00EC3CED"/>
    <w:rsid w:val="00EC3D43"/>
    <w:rsid w:val="00EC3D89"/>
    <w:rsid w:val="00EC3DE6"/>
    <w:rsid w:val="00EC3E26"/>
    <w:rsid w:val="00EC3EC6"/>
    <w:rsid w:val="00EC3F0F"/>
    <w:rsid w:val="00EC3F1F"/>
    <w:rsid w:val="00EC3F57"/>
    <w:rsid w:val="00EC3F9D"/>
    <w:rsid w:val="00EC3FEE"/>
    <w:rsid w:val="00EC4094"/>
    <w:rsid w:val="00EC410A"/>
    <w:rsid w:val="00EC4144"/>
    <w:rsid w:val="00EC414F"/>
    <w:rsid w:val="00EC4192"/>
    <w:rsid w:val="00EC4197"/>
    <w:rsid w:val="00EC432C"/>
    <w:rsid w:val="00EC437F"/>
    <w:rsid w:val="00EC4414"/>
    <w:rsid w:val="00EC4434"/>
    <w:rsid w:val="00EC458C"/>
    <w:rsid w:val="00EC45C2"/>
    <w:rsid w:val="00EC45D2"/>
    <w:rsid w:val="00EC464C"/>
    <w:rsid w:val="00EC4680"/>
    <w:rsid w:val="00EC46C4"/>
    <w:rsid w:val="00EC46E7"/>
    <w:rsid w:val="00EC472A"/>
    <w:rsid w:val="00EC47D8"/>
    <w:rsid w:val="00EC484F"/>
    <w:rsid w:val="00EC4888"/>
    <w:rsid w:val="00EC48AF"/>
    <w:rsid w:val="00EC48F3"/>
    <w:rsid w:val="00EC48FD"/>
    <w:rsid w:val="00EC499F"/>
    <w:rsid w:val="00EC4A0E"/>
    <w:rsid w:val="00EC4A8D"/>
    <w:rsid w:val="00EC4AAE"/>
    <w:rsid w:val="00EC4AD4"/>
    <w:rsid w:val="00EC4B17"/>
    <w:rsid w:val="00EC4B22"/>
    <w:rsid w:val="00EC4B2E"/>
    <w:rsid w:val="00EC4B57"/>
    <w:rsid w:val="00EC4BA2"/>
    <w:rsid w:val="00EC4C02"/>
    <w:rsid w:val="00EC4C19"/>
    <w:rsid w:val="00EC4D33"/>
    <w:rsid w:val="00EC4D34"/>
    <w:rsid w:val="00EC4DA9"/>
    <w:rsid w:val="00EC4DB2"/>
    <w:rsid w:val="00EC4DBB"/>
    <w:rsid w:val="00EC4DD4"/>
    <w:rsid w:val="00EC4E4C"/>
    <w:rsid w:val="00EC4E8D"/>
    <w:rsid w:val="00EC4F8B"/>
    <w:rsid w:val="00EC4F8C"/>
    <w:rsid w:val="00EC4F8F"/>
    <w:rsid w:val="00EC4FC7"/>
    <w:rsid w:val="00EC508A"/>
    <w:rsid w:val="00EC508C"/>
    <w:rsid w:val="00EC508F"/>
    <w:rsid w:val="00EC510B"/>
    <w:rsid w:val="00EC511C"/>
    <w:rsid w:val="00EC5143"/>
    <w:rsid w:val="00EC51DB"/>
    <w:rsid w:val="00EC51E5"/>
    <w:rsid w:val="00EC53B9"/>
    <w:rsid w:val="00EC54E2"/>
    <w:rsid w:val="00EC5548"/>
    <w:rsid w:val="00EC55A9"/>
    <w:rsid w:val="00EC5630"/>
    <w:rsid w:val="00EC5724"/>
    <w:rsid w:val="00EC57A8"/>
    <w:rsid w:val="00EC57B9"/>
    <w:rsid w:val="00EC57D7"/>
    <w:rsid w:val="00EC57DF"/>
    <w:rsid w:val="00EC5896"/>
    <w:rsid w:val="00EC589E"/>
    <w:rsid w:val="00EC5953"/>
    <w:rsid w:val="00EC59B2"/>
    <w:rsid w:val="00EC59BD"/>
    <w:rsid w:val="00EC5A04"/>
    <w:rsid w:val="00EC5AC1"/>
    <w:rsid w:val="00EC5AF3"/>
    <w:rsid w:val="00EC5B51"/>
    <w:rsid w:val="00EC5BB9"/>
    <w:rsid w:val="00EC5CDB"/>
    <w:rsid w:val="00EC5D02"/>
    <w:rsid w:val="00EC5D3E"/>
    <w:rsid w:val="00EC5D67"/>
    <w:rsid w:val="00EC5DBB"/>
    <w:rsid w:val="00EC5DBD"/>
    <w:rsid w:val="00EC5E3D"/>
    <w:rsid w:val="00EC5E77"/>
    <w:rsid w:val="00EC5EE3"/>
    <w:rsid w:val="00EC5EEA"/>
    <w:rsid w:val="00EC5F70"/>
    <w:rsid w:val="00EC5F9B"/>
    <w:rsid w:val="00EC5F9F"/>
    <w:rsid w:val="00EC5FF9"/>
    <w:rsid w:val="00EC6008"/>
    <w:rsid w:val="00EC600F"/>
    <w:rsid w:val="00EC60AA"/>
    <w:rsid w:val="00EC612F"/>
    <w:rsid w:val="00EC6133"/>
    <w:rsid w:val="00EC623B"/>
    <w:rsid w:val="00EC6278"/>
    <w:rsid w:val="00EC62C7"/>
    <w:rsid w:val="00EC62DF"/>
    <w:rsid w:val="00EC62FC"/>
    <w:rsid w:val="00EC6347"/>
    <w:rsid w:val="00EC6349"/>
    <w:rsid w:val="00EC645F"/>
    <w:rsid w:val="00EC647F"/>
    <w:rsid w:val="00EC64C1"/>
    <w:rsid w:val="00EC64F3"/>
    <w:rsid w:val="00EC6516"/>
    <w:rsid w:val="00EC6544"/>
    <w:rsid w:val="00EC6689"/>
    <w:rsid w:val="00EC66FF"/>
    <w:rsid w:val="00EC6719"/>
    <w:rsid w:val="00EC679B"/>
    <w:rsid w:val="00EC67B0"/>
    <w:rsid w:val="00EC67BD"/>
    <w:rsid w:val="00EC67DB"/>
    <w:rsid w:val="00EC686C"/>
    <w:rsid w:val="00EC6917"/>
    <w:rsid w:val="00EC699D"/>
    <w:rsid w:val="00EC69C5"/>
    <w:rsid w:val="00EC6A05"/>
    <w:rsid w:val="00EC6A22"/>
    <w:rsid w:val="00EC6A90"/>
    <w:rsid w:val="00EC6A9F"/>
    <w:rsid w:val="00EC6AA3"/>
    <w:rsid w:val="00EC6B2A"/>
    <w:rsid w:val="00EC6B66"/>
    <w:rsid w:val="00EC6B6E"/>
    <w:rsid w:val="00EC6BBB"/>
    <w:rsid w:val="00EC6C5C"/>
    <w:rsid w:val="00EC6CB4"/>
    <w:rsid w:val="00EC6D5F"/>
    <w:rsid w:val="00EC6D61"/>
    <w:rsid w:val="00EC6D75"/>
    <w:rsid w:val="00EC6DB6"/>
    <w:rsid w:val="00EC6E32"/>
    <w:rsid w:val="00EC6E36"/>
    <w:rsid w:val="00EC6E91"/>
    <w:rsid w:val="00EC6E9C"/>
    <w:rsid w:val="00EC6FFC"/>
    <w:rsid w:val="00EC7052"/>
    <w:rsid w:val="00EC70A1"/>
    <w:rsid w:val="00EC70C4"/>
    <w:rsid w:val="00EC70ED"/>
    <w:rsid w:val="00EC7166"/>
    <w:rsid w:val="00EC71CB"/>
    <w:rsid w:val="00EC71E5"/>
    <w:rsid w:val="00EC7203"/>
    <w:rsid w:val="00EC7228"/>
    <w:rsid w:val="00EC725C"/>
    <w:rsid w:val="00EC72BB"/>
    <w:rsid w:val="00EC7335"/>
    <w:rsid w:val="00EC73A3"/>
    <w:rsid w:val="00EC73E8"/>
    <w:rsid w:val="00EC7447"/>
    <w:rsid w:val="00EC744F"/>
    <w:rsid w:val="00EC748E"/>
    <w:rsid w:val="00EC74B9"/>
    <w:rsid w:val="00EC7502"/>
    <w:rsid w:val="00EC76E8"/>
    <w:rsid w:val="00EC76FE"/>
    <w:rsid w:val="00EC773E"/>
    <w:rsid w:val="00EC7775"/>
    <w:rsid w:val="00EC77B9"/>
    <w:rsid w:val="00EC77CE"/>
    <w:rsid w:val="00EC780B"/>
    <w:rsid w:val="00EC784C"/>
    <w:rsid w:val="00EC79A9"/>
    <w:rsid w:val="00EC79F9"/>
    <w:rsid w:val="00EC7AAB"/>
    <w:rsid w:val="00EC7B0C"/>
    <w:rsid w:val="00EC7B0F"/>
    <w:rsid w:val="00EC7BBB"/>
    <w:rsid w:val="00EC7C7C"/>
    <w:rsid w:val="00EC7C8D"/>
    <w:rsid w:val="00EC7C93"/>
    <w:rsid w:val="00EC7CB3"/>
    <w:rsid w:val="00EC7D01"/>
    <w:rsid w:val="00EC7D02"/>
    <w:rsid w:val="00EC7D5A"/>
    <w:rsid w:val="00EC7D5C"/>
    <w:rsid w:val="00EC7D6D"/>
    <w:rsid w:val="00EC7DF5"/>
    <w:rsid w:val="00EC7E0E"/>
    <w:rsid w:val="00EC7E59"/>
    <w:rsid w:val="00EC7E79"/>
    <w:rsid w:val="00EC7F91"/>
    <w:rsid w:val="00EC7FAA"/>
    <w:rsid w:val="00EC7FB3"/>
    <w:rsid w:val="00EC7FB5"/>
    <w:rsid w:val="00EC7FF5"/>
    <w:rsid w:val="00ED009C"/>
    <w:rsid w:val="00ED00CB"/>
    <w:rsid w:val="00ED0155"/>
    <w:rsid w:val="00ED01CE"/>
    <w:rsid w:val="00ED028E"/>
    <w:rsid w:val="00ED02ED"/>
    <w:rsid w:val="00ED02F3"/>
    <w:rsid w:val="00ED0313"/>
    <w:rsid w:val="00ED0345"/>
    <w:rsid w:val="00ED034F"/>
    <w:rsid w:val="00ED0366"/>
    <w:rsid w:val="00ED0383"/>
    <w:rsid w:val="00ED043E"/>
    <w:rsid w:val="00ED04A9"/>
    <w:rsid w:val="00ED0569"/>
    <w:rsid w:val="00ED0619"/>
    <w:rsid w:val="00ED0633"/>
    <w:rsid w:val="00ED067F"/>
    <w:rsid w:val="00ED0693"/>
    <w:rsid w:val="00ED072A"/>
    <w:rsid w:val="00ED074A"/>
    <w:rsid w:val="00ED0758"/>
    <w:rsid w:val="00ED07F2"/>
    <w:rsid w:val="00ED07F6"/>
    <w:rsid w:val="00ED081C"/>
    <w:rsid w:val="00ED0845"/>
    <w:rsid w:val="00ED0848"/>
    <w:rsid w:val="00ED0894"/>
    <w:rsid w:val="00ED08BB"/>
    <w:rsid w:val="00ED0973"/>
    <w:rsid w:val="00ED0991"/>
    <w:rsid w:val="00ED0A29"/>
    <w:rsid w:val="00ED0AE6"/>
    <w:rsid w:val="00ED0BA1"/>
    <w:rsid w:val="00ED0BA8"/>
    <w:rsid w:val="00ED0BE1"/>
    <w:rsid w:val="00ED0C1F"/>
    <w:rsid w:val="00ED0C3B"/>
    <w:rsid w:val="00ED0C3E"/>
    <w:rsid w:val="00ED0C5D"/>
    <w:rsid w:val="00ED0C7F"/>
    <w:rsid w:val="00ED0D9A"/>
    <w:rsid w:val="00ED0DA6"/>
    <w:rsid w:val="00ED0F2E"/>
    <w:rsid w:val="00ED0F3D"/>
    <w:rsid w:val="00ED0F4D"/>
    <w:rsid w:val="00ED113A"/>
    <w:rsid w:val="00ED1153"/>
    <w:rsid w:val="00ED11B7"/>
    <w:rsid w:val="00ED11FB"/>
    <w:rsid w:val="00ED1227"/>
    <w:rsid w:val="00ED1231"/>
    <w:rsid w:val="00ED12B3"/>
    <w:rsid w:val="00ED133C"/>
    <w:rsid w:val="00ED1387"/>
    <w:rsid w:val="00ED13D4"/>
    <w:rsid w:val="00ED14CD"/>
    <w:rsid w:val="00ED1565"/>
    <w:rsid w:val="00ED15B9"/>
    <w:rsid w:val="00ED1604"/>
    <w:rsid w:val="00ED161F"/>
    <w:rsid w:val="00ED1661"/>
    <w:rsid w:val="00ED1867"/>
    <w:rsid w:val="00ED19A2"/>
    <w:rsid w:val="00ED1AAA"/>
    <w:rsid w:val="00ED1B2B"/>
    <w:rsid w:val="00ED1B39"/>
    <w:rsid w:val="00ED1C4E"/>
    <w:rsid w:val="00ED1CEE"/>
    <w:rsid w:val="00ED1D05"/>
    <w:rsid w:val="00ED1D09"/>
    <w:rsid w:val="00ED1E3B"/>
    <w:rsid w:val="00ED1E6D"/>
    <w:rsid w:val="00ED1E9D"/>
    <w:rsid w:val="00ED1ED2"/>
    <w:rsid w:val="00ED201A"/>
    <w:rsid w:val="00ED205C"/>
    <w:rsid w:val="00ED2092"/>
    <w:rsid w:val="00ED20D1"/>
    <w:rsid w:val="00ED2147"/>
    <w:rsid w:val="00ED2163"/>
    <w:rsid w:val="00ED2174"/>
    <w:rsid w:val="00ED21D2"/>
    <w:rsid w:val="00ED2254"/>
    <w:rsid w:val="00ED22E7"/>
    <w:rsid w:val="00ED22F9"/>
    <w:rsid w:val="00ED2309"/>
    <w:rsid w:val="00ED2313"/>
    <w:rsid w:val="00ED23BC"/>
    <w:rsid w:val="00ED23D5"/>
    <w:rsid w:val="00ED23DE"/>
    <w:rsid w:val="00ED2420"/>
    <w:rsid w:val="00ED2454"/>
    <w:rsid w:val="00ED248E"/>
    <w:rsid w:val="00ED25CE"/>
    <w:rsid w:val="00ED2608"/>
    <w:rsid w:val="00ED2645"/>
    <w:rsid w:val="00ED2673"/>
    <w:rsid w:val="00ED2687"/>
    <w:rsid w:val="00ED2731"/>
    <w:rsid w:val="00ED2736"/>
    <w:rsid w:val="00ED2759"/>
    <w:rsid w:val="00ED2762"/>
    <w:rsid w:val="00ED27C7"/>
    <w:rsid w:val="00ED27CC"/>
    <w:rsid w:val="00ED2850"/>
    <w:rsid w:val="00ED2851"/>
    <w:rsid w:val="00ED28B4"/>
    <w:rsid w:val="00ED29EA"/>
    <w:rsid w:val="00ED2A18"/>
    <w:rsid w:val="00ED2A75"/>
    <w:rsid w:val="00ED2B64"/>
    <w:rsid w:val="00ED2BC0"/>
    <w:rsid w:val="00ED2C1D"/>
    <w:rsid w:val="00ED2CAA"/>
    <w:rsid w:val="00ED2CCC"/>
    <w:rsid w:val="00ED2CD3"/>
    <w:rsid w:val="00ED2D13"/>
    <w:rsid w:val="00ED2D15"/>
    <w:rsid w:val="00ED2D95"/>
    <w:rsid w:val="00ED2E03"/>
    <w:rsid w:val="00ED2EC4"/>
    <w:rsid w:val="00ED2F9D"/>
    <w:rsid w:val="00ED2FDF"/>
    <w:rsid w:val="00ED2FF3"/>
    <w:rsid w:val="00ED3032"/>
    <w:rsid w:val="00ED3082"/>
    <w:rsid w:val="00ED3091"/>
    <w:rsid w:val="00ED309B"/>
    <w:rsid w:val="00ED312B"/>
    <w:rsid w:val="00ED3186"/>
    <w:rsid w:val="00ED31CC"/>
    <w:rsid w:val="00ED32EB"/>
    <w:rsid w:val="00ED33B8"/>
    <w:rsid w:val="00ED33D2"/>
    <w:rsid w:val="00ED33E8"/>
    <w:rsid w:val="00ED3464"/>
    <w:rsid w:val="00ED34F5"/>
    <w:rsid w:val="00ED3528"/>
    <w:rsid w:val="00ED3548"/>
    <w:rsid w:val="00ED3590"/>
    <w:rsid w:val="00ED3659"/>
    <w:rsid w:val="00ED385D"/>
    <w:rsid w:val="00ED38AF"/>
    <w:rsid w:val="00ED3950"/>
    <w:rsid w:val="00ED396E"/>
    <w:rsid w:val="00ED3977"/>
    <w:rsid w:val="00ED3A1A"/>
    <w:rsid w:val="00ED3BEA"/>
    <w:rsid w:val="00ED3C9D"/>
    <w:rsid w:val="00ED3D20"/>
    <w:rsid w:val="00ED3D6D"/>
    <w:rsid w:val="00ED3DB0"/>
    <w:rsid w:val="00ED3DFF"/>
    <w:rsid w:val="00ED3E76"/>
    <w:rsid w:val="00ED3E8D"/>
    <w:rsid w:val="00ED3EA9"/>
    <w:rsid w:val="00ED3ED8"/>
    <w:rsid w:val="00ED3EE4"/>
    <w:rsid w:val="00ED3F23"/>
    <w:rsid w:val="00ED3F62"/>
    <w:rsid w:val="00ED3F94"/>
    <w:rsid w:val="00ED4007"/>
    <w:rsid w:val="00ED4075"/>
    <w:rsid w:val="00ED408A"/>
    <w:rsid w:val="00ED40F7"/>
    <w:rsid w:val="00ED410E"/>
    <w:rsid w:val="00ED416D"/>
    <w:rsid w:val="00ED41F9"/>
    <w:rsid w:val="00ED4304"/>
    <w:rsid w:val="00ED4436"/>
    <w:rsid w:val="00ED4455"/>
    <w:rsid w:val="00ED4507"/>
    <w:rsid w:val="00ED453C"/>
    <w:rsid w:val="00ED455A"/>
    <w:rsid w:val="00ED4623"/>
    <w:rsid w:val="00ED4667"/>
    <w:rsid w:val="00ED4740"/>
    <w:rsid w:val="00ED4741"/>
    <w:rsid w:val="00ED480F"/>
    <w:rsid w:val="00ED4834"/>
    <w:rsid w:val="00ED48C4"/>
    <w:rsid w:val="00ED48E5"/>
    <w:rsid w:val="00ED495F"/>
    <w:rsid w:val="00ED4A3B"/>
    <w:rsid w:val="00ED4A51"/>
    <w:rsid w:val="00ED4AE9"/>
    <w:rsid w:val="00ED4B3C"/>
    <w:rsid w:val="00ED4B3D"/>
    <w:rsid w:val="00ED4C2D"/>
    <w:rsid w:val="00ED4CCD"/>
    <w:rsid w:val="00ED4D26"/>
    <w:rsid w:val="00ED4E2F"/>
    <w:rsid w:val="00ED4E47"/>
    <w:rsid w:val="00ED4E74"/>
    <w:rsid w:val="00ED4F24"/>
    <w:rsid w:val="00ED4F42"/>
    <w:rsid w:val="00ED4F51"/>
    <w:rsid w:val="00ED4F7F"/>
    <w:rsid w:val="00ED50D5"/>
    <w:rsid w:val="00ED510B"/>
    <w:rsid w:val="00ED51A3"/>
    <w:rsid w:val="00ED5230"/>
    <w:rsid w:val="00ED5235"/>
    <w:rsid w:val="00ED52CF"/>
    <w:rsid w:val="00ED53A4"/>
    <w:rsid w:val="00ED5446"/>
    <w:rsid w:val="00ED54A4"/>
    <w:rsid w:val="00ED54D1"/>
    <w:rsid w:val="00ED54FB"/>
    <w:rsid w:val="00ED557B"/>
    <w:rsid w:val="00ED55C5"/>
    <w:rsid w:val="00ED5671"/>
    <w:rsid w:val="00ED56F9"/>
    <w:rsid w:val="00ED5700"/>
    <w:rsid w:val="00ED578A"/>
    <w:rsid w:val="00ED57B1"/>
    <w:rsid w:val="00ED57DC"/>
    <w:rsid w:val="00ED5840"/>
    <w:rsid w:val="00ED58C4"/>
    <w:rsid w:val="00ED58D3"/>
    <w:rsid w:val="00ED5922"/>
    <w:rsid w:val="00ED59D7"/>
    <w:rsid w:val="00ED59DF"/>
    <w:rsid w:val="00ED5A17"/>
    <w:rsid w:val="00ED5A2E"/>
    <w:rsid w:val="00ED5A7D"/>
    <w:rsid w:val="00ED5AA8"/>
    <w:rsid w:val="00ED5AB7"/>
    <w:rsid w:val="00ED5ADC"/>
    <w:rsid w:val="00ED5AF4"/>
    <w:rsid w:val="00ED5B0A"/>
    <w:rsid w:val="00ED5B16"/>
    <w:rsid w:val="00ED5B45"/>
    <w:rsid w:val="00ED5B58"/>
    <w:rsid w:val="00ED5B70"/>
    <w:rsid w:val="00ED5C38"/>
    <w:rsid w:val="00ED5F4A"/>
    <w:rsid w:val="00ED5FB7"/>
    <w:rsid w:val="00ED5FFA"/>
    <w:rsid w:val="00ED606B"/>
    <w:rsid w:val="00ED608A"/>
    <w:rsid w:val="00ED60C7"/>
    <w:rsid w:val="00ED60CC"/>
    <w:rsid w:val="00ED6147"/>
    <w:rsid w:val="00ED6239"/>
    <w:rsid w:val="00ED6247"/>
    <w:rsid w:val="00ED6262"/>
    <w:rsid w:val="00ED6358"/>
    <w:rsid w:val="00ED6378"/>
    <w:rsid w:val="00ED6391"/>
    <w:rsid w:val="00ED63A5"/>
    <w:rsid w:val="00ED63B5"/>
    <w:rsid w:val="00ED6443"/>
    <w:rsid w:val="00ED6447"/>
    <w:rsid w:val="00ED6475"/>
    <w:rsid w:val="00ED6498"/>
    <w:rsid w:val="00ED654F"/>
    <w:rsid w:val="00ED6586"/>
    <w:rsid w:val="00ED6665"/>
    <w:rsid w:val="00ED6695"/>
    <w:rsid w:val="00ED6697"/>
    <w:rsid w:val="00ED6733"/>
    <w:rsid w:val="00ED6743"/>
    <w:rsid w:val="00ED6819"/>
    <w:rsid w:val="00ED6834"/>
    <w:rsid w:val="00ED68B1"/>
    <w:rsid w:val="00ED68CF"/>
    <w:rsid w:val="00ED68E2"/>
    <w:rsid w:val="00ED692F"/>
    <w:rsid w:val="00ED69B0"/>
    <w:rsid w:val="00ED6AB7"/>
    <w:rsid w:val="00ED6B04"/>
    <w:rsid w:val="00ED6B3A"/>
    <w:rsid w:val="00ED6BAF"/>
    <w:rsid w:val="00ED6BE2"/>
    <w:rsid w:val="00ED6BF7"/>
    <w:rsid w:val="00ED6C75"/>
    <w:rsid w:val="00ED6D6C"/>
    <w:rsid w:val="00ED6D71"/>
    <w:rsid w:val="00ED6DAB"/>
    <w:rsid w:val="00ED6F19"/>
    <w:rsid w:val="00ED6F23"/>
    <w:rsid w:val="00ED6F3B"/>
    <w:rsid w:val="00ED6FD7"/>
    <w:rsid w:val="00ED7008"/>
    <w:rsid w:val="00ED701D"/>
    <w:rsid w:val="00ED7062"/>
    <w:rsid w:val="00ED7138"/>
    <w:rsid w:val="00ED71A7"/>
    <w:rsid w:val="00ED71AD"/>
    <w:rsid w:val="00ED71FB"/>
    <w:rsid w:val="00ED72B4"/>
    <w:rsid w:val="00ED735F"/>
    <w:rsid w:val="00ED74CD"/>
    <w:rsid w:val="00ED753D"/>
    <w:rsid w:val="00ED758E"/>
    <w:rsid w:val="00ED75CC"/>
    <w:rsid w:val="00ED75D7"/>
    <w:rsid w:val="00ED7602"/>
    <w:rsid w:val="00ED766D"/>
    <w:rsid w:val="00ED76D4"/>
    <w:rsid w:val="00ED7785"/>
    <w:rsid w:val="00ED7796"/>
    <w:rsid w:val="00ED7815"/>
    <w:rsid w:val="00ED786A"/>
    <w:rsid w:val="00ED798D"/>
    <w:rsid w:val="00ED7999"/>
    <w:rsid w:val="00ED7A25"/>
    <w:rsid w:val="00ED7AE0"/>
    <w:rsid w:val="00ED7AF8"/>
    <w:rsid w:val="00ED7B22"/>
    <w:rsid w:val="00ED7B7D"/>
    <w:rsid w:val="00ED7BB9"/>
    <w:rsid w:val="00ED7C17"/>
    <w:rsid w:val="00ED7CB4"/>
    <w:rsid w:val="00ED7CC6"/>
    <w:rsid w:val="00ED7DAD"/>
    <w:rsid w:val="00ED7E07"/>
    <w:rsid w:val="00ED7ED7"/>
    <w:rsid w:val="00ED7ED9"/>
    <w:rsid w:val="00ED7EF4"/>
    <w:rsid w:val="00ED7F21"/>
    <w:rsid w:val="00ED7F42"/>
    <w:rsid w:val="00EE0012"/>
    <w:rsid w:val="00EE0018"/>
    <w:rsid w:val="00EE0021"/>
    <w:rsid w:val="00EE0082"/>
    <w:rsid w:val="00EE0102"/>
    <w:rsid w:val="00EE012D"/>
    <w:rsid w:val="00EE0131"/>
    <w:rsid w:val="00EE0163"/>
    <w:rsid w:val="00EE01C4"/>
    <w:rsid w:val="00EE0267"/>
    <w:rsid w:val="00EE02EC"/>
    <w:rsid w:val="00EE0325"/>
    <w:rsid w:val="00EE039B"/>
    <w:rsid w:val="00EE03C8"/>
    <w:rsid w:val="00EE03F7"/>
    <w:rsid w:val="00EE04CB"/>
    <w:rsid w:val="00EE04DE"/>
    <w:rsid w:val="00EE0585"/>
    <w:rsid w:val="00EE05B3"/>
    <w:rsid w:val="00EE0749"/>
    <w:rsid w:val="00EE07F9"/>
    <w:rsid w:val="00EE07FC"/>
    <w:rsid w:val="00EE0866"/>
    <w:rsid w:val="00EE08B8"/>
    <w:rsid w:val="00EE08D2"/>
    <w:rsid w:val="00EE08FB"/>
    <w:rsid w:val="00EE096A"/>
    <w:rsid w:val="00EE099F"/>
    <w:rsid w:val="00EE09AC"/>
    <w:rsid w:val="00EE0A3B"/>
    <w:rsid w:val="00EE0A88"/>
    <w:rsid w:val="00EE0AA3"/>
    <w:rsid w:val="00EE0AAA"/>
    <w:rsid w:val="00EE0BA9"/>
    <w:rsid w:val="00EE0BDA"/>
    <w:rsid w:val="00EE0C08"/>
    <w:rsid w:val="00EE0CE1"/>
    <w:rsid w:val="00EE0D54"/>
    <w:rsid w:val="00EE0D64"/>
    <w:rsid w:val="00EE0D86"/>
    <w:rsid w:val="00EE0D9F"/>
    <w:rsid w:val="00EE0E0A"/>
    <w:rsid w:val="00EE0EA0"/>
    <w:rsid w:val="00EE0F2A"/>
    <w:rsid w:val="00EE0F39"/>
    <w:rsid w:val="00EE0FF3"/>
    <w:rsid w:val="00EE10BA"/>
    <w:rsid w:val="00EE117A"/>
    <w:rsid w:val="00EE118E"/>
    <w:rsid w:val="00EE12AA"/>
    <w:rsid w:val="00EE12C3"/>
    <w:rsid w:val="00EE12FA"/>
    <w:rsid w:val="00EE136A"/>
    <w:rsid w:val="00EE13AE"/>
    <w:rsid w:val="00EE13BC"/>
    <w:rsid w:val="00EE14A0"/>
    <w:rsid w:val="00EE14EF"/>
    <w:rsid w:val="00EE156D"/>
    <w:rsid w:val="00EE1570"/>
    <w:rsid w:val="00EE1572"/>
    <w:rsid w:val="00EE15B9"/>
    <w:rsid w:val="00EE162C"/>
    <w:rsid w:val="00EE1631"/>
    <w:rsid w:val="00EE167D"/>
    <w:rsid w:val="00EE16EF"/>
    <w:rsid w:val="00EE1729"/>
    <w:rsid w:val="00EE174C"/>
    <w:rsid w:val="00EE1810"/>
    <w:rsid w:val="00EE1846"/>
    <w:rsid w:val="00EE185C"/>
    <w:rsid w:val="00EE19B8"/>
    <w:rsid w:val="00EE19CB"/>
    <w:rsid w:val="00EE19FC"/>
    <w:rsid w:val="00EE1A44"/>
    <w:rsid w:val="00EE1A53"/>
    <w:rsid w:val="00EE1A68"/>
    <w:rsid w:val="00EE1A7B"/>
    <w:rsid w:val="00EE1AA0"/>
    <w:rsid w:val="00EE1ABB"/>
    <w:rsid w:val="00EE1AF3"/>
    <w:rsid w:val="00EE1B47"/>
    <w:rsid w:val="00EE1BB6"/>
    <w:rsid w:val="00EE1BF1"/>
    <w:rsid w:val="00EE1CA2"/>
    <w:rsid w:val="00EE1CC1"/>
    <w:rsid w:val="00EE1CD4"/>
    <w:rsid w:val="00EE1CE6"/>
    <w:rsid w:val="00EE1CFC"/>
    <w:rsid w:val="00EE1D30"/>
    <w:rsid w:val="00EE1D43"/>
    <w:rsid w:val="00EE1E4D"/>
    <w:rsid w:val="00EE1E83"/>
    <w:rsid w:val="00EE1E86"/>
    <w:rsid w:val="00EE1ED7"/>
    <w:rsid w:val="00EE1F05"/>
    <w:rsid w:val="00EE1F1A"/>
    <w:rsid w:val="00EE1F6A"/>
    <w:rsid w:val="00EE1F82"/>
    <w:rsid w:val="00EE1FC8"/>
    <w:rsid w:val="00EE209E"/>
    <w:rsid w:val="00EE2205"/>
    <w:rsid w:val="00EE223F"/>
    <w:rsid w:val="00EE2279"/>
    <w:rsid w:val="00EE22CE"/>
    <w:rsid w:val="00EE22D1"/>
    <w:rsid w:val="00EE22EE"/>
    <w:rsid w:val="00EE22F9"/>
    <w:rsid w:val="00EE2322"/>
    <w:rsid w:val="00EE241D"/>
    <w:rsid w:val="00EE249F"/>
    <w:rsid w:val="00EE24B2"/>
    <w:rsid w:val="00EE25AE"/>
    <w:rsid w:val="00EE25B5"/>
    <w:rsid w:val="00EE25DF"/>
    <w:rsid w:val="00EE25EC"/>
    <w:rsid w:val="00EE2648"/>
    <w:rsid w:val="00EE2675"/>
    <w:rsid w:val="00EE26CA"/>
    <w:rsid w:val="00EE270D"/>
    <w:rsid w:val="00EE275B"/>
    <w:rsid w:val="00EE2799"/>
    <w:rsid w:val="00EE27A0"/>
    <w:rsid w:val="00EE28AF"/>
    <w:rsid w:val="00EE28D5"/>
    <w:rsid w:val="00EE28E3"/>
    <w:rsid w:val="00EE295C"/>
    <w:rsid w:val="00EE29C7"/>
    <w:rsid w:val="00EE29CC"/>
    <w:rsid w:val="00EE2A43"/>
    <w:rsid w:val="00EE2A56"/>
    <w:rsid w:val="00EE2B3E"/>
    <w:rsid w:val="00EE2C05"/>
    <w:rsid w:val="00EE2C67"/>
    <w:rsid w:val="00EE2CD2"/>
    <w:rsid w:val="00EE2CD6"/>
    <w:rsid w:val="00EE2CDE"/>
    <w:rsid w:val="00EE2CF9"/>
    <w:rsid w:val="00EE2D1A"/>
    <w:rsid w:val="00EE2D27"/>
    <w:rsid w:val="00EE2DA4"/>
    <w:rsid w:val="00EE2F29"/>
    <w:rsid w:val="00EE2F76"/>
    <w:rsid w:val="00EE3041"/>
    <w:rsid w:val="00EE3070"/>
    <w:rsid w:val="00EE3078"/>
    <w:rsid w:val="00EE307A"/>
    <w:rsid w:val="00EE3153"/>
    <w:rsid w:val="00EE31BA"/>
    <w:rsid w:val="00EE3261"/>
    <w:rsid w:val="00EE32E7"/>
    <w:rsid w:val="00EE3300"/>
    <w:rsid w:val="00EE335A"/>
    <w:rsid w:val="00EE3395"/>
    <w:rsid w:val="00EE33F0"/>
    <w:rsid w:val="00EE33F3"/>
    <w:rsid w:val="00EE3426"/>
    <w:rsid w:val="00EE3521"/>
    <w:rsid w:val="00EE3538"/>
    <w:rsid w:val="00EE3590"/>
    <w:rsid w:val="00EE3640"/>
    <w:rsid w:val="00EE367A"/>
    <w:rsid w:val="00EE36A1"/>
    <w:rsid w:val="00EE375C"/>
    <w:rsid w:val="00EE37B3"/>
    <w:rsid w:val="00EE37CE"/>
    <w:rsid w:val="00EE3843"/>
    <w:rsid w:val="00EE384C"/>
    <w:rsid w:val="00EE385D"/>
    <w:rsid w:val="00EE38CD"/>
    <w:rsid w:val="00EE396A"/>
    <w:rsid w:val="00EE3A3B"/>
    <w:rsid w:val="00EE3BB2"/>
    <w:rsid w:val="00EE3CD7"/>
    <w:rsid w:val="00EE3CF8"/>
    <w:rsid w:val="00EE3D1F"/>
    <w:rsid w:val="00EE3D2A"/>
    <w:rsid w:val="00EE3E2B"/>
    <w:rsid w:val="00EE3E83"/>
    <w:rsid w:val="00EE3F9E"/>
    <w:rsid w:val="00EE3FDE"/>
    <w:rsid w:val="00EE4083"/>
    <w:rsid w:val="00EE40DC"/>
    <w:rsid w:val="00EE416C"/>
    <w:rsid w:val="00EE41DE"/>
    <w:rsid w:val="00EE41F3"/>
    <w:rsid w:val="00EE425A"/>
    <w:rsid w:val="00EE42C9"/>
    <w:rsid w:val="00EE42D4"/>
    <w:rsid w:val="00EE4380"/>
    <w:rsid w:val="00EE43D7"/>
    <w:rsid w:val="00EE4413"/>
    <w:rsid w:val="00EE4419"/>
    <w:rsid w:val="00EE445B"/>
    <w:rsid w:val="00EE445F"/>
    <w:rsid w:val="00EE4499"/>
    <w:rsid w:val="00EE44D7"/>
    <w:rsid w:val="00EE4505"/>
    <w:rsid w:val="00EE4525"/>
    <w:rsid w:val="00EE457A"/>
    <w:rsid w:val="00EE4629"/>
    <w:rsid w:val="00EE4641"/>
    <w:rsid w:val="00EE4665"/>
    <w:rsid w:val="00EE4688"/>
    <w:rsid w:val="00EE46C1"/>
    <w:rsid w:val="00EE46ED"/>
    <w:rsid w:val="00EE4707"/>
    <w:rsid w:val="00EE472F"/>
    <w:rsid w:val="00EE480B"/>
    <w:rsid w:val="00EE489C"/>
    <w:rsid w:val="00EE48A4"/>
    <w:rsid w:val="00EE498C"/>
    <w:rsid w:val="00EE4991"/>
    <w:rsid w:val="00EE4AA9"/>
    <w:rsid w:val="00EE4AF2"/>
    <w:rsid w:val="00EE4C21"/>
    <w:rsid w:val="00EE4CFB"/>
    <w:rsid w:val="00EE4D02"/>
    <w:rsid w:val="00EE4D42"/>
    <w:rsid w:val="00EE4E14"/>
    <w:rsid w:val="00EE4E68"/>
    <w:rsid w:val="00EE4ED9"/>
    <w:rsid w:val="00EE4F77"/>
    <w:rsid w:val="00EE4F7B"/>
    <w:rsid w:val="00EE4F8D"/>
    <w:rsid w:val="00EE501D"/>
    <w:rsid w:val="00EE503F"/>
    <w:rsid w:val="00EE5094"/>
    <w:rsid w:val="00EE5115"/>
    <w:rsid w:val="00EE511E"/>
    <w:rsid w:val="00EE5128"/>
    <w:rsid w:val="00EE52B3"/>
    <w:rsid w:val="00EE5308"/>
    <w:rsid w:val="00EE5324"/>
    <w:rsid w:val="00EE5368"/>
    <w:rsid w:val="00EE5385"/>
    <w:rsid w:val="00EE5394"/>
    <w:rsid w:val="00EE5398"/>
    <w:rsid w:val="00EE53D0"/>
    <w:rsid w:val="00EE53E8"/>
    <w:rsid w:val="00EE55A0"/>
    <w:rsid w:val="00EE55FE"/>
    <w:rsid w:val="00EE5615"/>
    <w:rsid w:val="00EE568A"/>
    <w:rsid w:val="00EE577C"/>
    <w:rsid w:val="00EE57AB"/>
    <w:rsid w:val="00EE57DA"/>
    <w:rsid w:val="00EE57EC"/>
    <w:rsid w:val="00EE5805"/>
    <w:rsid w:val="00EE581E"/>
    <w:rsid w:val="00EE5941"/>
    <w:rsid w:val="00EE59A8"/>
    <w:rsid w:val="00EE5A7D"/>
    <w:rsid w:val="00EE5AAA"/>
    <w:rsid w:val="00EE5B20"/>
    <w:rsid w:val="00EE5B34"/>
    <w:rsid w:val="00EE5B5C"/>
    <w:rsid w:val="00EE5BAE"/>
    <w:rsid w:val="00EE5CD3"/>
    <w:rsid w:val="00EE5E21"/>
    <w:rsid w:val="00EE5EA7"/>
    <w:rsid w:val="00EE5F83"/>
    <w:rsid w:val="00EE5F8F"/>
    <w:rsid w:val="00EE5FDA"/>
    <w:rsid w:val="00EE5FEC"/>
    <w:rsid w:val="00EE6020"/>
    <w:rsid w:val="00EE6024"/>
    <w:rsid w:val="00EE60F9"/>
    <w:rsid w:val="00EE6121"/>
    <w:rsid w:val="00EE6257"/>
    <w:rsid w:val="00EE6269"/>
    <w:rsid w:val="00EE62CF"/>
    <w:rsid w:val="00EE630E"/>
    <w:rsid w:val="00EE6339"/>
    <w:rsid w:val="00EE635C"/>
    <w:rsid w:val="00EE6369"/>
    <w:rsid w:val="00EE6472"/>
    <w:rsid w:val="00EE64C5"/>
    <w:rsid w:val="00EE64CB"/>
    <w:rsid w:val="00EE64E5"/>
    <w:rsid w:val="00EE6563"/>
    <w:rsid w:val="00EE6582"/>
    <w:rsid w:val="00EE658B"/>
    <w:rsid w:val="00EE667E"/>
    <w:rsid w:val="00EE6723"/>
    <w:rsid w:val="00EE6747"/>
    <w:rsid w:val="00EE6754"/>
    <w:rsid w:val="00EE6781"/>
    <w:rsid w:val="00EE67A3"/>
    <w:rsid w:val="00EE67BC"/>
    <w:rsid w:val="00EE6883"/>
    <w:rsid w:val="00EE68AA"/>
    <w:rsid w:val="00EE68C4"/>
    <w:rsid w:val="00EE697A"/>
    <w:rsid w:val="00EE6A2E"/>
    <w:rsid w:val="00EE6A82"/>
    <w:rsid w:val="00EE6B3F"/>
    <w:rsid w:val="00EE6BAF"/>
    <w:rsid w:val="00EE6BF1"/>
    <w:rsid w:val="00EE6D7D"/>
    <w:rsid w:val="00EE6E47"/>
    <w:rsid w:val="00EE6E7F"/>
    <w:rsid w:val="00EE6EB1"/>
    <w:rsid w:val="00EE6F1E"/>
    <w:rsid w:val="00EE700B"/>
    <w:rsid w:val="00EE7014"/>
    <w:rsid w:val="00EE7131"/>
    <w:rsid w:val="00EE7179"/>
    <w:rsid w:val="00EE7186"/>
    <w:rsid w:val="00EE71C8"/>
    <w:rsid w:val="00EE71D3"/>
    <w:rsid w:val="00EE7219"/>
    <w:rsid w:val="00EE7254"/>
    <w:rsid w:val="00EE7280"/>
    <w:rsid w:val="00EE72A3"/>
    <w:rsid w:val="00EE72A7"/>
    <w:rsid w:val="00EE7334"/>
    <w:rsid w:val="00EE7367"/>
    <w:rsid w:val="00EE744E"/>
    <w:rsid w:val="00EE7457"/>
    <w:rsid w:val="00EE746A"/>
    <w:rsid w:val="00EE7529"/>
    <w:rsid w:val="00EE7533"/>
    <w:rsid w:val="00EE755D"/>
    <w:rsid w:val="00EE755E"/>
    <w:rsid w:val="00EE765F"/>
    <w:rsid w:val="00EE767E"/>
    <w:rsid w:val="00EE76D2"/>
    <w:rsid w:val="00EE76EE"/>
    <w:rsid w:val="00EE7736"/>
    <w:rsid w:val="00EE777B"/>
    <w:rsid w:val="00EE777C"/>
    <w:rsid w:val="00EE777D"/>
    <w:rsid w:val="00EE77DF"/>
    <w:rsid w:val="00EE78A3"/>
    <w:rsid w:val="00EE7997"/>
    <w:rsid w:val="00EE7AD6"/>
    <w:rsid w:val="00EE7B93"/>
    <w:rsid w:val="00EE7BB4"/>
    <w:rsid w:val="00EE7BCF"/>
    <w:rsid w:val="00EE7C39"/>
    <w:rsid w:val="00EE7C3B"/>
    <w:rsid w:val="00EE7D38"/>
    <w:rsid w:val="00EE7E0A"/>
    <w:rsid w:val="00EE7E70"/>
    <w:rsid w:val="00EE7F8E"/>
    <w:rsid w:val="00EE7FF7"/>
    <w:rsid w:val="00EF00EC"/>
    <w:rsid w:val="00EF017B"/>
    <w:rsid w:val="00EF018A"/>
    <w:rsid w:val="00EF01C0"/>
    <w:rsid w:val="00EF0244"/>
    <w:rsid w:val="00EF02C1"/>
    <w:rsid w:val="00EF0353"/>
    <w:rsid w:val="00EF037F"/>
    <w:rsid w:val="00EF0381"/>
    <w:rsid w:val="00EF0412"/>
    <w:rsid w:val="00EF048F"/>
    <w:rsid w:val="00EF04C8"/>
    <w:rsid w:val="00EF04C9"/>
    <w:rsid w:val="00EF0557"/>
    <w:rsid w:val="00EF05DF"/>
    <w:rsid w:val="00EF0607"/>
    <w:rsid w:val="00EF06B4"/>
    <w:rsid w:val="00EF06C4"/>
    <w:rsid w:val="00EF0780"/>
    <w:rsid w:val="00EF0859"/>
    <w:rsid w:val="00EF085B"/>
    <w:rsid w:val="00EF0861"/>
    <w:rsid w:val="00EF088F"/>
    <w:rsid w:val="00EF08AE"/>
    <w:rsid w:val="00EF08F1"/>
    <w:rsid w:val="00EF0914"/>
    <w:rsid w:val="00EF093A"/>
    <w:rsid w:val="00EF0981"/>
    <w:rsid w:val="00EF099F"/>
    <w:rsid w:val="00EF0A07"/>
    <w:rsid w:val="00EF0A98"/>
    <w:rsid w:val="00EF0AA2"/>
    <w:rsid w:val="00EF0AD5"/>
    <w:rsid w:val="00EF0AF7"/>
    <w:rsid w:val="00EF0BC0"/>
    <w:rsid w:val="00EF0CC9"/>
    <w:rsid w:val="00EF0D11"/>
    <w:rsid w:val="00EF0DA5"/>
    <w:rsid w:val="00EF0E70"/>
    <w:rsid w:val="00EF0F20"/>
    <w:rsid w:val="00EF0F71"/>
    <w:rsid w:val="00EF0F86"/>
    <w:rsid w:val="00EF1002"/>
    <w:rsid w:val="00EF106F"/>
    <w:rsid w:val="00EF10AE"/>
    <w:rsid w:val="00EF10B4"/>
    <w:rsid w:val="00EF10B6"/>
    <w:rsid w:val="00EF112B"/>
    <w:rsid w:val="00EF112F"/>
    <w:rsid w:val="00EF115B"/>
    <w:rsid w:val="00EF117C"/>
    <w:rsid w:val="00EF1272"/>
    <w:rsid w:val="00EF128C"/>
    <w:rsid w:val="00EF12D5"/>
    <w:rsid w:val="00EF12F9"/>
    <w:rsid w:val="00EF136A"/>
    <w:rsid w:val="00EF136C"/>
    <w:rsid w:val="00EF1391"/>
    <w:rsid w:val="00EF1399"/>
    <w:rsid w:val="00EF1460"/>
    <w:rsid w:val="00EF14D9"/>
    <w:rsid w:val="00EF14FF"/>
    <w:rsid w:val="00EF155D"/>
    <w:rsid w:val="00EF1563"/>
    <w:rsid w:val="00EF157E"/>
    <w:rsid w:val="00EF1596"/>
    <w:rsid w:val="00EF15A1"/>
    <w:rsid w:val="00EF1666"/>
    <w:rsid w:val="00EF1677"/>
    <w:rsid w:val="00EF191A"/>
    <w:rsid w:val="00EF195D"/>
    <w:rsid w:val="00EF19C8"/>
    <w:rsid w:val="00EF1C2F"/>
    <w:rsid w:val="00EF1C3C"/>
    <w:rsid w:val="00EF1CC9"/>
    <w:rsid w:val="00EF1CF3"/>
    <w:rsid w:val="00EF1D20"/>
    <w:rsid w:val="00EF1D46"/>
    <w:rsid w:val="00EF1D8F"/>
    <w:rsid w:val="00EF1DAB"/>
    <w:rsid w:val="00EF1DBD"/>
    <w:rsid w:val="00EF1DED"/>
    <w:rsid w:val="00EF1E43"/>
    <w:rsid w:val="00EF1E49"/>
    <w:rsid w:val="00EF1E4B"/>
    <w:rsid w:val="00EF1ED1"/>
    <w:rsid w:val="00EF1F6D"/>
    <w:rsid w:val="00EF2032"/>
    <w:rsid w:val="00EF2054"/>
    <w:rsid w:val="00EF20A5"/>
    <w:rsid w:val="00EF2102"/>
    <w:rsid w:val="00EF2136"/>
    <w:rsid w:val="00EF219E"/>
    <w:rsid w:val="00EF221A"/>
    <w:rsid w:val="00EF2286"/>
    <w:rsid w:val="00EF229B"/>
    <w:rsid w:val="00EF22E1"/>
    <w:rsid w:val="00EF22E5"/>
    <w:rsid w:val="00EF2334"/>
    <w:rsid w:val="00EF2343"/>
    <w:rsid w:val="00EF2352"/>
    <w:rsid w:val="00EF2374"/>
    <w:rsid w:val="00EF2471"/>
    <w:rsid w:val="00EF256C"/>
    <w:rsid w:val="00EF2573"/>
    <w:rsid w:val="00EF2580"/>
    <w:rsid w:val="00EF2599"/>
    <w:rsid w:val="00EF2603"/>
    <w:rsid w:val="00EF2638"/>
    <w:rsid w:val="00EF2671"/>
    <w:rsid w:val="00EF26B4"/>
    <w:rsid w:val="00EF26D4"/>
    <w:rsid w:val="00EF26E0"/>
    <w:rsid w:val="00EF270E"/>
    <w:rsid w:val="00EF2757"/>
    <w:rsid w:val="00EF27AC"/>
    <w:rsid w:val="00EF2835"/>
    <w:rsid w:val="00EF2845"/>
    <w:rsid w:val="00EF287D"/>
    <w:rsid w:val="00EF288D"/>
    <w:rsid w:val="00EF2A40"/>
    <w:rsid w:val="00EF2A68"/>
    <w:rsid w:val="00EF2AC2"/>
    <w:rsid w:val="00EF2AC5"/>
    <w:rsid w:val="00EF2ACF"/>
    <w:rsid w:val="00EF2B33"/>
    <w:rsid w:val="00EF2B5C"/>
    <w:rsid w:val="00EF2B76"/>
    <w:rsid w:val="00EF2B97"/>
    <w:rsid w:val="00EF2B98"/>
    <w:rsid w:val="00EF2C1C"/>
    <w:rsid w:val="00EF2C62"/>
    <w:rsid w:val="00EF2DD0"/>
    <w:rsid w:val="00EF2DDE"/>
    <w:rsid w:val="00EF2E24"/>
    <w:rsid w:val="00EF2E2E"/>
    <w:rsid w:val="00EF2E45"/>
    <w:rsid w:val="00EF2E6F"/>
    <w:rsid w:val="00EF2ED2"/>
    <w:rsid w:val="00EF2F1F"/>
    <w:rsid w:val="00EF2FA2"/>
    <w:rsid w:val="00EF2FCA"/>
    <w:rsid w:val="00EF2FE7"/>
    <w:rsid w:val="00EF3002"/>
    <w:rsid w:val="00EF3004"/>
    <w:rsid w:val="00EF3209"/>
    <w:rsid w:val="00EF3294"/>
    <w:rsid w:val="00EF32C5"/>
    <w:rsid w:val="00EF3334"/>
    <w:rsid w:val="00EF33BB"/>
    <w:rsid w:val="00EF33D8"/>
    <w:rsid w:val="00EF33FB"/>
    <w:rsid w:val="00EF3446"/>
    <w:rsid w:val="00EF350F"/>
    <w:rsid w:val="00EF35A9"/>
    <w:rsid w:val="00EF35EE"/>
    <w:rsid w:val="00EF3613"/>
    <w:rsid w:val="00EF36AC"/>
    <w:rsid w:val="00EF36B0"/>
    <w:rsid w:val="00EF36C5"/>
    <w:rsid w:val="00EF375E"/>
    <w:rsid w:val="00EF376B"/>
    <w:rsid w:val="00EF3779"/>
    <w:rsid w:val="00EF3797"/>
    <w:rsid w:val="00EF38C4"/>
    <w:rsid w:val="00EF395E"/>
    <w:rsid w:val="00EF3A8C"/>
    <w:rsid w:val="00EF3ACB"/>
    <w:rsid w:val="00EF3AF9"/>
    <w:rsid w:val="00EF3C72"/>
    <w:rsid w:val="00EF3D05"/>
    <w:rsid w:val="00EF3D52"/>
    <w:rsid w:val="00EF3D9E"/>
    <w:rsid w:val="00EF3E2C"/>
    <w:rsid w:val="00EF3E55"/>
    <w:rsid w:val="00EF3E67"/>
    <w:rsid w:val="00EF3E6B"/>
    <w:rsid w:val="00EF3E7C"/>
    <w:rsid w:val="00EF3F37"/>
    <w:rsid w:val="00EF3FA2"/>
    <w:rsid w:val="00EF4037"/>
    <w:rsid w:val="00EF4066"/>
    <w:rsid w:val="00EF40EE"/>
    <w:rsid w:val="00EF413D"/>
    <w:rsid w:val="00EF4173"/>
    <w:rsid w:val="00EF437D"/>
    <w:rsid w:val="00EF43F7"/>
    <w:rsid w:val="00EF43FA"/>
    <w:rsid w:val="00EF440C"/>
    <w:rsid w:val="00EF4440"/>
    <w:rsid w:val="00EF446E"/>
    <w:rsid w:val="00EF452D"/>
    <w:rsid w:val="00EF458D"/>
    <w:rsid w:val="00EF45A2"/>
    <w:rsid w:val="00EF45B1"/>
    <w:rsid w:val="00EF45D3"/>
    <w:rsid w:val="00EF461B"/>
    <w:rsid w:val="00EF468A"/>
    <w:rsid w:val="00EF4721"/>
    <w:rsid w:val="00EF474B"/>
    <w:rsid w:val="00EF478E"/>
    <w:rsid w:val="00EF478F"/>
    <w:rsid w:val="00EF47B4"/>
    <w:rsid w:val="00EF4832"/>
    <w:rsid w:val="00EF485C"/>
    <w:rsid w:val="00EF486B"/>
    <w:rsid w:val="00EF48E1"/>
    <w:rsid w:val="00EF499E"/>
    <w:rsid w:val="00EF49EB"/>
    <w:rsid w:val="00EF4AA5"/>
    <w:rsid w:val="00EF4B8D"/>
    <w:rsid w:val="00EF4BB6"/>
    <w:rsid w:val="00EF4BD0"/>
    <w:rsid w:val="00EF4C1A"/>
    <w:rsid w:val="00EF4C1C"/>
    <w:rsid w:val="00EF4C1E"/>
    <w:rsid w:val="00EF4D9B"/>
    <w:rsid w:val="00EF4E5C"/>
    <w:rsid w:val="00EF4ED1"/>
    <w:rsid w:val="00EF4EE6"/>
    <w:rsid w:val="00EF4F9F"/>
    <w:rsid w:val="00EF4FBF"/>
    <w:rsid w:val="00EF5092"/>
    <w:rsid w:val="00EF50A5"/>
    <w:rsid w:val="00EF50EB"/>
    <w:rsid w:val="00EF51D1"/>
    <w:rsid w:val="00EF524E"/>
    <w:rsid w:val="00EF5264"/>
    <w:rsid w:val="00EF52B0"/>
    <w:rsid w:val="00EF5304"/>
    <w:rsid w:val="00EF5436"/>
    <w:rsid w:val="00EF5467"/>
    <w:rsid w:val="00EF5527"/>
    <w:rsid w:val="00EF558A"/>
    <w:rsid w:val="00EF558F"/>
    <w:rsid w:val="00EF55A1"/>
    <w:rsid w:val="00EF55B3"/>
    <w:rsid w:val="00EF55DD"/>
    <w:rsid w:val="00EF5627"/>
    <w:rsid w:val="00EF5693"/>
    <w:rsid w:val="00EF56FE"/>
    <w:rsid w:val="00EF5795"/>
    <w:rsid w:val="00EF57BF"/>
    <w:rsid w:val="00EF5803"/>
    <w:rsid w:val="00EF5840"/>
    <w:rsid w:val="00EF5877"/>
    <w:rsid w:val="00EF58A2"/>
    <w:rsid w:val="00EF58FA"/>
    <w:rsid w:val="00EF5944"/>
    <w:rsid w:val="00EF59AD"/>
    <w:rsid w:val="00EF5ABD"/>
    <w:rsid w:val="00EF5AC8"/>
    <w:rsid w:val="00EF5BCA"/>
    <w:rsid w:val="00EF5C54"/>
    <w:rsid w:val="00EF5C64"/>
    <w:rsid w:val="00EF5C7D"/>
    <w:rsid w:val="00EF5C98"/>
    <w:rsid w:val="00EF5D08"/>
    <w:rsid w:val="00EF5DCE"/>
    <w:rsid w:val="00EF5E29"/>
    <w:rsid w:val="00EF5E35"/>
    <w:rsid w:val="00EF5E3B"/>
    <w:rsid w:val="00EF5E94"/>
    <w:rsid w:val="00EF5EA0"/>
    <w:rsid w:val="00EF5EFF"/>
    <w:rsid w:val="00EF5F1C"/>
    <w:rsid w:val="00EF5F43"/>
    <w:rsid w:val="00EF5FA9"/>
    <w:rsid w:val="00EF5FF2"/>
    <w:rsid w:val="00EF5FFD"/>
    <w:rsid w:val="00EF600A"/>
    <w:rsid w:val="00EF6013"/>
    <w:rsid w:val="00EF605B"/>
    <w:rsid w:val="00EF60DF"/>
    <w:rsid w:val="00EF6157"/>
    <w:rsid w:val="00EF6197"/>
    <w:rsid w:val="00EF61BD"/>
    <w:rsid w:val="00EF6242"/>
    <w:rsid w:val="00EF625B"/>
    <w:rsid w:val="00EF62C6"/>
    <w:rsid w:val="00EF62D9"/>
    <w:rsid w:val="00EF6395"/>
    <w:rsid w:val="00EF6401"/>
    <w:rsid w:val="00EF6409"/>
    <w:rsid w:val="00EF6490"/>
    <w:rsid w:val="00EF64D6"/>
    <w:rsid w:val="00EF6512"/>
    <w:rsid w:val="00EF6531"/>
    <w:rsid w:val="00EF65C7"/>
    <w:rsid w:val="00EF65D8"/>
    <w:rsid w:val="00EF6684"/>
    <w:rsid w:val="00EF66EF"/>
    <w:rsid w:val="00EF67AA"/>
    <w:rsid w:val="00EF67F2"/>
    <w:rsid w:val="00EF682A"/>
    <w:rsid w:val="00EF697B"/>
    <w:rsid w:val="00EF6B54"/>
    <w:rsid w:val="00EF6C94"/>
    <w:rsid w:val="00EF6CA4"/>
    <w:rsid w:val="00EF6CB6"/>
    <w:rsid w:val="00EF6D63"/>
    <w:rsid w:val="00EF6DA3"/>
    <w:rsid w:val="00EF6DDF"/>
    <w:rsid w:val="00EF6E4A"/>
    <w:rsid w:val="00EF6EE0"/>
    <w:rsid w:val="00EF6FF6"/>
    <w:rsid w:val="00EF7019"/>
    <w:rsid w:val="00EF703A"/>
    <w:rsid w:val="00EF70C5"/>
    <w:rsid w:val="00EF7121"/>
    <w:rsid w:val="00EF7197"/>
    <w:rsid w:val="00EF7216"/>
    <w:rsid w:val="00EF721E"/>
    <w:rsid w:val="00EF7226"/>
    <w:rsid w:val="00EF7244"/>
    <w:rsid w:val="00EF72E7"/>
    <w:rsid w:val="00EF7338"/>
    <w:rsid w:val="00EF7374"/>
    <w:rsid w:val="00EF7407"/>
    <w:rsid w:val="00EF7438"/>
    <w:rsid w:val="00EF743E"/>
    <w:rsid w:val="00EF7477"/>
    <w:rsid w:val="00EF74E3"/>
    <w:rsid w:val="00EF74EA"/>
    <w:rsid w:val="00EF758B"/>
    <w:rsid w:val="00EF75D4"/>
    <w:rsid w:val="00EF75E3"/>
    <w:rsid w:val="00EF7651"/>
    <w:rsid w:val="00EF7747"/>
    <w:rsid w:val="00EF775D"/>
    <w:rsid w:val="00EF77F5"/>
    <w:rsid w:val="00EF78A6"/>
    <w:rsid w:val="00EF78B7"/>
    <w:rsid w:val="00EF78E4"/>
    <w:rsid w:val="00EF794D"/>
    <w:rsid w:val="00EF796F"/>
    <w:rsid w:val="00EF79B3"/>
    <w:rsid w:val="00EF7A35"/>
    <w:rsid w:val="00EF7ACC"/>
    <w:rsid w:val="00EF7B41"/>
    <w:rsid w:val="00EF7B47"/>
    <w:rsid w:val="00EF7B4D"/>
    <w:rsid w:val="00EF7BFF"/>
    <w:rsid w:val="00EF7C06"/>
    <w:rsid w:val="00EF7C30"/>
    <w:rsid w:val="00EF7C4C"/>
    <w:rsid w:val="00EF7C8C"/>
    <w:rsid w:val="00EF7C9C"/>
    <w:rsid w:val="00EF7CD9"/>
    <w:rsid w:val="00EF7D07"/>
    <w:rsid w:val="00EF7D5F"/>
    <w:rsid w:val="00EF7D7A"/>
    <w:rsid w:val="00EF7DA3"/>
    <w:rsid w:val="00EF7E1F"/>
    <w:rsid w:val="00EF7E25"/>
    <w:rsid w:val="00EF7E9E"/>
    <w:rsid w:val="00EF7EE5"/>
    <w:rsid w:val="00EF7F38"/>
    <w:rsid w:val="00EF7F96"/>
    <w:rsid w:val="00EF7FBC"/>
    <w:rsid w:val="00F00004"/>
    <w:rsid w:val="00F00043"/>
    <w:rsid w:val="00F000BF"/>
    <w:rsid w:val="00F000D9"/>
    <w:rsid w:val="00F000E4"/>
    <w:rsid w:val="00F000F0"/>
    <w:rsid w:val="00F0019E"/>
    <w:rsid w:val="00F00215"/>
    <w:rsid w:val="00F00294"/>
    <w:rsid w:val="00F002E2"/>
    <w:rsid w:val="00F00397"/>
    <w:rsid w:val="00F003DF"/>
    <w:rsid w:val="00F003E8"/>
    <w:rsid w:val="00F003FB"/>
    <w:rsid w:val="00F00430"/>
    <w:rsid w:val="00F004E1"/>
    <w:rsid w:val="00F005B5"/>
    <w:rsid w:val="00F005C8"/>
    <w:rsid w:val="00F00658"/>
    <w:rsid w:val="00F006B4"/>
    <w:rsid w:val="00F006DF"/>
    <w:rsid w:val="00F0073F"/>
    <w:rsid w:val="00F0074A"/>
    <w:rsid w:val="00F00754"/>
    <w:rsid w:val="00F007F8"/>
    <w:rsid w:val="00F00813"/>
    <w:rsid w:val="00F0086F"/>
    <w:rsid w:val="00F008C9"/>
    <w:rsid w:val="00F008E1"/>
    <w:rsid w:val="00F00946"/>
    <w:rsid w:val="00F009B8"/>
    <w:rsid w:val="00F009CC"/>
    <w:rsid w:val="00F009D1"/>
    <w:rsid w:val="00F00A00"/>
    <w:rsid w:val="00F00A65"/>
    <w:rsid w:val="00F00AD1"/>
    <w:rsid w:val="00F00B1D"/>
    <w:rsid w:val="00F00B24"/>
    <w:rsid w:val="00F00B40"/>
    <w:rsid w:val="00F00B56"/>
    <w:rsid w:val="00F00C6D"/>
    <w:rsid w:val="00F00C7F"/>
    <w:rsid w:val="00F00CFE"/>
    <w:rsid w:val="00F00D40"/>
    <w:rsid w:val="00F00E08"/>
    <w:rsid w:val="00F00E1D"/>
    <w:rsid w:val="00F00E41"/>
    <w:rsid w:val="00F00F49"/>
    <w:rsid w:val="00F00F62"/>
    <w:rsid w:val="00F00F66"/>
    <w:rsid w:val="00F01076"/>
    <w:rsid w:val="00F010DF"/>
    <w:rsid w:val="00F01141"/>
    <w:rsid w:val="00F01173"/>
    <w:rsid w:val="00F011F5"/>
    <w:rsid w:val="00F01249"/>
    <w:rsid w:val="00F01281"/>
    <w:rsid w:val="00F01284"/>
    <w:rsid w:val="00F012FD"/>
    <w:rsid w:val="00F01315"/>
    <w:rsid w:val="00F013A5"/>
    <w:rsid w:val="00F013F2"/>
    <w:rsid w:val="00F01488"/>
    <w:rsid w:val="00F014B8"/>
    <w:rsid w:val="00F0152D"/>
    <w:rsid w:val="00F01549"/>
    <w:rsid w:val="00F01550"/>
    <w:rsid w:val="00F015AF"/>
    <w:rsid w:val="00F01649"/>
    <w:rsid w:val="00F01657"/>
    <w:rsid w:val="00F01662"/>
    <w:rsid w:val="00F01679"/>
    <w:rsid w:val="00F01755"/>
    <w:rsid w:val="00F0178F"/>
    <w:rsid w:val="00F0179D"/>
    <w:rsid w:val="00F017EF"/>
    <w:rsid w:val="00F01802"/>
    <w:rsid w:val="00F01860"/>
    <w:rsid w:val="00F018EA"/>
    <w:rsid w:val="00F01931"/>
    <w:rsid w:val="00F0199B"/>
    <w:rsid w:val="00F01A37"/>
    <w:rsid w:val="00F01A80"/>
    <w:rsid w:val="00F01B45"/>
    <w:rsid w:val="00F01BD4"/>
    <w:rsid w:val="00F01BEF"/>
    <w:rsid w:val="00F01C03"/>
    <w:rsid w:val="00F01CCE"/>
    <w:rsid w:val="00F01D36"/>
    <w:rsid w:val="00F01D50"/>
    <w:rsid w:val="00F01D54"/>
    <w:rsid w:val="00F01E58"/>
    <w:rsid w:val="00F01F07"/>
    <w:rsid w:val="00F01FA2"/>
    <w:rsid w:val="00F01FD9"/>
    <w:rsid w:val="00F02007"/>
    <w:rsid w:val="00F0207F"/>
    <w:rsid w:val="00F0209A"/>
    <w:rsid w:val="00F0209F"/>
    <w:rsid w:val="00F020BE"/>
    <w:rsid w:val="00F021A6"/>
    <w:rsid w:val="00F02204"/>
    <w:rsid w:val="00F02273"/>
    <w:rsid w:val="00F022B5"/>
    <w:rsid w:val="00F02383"/>
    <w:rsid w:val="00F023A4"/>
    <w:rsid w:val="00F023A6"/>
    <w:rsid w:val="00F023C5"/>
    <w:rsid w:val="00F02459"/>
    <w:rsid w:val="00F02524"/>
    <w:rsid w:val="00F02528"/>
    <w:rsid w:val="00F02586"/>
    <w:rsid w:val="00F025F6"/>
    <w:rsid w:val="00F02639"/>
    <w:rsid w:val="00F028C4"/>
    <w:rsid w:val="00F02907"/>
    <w:rsid w:val="00F0295A"/>
    <w:rsid w:val="00F02968"/>
    <w:rsid w:val="00F029C7"/>
    <w:rsid w:val="00F02A31"/>
    <w:rsid w:val="00F02AFC"/>
    <w:rsid w:val="00F02B6B"/>
    <w:rsid w:val="00F02BF0"/>
    <w:rsid w:val="00F02C97"/>
    <w:rsid w:val="00F02CAE"/>
    <w:rsid w:val="00F02D1D"/>
    <w:rsid w:val="00F02E05"/>
    <w:rsid w:val="00F02E8D"/>
    <w:rsid w:val="00F02EB6"/>
    <w:rsid w:val="00F02EE1"/>
    <w:rsid w:val="00F02F00"/>
    <w:rsid w:val="00F02F24"/>
    <w:rsid w:val="00F02F33"/>
    <w:rsid w:val="00F0307A"/>
    <w:rsid w:val="00F030D1"/>
    <w:rsid w:val="00F030E5"/>
    <w:rsid w:val="00F03188"/>
    <w:rsid w:val="00F03208"/>
    <w:rsid w:val="00F03267"/>
    <w:rsid w:val="00F0328D"/>
    <w:rsid w:val="00F032DF"/>
    <w:rsid w:val="00F03335"/>
    <w:rsid w:val="00F03400"/>
    <w:rsid w:val="00F03443"/>
    <w:rsid w:val="00F03454"/>
    <w:rsid w:val="00F034E4"/>
    <w:rsid w:val="00F03551"/>
    <w:rsid w:val="00F035F5"/>
    <w:rsid w:val="00F0361C"/>
    <w:rsid w:val="00F0361F"/>
    <w:rsid w:val="00F0363A"/>
    <w:rsid w:val="00F036BF"/>
    <w:rsid w:val="00F0372B"/>
    <w:rsid w:val="00F0375D"/>
    <w:rsid w:val="00F03792"/>
    <w:rsid w:val="00F03825"/>
    <w:rsid w:val="00F03AF6"/>
    <w:rsid w:val="00F03BBE"/>
    <w:rsid w:val="00F03BDA"/>
    <w:rsid w:val="00F03BDD"/>
    <w:rsid w:val="00F03C3A"/>
    <w:rsid w:val="00F03CF2"/>
    <w:rsid w:val="00F03D13"/>
    <w:rsid w:val="00F03D92"/>
    <w:rsid w:val="00F03E43"/>
    <w:rsid w:val="00F03E56"/>
    <w:rsid w:val="00F03E5F"/>
    <w:rsid w:val="00F03F20"/>
    <w:rsid w:val="00F03F23"/>
    <w:rsid w:val="00F03F7A"/>
    <w:rsid w:val="00F03F89"/>
    <w:rsid w:val="00F03FFA"/>
    <w:rsid w:val="00F04006"/>
    <w:rsid w:val="00F04062"/>
    <w:rsid w:val="00F040AC"/>
    <w:rsid w:val="00F040DE"/>
    <w:rsid w:val="00F04104"/>
    <w:rsid w:val="00F04192"/>
    <w:rsid w:val="00F04202"/>
    <w:rsid w:val="00F04288"/>
    <w:rsid w:val="00F0431C"/>
    <w:rsid w:val="00F04326"/>
    <w:rsid w:val="00F0439A"/>
    <w:rsid w:val="00F04480"/>
    <w:rsid w:val="00F044C9"/>
    <w:rsid w:val="00F044CA"/>
    <w:rsid w:val="00F0455C"/>
    <w:rsid w:val="00F045C7"/>
    <w:rsid w:val="00F04642"/>
    <w:rsid w:val="00F0465D"/>
    <w:rsid w:val="00F046A2"/>
    <w:rsid w:val="00F046CC"/>
    <w:rsid w:val="00F046CF"/>
    <w:rsid w:val="00F0470D"/>
    <w:rsid w:val="00F0475D"/>
    <w:rsid w:val="00F0483B"/>
    <w:rsid w:val="00F048F8"/>
    <w:rsid w:val="00F04905"/>
    <w:rsid w:val="00F04923"/>
    <w:rsid w:val="00F049F6"/>
    <w:rsid w:val="00F04A3C"/>
    <w:rsid w:val="00F04A48"/>
    <w:rsid w:val="00F04A4B"/>
    <w:rsid w:val="00F04AEE"/>
    <w:rsid w:val="00F04B4E"/>
    <w:rsid w:val="00F04B58"/>
    <w:rsid w:val="00F04BAA"/>
    <w:rsid w:val="00F04BCD"/>
    <w:rsid w:val="00F04C27"/>
    <w:rsid w:val="00F04C42"/>
    <w:rsid w:val="00F04C73"/>
    <w:rsid w:val="00F04D0E"/>
    <w:rsid w:val="00F04D14"/>
    <w:rsid w:val="00F04E7E"/>
    <w:rsid w:val="00F04ECD"/>
    <w:rsid w:val="00F04ED1"/>
    <w:rsid w:val="00F04F15"/>
    <w:rsid w:val="00F04F51"/>
    <w:rsid w:val="00F04FE0"/>
    <w:rsid w:val="00F04FE7"/>
    <w:rsid w:val="00F05024"/>
    <w:rsid w:val="00F050EB"/>
    <w:rsid w:val="00F050F6"/>
    <w:rsid w:val="00F0511B"/>
    <w:rsid w:val="00F0513E"/>
    <w:rsid w:val="00F05145"/>
    <w:rsid w:val="00F05174"/>
    <w:rsid w:val="00F051AC"/>
    <w:rsid w:val="00F0532B"/>
    <w:rsid w:val="00F0536D"/>
    <w:rsid w:val="00F053AD"/>
    <w:rsid w:val="00F053CB"/>
    <w:rsid w:val="00F054AB"/>
    <w:rsid w:val="00F054F2"/>
    <w:rsid w:val="00F0550D"/>
    <w:rsid w:val="00F05581"/>
    <w:rsid w:val="00F0559C"/>
    <w:rsid w:val="00F055BF"/>
    <w:rsid w:val="00F055F9"/>
    <w:rsid w:val="00F05670"/>
    <w:rsid w:val="00F056A6"/>
    <w:rsid w:val="00F056AE"/>
    <w:rsid w:val="00F056F9"/>
    <w:rsid w:val="00F05717"/>
    <w:rsid w:val="00F0571A"/>
    <w:rsid w:val="00F057F0"/>
    <w:rsid w:val="00F057F6"/>
    <w:rsid w:val="00F05842"/>
    <w:rsid w:val="00F058FE"/>
    <w:rsid w:val="00F05954"/>
    <w:rsid w:val="00F0597F"/>
    <w:rsid w:val="00F059C2"/>
    <w:rsid w:val="00F059C7"/>
    <w:rsid w:val="00F05A2F"/>
    <w:rsid w:val="00F05B0B"/>
    <w:rsid w:val="00F05B18"/>
    <w:rsid w:val="00F05B2A"/>
    <w:rsid w:val="00F05C47"/>
    <w:rsid w:val="00F05C6C"/>
    <w:rsid w:val="00F05D80"/>
    <w:rsid w:val="00F05E3C"/>
    <w:rsid w:val="00F05E81"/>
    <w:rsid w:val="00F05F63"/>
    <w:rsid w:val="00F05F8C"/>
    <w:rsid w:val="00F05FB8"/>
    <w:rsid w:val="00F06005"/>
    <w:rsid w:val="00F06013"/>
    <w:rsid w:val="00F0606B"/>
    <w:rsid w:val="00F060A2"/>
    <w:rsid w:val="00F060D0"/>
    <w:rsid w:val="00F060D9"/>
    <w:rsid w:val="00F0611E"/>
    <w:rsid w:val="00F061E2"/>
    <w:rsid w:val="00F06248"/>
    <w:rsid w:val="00F06285"/>
    <w:rsid w:val="00F062BA"/>
    <w:rsid w:val="00F062CB"/>
    <w:rsid w:val="00F06321"/>
    <w:rsid w:val="00F06332"/>
    <w:rsid w:val="00F06334"/>
    <w:rsid w:val="00F0635D"/>
    <w:rsid w:val="00F06370"/>
    <w:rsid w:val="00F0637A"/>
    <w:rsid w:val="00F06452"/>
    <w:rsid w:val="00F06479"/>
    <w:rsid w:val="00F064C3"/>
    <w:rsid w:val="00F064D5"/>
    <w:rsid w:val="00F0651C"/>
    <w:rsid w:val="00F06525"/>
    <w:rsid w:val="00F065D5"/>
    <w:rsid w:val="00F06601"/>
    <w:rsid w:val="00F06687"/>
    <w:rsid w:val="00F066CF"/>
    <w:rsid w:val="00F066D0"/>
    <w:rsid w:val="00F066D8"/>
    <w:rsid w:val="00F06744"/>
    <w:rsid w:val="00F06789"/>
    <w:rsid w:val="00F0681F"/>
    <w:rsid w:val="00F06824"/>
    <w:rsid w:val="00F06861"/>
    <w:rsid w:val="00F0689E"/>
    <w:rsid w:val="00F068A3"/>
    <w:rsid w:val="00F068A7"/>
    <w:rsid w:val="00F06901"/>
    <w:rsid w:val="00F06949"/>
    <w:rsid w:val="00F069BB"/>
    <w:rsid w:val="00F06A35"/>
    <w:rsid w:val="00F06B2D"/>
    <w:rsid w:val="00F06BA7"/>
    <w:rsid w:val="00F06C39"/>
    <w:rsid w:val="00F06C64"/>
    <w:rsid w:val="00F06CA6"/>
    <w:rsid w:val="00F06CE2"/>
    <w:rsid w:val="00F06D3D"/>
    <w:rsid w:val="00F06D7D"/>
    <w:rsid w:val="00F06DAF"/>
    <w:rsid w:val="00F06DC5"/>
    <w:rsid w:val="00F06DCC"/>
    <w:rsid w:val="00F06E32"/>
    <w:rsid w:val="00F06E3A"/>
    <w:rsid w:val="00F06EF0"/>
    <w:rsid w:val="00F06EF1"/>
    <w:rsid w:val="00F06EFD"/>
    <w:rsid w:val="00F06F3C"/>
    <w:rsid w:val="00F06FC4"/>
    <w:rsid w:val="00F06FD2"/>
    <w:rsid w:val="00F07101"/>
    <w:rsid w:val="00F07102"/>
    <w:rsid w:val="00F07137"/>
    <w:rsid w:val="00F0716E"/>
    <w:rsid w:val="00F07180"/>
    <w:rsid w:val="00F071B7"/>
    <w:rsid w:val="00F071DC"/>
    <w:rsid w:val="00F0722E"/>
    <w:rsid w:val="00F07287"/>
    <w:rsid w:val="00F0728D"/>
    <w:rsid w:val="00F072C2"/>
    <w:rsid w:val="00F072D5"/>
    <w:rsid w:val="00F0731B"/>
    <w:rsid w:val="00F073C1"/>
    <w:rsid w:val="00F07630"/>
    <w:rsid w:val="00F07636"/>
    <w:rsid w:val="00F07676"/>
    <w:rsid w:val="00F0772C"/>
    <w:rsid w:val="00F07733"/>
    <w:rsid w:val="00F077E6"/>
    <w:rsid w:val="00F077FF"/>
    <w:rsid w:val="00F07801"/>
    <w:rsid w:val="00F07889"/>
    <w:rsid w:val="00F0789A"/>
    <w:rsid w:val="00F07963"/>
    <w:rsid w:val="00F07A0D"/>
    <w:rsid w:val="00F07B2A"/>
    <w:rsid w:val="00F07BF3"/>
    <w:rsid w:val="00F07C16"/>
    <w:rsid w:val="00F07C60"/>
    <w:rsid w:val="00F07DB6"/>
    <w:rsid w:val="00F07DE0"/>
    <w:rsid w:val="00F07DF7"/>
    <w:rsid w:val="00F07E73"/>
    <w:rsid w:val="00F07EBE"/>
    <w:rsid w:val="00F07F07"/>
    <w:rsid w:val="00F07F0A"/>
    <w:rsid w:val="00F07FC0"/>
    <w:rsid w:val="00F07FDE"/>
    <w:rsid w:val="00F10189"/>
    <w:rsid w:val="00F10206"/>
    <w:rsid w:val="00F102BB"/>
    <w:rsid w:val="00F10344"/>
    <w:rsid w:val="00F10367"/>
    <w:rsid w:val="00F10396"/>
    <w:rsid w:val="00F103B7"/>
    <w:rsid w:val="00F10432"/>
    <w:rsid w:val="00F104A2"/>
    <w:rsid w:val="00F10511"/>
    <w:rsid w:val="00F1059B"/>
    <w:rsid w:val="00F105E4"/>
    <w:rsid w:val="00F1071F"/>
    <w:rsid w:val="00F10783"/>
    <w:rsid w:val="00F1082F"/>
    <w:rsid w:val="00F10834"/>
    <w:rsid w:val="00F1083E"/>
    <w:rsid w:val="00F108C4"/>
    <w:rsid w:val="00F108F4"/>
    <w:rsid w:val="00F10984"/>
    <w:rsid w:val="00F109AB"/>
    <w:rsid w:val="00F10A29"/>
    <w:rsid w:val="00F10A3B"/>
    <w:rsid w:val="00F10A7D"/>
    <w:rsid w:val="00F10A85"/>
    <w:rsid w:val="00F10A98"/>
    <w:rsid w:val="00F10AA7"/>
    <w:rsid w:val="00F10AC6"/>
    <w:rsid w:val="00F10AD7"/>
    <w:rsid w:val="00F10ADE"/>
    <w:rsid w:val="00F10B55"/>
    <w:rsid w:val="00F10B70"/>
    <w:rsid w:val="00F10BC7"/>
    <w:rsid w:val="00F10C23"/>
    <w:rsid w:val="00F10C55"/>
    <w:rsid w:val="00F10C72"/>
    <w:rsid w:val="00F10CB3"/>
    <w:rsid w:val="00F10CC0"/>
    <w:rsid w:val="00F10D0B"/>
    <w:rsid w:val="00F10DD4"/>
    <w:rsid w:val="00F10DF3"/>
    <w:rsid w:val="00F10E7A"/>
    <w:rsid w:val="00F10EBC"/>
    <w:rsid w:val="00F10ED8"/>
    <w:rsid w:val="00F110AF"/>
    <w:rsid w:val="00F11125"/>
    <w:rsid w:val="00F11139"/>
    <w:rsid w:val="00F1117D"/>
    <w:rsid w:val="00F11180"/>
    <w:rsid w:val="00F111F8"/>
    <w:rsid w:val="00F1126A"/>
    <w:rsid w:val="00F1133C"/>
    <w:rsid w:val="00F11340"/>
    <w:rsid w:val="00F113B8"/>
    <w:rsid w:val="00F11424"/>
    <w:rsid w:val="00F11440"/>
    <w:rsid w:val="00F114E9"/>
    <w:rsid w:val="00F114F4"/>
    <w:rsid w:val="00F11537"/>
    <w:rsid w:val="00F1158B"/>
    <w:rsid w:val="00F1163D"/>
    <w:rsid w:val="00F1167D"/>
    <w:rsid w:val="00F116A7"/>
    <w:rsid w:val="00F11796"/>
    <w:rsid w:val="00F11847"/>
    <w:rsid w:val="00F11872"/>
    <w:rsid w:val="00F1187B"/>
    <w:rsid w:val="00F11889"/>
    <w:rsid w:val="00F11974"/>
    <w:rsid w:val="00F1199B"/>
    <w:rsid w:val="00F119C5"/>
    <w:rsid w:val="00F119CF"/>
    <w:rsid w:val="00F11AA2"/>
    <w:rsid w:val="00F11BD0"/>
    <w:rsid w:val="00F11C18"/>
    <w:rsid w:val="00F11C61"/>
    <w:rsid w:val="00F11CAA"/>
    <w:rsid w:val="00F11CBD"/>
    <w:rsid w:val="00F11CDB"/>
    <w:rsid w:val="00F11DB9"/>
    <w:rsid w:val="00F11E2B"/>
    <w:rsid w:val="00F11E5A"/>
    <w:rsid w:val="00F11E75"/>
    <w:rsid w:val="00F11E8E"/>
    <w:rsid w:val="00F11F07"/>
    <w:rsid w:val="00F11F41"/>
    <w:rsid w:val="00F1200D"/>
    <w:rsid w:val="00F12058"/>
    <w:rsid w:val="00F1208D"/>
    <w:rsid w:val="00F120BF"/>
    <w:rsid w:val="00F12101"/>
    <w:rsid w:val="00F1221D"/>
    <w:rsid w:val="00F12242"/>
    <w:rsid w:val="00F12279"/>
    <w:rsid w:val="00F12280"/>
    <w:rsid w:val="00F122B1"/>
    <w:rsid w:val="00F12359"/>
    <w:rsid w:val="00F1240A"/>
    <w:rsid w:val="00F12441"/>
    <w:rsid w:val="00F1247D"/>
    <w:rsid w:val="00F124AC"/>
    <w:rsid w:val="00F124B4"/>
    <w:rsid w:val="00F124DA"/>
    <w:rsid w:val="00F124E5"/>
    <w:rsid w:val="00F124E8"/>
    <w:rsid w:val="00F124F6"/>
    <w:rsid w:val="00F12511"/>
    <w:rsid w:val="00F12549"/>
    <w:rsid w:val="00F125BD"/>
    <w:rsid w:val="00F125D2"/>
    <w:rsid w:val="00F125EF"/>
    <w:rsid w:val="00F1263E"/>
    <w:rsid w:val="00F12644"/>
    <w:rsid w:val="00F12659"/>
    <w:rsid w:val="00F126A3"/>
    <w:rsid w:val="00F126E8"/>
    <w:rsid w:val="00F12791"/>
    <w:rsid w:val="00F12792"/>
    <w:rsid w:val="00F1279A"/>
    <w:rsid w:val="00F127B4"/>
    <w:rsid w:val="00F127BD"/>
    <w:rsid w:val="00F127C3"/>
    <w:rsid w:val="00F127E2"/>
    <w:rsid w:val="00F127F8"/>
    <w:rsid w:val="00F12A0B"/>
    <w:rsid w:val="00F12BB9"/>
    <w:rsid w:val="00F12BD0"/>
    <w:rsid w:val="00F12C02"/>
    <w:rsid w:val="00F12C6D"/>
    <w:rsid w:val="00F12C75"/>
    <w:rsid w:val="00F12CF9"/>
    <w:rsid w:val="00F12D40"/>
    <w:rsid w:val="00F12D7E"/>
    <w:rsid w:val="00F13054"/>
    <w:rsid w:val="00F130BF"/>
    <w:rsid w:val="00F13136"/>
    <w:rsid w:val="00F1317B"/>
    <w:rsid w:val="00F13229"/>
    <w:rsid w:val="00F1324D"/>
    <w:rsid w:val="00F132A4"/>
    <w:rsid w:val="00F13315"/>
    <w:rsid w:val="00F13358"/>
    <w:rsid w:val="00F13359"/>
    <w:rsid w:val="00F133B3"/>
    <w:rsid w:val="00F133BD"/>
    <w:rsid w:val="00F134A3"/>
    <w:rsid w:val="00F134DB"/>
    <w:rsid w:val="00F13513"/>
    <w:rsid w:val="00F1363C"/>
    <w:rsid w:val="00F13682"/>
    <w:rsid w:val="00F13702"/>
    <w:rsid w:val="00F13741"/>
    <w:rsid w:val="00F137AA"/>
    <w:rsid w:val="00F1381E"/>
    <w:rsid w:val="00F13826"/>
    <w:rsid w:val="00F138EC"/>
    <w:rsid w:val="00F139A3"/>
    <w:rsid w:val="00F139C1"/>
    <w:rsid w:val="00F139CA"/>
    <w:rsid w:val="00F13A90"/>
    <w:rsid w:val="00F13ACC"/>
    <w:rsid w:val="00F13AF2"/>
    <w:rsid w:val="00F13B4F"/>
    <w:rsid w:val="00F13B76"/>
    <w:rsid w:val="00F13BCC"/>
    <w:rsid w:val="00F13C99"/>
    <w:rsid w:val="00F13C9F"/>
    <w:rsid w:val="00F13E3B"/>
    <w:rsid w:val="00F13E6E"/>
    <w:rsid w:val="00F13F0A"/>
    <w:rsid w:val="00F13F57"/>
    <w:rsid w:val="00F13F5C"/>
    <w:rsid w:val="00F13F6D"/>
    <w:rsid w:val="00F14071"/>
    <w:rsid w:val="00F140F0"/>
    <w:rsid w:val="00F140F6"/>
    <w:rsid w:val="00F14125"/>
    <w:rsid w:val="00F1416F"/>
    <w:rsid w:val="00F141E2"/>
    <w:rsid w:val="00F14229"/>
    <w:rsid w:val="00F1424C"/>
    <w:rsid w:val="00F1429A"/>
    <w:rsid w:val="00F142A9"/>
    <w:rsid w:val="00F142E9"/>
    <w:rsid w:val="00F14370"/>
    <w:rsid w:val="00F143EF"/>
    <w:rsid w:val="00F1440A"/>
    <w:rsid w:val="00F1448A"/>
    <w:rsid w:val="00F144B1"/>
    <w:rsid w:val="00F144C2"/>
    <w:rsid w:val="00F14513"/>
    <w:rsid w:val="00F14574"/>
    <w:rsid w:val="00F14577"/>
    <w:rsid w:val="00F14592"/>
    <w:rsid w:val="00F1468F"/>
    <w:rsid w:val="00F146C9"/>
    <w:rsid w:val="00F146CD"/>
    <w:rsid w:val="00F1472B"/>
    <w:rsid w:val="00F14744"/>
    <w:rsid w:val="00F1474A"/>
    <w:rsid w:val="00F14794"/>
    <w:rsid w:val="00F14830"/>
    <w:rsid w:val="00F14944"/>
    <w:rsid w:val="00F1495D"/>
    <w:rsid w:val="00F14A0C"/>
    <w:rsid w:val="00F14A22"/>
    <w:rsid w:val="00F14A58"/>
    <w:rsid w:val="00F14A94"/>
    <w:rsid w:val="00F14AE0"/>
    <w:rsid w:val="00F14AFE"/>
    <w:rsid w:val="00F14B03"/>
    <w:rsid w:val="00F14B09"/>
    <w:rsid w:val="00F14B22"/>
    <w:rsid w:val="00F14BEA"/>
    <w:rsid w:val="00F14C12"/>
    <w:rsid w:val="00F14C18"/>
    <w:rsid w:val="00F14C51"/>
    <w:rsid w:val="00F14C8B"/>
    <w:rsid w:val="00F14D58"/>
    <w:rsid w:val="00F14DF7"/>
    <w:rsid w:val="00F14E50"/>
    <w:rsid w:val="00F14E90"/>
    <w:rsid w:val="00F14EBC"/>
    <w:rsid w:val="00F14F80"/>
    <w:rsid w:val="00F14FBB"/>
    <w:rsid w:val="00F14FD5"/>
    <w:rsid w:val="00F14FE0"/>
    <w:rsid w:val="00F1503D"/>
    <w:rsid w:val="00F15075"/>
    <w:rsid w:val="00F15084"/>
    <w:rsid w:val="00F15087"/>
    <w:rsid w:val="00F1509A"/>
    <w:rsid w:val="00F151B3"/>
    <w:rsid w:val="00F151E0"/>
    <w:rsid w:val="00F151F5"/>
    <w:rsid w:val="00F1522C"/>
    <w:rsid w:val="00F15279"/>
    <w:rsid w:val="00F152C3"/>
    <w:rsid w:val="00F152E6"/>
    <w:rsid w:val="00F152F1"/>
    <w:rsid w:val="00F152F7"/>
    <w:rsid w:val="00F1538B"/>
    <w:rsid w:val="00F1539E"/>
    <w:rsid w:val="00F153A5"/>
    <w:rsid w:val="00F153B1"/>
    <w:rsid w:val="00F153C7"/>
    <w:rsid w:val="00F1541B"/>
    <w:rsid w:val="00F1547A"/>
    <w:rsid w:val="00F15480"/>
    <w:rsid w:val="00F155A8"/>
    <w:rsid w:val="00F155BF"/>
    <w:rsid w:val="00F157A7"/>
    <w:rsid w:val="00F15836"/>
    <w:rsid w:val="00F15889"/>
    <w:rsid w:val="00F1588A"/>
    <w:rsid w:val="00F1595E"/>
    <w:rsid w:val="00F15A1E"/>
    <w:rsid w:val="00F15A27"/>
    <w:rsid w:val="00F15A42"/>
    <w:rsid w:val="00F15A8B"/>
    <w:rsid w:val="00F15B09"/>
    <w:rsid w:val="00F15B3F"/>
    <w:rsid w:val="00F15C7B"/>
    <w:rsid w:val="00F15CCB"/>
    <w:rsid w:val="00F15E3A"/>
    <w:rsid w:val="00F15EAD"/>
    <w:rsid w:val="00F15F4A"/>
    <w:rsid w:val="00F15F66"/>
    <w:rsid w:val="00F15F8F"/>
    <w:rsid w:val="00F16009"/>
    <w:rsid w:val="00F1602A"/>
    <w:rsid w:val="00F160A4"/>
    <w:rsid w:val="00F160E6"/>
    <w:rsid w:val="00F161A1"/>
    <w:rsid w:val="00F1625C"/>
    <w:rsid w:val="00F16311"/>
    <w:rsid w:val="00F16343"/>
    <w:rsid w:val="00F1637F"/>
    <w:rsid w:val="00F163C4"/>
    <w:rsid w:val="00F163E7"/>
    <w:rsid w:val="00F16418"/>
    <w:rsid w:val="00F16506"/>
    <w:rsid w:val="00F1650D"/>
    <w:rsid w:val="00F1660F"/>
    <w:rsid w:val="00F16677"/>
    <w:rsid w:val="00F166A6"/>
    <w:rsid w:val="00F167A3"/>
    <w:rsid w:val="00F1686C"/>
    <w:rsid w:val="00F168DB"/>
    <w:rsid w:val="00F1699B"/>
    <w:rsid w:val="00F169A2"/>
    <w:rsid w:val="00F169E7"/>
    <w:rsid w:val="00F16A3C"/>
    <w:rsid w:val="00F16A8F"/>
    <w:rsid w:val="00F16A9E"/>
    <w:rsid w:val="00F16ABE"/>
    <w:rsid w:val="00F16AC0"/>
    <w:rsid w:val="00F16AE4"/>
    <w:rsid w:val="00F16B3F"/>
    <w:rsid w:val="00F16BA9"/>
    <w:rsid w:val="00F16BD7"/>
    <w:rsid w:val="00F16C35"/>
    <w:rsid w:val="00F16C46"/>
    <w:rsid w:val="00F16CA5"/>
    <w:rsid w:val="00F16CCE"/>
    <w:rsid w:val="00F16CE8"/>
    <w:rsid w:val="00F16D5D"/>
    <w:rsid w:val="00F16DCD"/>
    <w:rsid w:val="00F16DFF"/>
    <w:rsid w:val="00F16E15"/>
    <w:rsid w:val="00F16E2F"/>
    <w:rsid w:val="00F16E34"/>
    <w:rsid w:val="00F16ED0"/>
    <w:rsid w:val="00F16EE5"/>
    <w:rsid w:val="00F16EFA"/>
    <w:rsid w:val="00F16F26"/>
    <w:rsid w:val="00F16F5B"/>
    <w:rsid w:val="00F16FBF"/>
    <w:rsid w:val="00F17069"/>
    <w:rsid w:val="00F170B3"/>
    <w:rsid w:val="00F17106"/>
    <w:rsid w:val="00F17231"/>
    <w:rsid w:val="00F1724E"/>
    <w:rsid w:val="00F17281"/>
    <w:rsid w:val="00F1733D"/>
    <w:rsid w:val="00F17349"/>
    <w:rsid w:val="00F1738B"/>
    <w:rsid w:val="00F173BC"/>
    <w:rsid w:val="00F173E9"/>
    <w:rsid w:val="00F1740C"/>
    <w:rsid w:val="00F17423"/>
    <w:rsid w:val="00F17561"/>
    <w:rsid w:val="00F17659"/>
    <w:rsid w:val="00F176A3"/>
    <w:rsid w:val="00F176AE"/>
    <w:rsid w:val="00F176B8"/>
    <w:rsid w:val="00F176F6"/>
    <w:rsid w:val="00F176FC"/>
    <w:rsid w:val="00F17714"/>
    <w:rsid w:val="00F17744"/>
    <w:rsid w:val="00F17783"/>
    <w:rsid w:val="00F177CD"/>
    <w:rsid w:val="00F177FD"/>
    <w:rsid w:val="00F1782F"/>
    <w:rsid w:val="00F17853"/>
    <w:rsid w:val="00F17880"/>
    <w:rsid w:val="00F1793B"/>
    <w:rsid w:val="00F17950"/>
    <w:rsid w:val="00F1796F"/>
    <w:rsid w:val="00F179AC"/>
    <w:rsid w:val="00F17AC3"/>
    <w:rsid w:val="00F17B57"/>
    <w:rsid w:val="00F17B82"/>
    <w:rsid w:val="00F17BA9"/>
    <w:rsid w:val="00F17BAE"/>
    <w:rsid w:val="00F17BDE"/>
    <w:rsid w:val="00F17C1A"/>
    <w:rsid w:val="00F17C96"/>
    <w:rsid w:val="00F17C9A"/>
    <w:rsid w:val="00F17D15"/>
    <w:rsid w:val="00F17D75"/>
    <w:rsid w:val="00F17DCA"/>
    <w:rsid w:val="00F17E9A"/>
    <w:rsid w:val="00F17EEF"/>
    <w:rsid w:val="00F17F17"/>
    <w:rsid w:val="00F17F1C"/>
    <w:rsid w:val="00F17F68"/>
    <w:rsid w:val="00F17F86"/>
    <w:rsid w:val="00F17F99"/>
    <w:rsid w:val="00F20084"/>
    <w:rsid w:val="00F20156"/>
    <w:rsid w:val="00F20176"/>
    <w:rsid w:val="00F2018A"/>
    <w:rsid w:val="00F201B2"/>
    <w:rsid w:val="00F201CC"/>
    <w:rsid w:val="00F20202"/>
    <w:rsid w:val="00F20220"/>
    <w:rsid w:val="00F20240"/>
    <w:rsid w:val="00F20267"/>
    <w:rsid w:val="00F2029D"/>
    <w:rsid w:val="00F202A3"/>
    <w:rsid w:val="00F20335"/>
    <w:rsid w:val="00F20337"/>
    <w:rsid w:val="00F20387"/>
    <w:rsid w:val="00F20391"/>
    <w:rsid w:val="00F204A1"/>
    <w:rsid w:val="00F204BA"/>
    <w:rsid w:val="00F2058F"/>
    <w:rsid w:val="00F205E4"/>
    <w:rsid w:val="00F20607"/>
    <w:rsid w:val="00F2067E"/>
    <w:rsid w:val="00F206CB"/>
    <w:rsid w:val="00F20713"/>
    <w:rsid w:val="00F2074E"/>
    <w:rsid w:val="00F20764"/>
    <w:rsid w:val="00F20766"/>
    <w:rsid w:val="00F2076C"/>
    <w:rsid w:val="00F20786"/>
    <w:rsid w:val="00F20824"/>
    <w:rsid w:val="00F20899"/>
    <w:rsid w:val="00F2097B"/>
    <w:rsid w:val="00F20999"/>
    <w:rsid w:val="00F209D7"/>
    <w:rsid w:val="00F20B40"/>
    <w:rsid w:val="00F20B4A"/>
    <w:rsid w:val="00F20BA6"/>
    <w:rsid w:val="00F20BB0"/>
    <w:rsid w:val="00F20BBE"/>
    <w:rsid w:val="00F20C50"/>
    <w:rsid w:val="00F20D27"/>
    <w:rsid w:val="00F20D5B"/>
    <w:rsid w:val="00F20D78"/>
    <w:rsid w:val="00F20DA9"/>
    <w:rsid w:val="00F20DAD"/>
    <w:rsid w:val="00F20DAE"/>
    <w:rsid w:val="00F20E95"/>
    <w:rsid w:val="00F20EB1"/>
    <w:rsid w:val="00F20EC6"/>
    <w:rsid w:val="00F20EF0"/>
    <w:rsid w:val="00F20F90"/>
    <w:rsid w:val="00F20F97"/>
    <w:rsid w:val="00F20FBB"/>
    <w:rsid w:val="00F20FD5"/>
    <w:rsid w:val="00F2101C"/>
    <w:rsid w:val="00F2103C"/>
    <w:rsid w:val="00F21093"/>
    <w:rsid w:val="00F2109F"/>
    <w:rsid w:val="00F210AB"/>
    <w:rsid w:val="00F210D9"/>
    <w:rsid w:val="00F21193"/>
    <w:rsid w:val="00F211A8"/>
    <w:rsid w:val="00F211D1"/>
    <w:rsid w:val="00F21215"/>
    <w:rsid w:val="00F212E3"/>
    <w:rsid w:val="00F212FC"/>
    <w:rsid w:val="00F2136D"/>
    <w:rsid w:val="00F2137B"/>
    <w:rsid w:val="00F213A9"/>
    <w:rsid w:val="00F213BA"/>
    <w:rsid w:val="00F21486"/>
    <w:rsid w:val="00F214AB"/>
    <w:rsid w:val="00F214B9"/>
    <w:rsid w:val="00F214DB"/>
    <w:rsid w:val="00F21510"/>
    <w:rsid w:val="00F2154C"/>
    <w:rsid w:val="00F215B8"/>
    <w:rsid w:val="00F215DB"/>
    <w:rsid w:val="00F2162A"/>
    <w:rsid w:val="00F2162F"/>
    <w:rsid w:val="00F21681"/>
    <w:rsid w:val="00F216BA"/>
    <w:rsid w:val="00F216D6"/>
    <w:rsid w:val="00F217AE"/>
    <w:rsid w:val="00F217D3"/>
    <w:rsid w:val="00F21810"/>
    <w:rsid w:val="00F218BD"/>
    <w:rsid w:val="00F21954"/>
    <w:rsid w:val="00F219CF"/>
    <w:rsid w:val="00F219E8"/>
    <w:rsid w:val="00F21A22"/>
    <w:rsid w:val="00F21A33"/>
    <w:rsid w:val="00F21AC7"/>
    <w:rsid w:val="00F21B66"/>
    <w:rsid w:val="00F21BAB"/>
    <w:rsid w:val="00F21BB8"/>
    <w:rsid w:val="00F21C37"/>
    <w:rsid w:val="00F21C78"/>
    <w:rsid w:val="00F21CDA"/>
    <w:rsid w:val="00F21D0D"/>
    <w:rsid w:val="00F21D90"/>
    <w:rsid w:val="00F21E1D"/>
    <w:rsid w:val="00F21E4C"/>
    <w:rsid w:val="00F21E8D"/>
    <w:rsid w:val="00F21F5A"/>
    <w:rsid w:val="00F21FBC"/>
    <w:rsid w:val="00F21FC2"/>
    <w:rsid w:val="00F21FF4"/>
    <w:rsid w:val="00F22018"/>
    <w:rsid w:val="00F220E2"/>
    <w:rsid w:val="00F22110"/>
    <w:rsid w:val="00F2211E"/>
    <w:rsid w:val="00F221BB"/>
    <w:rsid w:val="00F221FC"/>
    <w:rsid w:val="00F22265"/>
    <w:rsid w:val="00F22268"/>
    <w:rsid w:val="00F222B3"/>
    <w:rsid w:val="00F222C2"/>
    <w:rsid w:val="00F222E7"/>
    <w:rsid w:val="00F224D8"/>
    <w:rsid w:val="00F22560"/>
    <w:rsid w:val="00F22680"/>
    <w:rsid w:val="00F22719"/>
    <w:rsid w:val="00F22795"/>
    <w:rsid w:val="00F2282C"/>
    <w:rsid w:val="00F22854"/>
    <w:rsid w:val="00F2287A"/>
    <w:rsid w:val="00F2287F"/>
    <w:rsid w:val="00F22882"/>
    <w:rsid w:val="00F228C6"/>
    <w:rsid w:val="00F228DF"/>
    <w:rsid w:val="00F228F7"/>
    <w:rsid w:val="00F2291A"/>
    <w:rsid w:val="00F2295F"/>
    <w:rsid w:val="00F229AE"/>
    <w:rsid w:val="00F22A61"/>
    <w:rsid w:val="00F22A8B"/>
    <w:rsid w:val="00F22B1F"/>
    <w:rsid w:val="00F22B2E"/>
    <w:rsid w:val="00F22B80"/>
    <w:rsid w:val="00F22B86"/>
    <w:rsid w:val="00F22B8D"/>
    <w:rsid w:val="00F22BAA"/>
    <w:rsid w:val="00F22C04"/>
    <w:rsid w:val="00F22C53"/>
    <w:rsid w:val="00F22C59"/>
    <w:rsid w:val="00F22CA2"/>
    <w:rsid w:val="00F22D0D"/>
    <w:rsid w:val="00F22D73"/>
    <w:rsid w:val="00F22D92"/>
    <w:rsid w:val="00F22DC3"/>
    <w:rsid w:val="00F22DF3"/>
    <w:rsid w:val="00F22E5D"/>
    <w:rsid w:val="00F22F2F"/>
    <w:rsid w:val="00F22F7F"/>
    <w:rsid w:val="00F22F95"/>
    <w:rsid w:val="00F22FB1"/>
    <w:rsid w:val="00F22FDE"/>
    <w:rsid w:val="00F2311A"/>
    <w:rsid w:val="00F23133"/>
    <w:rsid w:val="00F23141"/>
    <w:rsid w:val="00F2315D"/>
    <w:rsid w:val="00F23200"/>
    <w:rsid w:val="00F2320B"/>
    <w:rsid w:val="00F2323A"/>
    <w:rsid w:val="00F23271"/>
    <w:rsid w:val="00F232B8"/>
    <w:rsid w:val="00F23384"/>
    <w:rsid w:val="00F233D6"/>
    <w:rsid w:val="00F233DD"/>
    <w:rsid w:val="00F2340C"/>
    <w:rsid w:val="00F2345F"/>
    <w:rsid w:val="00F23476"/>
    <w:rsid w:val="00F234C2"/>
    <w:rsid w:val="00F234F6"/>
    <w:rsid w:val="00F23521"/>
    <w:rsid w:val="00F23532"/>
    <w:rsid w:val="00F235EF"/>
    <w:rsid w:val="00F2360F"/>
    <w:rsid w:val="00F23640"/>
    <w:rsid w:val="00F2368A"/>
    <w:rsid w:val="00F236DF"/>
    <w:rsid w:val="00F23733"/>
    <w:rsid w:val="00F23776"/>
    <w:rsid w:val="00F237FE"/>
    <w:rsid w:val="00F238BF"/>
    <w:rsid w:val="00F238E1"/>
    <w:rsid w:val="00F23901"/>
    <w:rsid w:val="00F23925"/>
    <w:rsid w:val="00F23A9E"/>
    <w:rsid w:val="00F23B05"/>
    <w:rsid w:val="00F23BC8"/>
    <w:rsid w:val="00F23C2F"/>
    <w:rsid w:val="00F23C83"/>
    <w:rsid w:val="00F23CB5"/>
    <w:rsid w:val="00F23CF3"/>
    <w:rsid w:val="00F23D63"/>
    <w:rsid w:val="00F23D74"/>
    <w:rsid w:val="00F23D79"/>
    <w:rsid w:val="00F23DA0"/>
    <w:rsid w:val="00F23E3B"/>
    <w:rsid w:val="00F23E75"/>
    <w:rsid w:val="00F23FC5"/>
    <w:rsid w:val="00F24010"/>
    <w:rsid w:val="00F241F8"/>
    <w:rsid w:val="00F24285"/>
    <w:rsid w:val="00F24298"/>
    <w:rsid w:val="00F24299"/>
    <w:rsid w:val="00F242B0"/>
    <w:rsid w:val="00F242B7"/>
    <w:rsid w:val="00F242FC"/>
    <w:rsid w:val="00F24316"/>
    <w:rsid w:val="00F2436D"/>
    <w:rsid w:val="00F244B4"/>
    <w:rsid w:val="00F24543"/>
    <w:rsid w:val="00F24549"/>
    <w:rsid w:val="00F2458A"/>
    <w:rsid w:val="00F245EA"/>
    <w:rsid w:val="00F24683"/>
    <w:rsid w:val="00F246D8"/>
    <w:rsid w:val="00F246F0"/>
    <w:rsid w:val="00F24728"/>
    <w:rsid w:val="00F2495F"/>
    <w:rsid w:val="00F24966"/>
    <w:rsid w:val="00F24988"/>
    <w:rsid w:val="00F24A69"/>
    <w:rsid w:val="00F24A72"/>
    <w:rsid w:val="00F24AAC"/>
    <w:rsid w:val="00F24B0E"/>
    <w:rsid w:val="00F24B78"/>
    <w:rsid w:val="00F24B91"/>
    <w:rsid w:val="00F24BBA"/>
    <w:rsid w:val="00F24BD6"/>
    <w:rsid w:val="00F24C2A"/>
    <w:rsid w:val="00F24C5C"/>
    <w:rsid w:val="00F24CB6"/>
    <w:rsid w:val="00F24D07"/>
    <w:rsid w:val="00F24D54"/>
    <w:rsid w:val="00F24D58"/>
    <w:rsid w:val="00F24DA3"/>
    <w:rsid w:val="00F24DF8"/>
    <w:rsid w:val="00F24E3D"/>
    <w:rsid w:val="00F24F61"/>
    <w:rsid w:val="00F24F94"/>
    <w:rsid w:val="00F2506C"/>
    <w:rsid w:val="00F2506D"/>
    <w:rsid w:val="00F25099"/>
    <w:rsid w:val="00F25157"/>
    <w:rsid w:val="00F251D9"/>
    <w:rsid w:val="00F251EA"/>
    <w:rsid w:val="00F2521A"/>
    <w:rsid w:val="00F252C5"/>
    <w:rsid w:val="00F2540E"/>
    <w:rsid w:val="00F254A9"/>
    <w:rsid w:val="00F2558C"/>
    <w:rsid w:val="00F255DA"/>
    <w:rsid w:val="00F25602"/>
    <w:rsid w:val="00F25614"/>
    <w:rsid w:val="00F25674"/>
    <w:rsid w:val="00F256EB"/>
    <w:rsid w:val="00F256EC"/>
    <w:rsid w:val="00F25897"/>
    <w:rsid w:val="00F258A0"/>
    <w:rsid w:val="00F259E6"/>
    <w:rsid w:val="00F25A19"/>
    <w:rsid w:val="00F25A20"/>
    <w:rsid w:val="00F25ACC"/>
    <w:rsid w:val="00F25B9B"/>
    <w:rsid w:val="00F25C49"/>
    <w:rsid w:val="00F25C4F"/>
    <w:rsid w:val="00F25C9C"/>
    <w:rsid w:val="00F25CDC"/>
    <w:rsid w:val="00F25CDD"/>
    <w:rsid w:val="00F25DBF"/>
    <w:rsid w:val="00F25F8C"/>
    <w:rsid w:val="00F25FA4"/>
    <w:rsid w:val="00F26018"/>
    <w:rsid w:val="00F2604E"/>
    <w:rsid w:val="00F2608B"/>
    <w:rsid w:val="00F260DF"/>
    <w:rsid w:val="00F2613B"/>
    <w:rsid w:val="00F2616E"/>
    <w:rsid w:val="00F26224"/>
    <w:rsid w:val="00F2627D"/>
    <w:rsid w:val="00F26323"/>
    <w:rsid w:val="00F263A6"/>
    <w:rsid w:val="00F2640E"/>
    <w:rsid w:val="00F2641F"/>
    <w:rsid w:val="00F2650A"/>
    <w:rsid w:val="00F265CE"/>
    <w:rsid w:val="00F265D9"/>
    <w:rsid w:val="00F26633"/>
    <w:rsid w:val="00F26653"/>
    <w:rsid w:val="00F26689"/>
    <w:rsid w:val="00F266A0"/>
    <w:rsid w:val="00F266C4"/>
    <w:rsid w:val="00F26713"/>
    <w:rsid w:val="00F26722"/>
    <w:rsid w:val="00F267DF"/>
    <w:rsid w:val="00F26900"/>
    <w:rsid w:val="00F26968"/>
    <w:rsid w:val="00F2697B"/>
    <w:rsid w:val="00F269B8"/>
    <w:rsid w:val="00F269E8"/>
    <w:rsid w:val="00F26A91"/>
    <w:rsid w:val="00F26AEF"/>
    <w:rsid w:val="00F26C20"/>
    <w:rsid w:val="00F26C2B"/>
    <w:rsid w:val="00F26C9C"/>
    <w:rsid w:val="00F26CA7"/>
    <w:rsid w:val="00F26CF1"/>
    <w:rsid w:val="00F26D0B"/>
    <w:rsid w:val="00F26D0D"/>
    <w:rsid w:val="00F26D31"/>
    <w:rsid w:val="00F26D80"/>
    <w:rsid w:val="00F26E98"/>
    <w:rsid w:val="00F26ED0"/>
    <w:rsid w:val="00F26EF2"/>
    <w:rsid w:val="00F27000"/>
    <w:rsid w:val="00F27027"/>
    <w:rsid w:val="00F27057"/>
    <w:rsid w:val="00F27096"/>
    <w:rsid w:val="00F270E0"/>
    <w:rsid w:val="00F27102"/>
    <w:rsid w:val="00F2720F"/>
    <w:rsid w:val="00F27227"/>
    <w:rsid w:val="00F27270"/>
    <w:rsid w:val="00F27274"/>
    <w:rsid w:val="00F272AF"/>
    <w:rsid w:val="00F27326"/>
    <w:rsid w:val="00F27350"/>
    <w:rsid w:val="00F27487"/>
    <w:rsid w:val="00F27498"/>
    <w:rsid w:val="00F274F4"/>
    <w:rsid w:val="00F2750C"/>
    <w:rsid w:val="00F27560"/>
    <w:rsid w:val="00F27614"/>
    <w:rsid w:val="00F27625"/>
    <w:rsid w:val="00F276AA"/>
    <w:rsid w:val="00F276E5"/>
    <w:rsid w:val="00F27701"/>
    <w:rsid w:val="00F2773F"/>
    <w:rsid w:val="00F27797"/>
    <w:rsid w:val="00F277AA"/>
    <w:rsid w:val="00F277B0"/>
    <w:rsid w:val="00F27852"/>
    <w:rsid w:val="00F278C6"/>
    <w:rsid w:val="00F278EC"/>
    <w:rsid w:val="00F27A38"/>
    <w:rsid w:val="00F27A82"/>
    <w:rsid w:val="00F27AFC"/>
    <w:rsid w:val="00F27B74"/>
    <w:rsid w:val="00F27BA8"/>
    <w:rsid w:val="00F27C01"/>
    <w:rsid w:val="00F27C03"/>
    <w:rsid w:val="00F27C5F"/>
    <w:rsid w:val="00F27CA7"/>
    <w:rsid w:val="00F27D39"/>
    <w:rsid w:val="00F27D73"/>
    <w:rsid w:val="00F27D79"/>
    <w:rsid w:val="00F27D7A"/>
    <w:rsid w:val="00F27E5F"/>
    <w:rsid w:val="00F30026"/>
    <w:rsid w:val="00F300AC"/>
    <w:rsid w:val="00F300B6"/>
    <w:rsid w:val="00F300E2"/>
    <w:rsid w:val="00F3010A"/>
    <w:rsid w:val="00F3013A"/>
    <w:rsid w:val="00F30153"/>
    <w:rsid w:val="00F3015A"/>
    <w:rsid w:val="00F301AE"/>
    <w:rsid w:val="00F301F9"/>
    <w:rsid w:val="00F302E9"/>
    <w:rsid w:val="00F30322"/>
    <w:rsid w:val="00F3034D"/>
    <w:rsid w:val="00F30472"/>
    <w:rsid w:val="00F304C4"/>
    <w:rsid w:val="00F305AE"/>
    <w:rsid w:val="00F30600"/>
    <w:rsid w:val="00F30646"/>
    <w:rsid w:val="00F30737"/>
    <w:rsid w:val="00F3077B"/>
    <w:rsid w:val="00F3085F"/>
    <w:rsid w:val="00F30865"/>
    <w:rsid w:val="00F308E3"/>
    <w:rsid w:val="00F3095D"/>
    <w:rsid w:val="00F3096E"/>
    <w:rsid w:val="00F3097C"/>
    <w:rsid w:val="00F30A56"/>
    <w:rsid w:val="00F30AF1"/>
    <w:rsid w:val="00F30B52"/>
    <w:rsid w:val="00F30C5C"/>
    <w:rsid w:val="00F30C8B"/>
    <w:rsid w:val="00F30D1C"/>
    <w:rsid w:val="00F30D3B"/>
    <w:rsid w:val="00F30D49"/>
    <w:rsid w:val="00F30D56"/>
    <w:rsid w:val="00F30D89"/>
    <w:rsid w:val="00F30DB8"/>
    <w:rsid w:val="00F30DE1"/>
    <w:rsid w:val="00F30E20"/>
    <w:rsid w:val="00F30E2A"/>
    <w:rsid w:val="00F30E79"/>
    <w:rsid w:val="00F30E97"/>
    <w:rsid w:val="00F30EF8"/>
    <w:rsid w:val="00F30F6A"/>
    <w:rsid w:val="00F310BE"/>
    <w:rsid w:val="00F310C8"/>
    <w:rsid w:val="00F310F1"/>
    <w:rsid w:val="00F3110B"/>
    <w:rsid w:val="00F31158"/>
    <w:rsid w:val="00F311DA"/>
    <w:rsid w:val="00F3120E"/>
    <w:rsid w:val="00F31225"/>
    <w:rsid w:val="00F312AB"/>
    <w:rsid w:val="00F312D4"/>
    <w:rsid w:val="00F312FF"/>
    <w:rsid w:val="00F3131A"/>
    <w:rsid w:val="00F31324"/>
    <w:rsid w:val="00F31386"/>
    <w:rsid w:val="00F313FF"/>
    <w:rsid w:val="00F314D2"/>
    <w:rsid w:val="00F31557"/>
    <w:rsid w:val="00F31592"/>
    <w:rsid w:val="00F315C4"/>
    <w:rsid w:val="00F3166A"/>
    <w:rsid w:val="00F316BA"/>
    <w:rsid w:val="00F31700"/>
    <w:rsid w:val="00F317AB"/>
    <w:rsid w:val="00F317E3"/>
    <w:rsid w:val="00F3180E"/>
    <w:rsid w:val="00F3181F"/>
    <w:rsid w:val="00F3185F"/>
    <w:rsid w:val="00F3193A"/>
    <w:rsid w:val="00F31941"/>
    <w:rsid w:val="00F319CA"/>
    <w:rsid w:val="00F31A84"/>
    <w:rsid w:val="00F31AC2"/>
    <w:rsid w:val="00F31B10"/>
    <w:rsid w:val="00F31B1F"/>
    <w:rsid w:val="00F31B95"/>
    <w:rsid w:val="00F31BA4"/>
    <w:rsid w:val="00F31C23"/>
    <w:rsid w:val="00F31C2A"/>
    <w:rsid w:val="00F31C43"/>
    <w:rsid w:val="00F31C80"/>
    <w:rsid w:val="00F31CD0"/>
    <w:rsid w:val="00F31D24"/>
    <w:rsid w:val="00F31D27"/>
    <w:rsid w:val="00F31D6A"/>
    <w:rsid w:val="00F31DB7"/>
    <w:rsid w:val="00F31DC5"/>
    <w:rsid w:val="00F31E20"/>
    <w:rsid w:val="00F31E6C"/>
    <w:rsid w:val="00F31EAF"/>
    <w:rsid w:val="00F31F4E"/>
    <w:rsid w:val="00F31F6B"/>
    <w:rsid w:val="00F31FDC"/>
    <w:rsid w:val="00F32018"/>
    <w:rsid w:val="00F32039"/>
    <w:rsid w:val="00F32054"/>
    <w:rsid w:val="00F32057"/>
    <w:rsid w:val="00F32129"/>
    <w:rsid w:val="00F321DD"/>
    <w:rsid w:val="00F32201"/>
    <w:rsid w:val="00F322C3"/>
    <w:rsid w:val="00F3233A"/>
    <w:rsid w:val="00F323AB"/>
    <w:rsid w:val="00F32436"/>
    <w:rsid w:val="00F324C0"/>
    <w:rsid w:val="00F324F6"/>
    <w:rsid w:val="00F32540"/>
    <w:rsid w:val="00F325F2"/>
    <w:rsid w:val="00F32694"/>
    <w:rsid w:val="00F326DF"/>
    <w:rsid w:val="00F32706"/>
    <w:rsid w:val="00F3273D"/>
    <w:rsid w:val="00F3276E"/>
    <w:rsid w:val="00F327EB"/>
    <w:rsid w:val="00F328B3"/>
    <w:rsid w:val="00F328F3"/>
    <w:rsid w:val="00F32A46"/>
    <w:rsid w:val="00F32B74"/>
    <w:rsid w:val="00F32BAC"/>
    <w:rsid w:val="00F32C0C"/>
    <w:rsid w:val="00F32C18"/>
    <w:rsid w:val="00F32C37"/>
    <w:rsid w:val="00F32C80"/>
    <w:rsid w:val="00F32C94"/>
    <w:rsid w:val="00F32D05"/>
    <w:rsid w:val="00F32D1C"/>
    <w:rsid w:val="00F32D67"/>
    <w:rsid w:val="00F32D9F"/>
    <w:rsid w:val="00F32DAD"/>
    <w:rsid w:val="00F32E14"/>
    <w:rsid w:val="00F32E84"/>
    <w:rsid w:val="00F32E8C"/>
    <w:rsid w:val="00F32F0C"/>
    <w:rsid w:val="00F32F48"/>
    <w:rsid w:val="00F32FA3"/>
    <w:rsid w:val="00F32FE9"/>
    <w:rsid w:val="00F33011"/>
    <w:rsid w:val="00F3302C"/>
    <w:rsid w:val="00F3304F"/>
    <w:rsid w:val="00F33066"/>
    <w:rsid w:val="00F330AD"/>
    <w:rsid w:val="00F330B8"/>
    <w:rsid w:val="00F331AF"/>
    <w:rsid w:val="00F33234"/>
    <w:rsid w:val="00F332DC"/>
    <w:rsid w:val="00F332FF"/>
    <w:rsid w:val="00F33320"/>
    <w:rsid w:val="00F33367"/>
    <w:rsid w:val="00F33432"/>
    <w:rsid w:val="00F3355F"/>
    <w:rsid w:val="00F3356E"/>
    <w:rsid w:val="00F335A9"/>
    <w:rsid w:val="00F3360F"/>
    <w:rsid w:val="00F336AF"/>
    <w:rsid w:val="00F33737"/>
    <w:rsid w:val="00F33883"/>
    <w:rsid w:val="00F33889"/>
    <w:rsid w:val="00F338AA"/>
    <w:rsid w:val="00F338D3"/>
    <w:rsid w:val="00F338ED"/>
    <w:rsid w:val="00F338F1"/>
    <w:rsid w:val="00F3391D"/>
    <w:rsid w:val="00F3396C"/>
    <w:rsid w:val="00F33A62"/>
    <w:rsid w:val="00F33AFB"/>
    <w:rsid w:val="00F33BF4"/>
    <w:rsid w:val="00F33BFA"/>
    <w:rsid w:val="00F33BFF"/>
    <w:rsid w:val="00F33C69"/>
    <w:rsid w:val="00F33CED"/>
    <w:rsid w:val="00F33D18"/>
    <w:rsid w:val="00F33E35"/>
    <w:rsid w:val="00F33F35"/>
    <w:rsid w:val="00F33FF9"/>
    <w:rsid w:val="00F3413E"/>
    <w:rsid w:val="00F34152"/>
    <w:rsid w:val="00F3417C"/>
    <w:rsid w:val="00F3417D"/>
    <w:rsid w:val="00F341F9"/>
    <w:rsid w:val="00F3425C"/>
    <w:rsid w:val="00F3425F"/>
    <w:rsid w:val="00F342B6"/>
    <w:rsid w:val="00F34450"/>
    <w:rsid w:val="00F344AB"/>
    <w:rsid w:val="00F344B4"/>
    <w:rsid w:val="00F34588"/>
    <w:rsid w:val="00F345CB"/>
    <w:rsid w:val="00F34605"/>
    <w:rsid w:val="00F34617"/>
    <w:rsid w:val="00F3461A"/>
    <w:rsid w:val="00F3463D"/>
    <w:rsid w:val="00F34643"/>
    <w:rsid w:val="00F3469E"/>
    <w:rsid w:val="00F346F3"/>
    <w:rsid w:val="00F347F3"/>
    <w:rsid w:val="00F34808"/>
    <w:rsid w:val="00F34813"/>
    <w:rsid w:val="00F3483F"/>
    <w:rsid w:val="00F3494F"/>
    <w:rsid w:val="00F34995"/>
    <w:rsid w:val="00F3499D"/>
    <w:rsid w:val="00F349BE"/>
    <w:rsid w:val="00F349D7"/>
    <w:rsid w:val="00F349F4"/>
    <w:rsid w:val="00F34A58"/>
    <w:rsid w:val="00F34A8D"/>
    <w:rsid w:val="00F34ADA"/>
    <w:rsid w:val="00F34BEB"/>
    <w:rsid w:val="00F34C63"/>
    <w:rsid w:val="00F34C7C"/>
    <w:rsid w:val="00F34C9E"/>
    <w:rsid w:val="00F34CB8"/>
    <w:rsid w:val="00F34CD2"/>
    <w:rsid w:val="00F34CEE"/>
    <w:rsid w:val="00F34E11"/>
    <w:rsid w:val="00F34E8F"/>
    <w:rsid w:val="00F34F21"/>
    <w:rsid w:val="00F35018"/>
    <w:rsid w:val="00F35030"/>
    <w:rsid w:val="00F3515F"/>
    <w:rsid w:val="00F35172"/>
    <w:rsid w:val="00F351AD"/>
    <w:rsid w:val="00F351E8"/>
    <w:rsid w:val="00F351F7"/>
    <w:rsid w:val="00F35255"/>
    <w:rsid w:val="00F35290"/>
    <w:rsid w:val="00F353D9"/>
    <w:rsid w:val="00F353F7"/>
    <w:rsid w:val="00F35438"/>
    <w:rsid w:val="00F35439"/>
    <w:rsid w:val="00F3547E"/>
    <w:rsid w:val="00F354ED"/>
    <w:rsid w:val="00F3550A"/>
    <w:rsid w:val="00F35524"/>
    <w:rsid w:val="00F3552E"/>
    <w:rsid w:val="00F355A4"/>
    <w:rsid w:val="00F355E3"/>
    <w:rsid w:val="00F3566D"/>
    <w:rsid w:val="00F357AB"/>
    <w:rsid w:val="00F357AC"/>
    <w:rsid w:val="00F3580E"/>
    <w:rsid w:val="00F35879"/>
    <w:rsid w:val="00F35889"/>
    <w:rsid w:val="00F3588F"/>
    <w:rsid w:val="00F358DC"/>
    <w:rsid w:val="00F358EF"/>
    <w:rsid w:val="00F3592C"/>
    <w:rsid w:val="00F35998"/>
    <w:rsid w:val="00F359B6"/>
    <w:rsid w:val="00F359B9"/>
    <w:rsid w:val="00F35AEF"/>
    <w:rsid w:val="00F35BBC"/>
    <w:rsid w:val="00F35BFD"/>
    <w:rsid w:val="00F35C15"/>
    <w:rsid w:val="00F35CE4"/>
    <w:rsid w:val="00F35DB9"/>
    <w:rsid w:val="00F35EF8"/>
    <w:rsid w:val="00F3600A"/>
    <w:rsid w:val="00F36068"/>
    <w:rsid w:val="00F3606A"/>
    <w:rsid w:val="00F360A0"/>
    <w:rsid w:val="00F36125"/>
    <w:rsid w:val="00F36230"/>
    <w:rsid w:val="00F362C9"/>
    <w:rsid w:val="00F3636D"/>
    <w:rsid w:val="00F363D7"/>
    <w:rsid w:val="00F3647E"/>
    <w:rsid w:val="00F3649E"/>
    <w:rsid w:val="00F364E9"/>
    <w:rsid w:val="00F364F9"/>
    <w:rsid w:val="00F365D6"/>
    <w:rsid w:val="00F36673"/>
    <w:rsid w:val="00F3667E"/>
    <w:rsid w:val="00F3676C"/>
    <w:rsid w:val="00F36835"/>
    <w:rsid w:val="00F36881"/>
    <w:rsid w:val="00F368FC"/>
    <w:rsid w:val="00F36919"/>
    <w:rsid w:val="00F36924"/>
    <w:rsid w:val="00F36A02"/>
    <w:rsid w:val="00F36A4C"/>
    <w:rsid w:val="00F36AC9"/>
    <w:rsid w:val="00F36B37"/>
    <w:rsid w:val="00F36BC7"/>
    <w:rsid w:val="00F36BE4"/>
    <w:rsid w:val="00F36CB0"/>
    <w:rsid w:val="00F36CBC"/>
    <w:rsid w:val="00F36D41"/>
    <w:rsid w:val="00F36DDA"/>
    <w:rsid w:val="00F36DEB"/>
    <w:rsid w:val="00F36E26"/>
    <w:rsid w:val="00F36EE6"/>
    <w:rsid w:val="00F36EE9"/>
    <w:rsid w:val="00F36F12"/>
    <w:rsid w:val="00F36F2C"/>
    <w:rsid w:val="00F36F4C"/>
    <w:rsid w:val="00F36FF5"/>
    <w:rsid w:val="00F37177"/>
    <w:rsid w:val="00F37278"/>
    <w:rsid w:val="00F372E5"/>
    <w:rsid w:val="00F373A9"/>
    <w:rsid w:val="00F373DE"/>
    <w:rsid w:val="00F3741B"/>
    <w:rsid w:val="00F3753D"/>
    <w:rsid w:val="00F375E2"/>
    <w:rsid w:val="00F375F5"/>
    <w:rsid w:val="00F375F6"/>
    <w:rsid w:val="00F3760C"/>
    <w:rsid w:val="00F3770B"/>
    <w:rsid w:val="00F37799"/>
    <w:rsid w:val="00F37838"/>
    <w:rsid w:val="00F37882"/>
    <w:rsid w:val="00F37906"/>
    <w:rsid w:val="00F3792F"/>
    <w:rsid w:val="00F37972"/>
    <w:rsid w:val="00F37A34"/>
    <w:rsid w:val="00F37A57"/>
    <w:rsid w:val="00F37AEF"/>
    <w:rsid w:val="00F37AF5"/>
    <w:rsid w:val="00F37B74"/>
    <w:rsid w:val="00F37BCD"/>
    <w:rsid w:val="00F37CB9"/>
    <w:rsid w:val="00F37CCD"/>
    <w:rsid w:val="00F37CEA"/>
    <w:rsid w:val="00F37D69"/>
    <w:rsid w:val="00F37DDE"/>
    <w:rsid w:val="00F37E3A"/>
    <w:rsid w:val="00F37E92"/>
    <w:rsid w:val="00F37EE9"/>
    <w:rsid w:val="00F37F4D"/>
    <w:rsid w:val="00F40056"/>
    <w:rsid w:val="00F40086"/>
    <w:rsid w:val="00F40109"/>
    <w:rsid w:val="00F401DF"/>
    <w:rsid w:val="00F401F4"/>
    <w:rsid w:val="00F40281"/>
    <w:rsid w:val="00F402B7"/>
    <w:rsid w:val="00F402BB"/>
    <w:rsid w:val="00F403D7"/>
    <w:rsid w:val="00F4042B"/>
    <w:rsid w:val="00F40477"/>
    <w:rsid w:val="00F404C5"/>
    <w:rsid w:val="00F404F6"/>
    <w:rsid w:val="00F40510"/>
    <w:rsid w:val="00F40525"/>
    <w:rsid w:val="00F4052E"/>
    <w:rsid w:val="00F40569"/>
    <w:rsid w:val="00F40572"/>
    <w:rsid w:val="00F40575"/>
    <w:rsid w:val="00F40584"/>
    <w:rsid w:val="00F405F9"/>
    <w:rsid w:val="00F4062E"/>
    <w:rsid w:val="00F406EE"/>
    <w:rsid w:val="00F40730"/>
    <w:rsid w:val="00F407A0"/>
    <w:rsid w:val="00F407C1"/>
    <w:rsid w:val="00F407C9"/>
    <w:rsid w:val="00F40806"/>
    <w:rsid w:val="00F4082D"/>
    <w:rsid w:val="00F40852"/>
    <w:rsid w:val="00F40861"/>
    <w:rsid w:val="00F4088E"/>
    <w:rsid w:val="00F408FE"/>
    <w:rsid w:val="00F40916"/>
    <w:rsid w:val="00F4093B"/>
    <w:rsid w:val="00F409C7"/>
    <w:rsid w:val="00F40A07"/>
    <w:rsid w:val="00F40A19"/>
    <w:rsid w:val="00F40AE2"/>
    <w:rsid w:val="00F40AE3"/>
    <w:rsid w:val="00F40AF4"/>
    <w:rsid w:val="00F40B11"/>
    <w:rsid w:val="00F40B28"/>
    <w:rsid w:val="00F40B67"/>
    <w:rsid w:val="00F40B88"/>
    <w:rsid w:val="00F40BDD"/>
    <w:rsid w:val="00F40C5D"/>
    <w:rsid w:val="00F40C7A"/>
    <w:rsid w:val="00F40DF0"/>
    <w:rsid w:val="00F40DF4"/>
    <w:rsid w:val="00F40E95"/>
    <w:rsid w:val="00F40F5C"/>
    <w:rsid w:val="00F40FEE"/>
    <w:rsid w:val="00F41019"/>
    <w:rsid w:val="00F41026"/>
    <w:rsid w:val="00F41096"/>
    <w:rsid w:val="00F411B2"/>
    <w:rsid w:val="00F411ED"/>
    <w:rsid w:val="00F41226"/>
    <w:rsid w:val="00F4122A"/>
    <w:rsid w:val="00F41282"/>
    <w:rsid w:val="00F4128F"/>
    <w:rsid w:val="00F41339"/>
    <w:rsid w:val="00F4138A"/>
    <w:rsid w:val="00F41400"/>
    <w:rsid w:val="00F41407"/>
    <w:rsid w:val="00F41425"/>
    <w:rsid w:val="00F4148C"/>
    <w:rsid w:val="00F414C3"/>
    <w:rsid w:val="00F4153C"/>
    <w:rsid w:val="00F4158B"/>
    <w:rsid w:val="00F415BD"/>
    <w:rsid w:val="00F41675"/>
    <w:rsid w:val="00F416AD"/>
    <w:rsid w:val="00F416B3"/>
    <w:rsid w:val="00F417B3"/>
    <w:rsid w:val="00F417F6"/>
    <w:rsid w:val="00F417FD"/>
    <w:rsid w:val="00F41810"/>
    <w:rsid w:val="00F4181B"/>
    <w:rsid w:val="00F4182E"/>
    <w:rsid w:val="00F418A3"/>
    <w:rsid w:val="00F418AF"/>
    <w:rsid w:val="00F418D0"/>
    <w:rsid w:val="00F41902"/>
    <w:rsid w:val="00F4194B"/>
    <w:rsid w:val="00F41999"/>
    <w:rsid w:val="00F419C2"/>
    <w:rsid w:val="00F41A39"/>
    <w:rsid w:val="00F41B0F"/>
    <w:rsid w:val="00F41B14"/>
    <w:rsid w:val="00F41B79"/>
    <w:rsid w:val="00F41BFA"/>
    <w:rsid w:val="00F41C3F"/>
    <w:rsid w:val="00F41C44"/>
    <w:rsid w:val="00F41C6D"/>
    <w:rsid w:val="00F41C78"/>
    <w:rsid w:val="00F41CCB"/>
    <w:rsid w:val="00F41CDB"/>
    <w:rsid w:val="00F41D1A"/>
    <w:rsid w:val="00F41D28"/>
    <w:rsid w:val="00F41D31"/>
    <w:rsid w:val="00F41E80"/>
    <w:rsid w:val="00F41E83"/>
    <w:rsid w:val="00F41E91"/>
    <w:rsid w:val="00F41FCE"/>
    <w:rsid w:val="00F420BC"/>
    <w:rsid w:val="00F420D7"/>
    <w:rsid w:val="00F4211E"/>
    <w:rsid w:val="00F4212D"/>
    <w:rsid w:val="00F4213B"/>
    <w:rsid w:val="00F421B4"/>
    <w:rsid w:val="00F4223D"/>
    <w:rsid w:val="00F422F5"/>
    <w:rsid w:val="00F4237D"/>
    <w:rsid w:val="00F42384"/>
    <w:rsid w:val="00F4238B"/>
    <w:rsid w:val="00F423AE"/>
    <w:rsid w:val="00F423F3"/>
    <w:rsid w:val="00F4248A"/>
    <w:rsid w:val="00F424C6"/>
    <w:rsid w:val="00F42528"/>
    <w:rsid w:val="00F425D6"/>
    <w:rsid w:val="00F425DD"/>
    <w:rsid w:val="00F425E5"/>
    <w:rsid w:val="00F425F3"/>
    <w:rsid w:val="00F426BB"/>
    <w:rsid w:val="00F426C0"/>
    <w:rsid w:val="00F42795"/>
    <w:rsid w:val="00F427EB"/>
    <w:rsid w:val="00F4281C"/>
    <w:rsid w:val="00F4283F"/>
    <w:rsid w:val="00F4284B"/>
    <w:rsid w:val="00F42858"/>
    <w:rsid w:val="00F42877"/>
    <w:rsid w:val="00F428C9"/>
    <w:rsid w:val="00F428CB"/>
    <w:rsid w:val="00F4291C"/>
    <w:rsid w:val="00F429A6"/>
    <w:rsid w:val="00F42ADB"/>
    <w:rsid w:val="00F42AF7"/>
    <w:rsid w:val="00F42AFD"/>
    <w:rsid w:val="00F42B00"/>
    <w:rsid w:val="00F42BC2"/>
    <w:rsid w:val="00F42BD6"/>
    <w:rsid w:val="00F42BE3"/>
    <w:rsid w:val="00F42BE5"/>
    <w:rsid w:val="00F42BEB"/>
    <w:rsid w:val="00F42C09"/>
    <w:rsid w:val="00F42C21"/>
    <w:rsid w:val="00F42C48"/>
    <w:rsid w:val="00F42CEA"/>
    <w:rsid w:val="00F42D36"/>
    <w:rsid w:val="00F42D4B"/>
    <w:rsid w:val="00F42E4F"/>
    <w:rsid w:val="00F42E7E"/>
    <w:rsid w:val="00F42E82"/>
    <w:rsid w:val="00F42F67"/>
    <w:rsid w:val="00F43031"/>
    <w:rsid w:val="00F43041"/>
    <w:rsid w:val="00F430A5"/>
    <w:rsid w:val="00F4310C"/>
    <w:rsid w:val="00F4312C"/>
    <w:rsid w:val="00F43142"/>
    <w:rsid w:val="00F4318F"/>
    <w:rsid w:val="00F4329E"/>
    <w:rsid w:val="00F432BC"/>
    <w:rsid w:val="00F432C1"/>
    <w:rsid w:val="00F43340"/>
    <w:rsid w:val="00F43388"/>
    <w:rsid w:val="00F433DC"/>
    <w:rsid w:val="00F43406"/>
    <w:rsid w:val="00F43436"/>
    <w:rsid w:val="00F43549"/>
    <w:rsid w:val="00F43676"/>
    <w:rsid w:val="00F43689"/>
    <w:rsid w:val="00F43693"/>
    <w:rsid w:val="00F4369F"/>
    <w:rsid w:val="00F437F6"/>
    <w:rsid w:val="00F43833"/>
    <w:rsid w:val="00F43868"/>
    <w:rsid w:val="00F438C5"/>
    <w:rsid w:val="00F438E8"/>
    <w:rsid w:val="00F43B29"/>
    <w:rsid w:val="00F43B85"/>
    <w:rsid w:val="00F43BB4"/>
    <w:rsid w:val="00F43C4C"/>
    <w:rsid w:val="00F43CE2"/>
    <w:rsid w:val="00F43D17"/>
    <w:rsid w:val="00F43D60"/>
    <w:rsid w:val="00F43DC7"/>
    <w:rsid w:val="00F43DD1"/>
    <w:rsid w:val="00F43DDE"/>
    <w:rsid w:val="00F43E0F"/>
    <w:rsid w:val="00F43F14"/>
    <w:rsid w:val="00F44020"/>
    <w:rsid w:val="00F4403A"/>
    <w:rsid w:val="00F4403F"/>
    <w:rsid w:val="00F4404E"/>
    <w:rsid w:val="00F440B3"/>
    <w:rsid w:val="00F44128"/>
    <w:rsid w:val="00F44132"/>
    <w:rsid w:val="00F4418A"/>
    <w:rsid w:val="00F4418B"/>
    <w:rsid w:val="00F441A7"/>
    <w:rsid w:val="00F441F1"/>
    <w:rsid w:val="00F4425D"/>
    <w:rsid w:val="00F442B3"/>
    <w:rsid w:val="00F442FB"/>
    <w:rsid w:val="00F443FA"/>
    <w:rsid w:val="00F4446C"/>
    <w:rsid w:val="00F44489"/>
    <w:rsid w:val="00F4448F"/>
    <w:rsid w:val="00F444D4"/>
    <w:rsid w:val="00F44537"/>
    <w:rsid w:val="00F4471C"/>
    <w:rsid w:val="00F44728"/>
    <w:rsid w:val="00F44752"/>
    <w:rsid w:val="00F44757"/>
    <w:rsid w:val="00F44868"/>
    <w:rsid w:val="00F448F5"/>
    <w:rsid w:val="00F44928"/>
    <w:rsid w:val="00F44930"/>
    <w:rsid w:val="00F4494F"/>
    <w:rsid w:val="00F4495A"/>
    <w:rsid w:val="00F4495D"/>
    <w:rsid w:val="00F449B7"/>
    <w:rsid w:val="00F449F6"/>
    <w:rsid w:val="00F44A0C"/>
    <w:rsid w:val="00F44AB4"/>
    <w:rsid w:val="00F44AEC"/>
    <w:rsid w:val="00F44B06"/>
    <w:rsid w:val="00F44B44"/>
    <w:rsid w:val="00F44B9E"/>
    <w:rsid w:val="00F44BA1"/>
    <w:rsid w:val="00F44BEC"/>
    <w:rsid w:val="00F44BF6"/>
    <w:rsid w:val="00F44C34"/>
    <w:rsid w:val="00F44C7A"/>
    <w:rsid w:val="00F44CAF"/>
    <w:rsid w:val="00F44CC3"/>
    <w:rsid w:val="00F44D0F"/>
    <w:rsid w:val="00F44D13"/>
    <w:rsid w:val="00F44D36"/>
    <w:rsid w:val="00F44DAD"/>
    <w:rsid w:val="00F44DB2"/>
    <w:rsid w:val="00F44DF2"/>
    <w:rsid w:val="00F44E14"/>
    <w:rsid w:val="00F44E1C"/>
    <w:rsid w:val="00F44E2F"/>
    <w:rsid w:val="00F44E5A"/>
    <w:rsid w:val="00F44E67"/>
    <w:rsid w:val="00F44E8E"/>
    <w:rsid w:val="00F44ECC"/>
    <w:rsid w:val="00F44EE2"/>
    <w:rsid w:val="00F44EEF"/>
    <w:rsid w:val="00F44F63"/>
    <w:rsid w:val="00F44FBD"/>
    <w:rsid w:val="00F44FFB"/>
    <w:rsid w:val="00F45025"/>
    <w:rsid w:val="00F450A9"/>
    <w:rsid w:val="00F450AA"/>
    <w:rsid w:val="00F450D0"/>
    <w:rsid w:val="00F45128"/>
    <w:rsid w:val="00F45158"/>
    <w:rsid w:val="00F45166"/>
    <w:rsid w:val="00F4518C"/>
    <w:rsid w:val="00F451DF"/>
    <w:rsid w:val="00F45206"/>
    <w:rsid w:val="00F45208"/>
    <w:rsid w:val="00F453A4"/>
    <w:rsid w:val="00F453D9"/>
    <w:rsid w:val="00F4545A"/>
    <w:rsid w:val="00F45617"/>
    <w:rsid w:val="00F45669"/>
    <w:rsid w:val="00F456EA"/>
    <w:rsid w:val="00F4570C"/>
    <w:rsid w:val="00F4571D"/>
    <w:rsid w:val="00F4572B"/>
    <w:rsid w:val="00F457A7"/>
    <w:rsid w:val="00F457F4"/>
    <w:rsid w:val="00F45864"/>
    <w:rsid w:val="00F45876"/>
    <w:rsid w:val="00F458F1"/>
    <w:rsid w:val="00F45967"/>
    <w:rsid w:val="00F45A11"/>
    <w:rsid w:val="00F45A85"/>
    <w:rsid w:val="00F45B02"/>
    <w:rsid w:val="00F45B12"/>
    <w:rsid w:val="00F45B13"/>
    <w:rsid w:val="00F45C16"/>
    <w:rsid w:val="00F45CD4"/>
    <w:rsid w:val="00F45D45"/>
    <w:rsid w:val="00F45D4C"/>
    <w:rsid w:val="00F45D53"/>
    <w:rsid w:val="00F45DD3"/>
    <w:rsid w:val="00F45E04"/>
    <w:rsid w:val="00F45E36"/>
    <w:rsid w:val="00F45E89"/>
    <w:rsid w:val="00F45EBD"/>
    <w:rsid w:val="00F45F05"/>
    <w:rsid w:val="00F45F39"/>
    <w:rsid w:val="00F45FBE"/>
    <w:rsid w:val="00F4600F"/>
    <w:rsid w:val="00F4610E"/>
    <w:rsid w:val="00F461D3"/>
    <w:rsid w:val="00F4621C"/>
    <w:rsid w:val="00F4635B"/>
    <w:rsid w:val="00F4635F"/>
    <w:rsid w:val="00F4636C"/>
    <w:rsid w:val="00F46415"/>
    <w:rsid w:val="00F4649C"/>
    <w:rsid w:val="00F4651A"/>
    <w:rsid w:val="00F4656B"/>
    <w:rsid w:val="00F465E0"/>
    <w:rsid w:val="00F4662F"/>
    <w:rsid w:val="00F46736"/>
    <w:rsid w:val="00F46767"/>
    <w:rsid w:val="00F46772"/>
    <w:rsid w:val="00F467AF"/>
    <w:rsid w:val="00F467E7"/>
    <w:rsid w:val="00F46896"/>
    <w:rsid w:val="00F4699D"/>
    <w:rsid w:val="00F46A08"/>
    <w:rsid w:val="00F46A49"/>
    <w:rsid w:val="00F46A5B"/>
    <w:rsid w:val="00F46AAD"/>
    <w:rsid w:val="00F46BAD"/>
    <w:rsid w:val="00F46BD9"/>
    <w:rsid w:val="00F46C1A"/>
    <w:rsid w:val="00F46C35"/>
    <w:rsid w:val="00F46CBC"/>
    <w:rsid w:val="00F46CC0"/>
    <w:rsid w:val="00F46D07"/>
    <w:rsid w:val="00F46D51"/>
    <w:rsid w:val="00F46D85"/>
    <w:rsid w:val="00F46DEB"/>
    <w:rsid w:val="00F46DEE"/>
    <w:rsid w:val="00F46EE2"/>
    <w:rsid w:val="00F46F3D"/>
    <w:rsid w:val="00F46F66"/>
    <w:rsid w:val="00F46FF3"/>
    <w:rsid w:val="00F4703B"/>
    <w:rsid w:val="00F4709F"/>
    <w:rsid w:val="00F470AD"/>
    <w:rsid w:val="00F471D0"/>
    <w:rsid w:val="00F47252"/>
    <w:rsid w:val="00F472B0"/>
    <w:rsid w:val="00F47328"/>
    <w:rsid w:val="00F47336"/>
    <w:rsid w:val="00F473B3"/>
    <w:rsid w:val="00F473FE"/>
    <w:rsid w:val="00F4747D"/>
    <w:rsid w:val="00F474FE"/>
    <w:rsid w:val="00F475B5"/>
    <w:rsid w:val="00F475C2"/>
    <w:rsid w:val="00F475E3"/>
    <w:rsid w:val="00F4761F"/>
    <w:rsid w:val="00F476DA"/>
    <w:rsid w:val="00F476F2"/>
    <w:rsid w:val="00F4777E"/>
    <w:rsid w:val="00F47798"/>
    <w:rsid w:val="00F477E0"/>
    <w:rsid w:val="00F4780F"/>
    <w:rsid w:val="00F47894"/>
    <w:rsid w:val="00F478CA"/>
    <w:rsid w:val="00F478E8"/>
    <w:rsid w:val="00F4796F"/>
    <w:rsid w:val="00F47A29"/>
    <w:rsid w:val="00F47A3A"/>
    <w:rsid w:val="00F47A70"/>
    <w:rsid w:val="00F47A96"/>
    <w:rsid w:val="00F47AC2"/>
    <w:rsid w:val="00F47B0D"/>
    <w:rsid w:val="00F47B6A"/>
    <w:rsid w:val="00F47BE0"/>
    <w:rsid w:val="00F47C02"/>
    <w:rsid w:val="00F47C57"/>
    <w:rsid w:val="00F47C7A"/>
    <w:rsid w:val="00F47C9B"/>
    <w:rsid w:val="00F47D32"/>
    <w:rsid w:val="00F47E27"/>
    <w:rsid w:val="00F47E31"/>
    <w:rsid w:val="00F47E6B"/>
    <w:rsid w:val="00F47EE9"/>
    <w:rsid w:val="00F47EF2"/>
    <w:rsid w:val="00F47F4A"/>
    <w:rsid w:val="00F47F98"/>
    <w:rsid w:val="00F500B2"/>
    <w:rsid w:val="00F500DF"/>
    <w:rsid w:val="00F501F1"/>
    <w:rsid w:val="00F5025D"/>
    <w:rsid w:val="00F5026A"/>
    <w:rsid w:val="00F502C9"/>
    <w:rsid w:val="00F5033C"/>
    <w:rsid w:val="00F5040E"/>
    <w:rsid w:val="00F5043E"/>
    <w:rsid w:val="00F5044F"/>
    <w:rsid w:val="00F5054B"/>
    <w:rsid w:val="00F50599"/>
    <w:rsid w:val="00F505D3"/>
    <w:rsid w:val="00F50966"/>
    <w:rsid w:val="00F5099F"/>
    <w:rsid w:val="00F509C4"/>
    <w:rsid w:val="00F509CD"/>
    <w:rsid w:val="00F509E0"/>
    <w:rsid w:val="00F50A82"/>
    <w:rsid w:val="00F50B5E"/>
    <w:rsid w:val="00F50B60"/>
    <w:rsid w:val="00F50B78"/>
    <w:rsid w:val="00F50B7C"/>
    <w:rsid w:val="00F50C9F"/>
    <w:rsid w:val="00F50CC0"/>
    <w:rsid w:val="00F50CD8"/>
    <w:rsid w:val="00F50CE8"/>
    <w:rsid w:val="00F50D53"/>
    <w:rsid w:val="00F50D70"/>
    <w:rsid w:val="00F50E10"/>
    <w:rsid w:val="00F50E2E"/>
    <w:rsid w:val="00F50E55"/>
    <w:rsid w:val="00F50EAB"/>
    <w:rsid w:val="00F50ED1"/>
    <w:rsid w:val="00F50F29"/>
    <w:rsid w:val="00F50F97"/>
    <w:rsid w:val="00F51076"/>
    <w:rsid w:val="00F51087"/>
    <w:rsid w:val="00F5119C"/>
    <w:rsid w:val="00F511D9"/>
    <w:rsid w:val="00F51286"/>
    <w:rsid w:val="00F512E5"/>
    <w:rsid w:val="00F51329"/>
    <w:rsid w:val="00F5133D"/>
    <w:rsid w:val="00F5135A"/>
    <w:rsid w:val="00F51360"/>
    <w:rsid w:val="00F513E8"/>
    <w:rsid w:val="00F5141E"/>
    <w:rsid w:val="00F51464"/>
    <w:rsid w:val="00F5147B"/>
    <w:rsid w:val="00F51491"/>
    <w:rsid w:val="00F514CA"/>
    <w:rsid w:val="00F514EF"/>
    <w:rsid w:val="00F51521"/>
    <w:rsid w:val="00F51536"/>
    <w:rsid w:val="00F51588"/>
    <w:rsid w:val="00F515A7"/>
    <w:rsid w:val="00F51616"/>
    <w:rsid w:val="00F51642"/>
    <w:rsid w:val="00F51645"/>
    <w:rsid w:val="00F51681"/>
    <w:rsid w:val="00F516A3"/>
    <w:rsid w:val="00F51704"/>
    <w:rsid w:val="00F51724"/>
    <w:rsid w:val="00F51726"/>
    <w:rsid w:val="00F5174B"/>
    <w:rsid w:val="00F51774"/>
    <w:rsid w:val="00F51777"/>
    <w:rsid w:val="00F51797"/>
    <w:rsid w:val="00F51891"/>
    <w:rsid w:val="00F518B3"/>
    <w:rsid w:val="00F51A2A"/>
    <w:rsid w:val="00F51A3C"/>
    <w:rsid w:val="00F51A47"/>
    <w:rsid w:val="00F51AA2"/>
    <w:rsid w:val="00F51B11"/>
    <w:rsid w:val="00F51B8B"/>
    <w:rsid w:val="00F51B96"/>
    <w:rsid w:val="00F51BAE"/>
    <w:rsid w:val="00F51C98"/>
    <w:rsid w:val="00F51D36"/>
    <w:rsid w:val="00F51D43"/>
    <w:rsid w:val="00F51E47"/>
    <w:rsid w:val="00F51E6A"/>
    <w:rsid w:val="00F51E90"/>
    <w:rsid w:val="00F51EBF"/>
    <w:rsid w:val="00F51EE2"/>
    <w:rsid w:val="00F51F44"/>
    <w:rsid w:val="00F51FAB"/>
    <w:rsid w:val="00F51FB6"/>
    <w:rsid w:val="00F51FD2"/>
    <w:rsid w:val="00F51FD9"/>
    <w:rsid w:val="00F51FF7"/>
    <w:rsid w:val="00F5202C"/>
    <w:rsid w:val="00F5209E"/>
    <w:rsid w:val="00F520B1"/>
    <w:rsid w:val="00F5211E"/>
    <w:rsid w:val="00F521D1"/>
    <w:rsid w:val="00F521EB"/>
    <w:rsid w:val="00F52208"/>
    <w:rsid w:val="00F52299"/>
    <w:rsid w:val="00F52371"/>
    <w:rsid w:val="00F523F5"/>
    <w:rsid w:val="00F5245D"/>
    <w:rsid w:val="00F52471"/>
    <w:rsid w:val="00F52473"/>
    <w:rsid w:val="00F52534"/>
    <w:rsid w:val="00F52558"/>
    <w:rsid w:val="00F52562"/>
    <w:rsid w:val="00F52591"/>
    <w:rsid w:val="00F525AE"/>
    <w:rsid w:val="00F5262B"/>
    <w:rsid w:val="00F5265F"/>
    <w:rsid w:val="00F52713"/>
    <w:rsid w:val="00F52868"/>
    <w:rsid w:val="00F528B1"/>
    <w:rsid w:val="00F528C0"/>
    <w:rsid w:val="00F5291A"/>
    <w:rsid w:val="00F52929"/>
    <w:rsid w:val="00F529A4"/>
    <w:rsid w:val="00F529CA"/>
    <w:rsid w:val="00F52A42"/>
    <w:rsid w:val="00F52AB2"/>
    <w:rsid w:val="00F52AF2"/>
    <w:rsid w:val="00F52C15"/>
    <w:rsid w:val="00F52C24"/>
    <w:rsid w:val="00F52D22"/>
    <w:rsid w:val="00F52D50"/>
    <w:rsid w:val="00F52DA8"/>
    <w:rsid w:val="00F52DAA"/>
    <w:rsid w:val="00F52DD7"/>
    <w:rsid w:val="00F52E35"/>
    <w:rsid w:val="00F52E44"/>
    <w:rsid w:val="00F52E61"/>
    <w:rsid w:val="00F52E74"/>
    <w:rsid w:val="00F52E8C"/>
    <w:rsid w:val="00F52F45"/>
    <w:rsid w:val="00F52F82"/>
    <w:rsid w:val="00F530A8"/>
    <w:rsid w:val="00F53173"/>
    <w:rsid w:val="00F53180"/>
    <w:rsid w:val="00F53186"/>
    <w:rsid w:val="00F53187"/>
    <w:rsid w:val="00F531A8"/>
    <w:rsid w:val="00F531FF"/>
    <w:rsid w:val="00F5320D"/>
    <w:rsid w:val="00F53243"/>
    <w:rsid w:val="00F53244"/>
    <w:rsid w:val="00F53251"/>
    <w:rsid w:val="00F532B0"/>
    <w:rsid w:val="00F5333E"/>
    <w:rsid w:val="00F53361"/>
    <w:rsid w:val="00F53398"/>
    <w:rsid w:val="00F533EF"/>
    <w:rsid w:val="00F533FC"/>
    <w:rsid w:val="00F53451"/>
    <w:rsid w:val="00F534CE"/>
    <w:rsid w:val="00F53503"/>
    <w:rsid w:val="00F5350F"/>
    <w:rsid w:val="00F53596"/>
    <w:rsid w:val="00F535B0"/>
    <w:rsid w:val="00F535BF"/>
    <w:rsid w:val="00F535E8"/>
    <w:rsid w:val="00F53618"/>
    <w:rsid w:val="00F53778"/>
    <w:rsid w:val="00F53793"/>
    <w:rsid w:val="00F537F3"/>
    <w:rsid w:val="00F5380E"/>
    <w:rsid w:val="00F538EE"/>
    <w:rsid w:val="00F5392E"/>
    <w:rsid w:val="00F53988"/>
    <w:rsid w:val="00F539A9"/>
    <w:rsid w:val="00F539DB"/>
    <w:rsid w:val="00F53AE5"/>
    <w:rsid w:val="00F53B2B"/>
    <w:rsid w:val="00F53C40"/>
    <w:rsid w:val="00F53C64"/>
    <w:rsid w:val="00F53C73"/>
    <w:rsid w:val="00F53C82"/>
    <w:rsid w:val="00F53D01"/>
    <w:rsid w:val="00F53DDF"/>
    <w:rsid w:val="00F53E39"/>
    <w:rsid w:val="00F53E98"/>
    <w:rsid w:val="00F53EA5"/>
    <w:rsid w:val="00F53EFC"/>
    <w:rsid w:val="00F53F80"/>
    <w:rsid w:val="00F53FB8"/>
    <w:rsid w:val="00F540BA"/>
    <w:rsid w:val="00F5410C"/>
    <w:rsid w:val="00F54149"/>
    <w:rsid w:val="00F54257"/>
    <w:rsid w:val="00F5425B"/>
    <w:rsid w:val="00F54366"/>
    <w:rsid w:val="00F54367"/>
    <w:rsid w:val="00F543A1"/>
    <w:rsid w:val="00F54452"/>
    <w:rsid w:val="00F5446D"/>
    <w:rsid w:val="00F54480"/>
    <w:rsid w:val="00F544E9"/>
    <w:rsid w:val="00F54513"/>
    <w:rsid w:val="00F545A2"/>
    <w:rsid w:val="00F545B8"/>
    <w:rsid w:val="00F545FF"/>
    <w:rsid w:val="00F54689"/>
    <w:rsid w:val="00F54691"/>
    <w:rsid w:val="00F546A3"/>
    <w:rsid w:val="00F546B6"/>
    <w:rsid w:val="00F546C7"/>
    <w:rsid w:val="00F54754"/>
    <w:rsid w:val="00F54771"/>
    <w:rsid w:val="00F547C9"/>
    <w:rsid w:val="00F5485A"/>
    <w:rsid w:val="00F548D1"/>
    <w:rsid w:val="00F54A0D"/>
    <w:rsid w:val="00F54A7E"/>
    <w:rsid w:val="00F54B58"/>
    <w:rsid w:val="00F54BC3"/>
    <w:rsid w:val="00F54C69"/>
    <w:rsid w:val="00F54CCA"/>
    <w:rsid w:val="00F54CDE"/>
    <w:rsid w:val="00F54D1A"/>
    <w:rsid w:val="00F54D31"/>
    <w:rsid w:val="00F54D92"/>
    <w:rsid w:val="00F54D97"/>
    <w:rsid w:val="00F54DF8"/>
    <w:rsid w:val="00F54E97"/>
    <w:rsid w:val="00F54EDE"/>
    <w:rsid w:val="00F54EE0"/>
    <w:rsid w:val="00F54F3F"/>
    <w:rsid w:val="00F54F51"/>
    <w:rsid w:val="00F54F7B"/>
    <w:rsid w:val="00F54FB1"/>
    <w:rsid w:val="00F54FCD"/>
    <w:rsid w:val="00F5501C"/>
    <w:rsid w:val="00F55035"/>
    <w:rsid w:val="00F55068"/>
    <w:rsid w:val="00F5516E"/>
    <w:rsid w:val="00F5517A"/>
    <w:rsid w:val="00F55204"/>
    <w:rsid w:val="00F55252"/>
    <w:rsid w:val="00F55352"/>
    <w:rsid w:val="00F5535F"/>
    <w:rsid w:val="00F55461"/>
    <w:rsid w:val="00F555B2"/>
    <w:rsid w:val="00F555CA"/>
    <w:rsid w:val="00F555D2"/>
    <w:rsid w:val="00F555DF"/>
    <w:rsid w:val="00F55610"/>
    <w:rsid w:val="00F5563E"/>
    <w:rsid w:val="00F556B0"/>
    <w:rsid w:val="00F556DB"/>
    <w:rsid w:val="00F55723"/>
    <w:rsid w:val="00F55736"/>
    <w:rsid w:val="00F55741"/>
    <w:rsid w:val="00F55792"/>
    <w:rsid w:val="00F5581D"/>
    <w:rsid w:val="00F55831"/>
    <w:rsid w:val="00F558B5"/>
    <w:rsid w:val="00F558DA"/>
    <w:rsid w:val="00F55A93"/>
    <w:rsid w:val="00F55AB8"/>
    <w:rsid w:val="00F55B12"/>
    <w:rsid w:val="00F55B36"/>
    <w:rsid w:val="00F55B7D"/>
    <w:rsid w:val="00F55B90"/>
    <w:rsid w:val="00F55BC5"/>
    <w:rsid w:val="00F55BE6"/>
    <w:rsid w:val="00F55C08"/>
    <w:rsid w:val="00F55C20"/>
    <w:rsid w:val="00F55C8C"/>
    <w:rsid w:val="00F55CFD"/>
    <w:rsid w:val="00F55D53"/>
    <w:rsid w:val="00F55EB4"/>
    <w:rsid w:val="00F55F08"/>
    <w:rsid w:val="00F55FAB"/>
    <w:rsid w:val="00F55FB0"/>
    <w:rsid w:val="00F55FBE"/>
    <w:rsid w:val="00F56081"/>
    <w:rsid w:val="00F56093"/>
    <w:rsid w:val="00F5619A"/>
    <w:rsid w:val="00F561DA"/>
    <w:rsid w:val="00F5622A"/>
    <w:rsid w:val="00F56332"/>
    <w:rsid w:val="00F56342"/>
    <w:rsid w:val="00F5635C"/>
    <w:rsid w:val="00F56392"/>
    <w:rsid w:val="00F563DB"/>
    <w:rsid w:val="00F5643A"/>
    <w:rsid w:val="00F56443"/>
    <w:rsid w:val="00F5645B"/>
    <w:rsid w:val="00F56466"/>
    <w:rsid w:val="00F56498"/>
    <w:rsid w:val="00F564DF"/>
    <w:rsid w:val="00F56525"/>
    <w:rsid w:val="00F56576"/>
    <w:rsid w:val="00F565D3"/>
    <w:rsid w:val="00F56645"/>
    <w:rsid w:val="00F56646"/>
    <w:rsid w:val="00F5664B"/>
    <w:rsid w:val="00F56669"/>
    <w:rsid w:val="00F566AA"/>
    <w:rsid w:val="00F5673F"/>
    <w:rsid w:val="00F56754"/>
    <w:rsid w:val="00F568B8"/>
    <w:rsid w:val="00F568D8"/>
    <w:rsid w:val="00F568EC"/>
    <w:rsid w:val="00F5691F"/>
    <w:rsid w:val="00F5693B"/>
    <w:rsid w:val="00F569C6"/>
    <w:rsid w:val="00F56A0A"/>
    <w:rsid w:val="00F56A2E"/>
    <w:rsid w:val="00F56A40"/>
    <w:rsid w:val="00F56C06"/>
    <w:rsid w:val="00F56C10"/>
    <w:rsid w:val="00F56C15"/>
    <w:rsid w:val="00F56C1B"/>
    <w:rsid w:val="00F56C9E"/>
    <w:rsid w:val="00F56CD7"/>
    <w:rsid w:val="00F56D0C"/>
    <w:rsid w:val="00F56D34"/>
    <w:rsid w:val="00F56D5B"/>
    <w:rsid w:val="00F56D8C"/>
    <w:rsid w:val="00F56E00"/>
    <w:rsid w:val="00F56E22"/>
    <w:rsid w:val="00F56E2F"/>
    <w:rsid w:val="00F56E47"/>
    <w:rsid w:val="00F56E57"/>
    <w:rsid w:val="00F56E62"/>
    <w:rsid w:val="00F56EB3"/>
    <w:rsid w:val="00F56F2C"/>
    <w:rsid w:val="00F57056"/>
    <w:rsid w:val="00F570A8"/>
    <w:rsid w:val="00F57102"/>
    <w:rsid w:val="00F57111"/>
    <w:rsid w:val="00F5719B"/>
    <w:rsid w:val="00F571A7"/>
    <w:rsid w:val="00F571C9"/>
    <w:rsid w:val="00F572D9"/>
    <w:rsid w:val="00F572E1"/>
    <w:rsid w:val="00F57345"/>
    <w:rsid w:val="00F57356"/>
    <w:rsid w:val="00F5737F"/>
    <w:rsid w:val="00F57391"/>
    <w:rsid w:val="00F573AF"/>
    <w:rsid w:val="00F573BD"/>
    <w:rsid w:val="00F573EF"/>
    <w:rsid w:val="00F573F0"/>
    <w:rsid w:val="00F57433"/>
    <w:rsid w:val="00F57464"/>
    <w:rsid w:val="00F574CB"/>
    <w:rsid w:val="00F57533"/>
    <w:rsid w:val="00F57546"/>
    <w:rsid w:val="00F57578"/>
    <w:rsid w:val="00F5757F"/>
    <w:rsid w:val="00F5765B"/>
    <w:rsid w:val="00F576B6"/>
    <w:rsid w:val="00F57769"/>
    <w:rsid w:val="00F577C7"/>
    <w:rsid w:val="00F577EC"/>
    <w:rsid w:val="00F577F8"/>
    <w:rsid w:val="00F57822"/>
    <w:rsid w:val="00F5785A"/>
    <w:rsid w:val="00F578FA"/>
    <w:rsid w:val="00F57915"/>
    <w:rsid w:val="00F57940"/>
    <w:rsid w:val="00F57959"/>
    <w:rsid w:val="00F579E6"/>
    <w:rsid w:val="00F57A24"/>
    <w:rsid w:val="00F57B04"/>
    <w:rsid w:val="00F57B14"/>
    <w:rsid w:val="00F57C60"/>
    <w:rsid w:val="00F57C76"/>
    <w:rsid w:val="00F57C8C"/>
    <w:rsid w:val="00F57C92"/>
    <w:rsid w:val="00F57CCD"/>
    <w:rsid w:val="00F57CD6"/>
    <w:rsid w:val="00F57D1F"/>
    <w:rsid w:val="00F57E34"/>
    <w:rsid w:val="00F57EB1"/>
    <w:rsid w:val="00F57EC0"/>
    <w:rsid w:val="00F57F2B"/>
    <w:rsid w:val="00F57F47"/>
    <w:rsid w:val="00F57F51"/>
    <w:rsid w:val="00F57F8B"/>
    <w:rsid w:val="00F60007"/>
    <w:rsid w:val="00F6005C"/>
    <w:rsid w:val="00F6006C"/>
    <w:rsid w:val="00F6007F"/>
    <w:rsid w:val="00F600C4"/>
    <w:rsid w:val="00F6010D"/>
    <w:rsid w:val="00F60121"/>
    <w:rsid w:val="00F60141"/>
    <w:rsid w:val="00F6016D"/>
    <w:rsid w:val="00F60174"/>
    <w:rsid w:val="00F60196"/>
    <w:rsid w:val="00F601D3"/>
    <w:rsid w:val="00F601EC"/>
    <w:rsid w:val="00F602C7"/>
    <w:rsid w:val="00F602C8"/>
    <w:rsid w:val="00F603E7"/>
    <w:rsid w:val="00F603F2"/>
    <w:rsid w:val="00F60418"/>
    <w:rsid w:val="00F60431"/>
    <w:rsid w:val="00F604CC"/>
    <w:rsid w:val="00F605BA"/>
    <w:rsid w:val="00F605C7"/>
    <w:rsid w:val="00F605DF"/>
    <w:rsid w:val="00F60615"/>
    <w:rsid w:val="00F60646"/>
    <w:rsid w:val="00F60674"/>
    <w:rsid w:val="00F606C4"/>
    <w:rsid w:val="00F60729"/>
    <w:rsid w:val="00F60751"/>
    <w:rsid w:val="00F60842"/>
    <w:rsid w:val="00F60882"/>
    <w:rsid w:val="00F60946"/>
    <w:rsid w:val="00F6099A"/>
    <w:rsid w:val="00F609B3"/>
    <w:rsid w:val="00F609DC"/>
    <w:rsid w:val="00F609EA"/>
    <w:rsid w:val="00F60A46"/>
    <w:rsid w:val="00F60AA8"/>
    <w:rsid w:val="00F60AE7"/>
    <w:rsid w:val="00F60B97"/>
    <w:rsid w:val="00F60BF8"/>
    <w:rsid w:val="00F60C0B"/>
    <w:rsid w:val="00F60C54"/>
    <w:rsid w:val="00F60C75"/>
    <w:rsid w:val="00F60CD2"/>
    <w:rsid w:val="00F60CED"/>
    <w:rsid w:val="00F60D3B"/>
    <w:rsid w:val="00F60D92"/>
    <w:rsid w:val="00F60E0F"/>
    <w:rsid w:val="00F60EA5"/>
    <w:rsid w:val="00F60ED2"/>
    <w:rsid w:val="00F60F21"/>
    <w:rsid w:val="00F610AC"/>
    <w:rsid w:val="00F610D5"/>
    <w:rsid w:val="00F610EF"/>
    <w:rsid w:val="00F610FD"/>
    <w:rsid w:val="00F611CB"/>
    <w:rsid w:val="00F611D7"/>
    <w:rsid w:val="00F611DF"/>
    <w:rsid w:val="00F611E2"/>
    <w:rsid w:val="00F6124C"/>
    <w:rsid w:val="00F61264"/>
    <w:rsid w:val="00F6128C"/>
    <w:rsid w:val="00F6128D"/>
    <w:rsid w:val="00F612A8"/>
    <w:rsid w:val="00F61303"/>
    <w:rsid w:val="00F6143D"/>
    <w:rsid w:val="00F614AA"/>
    <w:rsid w:val="00F61549"/>
    <w:rsid w:val="00F6157A"/>
    <w:rsid w:val="00F61600"/>
    <w:rsid w:val="00F61602"/>
    <w:rsid w:val="00F61646"/>
    <w:rsid w:val="00F616A4"/>
    <w:rsid w:val="00F616D4"/>
    <w:rsid w:val="00F61718"/>
    <w:rsid w:val="00F61767"/>
    <w:rsid w:val="00F61784"/>
    <w:rsid w:val="00F617FB"/>
    <w:rsid w:val="00F6180E"/>
    <w:rsid w:val="00F61827"/>
    <w:rsid w:val="00F61940"/>
    <w:rsid w:val="00F61A38"/>
    <w:rsid w:val="00F61AFE"/>
    <w:rsid w:val="00F61B49"/>
    <w:rsid w:val="00F61B6B"/>
    <w:rsid w:val="00F61B97"/>
    <w:rsid w:val="00F61C39"/>
    <w:rsid w:val="00F61C3C"/>
    <w:rsid w:val="00F61C47"/>
    <w:rsid w:val="00F61C87"/>
    <w:rsid w:val="00F61CFD"/>
    <w:rsid w:val="00F61D2C"/>
    <w:rsid w:val="00F61D55"/>
    <w:rsid w:val="00F61DA2"/>
    <w:rsid w:val="00F61E85"/>
    <w:rsid w:val="00F61EC2"/>
    <w:rsid w:val="00F61F19"/>
    <w:rsid w:val="00F61F4C"/>
    <w:rsid w:val="00F61FE4"/>
    <w:rsid w:val="00F62039"/>
    <w:rsid w:val="00F62230"/>
    <w:rsid w:val="00F62249"/>
    <w:rsid w:val="00F622DC"/>
    <w:rsid w:val="00F62377"/>
    <w:rsid w:val="00F623D8"/>
    <w:rsid w:val="00F623E9"/>
    <w:rsid w:val="00F623FE"/>
    <w:rsid w:val="00F624C1"/>
    <w:rsid w:val="00F624EA"/>
    <w:rsid w:val="00F62504"/>
    <w:rsid w:val="00F62566"/>
    <w:rsid w:val="00F6258E"/>
    <w:rsid w:val="00F6261F"/>
    <w:rsid w:val="00F6263F"/>
    <w:rsid w:val="00F62733"/>
    <w:rsid w:val="00F62822"/>
    <w:rsid w:val="00F62A00"/>
    <w:rsid w:val="00F62A13"/>
    <w:rsid w:val="00F62A93"/>
    <w:rsid w:val="00F62AAC"/>
    <w:rsid w:val="00F62B58"/>
    <w:rsid w:val="00F62B5C"/>
    <w:rsid w:val="00F62B78"/>
    <w:rsid w:val="00F62B80"/>
    <w:rsid w:val="00F62CCC"/>
    <w:rsid w:val="00F62CFE"/>
    <w:rsid w:val="00F62D2F"/>
    <w:rsid w:val="00F62DA2"/>
    <w:rsid w:val="00F62DC1"/>
    <w:rsid w:val="00F62E3B"/>
    <w:rsid w:val="00F62E83"/>
    <w:rsid w:val="00F62F57"/>
    <w:rsid w:val="00F62FB6"/>
    <w:rsid w:val="00F62FCA"/>
    <w:rsid w:val="00F630B9"/>
    <w:rsid w:val="00F6311A"/>
    <w:rsid w:val="00F63121"/>
    <w:rsid w:val="00F6313C"/>
    <w:rsid w:val="00F63144"/>
    <w:rsid w:val="00F631C8"/>
    <w:rsid w:val="00F631EC"/>
    <w:rsid w:val="00F63201"/>
    <w:rsid w:val="00F63213"/>
    <w:rsid w:val="00F63347"/>
    <w:rsid w:val="00F6336B"/>
    <w:rsid w:val="00F633E7"/>
    <w:rsid w:val="00F63433"/>
    <w:rsid w:val="00F634B4"/>
    <w:rsid w:val="00F635BE"/>
    <w:rsid w:val="00F635CC"/>
    <w:rsid w:val="00F635D8"/>
    <w:rsid w:val="00F63616"/>
    <w:rsid w:val="00F6364D"/>
    <w:rsid w:val="00F6367C"/>
    <w:rsid w:val="00F636FC"/>
    <w:rsid w:val="00F6377E"/>
    <w:rsid w:val="00F63868"/>
    <w:rsid w:val="00F6386F"/>
    <w:rsid w:val="00F638C4"/>
    <w:rsid w:val="00F638D6"/>
    <w:rsid w:val="00F6392F"/>
    <w:rsid w:val="00F63932"/>
    <w:rsid w:val="00F63947"/>
    <w:rsid w:val="00F639D7"/>
    <w:rsid w:val="00F63A57"/>
    <w:rsid w:val="00F63A67"/>
    <w:rsid w:val="00F63A8A"/>
    <w:rsid w:val="00F63A9F"/>
    <w:rsid w:val="00F63ADA"/>
    <w:rsid w:val="00F63B2A"/>
    <w:rsid w:val="00F63B39"/>
    <w:rsid w:val="00F63B56"/>
    <w:rsid w:val="00F63B96"/>
    <w:rsid w:val="00F63C50"/>
    <w:rsid w:val="00F63CA6"/>
    <w:rsid w:val="00F63CF4"/>
    <w:rsid w:val="00F63DEC"/>
    <w:rsid w:val="00F63EF6"/>
    <w:rsid w:val="00F63F2B"/>
    <w:rsid w:val="00F63FBD"/>
    <w:rsid w:val="00F640AA"/>
    <w:rsid w:val="00F6411D"/>
    <w:rsid w:val="00F6423F"/>
    <w:rsid w:val="00F642C7"/>
    <w:rsid w:val="00F64434"/>
    <w:rsid w:val="00F644A1"/>
    <w:rsid w:val="00F644B9"/>
    <w:rsid w:val="00F64545"/>
    <w:rsid w:val="00F645DF"/>
    <w:rsid w:val="00F645F1"/>
    <w:rsid w:val="00F646B6"/>
    <w:rsid w:val="00F64784"/>
    <w:rsid w:val="00F64790"/>
    <w:rsid w:val="00F647B3"/>
    <w:rsid w:val="00F64838"/>
    <w:rsid w:val="00F64892"/>
    <w:rsid w:val="00F649F9"/>
    <w:rsid w:val="00F64CB2"/>
    <w:rsid w:val="00F64D2B"/>
    <w:rsid w:val="00F64D9B"/>
    <w:rsid w:val="00F64D9C"/>
    <w:rsid w:val="00F64DDB"/>
    <w:rsid w:val="00F64E27"/>
    <w:rsid w:val="00F64E39"/>
    <w:rsid w:val="00F64E63"/>
    <w:rsid w:val="00F64E6B"/>
    <w:rsid w:val="00F64EA1"/>
    <w:rsid w:val="00F64F11"/>
    <w:rsid w:val="00F64F18"/>
    <w:rsid w:val="00F64F29"/>
    <w:rsid w:val="00F64FFC"/>
    <w:rsid w:val="00F65025"/>
    <w:rsid w:val="00F650B7"/>
    <w:rsid w:val="00F65104"/>
    <w:rsid w:val="00F65175"/>
    <w:rsid w:val="00F65268"/>
    <w:rsid w:val="00F652DC"/>
    <w:rsid w:val="00F65318"/>
    <w:rsid w:val="00F65332"/>
    <w:rsid w:val="00F6537D"/>
    <w:rsid w:val="00F65392"/>
    <w:rsid w:val="00F653D9"/>
    <w:rsid w:val="00F653F4"/>
    <w:rsid w:val="00F65413"/>
    <w:rsid w:val="00F6550F"/>
    <w:rsid w:val="00F65553"/>
    <w:rsid w:val="00F655E6"/>
    <w:rsid w:val="00F6572C"/>
    <w:rsid w:val="00F6573B"/>
    <w:rsid w:val="00F65773"/>
    <w:rsid w:val="00F657FF"/>
    <w:rsid w:val="00F6592C"/>
    <w:rsid w:val="00F65974"/>
    <w:rsid w:val="00F659EA"/>
    <w:rsid w:val="00F65A18"/>
    <w:rsid w:val="00F65A45"/>
    <w:rsid w:val="00F65A4B"/>
    <w:rsid w:val="00F65A87"/>
    <w:rsid w:val="00F65B0B"/>
    <w:rsid w:val="00F65B92"/>
    <w:rsid w:val="00F65BA6"/>
    <w:rsid w:val="00F65C04"/>
    <w:rsid w:val="00F65CA0"/>
    <w:rsid w:val="00F65CD1"/>
    <w:rsid w:val="00F65D4F"/>
    <w:rsid w:val="00F65D94"/>
    <w:rsid w:val="00F65E05"/>
    <w:rsid w:val="00F65E0D"/>
    <w:rsid w:val="00F65E56"/>
    <w:rsid w:val="00F65E75"/>
    <w:rsid w:val="00F65EFF"/>
    <w:rsid w:val="00F65F12"/>
    <w:rsid w:val="00F65F61"/>
    <w:rsid w:val="00F66034"/>
    <w:rsid w:val="00F6603C"/>
    <w:rsid w:val="00F66141"/>
    <w:rsid w:val="00F6617C"/>
    <w:rsid w:val="00F66198"/>
    <w:rsid w:val="00F661DE"/>
    <w:rsid w:val="00F6623B"/>
    <w:rsid w:val="00F66286"/>
    <w:rsid w:val="00F6632C"/>
    <w:rsid w:val="00F6635C"/>
    <w:rsid w:val="00F663F9"/>
    <w:rsid w:val="00F66477"/>
    <w:rsid w:val="00F66505"/>
    <w:rsid w:val="00F66552"/>
    <w:rsid w:val="00F66608"/>
    <w:rsid w:val="00F6660C"/>
    <w:rsid w:val="00F66622"/>
    <w:rsid w:val="00F6662E"/>
    <w:rsid w:val="00F66659"/>
    <w:rsid w:val="00F6669A"/>
    <w:rsid w:val="00F666B4"/>
    <w:rsid w:val="00F666F8"/>
    <w:rsid w:val="00F6679A"/>
    <w:rsid w:val="00F667D2"/>
    <w:rsid w:val="00F66830"/>
    <w:rsid w:val="00F66875"/>
    <w:rsid w:val="00F668B3"/>
    <w:rsid w:val="00F6698D"/>
    <w:rsid w:val="00F669E8"/>
    <w:rsid w:val="00F66A2F"/>
    <w:rsid w:val="00F66AB0"/>
    <w:rsid w:val="00F66B13"/>
    <w:rsid w:val="00F66B2A"/>
    <w:rsid w:val="00F66B7E"/>
    <w:rsid w:val="00F66B92"/>
    <w:rsid w:val="00F66BF5"/>
    <w:rsid w:val="00F66C27"/>
    <w:rsid w:val="00F66C3E"/>
    <w:rsid w:val="00F66C6C"/>
    <w:rsid w:val="00F66CCD"/>
    <w:rsid w:val="00F66CD3"/>
    <w:rsid w:val="00F66DDC"/>
    <w:rsid w:val="00F66E5B"/>
    <w:rsid w:val="00F66E60"/>
    <w:rsid w:val="00F66EFF"/>
    <w:rsid w:val="00F66FCA"/>
    <w:rsid w:val="00F67079"/>
    <w:rsid w:val="00F6707D"/>
    <w:rsid w:val="00F670B6"/>
    <w:rsid w:val="00F670F2"/>
    <w:rsid w:val="00F67112"/>
    <w:rsid w:val="00F67160"/>
    <w:rsid w:val="00F6723E"/>
    <w:rsid w:val="00F6724B"/>
    <w:rsid w:val="00F67281"/>
    <w:rsid w:val="00F67312"/>
    <w:rsid w:val="00F67357"/>
    <w:rsid w:val="00F67364"/>
    <w:rsid w:val="00F674DF"/>
    <w:rsid w:val="00F67502"/>
    <w:rsid w:val="00F67553"/>
    <w:rsid w:val="00F675A8"/>
    <w:rsid w:val="00F675DF"/>
    <w:rsid w:val="00F67612"/>
    <w:rsid w:val="00F67618"/>
    <w:rsid w:val="00F6764C"/>
    <w:rsid w:val="00F67798"/>
    <w:rsid w:val="00F678AA"/>
    <w:rsid w:val="00F67981"/>
    <w:rsid w:val="00F67A83"/>
    <w:rsid w:val="00F67A90"/>
    <w:rsid w:val="00F67A99"/>
    <w:rsid w:val="00F67A9E"/>
    <w:rsid w:val="00F67AA0"/>
    <w:rsid w:val="00F67AA2"/>
    <w:rsid w:val="00F67BBC"/>
    <w:rsid w:val="00F67BC9"/>
    <w:rsid w:val="00F67BD1"/>
    <w:rsid w:val="00F67C4F"/>
    <w:rsid w:val="00F67C6D"/>
    <w:rsid w:val="00F67CB7"/>
    <w:rsid w:val="00F67CC8"/>
    <w:rsid w:val="00F67D71"/>
    <w:rsid w:val="00F67D73"/>
    <w:rsid w:val="00F67D75"/>
    <w:rsid w:val="00F67ED2"/>
    <w:rsid w:val="00F67EEA"/>
    <w:rsid w:val="00F67F44"/>
    <w:rsid w:val="00F67F6D"/>
    <w:rsid w:val="00F67FF0"/>
    <w:rsid w:val="00F70022"/>
    <w:rsid w:val="00F700C4"/>
    <w:rsid w:val="00F70155"/>
    <w:rsid w:val="00F70180"/>
    <w:rsid w:val="00F701A3"/>
    <w:rsid w:val="00F70282"/>
    <w:rsid w:val="00F70398"/>
    <w:rsid w:val="00F70439"/>
    <w:rsid w:val="00F70442"/>
    <w:rsid w:val="00F70455"/>
    <w:rsid w:val="00F7047C"/>
    <w:rsid w:val="00F704E6"/>
    <w:rsid w:val="00F704F1"/>
    <w:rsid w:val="00F70523"/>
    <w:rsid w:val="00F70612"/>
    <w:rsid w:val="00F70613"/>
    <w:rsid w:val="00F706D7"/>
    <w:rsid w:val="00F70713"/>
    <w:rsid w:val="00F7072A"/>
    <w:rsid w:val="00F70757"/>
    <w:rsid w:val="00F7076B"/>
    <w:rsid w:val="00F7077A"/>
    <w:rsid w:val="00F7077D"/>
    <w:rsid w:val="00F70809"/>
    <w:rsid w:val="00F7087E"/>
    <w:rsid w:val="00F70886"/>
    <w:rsid w:val="00F708A1"/>
    <w:rsid w:val="00F708AA"/>
    <w:rsid w:val="00F70901"/>
    <w:rsid w:val="00F70935"/>
    <w:rsid w:val="00F70967"/>
    <w:rsid w:val="00F709BF"/>
    <w:rsid w:val="00F70AB1"/>
    <w:rsid w:val="00F70AD6"/>
    <w:rsid w:val="00F70B42"/>
    <w:rsid w:val="00F70B63"/>
    <w:rsid w:val="00F70BA7"/>
    <w:rsid w:val="00F70C07"/>
    <w:rsid w:val="00F70D13"/>
    <w:rsid w:val="00F70D74"/>
    <w:rsid w:val="00F70DA2"/>
    <w:rsid w:val="00F70E1F"/>
    <w:rsid w:val="00F70E38"/>
    <w:rsid w:val="00F70E40"/>
    <w:rsid w:val="00F70E61"/>
    <w:rsid w:val="00F70E73"/>
    <w:rsid w:val="00F70E8A"/>
    <w:rsid w:val="00F70E91"/>
    <w:rsid w:val="00F70F14"/>
    <w:rsid w:val="00F71018"/>
    <w:rsid w:val="00F71065"/>
    <w:rsid w:val="00F7109E"/>
    <w:rsid w:val="00F71106"/>
    <w:rsid w:val="00F71119"/>
    <w:rsid w:val="00F7112F"/>
    <w:rsid w:val="00F7115A"/>
    <w:rsid w:val="00F7117D"/>
    <w:rsid w:val="00F71256"/>
    <w:rsid w:val="00F712A6"/>
    <w:rsid w:val="00F712D5"/>
    <w:rsid w:val="00F712E4"/>
    <w:rsid w:val="00F7130F"/>
    <w:rsid w:val="00F71326"/>
    <w:rsid w:val="00F713D0"/>
    <w:rsid w:val="00F7147F"/>
    <w:rsid w:val="00F714D0"/>
    <w:rsid w:val="00F7151D"/>
    <w:rsid w:val="00F71540"/>
    <w:rsid w:val="00F71580"/>
    <w:rsid w:val="00F71618"/>
    <w:rsid w:val="00F71627"/>
    <w:rsid w:val="00F717CC"/>
    <w:rsid w:val="00F717EC"/>
    <w:rsid w:val="00F717F0"/>
    <w:rsid w:val="00F71870"/>
    <w:rsid w:val="00F718F6"/>
    <w:rsid w:val="00F71A39"/>
    <w:rsid w:val="00F71A4C"/>
    <w:rsid w:val="00F71AA3"/>
    <w:rsid w:val="00F71ACB"/>
    <w:rsid w:val="00F71B3B"/>
    <w:rsid w:val="00F71C3C"/>
    <w:rsid w:val="00F71C94"/>
    <w:rsid w:val="00F71DD3"/>
    <w:rsid w:val="00F71E4F"/>
    <w:rsid w:val="00F71E92"/>
    <w:rsid w:val="00F71EED"/>
    <w:rsid w:val="00F71F37"/>
    <w:rsid w:val="00F71F75"/>
    <w:rsid w:val="00F71F7B"/>
    <w:rsid w:val="00F71F90"/>
    <w:rsid w:val="00F71FA9"/>
    <w:rsid w:val="00F71FFB"/>
    <w:rsid w:val="00F72067"/>
    <w:rsid w:val="00F720C1"/>
    <w:rsid w:val="00F7217E"/>
    <w:rsid w:val="00F7221C"/>
    <w:rsid w:val="00F72270"/>
    <w:rsid w:val="00F7227A"/>
    <w:rsid w:val="00F722B8"/>
    <w:rsid w:val="00F722BE"/>
    <w:rsid w:val="00F72315"/>
    <w:rsid w:val="00F7237D"/>
    <w:rsid w:val="00F723D5"/>
    <w:rsid w:val="00F7241E"/>
    <w:rsid w:val="00F72429"/>
    <w:rsid w:val="00F72461"/>
    <w:rsid w:val="00F724B7"/>
    <w:rsid w:val="00F724D8"/>
    <w:rsid w:val="00F72519"/>
    <w:rsid w:val="00F725D2"/>
    <w:rsid w:val="00F725E0"/>
    <w:rsid w:val="00F72629"/>
    <w:rsid w:val="00F7262B"/>
    <w:rsid w:val="00F72633"/>
    <w:rsid w:val="00F7267F"/>
    <w:rsid w:val="00F726D1"/>
    <w:rsid w:val="00F72712"/>
    <w:rsid w:val="00F7271A"/>
    <w:rsid w:val="00F727CC"/>
    <w:rsid w:val="00F72869"/>
    <w:rsid w:val="00F728EA"/>
    <w:rsid w:val="00F72913"/>
    <w:rsid w:val="00F7293C"/>
    <w:rsid w:val="00F72944"/>
    <w:rsid w:val="00F7295B"/>
    <w:rsid w:val="00F729A3"/>
    <w:rsid w:val="00F72A10"/>
    <w:rsid w:val="00F72A24"/>
    <w:rsid w:val="00F72A28"/>
    <w:rsid w:val="00F72A3D"/>
    <w:rsid w:val="00F72A51"/>
    <w:rsid w:val="00F72C36"/>
    <w:rsid w:val="00F72CB2"/>
    <w:rsid w:val="00F72D24"/>
    <w:rsid w:val="00F72D83"/>
    <w:rsid w:val="00F72DFD"/>
    <w:rsid w:val="00F72E0C"/>
    <w:rsid w:val="00F72E9F"/>
    <w:rsid w:val="00F72EBF"/>
    <w:rsid w:val="00F72EDA"/>
    <w:rsid w:val="00F72F16"/>
    <w:rsid w:val="00F72F22"/>
    <w:rsid w:val="00F72F53"/>
    <w:rsid w:val="00F72F56"/>
    <w:rsid w:val="00F72FEC"/>
    <w:rsid w:val="00F730A4"/>
    <w:rsid w:val="00F730F8"/>
    <w:rsid w:val="00F731AE"/>
    <w:rsid w:val="00F731B8"/>
    <w:rsid w:val="00F73233"/>
    <w:rsid w:val="00F732CE"/>
    <w:rsid w:val="00F732EA"/>
    <w:rsid w:val="00F73324"/>
    <w:rsid w:val="00F7332A"/>
    <w:rsid w:val="00F7335A"/>
    <w:rsid w:val="00F73373"/>
    <w:rsid w:val="00F73374"/>
    <w:rsid w:val="00F73398"/>
    <w:rsid w:val="00F733A3"/>
    <w:rsid w:val="00F733CD"/>
    <w:rsid w:val="00F733FE"/>
    <w:rsid w:val="00F734F5"/>
    <w:rsid w:val="00F73592"/>
    <w:rsid w:val="00F7360C"/>
    <w:rsid w:val="00F7370D"/>
    <w:rsid w:val="00F737BD"/>
    <w:rsid w:val="00F737E8"/>
    <w:rsid w:val="00F7385B"/>
    <w:rsid w:val="00F7390E"/>
    <w:rsid w:val="00F73985"/>
    <w:rsid w:val="00F73C55"/>
    <w:rsid w:val="00F73CCE"/>
    <w:rsid w:val="00F73CEC"/>
    <w:rsid w:val="00F73D0C"/>
    <w:rsid w:val="00F73D9A"/>
    <w:rsid w:val="00F73E00"/>
    <w:rsid w:val="00F73E1A"/>
    <w:rsid w:val="00F73E92"/>
    <w:rsid w:val="00F73ECC"/>
    <w:rsid w:val="00F73EEF"/>
    <w:rsid w:val="00F73EF0"/>
    <w:rsid w:val="00F73F29"/>
    <w:rsid w:val="00F73FEC"/>
    <w:rsid w:val="00F74023"/>
    <w:rsid w:val="00F74056"/>
    <w:rsid w:val="00F74094"/>
    <w:rsid w:val="00F740F4"/>
    <w:rsid w:val="00F740FE"/>
    <w:rsid w:val="00F74158"/>
    <w:rsid w:val="00F7416B"/>
    <w:rsid w:val="00F7419C"/>
    <w:rsid w:val="00F741D2"/>
    <w:rsid w:val="00F74211"/>
    <w:rsid w:val="00F74243"/>
    <w:rsid w:val="00F742C2"/>
    <w:rsid w:val="00F74310"/>
    <w:rsid w:val="00F74344"/>
    <w:rsid w:val="00F743C1"/>
    <w:rsid w:val="00F74411"/>
    <w:rsid w:val="00F74417"/>
    <w:rsid w:val="00F7443C"/>
    <w:rsid w:val="00F7444E"/>
    <w:rsid w:val="00F74469"/>
    <w:rsid w:val="00F7447F"/>
    <w:rsid w:val="00F7449F"/>
    <w:rsid w:val="00F744A7"/>
    <w:rsid w:val="00F744C4"/>
    <w:rsid w:val="00F744C7"/>
    <w:rsid w:val="00F744CC"/>
    <w:rsid w:val="00F74563"/>
    <w:rsid w:val="00F74574"/>
    <w:rsid w:val="00F74583"/>
    <w:rsid w:val="00F745AD"/>
    <w:rsid w:val="00F745E6"/>
    <w:rsid w:val="00F746BC"/>
    <w:rsid w:val="00F746CB"/>
    <w:rsid w:val="00F746D6"/>
    <w:rsid w:val="00F746D9"/>
    <w:rsid w:val="00F74724"/>
    <w:rsid w:val="00F74738"/>
    <w:rsid w:val="00F74749"/>
    <w:rsid w:val="00F747F5"/>
    <w:rsid w:val="00F74814"/>
    <w:rsid w:val="00F7481D"/>
    <w:rsid w:val="00F74834"/>
    <w:rsid w:val="00F74836"/>
    <w:rsid w:val="00F7484B"/>
    <w:rsid w:val="00F74917"/>
    <w:rsid w:val="00F74994"/>
    <w:rsid w:val="00F74A54"/>
    <w:rsid w:val="00F74A5E"/>
    <w:rsid w:val="00F74AAE"/>
    <w:rsid w:val="00F74B30"/>
    <w:rsid w:val="00F74BF8"/>
    <w:rsid w:val="00F74C62"/>
    <w:rsid w:val="00F74C92"/>
    <w:rsid w:val="00F74D2A"/>
    <w:rsid w:val="00F74D30"/>
    <w:rsid w:val="00F74DBC"/>
    <w:rsid w:val="00F74DD1"/>
    <w:rsid w:val="00F74ED2"/>
    <w:rsid w:val="00F74EEF"/>
    <w:rsid w:val="00F74FA4"/>
    <w:rsid w:val="00F74FC6"/>
    <w:rsid w:val="00F74FCC"/>
    <w:rsid w:val="00F74FD8"/>
    <w:rsid w:val="00F750D4"/>
    <w:rsid w:val="00F75188"/>
    <w:rsid w:val="00F751A1"/>
    <w:rsid w:val="00F7523B"/>
    <w:rsid w:val="00F7523C"/>
    <w:rsid w:val="00F75364"/>
    <w:rsid w:val="00F75365"/>
    <w:rsid w:val="00F75376"/>
    <w:rsid w:val="00F75412"/>
    <w:rsid w:val="00F75418"/>
    <w:rsid w:val="00F7542F"/>
    <w:rsid w:val="00F75516"/>
    <w:rsid w:val="00F755B2"/>
    <w:rsid w:val="00F755E6"/>
    <w:rsid w:val="00F75627"/>
    <w:rsid w:val="00F75648"/>
    <w:rsid w:val="00F75669"/>
    <w:rsid w:val="00F75694"/>
    <w:rsid w:val="00F7577C"/>
    <w:rsid w:val="00F757DD"/>
    <w:rsid w:val="00F75903"/>
    <w:rsid w:val="00F7590A"/>
    <w:rsid w:val="00F75957"/>
    <w:rsid w:val="00F75975"/>
    <w:rsid w:val="00F75976"/>
    <w:rsid w:val="00F75BD2"/>
    <w:rsid w:val="00F75C0E"/>
    <w:rsid w:val="00F75D21"/>
    <w:rsid w:val="00F75D6A"/>
    <w:rsid w:val="00F75DBE"/>
    <w:rsid w:val="00F75DF8"/>
    <w:rsid w:val="00F75E16"/>
    <w:rsid w:val="00F75EE3"/>
    <w:rsid w:val="00F75EF2"/>
    <w:rsid w:val="00F75F04"/>
    <w:rsid w:val="00F75F13"/>
    <w:rsid w:val="00F75F7F"/>
    <w:rsid w:val="00F76026"/>
    <w:rsid w:val="00F76043"/>
    <w:rsid w:val="00F76190"/>
    <w:rsid w:val="00F76212"/>
    <w:rsid w:val="00F7624A"/>
    <w:rsid w:val="00F762A2"/>
    <w:rsid w:val="00F7637A"/>
    <w:rsid w:val="00F7638E"/>
    <w:rsid w:val="00F763D7"/>
    <w:rsid w:val="00F763DA"/>
    <w:rsid w:val="00F764DB"/>
    <w:rsid w:val="00F76537"/>
    <w:rsid w:val="00F765AF"/>
    <w:rsid w:val="00F76601"/>
    <w:rsid w:val="00F76641"/>
    <w:rsid w:val="00F76674"/>
    <w:rsid w:val="00F7678C"/>
    <w:rsid w:val="00F767A2"/>
    <w:rsid w:val="00F767F1"/>
    <w:rsid w:val="00F76808"/>
    <w:rsid w:val="00F768AA"/>
    <w:rsid w:val="00F768D7"/>
    <w:rsid w:val="00F76987"/>
    <w:rsid w:val="00F769AA"/>
    <w:rsid w:val="00F76A3A"/>
    <w:rsid w:val="00F76AFA"/>
    <w:rsid w:val="00F76B8C"/>
    <w:rsid w:val="00F76BA6"/>
    <w:rsid w:val="00F76C03"/>
    <w:rsid w:val="00F76CD8"/>
    <w:rsid w:val="00F76D2C"/>
    <w:rsid w:val="00F76DAA"/>
    <w:rsid w:val="00F76DB7"/>
    <w:rsid w:val="00F76E63"/>
    <w:rsid w:val="00F76E6E"/>
    <w:rsid w:val="00F76EAE"/>
    <w:rsid w:val="00F76F5A"/>
    <w:rsid w:val="00F76F81"/>
    <w:rsid w:val="00F77027"/>
    <w:rsid w:val="00F7706E"/>
    <w:rsid w:val="00F77074"/>
    <w:rsid w:val="00F7713D"/>
    <w:rsid w:val="00F7714B"/>
    <w:rsid w:val="00F77179"/>
    <w:rsid w:val="00F771AE"/>
    <w:rsid w:val="00F771D5"/>
    <w:rsid w:val="00F7731F"/>
    <w:rsid w:val="00F774B0"/>
    <w:rsid w:val="00F77596"/>
    <w:rsid w:val="00F775B1"/>
    <w:rsid w:val="00F77649"/>
    <w:rsid w:val="00F776FA"/>
    <w:rsid w:val="00F7774C"/>
    <w:rsid w:val="00F77756"/>
    <w:rsid w:val="00F77812"/>
    <w:rsid w:val="00F77835"/>
    <w:rsid w:val="00F7783E"/>
    <w:rsid w:val="00F77872"/>
    <w:rsid w:val="00F7787A"/>
    <w:rsid w:val="00F778A9"/>
    <w:rsid w:val="00F778B0"/>
    <w:rsid w:val="00F778C6"/>
    <w:rsid w:val="00F77905"/>
    <w:rsid w:val="00F77909"/>
    <w:rsid w:val="00F7793A"/>
    <w:rsid w:val="00F77973"/>
    <w:rsid w:val="00F77979"/>
    <w:rsid w:val="00F77985"/>
    <w:rsid w:val="00F77A07"/>
    <w:rsid w:val="00F77A66"/>
    <w:rsid w:val="00F77AB3"/>
    <w:rsid w:val="00F77B5C"/>
    <w:rsid w:val="00F77BDE"/>
    <w:rsid w:val="00F77BEC"/>
    <w:rsid w:val="00F77C9D"/>
    <w:rsid w:val="00F77CC6"/>
    <w:rsid w:val="00F77CC9"/>
    <w:rsid w:val="00F77CE8"/>
    <w:rsid w:val="00F77D09"/>
    <w:rsid w:val="00F77DE4"/>
    <w:rsid w:val="00F77E7C"/>
    <w:rsid w:val="00F77FB6"/>
    <w:rsid w:val="00F80028"/>
    <w:rsid w:val="00F80056"/>
    <w:rsid w:val="00F80082"/>
    <w:rsid w:val="00F8020B"/>
    <w:rsid w:val="00F80221"/>
    <w:rsid w:val="00F80254"/>
    <w:rsid w:val="00F80269"/>
    <w:rsid w:val="00F8026D"/>
    <w:rsid w:val="00F80274"/>
    <w:rsid w:val="00F802D6"/>
    <w:rsid w:val="00F8032D"/>
    <w:rsid w:val="00F803CE"/>
    <w:rsid w:val="00F80441"/>
    <w:rsid w:val="00F80489"/>
    <w:rsid w:val="00F804A5"/>
    <w:rsid w:val="00F804C9"/>
    <w:rsid w:val="00F804FC"/>
    <w:rsid w:val="00F80561"/>
    <w:rsid w:val="00F80607"/>
    <w:rsid w:val="00F8060F"/>
    <w:rsid w:val="00F80634"/>
    <w:rsid w:val="00F80695"/>
    <w:rsid w:val="00F806F0"/>
    <w:rsid w:val="00F80734"/>
    <w:rsid w:val="00F80796"/>
    <w:rsid w:val="00F807A7"/>
    <w:rsid w:val="00F8083B"/>
    <w:rsid w:val="00F8083F"/>
    <w:rsid w:val="00F808A3"/>
    <w:rsid w:val="00F8091C"/>
    <w:rsid w:val="00F809D2"/>
    <w:rsid w:val="00F80A0F"/>
    <w:rsid w:val="00F80A93"/>
    <w:rsid w:val="00F80AC4"/>
    <w:rsid w:val="00F80B52"/>
    <w:rsid w:val="00F80BC1"/>
    <w:rsid w:val="00F80BF8"/>
    <w:rsid w:val="00F80DAD"/>
    <w:rsid w:val="00F80E4F"/>
    <w:rsid w:val="00F80E99"/>
    <w:rsid w:val="00F80EAE"/>
    <w:rsid w:val="00F81061"/>
    <w:rsid w:val="00F810C5"/>
    <w:rsid w:val="00F810DE"/>
    <w:rsid w:val="00F810E5"/>
    <w:rsid w:val="00F81153"/>
    <w:rsid w:val="00F81169"/>
    <w:rsid w:val="00F811C3"/>
    <w:rsid w:val="00F811EA"/>
    <w:rsid w:val="00F8131F"/>
    <w:rsid w:val="00F8136B"/>
    <w:rsid w:val="00F813CC"/>
    <w:rsid w:val="00F813CE"/>
    <w:rsid w:val="00F8142D"/>
    <w:rsid w:val="00F8144F"/>
    <w:rsid w:val="00F81451"/>
    <w:rsid w:val="00F814C0"/>
    <w:rsid w:val="00F814D0"/>
    <w:rsid w:val="00F81503"/>
    <w:rsid w:val="00F81656"/>
    <w:rsid w:val="00F81672"/>
    <w:rsid w:val="00F81712"/>
    <w:rsid w:val="00F8171D"/>
    <w:rsid w:val="00F81723"/>
    <w:rsid w:val="00F817C3"/>
    <w:rsid w:val="00F818A4"/>
    <w:rsid w:val="00F818FC"/>
    <w:rsid w:val="00F8196C"/>
    <w:rsid w:val="00F819A2"/>
    <w:rsid w:val="00F819D8"/>
    <w:rsid w:val="00F81BD7"/>
    <w:rsid w:val="00F81C6D"/>
    <w:rsid w:val="00F81C9F"/>
    <w:rsid w:val="00F81CDD"/>
    <w:rsid w:val="00F81CE2"/>
    <w:rsid w:val="00F81D12"/>
    <w:rsid w:val="00F81D29"/>
    <w:rsid w:val="00F81D32"/>
    <w:rsid w:val="00F81D70"/>
    <w:rsid w:val="00F81DB8"/>
    <w:rsid w:val="00F81DC8"/>
    <w:rsid w:val="00F81E5B"/>
    <w:rsid w:val="00F81EAC"/>
    <w:rsid w:val="00F81EC3"/>
    <w:rsid w:val="00F81F3F"/>
    <w:rsid w:val="00F820BE"/>
    <w:rsid w:val="00F8211D"/>
    <w:rsid w:val="00F8220D"/>
    <w:rsid w:val="00F8236D"/>
    <w:rsid w:val="00F82377"/>
    <w:rsid w:val="00F8239A"/>
    <w:rsid w:val="00F8241B"/>
    <w:rsid w:val="00F825EA"/>
    <w:rsid w:val="00F82626"/>
    <w:rsid w:val="00F82641"/>
    <w:rsid w:val="00F82764"/>
    <w:rsid w:val="00F827AB"/>
    <w:rsid w:val="00F827FF"/>
    <w:rsid w:val="00F82807"/>
    <w:rsid w:val="00F8280E"/>
    <w:rsid w:val="00F82842"/>
    <w:rsid w:val="00F8284A"/>
    <w:rsid w:val="00F82854"/>
    <w:rsid w:val="00F82868"/>
    <w:rsid w:val="00F8286B"/>
    <w:rsid w:val="00F82925"/>
    <w:rsid w:val="00F829AA"/>
    <w:rsid w:val="00F82AA1"/>
    <w:rsid w:val="00F82B60"/>
    <w:rsid w:val="00F82B98"/>
    <w:rsid w:val="00F82C3F"/>
    <w:rsid w:val="00F82C48"/>
    <w:rsid w:val="00F82C5B"/>
    <w:rsid w:val="00F82DA0"/>
    <w:rsid w:val="00F82DFD"/>
    <w:rsid w:val="00F82E2B"/>
    <w:rsid w:val="00F82E88"/>
    <w:rsid w:val="00F82E94"/>
    <w:rsid w:val="00F82F51"/>
    <w:rsid w:val="00F82F70"/>
    <w:rsid w:val="00F82FA6"/>
    <w:rsid w:val="00F82FA7"/>
    <w:rsid w:val="00F82FD9"/>
    <w:rsid w:val="00F8301D"/>
    <w:rsid w:val="00F830FE"/>
    <w:rsid w:val="00F83160"/>
    <w:rsid w:val="00F831CB"/>
    <w:rsid w:val="00F83224"/>
    <w:rsid w:val="00F8322D"/>
    <w:rsid w:val="00F83230"/>
    <w:rsid w:val="00F83231"/>
    <w:rsid w:val="00F832DB"/>
    <w:rsid w:val="00F8336F"/>
    <w:rsid w:val="00F833A2"/>
    <w:rsid w:val="00F833ED"/>
    <w:rsid w:val="00F833FF"/>
    <w:rsid w:val="00F834E6"/>
    <w:rsid w:val="00F834F7"/>
    <w:rsid w:val="00F8356E"/>
    <w:rsid w:val="00F835B6"/>
    <w:rsid w:val="00F83647"/>
    <w:rsid w:val="00F8368D"/>
    <w:rsid w:val="00F83761"/>
    <w:rsid w:val="00F83815"/>
    <w:rsid w:val="00F83825"/>
    <w:rsid w:val="00F83917"/>
    <w:rsid w:val="00F8397F"/>
    <w:rsid w:val="00F83A08"/>
    <w:rsid w:val="00F83AFE"/>
    <w:rsid w:val="00F83B05"/>
    <w:rsid w:val="00F83BD5"/>
    <w:rsid w:val="00F83C45"/>
    <w:rsid w:val="00F83C64"/>
    <w:rsid w:val="00F83CF4"/>
    <w:rsid w:val="00F83D9D"/>
    <w:rsid w:val="00F83F38"/>
    <w:rsid w:val="00F83F5B"/>
    <w:rsid w:val="00F8404A"/>
    <w:rsid w:val="00F8406D"/>
    <w:rsid w:val="00F8407B"/>
    <w:rsid w:val="00F84177"/>
    <w:rsid w:val="00F841FF"/>
    <w:rsid w:val="00F842BE"/>
    <w:rsid w:val="00F842CC"/>
    <w:rsid w:val="00F842F2"/>
    <w:rsid w:val="00F84349"/>
    <w:rsid w:val="00F843B6"/>
    <w:rsid w:val="00F84493"/>
    <w:rsid w:val="00F8451B"/>
    <w:rsid w:val="00F84550"/>
    <w:rsid w:val="00F8455F"/>
    <w:rsid w:val="00F8459E"/>
    <w:rsid w:val="00F845D5"/>
    <w:rsid w:val="00F84627"/>
    <w:rsid w:val="00F8464D"/>
    <w:rsid w:val="00F84680"/>
    <w:rsid w:val="00F846B4"/>
    <w:rsid w:val="00F846CB"/>
    <w:rsid w:val="00F846DD"/>
    <w:rsid w:val="00F846EF"/>
    <w:rsid w:val="00F84729"/>
    <w:rsid w:val="00F84734"/>
    <w:rsid w:val="00F84740"/>
    <w:rsid w:val="00F8475A"/>
    <w:rsid w:val="00F847CE"/>
    <w:rsid w:val="00F847EE"/>
    <w:rsid w:val="00F848AB"/>
    <w:rsid w:val="00F848D3"/>
    <w:rsid w:val="00F84901"/>
    <w:rsid w:val="00F8492E"/>
    <w:rsid w:val="00F8493B"/>
    <w:rsid w:val="00F8493E"/>
    <w:rsid w:val="00F84990"/>
    <w:rsid w:val="00F849AB"/>
    <w:rsid w:val="00F84A02"/>
    <w:rsid w:val="00F84A5C"/>
    <w:rsid w:val="00F84AC4"/>
    <w:rsid w:val="00F84AE1"/>
    <w:rsid w:val="00F84B11"/>
    <w:rsid w:val="00F84BA6"/>
    <w:rsid w:val="00F84BD3"/>
    <w:rsid w:val="00F84C37"/>
    <w:rsid w:val="00F84C60"/>
    <w:rsid w:val="00F84C61"/>
    <w:rsid w:val="00F84C66"/>
    <w:rsid w:val="00F84CAC"/>
    <w:rsid w:val="00F84CDD"/>
    <w:rsid w:val="00F84CF1"/>
    <w:rsid w:val="00F84D4F"/>
    <w:rsid w:val="00F84D82"/>
    <w:rsid w:val="00F84E86"/>
    <w:rsid w:val="00F84EA7"/>
    <w:rsid w:val="00F84ECB"/>
    <w:rsid w:val="00F84ED9"/>
    <w:rsid w:val="00F84EE1"/>
    <w:rsid w:val="00F84F44"/>
    <w:rsid w:val="00F84F50"/>
    <w:rsid w:val="00F84F76"/>
    <w:rsid w:val="00F84F89"/>
    <w:rsid w:val="00F8502B"/>
    <w:rsid w:val="00F85047"/>
    <w:rsid w:val="00F850F6"/>
    <w:rsid w:val="00F85106"/>
    <w:rsid w:val="00F851C6"/>
    <w:rsid w:val="00F85218"/>
    <w:rsid w:val="00F852EA"/>
    <w:rsid w:val="00F85386"/>
    <w:rsid w:val="00F853CE"/>
    <w:rsid w:val="00F853DF"/>
    <w:rsid w:val="00F85475"/>
    <w:rsid w:val="00F8548F"/>
    <w:rsid w:val="00F854C1"/>
    <w:rsid w:val="00F85504"/>
    <w:rsid w:val="00F85530"/>
    <w:rsid w:val="00F85663"/>
    <w:rsid w:val="00F856F3"/>
    <w:rsid w:val="00F8577A"/>
    <w:rsid w:val="00F858AA"/>
    <w:rsid w:val="00F85937"/>
    <w:rsid w:val="00F859FB"/>
    <w:rsid w:val="00F85A11"/>
    <w:rsid w:val="00F85A37"/>
    <w:rsid w:val="00F85AE4"/>
    <w:rsid w:val="00F85B30"/>
    <w:rsid w:val="00F85B9C"/>
    <w:rsid w:val="00F85BFD"/>
    <w:rsid w:val="00F85C5E"/>
    <w:rsid w:val="00F85C8F"/>
    <w:rsid w:val="00F85CF9"/>
    <w:rsid w:val="00F85DA3"/>
    <w:rsid w:val="00F85E75"/>
    <w:rsid w:val="00F85F29"/>
    <w:rsid w:val="00F85F2C"/>
    <w:rsid w:val="00F85FD4"/>
    <w:rsid w:val="00F85FDA"/>
    <w:rsid w:val="00F86011"/>
    <w:rsid w:val="00F8602C"/>
    <w:rsid w:val="00F860A9"/>
    <w:rsid w:val="00F860E9"/>
    <w:rsid w:val="00F860FB"/>
    <w:rsid w:val="00F86100"/>
    <w:rsid w:val="00F86151"/>
    <w:rsid w:val="00F8618E"/>
    <w:rsid w:val="00F861B3"/>
    <w:rsid w:val="00F8625B"/>
    <w:rsid w:val="00F86424"/>
    <w:rsid w:val="00F8644E"/>
    <w:rsid w:val="00F864F9"/>
    <w:rsid w:val="00F865EF"/>
    <w:rsid w:val="00F86605"/>
    <w:rsid w:val="00F8663A"/>
    <w:rsid w:val="00F8669E"/>
    <w:rsid w:val="00F8671D"/>
    <w:rsid w:val="00F867D1"/>
    <w:rsid w:val="00F868C3"/>
    <w:rsid w:val="00F8691C"/>
    <w:rsid w:val="00F8693B"/>
    <w:rsid w:val="00F8699F"/>
    <w:rsid w:val="00F869FE"/>
    <w:rsid w:val="00F86A05"/>
    <w:rsid w:val="00F86AF1"/>
    <w:rsid w:val="00F86B00"/>
    <w:rsid w:val="00F86B28"/>
    <w:rsid w:val="00F86B33"/>
    <w:rsid w:val="00F86B3A"/>
    <w:rsid w:val="00F86C2B"/>
    <w:rsid w:val="00F86CF1"/>
    <w:rsid w:val="00F86E12"/>
    <w:rsid w:val="00F86E66"/>
    <w:rsid w:val="00F86F0B"/>
    <w:rsid w:val="00F86F3F"/>
    <w:rsid w:val="00F86F5F"/>
    <w:rsid w:val="00F870A8"/>
    <w:rsid w:val="00F87172"/>
    <w:rsid w:val="00F8725B"/>
    <w:rsid w:val="00F8726E"/>
    <w:rsid w:val="00F87363"/>
    <w:rsid w:val="00F87398"/>
    <w:rsid w:val="00F87421"/>
    <w:rsid w:val="00F8744A"/>
    <w:rsid w:val="00F875A0"/>
    <w:rsid w:val="00F87613"/>
    <w:rsid w:val="00F87625"/>
    <w:rsid w:val="00F87679"/>
    <w:rsid w:val="00F876DC"/>
    <w:rsid w:val="00F87707"/>
    <w:rsid w:val="00F87714"/>
    <w:rsid w:val="00F8772C"/>
    <w:rsid w:val="00F87794"/>
    <w:rsid w:val="00F877C0"/>
    <w:rsid w:val="00F87875"/>
    <w:rsid w:val="00F878A5"/>
    <w:rsid w:val="00F87961"/>
    <w:rsid w:val="00F87A4E"/>
    <w:rsid w:val="00F87A94"/>
    <w:rsid w:val="00F87B16"/>
    <w:rsid w:val="00F87BB4"/>
    <w:rsid w:val="00F87BBD"/>
    <w:rsid w:val="00F87BD0"/>
    <w:rsid w:val="00F87C66"/>
    <w:rsid w:val="00F87C99"/>
    <w:rsid w:val="00F87CD7"/>
    <w:rsid w:val="00F87CFA"/>
    <w:rsid w:val="00F87D1E"/>
    <w:rsid w:val="00F87EC1"/>
    <w:rsid w:val="00F87F1C"/>
    <w:rsid w:val="00F87F32"/>
    <w:rsid w:val="00F89561"/>
    <w:rsid w:val="00F90087"/>
    <w:rsid w:val="00F900FF"/>
    <w:rsid w:val="00F9016A"/>
    <w:rsid w:val="00F9017E"/>
    <w:rsid w:val="00F9018F"/>
    <w:rsid w:val="00F9019F"/>
    <w:rsid w:val="00F901B1"/>
    <w:rsid w:val="00F901D8"/>
    <w:rsid w:val="00F9028D"/>
    <w:rsid w:val="00F902D6"/>
    <w:rsid w:val="00F903F8"/>
    <w:rsid w:val="00F904A1"/>
    <w:rsid w:val="00F9054E"/>
    <w:rsid w:val="00F905E2"/>
    <w:rsid w:val="00F9061C"/>
    <w:rsid w:val="00F9063F"/>
    <w:rsid w:val="00F90674"/>
    <w:rsid w:val="00F90685"/>
    <w:rsid w:val="00F90688"/>
    <w:rsid w:val="00F906AB"/>
    <w:rsid w:val="00F90729"/>
    <w:rsid w:val="00F90735"/>
    <w:rsid w:val="00F90748"/>
    <w:rsid w:val="00F9079C"/>
    <w:rsid w:val="00F907C5"/>
    <w:rsid w:val="00F907DC"/>
    <w:rsid w:val="00F907E9"/>
    <w:rsid w:val="00F9081C"/>
    <w:rsid w:val="00F908B9"/>
    <w:rsid w:val="00F908C0"/>
    <w:rsid w:val="00F908DF"/>
    <w:rsid w:val="00F908F4"/>
    <w:rsid w:val="00F909EF"/>
    <w:rsid w:val="00F90A73"/>
    <w:rsid w:val="00F90AC4"/>
    <w:rsid w:val="00F90B53"/>
    <w:rsid w:val="00F90B5E"/>
    <w:rsid w:val="00F90BDE"/>
    <w:rsid w:val="00F90BEE"/>
    <w:rsid w:val="00F90C00"/>
    <w:rsid w:val="00F90C16"/>
    <w:rsid w:val="00F90D10"/>
    <w:rsid w:val="00F90D43"/>
    <w:rsid w:val="00F90EA7"/>
    <w:rsid w:val="00F90EC8"/>
    <w:rsid w:val="00F90EC9"/>
    <w:rsid w:val="00F90EEC"/>
    <w:rsid w:val="00F910E9"/>
    <w:rsid w:val="00F910F2"/>
    <w:rsid w:val="00F9118C"/>
    <w:rsid w:val="00F91199"/>
    <w:rsid w:val="00F91299"/>
    <w:rsid w:val="00F912A5"/>
    <w:rsid w:val="00F912DC"/>
    <w:rsid w:val="00F91326"/>
    <w:rsid w:val="00F91346"/>
    <w:rsid w:val="00F913AE"/>
    <w:rsid w:val="00F91448"/>
    <w:rsid w:val="00F9145F"/>
    <w:rsid w:val="00F91525"/>
    <w:rsid w:val="00F9153F"/>
    <w:rsid w:val="00F915B4"/>
    <w:rsid w:val="00F91703"/>
    <w:rsid w:val="00F91758"/>
    <w:rsid w:val="00F918A6"/>
    <w:rsid w:val="00F918DC"/>
    <w:rsid w:val="00F919F8"/>
    <w:rsid w:val="00F91B06"/>
    <w:rsid w:val="00F91B2E"/>
    <w:rsid w:val="00F91BAE"/>
    <w:rsid w:val="00F91BBA"/>
    <w:rsid w:val="00F91C3E"/>
    <w:rsid w:val="00F91C98"/>
    <w:rsid w:val="00F91D51"/>
    <w:rsid w:val="00F91DA0"/>
    <w:rsid w:val="00F91DAE"/>
    <w:rsid w:val="00F91DF3"/>
    <w:rsid w:val="00F91E8A"/>
    <w:rsid w:val="00F91EA2"/>
    <w:rsid w:val="00F91ED1"/>
    <w:rsid w:val="00F91EF9"/>
    <w:rsid w:val="00F91EFA"/>
    <w:rsid w:val="00F91F0F"/>
    <w:rsid w:val="00F91F1A"/>
    <w:rsid w:val="00F91F22"/>
    <w:rsid w:val="00F91F39"/>
    <w:rsid w:val="00F91F50"/>
    <w:rsid w:val="00F9202C"/>
    <w:rsid w:val="00F920F7"/>
    <w:rsid w:val="00F92122"/>
    <w:rsid w:val="00F92127"/>
    <w:rsid w:val="00F92165"/>
    <w:rsid w:val="00F9217B"/>
    <w:rsid w:val="00F92181"/>
    <w:rsid w:val="00F921C8"/>
    <w:rsid w:val="00F92309"/>
    <w:rsid w:val="00F9231C"/>
    <w:rsid w:val="00F92341"/>
    <w:rsid w:val="00F9239F"/>
    <w:rsid w:val="00F923E6"/>
    <w:rsid w:val="00F923EC"/>
    <w:rsid w:val="00F92409"/>
    <w:rsid w:val="00F925A0"/>
    <w:rsid w:val="00F92603"/>
    <w:rsid w:val="00F9262B"/>
    <w:rsid w:val="00F92644"/>
    <w:rsid w:val="00F9266F"/>
    <w:rsid w:val="00F926D4"/>
    <w:rsid w:val="00F9275F"/>
    <w:rsid w:val="00F92769"/>
    <w:rsid w:val="00F92775"/>
    <w:rsid w:val="00F9278A"/>
    <w:rsid w:val="00F927CD"/>
    <w:rsid w:val="00F927FE"/>
    <w:rsid w:val="00F92888"/>
    <w:rsid w:val="00F92890"/>
    <w:rsid w:val="00F9289D"/>
    <w:rsid w:val="00F928A8"/>
    <w:rsid w:val="00F928F0"/>
    <w:rsid w:val="00F92972"/>
    <w:rsid w:val="00F92973"/>
    <w:rsid w:val="00F929CB"/>
    <w:rsid w:val="00F929F3"/>
    <w:rsid w:val="00F92A15"/>
    <w:rsid w:val="00F92A1C"/>
    <w:rsid w:val="00F92A1D"/>
    <w:rsid w:val="00F92A26"/>
    <w:rsid w:val="00F92A9F"/>
    <w:rsid w:val="00F92ACA"/>
    <w:rsid w:val="00F92AE3"/>
    <w:rsid w:val="00F92B1A"/>
    <w:rsid w:val="00F92B4B"/>
    <w:rsid w:val="00F92B54"/>
    <w:rsid w:val="00F92B81"/>
    <w:rsid w:val="00F92BA9"/>
    <w:rsid w:val="00F92BC2"/>
    <w:rsid w:val="00F92BCE"/>
    <w:rsid w:val="00F92C29"/>
    <w:rsid w:val="00F92C68"/>
    <w:rsid w:val="00F92CAD"/>
    <w:rsid w:val="00F92CAF"/>
    <w:rsid w:val="00F92D05"/>
    <w:rsid w:val="00F92D37"/>
    <w:rsid w:val="00F92E35"/>
    <w:rsid w:val="00F92F25"/>
    <w:rsid w:val="00F92F46"/>
    <w:rsid w:val="00F92FBF"/>
    <w:rsid w:val="00F93025"/>
    <w:rsid w:val="00F930BC"/>
    <w:rsid w:val="00F93179"/>
    <w:rsid w:val="00F9317A"/>
    <w:rsid w:val="00F93190"/>
    <w:rsid w:val="00F931DD"/>
    <w:rsid w:val="00F93220"/>
    <w:rsid w:val="00F9322B"/>
    <w:rsid w:val="00F9326D"/>
    <w:rsid w:val="00F9327B"/>
    <w:rsid w:val="00F932B2"/>
    <w:rsid w:val="00F933A9"/>
    <w:rsid w:val="00F933EA"/>
    <w:rsid w:val="00F933F3"/>
    <w:rsid w:val="00F9351A"/>
    <w:rsid w:val="00F93594"/>
    <w:rsid w:val="00F935B8"/>
    <w:rsid w:val="00F93658"/>
    <w:rsid w:val="00F936CD"/>
    <w:rsid w:val="00F936D9"/>
    <w:rsid w:val="00F936ED"/>
    <w:rsid w:val="00F93795"/>
    <w:rsid w:val="00F937BB"/>
    <w:rsid w:val="00F937CF"/>
    <w:rsid w:val="00F93849"/>
    <w:rsid w:val="00F9385F"/>
    <w:rsid w:val="00F93863"/>
    <w:rsid w:val="00F93887"/>
    <w:rsid w:val="00F93941"/>
    <w:rsid w:val="00F93946"/>
    <w:rsid w:val="00F939CA"/>
    <w:rsid w:val="00F93A47"/>
    <w:rsid w:val="00F93A65"/>
    <w:rsid w:val="00F93ACD"/>
    <w:rsid w:val="00F93AEA"/>
    <w:rsid w:val="00F93B04"/>
    <w:rsid w:val="00F93B08"/>
    <w:rsid w:val="00F93B2C"/>
    <w:rsid w:val="00F93B3D"/>
    <w:rsid w:val="00F93B43"/>
    <w:rsid w:val="00F93B55"/>
    <w:rsid w:val="00F93B5A"/>
    <w:rsid w:val="00F93B7C"/>
    <w:rsid w:val="00F93B7F"/>
    <w:rsid w:val="00F93B95"/>
    <w:rsid w:val="00F93C4C"/>
    <w:rsid w:val="00F93C7F"/>
    <w:rsid w:val="00F93CB2"/>
    <w:rsid w:val="00F93CEC"/>
    <w:rsid w:val="00F93CEE"/>
    <w:rsid w:val="00F93CFF"/>
    <w:rsid w:val="00F93D60"/>
    <w:rsid w:val="00F93D6F"/>
    <w:rsid w:val="00F93E2C"/>
    <w:rsid w:val="00F93E4F"/>
    <w:rsid w:val="00F93E61"/>
    <w:rsid w:val="00F93E6D"/>
    <w:rsid w:val="00F93F1C"/>
    <w:rsid w:val="00F93F26"/>
    <w:rsid w:val="00F93FC1"/>
    <w:rsid w:val="00F940AC"/>
    <w:rsid w:val="00F94125"/>
    <w:rsid w:val="00F941A1"/>
    <w:rsid w:val="00F941DE"/>
    <w:rsid w:val="00F94258"/>
    <w:rsid w:val="00F942AA"/>
    <w:rsid w:val="00F942ED"/>
    <w:rsid w:val="00F9434A"/>
    <w:rsid w:val="00F943E0"/>
    <w:rsid w:val="00F943FB"/>
    <w:rsid w:val="00F94460"/>
    <w:rsid w:val="00F94486"/>
    <w:rsid w:val="00F94497"/>
    <w:rsid w:val="00F944B4"/>
    <w:rsid w:val="00F9455E"/>
    <w:rsid w:val="00F9458E"/>
    <w:rsid w:val="00F945EE"/>
    <w:rsid w:val="00F94648"/>
    <w:rsid w:val="00F946F2"/>
    <w:rsid w:val="00F94716"/>
    <w:rsid w:val="00F94745"/>
    <w:rsid w:val="00F9477D"/>
    <w:rsid w:val="00F947A7"/>
    <w:rsid w:val="00F94850"/>
    <w:rsid w:val="00F948AA"/>
    <w:rsid w:val="00F948C1"/>
    <w:rsid w:val="00F94917"/>
    <w:rsid w:val="00F9495D"/>
    <w:rsid w:val="00F9498D"/>
    <w:rsid w:val="00F94A04"/>
    <w:rsid w:val="00F94AE2"/>
    <w:rsid w:val="00F94B73"/>
    <w:rsid w:val="00F94BEF"/>
    <w:rsid w:val="00F94C3F"/>
    <w:rsid w:val="00F94C54"/>
    <w:rsid w:val="00F94CAD"/>
    <w:rsid w:val="00F94CCE"/>
    <w:rsid w:val="00F94D42"/>
    <w:rsid w:val="00F94E15"/>
    <w:rsid w:val="00F94E29"/>
    <w:rsid w:val="00F94EFC"/>
    <w:rsid w:val="00F94FFC"/>
    <w:rsid w:val="00F95020"/>
    <w:rsid w:val="00F95060"/>
    <w:rsid w:val="00F950FA"/>
    <w:rsid w:val="00F95107"/>
    <w:rsid w:val="00F95124"/>
    <w:rsid w:val="00F95163"/>
    <w:rsid w:val="00F95259"/>
    <w:rsid w:val="00F95295"/>
    <w:rsid w:val="00F952D2"/>
    <w:rsid w:val="00F952D9"/>
    <w:rsid w:val="00F952F6"/>
    <w:rsid w:val="00F95305"/>
    <w:rsid w:val="00F95308"/>
    <w:rsid w:val="00F953B0"/>
    <w:rsid w:val="00F953DC"/>
    <w:rsid w:val="00F953FC"/>
    <w:rsid w:val="00F953FD"/>
    <w:rsid w:val="00F95403"/>
    <w:rsid w:val="00F954F8"/>
    <w:rsid w:val="00F95574"/>
    <w:rsid w:val="00F955C8"/>
    <w:rsid w:val="00F955DA"/>
    <w:rsid w:val="00F9560F"/>
    <w:rsid w:val="00F95680"/>
    <w:rsid w:val="00F956F8"/>
    <w:rsid w:val="00F957FC"/>
    <w:rsid w:val="00F958BE"/>
    <w:rsid w:val="00F958CE"/>
    <w:rsid w:val="00F9599C"/>
    <w:rsid w:val="00F95A66"/>
    <w:rsid w:val="00F95AB1"/>
    <w:rsid w:val="00F95BDC"/>
    <w:rsid w:val="00F95CBE"/>
    <w:rsid w:val="00F95D12"/>
    <w:rsid w:val="00F95D39"/>
    <w:rsid w:val="00F95D4C"/>
    <w:rsid w:val="00F95D9A"/>
    <w:rsid w:val="00F95E5C"/>
    <w:rsid w:val="00F95E6F"/>
    <w:rsid w:val="00F95E7D"/>
    <w:rsid w:val="00F95F7F"/>
    <w:rsid w:val="00F95F86"/>
    <w:rsid w:val="00F95FAA"/>
    <w:rsid w:val="00F9600D"/>
    <w:rsid w:val="00F960C0"/>
    <w:rsid w:val="00F960C7"/>
    <w:rsid w:val="00F960EA"/>
    <w:rsid w:val="00F961B8"/>
    <w:rsid w:val="00F9635B"/>
    <w:rsid w:val="00F963F3"/>
    <w:rsid w:val="00F9641E"/>
    <w:rsid w:val="00F96437"/>
    <w:rsid w:val="00F9643C"/>
    <w:rsid w:val="00F96488"/>
    <w:rsid w:val="00F964AF"/>
    <w:rsid w:val="00F964D6"/>
    <w:rsid w:val="00F964F7"/>
    <w:rsid w:val="00F96547"/>
    <w:rsid w:val="00F9655C"/>
    <w:rsid w:val="00F965C8"/>
    <w:rsid w:val="00F9662D"/>
    <w:rsid w:val="00F9662E"/>
    <w:rsid w:val="00F96655"/>
    <w:rsid w:val="00F9665B"/>
    <w:rsid w:val="00F9666B"/>
    <w:rsid w:val="00F966D0"/>
    <w:rsid w:val="00F966E5"/>
    <w:rsid w:val="00F966E7"/>
    <w:rsid w:val="00F966EC"/>
    <w:rsid w:val="00F96764"/>
    <w:rsid w:val="00F9683B"/>
    <w:rsid w:val="00F9683E"/>
    <w:rsid w:val="00F968B5"/>
    <w:rsid w:val="00F968CF"/>
    <w:rsid w:val="00F968ED"/>
    <w:rsid w:val="00F96941"/>
    <w:rsid w:val="00F9694E"/>
    <w:rsid w:val="00F969CF"/>
    <w:rsid w:val="00F96A3D"/>
    <w:rsid w:val="00F96AA1"/>
    <w:rsid w:val="00F96B41"/>
    <w:rsid w:val="00F96BA9"/>
    <w:rsid w:val="00F96BCE"/>
    <w:rsid w:val="00F96C98"/>
    <w:rsid w:val="00F96CB8"/>
    <w:rsid w:val="00F96CBE"/>
    <w:rsid w:val="00F96CDD"/>
    <w:rsid w:val="00F96D69"/>
    <w:rsid w:val="00F96E77"/>
    <w:rsid w:val="00F96E83"/>
    <w:rsid w:val="00F96EFA"/>
    <w:rsid w:val="00F96EFE"/>
    <w:rsid w:val="00F96F49"/>
    <w:rsid w:val="00F9701E"/>
    <w:rsid w:val="00F97028"/>
    <w:rsid w:val="00F97032"/>
    <w:rsid w:val="00F970CF"/>
    <w:rsid w:val="00F97185"/>
    <w:rsid w:val="00F97189"/>
    <w:rsid w:val="00F971B7"/>
    <w:rsid w:val="00F9726D"/>
    <w:rsid w:val="00F97307"/>
    <w:rsid w:val="00F97367"/>
    <w:rsid w:val="00F9736C"/>
    <w:rsid w:val="00F9747A"/>
    <w:rsid w:val="00F97526"/>
    <w:rsid w:val="00F97555"/>
    <w:rsid w:val="00F9757E"/>
    <w:rsid w:val="00F975F6"/>
    <w:rsid w:val="00F97611"/>
    <w:rsid w:val="00F97644"/>
    <w:rsid w:val="00F976BB"/>
    <w:rsid w:val="00F976C6"/>
    <w:rsid w:val="00F978E8"/>
    <w:rsid w:val="00F9793F"/>
    <w:rsid w:val="00F97978"/>
    <w:rsid w:val="00F9798F"/>
    <w:rsid w:val="00F979C3"/>
    <w:rsid w:val="00F97A8B"/>
    <w:rsid w:val="00F97AFE"/>
    <w:rsid w:val="00F97B21"/>
    <w:rsid w:val="00F97B58"/>
    <w:rsid w:val="00F97B83"/>
    <w:rsid w:val="00F97C02"/>
    <w:rsid w:val="00F97C14"/>
    <w:rsid w:val="00F97C54"/>
    <w:rsid w:val="00F97C5D"/>
    <w:rsid w:val="00F97D03"/>
    <w:rsid w:val="00F97D14"/>
    <w:rsid w:val="00F97DC4"/>
    <w:rsid w:val="00F97E00"/>
    <w:rsid w:val="00F97F3C"/>
    <w:rsid w:val="00F97F50"/>
    <w:rsid w:val="00F97FB1"/>
    <w:rsid w:val="00FA0090"/>
    <w:rsid w:val="00FA00BB"/>
    <w:rsid w:val="00FA00C1"/>
    <w:rsid w:val="00FA0289"/>
    <w:rsid w:val="00FA02BA"/>
    <w:rsid w:val="00FA030B"/>
    <w:rsid w:val="00FA0323"/>
    <w:rsid w:val="00FA034A"/>
    <w:rsid w:val="00FA0390"/>
    <w:rsid w:val="00FA0475"/>
    <w:rsid w:val="00FA047B"/>
    <w:rsid w:val="00FA049B"/>
    <w:rsid w:val="00FA0509"/>
    <w:rsid w:val="00FA0528"/>
    <w:rsid w:val="00FA05EF"/>
    <w:rsid w:val="00FA063B"/>
    <w:rsid w:val="00FA0640"/>
    <w:rsid w:val="00FA0682"/>
    <w:rsid w:val="00FA06E5"/>
    <w:rsid w:val="00FA07BF"/>
    <w:rsid w:val="00FA0847"/>
    <w:rsid w:val="00FA08BC"/>
    <w:rsid w:val="00FA09DF"/>
    <w:rsid w:val="00FA09E2"/>
    <w:rsid w:val="00FA09F2"/>
    <w:rsid w:val="00FA09FF"/>
    <w:rsid w:val="00FA0A0D"/>
    <w:rsid w:val="00FA0AB8"/>
    <w:rsid w:val="00FA0AEF"/>
    <w:rsid w:val="00FA0B75"/>
    <w:rsid w:val="00FA0B89"/>
    <w:rsid w:val="00FA0BE2"/>
    <w:rsid w:val="00FA0C45"/>
    <w:rsid w:val="00FA0C8C"/>
    <w:rsid w:val="00FA0D70"/>
    <w:rsid w:val="00FA0DE9"/>
    <w:rsid w:val="00FA0E32"/>
    <w:rsid w:val="00FA0EC8"/>
    <w:rsid w:val="00FA0EF7"/>
    <w:rsid w:val="00FA0F26"/>
    <w:rsid w:val="00FA0F85"/>
    <w:rsid w:val="00FA0FF7"/>
    <w:rsid w:val="00FA1071"/>
    <w:rsid w:val="00FA10DD"/>
    <w:rsid w:val="00FA10F0"/>
    <w:rsid w:val="00FA1177"/>
    <w:rsid w:val="00FA11AB"/>
    <w:rsid w:val="00FA12B9"/>
    <w:rsid w:val="00FA12DE"/>
    <w:rsid w:val="00FA12F3"/>
    <w:rsid w:val="00FA1352"/>
    <w:rsid w:val="00FA1388"/>
    <w:rsid w:val="00FA139D"/>
    <w:rsid w:val="00FA13AC"/>
    <w:rsid w:val="00FA13EA"/>
    <w:rsid w:val="00FA1413"/>
    <w:rsid w:val="00FA1419"/>
    <w:rsid w:val="00FA144E"/>
    <w:rsid w:val="00FA151F"/>
    <w:rsid w:val="00FA15AE"/>
    <w:rsid w:val="00FA1669"/>
    <w:rsid w:val="00FA16C2"/>
    <w:rsid w:val="00FA16FF"/>
    <w:rsid w:val="00FA1701"/>
    <w:rsid w:val="00FA179B"/>
    <w:rsid w:val="00FA17DE"/>
    <w:rsid w:val="00FA18C3"/>
    <w:rsid w:val="00FA18E5"/>
    <w:rsid w:val="00FA18F5"/>
    <w:rsid w:val="00FA1918"/>
    <w:rsid w:val="00FA194D"/>
    <w:rsid w:val="00FA1991"/>
    <w:rsid w:val="00FA19AB"/>
    <w:rsid w:val="00FA1A7F"/>
    <w:rsid w:val="00FA1B0D"/>
    <w:rsid w:val="00FA1B79"/>
    <w:rsid w:val="00FA1B8B"/>
    <w:rsid w:val="00FA1B9C"/>
    <w:rsid w:val="00FA1D4D"/>
    <w:rsid w:val="00FA1DFA"/>
    <w:rsid w:val="00FA1E73"/>
    <w:rsid w:val="00FA1EA9"/>
    <w:rsid w:val="00FA1ECF"/>
    <w:rsid w:val="00FA1FA9"/>
    <w:rsid w:val="00FA20D7"/>
    <w:rsid w:val="00FA21A4"/>
    <w:rsid w:val="00FA21C3"/>
    <w:rsid w:val="00FA21E8"/>
    <w:rsid w:val="00FA2252"/>
    <w:rsid w:val="00FA226E"/>
    <w:rsid w:val="00FA22CA"/>
    <w:rsid w:val="00FA22CD"/>
    <w:rsid w:val="00FA2340"/>
    <w:rsid w:val="00FA2388"/>
    <w:rsid w:val="00FA246C"/>
    <w:rsid w:val="00FA24A1"/>
    <w:rsid w:val="00FA24B2"/>
    <w:rsid w:val="00FA2511"/>
    <w:rsid w:val="00FA260E"/>
    <w:rsid w:val="00FA2726"/>
    <w:rsid w:val="00FA27BB"/>
    <w:rsid w:val="00FA27CE"/>
    <w:rsid w:val="00FA2837"/>
    <w:rsid w:val="00FA286B"/>
    <w:rsid w:val="00FA2881"/>
    <w:rsid w:val="00FA291A"/>
    <w:rsid w:val="00FA2976"/>
    <w:rsid w:val="00FA29C1"/>
    <w:rsid w:val="00FA2A24"/>
    <w:rsid w:val="00FA2A45"/>
    <w:rsid w:val="00FA2A8F"/>
    <w:rsid w:val="00FA2AD6"/>
    <w:rsid w:val="00FA2AE5"/>
    <w:rsid w:val="00FA2BCE"/>
    <w:rsid w:val="00FA2CAF"/>
    <w:rsid w:val="00FA2CC2"/>
    <w:rsid w:val="00FA2D4F"/>
    <w:rsid w:val="00FA2E26"/>
    <w:rsid w:val="00FA2E4F"/>
    <w:rsid w:val="00FA2ECC"/>
    <w:rsid w:val="00FA2F3B"/>
    <w:rsid w:val="00FA2FB4"/>
    <w:rsid w:val="00FA2FF8"/>
    <w:rsid w:val="00FA2FF9"/>
    <w:rsid w:val="00FA30B6"/>
    <w:rsid w:val="00FA30FA"/>
    <w:rsid w:val="00FA31F5"/>
    <w:rsid w:val="00FA326C"/>
    <w:rsid w:val="00FA3298"/>
    <w:rsid w:val="00FA32C5"/>
    <w:rsid w:val="00FA3300"/>
    <w:rsid w:val="00FA3387"/>
    <w:rsid w:val="00FA339F"/>
    <w:rsid w:val="00FA33AB"/>
    <w:rsid w:val="00FA3419"/>
    <w:rsid w:val="00FA3443"/>
    <w:rsid w:val="00FA34BE"/>
    <w:rsid w:val="00FA3575"/>
    <w:rsid w:val="00FA35F8"/>
    <w:rsid w:val="00FA3699"/>
    <w:rsid w:val="00FA391F"/>
    <w:rsid w:val="00FA3920"/>
    <w:rsid w:val="00FA394C"/>
    <w:rsid w:val="00FA3962"/>
    <w:rsid w:val="00FA39AD"/>
    <w:rsid w:val="00FA3A47"/>
    <w:rsid w:val="00FA3A49"/>
    <w:rsid w:val="00FA3AA6"/>
    <w:rsid w:val="00FA3AD8"/>
    <w:rsid w:val="00FA3AF9"/>
    <w:rsid w:val="00FA3C2A"/>
    <w:rsid w:val="00FA3C7A"/>
    <w:rsid w:val="00FA3C9C"/>
    <w:rsid w:val="00FA3CDC"/>
    <w:rsid w:val="00FA3D33"/>
    <w:rsid w:val="00FA3DFD"/>
    <w:rsid w:val="00FA3E40"/>
    <w:rsid w:val="00FA3ED9"/>
    <w:rsid w:val="00FA400C"/>
    <w:rsid w:val="00FA4076"/>
    <w:rsid w:val="00FA40A4"/>
    <w:rsid w:val="00FA416C"/>
    <w:rsid w:val="00FA418B"/>
    <w:rsid w:val="00FA4211"/>
    <w:rsid w:val="00FA427C"/>
    <w:rsid w:val="00FA42DA"/>
    <w:rsid w:val="00FA4358"/>
    <w:rsid w:val="00FA43FE"/>
    <w:rsid w:val="00FA4425"/>
    <w:rsid w:val="00FA4438"/>
    <w:rsid w:val="00FA44FF"/>
    <w:rsid w:val="00FA4576"/>
    <w:rsid w:val="00FA45AF"/>
    <w:rsid w:val="00FA4654"/>
    <w:rsid w:val="00FA4674"/>
    <w:rsid w:val="00FA468C"/>
    <w:rsid w:val="00FA46E2"/>
    <w:rsid w:val="00FA47BC"/>
    <w:rsid w:val="00FA47E3"/>
    <w:rsid w:val="00FA4812"/>
    <w:rsid w:val="00FA4875"/>
    <w:rsid w:val="00FA4876"/>
    <w:rsid w:val="00FA48F1"/>
    <w:rsid w:val="00FA4900"/>
    <w:rsid w:val="00FA4910"/>
    <w:rsid w:val="00FA4937"/>
    <w:rsid w:val="00FA4960"/>
    <w:rsid w:val="00FA4A8F"/>
    <w:rsid w:val="00FA4B0D"/>
    <w:rsid w:val="00FA4B45"/>
    <w:rsid w:val="00FA4CF2"/>
    <w:rsid w:val="00FA4D0C"/>
    <w:rsid w:val="00FA4D45"/>
    <w:rsid w:val="00FA4DC8"/>
    <w:rsid w:val="00FA4DDC"/>
    <w:rsid w:val="00FA4E17"/>
    <w:rsid w:val="00FA4E59"/>
    <w:rsid w:val="00FA4EF9"/>
    <w:rsid w:val="00FA4F27"/>
    <w:rsid w:val="00FA4F85"/>
    <w:rsid w:val="00FA4FEF"/>
    <w:rsid w:val="00FA5024"/>
    <w:rsid w:val="00FA5097"/>
    <w:rsid w:val="00FA50A3"/>
    <w:rsid w:val="00FA50DA"/>
    <w:rsid w:val="00FA50DD"/>
    <w:rsid w:val="00FA5110"/>
    <w:rsid w:val="00FA5127"/>
    <w:rsid w:val="00FA5151"/>
    <w:rsid w:val="00FA521A"/>
    <w:rsid w:val="00FA529A"/>
    <w:rsid w:val="00FA52A9"/>
    <w:rsid w:val="00FA52B7"/>
    <w:rsid w:val="00FA5373"/>
    <w:rsid w:val="00FA5401"/>
    <w:rsid w:val="00FA5428"/>
    <w:rsid w:val="00FA5487"/>
    <w:rsid w:val="00FA54E9"/>
    <w:rsid w:val="00FA55A5"/>
    <w:rsid w:val="00FA55B6"/>
    <w:rsid w:val="00FA55CD"/>
    <w:rsid w:val="00FA5615"/>
    <w:rsid w:val="00FA56B8"/>
    <w:rsid w:val="00FA5702"/>
    <w:rsid w:val="00FA573B"/>
    <w:rsid w:val="00FA579E"/>
    <w:rsid w:val="00FA57C6"/>
    <w:rsid w:val="00FA57CB"/>
    <w:rsid w:val="00FA5876"/>
    <w:rsid w:val="00FA587C"/>
    <w:rsid w:val="00FA59C1"/>
    <w:rsid w:val="00FA5A5E"/>
    <w:rsid w:val="00FA5B89"/>
    <w:rsid w:val="00FA5CD1"/>
    <w:rsid w:val="00FA5CDD"/>
    <w:rsid w:val="00FA5D6D"/>
    <w:rsid w:val="00FA5DDB"/>
    <w:rsid w:val="00FA5DFA"/>
    <w:rsid w:val="00FA5E6B"/>
    <w:rsid w:val="00FA5EC7"/>
    <w:rsid w:val="00FA6041"/>
    <w:rsid w:val="00FA609A"/>
    <w:rsid w:val="00FA610D"/>
    <w:rsid w:val="00FA61F6"/>
    <w:rsid w:val="00FA6252"/>
    <w:rsid w:val="00FA6283"/>
    <w:rsid w:val="00FA62DB"/>
    <w:rsid w:val="00FA6345"/>
    <w:rsid w:val="00FA6394"/>
    <w:rsid w:val="00FA63E1"/>
    <w:rsid w:val="00FA647B"/>
    <w:rsid w:val="00FA64A7"/>
    <w:rsid w:val="00FA64CE"/>
    <w:rsid w:val="00FA64E9"/>
    <w:rsid w:val="00FA64F8"/>
    <w:rsid w:val="00FA655F"/>
    <w:rsid w:val="00FA6598"/>
    <w:rsid w:val="00FA65A3"/>
    <w:rsid w:val="00FA65FA"/>
    <w:rsid w:val="00FA663F"/>
    <w:rsid w:val="00FA6671"/>
    <w:rsid w:val="00FA66DF"/>
    <w:rsid w:val="00FA66F1"/>
    <w:rsid w:val="00FA6704"/>
    <w:rsid w:val="00FA672A"/>
    <w:rsid w:val="00FA67D0"/>
    <w:rsid w:val="00FA67E1"/>
    <w:rsid w:val="00FA67EE"/>
    <w:rsid w:val="00FA6917"/>
    <w:rsid w:val="00FA697D"/>
    <w:rsid w:val="00FA6A0E"/>
    <w:rsid w:val="00FA6A30"/>
    <w:rsid w:val="00FA6A3E"/>
    <w:rsid w:val="00FA6AAA"/>
    <w:rsid w:val="00FA6B0B"/>
    <w:rsid w:val="00FA6B30"/>
    <w:rsid w:val="00FA6B48"/>
    <w:rsid w:val="00FA6B87"/>
    <w:rsid w:val="00FA6BBC"/>
    <w:rsid w:val="00FA6C85"/>
    <w:rsid w:val="00FA6D0D"/>
    <w:rsid w:val="00FA6D31"/>
    <w:rsid w:val="00FA6DA9"/>
    <w:rsid w:val="00FA6DFB"/>
    <w:rsid w:val="00FA6E7C"/>
    <w:rsid w:val="00FA6EAD"/>
    <w:rsid w:val="00FA6ECD"/>
    <w:rsid w:val="00FA6EE7"/>
    <w:rsid w:val="00FA6F75"/>
    <w:rsid w:val="00FA6F7B"/>
    <w:rsid w:val="00FA6F87"/>
    <w:rsid w:val="00FA6FB3"/>
    <w:rsid w:val="00FA6FC5"/>
    <w:rsid w:val="00FA6FDC"/>
    <w:rsid w:val="00FA6FF5"/>
    <w:rsid w:val="00FA70C5"/>
    <w:rsid w:val="00FA7112"/>
    <w:rsid w:val="00FA719A"/>
    <w:rsid w:val="00FA7219"/>
    <w:rsid w:val="00FA723F"/>
    <w:rsid w:val="00FA7242"/>
    <w:rsid w:val="00FA7252"/>
    <w:rsid w:val="00FA7347"/>
    <w:rsid w:val="00FA7434"/>
    <w:rsid w:val="00FA7519"/>
    <w:rsid w:val="00FA75A1"/>
    <w:rsid w:val="00FA75AD"/>
    <w:rsid w:val="00FA75FA"/>
    <w:rsid w:val="00FA7656"/>
    <w:rsid w:val="00FA76BA"/>
    <w:rsid w:val="00FA7703"/>
    <w:rsid w:val="00FA7761"/>
    <w:rsid w:val="00FA77B4"/>
    <w:rsid w:val="00FA77EA"/>
    <w:rsid w:val="00FA7823"/>
    <w:rsid w:val="00FA789B"/>
    <w:rsid w:val="00FA789F"/>
    <w:rsid w:val="00FA7918"/>
    <w:rsid w:val="00FA7921"/>
    <w:rsid w:val="00FA7949"/>
    <w:rsid w:val="00FA7979"/>
    <w:rsid w:val="00FA79D6"/>
    <w:rsid w:val="00FA7A1B"/>
    <w:rsid w:val="00FA7A56"/>
    <w:rsid w:val="00FA7A84"/>
    <w:rsid w:val="00FA7B25"/>
    <w:rsid w:val="00FA7B5B"/>
    <w:rsid w:val="00FA7BCF"/>
    <w:rsid w:val="00FA7C00"/>
    <w:rsid w:val="00FA7CA5"/>
    <w:rsid w:val="00FA7CD6"/>
    <w:rsid w:val="00FA7D0B"/>
    <w:rsid w:val="00FA7DAF"/>
    <w:rsid w:val="00FA7E95"/>
    <w:rsid w:val="00FA7E99"/>
    <w:rsid w:val="00FA7F70"/>
    <w:rsid w:val="00FA7FC1"/>
    <w:rsid w:val="00FB004C"/>
    <w:rsid w:val="00FB005B"/>
    <w:rsid w:val="00FB006C"/>
    <w:rsid w:val="00FB00FB"/>
    <w:rsid w:val="00FB0114"/>
    <w:rsid w:val="00FB012C"/>
    <w:rsid w:val="00FB017A"/>
    <w:rsid w:val="00FB01C3"/>
    <w:rsid w:val="00FB023E"/>
    <w:rsid w:val="00FB0274"/>
    <w:rsid w:val="00FB0284"/>
    <w:rsid w:val="00FB0346"/>
    <w:rsid w:val="00FB038C"/>
    <w:rsid w:val="00FB0399"/>
    <w:rsid w:val="00FB03A1"/>
    <w:rsid w:val="00FB03BC"/>
    <w:rsid w:val="00FB03FA"/>
    <w:rsid w:val="00FB043F"/>
    <w:rsid w:val="00FB0450"/>
    <w:rsid w:val="00FB049B"/>
    <w:rsid w:val="00FB04D8"/>
    <w:rsid w:val="00FB0525"/>
    <w:rsid w:val="00FB055E"/>
    <w:rsid w:val="00FB059B"/>
    <w:rsid w:val="00FB0637"/>
    <w:rsid w:val="00FB06A0"/>
    <w:rsid w:val="00FB06CB"/>
    <w:rsid w:val="00FB06DC"/>
    <w:rsid w:val="00FB06F5"/>
    <w:rsid w:val="00FB0748"/>
    <w:rsid w:val="00FB0755"/>
    <w:rsid w:val="00FB0922"/>
    <w:rsid w:val="00FB097B"/>
    <w:rsid w:val="00FB0A2C"/>
    <w:rsid w:val="00FB0ABF"/>
    <w:rsid w:val="00FB0B6B"/>
    <w:rsid w:val="00FB0BEB"/>
    <w:rsid w:val="00FB0C0F"/>
    <w:rsid w:val="00FB0C6E"/>
    <w:rsid w:val="00FB0C9E"/>
    <w:rsid w:val="00FB0CF8"/>
    <w:rsid w:val="00FB0D58"/>
    <w:rsid w:val="00FB0E89"/>
    <w:rsid w:val="00FB0E96"/>
    <w:rsid w:val="00FB0EEB"/>
    <w:rsid w:val="00FB0EF4"/>
    <w:rsid w:val="00FB0F06"/>
    <w:rsid w:val="00FB0F83"/>
    <w:rsid w:val="00FB0F98"/>
    <w:rsid w:val="00FB1104"/>
    <w:rsid w:val="00FB113C"/>
    <w:rsid w:val="00FB1166"/>
    <w:rsid w:val="00FB1177"/>
    <w:rsid w:val="00FB1184"/>
    <w:rsid w:val="00FB11C8"/>
    <w:rsid w:val="00FB12E4"/>
    <w:rsid w:val="00FB1370"/>
    <w:rsid w:val="00FB1448"/>
    <w:rsid w:val="00FB146F"/>
    <w:rsid w:val="00FB14E3"/>
    <w:rsid w:val="00FB14F2"/>
    <w:rsid w:val="00FB14FB"/>
    <w:rsid w:val="00FB15A5"/>
    <w:rsid w:val="00FB1662"/>
    <w:rsid w:val="00FB167F"/>
    <w:rsid w:val="00FB1775"/>
    <w:rsid w:val="00FB17AA"/>
    <w:rsid w:val="00FB17E8"/>
    <w:rsid w:val="00FB189C"/>
    <w:rsid w:val="00FB189D"/>
    <w:rsid w:val="00FB18B2"/>
    <w:rsid w:val="00FB18C1"/>
    <w:rsid w:val="00FB1918"/>
    <w:rsid w:val="00FB1938"/>
    <w:rsid w:val="00FB194E"/>
    <w:rsid w:val="00FB1971"/>
    <w:rsid w:val="00FB1995"/>
    <w:rsid w:val="00FB1A21"/>
    <w:rsid w:val="00FB1A71"/>
    <w:rsid w:val="00FB1A8D"/>
    <w:rsid w:val="00FB1AF4"/>
    <w:rsid w:val="00FB1BDC"/>
    <w:rsid w:val="00FB1C00"/>
    <w:rsid w:val="00FB1CA6"/>
    <w:rsid w:val="00FB1CD6"/>
    <w:rsid w:val="00FB1D47"/>
    <w:rsid w:val="00FB1E25"/>
    <w:rsid w:val="00FB1E93"/>
    <w:rsid w:val="00FB1FB2"/>
    <w:rsid w:val="00FB1FFC"/>
    <w:rsid w:val="00FB2011"/>
    <w:rsid w:val="00FB2046"/>
    <w:rsid w:val="00FB221A"/>
    <w:rsid w:val="00FB226B"/>
    <w:rsid w:val="00FB2327"/>
    <w:rsid w:val="00FB23AE"/>
    <w:rsid w:val="00FB23EE"/>
    <w:rsid w:val="00FB24B5"/>
    <w:rsid w:val="00FB25CD"/>
    <w:rsid w:val="00FB2658"/>
    <w:rsid w:val="00FB270C"/>
    <w:rsid w:val="00FB2949"/>
    <w:rsid w:val="00FB29BC"/>
    <w:rsid w:val="00FB29FF"/>
    <w:rsid w:val="00FB2A3E"/>
    <w:rsid w:val="00FB2A97"/>
    <w:rsid w:val="00FB2A9F"/>
    <w:rsid w:val="00FB2B0F"/>
    <w:rsid w:val="00FB2BBC"/>
    <w:rsid w:val="00FB2BC3"/>
    <w:rsid w:val="00FB2BEB"/>
    <w:rsid w:val="00FB2BFE"/>
    <w:rsid w:val="00FB2C95"/>
    <w:rsid w:val="00FB2C9B"/>
    <w:rsid w:val="00FB2CA2"/>
    <w:rsid w:val="00FB2CA6"/>
    <w:rsid w:val="00FB2D18"/>
    <w:rsid w:val="00FB2DB9"/>
    <w:rsid w:val="00FB2DE0"/>
    <w:rsid w:val="00FB2E9B"/>
    <w:rsid w:val="00FB2EA7"/>
    <w:rsid w:val="00FB2F04"/>
    <w:rsid w:val="00FB306D"/>
    <w:rsid w:val="00FB3117"/>
    <w:rsid w:val="00FB312F"/>
    <w:rsid w:val="00FB31A3"/>
    <w:rsid w:val="00FB31E2"/>
    <w:rsid w:val="00FB3213"/>
    <w:rsid w:val="00FB3277"/>
    <w:rsid w:val="00FB329B"/>
    <w:rsid w:val="00FB32A6"/>
    <w:rsid w:val="00FB32C0"/>
    <w:rsid w:val="00FB3376"/>
    <w:rsid w:val="00FB3388"/>
    <w:rsid w:val="00FB338F"/>
    <w:rsid w:val="00FB3434"/>
    <w:rsid w:val="00FB3581"/>
    <w:rsid w:val="00FB3626"/>
    <w:rsid w:val="00FB362C"/>
    <w:rsid w:val="00FB3641"/>
    <w:rsid w:val="00FB3671"/>
    <w:rsid w:val="00FB36B7"/>
    <w:rsid w:val="00FB3846"/>
    <w:rsid w:val="00FB38F9"/>
    <w:rsid w:val="00FB3973"/>
    <w:rsid w:val="00FB3986"/>
    <w:rsid w:val="00FB399C"/>
    <w:rsid w:val="00FB3A5D"/>
    <w:rsid w:val="00FB3AD6"/>
    <w:rsid w:val="00FB3AF0"/>
    <w:rsid w:val="00FB3AFD"/>
    <w:rsid w:val="00FB3C0A"/>
    <w:rsid w:val="00FB3C3C"/>
    <w:rsid w:val="00FB3C51"/>
    <w:rsid w:val="00FB3C82"/>
    <w:rsid w:val="00FB3C9A"/>
    <w:rsid w:val="00FB3CB5"/>
    <w:rsid w:val="00FB3D6A"/>
    <w:rsid w:val="00FB3D72"/>
    <w:rsid w:val="00FB3DA8"/>
    <w:rsid w:val="00FB3DC3"/>
    <w:rsid w:val="00FB3F72"/>
    <w:rsid w:val="00FB3FC6"/>
    <w:rsid w:val="00FB3FE5"/>
    <w:rsid w:val="00FB408C"/>
    <w:rsid w:val="00FB409C"/>
    <w:rsid w:val="00FB40A2"/>
    <w:rsid w:val="00FB40EF"/>
    <w:rsid w:val="00FB4113"/>
    <w:rsid w:val="00FB4141"/>
    <w:rsid w:val="00FB423B"/>
    <w:rsid w:val="00FB4297"/>
    <w:rsid w:val="00FB42C8"/>
    <w:rsid w:val="00FB42F3"/>
    <w:rsid w:val="00FB440A"/>
    <w:rsid w:val="00FB4476"/>
    <w:rsid w:val="00FB44DA"/>
    <w:rsid w:val="00FB4537"/>
    <w:rsid w:val="00FB456B"/>
    <w:rsid w:val="00FB4623"/>
    <w:rsid w:val="00FB466D"/>
    <w:rsid w:val="00FB46CB"/>
    <w:rsid w:val="00FB46D4"/>
    <w:rsid w:val="00FB4767"/>
    <w:rsid w:val="00FB4799"/>
    <w:rsid w:val="00FB47C7"/>
    <w:rsid w:val="00FB47D2"/>
    <w:rsid w:val="00FB4886"/>
    <w:rsid w:val="00FB4891"/>
    <w:rsid w:val="00FB48D1"/>
    <w:rsid w:val="00FB4940"/>
    <w:rsid w:val="00FB4951"/>
    <w:rsid w:val="00FB49C5"/>
    <w:rsid w:val="00FB4AE0"/>
    <w:rsid w:val="00FB4B35"/>
    <w:rsid w:val="00FB4B56"/>
    <w:rsid w:val="00FB4C02"/>
    <w:rsid w:val="00FB4C31"/>
    <w:rsid w:val="00FB4C86"/>
    <w:rsid w:val="00FB4CBC"/>
    <w:rsid w:val="00FB4CDB"/>
    <w:rsid w:val="00FB4CE4"/>
    <w:rsid w:val="00FB4D55"/>
    <w:rsid w:val="00FB4D72"/>
    <w:rsid w:val="00FB4E34"/>
    <w:rsid w:val="00FB4E37"/>
    <w:rsid w:val="00FB4F63"/>
    <w:rsid w:val="00FB4F7A"/>
    <w:rsid w:val="00FB4FA2"/>
    <w:rsid w:val="00FB4FD2"/>
    <w:rsid w:val="00FB4FF3"/>
    <w:rsid w:val="00FB500F"/>
    <w:rsid w:val="00FB506A"/>
    <w:rsid w:val="00FB50E3"/>
    <w:rsid w:val="00FB50F2"/>
    <w:rsid w:val="00FB5111"/>
    <w:rsid w:val="00FB51B3"/>
    <w:rsid w:val="00FB5212"/>
    <w:rsid w:val="00FB5243"/>
    <w:rsid w:val="00FB5245"/>
    <w:rsid w:val="00FB5275"/>
    <w:rsid w:val="00FB52B0"/>
    <w:rsid w:val="00FB52B2"/>
    <w:rsid w:val="00FB52D2"/>
    <w:rsid w:val="00FB53CD"/>
    <w:rsid w:val="00FB53D0"/>
    <w:rsid w:val="00FB53F3"/>
    <w:rsid w:val="00FB5460"/>
    <w:rsid w:val="00FB54B8"/>
    <w:rsid w:val="00FB54C0"/>
    <w:rsid w:val="00FB54C9"/>
    <w:rsid w:val="00FB550E"/>
    <w:rsid w:val="00FB5514"/>
    <w:rsid w:val="00FB5567"/>
    <w:rsid w:val="00FB565C"/>
    <w:rsid w:val="00FB567C"/>
    <w:rsid w:val="00FB5687"/>
    <w:rsid w:val="00FB56A3"/>
    <w:rsid w:val="00FB56C4"/>
    <w:rsid w:val="00FB56DE"/>
    <w:rsid w:val="00FB56F4"/>
    <w:rsid w:val="00FB5780"/>
    <w:rsid w:val="00FB57A6"/>
    <w:rsid w:val="00FB5853"/>
    <w:rsid w:val="00FB5884"/>
    <w:rsid w:val="00FB590C"/>
    <w:rsid w:val="00FB592C"/>
    <w:rsid w:val="00FB593A"/>
    <w:rsid w:val="00FB5A9F"/>
    <w:rsid w:val="00FB5AA0"/>
    <w:rsid w:val="00FB5B98"/>
    <w:rsid w:val="00FB5BB8"/>
    <w:rsid w:val="00FB5CAD"/>
    <w:rsid w:val="00FB5D2C"/>
    <w:rsid w:val="00FB5D63"/>
    <w:rsid w:val="00FB5E1A"/>
    <w:rsid w:val="00FB5E94"/>
    <w:rsid w:val="00FB5F3B"/>
    <w:rsid w:val="00FB5F53"/>
    <w:rsid w:val="00FB5F56"/>
    <w:rsid w:val="00FB5FC5"/>
    <w:rsid w:val="00FB5FE2"/>
    <w:rsid w:val="00FB6060"/>
    <w:rsid w:val="00FB6079"/>
    <w:rsid w:val="00FB60F7"/>
    <w:rsid w:val="00FB6112"/>
    <w:rsid w:val="00FB611E"/>
    <w:rsid w:val="00FB6197"/>
    <w:rsid w:val="00FB61D1"/>
    <w:rsid w:val="00FB61D4"/>
    <w:rsid w:val="00FB6212"/>
    <w:rsid w:val="00FB623E"/>
    <w:rsid w:val="00FB62DE"/>
    <w:rsid w:val="00FB632B"/>
    <w:rsid w:val="00FB638B"/>
    <w:rsid w:val="00FB63A3"/>
    <w:rsid w:val="00FB63E3"/>
    <w:rsid w:val="00FB63F5"/>
    <w:rsid w:val="00FB63FC"/>
    <w:rsid w:val="00FB6455"/>
    <w:rsid w:val="00FB647F"/>
    <w:rsid w:val="00FB655B"/>
    <w:rsid w:val="00FB65DD"/>
    <w:rsid w:val="00FB65FE"/>
    <w:rsid w:val="00FB660C"/>
    <w:rsid w:val="00FB661F"/>
    <w:rsid w:val="00FB663B"/>
    <w:rsid w:val="00FB6660"/>
    <w:rsid w:val="00FB6665"/>
    <w:rsid w:val="00FB6709"/>
    <w:rsid w:val="00FB6746"/>
    <w:rsid w:val="00FB67EE"/>
    <w:rsid w:val="00FB6842"/>
    <w:rsid w:val="00FB68A0"/>
    <w:rsid w:val="00FB6919"/>
    <w:rsid w:val="00FB691D"/>
    <w:rsid w:val="00FB6953"/>
    <w:rsid w:val="00FB6959"/>
    <w:rsid w:val="00FB69C7"/>
    <w:rsid w:val="00FB6A12"/>
    <w:rsid w:val="00FB6A1A"/>
    <w:rsid w:val="00FB6A75"/>
    <w:rsid w:val="00FB6A79"/>
    <w:rsid w:val="00FB6AE5"/>
    <w:rsid w:val="00FB6B17"/>
    <w:rsid w:val="00FB6B25"/>
    <w:rsid w:val="00FB6B30"/>
    <w:rsid w:val="00FB6B43"/>
    <w:rsid w:val="00FB6B83"/>
    <w:rsid w:val="00FB6BAC"/>
    <w:rsid w:val="00FB6BF0"/>
    <w:rsid w:val="00FB6C0B"/>
    <w:rsid w:val="00FB6C6A"/>
    <w:rsid w:val="00FB6D20"/>
    <w:rsid w:val="00FB6D4F"/>
    <w:rsid w:val="00FB6DD0"/>
    <w:rsid w:val="00FB6E4B"/>
    <w:rsid w:val="00FB6E5F"/>
    <w:rsid w:val="00FB6E7D"/>
    <w:rsid w:val="00FB6E90"/>
    <w:rsid w:val="00FB6E9E"/>
    <w:rsid w:val="00FB6EB8"/>
    <w:rsid w:val="00FB6F17"/>
    <w:rsid w:val="00FB6F71"/>
    <w:rsid w:val="00FB6FA6"/>
    <w:rsid w:val="00FB7036"/>
    <w:rsid w:val="00FB7066"/>
    <w:rsid w:val="00FB70A5"/>
    <w:rsid w:val="00FB7179"/>
    <w:rsid w:val="00FB71AA"/>
    <w:rsid w:val="00FB71DF"/>
    <w:rsid w:val="00FB7231"/>
    <w:rsid w:val="00FB72E0"/>
    <w:rsid w:val="00FB732E"/>
    <w:rsid w:val="00FB736C"/>
    <w:rsid w:val="00FB7393"/>
    <w:rsid w:val="00FB73B3"/>
    <w:rsid w:val="00FB73F6"/>
    <w:rsid w:val="00FB7435"/>
    <w:rsid w:val="00FB74FA"/>
    <w:rsid w:val="00FB7521"/>
    <w:rsid w:val="00FB75C2"/>
    <w:rsid w:val="00FB75CE"/>
    <w:rsid w:val="00FB75DE"/>
    <w:rsid w:val="00FB7633"/>
    <w:rsid w:val="00FB764F"/>
    <w:rsid w:val="00FB7671"/>
    <w:rsid w:val="00FB770A"/>
    <w:rsid w:val="00FB7716"/>
    <w:rsid w:val="00FB771D"/>
    <w:rsid w:val="00FB780D"/>
    <w:rsid w:val="00FB7998"/>
    <w:rsid w:val="00FB79BF"/>
    <w:rsid w:val="00FB7A0F"/>
    <w:rsid w:val="00FB7A67"/>
    <w:rsid w:val="00FB7B35"/>
    <w:rsid w:val="00FB7B94"/>
    <w:rsid w:val="00FB7D2B"/>
    <w:rsid w:val="00FB7D3E"/>
    <w:rsid w:val="00FB7DE3"/>
    <w:rsid w:val="00FB7DF4"/>
    <w:rsid w:val="00FB7E13"/>
    <w:rsid w:val="00FB7E18"/>
    <w:rsid w:val="00FB7E3B"/>
    <w:rsid w:val="00FB7EBB"/>
    <w:rsid w:val="00FB7EEC"/>
    <w:rsid w:val="00FB7F14"/>
    <w:rsid w:val="00FB7F46"/>
    <w:rsid w:val="00FB7F7F"/>
    <w:rsid w:val="00FC0008"/>
    <w:rsid w:val="00FC0064"/>
    <w:rsid w:val="00FC00FB"/>
    <w:rsid w:val="00FC011A"/>
    <w:rsid w:val="00FC0122"/>
    <w:rsid w:val="00FC0269"/>
    <w:rsid w:val="00FC0298"/>
    <w:rsid w:val="00FC02EF"/>
    <w:rsid w:val="00FC0328"/>
    <w:rsid w:val="00FC03E2"/>
    <w:rsid w:val="00FC044B"/>
    <w:rsid w:val="00FC0460"/>
    <w:rsid w:val="00FC0477"/>
    <w:rsid w:val="00FC0482"/>
    <w:rsid w:val="00FC049A"/>
    <w:rsid w:val="00FC04B3"/>
    <w:rsid w:val="00FC0564"/>
    <w:rsid w:val="00FC05DB"/>
    <w:rsid w:val="00FC0603"/>
    <w:rsid w:val="00FC060D"/>
    <w:rsid w:val="00FC0635"/>
    <w:rsid w:val="00FC064E"/>
    <w:rsid w:val="00FC0677"/>
    <w:rsid w:val="00FC074C"/>
    <w:rsid w:val="00FC078F"/>
    <w:rsid w:val="00FC0793"/>
    <w:rsid w:val="00FC07E3"/>
    <w:rsid w:val="00FC081B"/>
    <w:rsid w:val="00FC0929"/>
    <w:rsid w:val="00FC0931"/>
    <w:rsid w:val="00FC0941"/>
    <w:rsid w:val="00FC094B"/>
    <w:rsid w:val="00FC0973"/>
    <w:rsid w:val="00FC09A0"/>
    <w:rsid w:val="00FC0AE2"/>
    <w:rsid w:val="00FC0B99"/>
    <w:rsid w:val="00FC0BC0"/>
    <w:rsid w:val="00FC0C34"/>
    <w:rsid w:val="00FC0C3D"/>
    <w:rsid w:val="00FC0C55"/>
    <w:rsid w:val="00FC0D24"/>
    <w:rsid w:val="00FC0D9C"/>
    <w:rsid w:val="00FC0E21"/>
    <w:rsid w:val="00FC0EC5"/>
    <w:rsid w:val="00FC0F42"/>
    <w:rsid w:val="00FC0F54"/>
    <w:rsid w:val="00FC0F61"/>
    <w:rsid w:val="00FC0FB7"/>
    <w:rsid w:val="00FC10F3"/>
    <w:rsid w:val="00FC114E"/>
    <w:rsid w:val="00FC11C9"/>
    <w:rsid w:val="00FC11DB"/>
    <w:rsid w:val="00FC1215"/>
    <w:rsid w:val="00FC1217"/>
    <w:rsid w:val="00FC1244"/>
    <w:rsid w:val="00FC12D4"/>
    <w:rsid w:val="00FC133B"/>
    <w:rsid w:val="00FC1352"/>
    <w:rsid w:val="00FC1388"/>
    <w:rsid w:val="00FC13EA"/>
    <w:rsid w:val="00FC1461"/>
    <w:rsid w:val="00FC14EB"/>
    <w:rsid w:val="00FC152F"/>
    <w:rsid w:val="00FC1562"/>
    <w:rsid w:val="00FC1627"/>
    <w:rsid w:val="00FC1676"/>
    <w:rsid w:val="00FC16AA"/>
    <w:rsid w:val="00FC1720"/>
    <w:rsid w:val="00FC177A"/>
    <w:rsid w:val="00FC1788"/>
    <w:rsid w:val="00FC17D6"/>
    <w:rsid w:val="00FC17ED"/>
    <w:rsid w:val="00FC1801"/>
    <w:rsid w:val="00FC18A7"/>
    <w:rsid w:val="00FC190B"/>
    <w:rsid w:val="00FC1956"/>
    <w:rsid w:val="00FC1982"/>
    <w:rsid w:val="00FC19FB"/>
    <w:rsid w:val="00FC1A00"/>
    <w:rsid w:val="00FC1A0C"/>
    <w:rsid w:val="00FC1A6D"/>
    <w:rsid w:val="00FC1A9F"/>
    <w:rsid w:val="00FC1B01"/>
    <w:rsid w:val="00FC1C65"/>
    <w:rsid w:val="00FC1CC0"/>
    <w:rsid w:val="00FC1CFA"/>
    <w:rsid w:val="00FC1DA9"/>
    <w:rsid w:val="00FC1FBD"/>
    <w:rsid w:val="00FC2071"/>
    <w:rsid w:val="00FC212E"/>
    <w:rsid w:val="00FC2176"/>
    <w:rsid w:val="00FC21DD"/>
    <w:rsid w:val="00FC21E5"/>
    <w:rsid w:val="00FC2349"/>
    <w:rsid w:val="00FC23B1"/>
    <w:rsid w:val="00FC2483"/>
    <w:rsid w:val="00FC250F"/>
    <w:rsid w:val="00FC2512"/>
    <w:rsid w:val="00FC258D"/>
    <w:rsid w:val="00FC26CD"/>
    <w:rsid w:val="00FC26EB"/>
    <w:rsid w:val="00FC26F0"/>
    <w:rsid w:val="00FC274A"/>
    <w:rsid w:val="00FC27B6"/>
    <w:rsid w:val="00FC27C0"/>
    <w:rsid w:val="00FC27C5"/>
    <w:rsid w:val="00FC286B"/>
    <w:rsid w:val="00FC2892"/>
    <w:rsid w:val="00FC28F0"/>
    <w:rsid w:val="00FC29DA"/>
    <w:rsid w:val="00FC2A79"/>
    <w:rsid w:val="00FC2AC6"/>
    <w:rsid w:val="00FC2B20"/>
    <w:rsid w:val="00FC2C22"/>
    <w:rsid w:val="00FC2C6E"/>
    <w:rsid w:val="00FC2D0C"/>
    <w:rsid w:val="00FC2DD1"/>
    <w:rsid w:val="00FC2DF1"/>
    <w:rsid w:val="00FC2DF2"/>
    <w:rsid w:val="00FC2E77"/>
    <w:rsid w:val="00FC2F19"/>
    <w:rsid w:val="00FC2FAA"/>
    <w:rsid w:val="00FC2FCE"/>
    <w:rsid w:val="00FC32DD"/>
    <w:rsid w:val="00FC32FE"/>
    <w:rsid w:val="00FC33BE"/>
    <w:rsid w:val="00FC347A"/>
    <w:rsid w:val="00FC34D2"/>
    <w:rsid w:val="00FC34E6"/>
    <w:rsid w:val="00FC35B0"/>
    <w:rsid w:val="00FC35D5"/>
    <w:rsid w:val="00FC35FB"/>
    <w:rsid w:val="00FC362D"/>
    <w:rsid w:val="00FC3698"/>
    <w:rsid w:val="00FC36DD"/>
    <w:rsid w:val="00FC37EC"/>
    <w:rsid w:val="00FC382D"/>
    <w:rsid w:val="00FC38DC"/>
    <w:rsid w:val="00FC39A6"/>
    <w:rsid w:val="00FC39F3"/>
    <w:rsid w:val="00FC39F4"/>
    <w:rsid w:val="00FC3A1F"/>
    <w:rsid w:val="00FC3A26"/>
    <w:rsid w:val="00FC3A9A"/>
    <w:rsid w:val="00FC3AA2"/>
    <w:rsid w:val="00FC3AD0"/>
    <w:rsid w:val="00FC3ADF"/>
    <w:rsid w:val="00FC3B81"/>
    <w:rsid w:val="00FC3BE2"/>
    <w:rsid w:val="00FC3CAC"/>
    <w:rsid w:val="00FC3D0A"/>
    <w:rsid w:val="00FC3D10"/>
    <w:rsid w:val="00FC3D2A"/>
    <w:rsid w:val="00FC3D53"/>
    <w:rsid w:val="00FC3DA8"/>
    <w:rsid w:val="00FC3E2A"/>
    <w:rsid w:val="00FC3E44"/>
    <w:rsid w:val="00FC3EFC"/>
    <w:rsid w:val="00FC3F08"/>
    <w:rsid w:val="00FC3F95"/>
    <w:rsid w:val="00FC3F96"/>
    <w:rsid w:val="00FC3FB9"/>
    <w:rsid w:val="00FC3FBF"/>
    <w:rsid w:val="00FC3FCF"/>
    <w:rsid w:val="00FC4017"/>
    <w:rsid w:val="00FC4018"/>
    <w:rsid w:val="00FC404B"/>
    <w:rsid w:val="00FC40CE"/>
    <w:rsid w:val="00FC415E"/>
    <w:rsid w:val="00FC425C"/>
    <w:rsid w:val="00FC434D"/>
    <w:rsid w:val="00FC441C"/>
    <w:rsid w:val="00FC4432"/>
    <w:rsid w:val="00FC4472"/>
    <w:rsid w:val="00FC448D"/>
    <w:rsid w:val="00FC44A0"/>
    <w:rsid w:val="00FC44C1"/>
    <w:rsid w:val="00FC44DC"/>
    <w:rsid w:val="00FC45BF"/>
    <w:rsid w:val="00FC45D9"/>
    <w:rsid w:val="00FC462E"/>
    <w:rsid w:val="00FC466E"/>
    <w:rsid w:val="00FC4699"/>
    <w:rsid w:val="00FC46A7"/>
    <w:rsid w:val="00FC473A"/>
    <w:rsid w:val="00FC4742"/>
    <w:rsid w:val="00FC48B2"/>
    <w:rsid w:val="00FC48BA"/>
    <w:rsid w:val="00FC491D"/>
    <w:rsid w:val="00FC493E"/>
    <w:rsid w:val="00FC4982"/>
    <w:rsid w:val="00FC49A9"/>
    <w:rsid w:val="00FC49E2"/>
    <w:rsid w:val="00FC4AC4"/>
    <w:rsid w:val="00FC4AE3"/>
    <w:rsid w:val="00FC4AE8"/>
    <w:rsid w:val="00FC4B19"/>
    <w:rsid w:val="00FC4C34"/>
    <w:rsid w:val="00FC4DF4"/>
    <w:rsid w:val="00FC4EAE"/>
    <w:rsid w:val="00FC4F4C"/>
    <w:rsid w:val="00FC4F8B"/>
    <w:rsid w:val="00FC4F91"/>
    <w:rsid w:val="00FC4FCE"/>
    <w:rsid w:val="00FC5015"/>
    <w:rsid w:val="00FC508E"/>
    <w:rsid w:val="00FC50D0"/>
    <w:rsid w:val="00FC5128"/>
    <w:rsid w:val="00FC512E"/>
    <w:rsid w:val="00FC5218"/>
    <w:rsid w:val="00FC5221"/>
    <w:rsid w:val="00FC52A3"/>
    <w:rsid w:val="00FC52B3"/>
    <w:rsid w:val="00FC52CB"/>
    <w:rsid w:val="00FC52EB"/>
    <w:rsid w:val="00FC530A"/>
    <w:rsid w:val="00FC5389"/>
    <w:rsid w:val="00FC53BB"/>
    <w:rsid w:val="00FC5406"/>
    <w:rsid w:val="00FC5426"/>
    <w:rsid w:val="00FC5460"/>
    <w:rsid w:val="00FC5467"/>
    <w:rsid w:val="00FC5502"/>
    <w:rsid w:val="00FC554A"/>
    <w:rsid w:val="00FC55A8"/>
    <w:rsid w:val="00FC55CC"/>
    <w:rsid w:val="00FC565E"/>
    <w:rsid w:val="00FC569B"/>
    <w:rsid w:val="00FC56B5"/>
    <w:rsid w:val="00FC5776"/>
    <w:rsid w:val="00FC584F"/>
    <w:rsid w:val="00FC5860"/>
    <w:rsid w:val="00FC5964"/>
    <w:rsid w:val="00FC5985"/>
    <w:rsid w:val="00FC59B4"/>
    <w:rsid w:val="00FC5AEB"/>
    <w:rsid w:val="00FC5B75"/>
    <w:rsid w:val="00FC5BAB"/>
    <w:rsid w:val="00FC5C87"/>
    <w:rsid w:val="00FC5CAA"/>
    <w:rsid w:val="00FC5CC1"/>
    <w:rsid w:val="00FC5CF4"/>
    <w:rsid w:val="00FC5DA6"/>
    <w:rsid w:val="00FC5DB5"/>
    <w:rsid w:val="00FC5DEB"/>
    <w:rsid w:val="00FC5E01"/>
    <w:rsid w:val="00FC5E47"/>
    <w:rsid w:val="00FC5E84"/>
    <w:rsid w:val="00FC5E9C"/>
    <w:rsid w:val="00FC5F54"/>
    <w:rsid w:val="00FC609A"/>
    <w:rsid w:val="00FC60ED"/>
    <w:rsid w:val="00FC60FE"/>
    <w:rsid w:val="00FC6155"/>
    <w:rsid w:val="00FC6184"/>
    <w:rsid w:val="00FC61E1"/>
    <w:rsid w:val="00FC632F"/>
    <w:rsid w:val="00FC6336"/>
    <w:rsid w:val="00FC641C"/>
    <w:rsid w:val="00FC64A5"/>
    <w:rsid w:val="00FC6573"/>
    <w:rsid w:val="00FC659B"/>
    <w:rsid w:val="00FC660A"/>
    <w:rsid w:val="00FC66E1"/>
    <w:rsid w:val="00FC66FD"/>
    <w:rsid w:val="00FC6708"/>
    <w:rsid w:val="00FC671D"/>
    <w:rsid w:val="00FC6751"/>
    <w:rsid w:val="00FC6850"/>
    <w:rsid w:val="00FC69B0"/>
    <w:rsid w:val="00FC6A74"/>
    <w:rsid w:val="00FC6AD3"/>
    <w:rsid w:val="00FC6AE3"/>
    <w:rsid w:val="00FC6C11"/>
    <w:rsid w:val="00FC6CAB"/>
    <w:rsid w:val="00FC6CCB"/>
    <w:rsid w:val="00FC6D5E"/>
    <w:rsid w:val="00FC6E9D"/>
    <w:rsid w:val="00FC6F35"/>
    <w:rsid w:val="00FC70DC"/>
    <w:rsid w:val="00FC7106"/>
    <w:rsid w:val="00FC71CA"/>
    <w:rsid w:val="00FC720C"/>
    <w:rsid w:val="00FC7244"/>
    <w:rsid w:val="00FC7299"/>
    <w:rsid w:val="00FC736D"/>
    <w:rsid w:val="00FC7382"/>
    <w:rsid w:val="00FC74B9"/>
    <w:rsid w:val="00FC7527"/>
    <w:rsid w:val="00FC765B"/>
    <w:rsid w:val="00FC76F1"/>
    <w:rsid w:val="00FC7771"/>
    <w:rsid w:val="00FC7775"/>
    <w:rsid w:val="00FC777A"/>
    <w:rsid w:val="00FC77DA"/>
    <w:rsid w:val="00FC77F6"/>
    <w:rsid w:val="00FC78BB"/>
    <w:rsid w:val="00FC78C1"/>
    <w:rsid w:val="00FC78EE"/>
    <w:rsid w:val="00FC7920"/>
    <w:rsid w:val="00FC79A3"/>
    <w:rsid w:val="00FC7A24"/>
    <w:rsid w:val="00FC7A55"/>
    <w:rsid w:val="00FC7BDD"/>
    <w:rsid w:val="00FC7BE0"/>
    <w:rsid w:val="00FC7C04"/>
    <w:rsid w:val="00FC7CD6"/>
    <w:rsid w:val="00FC7D80"/>
    <w:rsid w:val="00FC7F0A"/>
    <w:rsid w:val="00FC7F2D"/>
    <w:rsid w:val="00FC7F80"/>
    <w:rsid w:val="00FCCB11"/>
    <w:rsid w:val="00FD008E"/>
    <w:rsid w:val="00FD0125"/>
    <w:rsid w:val="00FD02FF"/>
    <w:rsid w:val="00FD034D"/>
    <w:rsid w:val="00FD03C3"/>
    <w:rsid w:val="00FD0477"/>
    <w:rsid w:val="00FD049B"/>
    <w:rsid w:val="00FD04B8"/>
    <w:rsid w:val="00FD04F1"/>
    <w:rsid w:val="00FD0582"/>
    <w:rsid w:val="00FD05FF"/>
    <w:rsid w:val="00FD06A5"/>
    <w:rsid w:val="00FD06CF"/>
    <w:rsid w:val="00FD06DC"/>
    <w:rsid w:val="00FD077A"/>
    <w:rsid w:val="00FD0784"/>
    <w:rsid w:val="00FD07DF"/>
    <w:rsid w:val="00FD0806"/>
    <w:rsid w:val="00FD084B"/>
    <w:rsid w:val="00FD08FE"/>
    <w:rsid w:val="00FD0996"/>
    <w:rsid w:val="00FD0A16"/>
    <w:rsid w:val="00FD0A35"/>
    <w:rsid w:val="00FD0AE3"/>
    <w:rsid w:val="00FD0B98"/>
    <w:rsid w:val="00FD0BA0"/>
    <w:rsid w:val="00FD0BB0"/>
    <w:rsid w:val="00FD0C42"/>
    <w:rsid w:val="00FD0CD2"/>
    <w:rsid w:val="00FD0D11"/>
    <w:rsid w:val="00FD0D42"/>
    <w:rsid w:val="00FD0D6F"/>
    <w:rsid w:val="00FD0D7E"/>
    <w:rsid w:val="00FD0E0B"/>
    <w:rsid w:val="00FD0EFD"/>
    <w:rsid w:val="00FD0F2B"/>
    <w:rsid w:val="00FD0F2E"/>
    <w:rsid w:val="00FD0F8A"/>
    <w:rsid w:val="00FD0FA6"/>
    <w:rsid w:val="00FD0FF3"/>
    <w:rsid w:val="00FD108B"/>
    <w:rsid w:val="00FD119D"/>
    <w:rsid w:val="00FD1213"/>
    <w:rsid w:val="00FD121B"/>
    <w:rsid w:val="00FD1235"/>
    <w:rsid w:val="00FD12A2"/>
    <w:rsid w:val="00FD13F2"/>
    <w:rsid w:val="00FD1409"/>
    <w:rsid w:val="00FD142B"/>
    <w:rsid w:val="00FD1457"/>
    <w:rsid w:val="00FD145A"/>
    <w:rsid w:val="00FD14A5"/>
    <w:rsid w:val="00FD15FC"/>
    <w:rsid w:val="00FD162C"/>
    <w:rsid w:val="00FD162E"/>
    <w:rsid w:val="00FD1674"/>
    <w:rsid w:val="00FD16C4"/>
    <w:rsid w:val="00FD172F"/>
    <w:rsid w:val="00FD17BB"/>
    <w:rsid w:val="00FD17E5"/>
    <w:rsid w:val="00FD1817"/>
    <w:rsid w:val="00FD1853"/>
    <w:rsid w:val="00FD18D4"/>
    <w:rsid w:val="00FD18DD"/>
    <w:rsid w:val="00FD192D"/>
    <w:rsid w:val="00FD19F2"/>
    <w:rsid w:val="00FD1A00"/>
    <w:rsid w:val="00FD1A4C"/>
    <w:rsid w:val="00FD1A53"/>
    <w:rsid w:val="00FD1A73"/>
    <w:rsid w:val="00FD1B0E"/>
    <w:rsid w:val="00FD1B2A"/>
    <w:rsid w:val="00FD1C2D"/>
    <w:rsid w:val="00FD1C63"/>
    <w:rsid w:val="00FD1C9C"/>
    <w:rsid w:val="00FD1CEA"/>
    <w:rsid w:val="00FD1D63"/>
    <w:rsid w:val="00FD1DD7"/>
    <w:rsid w:val="00FD1E29"/>
    <w:rsid w:val="00FD1EA6"/>
    <w:rsid w:val="00FD1EB0"/>
    <w:rsid w:val="00FD1F6E"/>
    <w:rsid w:val="00FD2016"/>
    <w:rsid w:val="00FD20F1"/>
    <w:rsid w:val="00FD2114"/>
    <w:rsid w:val="00FD2148"/>
    <w:rsid w:val="00FD217B"/>
    <w:rsid w:val="00FD21D7"/>
    <w:rsid w:val="00FD2266"/>
    <w:rsid w:val="00FD22C7"/>
    <w:rsid w:val="00FD22D7"/>
    <w:rsid w:val="00FD2301"/>
    <w:rsid w:val="00FD2349"/>
    <w:rsid w:val="00FD23DB"/>
    <w:rsid w:val="00FD2442"/>
    <w:rsid w:val="00FD2462"/>
    <w:rsid w:val="00FD24A3"/>
    <w:rsid w:val="00FD2565"/>
    <w:rsid w:val="00FD2584"/>
    <w:rsid w:val="00FD259F"/>
    <w:rsid w:val="00FD2643"/>
    <w:rsid w:val="00FD28A7"/>
    <w:rsid w:val="00FD2914"/>
    <w:rsid w:val="00FD299E"/>
    <w:rsid w:val="00FD29A3"/>
    <w:rsid w:val="00FD2A04"/>
    <w:rsid w:val="00FD2ACF"/>
    <w:rsid w:val="00FD2B49"/>
    <w:rsid w:val="00FD2B75"/>
    <w:rsid w:val="00FD2C0B"/>
    <w:rsid w:val="00FD2C6F"/>
    <w:rsid w:val="00FD2D3A"/>
    <w:rsid w:val="00FD2D86"/>
    <w:rsid w:val="00FD2D8A"/>
    <w:rsid w:val="00FD2E0B"/>
    <w:rsid w:val="00FD2E26"/>
    <w:rsid w:val="00FD2E28"/>
    <w:rsid w:val="00FD2E96"/>
    <w:rsid w:val="00FD2EA3"/>
    <w:rsid w:val="00FD2FEA"/>
    <w:rsid w:val="00FD3092"/>
    <w:rsid w:val="00FD30C4"/>
    <w:rsid w:val="00FD32EB"/>
    <w:rsid w:val="00FD32F7"/>
    <w:rsid w:val="00FD3386"/>
    <w:rsid w:val="00FD33C2"/>
    <w:rsid w:val="00FD3431"/>
    <w:rsid w:val="00FD348B"/>
    <w:rsid w:val="00FD34B6"/>
    <w:rsid w:val="00FD34CC"/>
    <w:rsid w:val="00FD3554"/>
    <w:rsid w:val="00FD35E2"/>
    <w:rsid w:val="00FD35FB"/>
    <w:rsid w:val="00FD3670"/>
    <w:rsid w:val="00FD36A2"/>
    <w:rsid w:val="00FD36B4"/>
    <w:rsid w:val="00FD371B"/>
    <w:rsid w:val="00FD375D"/>
    <w:rsid w:val="00FD3769"/>
    <w:rsid w:val="00FD3774"/>
    <w:rsid w:val="00FD37E8"/>
    <w:rsid w:val="00FD3819"/>
    <w:rsid w:val="00FD381D"/>
    <w:rsid w:val="00FD382C"/>
    <w:rsid w:val="00FD38A4"/>
    <w:rsid w:val="00FD3953"/>
    <w:rsid w:val="00FD3985"/>
    <w:rsid w:val="00FD39D3"/>
    <w:rsid w:val="00FD39DC"/>
    <w:rsid w:val="00FD3A6D"/>
    <w:rsid w:val="00FD3AAC"/>
    <w:rsid w:val="00FD3AC0"/>
    <w:rsid w:val="00FD3ADE"/>
    <w:rsid w:val="00FD3BEF"/>
    <w:rsid w:val="00FD3C85"/>
    <w:rsid w:val="00FD3CA9"/>
    <w:rsid w:val="00FD3CFC"/>
    <w:rsid w:val="00FD3E2B"/>
    <w:rsid w:val="00FD3E75"/>
    <w:rsid w:val="00FD3EA7"/>
    <w:rsid w:val="00FD3EDA"/>
    <w:rsid w:val="00FD3F5B"/>
    <w:rsid w:val="00FD4079"/>
    <w:rsid w:val="00FD4110"/>
    <w:rsid w:val="00FD4184"/>
    <w:rsid w:val="00FD41D5"/>
    <w:rsid w:val="00FD4215"/>
    <w:rsid w:val="00FD423F"/>
    <w:rsid w:val="00FD42E9"/>
    <w:rsid w:val="00FD42EF"/>
    <w:rsid w:val="00FD42F6"/>
    <w:rsid w:val="00FD42FE"/>
    <w:rsid w:val="00FD4346"/>
    <w:rsid w:val="00FD4397"/>
    <w:rsid w:val="00FD43DB"/>
    <w:rsid w:val="00FD4436"/>
    <w:rsid w:val="00FD4459"/>
    <w:rsid w:val="00FD4478"/>
    <w:rsid w:val="00FD4490"/>
    <w:rsid w:val="00FD44A9"/>
    <w:rsid w:val="00FD44DB"/>
    <w:rsid w:val="00FD4638"/>
    <w:rsid w:val="00FD4699"/>
    <w:rsid w:val="00FD46DD"/>
    <w:rsid w:val="00FD471B"/>
    <w:rsid w:val="00FD4754"/>
    <w:rsid w:val="00FD4763"/>
    <w:rsid w:val="00FD4843"/>
    <w:rsid w:val="00FD48AF"/>
    <w:rsid w:val="00FD48E5"/>
    <w:rsid w:val="00FD48F3"/>
    <w:rsid w:val="00FD4A1E"/>
    <w:rsid w:val="00FD4A77"/>
    <w:rsid w:val="00FD4A8E"/>
    <w:rsid w:val="00FD4AA4"/>
    <w:rsid w:val="00FD4B18"/>
    <w:rsid w:val="00FD4C14"/>
    <w:rsid w:val="00FD4C17"/>
    <w:rsid w:val="00FD4C36"/>
    <w:rsid w:val="00FD4C90"/>
    <w:rsid w:val="00FD4D07"/>
    <w:rsid w:val="00FD4D0D"/>
    <w:rsid w:val="00FD4DA5"/>
    <w:rsid w:val="00FD4E9D"/>
    <w:rsid w:val="00FD4ECC"/>
    <w:rsid w:val="00FD4ED2"/>
    <w:rsid w:val="00FD4EF6"/>
    <w:rsid w:val="00FD4F26"/>
    <w:rsid w:val="00FD4F4D"/>
    <w:rsid w:val="00FD4FBD"/>
    <w:rsid w:val="00FD5079"/>
    <w:rsid w:val="00FD5105"/>
    <w:rsid w:val="00FD514F"/>
    <w:rsid w:val="00FD51B9"/>
    <w:rsid w:val="00FD51C6"/>
    <w:rsid w:val="00FD5248"/>
    <w:rsid w:val="00FD52AF"/>
    <w:rsid w:val="00FD5329"/>
    <w:rsid w:val="00FD53C9"/>
    <w:rsid w:val="00FD53FC"/>
    <w:rsid w:val="00FD5422"/>
    <w:rsid w:val="00FD547E"/>
    <w:rsid w:val="00FD54A5"/>
    <w:rsid w:val="00FD54F5"/>
    <w:rsid w:val="00FD5506"/>
    <w:rsid w:val="00FD553D"/>
    <w:rsid w:val="00FD55F6"/>
    <w:rsid w:val="00FD55FB"/>
    <w:rsid w:val="00FD561E"/>
    <w:rsid w:val="00FD56A3"/>
    <w:rsid w:val="00FD56B3"/>
    <w:rsid w:val="00FD56D8"/>
    <w:rsid w:val="00FD573A"/>
    <w:rsid w:val="00FD57C9"/>
    <w:rsid w:val="00FD57DE"/>
    <w:rsid w:val="00FD5832"/>
    <w:rsid w:val="00FD5864"/>
    <w:rsid w:val="00FD58A5"/>
    <w:rsid w:val="00FD591A"/>
    <w:rsid w:val="00FD59C0"/>
    <w:rsid w:val="00FD5A46"/>
    <w:rsid w:val="00FD5AAB"/>
    <w:rsid w:val="00FD5BC3"/>
    <w:rsid w:val="00FD5C56"/>
    <w:rsid w:val="00FD5C66"/>
    <w:rsid w:val="00FD5C91"/>
    <w:rsid w:val="00FD5DBD"/>
    <w:rsid w:val="00FD5DC2"/>
    <w:rsid w:val="00FD5E0D"/>
    <w:rsid w:val="00FD5EAA"/>
    <w:rsid w:val="00FD5F3E"/>
    <w:rsid w:val="00FD5F98"/>
    <w:rsid w:val="00FD6090"/>
    <w:rsid w:val="00FD609F"/>
    <w:rsid w:val="00FD60E6"/>
    <w:rsid w:val="00FD60F6"/>
    <w:rsid w:val="00FD612D"/>
    <w:rsid w:val="00FD6174"/>
    <w:rsid w:val="00FD6250"/>
    <w:rsid w:val="00FD62C8"/>
    <w:rsid w:val="00FD62ED"/>
    <w:rsid w:val="00FD6313"/>
    <w:rsid w:val="00FD6352"/>
    <w:rsid w:val="00FD63DD"/>
    <w:rsid w:val="00FD641C"/>
    <w:rsid w:val="00FD6431"/>
    <w:rsid w:val="00FD6514"/>
    <w:rsid w:val="00FD6574"/>
    <w:rsid w:val="00FD65E1"/>
    <w:rsid w:val="00FD6638"/>
    <w:rsid w:val="00FD667D"/>
    <w:rsid w:val="00FD6693"/>
    <w:rsid w:val="00FD66AC"/>
    <w:rsid w:val="00FD66CD"/>
    <w:rsid w:val="00FD66F9"/>
    <w:rsid w:val="00FD6747"/>
    <w:rsid w:val="00FD679D"/>
    <w:rsid w:val="00FD67A2"/>
    <w:rsid w:val="00FD67D5"/>
    <w:rsid w:val="00FD682B"/>
    <w:rsid w:val="00FD682E"/>
    <w:rsid w:val="00FD687C"/>
    <w:rsid w:val="00FD688E"/>
    <w:rsid w:val="00FD68A6"/>
    <w:rsid w:val="00FD68E7"/>
    <w:rsid w:val="00FD68ED"/>
    <w:rsid w:val="00FD6933"/>
    <w:rsid w:val="00FD693F"/>
    <w:rsid w:val="00FD69AE"/>
    <w:rsid w:val="00FD6A00"/>
    <w:rsid w:val="00FD6A13"/>
    <w:rsid w:val="00FD6A18"/>
    <w:rsid w:val="00FD6A6B"/>
    <w:rsid w:val="00FD6A98"/>
    <w:rsid w:val="00FD6B57"/>
    <w:rsid w:val="00FD6B7A"/>
    <w:rsid w:val="00FD6BF4"/>
    <w:rsid w:val="00FD6C61"/>
    <w:rsid w:val="00FD6C6A"/>
    <w:rsid w:val="00FD6CA0"/>
    <w:rsid w:val="00FD6CF4"/>
    <w:rsid w:val="00FD6D37"/>
    <w:rsid w:val="00FD6D60"/>
    <w:rsid w:val="00FD6E99"/>
    <w:rsid w:val="00FD6EEA"/>
    <w:rsid w:val="00FD6F25"/>
    <w:rsid w:val="00FD7116"/>
    <w:rsid w:val="00FD7118"/>
    <w:rsid w:val="00FD7147"/>
    <w:rsid w:val="00FD7162"/>
    <w:rsid w:val="00FD719C"/>
    <w:rsid w:val="00FD71A2"/>
    <w:rsid w:val="00FD723B"/>
    <w:rsid w:val="00FD7289"/>
    <w:rsid w:val="00FD7293"/>
    <w:rsid w:val="00FD72E5"/>
    <w:rsid w:val="00FD7326"/>
    <w:rsid w:val="00FD73AF"/>
    <w:rsid w:val="00FD73D4"/>
    <w:rsid w:val="00FD73D6"/>
    <w:rsid w:val="00FD7420"/>
    <w:rsid w:val="00FD7429"/>
    <w:rsid w:val="00FD7439"/>
    <w:rsid w:val="00FD7469"/>
    <w:rsid w:val="00FD7470"/>
    <w:rsid w:val="00FD7473"/>
    <w:rsid w:val="00FD751E"/>
    <w:rsid w:val="00FD7559"/>
    <w:rsid w:val="00FD765B"/>
    <w:rsid w:val="00FD76C0"/>
    <w:rsid w:val="00FD76D1"/>
    <w:rsid w:val="00FD76D8"/>
    <w:rsid w:val="00FD76EE"/>
    <w:rsid w:val="00FD7755"/>
    <w:rsid w:val="00FD7791"/>
    <w:rsid w:val="00FD7813"/>
    <w:rsid w:val="00FD7838"/>
    <w:rsid w:val="00FD7957"/>
    <w:rsid w:val="00FD7958"/>
    <w:rsid w:val="00FD7A65"/>
    <w:rsid w:val="00FD7B9B"/>
    <w:rsid w:val="00FD7BDC"/>
    <w:rsid w:val="00FD7C5E"/>
    <w:rsid w:val="00FD7C8A"/>
    <w:rsid w:val="00FD7CAE"/>
    <w:rsid w:val="00FD7CCD"/>
    <w:rsid w:val="00FD7CE9"/>
    <w:rsid w:val="00FD7D7A"/>
    <w:rsid w:val="00FD7DA9"/>
    <w:rsid w:val="00FD7E18"/>
    <w:rsid w:val="00FD7E53"/>
    <w:rsid w:val="00FD7F50"/>
    <w:rsid w:val="00FE00E4"/>
    <w:rsid w:val="00FE0103"/>
    <w:rsid w:val="00FE01FF"/>
    <w:rsid w:val="00FE024F"/>
    <w:rsid w:val="00FE02A5"/>
    <w:rsid w:val="00FE02BB"/>
    <w:rsid w:val="00FE0344"/>
    <w:rsid w:val="00FE03A7"/>
    <w:rsid w:val="00FE041A"/>
    <w:rsid w:val="00FE049F"/>
    <w:rsid w:val="00FE0542"/>
    <w:rsid w:val="00FE0544"/>
    <w:rsid w:val="00FE0638"/>
    <w:rsid w:val="00FE0649"/>
    <w:rsid w:val="00FE0651"/>
    <w:rsid w:val="00FE065B"/>
    <w:rsid w:val="00FE066A"/>
    <w:rsid w:val="00FE0705"/>
    <w:rsid w:val="00FE0734"/>
    <w:rsid w:val="00FE073E"/>
    <w:rsid w:val="00FE07A5"/>
    <w:rsid w:val="00FE07BE"/>
    <w:rsid w:val="00FE07E3"/>
    <w:rsid w:val="00FE0806"/>
    <w:rsid w:val="00FE081F"/>
    <w:rsid w:val="00FE082B"/>
    <w:rsid w:val="00FE0939"/>
    <w:rsid w:val="00FE096C"/>
    <w:rsid w:val="00FE0A1D"/>
    <w:rsid w:val="00FE0AC6"/>
    <w:rsid w:val="00FE0B70"/>
    <w:rsid w:val="00FE0BE7"/>
    <w:rsid w:val="00FE0C22"/>
    <w:rsid w:val="00FE0DAE"/>
    <w:rsid w:val="00FE0E72"/>
    <w:rsid w:val="00FE0E8C"/>
    <w:rsid w:val="00FE0EE2"/>
    <w:rsid w:val="00FE0EFA"/>
    <w:rsid w:val="00FE0F70"/>
    <w:rsid w:val="00FE100B"/>
    <w:rsid w:val="00FE101B"/>
    <w:rsid w:val="00FE104F"/>
    <w:rsid w:val="00FE10AC"/>
    <w:rsid w:val="00FE11FE"/>
    <w:rsid w:val="00FE1225"/>
    <w:rsid w:val="00FE1281"/>
    <w:rsid w:val="00FE1284"/>
    <w:rsid w:val="00FE12AB"/>
    <w:rsid w:val="00FE14DF"/>
    <w:rsid w:val="00FE1529"/>
    <w:rsid w:val="00FE155E"/>
    <w:rsid w:val="00FE1625"/>
    <w:rsid w:val="00FE1632"/>
    <w:rsid w:val="00FE168F"/>
    <w:rsid w:val="00FE16CE"/>
    <w:rsid w:val="00FE177B"/>
    <w:rsid w:val="00FE17CF"/>
    <w:rsid w:val="00FE1826"/>
    <w:rsid w:val="00FE182C"/>
    <w:rsid w:val="00FE1885"/>
    <w:rsid w:val="00FE18A8"/>
    <w:rsid w:val="00FE18D5"/>
    <w:rsid w:val="00FE194E"/>
    <w:rsid w:val="00FE19BD"/>
    <w:rsid w:val="00FE1BB1"/>
    <w:rsid w:val="00FE1C7E"/>
    <w:rsid w:val="00FE1CDD"/>
    <w:rsid w:val="00FE1CE9"/>
    <w:rsid w:val="00FE1D23"/>
    <w:rsid w:val="00FE1F8E"/>
    <w:rsid w:val="00FE2044"/>
    <w:rsid w:val="00FE210A"/>
    <w:rsid w:val="00FE2121"/>
    <w:rsid w:val="00FE212E"/>
    <w:rsid w:val="00FE214B"/>
    <w:rsid w:val="00FE2184"/>
    <w:rsid w:val="00FE21D0"/>
    <w:rsid w:val="00FE2205"/>
    <w:rsid w:val="00FE2245"/>
    <w:rsid w:val="00FE22DE"/>
    <w:rsid w:val="00FE2367"/>
    <w:rsid w:val="00FE2395"/>
    <w:rsid w:val="00FE2452"/>
    <w:rsid w:val="00FE24BD"/>
    <w:rsid w:val="00FE256A"/>
    <w:rsid w:val="00FE2597"/>
    <w:rsid w:val="00FE25F9"/>
    <w:rsid w:val="00FE2610"/>
    <w:rsid w:val="00FE2652"/>
    <w:rsid w:val="00FE265E"/>
    <w:rsid w:val="00FE2697"/>
    <w:rsid w:val="00FE26DB"/>
    <w:rsid w:val="00FE2760"/>
    <w:rsid w:val="00FE27AA"/>
    <w:rsid w:val="00FE27B4"/>
    <w:rsid w:val="00FE287D"/>
    <w:rsid w:val="00FE28C3"/>
    <w:rsid w:val="00FE294E"/>
    <w:rsid w:val="00FE2974"/>
    <w:rsid w:val="00FE29C2"/>
    <w:rsid w:val="00FE2A1D"/>
    <w:rsid w:val="00FE2A21"/>
    <w:rsid w:val="00FE2A2F"/>
    <w:rsid w:val="00FE2A5E"/>
    <w:rsid w:val="00FE2AB9"/>
    <w:rsid w:val="00FE2AD4"/>
    <w:rsid w:val="00FE2CB7"/>
    <w:rsid w:val="00FE2D3E"/>
    <w:rsid w:val="00FE2D85"/>
    <w:rsid w:val="00FE2DA3"/>
    <w:rsid w:val="00FE2E06"/>
    <w:rsid w:val="00FE2E1D"/>
    <w:rsid w:val="00FE2EAD"/>
    <w:rsid w:val="00FE2EFB"/>
    <w:rsid w:val="00FE300E"/>
    <w:rsid w:val="00FE3024"/>
    <w:rsid w:val="00FE3043"/>
    <w:rsid w:val="00FE304E"/>
    <w:rsid w:val="00FE309F"/>
    <w:rsid w:val="00FE3148"/>
    <w:rsid w:val="00FE3182"/>
    <w:rsid w:val="00FE3222"/>
    <w:rsid w:val="00FE327E"/>
    <w:rsid w:val="00FE3292"/>
    <w:rsid w:val="00FE32DE"/>
    <w:rsid w:val="00FE32E8"/>
    <w:rsid w:val="00FE3341"/>
    <w:rsid w:val="00FE3368"/>
    <w:rsid w:val="00FE33DC"/>
    <w:rsid w:val="00FE34E2"/>
    <w:rsid w:val="00FE34ED"/>
    <w:rsid w:val="00FE34FC"/>
    <w:rsid w:val="00FE35B1"/>
    <w:rsid w:val="00FE3625"/>
    <w:rsid w:val="00FE36C5"/>
    <w:rsid w:val="00FE37F5"/>
    <w:rsid w:val="00FE389D"/>
    <w:rsid w:val="00FE38C6"/>
    <w:rsid w:val="00FE3983"/>
    <w:rsid w:val="00FE3B2D"/>
    <w:rsid w:val="00FE3BE7"/>
    <w:rsid w:val="00FE3C10"/>
    <w:rsid w:val="00FE3C5C"/>
    <w:rsid w:val="00FE3C69"/>
    <w:rsid w:val="00FE3C81"/>
    <w:rsid w:val="00FE3CA4"/>
    <w:rsid w:val="00FE3CC6"/>
    <w:rsid w:val="00FE3D27"/>
    <w:rsid w:val="00FE3D5C"/>
    <w:rsid w:val="00FE3D5E"/>
    <w:rsid w:val="00FE3DA2"/>
    <w:rsid w:val="00FE3DAB"/>
    <w:rsid w:val="00FE3E68"/>
    <w:rsid w:val="00FE3E90"/>
    <w:rsid w:val="00FE3EE3"/>
    <w:rsid w:val="00FE3F16"/>
    <w:rsid w:val="00FE3FB5"/>
    <w:rsid w:val="00FE3FC6"/>
    <w:rsid w:val="00FE400E"/>
    <w:rsid w:val="00FE405E"/>
    <w:rsid w:val="00FE4063"/>
    <w:rsid w:val="00FE40AA"/>
    <w:rsid w:val="00FE40B0"/>
    <w:rsid w:val="00FE4128"/>
    <w:rsid w:val="00FE4146"/>
    <w:rsid w:val="00FE4154"/>
    <w:rsid w:val="00FE419A"/>
    <w:rsid w:val="00FE4207"/>
    <w:rsid w:val="00FE420E"/>
    <w:rsid w:val="00FE426E"/>
    <w:rsid w:val="00FE42AC"/>
    <w:rsid w:val="00FE42ED"/>
    <w:rsid w:val="00FE440D"/>
    <w:rsid w:val="00FE44A9"/>
    <w:rsid w:val="00FE4510"/>
    <w:rsid w:val="00FE45FE"/>
    <w:rsid w:val="00FE4674"/>
    <w:rsid w:val="00FE46A2"/>
    <w:rsid w:val="00FE46AA"/>
    <w:rsid w:val="00FE46BF"/>
    <w:rsid w:val="00FE46D8"/>
    <w:rsid w:val="00FE46DF"/>
    <w:rsid w:val="00FE46E9"/>
    <w:rsid w:val="00FE4724"/>
    <w:rsid w:val="00FE4780"/>
    <w:rsid w:val="00FE478A"/>
    <w:rsid w:val="00FE47AF"/>
    <w:rsid w:val="00FE47B1"/>
    <w:rsid w:val="00FE47BB"/>
    <w:rsid w:val="00FE47C8"/>
    <w:rsid w:val="00FE4883"/>
    <w:rsid w:val="00FE4884"/>
    <w:rsid w:val="00FE48BB"/>
    <w:rsid w:val="00FE4938"/>
    <w:rsid w:val="00FE4A19"/>
    <w:rsid w:val="00FE4A61"/>
    <w:rsid w:val="00FE4AF2"/>
    <w:rsid w:val="00FE4B96"/>
    <w:rsid w:val="00FE4C39"/>
    <w:rsid w:val="00FE4CB0"/>
    <w:rsid w:val="00FE4CC3"/>
    <w:rsid w:val="00FE4D1E"/>
    <w:rsid w:val="00FE4D82"/>
    <w:rsid w:val="00FE4DDE"/>
    <w:rsid w:val="00FE4E3B"/>
    <w:rsid w:val="00FE4E9D"/>
    <w:rsid w:val="00FE4EA3"/>
    <w:rsid w:val="00FE4F56"/>
    <w:rsid w:val="00FE4F76"/>
    <w:rsid w:val="00FE5015"/>
    <w:rsid w:val="00FE5069"/>
    <w:rsid w:val="00FE50BD"/>
    <w:rsid w:val="00FE50CF"/>
    <w:rsid w:val="00FE516D"/>
    <w:rsid w:val="00FE51A3"/>
    <w:rsid w:val="00FE51CF"/>
    <w:rsid w:val="00FE51F3"/>
    <w:rsid w:val="00FE51FE"/>
    <w:rsid w:val="00FE5321"/>
    <w:rsid w:val="00FE53EE"/>
    <w:rsid w:val="00FE540F"/>
    <w:rsid w:val="00FE551A"/>
    <w:rsid w:val="00FE5542"/>
    <w:rsid w:val="00FE5597"/>
    <w:rsid w:val="00FE55E4"/>
    <w:rsid w:val="00FE55E9"/>
    <w:rsid w:val="00FE56F5"/>
    <w:rsid w:val="00FE5760"/>
    <w:rsid w:val="00FE5853"/>
    <w:rsid w:val="00FE5874"/>
    <w:rsid w:val="00FE58A2"/>
    <w:rsid w:val="00FE58CE"/>
    <w:rsid w:val="00FE593D"/>
    <w:rsid w:val="00FE594F"/>
    <w:rsid w:val="00FE595F"/>
    <w:rsid w:val="00FE5965"/>
    <w:rsid w:val="00FE59E9"/>
    <w:rsid w:val="00FE59ED"/>
    <w:rsid w:val="00FE5A0C"/>
    <w:rsid w:val="00FE5A58"/>
    <w:rsid w:val="00FE5AEC"/>
    <w:rsid w:val="00FE5B95"/>
    <w:rsid w:val="00FE5C9E"/>
    <w:rsid w:val="00FE5CAD"/>
    <w:rsid w:val="00FE5CFD"/>
    <w:rsid w:val="00FE5D41"/>
    <w:rsid w:val="00FE5D48"/>
    <w:rsid w:val="00FE5DB8"/>
    <w:rsid w:val="00FE5DE3"/>
    <w:rsid w:val="00FE5F20"/>
    <w:rsid w:val="00FE5F27"/>
    <w:rsid w:val="00FE5F63"/>
    <w:rsid w:val="00FE5FB8"/>
    <w:rsid w:val="00FE6001"/>
    <w:rsid w:val="00FE6037"/>
    <w:rsid w:val="00FE6071"/>
    <w:rsid w:val="00FE60A3"/>
    <w:rsid w:val="00FE60AD"/>
    <w:rsid w:val="00FE60D2"/>
    <w:rsid w:val="00FE6121"/>
    <w:rsid w:val="00FE61E9"/>
    <w:rsid w:val="00FE6298"/>
    <w:rsid w:val="00FE645F"/>
    <w:rsid w:val="00FE6483"/>
    <w:rsid w:val="00FE64D3"/>
    <w:rsid w:val="00FE660B"/>
    <w:rsid w:val="00FE6687"/>
    <w:rsid w:val="00FE66A3"/>
    <w:rsid w:val="00FE671C"/>
    <w:rsid w:val="00FE67A1"/>
    <w:rsid w:val="00FE67CB"/>
    <w:rsid w:val="00FE6837"/>
    <w:rsid w:val="00FE68E6"/>
    <w:rsid w:val="00FE6902"/>
    <w:rsid w:val="00FE6959"/>
    <w:rsid w:val="00FE6981"/>
    <w:rsid w:val="00FE69A8"/>
    <w:rsid w:val="00FE6A8E"/>
    <w:rsid w:val="00FE6B26"/>
    <w:rsid w:val="00FE6BE3"/>
    <w:rsid w:val="00FE6C10"/>
    <w:rsid w:val="00FE6C62"/>
    <w:rsid w:val="00FE6C93"/>
    <w:rsid w:val="00FE6CDB"/>
    <w:rsid w:val="00FE6CFD"/>
    <w:rsid w:val="00FE6D58"/>
    <w:rsid w:val="00FE6D5E"/>
    <w:rsid w:val="00FE6D61"/>
    <w:rsid w:val="00FE6DB1"/>
    <w:rsid w:val="00FE6DE9"/>
    <w:rsid w:val="00FE6E69"/>
    <w:rsid w:val="00FE6E88"/>
    <w:rsid w:val="00FE6EEC"/>
    <w:rsid w:val="00FE6F45"/>
    <w:rsid w:val="00FE6FC1"/>
    <w:rsid w:val="00FE7013"/>
    <w:rsid w:val="00FE7021"/>
    <w:rsid w:val="00FE7045"/>
    <w:rsid w:val="00FE706F"/>
    <w:rsid w:val="00FE7184"/>
    <w:rsid w:val="00FE724C"/>
    <w:rsid w:val="00FE7457"/>
    <w:rsid w:val="00FE74B1"/>
    <w:rsid w:val="00FE7510"/>
    <w:rsid w:val="00FE753A"/>
    <w:rsid w:val="00FE7547"/>
    <w:rsid w:val="00FE7569"/>
    <w:rsid w:val="00FE75E3"/>
    <w:rsid w:val="00FE77EC"/>
    <w:rsid w:val="00FE781F"/>
    <w:rsid w:val="00FE78BA"/>
    <w:rsid w:val="00FE7967"/>
    <w:rsid w:val="00FE7A33"/>
    <w:rsid w:val="00FE7A4F"/>
    <w:rsid w:val="00FE7A70"/>
    <w:rsid w:val="00FE7AB8"/>
    <w:rsid w:val="00FE7AD7"/>
    <w:rsid w:val="00FE7AEC"/>
    <w:rsid w:val="00FE7B33"/>
    <w:rsid w:val="00FE7B6B"/>
    <w:rsid w:val="00FE7B79"/>
    <w:rsid w:val="00FE7BBB"/>
    <w:rsid w:val="00FE7BEA"/>
    <w:rsid w:val="00FE7C7F"/>
    <w:rsid w:val="00FE7DE7"/>
    <w:rsid w:val="00FE7DEF"/>
    <w:rsid w:val="00FE7DF2"/>
    <w:rsid w:val="00FE7E15"/>
    <w:rsid w:val="00FE7E74"/>
    <w:rsid w:val="00FE7E8B"/>
    <w:rsid w:val="00FE7EDE"/>
    <w:rsid w:val="00FE7EF5"/>
    <w:rsid w:val="00FE7F27"/>
    <w:rsid w:val="00FE7FE2"/>
    <w:rsid w:val="00FF0071"/>
    <w:rsid w:val="00FF0072"/>
    <w:rsid w:val="00FF007D"/>
    <w:rsid w:val="00FF00F4"/>
    <w:rsid w:val="00FF00F9"/>
    <w:rsid w:val="00FF014B"/>
    <w:rsid w:val="00FF017B"/>
    <w:rsid w:val="00FF0272"/>
    <w:rsid w:val="00FF02B7"/>
    <w:rsid w:val="00FF02DD"/>
    <w:rsid w:val="00FF02E5"/>
    <w:rsid w:val="00FF030B"/>
    <w:rsid w:val="00FF03A0"/>
    <w:rsid w:val="00FF04B1"/>
    <w:rsid w:val="00FF05BA"/>
    <w:rsid w:val="00FF0688"/>
    <w:rsid w:val="00FF070C"/>
    <w:rsid w:val="00FF0728"/>
    <w:rsid w:val="00FF0735"/>
    <w:rsid w:val="00FF074F"/>
    <w:rsid w:val="00FF0774"/>
    <w:rsid w:val="00FF0835"/>
    <w:rsid w:val="00FF0860"/>
    <w:rsid w:val="00FF0874"/>
    <w:rsid w:val="00FF0927"/>
    <w:rsid w:val="00FF0943"/>
    <w:rsid w:val="00FF0B0F"/>
    <w:rsid w:val="00FF0B41"/>
    <w:rsid w:val="00FF0BA5"/>
    <w:rsid w:val="00FF0BF0"/>
    <w:rsid w:val="00FF0C4D"/>
    <w:rsid w:val="00FF0C57"/>
    <w:rsid w:val="00FF0C95"/>
    <w:rsid w:val="00FF0DAB"/>
    <w:rsid w:val="00FF0DE2"/>
    <w:rsid w:val="00FF0DE3"/>
    <w:rsid w:val="00FF0EEA"/>
    <w:rsid w:val="00FF0EF7"/>
    <w:rsid w:val="00FF0F26"/>
    <w:rsid w:val="00FF0F6E"/>
    <w:rsid w:val="00FF0FB5"/>
    <w:rsid w:val="00FF101B"/>
    <w:rsid w:val="00FF10B1"/>
    <w:rsid w:val="00FF1130"/>
    <w:rsid w:val="00FF11F8"/>
    <w:rsid w:val="00FF1229"/>
    <w:rsid w:val="00FF122D"/>
    <w:rsid w:val="00FF1238"/>
    <w:rsid w:val="00FF1329"/>
    <w:rsid w:val="00FF135E"/>
    <w:rsid w:val="00FF13CB"/>
    <w:rsid w:val="00FF13D1"/>
    <w:rsid w:val="00FF13FE"/>
    <w:rsid w:val="00FF1404"/>
    <w:rsid w:val="00FF143F"/>
    <w:rsid w:val="00FF14BD"/>
    <w:rsid w:val="00FF14C1"/>
    <w:rsid w:val="00FF14C9"/>
    <w:rsid w:val="00FF14CB"/>
    <w:rsid w:val="00FF14F1"/>
    <w:rsid w:val="00FF1544"/>
    <w:rsid w:val="00FF1592"/>
    <w:rsid w:val="00FF15D6"/>
    <w:rsid w:val="00FF15EC"/>
    <w:rsid w:val="00FF1658"/>
    <w:rsid w:val="00FF16E9"/>
    <w:rsid w:val="00FF1769"/>
    <w:rsid w:val="00FF17C7"/>
    <w:rsid w:val="00FF184E"/>
    <w:rsid w:val="00FF18A6"/>
    <w:rsid w:val="00FF1940"/>
    <w:rsid w:val="00FF19BB"/>
    <w:rsid w:val="00FF1A00"/>
    <w:rsid w:val="00FF1A01"/>
    <w:rsid w:val="00FF1A14"/>
    <w:rsid w:val="00FF1A19"/>
    <w:rsid w:val="00FF1AD6"/>
    <w:rsid w:val="00FF1B0E"/>
    <w:rsid w:val="00FF1B13"/>
    <w:rsid w:val="00FF1B6F"/>
    <w:rsid w:val="00FF1BAF"/>
    <w:rsid w:val="00FF1BFE"/>
    <w:rsid w:val="00FF1CCF"/>
    <w:rsid w:val="00FF1CF3"/>
    <w:rsid w:val="00FF1DA6"/>
    <w:rsid w:val="00FF1DED"/>
    <w:rsid w:val="00FF1DF2"/>
    <w:rsid w:val="00FF1E28"/>
    <w:rsid w:val="00FF1EC3"/>
    <w:rsid w:val="00FF1F05"/>
    <w:rsid w:val="00FF1FCE"/>
    <w:rsid w:val="00FF201B"/>
    <w:rsid w:val="00FF2029"/>
    <w:rsid w:val="00FF2200"/>
    <w:rsid w:val="00FF2235"/>
    <w:rsid w:val="00FF223A"/>
    <w:rsid w:val="00FF2282"/>
    <w:rsid w:val="00FF2288"/>
    <w:rsid w:val="00FF2354"/>
    <w:rsid w:val="00FF2385"/>
    <w:rsid w:val="00FF239B"/>
    <w:rsid w:val="00FF23A7"/>
    <w:rsid w:val="00FF23A9"/>
    <w:rsid w:val="00FF23DD"/>
    <w:rsid w:val="00FF2468"/>
    <w:rsid w:val="00FF2478"/>
    <w:rsid w:val="00FF249B"/>
    <w:rsid w:val="00FF24C8"/>
    <w:rsid w:val="00FF2545"/>
    <w:rsid w:val="00FF256D"/>
    <w:rsid w:val="00FF25A1"/>
    <w:rsid w:val="00FF25E1"/>
    <w:rsid w:val="00FF2640"/>
    <w:rsid w:val="00FF2664"/>
    <w:rsid w:val="00FF267B"/>
    <w:rsid w:val="00FF26BB"/>
    <w:rsid w:val="00FF26D0"/>
    <w:rsid w:val="00FF2707"/>
    <w:rsid w:val="00FF2726"/>
    <w:rsid w:val="00FF27AE"/>
    <w:rsid w:val="00FF27F3"/>
    <w:rsid w:val="00FF28DB"/>
    <w:rsid w:val="00FF2981"/>
    <w:rsid w:val="00FF2A38"/>
    <w:rsid w:val="00FF2A53"/>
    <w:rsid w:val="00FF2AAC"/>
    <w:rsid w:val="00FF2AC4"/>
    <w:rsid w:val="00FF2B45"/>
    <w:rsid w:val="00FF2B4D"/>
    <w:rsid w:val="00FF2BD5"/>
    <w:rsid w:val="00FF2CA4"/>
    <w:rsid w:val="00FF2CA6"/>
    <w:rsid w:val="00FF2DAB"/>
    <w:rsid w:val="00FF2E3D"/>
    <w:rsid w:val="00FF2E67"/>
    <w:rsid w:val="00FF2EBD"/>
    <w:rsid w:val="00FF2ECE"/>
    <w:rsid w:val="00FF2EEE"/>
    <w:rsid w:val="00FF2F11"/>
    <w:rsid w:val="00FF2F22"/>
    <w:rsid w:val="00FF2F58"/>
    <w:rsid w:val="00FF2F78"/>
    <w:rsid w:val="00FF2FA5"/>
    <w:rsid w:val="00FF2FE9"/>
    <w:rsid w:val="00FF3087"/>
    <w:rsid w:val="00FF308F"/>
    <w:rsid w:val="00FF3122"/>
    <w:rsid w:val="00FF3126"/>
    <w:rsid w:val="00FF313B"/>
    <w:rsid w:val="00FF3179"/>
    <w:rsid w:val="00FF31BC"/>
    <w:rsid w:val="00FF31ED"/>
    <w:rsid w:val="00FF3243"/>
    <w:rsid w:val="00FF332A"/>
    <w:rsid w:val="00FF347A"/>
    <w:rsid w:val="00FF34D4"/>
    <w:rsid w:val="00FF350F"/>
    <w:rsid w:val="00FF3555"/>
    <w:rsid w:val="00FF3568"/>
    <w:rsid w:val="00FF35A6"/>
    <w:rsid w:val="00FF363F"/>
    <w:rsid w:val="00FF3714"/>
    <w:rsid w:val="00FF374D"/>
    <w:rsid w:val="00FF3763"/>
    <w:rsid w:val="00FF37B9"/>
    <w:rsid w:val="00FF37C5"/>
    <w:rsid w:val="00FF3845"/>
    <w:rsid w:val="00FF387E"/>
    <w:rsid w:val="00FF3896"/>
    <w:rsid w:val="00FF38B2"/>
    <w:rsid w:val="00FF38F7"/>
    <w:rsid w:val="00FF391A"/>
    <w:rsid w:val="00FF3935"/>
    <w:rsid w:val="00FF3993"/>
    <w:rsid w:val="00FF39D8"/>
    <w:rsid w:val="00FF3A1B"/>
    <w:rsid w:val="00FF3A2C"/>
    <w:rsid w:val="00FF3B58"/>
    <w:rsid w:val="00FF3C11"/>
    <w:rsid w:val="00FF3C57"/>
    <w:rsid w:val="00FF3C5A"/>
    <w:rsid w:val="00FF3C92"/>
    <w:rsid w:val="00FF3CC7"/>
    <w:rsid w:val="00FF3CE6"/>
    <w:rsid w:val="00FF3D0E"/>
    <w:rsid w:val="00FF3D38"/>
    <w:rsid w:val="00FF3D4D"/>
    <w:rsid w:val="00FF3DF5"/>
    <w:rsid w:val="00FF3DFE"/>
    <w:rsid w:val="00FF3E14"/>
    <w:rsid w:val="00FF3E15"/>
    <w:rsid w:val="00FF3E36"/>
    <w:rsid w:val="00FF3E85"/>
    <w:rsid w:val="00FF3EA4"/>
    <w:rsid w:val="00FF3F39"/>
    <w:rsid w:val="00FF3F3C"/>
    <w:rsid w:val="00FF3F4D"/>
    <w:rsid w:val="00FF3F55"/>
    <w:rsid w:val="00FF3F6B"/>
    <w:rsid w:val="00FF403A"/>
    <w:rsid w:val="00FF4041"/>
    <w:rsid w:val="00FF40A7"/>
    <w:rsid w:val="00FF4199"/>
    <w:rsid w:val="00FF41F3"/>
    <w:rsid w:val="00FF4226"/>
    <w:rsid w:val="00FF425F"/>
    <w:rsid w:val="00FF427B"/>
    <w:rsid w:val="00FF439B"/>
    <w:rsid w:val="00FF4457"/>
    <w:rsid w:val="00FF445D"/>
    <w:rsid w:val="00FF4460"/>
    <w:rsid w:val="00FF450B"/>
    <w:rsid w:val="00FF4515"/>
    <w:rsid w:val="00FF4529"/>
    <w:rsid w:val="00FF4596"/>
    <w:rsid w:val="00FF462C"/>
    <w:rsid w:val="00FF4706"/>
    <w:rsid w:val="00FF471E"/>
    <w:rsid w:val="00FF4877"/>
    <w:rsid w:val="00FF489F"/>
    <w:rsid w:val="00FF48AC"/>
    <w:rsid w:val="00FF498A"/>
    <w:rsid w:val="00FF4A5E"/>
    <w:rsid w:val="00FF4AC8"/>
    <w:rsid w:val="00FF4B19"/>
    <w:rsid w:val="00FF4BCF"/>
    <w:rsid w:val="00FF4C44"/>
    <w:rsid w:val="00FF4C55"/>
    <w:rsid w:val="00FF4C7A"/>
    <w:rsid w:val="00FF4C7E"/>
    <w:rsid w:val="00FF4CB2"/>
    <w:rsid w:val="00FF4D1E"/>
    <w:rsid w:val="00FF4D34"/>
    <w:rsid w:val="00FF4E5F"/>
    <w:rsid w:val="00FF4E69"/>
    <w:rsid w:val="00FF4EAB"/>
    <w:rsid w:val="00FF4ED8"/>
    <w:rsid w:val="00FF4EE9"/>
    <w:rsid w:val="00FF4FDB"/>
    <w:rsid w:val="00FF50D1"/>
    <w:rsid w:val="00FF50D2"/>
    <w:rsid w:val="00FF518C"/>
    <w:rsid w:val="00FF5308"/>
    <w:rsid w:val="00FF5324"/>
    <w:rsid w:val="00FF536E"/>
    <w:rsid w:val="00FF53CE"/>
    <w:rsid w:val="00FF53D5"/>
    <w:rsid w:val="00FF5418"/>
    <w:rsid w:val="00FF5456"/>
    <w:rsid w:val="00FF545B"/>
    <w:rsid w:val="00FF5477"/>
    <w:rsid w:val="00FF5510"/>
    <w:rsid w:val="00FF55E1"/>
    <w:rsid w:val="00FF561E"/>
    <w:rsid w:val="00FF5664"/>
    <w:rsid w:val="00FF5679"/>
    <w:rsid w:val="00FF573C"/>
    <w:rsid w:val="00FF573D"/>
    <w:rsid w:val="00FF577E"/>
    <w:rsid w:val="00FF59B0"/>
    <w:rsid w:val="00FF5A16"/>
    <w:rsid w:val="00FF5A1E"/>
    <w:rsid w:val="00FF5ABF"/>
    <w:rsid w:val="00FF5B3E"/>
    <w:rsid w:val="00FF5B4C"/>
    <w:rsid w:val="00FF5BE2"/>
    <w:rsid w:val="00FF5D2C"/>
    <w:rsid w:val="00FF5D48"/>
    <w:rsid w:val="00FF5D91"/>
    <w:rsid w:val="00FF5DA6"/>
    <w:rsid w:val="00FF5DF1"/>
    <w:rsid w:val="00FF5E27"/>
    <w:rsid w:val="00FF5E3B"/>
    <w:rsid w:val="00FF5E44"/>
    <w:rsid w:val="00FF5EAC"/>
    <w:rsid w:val="00FF5F43"/>
    <w:rsid w:val="00FF5FCF"/>
    <w:rsid w:val="00FF5FD3"/>
    <w:rsid w:val="00FF5FDA"/>
    <w:rsid w:val="00FF6026"/>
    <w:rsid w:val="00FF607F"/>
    <w:rsid w:val="00FF61D0"/>
    <w:rsid w:val="00FF61DB"/>
    <w:rsid w:val="00FF6234"/>
    <w:rsid w:val="00FF6241"/>
    <w:rsid w:val="00FF625B"/>
    <w:rsid w:val="00FF6365"/>
    <w:rsid w:val="00FF63C3"/>
    <w:rsid w:val="00FF6422"/>
    <w:rsid w:val="00FF644B"/>
    <w:rsid w:val="00FF6494"/>
    <w:rsid w:val="00FF64A6"/>
    <w:rsid w:val="00FF64AF"/>
    <w:rsid w:val="00FF64E2"/>
    <w:rsid w:val="00FF66AA"/>
    <w:rsid w:val="00FF6754"/>
    <w:rsid w:val="00FF684E"/>
    <w:rsid w:val="00FF68AF"/>
    <w:rsid w:val="00FF693A"/>
    <w:rsid w:val="00FF6940"/>
    <w:rsid w:val="00FF6983"/>
    <w:rsid w:val="00FF69AC"/>
    <w:rsid w:val="00FF6A26"/>
    <w:rsid w:val="00FF6ABC"/>
    <w:rsid w:val="00FF6B2D"/>
    <w:rsid w:val="00FF6BBB"/>
    <w:rsid w:val="00FF6BF3"/>
    <w:rsid w:val="00FF6C2F"/>
    <w:rsid w:val="00FF6C57"/>
    <w:rsid w:val="00FF6CFB"/>
    <w:rsid w:val="00FF6D4B"/>
    <w:rsid w:val="00FF6E21"/>
    <w:rsid w:val="00FF6E49"/>
    <w:rsid w:val="00FF6EBA"/>
    <w:rsid w:val="00FF6FEB"/>
    <w:rsid w:val="00FF70D4"/>
    <w:rsid w:val="00FF7169"/>
    <w:rsid w:val="00FF7185"/>
    <w:rsid w:val="00FF71D2"/>
    <w:rsid w:val="00FF7312"/>
    <w:rsid w:val="00FF7358"/>
    <w:rsid w:val="00FF73F9"/>
    <w:rsid w:val="00FF7406"/>
    <w:rsid w:val="00FF7432"/>
    <w:rsid w:val="00FF7438"/>
    <w:rsid w:val="00FF748A"/>
    <w:rsid w:val="00FF755B"/>
    <w:rsid w:val="00FF75AF"/>
    <w:rsid w:val="00FF767D"/>
    <w:rsid w:val="00FF7694"/>
    <w:rsid w:val="00FF76C5"/>
    <w:rsid w:val="00FF7715"/>
    <w:rsid w:val="00FF771F"/>
    <w:rsid w:val="00FF773D"/>
    <w:rsid w:val="00FF7785"/>
    <w:rsid w:val="00FF78AD"/>
    <w:rsid w:val="00FF79C3"/>
    <w:rsid w:val="00FF7AAA"/>
    <w:rsid w:val="00FF7AAB"/>
    <w:rsid w:val="00FF7B1D"/>
    <w:rsid w:val="00FF7B6B"/>
    <w:rsid w:val="00FF7B70"/>
    <w:rsid w:val="00FF7BA9"/>
    <w:rsid w:val="00FF7BC5"/>
    <w:rsid w:val="00FF7BFC"/>
    <w:rsid w:val="00FF7C2F"/>
    <w:rsid w:val="00FF7C76"/>
    <w:rsid w:val="00FF7C78"/>
    <w:rsid w:val="00FF7D59"/>
    <w:rsid w:val="00FF7D65"/>
    <w:rsid w:val="00FF7D88"/>
    <w:rsid w:val="00FF7D89"/>
    <w:rsid w:val="00FF7DA3"/>
    <w:rsid w:val="00FF7E31"/>
    <w:rsid w:val="00FF7EB6"/>
    <w:rsid w:val="00FF7FBA"/>
    <w:rsid w:val="00FF7FBB"/>
    <w:rsid w:val="011524DC"/>
    <w:rsid w:val="01170257"/>
    <w:rsid w:val="0118EC98"/>
    <w:rsid w:val="01267920"/>
    <w:rsid w:val="012708EC"/>
    <w:rsid w:val="0135EF5B"/>
    <w:rsid w:val="0136D444"/>
    <w:rsid w:val="01432916"/>
    <w:rsid w:val="014913F5"/>
    <w:rsid w:val="016DF3DD"/>
    <w:rsid w:val="017D3B9E"/>
    <w:rsid w:val="01831F60"/>
    <w:rsid w:val="01894268"/>
    <w:rsid w:val="01896C46"/>
    <w:rsid w:val="01899333"/>
    <w:rsid w:val="01963D2C"/>
    <w:rsid w:val="019C8910"/>
    <w:rsid w:val="01A32262"/>
    <w:rsid w:val="01D0302F"/>
    <w:rsid w:val="01D1B13B"/>
    <w:rsid w:val="01D49080"/>
    <w:rsid w:val="01DC416D"/>
    <w:rsid w:val="01DD1102"/>
    <w:rsid w:val="01F49FB7"/>
    <w:rsid w:val="01FB3769"/>
    <w:rsid w:val="01FB6A42"/>
    <w:rsid w:val="0210749E"/>
    <w:rsid w:val="021F377C"/>
    <w:rsid w:val="022B87DF"/>
    <w:rsid w:val="02493A6F"/>
    <w:rsid w:val="0260BF32"/>
    <w:rsid w:val="0261C9BD"/>
    <w:rsid w:val="026437F2"/>
    <w:rsid w:val="0279AB6D"/>
    <w:rsid w:val="028C5A12"/>
    <w:rsid w:val="028D3DB2"/>
    <w:rsid w:val="029155F2"/>
    <w:rsid w:val="0294EAD8"/>
    <w:rsid w:val="029EE417"/>
    <w:rsid w:val="02B56C71"/>
    <w:rsid w:val="02B89598"/>
    <w:rsid w:val="02C79CBE"/>
    <w:rsid w:val="02C8ACA1"/>
    <w:rsid w:val="02D323F2"/>
    <w:rsid w:val="02DF0B71"/>
    <w:rsid w:val="02E1DDF4"/>
    <w:rsid w:val="02E381E7"/>
    <w:rsid w:val="02E6B093"/>
    <w:rsid w:val="02F3D310"/>
    <w:rsid w:val="0307113B"/>
    <w:rsid w:val="0311A503"/>
    <w:rsid w:val="032DF377"/>
    <w:rsid w:val="033C6A55"/>
    <w:rsid w:val="033E3B93"/>
    <w:rsid w:val="0346CFF4"/>
    <w:rsid w:val="034E6358"/>
    <w:rsid w:val="0357204E"/>
    <w:rsid w:val="035C9D70"/>
    <w:rsid w:val="03639462"/>
    <w:rsid w:val="0392F9EF"/>
    <w:rsid w:val="03A31DC7"/>
    <w:rsid w:val="03A8571B"/>
    <w:rsid w:val="03BB107F"/>
    <w:rsid w:val="03C347CD"/>
    <w:rsid w:val="03C6D182"/>
    <w:rsid w:val="03DEE556"/>
    <w:rsid w:val="04164BFF"/>
    <w:rsid w:val="04268300"/>
    <w:rsid w:val="0443D4F7"/>
    <w:rsid w:val="04449887"/>
    <w:rsid w:val="045AA84F"/>
    <w:rsid w:val="045E33C1"/>
    <w:rsid w:val="046511D4"/>
    <w:rsid w:val="0467C646"/>
    <w:rsid w:val="046FFE7D"/>
    <w:rsid w:val="047F717A"/>
    <w:rsid w:val="04845C12"/>
    <w:rsid w:val="048FEFAE"/>
    <w:rsid w:val="04A0D387"/>
    <w:rsid w:val="04B07405"/>
    <w:rsid w:val="04BB65E2"/>
    <w:rsid w:val="04CDCE3D"/>
    <w:rsid w:val="04E4C531"/>
    <w:rsid w:val="04ED5EC1"/>
    <w:rsid w:val="04ED8484"/>
    <w:rsid w:val="04FA4E86"/>
    <w:rsid w:val="04FEABDA"/>
    <w:rsid w:val="05017D42"/>
    <w:rsid w:val="05049759"/>
    <w:rsid w:val="0523017D"/>
    <w:rsid w:val="05460DF8"/>
    <w:rsid w:val="054896E0"/>
    <w:rsid w:val="0556CBEC"/>
    <w:rsid w:val="058DB4C8"/>
    <w:rsid w:val="059B487D"/>
    <w:rsid w:val="05A682AD"/>
    <w:rsid w:val="05AF88D0"/>
    <w:rsid w:val="05B2F2A7"/>
    <w:rsid w:val="05B79AEE"/>
    <w:rsid w:val="05BBD83A"/>
    <w:rsid w:val="05BEF74F"/>
    <w:rsid w:val="05CA9CAD"/>
    <w:rsid w:val="05CB585F"/>
    <w:rsid w:val="05CD1FCB"/>
    <w:rsid w:val="05D9B387"/>
    <w:rsid w:val="05E18324"/>
    <w:rsid w:val="05F2AF5B"/>
    <w:rsid w:val="05F50995"/>
    <w:rsid w:val="05F6162B"/>
    <w:rsid w:val="05F6BDB3"/>
    <w:rsid w:val="05FB5265"/>
    <w:rsid w:val="05FE5555"/>
    <w:rsid w:val="05FF09F1"/>
    <w:rsid w:val="060BF35F"/>
    <w:rsid w:val="060E045E"/>
    <w:rsid w:val="060E7535"/>
    <w:rsid w:val="0618821A"/>
    <w:rsid w:val="0638EA62"/>
    <w:rsid w:val="0653AD06"/>
    <w:rsid w:val="0670736A"/>
    <w:rsid w:val="067F8E12"/>
    <w:rsid w:val="067FCFD7"/>
    <w:rsid w:val="069E0785"/>
    <w:rsid w:val="06A3327E"/>
    <w:rsid w:val="06B2634A"/>
    <w:rsid w:val="06B87B91"/>
    <w:rsid w:val="06E284A8"/>
    <w:rsid w:val="06E77F99"/>
    <w:rsid w:val="06EC58D0"/>
    <w:rsid w:val="06F1601F"/>
    <w:rsid w:val="06F99BA3"/>
    <w:rsid w:val="0757D6B1"/>
    <w:rsid w:val="07656E82"/>
    <w:rsid w:val="07691739"/>
    <w:rsid w:val="076D49EB"/>
    <w:rsid w:val="077EB0CC"/>
    <w:rsid w:val="078DBAE3"/>
    <w:rsid w:val="078F615D"/>
    <w:rsid w:val="0791A2CB"/>
    <w:rsid w:val="079E0B11"/>
    <w:rsid w:val="07AA0324"/>
    <w:rsid w:val="07AF4DDC"/>
    <w:rsid w:val="07BA1D84"/>
    <w:rsid w:val="07CF9381"/>
    <w:rsid w:val="07DCCA96"/>
    <w:rsid w:val="07E67124"/>
    <w:rsid w:val="07F2DD6E"/>
    <w:rsid w:val="07FC0C78"/>
    <w:rsid w:val="0804D12D"/>
    <w:rsid w:val="08057749"/>
    <w:rsid w:val="080767CB"/>
    <w:rsid w:val="080F6857"/>
    <w:rsid w:val="08145FA9"/>
    <w:rsid w:val="081BC047"/>
    <w:rsid w:val="081D29B2"/>
    <w:rsid w:val="08315ED4"/>
    <w:rsid w:val="0841955E"/>
    <w:rsid w:val="08439EA9"/>
    <w:rsid w:val="08499344"/>
    <w:rsid w:val="0858C162"/>
    <w:rsid w:val="087E3A68"/>
    <w:rsid w:val="08AEF819"/>
    <w:rsid w:val="08AF2C63"/>
    <w:rsid w:val="08B33BF2"/>
    <w:rsid w:val="08B658C2"/>
    <w:rsid w:val="08B6CB4F"/>
    <w:rsid w:val="08B87F85"/>
    <w:rsid w:val="08BC3444"/>
    <w:rsid w:val="08BEE8E1"/>
    <w:rsid w:val="08D62818"/>
    <w:rsid w:val="08FC434B"/>
    <w:rsid w:val="090F5981"/>
    <w:rsid w:val="091E6D30"/>
    <w:rsid w:val="09241EBC"/>
    <w:rsid w:val="0924EB36"/>
    <w:rsid w:val="0937A75B"/>
    <w:rsid w:val="094E774F"/>
    <w:rsid w:val="094F1C4A"/>
    <w:rsid w:val="09533A58"/>
    <w:rsid w:val="09567F79"/>
    <w:rsid w:val="0963F3DA"/>
    <w:rsid w:val="09770EDD"/>
    <w:rsid w:val="09818A48"/>
    <w:rsid w:val="0982186D"/>
    <w:rsid w:val="099A3449"/>
    <w:rsid w:val="099A9B63"/>
    <w:rsid w:val="099C686A"/>
    <w:rsid w:val="09A9266D"/>
    <w:rsid w:val="09BACE02"/>
    <w:rsid w:val="09C32E54"/>
    <w:rsid w:val="09C6255B"/>
    <w:rsid w:val="09CCAE79"/>
    <w:rsid w:val="09CF9742"/>
    <w:rsid w:val="09D39F37"/>
    <w:rsid w:val="09D7F334"/>
    <w:rsid w:val="09D8209C"/>
    <w:rsid w:val="09DDDB81"/>
    <w:rsid w:val="09E4CE85"/>
    <w:rsid w:val="09ECB2E5"/>
    <w:rsid w:val="09F5452C"/>
    <w:rsid w:val="09FAA7F6"/>
    <w:rsid w:val="0A005270"/>
    <w:rsid w:val="0A0FBCAD"/>
    <w:rsid w:val="0A25103C"/>
    <w:rsid w:val="0A273BE6"/>
    <w:rsid w:val="0A3196ED"/>
    <w:rsid w:val="0A381984"/>
    <w:rsid w:val="0A429AFA"/>
    <w:rsid w:val="0A4A86D7"/>
    <w:rsid w:val="0A527D81"/>
    <w:rsid w:val="0A82D3C6"/>
    <w:rsid w:val="0A8AB659"/>
    <w:rsid w:val="0A8B620E"/>
    <w:rsid w:val="0AC4E340"/>
    <w:rsid w:val="0AC77822"/>
    <w:rsid w:val="0ADDEE25"/>
    <w:rsid w:val="0AE538CB"/>
    <w:rsid w:val="0AF3813E"/>
    <w:rsid w:val="0AF7B7B2"/>
    <w:rsid w:val="0B0B57B4"/>
    <w:rsid w:val="0B1977BC"/>
    <w:rsid w:val="0B1B29D6"/>
    <w:rsid w:val="0B2B0CC1"/>
    <w:rsid w:val="0B38845A"/>
    <w:rsid w:val="0B4D1106"/>
    <w:rsid w:val="0B630669"/>
    <w:rsid w:val="0B647ED7"/>
    <w:rsid w:val="0B6B1D2A"/>
    <w:rsid w:val="0B7599F3"/>
    <w:rsid w:val="0B839CEA"/>
    <w:rsid w:val="0B94D080"/>
    <w:rsid w:val="0B994150"/>
    <w:rsid w:val="0BA83AEA"/>
    <w:rsid w:val="0BAC63BA"/>
    <w:rsid w:val="0BDDD0E4"/>
    <w:rsid w:val="0BE16E30"/>
    <w:rsid w:val="0BEE3CD7"/>
    <w:rsid w:val="0C22EA87"/>
    <w:rsid w:val="0C28DF46"/>
    <w:rsid w:val="0C2C9F3C"/>
    <w:rsid w:val="0C2EB821"/>
    <w:rsid w:val="0C35A9B3"/>
    <w:rsid w:val="0C390D83"/>
    <w:rsid w:val="0C5FD50B"/>
    <w:rsid w:val="0C668644"/>
    <w:rsid w:val="0C7346E6"/>
    <w:rsid w:val="0C92F2B7"/>
    <w:rsid w:val="0CB532D7"/>
    <w:rsid w:val="0CBBB7E9"/>
    <w:rsid w:val="0CC27796"/>
    <w:rsid w:val="0CD91707"/>
    <w:rsid w:val="0CDA9247"/>
    <w:rsid w:val="0CE24495"/>
    <w:rsid w:val="0CEA90E0"/>
    <w:rsid w:val="0D02358A"/>
    <w:rsid w:val="0D0A7FD7"/>
    <w:rsid w:val="0D1648A8"/>
    <w:rsid w:val="0D29B73E"/>
    <w:rsid w:val="0D29BB39"/>
    <w:rsid w:val="0D2ABFC3"/>
    <w:rsid w:val="0D2BD06C"/>
    <w:rsid w:val="0D31F21B"/>
    <w:rsid w:val="0D3CBE83"/>
    <w:rsid w:val="0D44321B"/>
    <w:rsid w:val="0D59FE2D"/>
    <w:rsid w:val="0D7D889B"/>
    <w:rsid w:val="0D809F5D"/>
    <w:rsid w:val="0D83C8DD"/>
    <w:rsid w:val="0D87CB2F"/>
    <w:rsid w:val="0D8AAA07"/>
    <w:rsid w:val="0D966EFF"/>
    <w:rsid w:val="0D9B56B9"/>
    <w:rsid w:val="0D9BEA3F"/>
    <w:rsid w:val="0DAEF8D1"/>
    <w:rsid w:val="0DB1E4CF"/>
    <w:rsid w:val="0DBC883B"/>
    <w:rsid w:val="0DCE8A61"/>
    <w:rsid w:val="0DD67ED3"/>
    <w:rsid w:val="0DE5220D"/>
    <w:rsid w:val="0E048610"/>
    <w:rsid w:val="0E06B0B0"/>
    <w:rsid w:val="0E0EA194"/>
    <w:rsid w:val="0E17B37D"/>
    <w:rsid w:val="0E1F5D30"/>
    <w:rsid w:val="0E3429A5"/>
    <w:rsid w:val="0E40E740"/>
    <w:rsid w:val="0E4DAB19"/>
    <w:rsid w:val="0E4E598B"/>
    <w:rsid w:val="0E5C230F"/>
    <w:rsid w:val="0E7C4599"/>
    <w:rsid w:val="0E839F79"/>
    <w:rsid w:val="0E8E0D89"/>
    <w:rsid w:val="0E92295A"/>
    <w:rsid w:val="0E9B2D21"/>
    <w:rsid w:val="0EA4D803"/>
    <w:rsid w:val="0EB58CB4"/>
    <w:rsid w:val="0EBF6DA7"/>
    <w:rsid w:val="0ED60BA8"/>
    <w:rsid w:val="0EF10DA2"/>
    <w:rsid w:val="0EFC807E"/>
    <w:rsid w:val="0F07F2D1"/>
    <w:rsid w:val="0F150B09"/>
    <w:rsid w:val="0F1E7AF3"/>
    <w:rsid w:val="0F23ECD7"/>
    <w:rsid w:val="0F55181F"/>
    <w:rsid w:val="0F55F3F6"/>
    <w:rsid w:val="0F68B4C2"/>
    <w:rsid w:val="0F747ECC"/>
    <w:rsid w:val="0F92898E"/>
    <w:rsid w:val="0FA96038"/>
    <w:rsid w:val="0FB26BA2"/>
    <w:rsid w:val="0FC27015"/>
    <w:rsid w:val="0FC64E56"/>
    <w:rsid w:val="0FCC8158"/>
    <w:rsid w:val="0FCCB8B5"/>
    <w:rsid w:val="0FEC16D5"/>
    <w:rsid w:val="0FF5139C"/>
    <w:rsid w:val="100CBDF0"/>
    <w:rsid w:val="10163D2C"/>
    <w:rsid w:val="10231B64"/>
    <w:rsid w:val="102BF833"/>
    <w:rsid w:val="1030FE31"/>
    <w:rsid w:val="103206E7"/>
    <w:rsid w:val="10323963"/>
    <w:rsid w:val="1033B579"/>
    <w:rsid w:val="10487318"/>
    <w:rsid w:val="104F2427"/>
    <w:rsid w:val="1060AB48"/>
    <w:rsid w:val="1062C07C"/>
    <w:rsid w:val="10672A14"/>
    <w:rsid w:val="107B6C84"/>
    <w:rsid w:val="10954E52"/>
    <w:rsid w:val="10A0CEA3"/>
    <w:rsid w:val="10AC3BCF"/>
    <w:rsid w:val="10B7DA3B"/>
    <w:rsid w:val="10C14407"/>
    <w:rsid w:val="10D0E26D"/>
    <w:rsid w:val="10DB4EF6"/>
    <w:rsid w:val="10EE69FE"/>
    <w:rsid w:val="10F22DC5"/>
    <w:rsid w:val="10F53FB6"/>
    <w:rsid w:val="10F543AE"/>
    <w:rsid w:val="1101BE34"/>
    <w:rsid w:val="11106D5F"/>
    <w:rsid w:val="112212A5"/>
    <w:rsid w:val="112246B8"/>
    <w:rsid w:val="11231101"/>
    <w:rsid w:val="11239F8E"/>
    <w:rsid w:val="1126DE8F"/>
    <w:rsid w:val="113A4BE2"/>
    <w:rsid w:val="113DD44C"/>
    <w:rsid w:val="114575A3"/>
    <w:rsid w:val="11549BF4"/>
    <w:rsid w:val="11611B6D"/>
    <w:rsid w:val="116DCA5E"/>
    <w:rsid w:val="1185A147"/>
    <w:rsid w:val="11A10BD0"/>
    <w:rsid w:val="11C2FB36"/>
    <w:rsid w:val="11D2394C"/>
    <w:rsid w:val="11D414AF"/>
    <w:rsid w:val="11F6B46E"/>
    <w:rsid w:val="1228FE41"/>
    <w:rsid w:val="122AEBB4"/>
    <w:rsid w:val="122BB1AE"/>
    <w:rsid w:val="1238CE29"/>
    <w:rsid w:val="124700DC"/>
    <w:rsid w:val="12518C25"/>
    <w:rsid w:val="1267BD3E"/>
    <w:rsid w:val="127D3974"/>
    <w:rsid w:val="1285E58C"/>
    <w:rsid w:val="12889893"/>
    <w:rsid w:val="12892DE1"/>
    <w:rsid w:val="128E12B4"/>
    <w:rsid w:val="12ABEE2F"/>
    <w:rsid w:val="12BE2D7B"/>
    <w:rsid w:val="12C73E51"/>
    <w:rsid w:val="12CCFC81"/>
    <w:rsid w:val="12CCFD4D"/>
    <w:rsid w:val="12D019F7"/>
    <w:rsid w:val="12D7C855"/>
    <w:rsid w:val="12D9A454"/>
    <w:rsid w:val="12DBB682"/>
    <w:rsid w:val="12E42027"/>
    <w:rsid w:val="12E88738"/>
    <w:rsid w:val="12FA670D"/>
    <w:rsid w:val="1315B3C6"/>
    <w:rsid w:val="131B9ECA"/>
    <w:rsid w:val="13265E6F"/>
    <w:rsid w:val="13368F71"/>
    <w:rsid w:val="1340B002"/>
    <w:rsid w:val="135CA836"/>
    <w:rsid w:val="136BAB25"/>
    <w:rsid w:val="13A4D117"/>
    <w:rsid w:val="13B10A1A"/>
    <w:rsid w:val="13B4BC18"/>
    <w:rsid w:val="13BC063F"/>
    <w:rsid w:val="13C06006"/>
    <w:rsid w:val="13D35D8A"/>
    <w:rsid w:val="13DB399E"/>
    <w:rsid w:val="13F6B7B4"/>
    <w:rsid w:val="1403AE09"/>
    <w:rsid w:val="14081EED"/>
    <w:rsid w:val="140DCCB8"/>
    <w:rsid w:val="14161409"/>
    <w:rsid w:val="1417729E"/>
    <w:rsid w:val="142040BB"/>
    <w:rsid w:val="142B2908"/>
    <w:rsid w:val="14339E58"/>
    <w:rsid w:val="1436FD2B"/>
    <w:rsid w:val="1438A857"/>
    <w:rsid w:val="143DB91E"/>
    <w:rsid w:val="14523882"/>
    <w:rsid w:val="1469A8C6"/>
    <w:rsid w:val="1473618E"/>
    <w:rsid w:val="1478FE6A"/>
    <w:rsid w:val="147E913C"/>
    <w:rsid w:val="14838ABD"/>
    <w:rsid w:val="14839293"/>
    <w:rsid w:val="1488C69F"/>
    <w:rsid w:val="148BB47E"/>
    <w:rsid w:val="148E9C7D"/>
    <w:rsid w:val="14AA7CF7"/>
    <w:rsid w:val="14B421AE"/>
    <w:rsid w:val="14C1F695"/>
    <w:rsid w:val="14C25768"/>
    <w:rsid w:val="14CCA2A4"/>
    <w:rsid w:val="14D5A9FA"/>
    <w:rsid w:val="14D5F6D5"/>
    <w:rsid w:val="14DE72AF"/>
    <w:rsid w:val="14E1D27D"/>
    <w:rsid w:val="14EEF1F0"/>
    <w:rsid w:val="14F64F30"/>
    <w:rsid w:val="1505E7BD"/>
    <w:rsid w:val="15219537"/>
    <w:rsid w:val="1529F76D"/>
    <w:rsid w:val="152B4E8B"/>
    <w:rsid w:val="155BB108"/>
    <w:rsid w:val="158ADA0B"/>
    <w:rsid w:val="1596C658"/>
    <w:rsid w:val="159CBFFB"/>
    <w:rsid w:val="15A28748"/>
    <w:rsid w:val="15AEDE22"/>
    <w:rsid w:val="15BBB44E"/>
    <w:rsid w:val="15CECC07"/>
    <w:rsid w:val="15CFCF77"/>
    <w:rsid w:val="15D11B3E"/>
    <w:rsid w:val="15DE2859"/>
    <w:rsid w:val="15E14605"/>
    <w:rsid w:val="15E52E0D"/>
    <w:rsid w:val="15F5EC90"/>
    <w:rsid w:val="15FDA049"/>
    <w:rsid w:val="16001E1D"/>
    <w:rsid w:val="160ED683"/>
    <w:rsid w:val="164602FE"/>
    <w:rsid w:val="1646C4E3"/>
    <w:rsid w:val="164CB3FA"/>
    <w:rsid w:val="1651F53E"/>
    <w:rsid w:val="1660C3E4"/>
    <w:rsid w:val="168407CB"/>
    <w:rsid w:val="168A5CC6"/>
    <w:rsid w:val="168C84C8"/>
    <w:rsid w:val="16A03AC5"/>
    <w:rsid w:val="16A4F4BD"/>
    <w:rsid w:val="16B92A68"/>
    <w:rsid w:val="16BEDA6C"/>
    <w:rsid w:val="16C3B16C"/>
    <w:rsid w:val="16DD8BE8"/>
    <w:rsid w:val="16EF1BB2"/>
    <w:rsid w:val="16F8060E"/>
    <w:rsid w:val="17026324"/>
    <w:rsid w:val="17037F4B"/>
    <w:rsid w:val="17060C4E"/>
    <w:rsid w:val="17095577"/>
    <w:rsid w:val="170DDE79"/>
    <w:rsid w:val="1714BDA5"/>
    <w:rsid w:val="1735A730"/>
    <w:rsid w:val="173AEA29"/>
    <w:rsid w:val="173E9553"/>
    <w:rsid w:val="1742EF78"/>
    <w:rsid w:val="1743D2E6"/>
    <w:rsid w:val="17450C48"/>
    <w:rsid w:val="17450D80"/>
    <w:rsid w:val="175D0041"/>
    <w:rsid w:val="177042B9"/>
    <w:rsid w:val="1772EF80"/>
    <w:rsid w:val="177A77DB"/>
    <w:rsid w:val="177AB327"/>
    <w:rsid w:val="177D17CC"/>
    <w:rsid w:val="17849230"/>
    <w:rsid w:val="17889529"/>
    <w:rsid w:val="17A06435"/>
    <w:rsid w:val="17B2A827"/>
    <w:rsid w:val="17B4C311"/>
    <w:rsid w:val="17BBF0A1"/>
    <w:rsid w:val="17D669A6"/>
    <w:rsid w:val="17D983D2"/>
    <w:rsid w:val="17D9EAD0"/>
    <w:rsid w:val="17DBFE25"/>
    <w:rsid w:val="17E302E1"/>
    <w:rsid w:val="17E9426D"/>
    <w:rsid w:val="17EE9D13"/>
    <w:rsid w:val="17F0573E"/>
    <w:rsid w:val="1805A31E"/>
    <w:rsid w:val="180D4A51"/>
    <w:rsid w:val="1810F27C"/>
    <w:rsid w:val="18175D1D"/>
    <w:rsid w:val="1818D97A"/>
    <w:rsid w:val="182CBCD9"/>
    <w:rsid w:val="182CC6DC"/>
    <w:rsid w:val="18523EE3"/>
    <w:rsid w:val="1859B3AC"/>
    <w:rsid w:val="18641ED7"/>
    <w:rsid w:val="18642451"/>
    <w:rsid w:val="18788676"/>
    <w:rsid w:val="18AD0624"/>
    <w:rsid w:val="18B7D0B6"/>
    <w:rsid w:val="18CEA495"/>
    <w:rsid w:val="18CF9960"/>
    <w:rsid w:val="18EA0AC0"/>
    <w:rsid w:val="18EB005B"/>
    <w:rsid w:val="18FEB522"/>
    <w:rsid w:val="1901E0B9"/>
    <w:rsid w:val="1904BF3F"/>
    <w:rsid w:val="190E95E4"/>
    <w:rsid w:val="190FDA4E"/>
    <w:rsid w:val="19259431"/>
    <w:rsid w:val="19455EAC"/>
    <w:rsid w:val="1947F595"/>
    <w:rsid w:val="194F9B69"/>
    <w:rsid w:val="195403C4"/>
    <w:rsid w:val="1954A682"/>
    <w:rsid w:val="19654708"/>
    <w:rsid w:val="19672B6D"/>
    <w:rsid w:val="19673854"/>
    <w:rsid w:val="1969AE45"/>
    <w:rsid w:val="1970AF4A"/>
    <w:rsid w:val="19744D6A"/>
    <w:rsid w:val="198EF678"/>
    <w:rsid w:val="199A6BBE"/>
    <w:rsid w:val="19A0A19B"/>
    <w:rsid w:val="19AFF1A4"/>
    <w:rsid w:val="19B3479B"/>
    <w:rsid w:val="19CB8D9D"/>
    <w:rsid w:val="19D44AD3"/>
    <w:rsid w:val="19D52227"/>
    <w:rsid w:val="19DFA4CD"/>
    <w:rsid w:val="19EA5EE6"/>
    <w:rsid w:val="19EC4E5D"/>
    <w:rsid w:val="19EF1F65"/>
    <w:rsid w:val="19F23C25"/>
    <w:rsid w:val="19F95098"/>
    <w:rsid w:val="19FABFFE"/>
    <w:rsid w:val="19FF783A"/>
    <w:rsid w:val="1A022D09"/>
    <w:rsid w:val="1A08A4C8"/>
    <w:rsid w:val="1A0B2FFD"/>
    <w:rsid w:val="1A17138B"/>
    <w:rsid w:val="1A1DD7BC"/>
    <w:rsid w:val="1A2DEFA7"/>
    <w:rsid w:val="1A3638FC"/>
    <w:rsid w:val="1A3C4D9C"/>
    <w:rsid w:val="1A3C5CEE"/>
    <w:rsid w:val="1A41CBAA"/>
    <w:rsid w:val="1A5159FE"/>
    <w:rsid w:val="1A591FC4"/>
    <w:rsid w:val="1A5E603D"/>
    <w:rsid w:val="1A65902B"/>
    <w:rsid w:val="1A6D37A9"/>
    <w:rsid w:val="1A6FFA3E"/>
    <w:rsid w:val="1A7072F7"/>
    <w:rsid w:val="1A76E7E3"/>
    <w:rsid w:val="1A7AFBA3"/>
    <w:rsid w:val="1A824E58"/>
    <w:rsid w:val="1A957C3A"/>
    <w:rsid w:val="1A9E620E"/>
    <w:rsid w:val="1AA0D22C"/>
    <w:rsid w:val="1AA30474"/>
    <w:rsid w:val="1AC6B708"/>
    <w:rsid w:val="1AC7E5FF"/>
    <w:rsid w:val="1AC83F21"/>
    <w:rsid w:val="1AD65A96"/>
    <w:rsid w:val="1AD6F618"/>
    <w:rsid w:val="1AD9DA72"/>
    <w:rsid w:val="1AF0F00D"/>
    <w:rsid w:val="1AF76879"/>
    <w:rsid w:val="1B09ED6E"/>
    <w:rsid w:val="1B115988"/>
    <w:rsid w:val="1B261932"/>
    <w:rsid w:val="1B28407B"/>
    <w:rsid w:val="1B2E4473"/>
    <w:rsid w:val="1B3C6E05"/>
    <w:rsid w:val="1B4DAEA0"/>
    <w:rsid w:val="1B4EE2C2"/>
    <w:rsid w:val="1B55B810"/>
    <w:rsid w:val="1B59EB38"/>
    <w:rsid w:val="1B5F3162"/>
    <w:rsid w:val="1B60EC65"/>
    <w:rsid w:val="1B6B596F"/>
    <w:rsid w:val="1B6E5B4F"/>
    <w:rsid w:val="1B7225B4"/>
    <w:rsid w:val="1BAE4D50"/>
    <w:rsid w:val="1BB12A1E"/>
    <w:rsid w:val="1BB5C016"/>
    <w:rsid w:val="1BB7DED8"/>
    <w:rsid w:val="1BDE06A0"/>
    <w:rsid w:val="1BF61EA9"/>
    <w:rsid w:val="1C185378"/>
    <w:rsid w:val="1C1B9DC5"/>
    <w:rsid w:val="1C276C47"/>
    <w:rsid w:val="1C2C046A"/>
    <w:rsid w:val="1C4A3BA5"/>
    <w:rsid w:val="1C5070E0"/>
    <w:rsid w:val="1C54FCA1"/>
    <w:rsid w:val="1C5A8D3E"/>
    <w:rsid w:val="1C677659"/>
    <w:rsid w:val="1C72788D"/>
    <w:rsid w:val="1C763738"/>
    <w:rsid w:val="1C793BE2"/>
    <w:rsid w:val="1C8308D6"/>
    <w:rsid w:val="1C834146"/>
    <w:rsid w:val="1C984CF5"/>
    <w:rsid w:val="1CA0B66E"/>
    <w:rsid w:val="1CC6BC7D"/>
    <w:rsid w:val="1CDABE32"/>
    <w:rsid w:val="1CE91EC9"/>
    <w:rsid w:val="1CEAB4FE"/>
    <w:rsid w:val="1CFBEF30"/>
    <w:rsid w:val="1D0D6905"/>
    <w:rsid w:val="1D12A461"/>
    <w:rsid w:val="1D151F9B"/>
    <w:rsid w:val="1D19E285"/>
    <w:rsid w:val="1D22F8BA"/>
    <w:rsid w:val="1D2C6C41"/>
    <w:rsid w:val="1D435ED7"/>
    <w:rsid w:val="1D4E0B14"/>
    <w:rsid w:val="1D578674"/>
    <w:rsid w:val="1D5AD050"/>
    <w:rsid w:val="1D76929F"/>
    <w:rsid w:val="1D77E987"/>
    <w:rsid w:val="1D78DA95"/>
    <w:rsid w:val="1DA1D518"/>
    <w:rsid w:val="1DB0F24D"/>
    <w:rsid w:val="1DB5AA12"/>
    <w:rsid w:val="1DD5777C"/>
    <w:rsid w:val="1DD6D9FD"/>
    <w:rsid w:val="1DE69E2C"/>
    <w:rsid w:val="1E111FD1"/>
    <w:rsid w:val="1E20A488"/>
    <w:rsid w:val="1E23BF6B"/>
    <w:rsid w:val="1E26E455"/>
    <w:rsid w:val="1E291E7C"/>
    <w:rsid w:val="1E2A67C3"/>
    <w:rsid w:val="1E2CD584"/>
    <w:rsid w:val="1E2E3B89"/>
    <w:rsid w:val="1E3F75CC"/>
    <w:rsid w:val="1E4989ED"/>
    <w:rsid w:val="1E4EC573"/>
    <w:rsid w:val="1E56358F"/>
    <w:rsid w:val="1E610CA1"/>
    <w:rsid w:val="1E67988A"/>
    <w:rsid w:val="1E7B17FF"/>
    <w:rsid w:val="1E7E442E"/>
    <w:rsid w:val="1E94B22A"/>
    <w:rsid w:val="1E9752C0"/>
    <w:rsid w:val="1EA4C000"/>
    <w:rsid w:val="1EA86B6A"/>
    <w:rsid w:val="1EE284E6"/>
    <w:rsid w:val="1EE36217"/>
    <w:rsid w:val="1EFB2435"/>
    <w:rsid w:val="1EFF1311"/>
    <w:rsid w:val="1F2FE0AF"/>
    <w:rsid w:val="1F3CEDB7"/>
    <w:rsid w:val="1F48F06A"/>
    <w:rsid w:val="1F4A8C81"/>
    <w:rsid w:val="1F524BF0"/>
    <w:rsid w:val="1F563335"/>
    <w:rsid w:val="1F69B90F"/>
    <w:rsid w:val="1F6EBCF6"/>
    <w:rsid w:val="1F77F5A4"/>
    <w:rsid w:val="1F7BCAF2"/>
    <w:rsid w:val="1F81B356"/>
    <w:rsid w:val="1F888506"/>
    <w:rsid w:val="1F909F7E"/>
    <w:rsid w:val="1FA4FB39"/>
    <w:rsid w:val="1FB9861C"/>
    <w:rsid w:val="1FBC55F9"/>
    <w:rsid w:val="1FD08B73"/>
    <w:rsid w:val="1FD78B5B"/>
    <w:rsid w:val="1FE04334"/>
    <w:rsid w:val="1FE51364"/>
    <w:rsid w:val="1FE9D8D7"/>
    <w:rsid w:val="1FEB0838"/>
    <w:rsid w:val="1FEE3989"/>
    <w:rsid w:val="1FF1F3A8"/>
    <w:rsid w:val="200F47FF"/>
    <w:rsid w:val="201D497B"/>
    <w:rsid w:val="201FAF85"/>
    <w:rsid w:val="20223F93"/>
    <w:rsid w:val="203669EE"/>
    <w:rsid w:val="2054FD97"/>
    <w:rsid w:val="20685B85"/>
    <w:rsid w:val="2073ABF3"/>
    <w:rsid w:val="2078D7A6"/>
    <w:rsid w:val="207DF271"/>
    <w:rsid w:val="208ACB6D"/>
    <w:rsid w:val="20918999"/>
    <w:rsid w:val="2092C2B6"/>
    <w:rsid w:val="20B42E9F"/>
    <w:rsid w:val="20D08FDB"/>
    <w:rsid w:val="20D14748"/>
    <w:rsid w:val="20D2FED0"/>
    <w:rsid w:val="20EB6F0D"/>
    <w:rsid w:val="20EBD5E2"/>
    <w:rsid w:val="20EC9DB9"/>
    <w:rsid w:val="20EE7BD8"/>
    <w:rsid w:val="20F7B200"/>
    <w:rsid w:val="210E0AD1"/>
    <w:rsid w:val="2121418B"/>
    <w:rsid w:val="213B0E3C"/>
    <w:rsid w:val="21492AE9"/>
    <w:rsid w:val="214D78D2"/>
    <w:rsid w:val="2156C237"/>
    <w:rsid w:val="215B0FD8"/>
    <w:rsid w:val="21649E6D"/>
    <w:rsid w:val="217244D5"/>
    <w:rsid w:val="218F3E66"/>
    <w:rsid w:val="219B47F3"/>
    <w:rsid w:val="219DA195"/>
    <w:rsid w:val="21A3CABD"/>
    <w:rsid w:val="21A8B140"/>
    <w:rsid w:val="21C3755B"/>
    <w:rsid w:val="21DEBAC8"/>
    <w:rsid w:val="22199C83"/>
    <w:rsid w:val="223959C3"/>
    <w:rsid w:val="223D83C0"/>
    <w:rsid w:val="224FFFD2"/>
    <w:rsid w:val="22538228"/>
    <w:rsid w:val="225535E4"/>
    <w:rsid w:val="2265792D"/>
    <w:rsid w:val="226CFA97"/>
    <w:rsid w:val="22773A80"/>
    <w:rsid w:val="2278DCC4"/>
    <w:rsid w:val="227FF863"/>
    <w:rsid w:val="228218C4"/>
    <w:rsid w:val="22830C7F"/>
    <w:rsid w:val="2288C5CF"/>
    <w:rsid w:val="22970A66"/>
    <w:rsid w:val="229B3298"/>
    <w:rsid w:val="22BF3554"/>
    <w:rsid w:val="22C7CFD3"/>
    <w:rsid w:val="22C89648"/>
    <w:rsid w:val="22CB15DA"/>
    <w:rsid w:val="22D08750"/>
    <w:rsid w:val="22E67BB9"/>
    <w:rsid w:val="22F11C8D"/>
    <w:rsid w:val="22FA36C3"/>
    <w:rsid w:val="23016500"/>
    <w:rsid w:val="231E8489"/>
    <w:rsid w:val="23236DB6"/>
    <w:rsid w:val="2332DFC3"/>
    <w:rsid w:val="233321A5"/>
    <w:rsid w:val="233F2367"/>
    <w:rsid w:val="23449559"/>
    <w:rsid w:val="235D6DBE"/>
    <w:rsid w:val="238EB020"/>
    <w:rsid w:val="23949C28"/>
    <w:rsid w:val="2394E390"/>
    <w:rsid w:val="2396B828"/>
    <w:rsid w:val="23A1049A"/>
    <w:rsid w:val="23A69265"/>
    <w:rsid w:val="23A9D34E"/>
    <w:rsid w:val="23AA697F"/>
    <w:rsid w:val="23BD79E2"/>
    <w:rsid w:val="23C1D4DF"/>
    <w:rsid w:val="23CB9838"/>
    <w:rsid w:val="23F027F3"/>
    <w:rsid w:val="23F255EA"/>
    <w:rsid w:val="23FC50E7"/>
    <w:rsid w:val="2418C900"/>
    <w:rsid w:val="241CD670"/>
    <w:rsid w:val="241CE196"/>
    <w:rsid w:val="24332F68"/>
    <w:rsid w:val="24484150"/>
    <w:rsid w:val="245368BD"/>
    <w:rsid w:val="24537256"/>
    <w:rsid w:val="245E8FC0"/>
    <w:rsid w:val="246C144D"/>
    <w:rsid w:val="247C6FDE"/>
    <w:rsid w:val="249189EF"/>
    <w:rsid w:val="249B66E1"/>
    <w:rsid w:val="24A038B9"/>
    <w:rsid w:val="24C5355C"/>
    <w:rsid w:val="24C77BD4"/>
    <w:rsid w:val="24CB41AD"/>
    <w:rsid w:val="24DA2F2C"/>
    <w:rsid w:val="24F6A09E"/>
    <w:rsid w:val="24F82B7C"/>
    <w:rsid w:val="24FFAEE7"/>
    <w:rsid w:val="2520D830"/>
    <w:rsid w:val="2521ECAB"/>
    <w:rsid w:val="25488D2E"/>
    <w:rsid w:val="25545B12"/>
    <w:rsid w:val="255AF40D"/>
    <w:rsid w:val="257EAAB8"/>
    <w:rsid w:val="25825331"/>
    <w:rsid w:val="258D5C46"/>
    <w:rsid w:val="2597DE22"/>
    <w:rsid w:val="25B5F9D4"/>
    <w:rsid w:val="25B9E1BC"/>
    <w:rsid w:val="25BB43AF"/>
    <w:rsid w:val="25BC50AE"/>
    <w:rsid w:val="25DCBBC8"/>
    <w:rsid w:val="25F2CFAD"/>
    <w:rsid w:val="25F46294"/>
    <w:rsid w:val="260896F4"/>
    <w:rsid w:val="261724E8"/>
    <w:rsid w:val="2618CA5E"/>
    <w:rsid w:val="26201C89"/>
    <w:rsid w:val="26295F8A"/>
    <w:rsid w:val="26297BCB"/>
    <w:rsid w:val="26300C93"/>
    <w:rsid w:val="2653CFBF"/>
    <w:rsid w:val="26562749"/>
    <w:rsid w:val="266A8CD0"/>
    <w:rsid w:val="266C1E67"/>
    <w:rsid w:val="2683C047"/>
    <w:rsid w:val="26C2650C"/>
    <w:rsid w:val="26D3F234"/>
    <w:rsid w:val="26D66B79"/>
    <w:rsid w:val="26FCC885"/>
    <w:rsid w:val="27011D81"/>
    <w:rsid w:val="27042770"/>
    <w:rsid w:val="27073D13"/>
    <w:rsid w:val="271170F3"/>
    <w:rsid w:val="271E7D2C"/>
    <w:rsid w:val="271F908B"/>
    <w:rsid w:val="27233413"/>
    <w:rsid w:val="27246CB3"/>
    <w:rsid w:val="27353CB2"/>
    <w:rsid w:val="2739CA01"/>
    <w:rsid w:val="273C1C46"/>
    <w:rsid w:val="2746F546"/>
    <w:rsid w:val="27474B7E"/>
    <w:rsid w:val="275FA436"/>
    <w:rsid w:val="2760BC5A"/>
    <w:rsid w:val="276C25A9"/>
    <w:rsid w:val="27925A30"/>
    <w:rsid w:val="27989700"/>
    <w:rsid w:val="27BFF90D"/>
    <w:rsid w:val="27C2758F"/>
    <w:rsid w:val="27E24648"/>
    <w:rsid w:val="27EABF03"/>
    <w:rsid w:val="27F4A127"/>
    <w:rsid w:val="27F7F877"/>
    <w:rsid w:val="27FF0AAF"/>
    <w:rsid w:val="28141A79"/>
    <w:rsid w:val="281E5C3C"/>
    <w:rsid w:val="286473AD"/>
    <w:rsid w:val="2869E676"/>
    <w:rsid w:val="287B52EE"/>
    <w:rsid w:val="28817762"/>
    <w:rsid w:val="288388D9"/>
    <w:rsid w:val="2896AE85"/>
    <w:rsid w:val="289700E2"/>
    <w:rsid w:val="289BFF04"/>
    <w:rsid w:val="28A3E227"/>
    <w:rsid w:val="28A4916E"/>
    <w:rsid w:val="28B27E7D"/>
    <w:rsid w:val="28B61641"/>
    <w:rsid w:val="28B75437"/>
    <w:rsid w:val="28BA9EFA"/>
    <w:rsid w:val="28C38FDD"/>
    <w:rsid w:val="28E0AA7E"/>
    <w:rsid w:val="28FD3A76"/>
    <w:rsid w:val="28FD7FF8"/>
    <w:rsid w:val="29046237"/>
    <w:rsid w:val="2905BBE3"/>
    <w:rsid w:val="290DA547"/>
    <w:rsid w:val="291FD027"/>
    <w:rsid w:val="292823B0"/>
    <w:rsid w:val="2930A7EC"/>
    <w:rsid w:val="293EE8E0"/>
    <w:rsid w:val="293F4C04"/>
    <w:rsid w:val="2949F9A7"/>
    <w:rsid w:val="294F189C"/>
    <w:rsid w:val="295A83BC"/>
    <w:rsid w:val="29600740"/>
    <w:rsid w:val="298CAA03"/>
    <w:rsid w:val="298E924B"/>
    <w:rsid w:val="299E1543"/>
    <w:rsid w:val="29A27545"/>
    <w:rsid w:val="29A90838"/>
    <w:rsid w:val="29A94265"/>
    <w:rsid w:val="29AB4082"/>
    <w:rsid w:val="29CE9A87"/>
    <w:rsid w:val="29D28AEB"/>
    <w:rsid w:val="29FB7972"/>
    <w:rsid w:val="29FCA0E5"/>
    <w:rsid w:val="2A0463E0"/>
    <w:rsid w:val="2A0659B8"/>
    <w:rsid w:val="2A17DFCF"/>
    <w:rsid w:val="2A1A4BD5"/>
    <w:rsid w:val="2A3C120D"/>
    <w:rsid w:val="2A49F8EB"/>
    <w:rsid w:val="2A5C8E08"/>
    <w:rsid w:val="2A640A0B"/>
    <w:rsid w:val="2A6D877A"/>
    <w:rsid w:val="2A725F96"/>
    <w:rsid w:val="2A821D91"/>
    <w:rsid w:val="2A8DB231"/>
    <w:rsid w:val="2A98EE6D"/>
    <w:rsid w:val="2A9F7E8F"/>
    <w:rsid w:val="2ABBAF0E"/>
    <w:rsid w:val="2AE762BA"/>
    <w:rsid w:val="2AEBA852"/>
    <w:rsid w:val="2AF9899A"/>
    <w:rsid w:val="2B0495BD"/>
    <w:rsid w:val="2B103856"/>
    <w:rsid w:val="2B12E690"/>
    <w:rsid w:val="2B1ADDC6"/>
    <w:rsid w:val="2B1CDA14"/>
    <w:rsid w:val="2B3260C2"/>
    <w:rsid w:val="2B3E180F"/>
    <w:rsid w:val="2B476955"/>
    <w:rsid w:val="2B5311AE"/>
    <w:rsid w:val="2B53ADA2"/>
    <w:rsid w:val="2B5F43CF"/>
    <w:rsid w:val="2B619646"/>
    <w:rsid w:val="2B6809F4"/>
    <w:rsid w:val="2B706119"/>
    <w:rsid w:val="2B7191A9"/>
    <w:rsid w:val="2B7661E0"/>
    <w:rsid w:val="2B76D978"/>
    <w:rsid w:val="2B8167D4"/>
    <w:rsid w:val="2B886B57"/>
    <w:rsid w:val="2B8B1BDE"/>
    <w:rsid w:val="2B9529CF"/>
    <w:rsid w:val="2B9F8AFC"/>
    <w:rsid w:val="2BB02432"/>
    <w:rsid w:val="2BBF508D"/>
    <w:rsid w:val="2BCA2FA3"/>
    <w:rsid w:val="2BD1AB9D"/>
    <w:rsid w:val="2BE00A11"/>
    <w:rsid w:val="2BE1316B"/>
    <w:rsid w:val="2BE4E7B7"/>
    <w:rsid w:val="2BF56131"/>
    <w:rsid w:val="2C04E22E"/>
    <w:rsid w:val="2C09292A"/>
    <w:rsid w:val="2C098791"/>
    <w:rsid w:val="2C0C8CA3"/>
    <w:rsid w:val="2C1B4D5B"/>
    <w:rsid w:val="2C1F5C31"/>
    <w:rsid w:val="2C2016A5"/>
    <w:rsid w:val="2C2FE48D"/>
    <w:rsid w:val="2C356D69"/>
    <w:rsid w:val="2C4AB0DB"/>
    <w:rsid w:val="2C598324"/>
    <w:rsid w:val="2C687C91"/>
    <w:rsid w:val="2C6EB016"/>
    <w:rsid w:val="2C76432A"/>
    <w:rsid w:val="2C7BFDDD"/>
    <w:rsid w:val="2C9201CE"/>
    <w:rsid w:val="2C9755F0"/>
    <w:rsid w:val="2CA21764"/>
    <w:rsid w:val="2CA7A935"/>
    <w:rsid w:val="2CC7CDAF"/>
    <w:rsid w:val="2CC817F3"/>
    <w:rsid w:val="2CCB5058"/>
    <w:rsid w:val="2CD33F01"/>
    <w:rsid w:val="2CD48EAE"/>
    <w:rsid w:val="2CE46946"/>
    <w:rsid w:val="2CF8C7AE"/>
    <w:rsid w:val="2CFAD66A"/>
    <w:rsid w:val="2D10E378"/>
    <w:rsid w:val="2D13C479"/>
    <w:rsid w:val="2D14B614"/>
    <w:rsid w:val="2D1548DB"/>
    <w:rsid w:val="2D283882"/>
    <w:rsid w:val="2D2C77D8"/>
    <w:rsid w:val="2D34101E"/>
    <w:rsid w:val="2D3963D8"/>
    <w:rsid w:val="2D3CD0FD"/>
    <w:rsid w:val="2D4034F5"/>
    <w:rsid w:val="2D40EF31"/>
    <w:rsid w:val="2D4400D1"/>
    <w:rsid w:val="2D76296A"/>
    <w:rsid w:val="2D778779"/>
    <w:rsid w:val="2D82F2C3"/>
    <w:rsid w:val="2D92C84D"/>
    <w:rsid w:val="2DC33CC6"/>
    <w:rsid w:val="2DC8F8A7"/>
    <w:rsid w:val="2DCD63B1"/>
    <w:rsid w:val="2DCF6B5D"/>
    <w:rsid w:val="2DDF1210"/>
    <w:rsid w:val="2DE04E5A"/>
    <w:rsid w:val="2DE42393"/>
    <w:rsid w:val="2DFE22A5"/>
    <w:rsid w:val="2DFE6F96"/>
    <w:rsid w:val="2DFFFEED"/>
    <w:rsid w:val="2E0B75C7"/>
    <w:rsid w:val="2E0B821D"/>
    <w:rsid w:val="2E2528CE"/>
    <w:rsid w:val="2E269ECA"/>
    <w:rsid w:val="2E340FF6"/>
    <w:rsid w:val="2E3AC3D5"/>
    <w:rsid w:val="2E3BE9ED"/>
    <w:rsid w:val="2E3C6480"/>
    <w:rsid w:val="2E4C66C5"/>
    <w:rsid w:val="2E4D2C3B"/>
    <w:rsid w:val="2E599837"/>
    <w:rsid w:val="2E5BC084"/>
    <w:rsid w:val="2E5E549D"/>
    <w:rsid w:val="2E670808"/>
    <w:rsid w:val="2E6D5733"/>
    <w:rsid w:val="2E70A241"/>
    <w:rsid w:val="2E7B2F64"/>
    <w:rsid w:val="2E82EC45"/>
    <w:rsid w:val="2E8DA3E1"/>
    <w:rsid w:val="2E8F355F"/>
    <w:rsid w:val="2ED0BA31"/>
    <w:rsid w:val="2EE06FC3"/>
    <w:rsid w:val="2EFC556D"/>
    <w:rsid w:val="2EFF1253"/>
    <w:rsid w:val="2EFF6D81"/>
    <w:rsid w:val="2EFFE8A1"/>
    <w:rsid w:val="2F127BCB"/>
    <w:rsid w:val="2F13B32D"/>
    <w:rsid w:val="2F2ADD54"/>
    <w:rsid w:val="2F32297A"/>
    <w:rsid w:val="2F3CB930"/>
    <w:rsid w:val="2F465DFA"/>
    <w:rsid w:val="2F55E916"/>
    <w:rsid w:val="2F69FEA8"/>
    <w:rsid w:val="2F6D0D2F"/>
    <w:rsid w:val="2F76CDDB"/>
    <w:rsid w:val="2F7856F3"/>
    <w:rsid w:val="2F790B77"/>
    <w:rsid w:val="2F859623"/>
    <w:rsid w:val="2F8AEEF4"/>
    <w:rsid w:val="2F9ED68D"/>
    <w:rsid w:val="2FA097ED"/>
    <w:rsid w:val="2FA13C1A"/>
    <w:rsid w:val="2FA931D1"/>
    <w:rsid w:val="2FB5EB04"/>
    <w:rsid w:val="2FBD3F6C"/>
    <w:rsid w:val="2FCAD59F"/>
    <w:rsid w:val="2FCCFF54"/>
    <w:rsid w:val="2FD9EB5F"/>
    <w:rsid w:val="2FE5B8E9"/>
    <w:rsid w:val="3012731E"/>
    <w:rsid w:val="30129D36"/>
    <w:rsid w:val="3017CA63"/>
    <w:rsid w:val="304748E1"/>
    <w:rsid w:val="305779F3"/>
    <w:rsid w:val="30577CC5"/>
    <w:rsid w:val="305C34C4"/>
    <w:rsid w:val="3066BEAD"/>
    <w:rsid w:val="306B1402"/>
    <w:rsid w:val="308E1141"/>
    <w:rsid w:val="309D0EA1"/>
    <w:rsid w:val="309F1FD8"/>
    <w:rsid w:val="30C6B5A7"/>
    <w:rsid w:val="30C728F9"/>
    <w:rsid w:val="30CEB23A"/>
    <w:rsid w:val="30D2FCCA"/>
    <w:rsid w:val="30D86222"/>
    <w:rsid w:val="30E618E1"/>
    <w:rsid w:val="30F3744A"/>
    <w:rsid w:val="310CF61D"/>
    <w:rsid w:val="310E6EB0"/>
    <w:rsid w:val="310E740A"/>
    <w:rsid w:val="311393E3"/>
    <w:rsid w:val="311D5F95"/>
    <w:rsid w:val="31270C3F"/>
    <w:rsid w:val="31333048"/>
    <w:rsid w:val="3134026F"/>
    <w:rsid w:val="314EF859"/>
    <w:rsid w:val="31632DBA"/>
    <w:rsid w:val="3163E1E0"/>
    <w:rsid w:val="3177417A"/>
    <w:rsid w:val="31777156"/>
    <w:rsid w:val="31A27317"/>
    <w:rsid w:val="31A46728"/>
    <w:rsid w:val="31A8D545"/>
    <w:rsid w:val="31C6F5B4"/>
    <w:rsid w:val="31E4519F"/>
    <w:rsid w:val="31E8EA65"/>
    <w:rsid w:val="31F59E99"/>
    <w:rsid w:val="31F6950F"/>
    <w:rsid w:val="32084288"/>
    <w:rsid w:val="320D8DA7"/>
    <w:rsid w:val="3212633D"/>
    <w:rsid w:val="323BD63A"/>
    <w:rsid w:val="323EBA6D"/>
    <w:rsid w:val="324401E4"/>
    <w:rsid w:val="324A3A97"/>
    <w:rsid w:val="32529EF6"/>
    <w:rsid w:val="325625CF"/>
    <w:rsid w:val="325F5A3E"/>
    <w:rsid w:val="3267B702"/>
    <w:rsid w:val="326AA7D0"/>
    <w:rsid w:val="32739DD3"/>
    <w:rsid w:val="327C1CB8"/>
    <w:rsid w:val="32853C89"/>
    <w:rsid w:val="3287970E"/>
    <w:rsid w:val="3289DDC6"/>
    <w:rsid w:val="328C1FEB"/>
    <w:rsid w:val="3292392A"/>
    <w:rsid w:val="3298FD4B"/>
    <w:rsid w:val="329E1E4F"/>
    <w:rsid w:val="32A8B883"/>
    <w:rsid w:val="32B6276D"/>
    <w:rsid w:val="32C6EB19"/>
    <w:rsid w:val="32D09090"/>
    <w:rsid w:val="32DFCF7C"/>
    <w:rsid w:val="32EBAC3D"/>
    <w:rsid w:val="32F1D0C1"/>
    <w:rsid w:val="32F63E5E"/>
    <w:rsid w:val="32F9A6A5"/>
    <w:rsid w:val="331CBFB7"/>
    <w:rsid w:val="3333AC51"/>
    <w:rsid w:val="3336AB6C"/>
    <w:rsid w:val="333AC316"/>
    <w:rsid w:val="33558D79"/>
    <w:rsid w:val="335B87F0"/>
    <w:rsid w:val="336C9B1F"/>
    <w:rsid w:val="33819C97"/>
    <w:rsid w:val="338BF7D3"/>
    <w:rsid w:val="33913AD8"/>
    <w:rsid w:val="339B43F6"/>
    <w:rsid w:val="339E2E07"/>
    <w:rsid w:val="33C10E64"/>
    <w:rsid w:val="33D1D555"/>
    <w:rsid w:val="33F087A7"/>
    <w:rsid w:val="33FA6F77"/>
    <w:rsid w:val="34044D92"/>
    <w:rsid w:val="3404C7C2"/>
    <w:rsid w:val="3410B0DC"/>
    <w:rsid w:val="34113FB3"/>
    <w:rsid w:val="34207BFF"/>
    <w:rsid w:val="342E0E78"/>
    <w:rsid w:val="3435F6AD"/>
    <w:rsid w:val="343AE114"/>
    <w:rsid w:val="343D974E"/>
    <w:rsid w:val="343DAFB6"/>
    <w:rsid w:val="3455A384"/>
    <w:rsid w:val="345E5A15"/>
    <w:rsid w:val="34696E10"/>
    <w:rsid w:val="34731A8E"/>
    <w:rsid w:val="34983918"/>
    <w:rsid w:val="34B202BE"/>
    <w:rsid w:val="34C31255"/>
    <w:rsid w:val="34D2E5DF"/>
    <w:rsid w:val="34E1F9F3"/>
    <w:rsid w:val="34E6D1C8"/>
    <w:rsid w:val="34FE5BD7"/>
    <w:rsid w:val="350A3EC1"/>
    <w:rsid w:val="350F0FA5"/>
    <w:rsid w:val="35170097"/>
    <w:rsid w:val="351DDB9B"/>
    <w:rsid w:val="352273BB"/>
    <w:rsid w:val="3532AD22"/>
    <w:rsid w:val="3536136B"/>
    <w:rsid w:val="3539583D"/>
    <w:rsid w:val="353ED024"/>
    <w:rsid w:val="354F302B"/>
    <w:rsid w:val="355B2A5E"/>
    <w:rsid w:val="3560DC67"/>
    <w:rsid w:val="35650A4A"/>
    <w:rsid w:val="357B691E"/>
    <w:rsid w:val="359E0A02"/>
    <w:rsid w:val="35AB309B"/>
    <w:rsid w:val="35C36340"/>
    <w:rsid w:val="35DD35D3"/>
    <w:rsid w:val="35EF56C6"/>
    <w:rsid w:val="361049A5"/>
    <w:rsid w:val="362E3DA3"/>
    <w:rsid w:val="362E5076"/>
    <w:rsid w:val="3632E31D"/>
    <w:rsid w:val="363D0BEF"/>
    <w:rsid w:val="36581EBF"/>
    <w:rsid w:val="366056E5"/>
    <w:rsid w:val="3667EB88"/>
    <w:rsid w:val="36713D41"/>
    <w:rsid w:val="367B1E3B"/>
    <w:rsid w:val="36A73922"/>
    <w:rsid w:val="36AC4BDF"/>
    <w:rsid w:val="36D1733F"/>
    <w:rsid w:val="36DE053A"/>
    <w:rsid w:val="36DF0B19"/>
    <w:rsid w:val="36EB6446"/>
    <w:rsid w:val="36EC1B35"/>
    <w:rsid w:val="36EC6805"/>
    <w:rsid w:val="37070995"/>
    <w:rsid w:val="37188E26"/>
    <w:rsid w:val="371EFD7C"/>
    <w:rsid w:val="37558DF3"/>
    <w:rsid w:val="3764CA62"/>
    <w:rsid w:val="3766CB23"/>
    <w:rsid w:val="376D0808"/>
    <w:rsid w:val="378C746D"/>
    <w:rsid w:val="378D71ED"/>
    <w:rsid w:val="37A345AE"/>
    <w:rsid w:val="37A4B7E8"/>
    <w:rsid w:val="37B17D22"/>
    <w:rsid w:val="37B8BC21"/>
    <w:rsid w:val="37BCAC07"/>
    <w:rsid w:val="37C26B56"/>
    <w:rsid w:val="37C3DB6D"/>
    <w:rsid w:val="37CA9DE7"/>
    <w:rsid w:val="37CC58E0"/>
    <w:rsid w:val="37D9FAD3"/>
    <w:rsid w:val="37DCEE9D"/>
    <w:rsid w:val="37E5673B"/>
    <w:rsid w:val="37E936CD"/>
    <w:rsid w:val="37EAEADF"/>
    <w:rsid w:val="381283B8"/>
    <w:rsid w:val="38210B7E"/>
    <w:rsid w:val="3822A304"/>
    <w:rsid w:val="382FA421"/>
    <w:rsid w:val="383AC750"/>
    <w:rsid w:val="383BCC3A"/>
    <w:rsid w:val="3843E777"/>
    <w:rsid w:val="384ECA6C"/>
    <w:rsid w:val="385627C2"/>
    <w:rsid w:val="38582B98"/>
    <w:rsid w:val="38652999"/>
    <w:rsid w:val="38AD7C29"/>
    <w:rsid w:val="38B63207"/>
    <w:rsid w:val="38CA9EA4"/>
    <w:rsid w:val="38EE4659"/>
    <w:rsid w:val="38F69479"/>
    <w:rsid w:val="38F7E13A"/>
    <w:rsid w:val="3903C2E4"/>
    <w:rsid w:val="39112D70"/>
    <w:rsid w:val="39184AF7"/>
    <w:rsid w:val="3932B04C"/>
    <w:rsid w:val="396ED4EF"/>
    <w:rsid w:val="39743FA9"/>
    <w:rsid w:val="397BA04F"/>
    <w:rsid w:val="3989A533"/>
    <w:rsid w:val="398CAA13"/>
    <w:rsid w:val="39904D40"/>
    <w:rsid w:val="3994E949"/>
    <w:rsid w:val="39A58F68"/>
    <w:rsid w:val="39A72D1F"/>
    <w:rsid w:val="39AA1C90"/>
    <w:rsid w:val="39C3AC0D"/>
    <w:rsid w:val="39CF6891"/>
    <w:rsid w:val="39D2B03E"/>
    <w:rsid w:val="39D71300"/>
    <w:rsid w:val="39E70852"/>
    <w:rsid w:val="3A0444E7"/>
    <w:rsid w:val="3A13AC44"/>
    <w:rsid w:val="3A172B05"/>
    <w:rsid w:val="3A260E97"/>
    <w:rsid w:val="3A2A20DA"/>
    <w:rsid w:val="3A51B5AE"/>
    <w:rsid w:val="3A888289"/>
    <w:rsid w:val="3A8A1BDA"/>
    <w:rsid w:val="3A8F5A92"/>
    <w:rsid w:val="3A9B5DDE"/>
    <w:rsid w:val="3A9FDF64"/>
    <w:rsid w:val="3AA39943"/>
    <w:rsid w:val="3AACAD33"/>
    <w:rsid w:val="3AAD94F1"/>
    <w:rsid w:val="3ABD8BDF"/>
    <w:rsid w:val="3ACA6DF8"/>
    <w:rsid w:val="3ACB1E14"/>
    <w:rsid w:val="3AD08CBE"/>
    <w:rsid w:val="3ADB00A9"/>
    <w:rsid w:val="3AE12C1C"/>
    <w:rsid w:val="3AECFAD7"/>
    <w:rsid w:val="3AEEE5AB"/>
    <w:rsid w:val="3AFC56AF"/>
    <w:rsid w:val="3AFD4F30"/>
    <w:rsid w:val="3B050EC1"/>
    <w:rsid w:val="3B058762"/>
    <w:rsid w:val="3B249235"/>
    <w:rsid w:val="3B2777C5"/>
    <w:rsid w:val="3B5196C7"/>
    <w:rsid w:val="3B655455"/>
    <w:rsid w:val="3B6A7B48"/>
    <w:rsid w:val="3B755CB9"/>
    <w:rsid w:val="3B90011F"/>
    <w:rsid w:val="3B9B58B1"/>
    <w:rsid w:val="3B9DFE6D"/>
    <w:rsid w:val="3BA1B222"/>
    <w:rsid w:val="3BB9C41A"/>
    <w:rsid w:val="3BC7B5D3"/>
    <w:rsid w:val="3BDC7F22"/>
    <w:rsid w:val="3BEC5786"/>
    <w:rsid w:val="3C089E9A"/>
    <w:rsid w:val="3C11A40B"/>
    <w:rsid w:val="3C1BD091"/>
    <w:rsid w:val="3C1C2993"/>
    <w:rsid w:val="3C296C29"/>
    <w:rsid w:val="3C3D35BF"/>
    <w:rsid w:val="3C452BDF"/>
    <w:rsid w:val="3C4E2A5F"/>
    <w:rsid w:val="3C56DDAF"/>
    <w:rsid w:val="3C594998"/>
    <w:rsid w:val="3C5EDF01"/>
    <w:rsid w:val="3C6E3D70"/>
    <w:rsid w:val="3C75A7FE"/>
    <w:rsid w:val="3C7B3D58"/>
    <w:rsid w:val="3C8B2916"/>
    <w:rsid w:val="3C8BCA22"/>
    <w:rsid w:val="3C8D2319"/>
    <w:rsid w:val="3C8D8E0A"/>
    <w:rsid w:val="3C9E745A"/>
    <w:rsid w:val="3CA781F5"/>
    <w:rsid w:val="3CA85055"/>
    <w:rsid w:val="3CC74881"/>
    <w:rsid w:val="3CDAB442"/>
    <w:rsid w:val="3CE9B783"/>
    <w:rsid w:val="3CEC2AE7"/>
    <w:rsid w:val="3CFB61B9"/>
    <w:rsid w:val="3CFDDAEC"/>
    <w:rsid w:val="3D07F04F"/>
    <w:rsid w:val="3D17A39F"/>
    <w:rsid w:val="3D2E7851"/>
    <w:rsid w:val="3D3556FB"/>
    <w:rsid w:val="3D3D42CE"/>
    <w:rsid w:val="3D56C919"/>
    <w:rsid w:val="3D6C2FC7"/>
    <w:rsid w:val="3D7D5418"/>
    <w:rsid w:val="3D86A511"/>
    <w:rsid w:val="3D9226C9"/>
    <w:rsid w:val="3D9CAFEE"/>
    <w:rsid w:val="3DAFEEDF"/>
    <w:rsid w:val="3DB22829"/>
    <w:rsid w:val="3DB7553F"/>
    <w:rsid w:val="3DD9F87A"/>
    <w:rsid w:val="3DDD9BE9"/>
    <w:rsid w:val="3DDFF40A"/>
    <w:rsid w:val="3DE3D523"/>
    <w:rsid w:val="3DE5210D"/>
    <w:rsid w:val="3DEC994A"/>
    <w:rsid w:val="3E098816"/>
    <w:rsid w:val="3E0F79C2"/>
    <w:rsid w:val="3E11DF03"/>
    <w:rsid w:val="3E139B83"/>
    <w:rsid w:val="3E168C5D"/>
    <w:rsid w:val="3E1E89E6"/>
    <w:rsid w:val="3E226BC1"/>
    <w:rsid w:val="3E3E9B2D"/>
    <w:rsid w:val="3E4C31E9"/>
    <w:rsid w:val="3E561B15"/>
    <w:rsid w:val="3E5BEAE6"/>
    <w:rsid w:val="3E68EA99"/>
    <w:rsid w:val="3E7617DC"/>
    <w:rsid w:val="3E991A53"/>
    <w:rsid w:val="3EBA335C"/>
    <w:rsid w:val="3ECA12FF"/>
    <w:rsid w:val="3EE854FC"/>
    <w:rsid w:val="3F07970E"/>
    <w:rsid w:val="3F1B080E"/>
    <w:rsid w:val="3F2FB13D"/>
    <w:rsid w:val="3F32468D"/>
    <w:rsid w:val="3F354F00"/>
    <w:rsid w:val="3F3712B9"/>
    <w:rsid w:val="3F537F8B"/>
    <w:rsid w:val="3F59D532"/>
    <w:rsid w:val="3F61EE1F"/>
    <w:rsid w:val="3F7089F8"/>
    <w:rsid w:val="3F7BE9AE"/>
    <w:rsid w:val="3F800427"/>
    <w:rsid w:val="3F82BD38"/>
    <w:rsid w:val="3F899E8F"/>
    <w:rsid w:val="3F8CDA8A"/>
    <w:rsid w:val="3FA4A533"/>
    <w:rsid w:val="3FA9EC9A"/>
    <w:rsid w:val="3FBCCF36"/>
    <w:rsid w:val="3FDF397E"/>
    <w:rsid w:val="3FE7A5AC"/>
    <w:rsid w:val="3FEA00E6"/>
    <w:rsid w:val="400C8B34"/>
    <w:rsid w:val="403D0C06"/>
    <w:rsid w:val="404A8539"/>
    <w:rsid w:val="404D3F9A"/>
    <w:rsid w:val="405A65DD"/>
    <w:rsid w:val="406CCBF8"/>
    <w:rsid w:val="406E271F"/>
    <w:rsid w:val="407D5083"/>
    <w:rsid w:val="40902673"/>
    <w:rsid w:val="409877BC"/>
    <w:rsid w:val="40A7E69C"/>
    <w:rsid w:val="40B1DAA3"/>
    <w:rsid w:val="40D256F4"/>
    <w:rsid w:val="40D5EB0D"/>
    <w:rsid w:val="40DA6BD0"/>
    <w:rsid w:val="40DE303C"/>
    <w:rsid w:val="40E5155D"/>
    <w:rsid w:val="40E9E834"/>
    <w:rsid w:val="410C981F"/>
    <w:rsid w:val="412D5074"/>
    <w:rsid w:val="413DD535"/>
    <w:rsid w:val="415EDD57"/>
    <w:rsid w:val="41645545"/>
    <w:rsid w:val="4169302D"/>
    <w:rsid w:val="416CB9AC"/>
    <w:rsid w:val="4172A371"/>
    <w:rsid w:val="417A2560"/>
    <w:rsid w:val="41841C95"/>
    <w:rsid w:val="418DFBFC"/>
    <w:rsid w:val="41954CA6"/>
    <w:rsid w:val="419A5835"/>
    <w:rsid w:val="41A4CCB1"/>
    <w:rsid w:val="41A8E66C"/>
    <w:rsid w:val="41AC5AA3"/>
    <w:rsid w:val="41B7959A"/>
    <w:rsid w:val="41BD686A"/>
    <w:rsid w:val="41CC14A5"/>
    <w:rsid w:val="41DA0529"/>
    <w:rsid w:val="41DF193C"/>
    <w:rsid w:val="41E01144"/>
    <w:rsid w:val="41ECC72A"/>
    <w:rsid w:val="41EDCFD5"/>
    <w:rsid w:val="41EE7BD8"/>
    <w:rsid w:val="42036DF7"/>
    <w:rsid w:val="42079E2C"/>
    <w:rsid w:val="420A206C"/>
    <w:rsid w:val="421E61AE"/>
    <w:rsid w:val="42214840"/>
    <w:rsid w:val="42334070"/>
    <w:rsid w:val="424E3086"/>
    <w:rsid w:val="4266DB21"/>
    <w:rsid w:val="42672931"/>
    <w:rsid w:val="426FD98A"/>
    <w:rsid w:val="4278C172"/>
    <w:rsid w:val="4279411B"/>
    <w:rsid w:val="429B75E2"/>
    <w:rsid w:val="429FA5EA"/>
    <w:rsid w:val="42AD6975"/>
    <w:rsid w:val="42B8B6FD"/>
    <w:rsid w:val="42C64B47"/>
    <w:rsid w:val="42D424BF"/>
    <w:rsid w:val="42D47764"/>
    <w:rsid w:val="42DE397B"/>
    <w:rsid w:val="42E26539"/>
    <w:rsid w:val="4305FA04"/>
    <w:rsid w:val="430D8AB0"/>
    <w:rsid w:val="4310318B"/>
    <w:rsid w:val="431060A5"/>
    <w:rsid w:val="431242E1"/>
    <w:rsid w:val="43299BF1"/>
    <w:rsid w:val="43394D63"/>
    <w:rsid w:val="4339F9D7"/>
    <w:rsid w:val="433AB5EB"/>
    <w:rsid w:val="433AEB89"/>
    <w:rsid w:val="433E5CC3"/>
    <w:rsid w:val="4363274A"/>
    <w:rsid w:val="43640733"/>
    <w:rsid w:val="43650580"/>
    <w:rsid w:val="436587AE"/>
    <w:rsid w:val="438AFB1F"/>
    <w:rsid w:val="439DAAF5"/>
    <w:rsid w:val="43B80AE7"/>
    <w:rsid w:val="43BDC439"/>
    <w:rsid w:val="43C6303B"/>
    <w:rsid w:val="43C7F31D"/>
    <w:rsid w:val="43E3EB05"/>
    <w:rsid w:val="43EDC09F"/>
    <w:rsid w:val="43F5A01C"/>
    <w:rsid w:val="43FA4040"/>
    <w:rsid w:val="440A3055"/>
    <w:rsid w:val="44105CC2"/>
    <w:rsid w:val="4418D0AC"/>
    <w:rsid w:val="442C04D7"/>
    <w:rsid w:val="442DAE11"/>
    <w:rsid w:val="4445B4C0"/>
    <w:rsid w:val="4445B50E"/>
    <w:rsid w:val="444C2B66"/>
    <w:rsid w:val="445D7358"/>
    <w:rsid w:val="445E56B6"/>
    <w:rsid w:val="445FA84C"/>
    <w:rsid w:val="44617EA5"/>
    <w:rsid w:val="4465D069"/>
    <w:rsid w:val="446B9284"/>
    <w:rsid w:val="447AB2DF"/>
    <w:rsid w:val="44880E5F"/>
    <w:rsid w:val="448D9069"/>
    <w:rsid w:val="44A13731"/>
    <w:rsid w:val="44A7CBE3"/>
    <w:rsid w:val="44A7F130"/>
    <w:rsid w:val="44D11460"/>
    <w:rsid w:val="44D116CC"/>
    <w:rsid w:val="44DF244A"/>
    <w:rsid w:val="44F61A5A"/>
    <w:rsid w:val="44FF6997"/>
    <w:rsid w:val="4502952E"/>
    <w:rsid w:val="4505DA81"/>
    <w:rsid w:val="4513F462"/>
    <w:rsid w:val="451626DE"/>
    <w:rsid w:val="451DE70C"/>
    <w:rsid w:val="452E52B9"/>
    <w:rsid w:val="453459BD"/>
    <w:rsid w:val="453F21B4"/>
    <w:rsid w:val="4553E50D"/>
    <w:rsid w:val="45605125"/>
    <w:rsid w:val="458AB238"/>
    <w:rsid w:val="458ED36C"/>
    <w:rsid w:val="4590B4FD"/>
    <w:rsid w:val="459BA88A"/>
    <w:rsid w:val="459E78C0"/>
    <w:rsid w:val="459E8571"/>
    <w:rsid w:val="45C33087"/>
    <w:rsid w:val="45C3513B"/>
    <w:rsid w:val="45C4D46E"/>
    <w:rsid w:val="45D0A754"/>
    <w:rsid w:val="45E47358"/>
    <w:rsid w:val="45E8241D"/>
    <w:rsid w:val="45EAC21E"/>
    <w:rsid w:val="45F38A0C"/>
    <w:rsid w:val="45F5998A"/>
    <w:rsid w:val="4600ED50"/>
    <w:rsid w:val="461EA73E"/>
    <w:rsid w:val="46424C7C"/>
    <w:rsid w:val="4644023E"/>
    <w:rsid w:val="464A2EC6"/>
    <w:rsid w:val="465DE18B"/>
    <w:rsid w:val="4660323B"/>
    <w:rsid w:val="46641E25"/>
    <w:rsid w:val="4668044B"/>
    <w:rsid w:val="466AC6BB"/>
    <w:rsid w:val="466B9EEE"/>
    <w:rsid w:val="466C5CE5"/>
    <w:rsid w:val="466CBBBB"/>
    <w:rsid w:val="4685DF04"/>
    <w:rsid w:val="46B1135E"/>
    <w:rsid w:val="46C81C3A"/>
    <w:rsid w:val="46D8476E"/>
    <w:rsid w:val="46DAF6E0"/>
    <w:rsid w:val="46EC2949"/>
    <w:rsid w:val="46F49A74"/>
    <w:rsid w:val="470A6BA1"/>
    <w:rsid w:val="471AEA45"/>
    <w:rsid w:val="472B6D29"/>
    <w:rsid w:val="4741EAC8"/>
    <w:rsid w:val="47536A84"/>
    <w:rsid w:val="4753BB00"/>
    <w:rsid w:val="4769D6CD"/>
    <w:rsid w:val="477F136A"/>
    <w:rsid w:val="4786DD7B"/>
    <w:rsid w:val="47949F3D"/>
    <w:rsid w:val="47970928"/>
    <w:rsid w:val="479CC531"/>
    <w:rsid w:val="47A63889"/>
    <w:rsid w:val="47AAB27A"/>
    <w:rsid w:val="47B55D7F"/>
    <w:rsid w:val="47B6C4DB"/>
    <w:rsid w:val="47BEABA1"/>
    <w:rsid w:val="47D72640"/>
    <w:rsid w:val="47D9BC0E"/>
    <w:rsid w:val="48072798"/>
    <w:rsid w:val="480EDEAC"/>
    <w:rsid w:val="482AD221"/>
    <w:rsid w:val="4836B619"/>
    <w:rsid w:val="4840E18D"/>
    <w:rsid w:val="4850BC70"/>
    <w:rsid w:val="48514F00"/>
    <w:rsid w:val="4851D720"/>
    <w:rsid w:val="4859AA93"/>
    <w:rsid w:val="488EE598"/>
    <w:rsid w:val="4892A8A9"/>
    <w:rsid w:val="4897B971"/>
    <w:rsid w:val="48985507"/>
    <w:rsid w:val="48A29DBE"/>
    <w:rsid w:val="48ABD861"/>
    <w:rsid w:val="48B2B836"/>
    <w:rsid w:val="48C9D212"/>
    <w:rsid w:val="48D4FD83"/>
    <w:rsid w:val="48D86A16"/>
    <w:rsid w:val="48E25D6E"/>
    <w:rsid w:val="48F89BDF"/>
    <w:rsid w:val="490BB01D"/>
    <w:rsid w:val="490BF72A"/>
    <w:rsid w:val="490D3116"/>
    <w:rsid w:val="490E809B"/>
    <w:rsid w:val="4917074A"/>
    <w:rsid w:val="4942CDD2"/>
    <w:rsid w:val="494E5D6B"/>
    <w:rsid w:val="49518D3D"/>
    <w:rsid w:val="495C25AD"/>
    <w:rsid w:val="496C4FAB"/>
    <w:rsid w:val="49898DB7"/>
    <w:rsid w:val="498D0216"/>
    <w:rsid w:val="49A8ADFB"/>
    <w:rsid w:val="49AECC28"/>
    <w:rsid w:val="49B199E6"/>
    <w:rsid w:val="49B72B9C"/>
    <w:rsid w:val="49C084D2"/>
    <w:rsid w:val="49C3366D"/>
    <w:rsid w:val="49CBC5F7"/>
    <w:rsid w:val="49D047D3"/>
    <w:rsid w:val="49D282C9"/>
    <w:rsid w:val="49DAE91B"/>
    <w:rsid w:val="49DDCCDF"/>
    <w:rsid w:val="49EA986F"/>
    <w:rsid w:val="49F16269"/>
    <w:rsid w:val="49F3DF46"/>
    <w:rsid w:val="49F8971F"/>
    <w:rsid w:val="49FC58B6"/>
    <w:rsid w:val="49FC6F27"/>
    <w:rsid w:val="4A0398E2"/>
    <w:rsid w:val="4A0C0AB7"/>
    <w:rsid w:val="4A1B3170"/>
    <w:rsid w:val="4A1DFEFD"/>
    <w:rsid w:val="4A230ED7"/>
    <w:rsid w:val="4A366E7F"/>
    <w:rsid w:val="4A4381AF"/>
    <w:rsid w:val="4A4ABEBB"/>
    <w:rsid w:val="4A57C334"/>
    <w:rsid w:val="4A75CAB9"/>
    <w:rsid w:val="4A8FC5E4"/>
    <w:rsid w:val="4A9349C8"/>
    <w:rsid w:val="4A9CBC8E"/>
    <w:rsid w:val="4AA342FE"/>
    <w:rsid w:val="4AB44F05"/>
    <w:rsid w:val="4ABCF154"/>
    <w:rsid w:val="4AC060F1"/>
    <w:rsid w:val="4AC98252"/>
    <w:rsid w:val="4ACFA920"/>
    <w:rsid w:val="4AD50DBE"/>
    <w:rsid w:val="4ADD7CD9"/>
    <w:rsid w:val="4AE18A6E"/>
    <w:rsid w:val="4AE7A117"/>
    <w:rsid w:val="4AEB2C94"/>
    <w:rsid w:val="4AEEC852"/>
    <w:rsid w:val="4AF17890"/>
    <w:rsid w:val="4B0BD14F"/>
    <w:rsid w:val="4B1BB453"/>
    <w:rsid w:val="4B355907"/>
    <w:rsid w:val="4B6D1E9A"/>
    <w:rsid w:val="4B73C201"/>
    <w:rsid w:val="4B75D2CB"/>
    <w:rsid w:val="4B9CA574"/>
    <w:rsid w:val="4B9E1EC2"/>
    <w:rsid w:val="4BB2E1D4"/>
    <w:rsid w:val="4BB3F7FE"/>
    <w:rsid w:val="4BB58A1A"/>
    <w:rsid w:val="4BB6513C"/>
    <w:rsid w:val="4BC77E53"/>
    <w:rsid w:val="4BD1F526"/>
    <w:rsid w:val="4BD646E3"/>
    <w:rsid w:val="4BE9AB44"/>
    <w:rsid w:val="4BF78119"/>
    <w:rsid w:val="4C0200A7"/>
    <w:rsid w:val="4C265FE9"/>
    <w:rsid w:val="4C381A4A"/>
    <w:rsid w:val="4C45604D"/>
    <w:rsid w:val="4C4E94B1"/>
    <w:rsid w:val="4C604A7E"/>
    <w:rsid w:val="4C79AF7C"/>
    <w:rsid w:val="4C7E2D32"/>
    <w:rsid w:val="4C8C947C"/>
    <w:rsid w:val="4C998CB8"/>
    <w:rsid w:val="4CA843E7"/>
    <w:rsid w:val="4CAB9C74"/>
    <w:rsid w:val="4CAEBD7A"/>
    <w:rsid w:val="4CBC7610"/>
    <w:rsid w:val="4CC3DF7A"/>
    <w:rsid w:val="4CC659A3"/>
    <w:rsid w:val="4CCDB7FB"/>
    <w:rsid w:val="4CCE015C"/>
    <w:rsid w:val="4CD1DCF1"/>
    <w:rsid w:val="4CD37A28"/>
    <w:rsid w:val="4CD9C84E"/>
    <w:rsid w:val="4CE19814"/>
    <w:rsid w:val="4CE4EA2B"/>
    <w:rsid w:val="4CE64ED6"/>
    <w:rsid w:val="4D1CF435"/>
    <w:rsid w:val="4D2098D2"/>
    <w:rsid w:val="4D257BA0"/>
    <w:rsid w:val="4D2C4816"/>
    <w:rsid w:val="4D2DD48B"/>
    <w:rsid w:val="4D5AD585"/>
    <w:rsid w:val="4D6674D5"/>
    <w:rsid w:val="4D7171BF"/>
    <w:rsid w:val="4DC0659B"/>
    <w:rsid w:val="4DCCEFC3"/>
    <w:rsid w:val="4DF6EB2D"/>
    <w:rsid w:val="4DFCAD99"/>
    <w:rsid w:val="4E09A4E8"/>
    <w:rsid w:val="4E15F50C"/>
    <w:rsid w:val="4E1C8FD8"/>
    <w:rsid w:val="4E218158"/>
    <w:rsid w:val="4E278217"/>
    <w:rsid w:val="4E2D53A0"/>
    <w:rsid w:val="4E3AF9CC"/>
    <w:rsid w:val="4E4ADF9A"/>
    <w:rsid w:val="4E4B7498"/>
    <w:rsid w:val="4E5F5536"/>
    <w:rsid w:val="4E6E3218"/>
    <w:rsid w:val="4E8D927E"/>
    <w:rsid w:val="4EA00ECA"/>
    <w:rsid w:val="4EAFF530"/>
    <w:rsid w:val="4EC07CAD"/>
    <w:rsid w:val="4EC44484"/>
    <w:rsid w:val="4EC49EF9"/>
    <w:rsid w:val="4ECA1739"/>
    <w:rsid w:val="4ED88993"/>
    <w:rsid w:val="4EDBE720"/>
    <w:rsid w:val="4EEA80EF"/>
    <w:rsid w:val="4EF5B742"/>
    <w:rsid w:val="4F0A34B1"/>
    <w:rsid w:val="4F0B710D"/>
    <w:rsid w:val="4F0EFE8B"/>
    <w:rsid w:val="4F12ED55"/>
    <w:rsid w:val="4F1CD5E6"/>
    <w:rsid w:val="4F1DB4E7"/>
    <w:rsid w:val="4F2A1B50"/>
    <w:rsid w:val="4F3A4002"/>
    <w:rsid w:val="4F4B5517"/>
    <w:rsid w:val="4F4D0C70"/>
    <w:rsid w:val="4F4E78BD"/>
    <w:rsid w:val="4F57EB33"/>
    <w:rsid w:val="4F6361E4"/>
    <w:rsid w:val="4F66FBB3"/>
    <w:rsid w:val="4F82788E"/>
    <w:rsid w:val="4F83788E"/>
    <w:rsid w:val="4FA6D9C4"/>
    <w:rsid w:val="4FB8C0FD"/>
    <w:rsid w:val="4FBB3526"/>
    <w:rsid w:val="4FC5445F"/>
    <w:rsid w:val="4FD406F3"/>
    <w:rsid w:val="4FD9A7B0"/>
    <w:rsid w:val="4FE4C2C0"/>
    <w:rsid w:val="4FE74B53"/>
    <w:rsid w:val="4FEF7284"/>
    <w:rsid w:val="4FFC9599"/>
    <w:rsid w:val="500394FB"/>
    <w:rsid w:val="502091CD"/>
    <w:rsid w:val="50234B5C"/>
    <w:rsid w:val="5029EB79"/>
    <w:rsid w:val="502D4765"/>
    <w:rsid w:val="50306247"/>
    <w:rsid w:val="503AFCA3"/>
    <w:rsid w:val="5051F5B4"/>
    <w:rsid w:val="50568CE3"/>
    <w:rsid w:val="5071597D"/>
    <w:rsid w:val="50754B38"/>
    <w:rsid w:val="5094DFDF"/>
    <w:rsid w:val="509E54C9"/>
    <w:rsid w:val="50A732A9"/>
    <w:rsid w:val="50CB218D"/>
    <w:rsid w:val="50CD0E37"/>
    <w:rsid w:val="50CF1432"/>
    <w:rsid w:val="50D144A8"/>
    <w:rsid w:val="50EDF172"/>
    <w:rsid w:val="50FC9563"/>
    <w:rsid w:val="50FD2205"/>
    <w:rsid w:val="51025785"/>
    <w:rsid w:val="511BF1CF"/>
    <w:rsid w:val="512F872E"/>
    <w:rsid w:val="5136CA35"/>
    <w:rsid w:val="5138F043"/>
    <w:rsid w:val="51423FE0"/>
    <w:rsid w:val="5162E988"/>
    <w:rsid w:val="516FE4B0"/>
    <w:rsid w:val="517D3339"/>
    <w:rsid w:val="517F927F"/>
    <w:rsid w:val="5192740F"/>
    <w:rsid w:val="51A0536B"/>
    <w:rsid w:val="51A0A52E"/>
    <w:rsid w:val="51A9C129"/>
    <w:rsid w:val="51AE2AE4"/>
    <w:rsid w:val="51B2A772"/>
    <w:rsid w:val="51C44CF9"/>
    <w:rsid w:val="51C86D96"/>
    <w:rsid w:val="51F2C470"/>
    <w:rsid w:val="51FA2562"/>
    <w:rsid w:val="51FB9EFC"/>
    <w:rsid w:val="520F9B63"/>
    <w:rsid w:val="52163943"/>
    <w:rsid w:val="52213A94"/>
    <w:rsid w:val="52467CFD"/>
    <w:rsid w:val="5249203C"/>
    <w:rsid w:val="5257DEB5"/>
    <w:rsid w:val="5257DF8B"/>
    <w:rsid w:val="525984BD"/>
    <w:rsid w:val="525E3A02"/>
    <w:rsid w:val="52679D74"/>
    <w:rsid w:val="5275CA1B"/>
    <w:rsid w:val="528650C9"/>
    <w:rsid w:val="528DA3EA"/>
    <w:rsid w:val="52915D61"/>
    <w:rsid w:val="5293243A"/>
    <w:rsid w:val="52A204C1"/>
    <w:rsid w:val="52AF0FAC"/>
    <w:rsid w:val="52B5B2EE"/>
    <w:rsid w:val="52B7A63A"/>
    <w:rsid w:val="52B84C31"/>
    <w:rsid w:val="52C30A50"/>
    <w:rsid w:val="52C94534"/>
    <w:rsid w:val="52D3D906"/>
    <w:rsid w:val="52E286AE"/>
    <w:rsid w:val="52E80237"/>
    <w:rsid w:val="52EA0D66"/>
    <w:rsid w:val="52EDDBCD"/>
    <w:rsid w:val="52F2BC63"/>
    <w:rsid w:val="52F72507"/>
    <w:rsid w:val="5309424A"/>
    <w:rsid w:val="5314323A"/>
    <w:rsid w:val="531892C0"/>
    <w:rsid w:val="53189AF2"/>
    <w:rsid w:val="531D853C"/>
    <w:rsid w:val="5325F7D1"/>
    <w:rsid w:val="53539406"/>
    <w:rsid w:val="53721AEB"/>
    <w:rsid w:val="537AA7BF"/>
    <w:rsid w:val="53845ACD"/>
    <w:rsid w:val="5393C96A"/>
    <w:rsid w:val="53AB4A73"/>
    <w:rsid w:val="53B0B9C7"/>
    <w:rsid w:val="53B79673"/>
    <w:rsid w:val="53C94B90"/>
    <w:rsid w:val="53CC9427"/>
    <w:rsid w:val="53DC4D82"/>
    <w:rsid w:val="53DD3B01"/>
    <w:rsid w:val="53DE4D52"/>
    <w:rsid w:val="53EFFD9C"/>
    <w:rsid w:val="53F0D0E4"/>
    <w:rsid w:val="53FB0A5E"/>
    <w:rsid w:val="54020E0E"/>
    <w:rsid w:val="541AEFFB"/>
    <w:rsid w:val="542B4AA6"/>
    <w:rsid w:val="542BA8F5"/>
    <w:rsid w:val="54376C7B"/>
    <w:rsid w:val="543A172F"/>
    <w:rsid w:val="5440A0B5"/>
    <w:rsid w:val="5441C66A"/>
    <w:rsid w:val="5444D7B3"/>
    <w:rsid w:val="544C8506"/>
    <w:rsid w:val="5469A44A"/>
    <w:rsid w:val="548B5DB3"/>
    <w:rsid w:val="5493CE4F"/>
    <w:rsid w:val="54A2B424"/>
    <w:rsid w:val="54AEED97"/>
    <w:rsid w:val="54B20A52"/>
    <w:rsid w:val="54B244CC"/>
    <w:rsid w:val="54C09349"/>
    <w:rsid w:val="54C5B69F"/>
    <w:rsid w:val="54CACD58"/>
    <w:rsid w:val="54E27372"/>
    <w:rsid w:val="552772E7"/>
    <w:rsid w:val="553DEB9E"/>
    <w:rsid w:val="554104C6"/>
    <w:rsid w:val="5546B824"/>
    <w:rsid w:val="55643084"/>
    <w:rsid w:val="5577FE12"/>
    <w:rsid w:val="5582D53A"/>
    <w:rsid w:val="55956A24"/>
    <w:rsid w:val="55B55567"/>
    <w:rsid w:val="55CCE9E0"/>
    <w:rsid w:val="55D4EDAE"/>
    <w:rsid w:val="55E95779"/>
    <w:rsid w:val="55F06B19"/>
    <w:rsid w:val="55F95190"/>
    <w:rsid w:val="55FF85CB"/>
    <w:rsid w:val="56134128"/>
    <w:rsid w:val="5623E7E5"/>
    <w:rsid w:val="563BE5FF"/>
    <w:rsid w:val="5668BEA5"/>
    <w:rsid w:val="56738F1F"/>
    <w:rsid w:val="568F79EE"/>
    <w:rsid w:val="569D37BC"/>
    <w:rsid w:val="56BE76C9"/>
    <w:rsid w:val="56C15B27"/>
    <w:rsid w:val="56D62B4E"/>
    <w:rsid w:val="56DD4C85"/>
    <w:rsid w:val="56DF6E73"/>
    <w:rsid w:val="56E2FD35"/>
    <w:rsid w:val="56E63455"/>
    <w:rsid w:val="56F1B14F"/>
    <w:rsid w:val="5701EF1A"/>
    <w:rsid w:val="570352EF"/>
    <w:rsid w:val="570BF657"/>
    <w:rsid w:val="57181283"/>
    <w:rsid w:val="57199D24"/>
    <w:rsid w:val="5727BFF0"/>
    <w:rsid w:val="5731B1A7"/>
    <w:rsid w:val="57340CC3"/>
    <w:rsid w:val="573B2E37"/>
    <w:rsid w:val="574208C1"/>
    <w:rsid w:val="5753C16A"/>
    <w:rsid w:val="5762D65D"/>
    <w:rsid w:val="5770DC15"/>
    <w:rsid w:val="5782F11E"/>
    <w:rsid w:val="578482C9"/>
    <w:rsid w:val="57877D8F"/>
    <w:rsid w:val="578A49F2"/>
    <w:rsid w:val="578DF11C"/>
    <w:rsid w:val="57A03639"/>
    <w:rsid w:val="57A4AC83"/>
    <w:rsid w:val="57AB986D"/>
    <w:rsid w:val="57BCF7E0"/>
    <w:rsid w:val="57D2E930"/>
    <w:rsid w:val="57FA7FCE"/>
    <w:rsid w:val="5802A504"/>
    <w:rsid w:val="5806A299"/>
    <w:rsid w:val="58115C50"/>
    <w:rsid w:val="5812A144"/>
    <w:rsid w:val="581753E4"/>
    <w:rsid w:val="5826BF13"/>
    <w:rsid w:val="58339F10"/>
    <w:rsid w:val="5840E1F7"/>
    <w:rsid w:val="584954A8"/>
    <w:rsid w:val="584A0BCD"/>
    <w:rsid w:val="5868D28F"/>
    <w:rsid w:val="586BCE19"/>
    <w:rsid w:val="587FD697"/>
    <w:rsid w:val="58830B1F"/>
    <w:rsid w:val="588F3E5F"/>
    <w:rsid w:val="589CE772"/>
    <w:rsid w:val="58AEAB1E"/>
    <w:rsid w:val="58C48636"/>
    <w:rsid w:val="58C7555E"/>
    <w:rsid w:val="58CE7706"/>
    <w:rsid w:val="58DAC7E3"/>
    <w:rsid w:val="58DF34A2"/>
    <w:rsid w:val="58E246DA"/>
    <w:rsid w:val="58E4B7D1"/>
    <w:rsid w:val="58EA4A77"/>
    <w:rsid w:val="58FFB089"/>
    <w:rsid w:val="590770A6"/>
    <w:rsid w:val="59135070"/>
    <w:rsid w:val="5917F862"/>
    <w:rsid w:val="593C6527"/>
    <w:rsid w:val="59470156"/>
    <w:rsid w:val="594716D6"/>
    <w:rsid w:val="5949FCEF"/>
    <w:rsid w:val="595C7D23"/>
    <w:rsid w:val="595DDB3B"/>
    <w:rsid w:val="596B8A62"/>
    <w:rsid w:val="597C8B4D"/>
    <w:rsid w:val="597E315E"/>
    <w:rsid w:val="5986476C"/>
    <w:rsid w:val="599089FF"/>
    <w:rsid w:val="5993DFA5"/>
    <w:rsid w:val="59A3F6FF"/>
    <w:rsid w:val="59A5988B"/>
    <w:rsid w:val="59B17273"/>
    <w:rsid w:val="59B30DFC"/>
    <w:rsid w:val="59C86D03"/>
    <w:rsid w:val="59E0E9DB"/>
    <w:rsid w:val="59E45FB4"/>
    <w:rsid w:val="59F391D5"/>
    <w:rsid w:val="59F6E7D0"/>
    <w:rsid w:val="5A010D64"/>
    <w:rsid w:val="5A0473DD"/>
    <w:rsid w:val="5A11781C"/>
    <w:rsid w:val="5A332A36"/>
    <w:rsid w:val="5A3A50E1"/>
    <w:rsid w:val="5A6585D6"/>
    <w:rsid w:val="5A66C14D"/>
    <w:rsid w:val="5A8675FA"/>
    <w:rsid w:val="5AA0596F"/>
    <w:rsid w:val="5AA2968A"/>
    <w:rsid w:val="5ACDF6D8"/>
    <w:rsid w:val="5AD4A673"/>
    <w:rsid w:val="5AD8A2AF"/>
    <w:rsid w:val="5AE8A6F6"/>
    <w:rsid w:val="5AF07846"/>
    <w:rsid w:val="5B003051"/>
    <w:rsid w:val="5B196509"/>
    <w:rsid w:val="5B3D9154"/>
    <w:rsid w:val="5B46F478"/>
    <w:rsid w:val="5B47CE46"/>
    <w:rsid w:val="5B58F8C8"/>
    <w:rsid w:val="5B5AFED4"/>
    <w:rsid w:val="5B6F25E0"/>
    <w:rsid w:val="5B76FDF4"/>
    <w:rsid w:val="5B899AD4"/>
    <w:rsid w:val="5B8F809B"/>
    <w:rsid w:val="5B928199"/>
    <w:rsid w:val="5BA3E89F"/>
    <w:rsid w:val="5BA4B5BA"/>
    <w:rsid w:val="5BA70587"/>
    <w:rsid w:val="5BA825EC"/>
    <w:rsid w:val="5BAF1179"/>
    <w:rsid w:val="5BBA25C3"/>
    <w:rsid w:val="5BBE21D1"/>
    <w:rsid w:val="5BC5A73F"/>
    <w:rsid w:val="5BD128B1"/>
    <w:rsid w:val="5BD31DE9"/>
    <w:rsid w:val="5BD62890"/>
    <w:rsid w:val="5BD7CA69"/>
    <w:rsid w:val="5BDB6755"/>
    <w:rsid w:val="5BE60694"/>
    <w:rsid w:val="5BE8E1CE"/>
    <w:rsid w:val="5BFB33A5"/>
    <w:rsid w:val="5C1649AC"/>
    <w:rsid w:val="5C28DF4A"/>
    <w:rsid w:val="5C34AE6F"/>
    <w:rsid w:val="5C3C07D4"/>
    <w:rsid w:val="5C3F1F9A"/>
    <w:rsid w:val="5C429A50"/>
    <w:rsid w:val="5C48F93F"/>
    <w:rsid w:val="5C4C0120"/>
    <w:rsid w:val="5C5296C5"/>
    <w:rsid w:val="5C58A395"/>
    <w:rsid w:val="5C5AE563"/>
    <w:rsid w:val="5C5D08F9"/>
    <w:rsid w:val="5C6F827D"/>
    <w:rsid w:val="5C76E280"/>
    <w:rsid w:val="5C8F9FF8"/>
    <w:rsid w:val="5CABF057"/>
    <w:rsid w:val="5CBC7566"/>
    <w:rsid w:val="5CD093DE"/>
    <w:rsid w:val="5CDFB435"/>
    <w:rsid w:val="5CE4F6ED"/>
    <w:rsid w:val="5D04F7FF"/>
    <w:rsid w:val="5D083DEF"/>
    <w:rsid w:val="5D0DA691"/>
    <w:rsid w:val="5D14219D"/>
    <w:rsid w:val="5D1EA7ED"/>
    <w:rsid w:val="5D1FD3F3"/>
    <w:rsid w:val="5D2015CC"/>
    <w:rsid w:val="5D3655AD"/>
    <w:rsid w:val="5D3FAFA3"/>
    <w:rsid w:val="5D49D34B"/>
    <w:rsid w:val="5D4D3379"/>
    <w:rsid w:val="5D628617"/>
    <w:rsid w:val="5D64C6DF"/>
    <w:rsid w:val="5D694A1E"/>
    <w:rsid w:val="5D6D8056"/>
    <w:rsid w:val="5D6F2311"/>
    <w:rsid w:val="5D92ED94"/>
    <w:rsid w:val="5D933B39"/>
    <w:rsid w:val="5D98F13B"/>
    <w:rsid w:val="5D99B7C5"/>
    <w:rsid w:val="5DA11ACA"/>
    <w:rsid w:val="5DBBB5C7"/>
    <w:rsid w:val="5DBFFE9A"/>
    <w:rsid w:val="5DC6220F"/>
    <w:rsid w:val="5DCF05BA"/>
    <w:rsid w:val="5DE29B7B"/>
    <w:rsid w:val="5DEBCF93"/>
    <w:rsid w:val="5DFAAA2B"/>
    <w:rsid w:val="5DFF11F0"/>
    <w:rsid w:val="5E20BAAA"/>
    <w:rsid w:val="5E3BBACF"/>
    <w:rsid w:val="5E4367F4"/>
    <w:rsid w:val="5E4A7BE3"/>
    <w:rsid w:val="5E4E031F"/>
    <w:rsid w:val="5E56AA1C"/>
    <w:rsid w:val="5E8D01E9"/>
    <w:rsid w:val="5E9834CB"/>
    <w:rsid w:val="5EA0A1AE"/>
    <w:rsid w:val="5EA72893"/>
    <w:rsid w:val="5EAADBA6"/>
    <w:rsid w:val="5EC70EE9"/>
    <w:rsid w:val="5EC8BE14"/>
    <w:rsid w:val="5EF85B79"/>
    <w:rsid w:val="5EF8B9CE"/>
    <w:rsid w:val="5F002D38"/>
    <w:rsid w:val="5F01F208"/>
    <w:rsid w:val="5F04D55C"/>
    <w:rsid w:val="5F16B97C"/>
    <w:rsid w:val="5F1CD017"/>
    <w:rsid w:val="5F2CF2A2"/>
    <w:rsid w:val="5F2E7373"/>
    <w:rsid w:val="5F36C6D6"/>
    <w:rsid w:val="5F4EB71B"/>
    <w:rsid w:val="5F5624B3"/>
    <w:rsid w:val="5F5C85D7"/>
    <w:rsid w:val="5F5F9FFF"/>
    <w:rsid w:val="5F7856E8"/>
    <w:rsid w:val="5F841FE4"/>
    <w:rsid w:val="5F8D64AC"/>
    <w:rsid w:val="5FB75736"/>
    <w:rsid w:val="5FBA349E"/>
    <w:rsid w:val="5FBC84B3"/>
    <w:rsid w:val="5FD316DF"/>
    <w:rsid w:val="5FD920A5"/>
    <w:rsid w:val="5FEAB51C"/>
    <w:rsid w:val="5FEC2258"/>
    <w:rsid w:val="60080D5E"/>
    <w:rsid w:val="6014988D"/>
    <w:rsid w:val="6022EC75"/>
    <w:rsid w:val="602A3D7E"/>
    <w:rsid w:val="602D2622"/>
    <w:rsid w:val="6034B74D"/>
    <w:rsid w:val="6038A38A"/>
    <w:rsid w:val="603B808C"/>
    <w:rsid w:val="604610FC"/>
    <w:rsid w:val="60473123"/>
    <w:rsid w:val="604D7145"/>
    <w:rsid w:val="60513E73"/>
    <w:rsid w:val="605CD2EB"/>
    <w:rsid w:val="606956D4"/>
    <w:rsid w:val="606A21C5"/>
    <w:rsid w:val="609275E3"/>
    <w:rsid w:val="6099C387"/>
    <w:rsid w:val="609D7EF4"/>
    <w:rsid w:val="609F04A1"/>
    <w:rsid w:val="60B2B65C"/>
    <w:rsid w:val="60DD3E69"/>
    <w:rsid w:val="60E33FC8"/>
    <w:rsid w:val="60EA1355"/>
    <w:rsid w:val="60F92B56"/>
    <w:rsid w:val="61080783"/>
    <w:rsid w:val="610E3F9D"/>
    <w:rsid w:val="6111E08E"/>
    <w:rsid w:val="6111E7CC"/>
    <w:rsid w:val="611D18C4"/>
    <w:rsid w:val="611F0363"/>
    <w:rsid w:val="612486C5"/>
    <w:rsid w:val="61255A20"/>
    <w:rsid w:val="6149B193"/>
    <w:rsid w:val="61539282"/>
    <w:rsid w:val="6171BFE7"/>
    <w:rsid w:val="61837D66"/>
    <w:rsid w:val="618F7C68"/>
    <w:rsid w:val="61A0EAD4"/>
    <w:rsid w:val="61A4DD7C"/>
    <w:rsid w:val="61D4087F"/>
    <w:rsid w:val="61EB8546"/>
    <w:rsid w:val="61ECFD4D"/>
    <w:rsid w:val="61EF8C8C"/>
    <w:rsid w:val="61F74F1F"/>
    <w:rsid w:val="620B88F9"/>
    <w:rsid w:val="6211DC28"/>
    <w:rsid w:val="6214EC2A"/>
    <w:rsid w:val="62211834"/>
    <w:rsid w:val="6222E46D"/>
    <w:rsid w:val="62307D03"/>
    <w:rsid w:val="623362CD"/>
    <w:rsid w:val="623F8C69"/>
    <w:rsid w:val="62420F8A"/>
    <w:rsid w:val="62479F6C"/>
    <w:rsid w:val="6249B3E0"/>
    <w:rsid w:val="624B49A1"/>
    <w:rsid w:val="624E1B4D"/>
    <w:rsid w:val="625281BD"/>
    <w:rsid w:val="6259B6F3"/>
    <w:rsid w:val="625F5197"/>
    <w:rsid w:val="62653EEE"/>
    <w:rsid w:val="62718168"/>
    <w:rsid w:val="628BB99B"/>
    <w:rsid w:val="62A63AD1"/>
    <w:rsid w:val="62A9C2D5"/>
    <w:rsid w:val="62AEE4FC"/>
    <w:rsid w:val="62B83307"/>
    <w:rsid w:val="62C6773B"/>
    <w:rsid w:val="62E189D7"/>
    <w:rsid w:val="62F129BA"/>
    <w:rsid w:val="62F9C5E3"/>
    <w:rsid w:val="63078EA0"/>
    <w:rsid w:val="6307BAEF"/>
    <w:rsid w:val="63144646"/>
    <w:rsid w:val="6316FF84"/>
    <w:rsid w:val="632321EF"/>
    <w:rsid w:val="6327CC44"/>
    <w:rsid w:val="632AB6C1"/>
    <w:rsid w:val="632BB195"/>
    <w:rsid w:val="63379FFC"/>
    <w:rsid w:val="634D5451"/>
    <w:rsid w:val="635380E1"/>
    <w:rsid w:val="637D213D"/>
    <w:rsid w:val="637D398C"/>
    <w:rsid w:val="63871100"/>
    <w:rsid w:val="638D8782"/>
    <w:rsid w:val="639B965E"/>
    <w:rsid w:val="63A064BC"/>
    <w:rsid w:val="63A2FDF5"/>
    <w:rsid w:val="63AD2201"/>
    <w:rsid w:val="63D96CC4"/>
    <w:rsid w:val="63DCA209"/>
    <w:rsid w:val="63E4517C"/>
    <w:rsid w:val="63F4F0FE"/>
    <w:rsid w:val="63FA1503"/>
    <w:rsid w:val="641415A8"/>
    <w:rsid w:val="641E8B21"/>
    <w:rsid w:val="641FE802"/>
    <w:rsid w:val="64242CD0"/>
    <w:rsid w:val="642EE86F"/>
    <w:rsid w:val="643F8D2A"/>
    <w:rsid w:val="644F76CA"/>
    <w:rsid w:val="647B1C31"/>
    <w:rsid w:val="64813873"/>
    <w:rsid w:val="6481F790"/>
    <w:rsid w:val="6485247C"/>
    <w:rsid w:val="648A5917"/>
    <w:rsid w:val="648D4756"/>
    <w:rsid w:val="6497385C"/>
    <w:rsid w:val="64A6B352"/>
    <w:rsid w:val="64AE2944"/>
    <w:rsid w:val="64B11298"/>
    <w:rsid w:val="64DCFEB9"/>
    <w:rsid w:val="64EE04CF"/>
    <w:rsid w:val="64F18241"/>
    <w:rsid w:val="64FAD171"/>
    <w:rsid w:val="64FF9D79"/>
    <w:rsid w:val="65035BA6"/>
    <w:rsid w:val="651C2AFA"/>
    <w:rsid w:val="652A1092"/>
    <w:rsid w:val="65422206"/>
    <w:rsid w:val="65429215"/>
    <w:rsid w:val="655D576C"/>
    <w:rsid w:val="6561FB95"/>
    <w:rsid w:val="65626E5A"/>
    <w:rsid w:val="657B7D5D"/>
    <w:rsid w:val="65874BD9"/>
    <w:rsid w:val="65995781"/>
    <w:rsid w:val="65A3A077"/>
    <w:rsid w:val="65AEA7D5"/>
    <w:rsid w:val="65B7B8E2"/>
    <w:rsid w:val="65B92655"/>
    <w:rsid w:val="65DEA473"/>
    <w:rsid w:val="65E46D4B"/>
    <w:rsid w:val="65FA0536"/>
    <w:rsid w:val="65FDEE90"/>
    <w:rsid w:val="661FBA4A"/>
    <w:rsid w:val="6634314E"/>
    <w:rsid w:val="663BAA95"/>
    <w:rsid w:val="6646344C"/>
    <w:rsid w:val="6649BEFA"/>
    <w:rsid w:val="6656D5B7"/>
    <w:rsid w:val="665DFA74"/>
    <w:rsid w:val="666E1F62"/>
    <w:rsid w:val="6671CE9F"/>
    <w:rsid w:val="6683DE7C"/>
    <w:rsid w:val="66869B03"/>
    <w:rsid w:val="668B232A"/>
    <w:rsid w:val="66958E0E"/>
    <w:rsid w:val="66A0F801"/>
    <w:rsid w:val="66B5C1A3"/>
    <w:rsid w:val="66E65C68"/>
    <w:rsid w:val="66ED673D"/>
    <w:rsid w:val="66EEA365"/>
    <w:rsid w:val="66F36AF0"/>
    <w:rsid w:val="67011841"/>
    <w:rsid w:val="6704B37F"/>
    <w:rsid w:val="670C02AB"/>
    <w:rsid w:val="670F9D86"/>
    <w:rsid w:val="67198249"/>
    <w:rsid w:val="67233411"/>
    <w:rsid w:val="6723F35C"/>
    <w:rsid w:val="672B8A87"/>
    <w:rsid w:val="6740E0C1"/>
    <w:rsid w:val="6747F070"/>
    <w:rsid w:val="674DA2BA"/>
    <w:rsid w:val="6764393C"/>
    <w:rsid w:val="67668D3D"/>
    <w:rsid w:val="6776DE4D"/>
    <w:rsid w:val="67778390"/>
    <w:rsid w:val="678027FC"/>
    <w:rsid w:val="6782C465"/>
    <w:rsid w:val="67948B18"/>
    <w:rsid w:val="679B0DEF"/>
    <w:rsid w:val="67A113A1"/>
    <w:rsid w:val="67A6822F"/>
    <w:rsid w:val="67BA02B3"/>
    <w:rsid w:val="67C9C6AD"/>
    <w:rsid w:val="67D0F918"/>
    <w:rsid w:val="67D54875"/>
    <w:rsid w:val="67D94030"/>
    <w:rsid w:val="67DE4518"/>
    <w:rsid w:val="67EEB444"/>
    <w:rsid w:val="67F88FB0"/>
    <w:rsid w:val="67FCEDD4"/>
    <w:rsid w:val="6804E50A"/>
    <w:rsid w:val="680B69F2"/>
    <w:rsid w:val="680F1C84"/>
    <w:rsid w:val="681CBD09"/>
    <w:rsid w:val="68215D8E"/>
    <w:rsid w:val="6825F539"/>
    <w:rsid w:val="6827C5D8"/>
    <w:rsid w:val="682F2CED"/>
    <w:rsid w:val="68365A7D"/>
    <w:rsid w:val="6837CC66"/>
    <w:rsid w:val="683E34EC"/>
    <w:rsid w:val="6842B018"/>
    <w:rsid w:val="6845819F"/>
    <w:rsid w:val="68465162"/>
    <w:rsid w:val="684D05BA"/>
    <w:rsid w:val="686AAC8A"/>
    <w:rsid w:val="687481C1"/>
    <w:rsid w:val="68752E45"/>
    <w:rsid w:val="688495E6"/>
    <w:rsid w:val="6898E48C"/>
    <w:rsid w:val="689E98F8"/>
    <w:rsid w:val="68C9F97B"/>
    <w:rsid w:val="68D5AFA3"/>
    <w:rsid w:val="68DA72AF"/>
    <w:rsid w:val="68F4EA41"/>
    <w:rsid w:val="690C4B7E"/>
    <w:rsid w:val="6913585E"/>
    <w:rsid w:val="69149882"/>
    <w:rsid w:val="692B7886"/>
    <w:rsid w:val="6932F229"/>
    <w:rsid w:val="69576F1E"/>
    <w:rsid w:val="6969D55A"/>
    <w:rsid w:val="697A30D8"/>
    <w:rsid w:val="6991243B"/>
    <w:rsid w:val="699CBCE2"/>
    <w:rsid w:val="699EC093"/>
    <w:rsid w:val="69A597CA"/>
    <w:rsid w:val="69ACA7BC"/>
    <w:rsid w:val="69B055F7"/>
    <w:rsid w:val="69B4DC94"/>
    <w:rsid w:val="69BCAB1B"/>
    <w:rsid w:val="69C6F552"/>
    <w:rsid w:val="69CFABFA"/>
    <w:rsid w:val="69DD1D91"/>
    <w:rsid w:val="69F2C478"/>
    <w:rsid w:val="69F91B0E"/>
    <w:rsid w:val="69F9F08C"/>
    <w:rsid w:val="69FCE83B"/>
    <w:rsid w:val="69FFACE2"/>
    <w:rsid w:val="6A18355B"/>
    <w:rsid w:val="6A275573"/>
    <w:rsid w:val="6A29C355"/>
    <w:rsid w:val="6A329F70"/>
    <w:rsid w:val="6A4E583E"/>
    <w:rsid w:val="6A5178B2"/>
    <w:rsid w:val="6A5407F7"/>
    <w:rsid w:val="6A60DDE6"/>
    <w:rsid w:val="6A63F719"/>
    <w:rsid w:val="6A68F774"/>
    <w:rsid w:val="6A6A4294"/>
    <w:rsid w:val="6A6F335D"/>
    <w:rsid w:val="6A8E5E6F"/>
    <w:rsid w:val="6AA1277D"/>
    <w:rsid w:val="6AAFCC85"/>
    <w:rsid w:val="6AB002B9"/>
    <w:rsid w:val="6ABD3B80"/>
    <w:rsid w:val="6AC81EBB"/>
    <w:rsid w:val="6AD4FCF5"/>
    <w:rsid w:val="6AD9B45C"/>
    <w:rsid w:val="6ADA4516"/>
    <w:rsid w:val="6AF7A32B"/>
    <w:rsid w:val="6B12D6FC"/>
    <w:rsid w:val="6B2ED7B3"/>
    <w:rsid w:val="6B3D8B53"/>
    <w:rsid w:val="6B603D95"/>
    <w:rsid w:val="6B65F609"/>
    <w:rsid w:val="6B85E2C7"/>
    <w:rsid w:val="6B8DF5E3"/>
    <w:rsid w:val="6B8FBC79"/>
    <w:rsid w:val="6B91166B"/>
    <w:rsid w:val="6B94BB92"/>
    <w:rsid w:val="6B9E7E47"/>
    <w:rsid w:val="6BA04F60"/>
    <w:rsid w:val="6BB1C5D5"/>
    <w:rsid w:val="6BD466EA"/>
    <w:rsid w:val="6BE04CF1"/>
    <w:rsid w:val="6BEC1F4C"/>
    <w:rsid w:val="6C218C9D"/>
    <w:rsid w:val="6C277059"/>
    <w:rsid w:val="6C2BCEA3"/>
    <w:rsid w:val="6C361D76"/>
    <w:rsid w:val="6C6E70A5"/>
    <w:rsid w:val="6C6F1C84"/>
    <w:rsid w:val="6C7802D0"/>
    <w:rsid w:val="6C7C75A6"/>
    <w:rsid w:val="6C897EEF"/>
    <w:rsid w:val="6C947F53"/>
    <w:rsid w:val="6CBD9836"/>
    <w:rsid w:val="6CF8DDD3"/>
    <w:rsid w:val="6CF9A00E"/>
    <w:rsid w:val="6CFB9879"/>
    <w:rsid w:val="6D03663A"/>
    <w:rsid w:val="6D0EFEAF"/>
    <w:rsid w:val="6D2CF8CA"/>
    <w:rsid w:val="6D2D87E7"/>
    <w:rsid w:val="6D2E3427"/>
    <w:rsid w:val="6D2E84E8"/>
    <w:rsid w:val="6D39857A"/>
    <w:rsid w:val="6D498946"/>
    <w:rsid w:val="6D50B803"/>
    <w:rsid w:val="6D5722A1"/>
    <w:rsid w:val="6D625B64"/>
    <w:rsid w:val="6D98326E"/>
    <w:rsid w:val="6D99DCB1"/>
    <w:rsid w:val="6DB0F590"/>
    <w:rsid w:val="6DB635F4"/>
    <w:rsid w:val="6DB7F08F"/>
    <w:rsid w:val="6DC0EE95"/>
    <w:rsid w:val="6DC720F2"/>
    <w:rsid w:val="6DD840F9"/>
    <w:rsid w:val="6DED32B6"/>
    <w:rsid w:val="6DEF30DE"/>
    <w:rsid w:val="6DF2F3DD"/>
    <w:rsid w:val="6E08D46F"/>
    <w:rsid w:val="6E139DD7"/>
    <w:rsid w:val="6E156060"/>
    <w:rsid w:val="6E1BDB85"/>
    <w:rsid w:val="6E1FFDCA"/>
    <w:rsid w:val="6E20DE8D"/>
    <w:rsid w:val="6E366243"/>
    <w:rsid w:val="6E40D4DB"/>
    <w:rsid w:val="6E41BFF1"/>
    <w:rsid w:val="6E57C145"/>
    <w:rsid w:val="6E7717D8"/>
    <w:rsid w:val="6E876070"/>
    <w:rsid w:val="6E87872E"/>
    <w:rsid w:val="6E8F1D1E"/>
    <w:rsid w:val="6E916688"/>
    <w:rsid w:val="6E9BDC8A"/>
    <w:rsid w:val="6EA3A2FA"/>
    <w:rsid w:val="6EB37B6C"/>
    <w:rsid w:val="6EC43A73"/>
    <w:rsid w:val="6EC4D6B9"/>
    <w:rsid w:val="6EDC670F"/>
    <w:rsid w:val="6EE112DF"/>
    <w:rsid w:val="6EF7F5A8"/>
    <w:rsid w:val="6F25AB8D"/>
    <w:rsid w:val="6F296336"/>
    <w:rsid w:val="6F3920D5"/>
    <w:rsid w:val="6F402B5E"/>
    <w:rsid w:val="6F59C173"/>
    <w:rsid w:val="6F764C6A"/>
    <w:rsid w:val="6F7F1E1C"/>
    <w:rsid w:val="6F821565"/>
    <w:rsid w:val="6FB15DC2"/>
    <w:rsid w:val="6FBC359E"/>
    <w:rsid w:val="6FBF61A2"/>
    <w:rsid w:val="6FC2E0F2"/>
    <w:rsid w:val="6FC30043"/>
    <w:rsid w:val="6FC5E9EC"/>
    <w:rsid w:val="6FDE0286"/>
    <w:rsid w:val="6FE47197"/>
    <w:rsid w:val="6FFB6219"/>
    <w:rsid w:val="6FFEB610"/>
    <w:rsid w:val="70046329"/>
    <w:rsid w:val="7009764B"/>
    <w:rsid w:val="700D5504"/>
    <w:rsid w:val="700EE3BE"/>
    <w:rsid w:val="701EAE90"/>
    <w:rsid w:val="701ED0F3"/>
    <w:rsid w:val="701FCF42"/>
    <w:rsid w:val="7024B890"/>
    <w:rsid w:val="702DA842"/>
    <w:rsid w:val="70323327"/>
    <w:rsid w:val="703BEB0A"/>
    <w:rsid w:val="703D45DC"/>
    <w:rsid w:val="7050D14B"/>
    <w:rsid w:val="705CA8D3"/>
    <w:rsid w:val="706AC20C"/>
    <w:rsid w:val="7076E558"/>
    <w:rsid w:val="707DFBB2"/>
    <w:rsid w:val="707E2977"/>
    <w:rsid w:val="708AB381"/>
    <w:rsid w:val="708D3E29"/>
    <w:rsid w:val="709FCD9E"/>
    <w:rsid w:val="70A14097"/>
    <w:rsid w:val="70A6E1F5"/>
    <w:rsid w:val="70AAA6D3"/>
    <w:rsid w:val="70B44B33"/>
    <w:rsid w:val="70C67410"/>
    <w:rsid w:val="70D7269C"/>
    <w:rsid w:val="70D821D5"/>
    <w:rsid w:val="70E2C07B"/>
    <w:rsid w:val="70E4C992"/>
    <w:rsid w:val="70EA77F7"/>
    <w:rsid w:val="70ED39DE"/>
    <w:rsid w:val="70F0610E"/>
    <w:rsid w:val="70F6D145"/>
    <w:rsid w:val="710313BC"/>
    <w:rsid w:val="7103FF37"/>
    <w:rsid w:val="71082930"/>
    <w:rsid w:val="7109CC6F"/>
    <w:rsid w:val="710CCD01"/>
    <w:rsid w:val="71271390"/>
    <w:rsid w:val="714E8739"/>
    <w:rsid w:val="715B8E7F"/>
    <w:rsid w:val="715E0EF5"/>
    <w:rsid w:val="716265A9"/>
    <w:rsid w:val="7167FDEF"/>
    <w:rsid w:val="716BF730"/>
    <w:rsid w:val="717C8E32"/>
    <w:rsid w:val="7181A806"/>
    <w:rsid w:val="718E72A7"/>
    <w:rsid w:val="71955B44"/>
    <w:rsid w:val="719DA9E2"/>
    <w:rsid w:val="71B75F42"/>
    <w:rsid w:val="71B9EF17"/>
    <w:rsid w:val="71BD6F4C"/>
    <w:rsid w:val="71C46051"/>
    <w:rsid w:val="71C72163"/>
    <w:rsid w:val="71D09DE3"/>
    <w:rsid w:val="71D62FA6"/>
    <w:rsid w:val="71EC58F1"/>
    <w:rsid w:val="71FACF94"/>
    <w:rsid w:val="7204158A"/>
    <w:rsid w:val="7206740B"/>
    <w:rsid w:val="7212EC4B"/>
    <w:rsid w:val="72185B1A"/>
    <w:rsid w:val="7225B1B5"/>
    <w:rsid w:val="722D6D6F"/>
    <w:rsid w:val="723889C6"/>
    <w:rsid w:val="7238C669"/>
    <w:rsid w:val="723B5E3C"/>
    <w:rsid w:val="724D22F1"/>
    <w:rsid w:val="726E8188"/>
    <w:rsid w:val="727FC5C5"/>
    <w:rsid w:val="72824337"/>
    <w:rsid w:val="728A9997"/>
    <w:rsid w:val="72933A70"/>
    <w:rsid w:val="729723E6"/>
    <w:rsid w:val="72AC1A56"/>
    <w:rsid w:val="72B65403"/>
    <w:rsid w:val="72D2524F"/>
    <w:rsid w:val="72D71497"/>
    <w:rsid w:val="72D8B9E6"/>
    <w:rsid w:val="72DBBBFD"/>
    <w:rsid w:val="72E9A1A7"/>
    <w:rsid w:val="72F34BBA"/>
    <w:rsid w:val="72F35D59"/>
    <w:rsid w:val="7300CFC5"/>
    <w:rsid w:val="7316362B"/>
    <w:rsid w:val="73257629"/>
    <w:rsid w:val="73304F57"/>
    <w:rsid w:val="7333A4C1"/>
    <w:rsid w:val="7334F41B"/>
    <w:rsid w:val="733830D9"/>
    <w:rsid w:val="733921C8"/>
    <w:rsid w:val="733C16DC"/>
    <w:rsid w:val="7352A7E4"/>
    <w:rsid w:val="73530958"/>
    <w:rsid w:val="735BB803"/>
    <w:rsid w:val="735EA658"/>
    <w:rsid w:val="736A4006"/>
    <w:rsid w:val="737D7178"/>
    <w:rsid w:val="7384AA0A"/>
    <w:rsid w:val="7385DC65"/>
    <w:rsid w:val="73891B98"/>
    <w:rsid w:val="738F4525"/>
    <w:rsid w:val="73A43A74"/>
    <w:rsid w:val="73A81469"/>
    <w:rsid w:val="73A8EA35"/>
    <w:rsid w:val="73AF3539"/>
    <w:rsid w:val="73BC718E"/>
    <w:rsid w:val="73C976D6"/>
    <w:rsid w:val="73E2A016"/>
    <w:rsid w:val="73E6C77A"/>
    <w:rsid w:val="7411725B"/>
    <w:rsid w:val="741D4066"/>
    <w:rsid w:val="7439EBE2"/>
    <w:rsid w:val="744BE663"/>
    <w:rsid w:val="74565DB0"/>
    <w:rsid w:val="7478A67B"/>
    <w:rsid w:val="747D5B75"/>
    <w:rsid w:val="748569B4"/>
    <w:rsid w:val="748659F3"/>
    <w:rsid w:val="7496A9DB"/>
    <w:rsid w:val="7499D2B4"/>
    <w:rsid w:val="74A043DB"/>
    <w:rsid w:val="74B1D4F8"/>
    <w:rsid w:val="74B6A331"/>
    <w:rsid w:val="74B8C534"/>
    <w:rsid w:val="74BB590A"/>
    <w:rsid w:val="74BBC553"/>
    <w:rsid w:val="74C480A0"/>
    <w:rsid w:val="74E45782"/>
    <w:rsid w:val="74E4FF10"/>
    <w:rsid w:val="74E82613"/>
    <w:rsid w:val="74F13CD4"/>
    <w:rsid w:val="74F9907F"/>
    <w:rsid w:val="75025E45"/>
    <w:rsid w:val="75079149"/>
    <w:rsid w:val="75099956"/>
    <w:rsid w:val="750E86F6"/>
    <w:rsid w:val="751BA1AA"/>
    <w:rsid w:val="753081E8"/>
    <w:rsid w:val="75341C0C"/>
    <w:rsid w:val="7546FC56"/>
    <w:rsid w:val="756660E1"/>
    <w:rsid w:val="7566CF17"/>
    <w:rsid w:val="7576B166"/>
    <w:rsid w:val="75815534"/>
    <w:rsid w:val="759676DD"/>
    <w:rsid w:val="75AFD188"/>
    <w:rsid w:val="75BFBE83"/>
    <w:rsid w:val="75C34A06"/>
    <w:rsid w:val="75C5A535"/>
    <w:rsid w:val="75C61724"/>
    <w:rsid w:val="75CAF5FD"/>
    <w:rsid w:val="75DCC232"/>
    <w:rsid w:val="75E682BD"/>
    <w:rsid w:val="75EB2BC7"/>
    <w:rsid w:val="75F71EC5"/>
    <w:rsid w:val="761A9592"/>
    <w:rsid w:val="7638035E"/>
    <w:rsid w:val="76408784"/>
    <w:rsid w:val="764C9666"/>
    <w:rsid w:val="764F3B01"/>
    <w:rsid w:val="7666A889"/>
    <w:rsid w:val="766E94A5"/>
    <w:rsid w:val="766F60FE"/>
    <w:rsid w:val="76710090"/>
    <w:rsid w:val="7688E64A"/>
    <w:rsid w:val="76A05FC9"/>
    <w:rsid w:val="76A80835"/>
    <w:rsid w:val="76A945BE"/>
    <w:rsid w:val="76C4DFA9"/>
    <w:rsid w:val="76E52F5E"/>
    <w:rsid w:val="76E5A1D3"/>
    <w:rsid w:val="76E7B3A2"/>
    <w:rsid w:val="76F0E64D"/>
    <w:rsid w:val="7703245C"/>
    <w:rsid w:val="770463E0"/>
    <w:rsid w:val="77080357"/>
    <w:rsid w:val="771F1FD9"/>
    <w:rsid w:val="771FFA77"/>
    <w:rsid w:val="77297B04"/>
    <w:rsid w:val="772CC563"/>
    <w:rsid w:val="772D2244"/>
    <w:rsid w:val="774A7846"/>
    <w:rsid w:val="774BE15C"/>
    <w:rsid w:val="7768B295"/>
    <w:rsid w:val="77772F51"/>
    <w:rsid w:val="7783125B"/>
    <w:rsid w:val="778A7F8C"/>
    <w:rsid w:val="7799EEEE"/>
    <w:rsid w:val="77A3E77E"/>
    <w:rsid w:val="77A8397A"/>
    <w:rsid w:val="77B06451"/>
    <w:rsid w:val="77BB35CC"/>
    <w:rsid w:val="77F49E8F"/>
    <w:rsid w:val="77F74097"/>
    <w:rsid w:val="77FDC1FE"/>
    <w:rsid w:val="78043020"/>
    <w:rsid w:val="78055BEB"/>
    <w:rsid w:val="78183D88"/>
    <w:rsid w:val="781AC6C8"/>
    <w:rsid w:val="7829255A"/>
    <w:rsid w:val="782F4D99"/>
    <w:rsid w:val="783D09F2"/>
    <w:rsid w:val="78585257"/>
    <w:rsid w:val="785B35A2"/>
    <w:rsid w:val="785D1B86"/>
    <w:rsid w:val="78612467"/>
    <w:rsid w:val="786643C9"/>
    <w:rsid w:val="7885A042"/>
    <w:rsid w:val="788F0D3F"/>
    <w:rsid w:val="78903006"/>
    <w:rsid w:val="78D27DBD"/>
    <w:rsid w:val="78EB03A0"/>
    <w:rsid w:val="78EC021A"/>
    <w:rsid w:val="78F0D9C1"/>
    <w:rsid w:val="791324D5"/>
    <w:rsid w:val="791CD51B"/>
    <w:rsid w:val="79272501"/>
    <w:rsid w:val="792A0529"/>
    <w:rsid w:val="793E34F4"/>
    <w:rsid w:val="793ECF8B"/>
    <w:rsid w:val="7950623B"/>
    <w:rsid w:val="795E32CF"/>
    <w:rsid w:val="795F787F"/>
    <w:rsid w:val="79689FC7"/>
    <w:rsid w:val="796B7446"/>
    <w:rsid w:val="797A8BD3"/>
    <w:rsid w:val="79835100"/>
    <w:rsid w:val="79A0B0AB"/>
    <w:rsid w:val="79ACF81D"/>
    <w:rsid w:val="79B66EA7"/>
    <w:rsid w:val="79B9DC40"/>
    <w:rsid w:val="79BF9C7D"/>
    <w:rsid w:val="79C176B8"/>
    <w:rsid w:val="79D93558"/>
    <w:rsid w:val="79E14D94"/>
    <w:rsid w:val="79EDBA00"/>
    <w:rsid w:val="79FE47C2"/>
    <w:rsid w:val="7A15FE31"/>
    <w:rsid w:val="7A17DA28"/>
    <w:rsid w:val="7A254A6B"/>
    <w:rsid w:val="7A61B69B"/>
    <w:rsid w:val="7A70F60D"/>
    <w:rsid w:val="7A797D30"/>
    <w:rsid w:val="7A7A5B32"/>
    <w:rsid w:val="7A7DAD81"/>
    <w:rsid w:val="7A7F6413"/>
    <w:rsid w:val="7A97B131"/>
    <w:rsid w:val="7A9DEEE1"/>
    <w:rsid w:val="7AA83CDC"/>
    <w:rsid w:val="7AC4FA07"/>
    <w:rsid w:val="7AC5429E"/>
    <w:rsid w:val="7ADB8E9F"/>
    <w:rsid w:val="7AE14C69"/>
    <w:rsid w:val="7AE4B37E"/>
    <w:rsid w:val="7AF1EE65"/>
    <w:rsid w:val="7B0ADDCD"/>
    <w:rsid w:val="7B29991D"/>
    <w:rsid w:val="7B2DD2E1"/>
    <w:rsid w:val="7B3B72BB"/>
    <w:rsid w:val="7B48294C"/>
    <w:rsid w:val="7B619284"/>
    <w:rsid w:val="7B67BF2E"/>
    <w:rsid w:val="7BAB9102"/>
    <w:rsid w:val="7BAF7A2F"/>
    <w:rsid w:val="7BAFEC36"/>
    <w:rsid w:val="7BB1B6BA"/>
    <w:rsid w:val="7BBD49DE"/>
    <w:rsid w:val="7BC89D20"/>
    <w:rsid w:val="7BCA0DA8"/>
    <w:rsid w:val="7BCDF04E"/>
    <w:rsid w:val="7BD4D437"/>
    <w:rsid w:val="7BDC1E46"/>
    <w:rsid w:val="7BE24527"/>
    <w:rsid w:val="7BFE9B69"/>
    <w:rsid w:val="7BFFECB4"/>
    <w:rsid w:val="7C10248E"/>
    <w:rsid w:val="7C1989E4"/>
    <w:rsid w:val="7C1B846B"/>
    <w:rsid w:val="7C28413C"/>
    <w:rsid w:val="7C28BC48"/>
    <w:rsid w:val="7C3CFDC4"/>
    <w:rsid w:val="7C3E7DD7"/>
    <w:rsid w:val="7C400042"/>
    <w:rsid w:val="7C4A973D"/>
    <w:rsid w:val="7C4C3158"/>
    <w:rsid w:val="7C6B2B74"/>
    <w:rsid w:val="7C7F1BAD"/>
    <w:rsid w:val="7C8057EF"/>
    <w:rsid w:val="7C84B09D"/>
    <w:rsid w:val="7CBE9C54"/>
    <w:rsid w:val="7CC91816"/>
    <w:rsid w:val="7CCDA9B5"/>
    <w:rsid w:val="7CDF9A8D"/>
    <w:rsid w:val="7CE7B09F"/>
    <w:rsid w:val="7CEEFFEA"/>
    <w:rsid w:val="7CFAFA09"/>
    <w:rsid w:val="7D0AE338"/>
    <w:rsid w:val="7D145A55"/>
    <w:rsid w:val="7D195399"/>
    <w:rsid w:val="7D1C349D"/>
    <w:rsid w:val="7D29B328"/>
    <w:rsid w:val="7D2A02CF"/>
    <w:rsid w:val="7D4D8E79"/>
    <w:rsid w:val="7D598B76"/>
    <w:rsid w:val="7D5F9303"/>
    <w:rsid w:val="7D8F87CE"/>
    <w:rsid w:val="7D9CE9A3"/>
    <w:rsid w:val="7DA54D49"/>
    <w:rsid w:val="7DA7FEC2"/>
    <w:rsid w:val="7DB31A45"/>
    <w:rsid w:val="7DB43F25"/>
    <w:rsid w:val="7DE9A3CA"/>
    <w:rsid w:val="7DECE6C8"/>
    <w:rsid w:val="7DEED96D"/>
    <w:rsid w:val="7DF4C3AC"/>
    <w:rsid w:val="7DF54C7F"/>
    <w:rsid w:val="7E079A12"/>
    <w:rsid w:val="7E15DBAA"/>
    <w:rsid w:val="7E2120FD"/>
    <w:rsid w:val="7E29377A"/>
    <w:rsid w:val="7E2C5DE0"/>
    <w:rsid w:val="7E2C8B11"/>
    <w:rsid w:val="7E37BAB0"/>
    <w:rsid w:val="7E3AB2C1"/>
    <w:rsid w:val="7E441AA6"/>
    <w:rsid w:val="7E452444"/>
    <w:rsid w:val="7E4A5394"/>
    <w:rsid w:val="7E4D50BF"/>
    <w:rsid w:val="7E546523"/>
    <w:rsid w:val="7E5C8820"/>
    <w:rsid w:val="7E7D279E"/>
    <w:rsid w:val="7E93CC78"/>
    <w:rsid w:val="7EA53A2A"/>
    <w:rsid w:val="7EAC0A57"/>
    <w:rsid w:val="7EE1EAFD"/>
    <w:rsid w:val="7EE313F3"/>
    <w:rsid w:val="7EEF1B6D"/>
    <w:rsid w:val="7EF48EDA"/>
    <w:rsid w:val="7F021B83"/>
    <w:rsid w:val="7F03D385"/>
    <w:rsid w:val="7F22B086"/>
    <w:rsid w:val="7F382867"/>
    <w:rsid w:val="7F4416C7"/>
    <w:rsid w:val="7F46C294"/>
    <w:rsid w:val="7F4B76A1"/>
    <w:rsid w:val="7F530D0E"/>
    <w:rsid w:val="7F643E1F"/>
    <w:rsid w:val="7F920B13"/>
    <w:rsid w:val="7F921E17"/>
    <w:rsid w:val="7F995A63"/>
    <w:rsid w:val="7F9DCC0E"/>
    <w:rsid w:val="7F9ECE03"/>
    <w:rsid w:val="7FA6BD5A"/>
    <w:rsid w:val="7FC96209"/>
    <w:rsid w:val="7FD676F8"/>
    <w:rsid w:val="7FEE9B26"/>
    <w:rsid w:val="7FF2911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0A2960F9-8915-4B53-85A9-88DEF95E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8"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1C0EF4"/>
    <w:pPr>
      <w:spacing w:before="120" w:after="120" w:line="360" w:lineRule="auto"/>
    </w:pPr>
    <w:rPr>
      <w:rFonts w:ascii="Metropolis Light" w:hAnsi="Metropolis Light"/>
      <w:color w:val="0D0D0D" w:themeColor="text1" w:themeTint="F2"/>
      <w:szCs w:val="24"/>
      <w:lang w:eastAsia="en-AU"/>
    </w:rPr>
  </w:style>
  <w:style w:type="paragraph" w:styleId="Heading1">
    <w:name w:val="heading 1"/>
    <w:link w:val="Heading1Char"/>
    <w:uiPriority w:val="10"/>
    <w:qFormat/>
    <w:rsid w:val="001C0EF4"/>
    <w:pPr>
      <w:keepNext/>
      <w:numPr>
        <w:numId w:val="20"/>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1C0EF4"/>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1C0EF4"/>
    <w:pPr>
      <w:keepNext/>
      <w:spacing w:before="120" w:after="12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1C0EF4"/>
    <w:pPr>
      <w:keepNext/>
      <w:spacing w:before="200" w:after="200" w:line="360" w:lineRule="auto"/>
      <w:outlineLvl w:val="3"/>
    </w:pPr>
    <w:rPr>
      <w:rFonts w:ascii="Metropolis" w:hAnsi="Metropolis"/>
      <w:b/>
      <w:i/>
      <w:color w:val="5CA0B9"/>
      <w:szCs w:val="24"/>
      <w:lang w:eastAsia="en-AU"/>
    </w:rPr>
  </w:style>
  <w:style w:type="paragraph" w:styleId="Heading5">
    <w:name w:val="heading 5"/>
    <w:basedOn w:val="Normal"/>
    <w:next w:val="Normal"/>
    <w:link w:val="Heading5Char"/>
    <w:uiPriority w:val="10"/>
    <w:qFormat/>
    <w:rsid w:val="001C0EF4"/>
    <w:pPr>
      <w:keepNext/>
      <w:spacing w:before="200" w:after="200"/>
      <w:outlineLvl w:val="4"/>
    </w:pPr>
    <w:rPr>
      <w:rFonts w:ascii="Metropolis" w:hAnsi="Metropolis"/>
      <w:color w:val="5CA0B9"/>
    </w:rPr>
  </w:style>
  <w:style w:type="paragraph" w:styleId="Heading6">
    <w:name w:val="heading 6"/>
    <w:link w:val="Heading6Char"/>
    <w:uiPriority w:val="10"/>
    <w:qFormat/>
    <w:rsid w:val="001C0EF4"/>
    <w:pPr>
      <w:keepNext/>
      <w:shd w:val="clear" w:color="auto" w:fill="404040" w:themeFill="text1" w:themeFillTint="BF"/>
      <w:spacing w:before="200" w:after="200" w:line="360" w:lineRule="auto"/>
      <w:jc w:val="both"/>
      <w:outlineLvl w:val="5"/>
    </w:pPr>
    <w:rPr>
      <w:rFonts w:ascii="Metropolis" w:hAnsi="Metropolis"/>
      <w:caps/>
      <w:color w:val="FFFFFF" w:themeColor="background1"/>
      <w:spacing w:val="24"/>
      <w:szCs w:val="22"/>
      <w:lang w:eastAsia="en-AU"/>
    </w:rPr>
  </w:style>
  <w:style w:type="paragraph" w:styleId="Heading7">
    <w:name w:val="heading 7"/>
    <w:basedOn w:val="Normal"/>
    <w:next w:val="Normal"/>
    <w:link w:val="Heading7Char"/>
    <w:uiPriority w:val="10"/>
    <w:semiHidden/>
    <w:rsid w:val="001C0EF4"/>
    <w:pPr>
      <w:spacing w:before="240" w:after="60"/>
      <w:outlineLvl w:val="6"/>
    </w:pPr>
  </w:style>
  <w:style w:type="paragraph" w:styleId="Heading8">
    <w:name w:val="heading 8"/>
    <w:basedOn w:val="Normal"/>
    <w:next w:val="Normal"/>
    <w:link w:val="Heading8Char"/>
    <w:uiPriority w:val="10"/>
    <w:semiHidden/>
    <w:rsid w:val="001C0EF4"/>
    <w:pPr>
      <w:spacing w:before="240" w:after="60"/>
      <w:outlineLvl w:val="7"/>
    </w:pPr>
    <w:rPr>
      <w:i/>
      <w:iCs/>
    </w:rPr>
  </w:style>
  <w:style w:type="paragraph" w:styleId="Heading9">
    <w:name w:val="heading 9"/>
    <w:basedOn w:val="Normal"/>
    <w:next w:val="Normal"/>
    <w:link w:val="Heading9Char"/>
    <w:uiPriority w:val="10"/>
    <w:semiHidden/>
    <w:rsid w:val="001C0EF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1C0EF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0EF4"/>
  </w:style>
  <w:style w:type="paragraph" w:styleId="BalloonText">
    <w:name w:val="Balloon Text"/>
    <w:basedOn w:val="Normal"/>
    <w:link w:val="BalloonTextChar1"/>
    <w:uiPriority w:val="99"/>
    <w:rsid w:val="001C0EF4"/>
    <w:rPr>
      <w:rFonts w:ascii="Tahoma" w:hAnsi="Tahoma" w:cs="Tahoma"/>
      <w:sz w:val="16"/>
      <w:szCs w:val="16"/>
    </w:rPr>
  </w:style>
  <w:style w:type="character" w:customStyle="1" w:styleId="BalloonTextChar">
    <w:name w:val="Balloon Text Char"/>
    <w:basedOn w:val="DefaultParagraphFont"/>
    <w:uiPriority w:val="99"/>
    <w:rsid w:val="001C0EF4"/>
    <w:rPr>
      <w:rFonts w:ascii="Lucida Grande" w:hAnsi="Lucida Grande"/>
      <w:sz w:val="18"/>
      <w:szCs w:val="18"/>
    </w:rPr>
  </w:style>
  <w:style w:type="character" w:customStyle="1" w:styleId="BalloonTextChar1">
    <w:name w:val="Balloon Text Char1"/>
    <w:basedOn w:val="DefaultParagraphFont"/>
    <w:link w:val="BalloonText"/>
    <w:uiPriority w:val="99"/>
    <w:rsid w:val="001C0EF4"/>
    <w:rPr>
      <w:rFonts w:ascii="Tahoma" w:hAnsi="Tahoma" w:cs="Tahoma"/>
      <w:color w:val="0D0D0D" w:themeColor="text1" w:themeTint="F2"/>
      <w:sz w:val="16"/>
      <w:szCs w:val="16"/>
      <w:lang w:eastAsia="en-AU"/>
    </w:rPr>
  </w:style>
  <w:style w:type="paragraph" w:styleId="Quote">
    <w:name w:val="Quote"/>
    <w:aliases w:val="Heading Four"/>
    <w:link w:val="QuoteChar"/>
    <w:uiPriority w:val="6"/>
    <w:qFormat/>
    <w:rsid w:val="001C0EF4"/>
    <w:pPr>
      <w:numPr>
        <w:numId w:val="10"/>
      </w:numPr>
      <w:spacing w:before="80" w:after="80" w:line="360" w:lineRule="auto"/>
      <w:ind w:firstLine="0"/>
      <w:jc w:val="both"/>
    </w:pPr>
    <w:rPr>
      <w:rFonts w:ascii="Metropolis Light" w:hAnsi="Metropolis Light"/>
      <w:color w:val="0D0D0D" w:themeColor="text1" w:themeTint="F2"/>
      <w:sz w:val="18"/>
      <w:szCs w:val="24"/>
      <w:lang w:eastAsia="en-AU"/>
    </w:rPr>
  </w:style>
  <w:style w:type="character" w:customStyle="1" w:styleId="QuoteChar">
    <w:name w:val="Quote Char"/>
    <w:aliases w:val="Heading Four Char"/>
    <w:basedOn w:val="DefaultParagraphFont"/>
    <w:link w:val="Quote"/>
    <w:uiPriority w:val="6"/>
    <w:rsid w:val="001C0EF4"/>
    <w:rPr>
      <w:rFonts w:ascii="Metropolis Light" w:hAnsi="Metropolis Light"/>
      <w:color w:val="0D0D0D" w:themeColor="text1" w:themeTint="F2"/>
      <w:sz w:val="18"/>
      <w:szCs w:val="24"/>
      <w:lang w:eastAsia="en-AU"/>
    </w:rPr>
  </w:style>
  <w:style w:type="paragraph" w:styleId="List3">
    <w:name w:val="List 3"/>
    <w:basedOn w:val="Normal"/>
    <w:uiPriority w:val="99"/>
    <w:semiHidden/>
    <w:rsid w:val="001C0EF4"/>
    <w:pPr>
      <w:spacing w:before="80" w:after="80"/>
      <w:ind w:left="849" w:hanging="283"/>
    </w:pPr>
  </w:style>
  <w:style w:type="paragraph" w:customStyle="1" w:styleId="InsideCoverTextspacebefore">
    <w:name w:val="Inside Cover Text space before"/>
    <w:basedOn w:val="InsideCoverText"/>
    <w:next w:val="InsideCoverText"/>
    <w:uiPriority w:val="22"/>
    <w:qFormat/>
    <w:rsid w:val="001C0EF4"/>
    <w:pPr>
      <w:spacing w:before="280"/>
    </w:pPr>
  </w:style>
  <w:style w:type="character" w:styleId="CommentReference">
    <w:name w:val="annotation reference"/>
    <w:basedOn w:val="DefaultParagraphFont"/>
    <w:uiPriority w:val="99"/>
    <w:rsid w:val="001C0EF4"/>
    <w:rPr>
      <w:sz w:val="16"/>
      <w:szCs w:val="16"/>
    </w:rPr>
  </w:style>
  <w:style w:type="paragraph" w:styleId="CommentText">
    <w:name w:val="annotation text"/>
    <w:basedOn w:val="Normal"/>
    <w:link w:val="CommentTextChar"/>
    <w:uiPriority w:val="99"/>
    <w:rsid w:val="001C0EF4"/>
    <w:rPr>
      <w:szCs w:val="20"/>
    </w:rPr>
  </w:style>
  <w:style w:type="paragraph" w:customStyle="1" w:styleId="RecommendationText">
    <w:name w:val="Recommendation Text"/>
    <w:link w:val="RecommendationTextChar"/>
    <w:uiPriority w:val="11"/>
    <w:qFormat/>
    <w:rsid w:val="001C0EF4"/>
    <w:pPr>
      <w:shd w:val="clear" w:color="auto" w:fill="AACDDA"/>
      <w:suppressAutoHyphens/>
      <w:autoSpaceDE w:val="0"/>
      <w:autoSpaceDN w:val="0"/>
      <w:adjustRightInd w:val="0"/>
      <w:spacing w:before="80" w:after="80" w:line="360" w:lineRule="auto"/>
      <w:ind w:left="709" w:hanging="425"/>
      <w:jc w:val="both"/>
      <w:textAlignment w:val="center"/>
    </w:pPr>
    <w:rPr>
      <w:rFonts w:ascii="Metropolis Light" w:hAnsi="Metropolis Light"/>
      <w:lang w:eastAsia="en-US"/>
    </w:rPr>
  </w:style>
  <w:style w:type="paragraph" w:customStyle="1" w:styleId="RecommendationText3">
    <w:name w:val="Recommendation Text 3"/>
    <w:basedOn w:val="RxRecommendationText"/>
    <w:uiPriority w:val="12"/>
    <w:qFormat/>
    <w:rsid w:val="001C0EF4"/>
    <w:pPr>
      <w:numPr>
        <w:ilvl w:val="2"/>
      </w:numPr>
    </w:pPr>
  </w:style>
  <w:style w:type="paragraph" w:styleId="Footer">
    <w:name w:val="footer"/>
    <w:basedOn w:val="Normal"/>
    <w:link w:val="FooterChar"/>
    <w:uiPriority w:val="58"/>
    <w:unhideWhenUsed/>
    <w:rsid w:val="001C0EF4"/>
    <w:pPr>
      <w:tabs>
        <w:tab w:val="center" w:pos="4536"/>
        <w:tab w:val="right" w:pos="9072"/>
      </w:tabs>
    </w:p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1C0EF4"/>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1C0EF4"/>
    <w:pPr>
      <w:spacing w:before="57" w:after="57" w:line="360" w:lineRule="auto"/>
      <w:ind w:left="709" w:hanging="454"/>
      <w:jc w:val="both"/>
    </w:pPr>
    <w:rPr>
      <w:rFonts w:ascii="Metropolis Light" w:hAnsi="Metropolis Light"/>
      <w:color w:val="0D0D0D" w:themeColor="text1" w:themeTint="F2"/>
      <w:sz w:val="15"/>
      <w:lang w:eastAsia="en-US"/>
    </w:rPr>
  </w:style>
  <w:style w:type="paragraph" w:styleId="Header">
    <w:name w:val="header"/>
    <w:basedOn w:val="Normal"/>
    <w:link w:val="HeaderChar"/>
    <w:uiPriority w:val="99"/>
    <w:unhideWhenUsed/>
    <w:rsid w:val="001C0EF4"/>
    <w:pPr>
      <w:tabs>
        <w:tab w:val="center" w:pos="4536"/>
        <w:tab w:val="right" w:pos="9072"/>
      </w:tabs>
    </w:pPr>
    <w:rPr>
      <w:sz w:val="13"/>
    </w:rPr>
  </w:style>
  <w:style w:type="paragraph" w:customStyle="1" w:styleId="ListRomanNumeral">
    <w:name w:val="List Roman Numeral"/>
    <w:uiPriority w:val="4"/>
    <w:qFormat/>
    <w:rsid w:val="001C0EF4"/>
    <w:pPr>
      <w:numPr>
        <w:numId w:val="22"/>
      </w:numPr>
      <w:spacing w:before="80" w:after="80" w:line="360" w:lineRule="auto"/>
      <w:ind w:left="1418" w:hanging="284"/>
    </w:pPr>
    <w:rPr>
      <w:rFonts w:ascii="Metropolis Light" w:hAnsi="Metropolis Light"/>
      <w:color w:val="0D0D0D" w:themeColor="text1" w:themeTint="F2"/>
      <w:szCs w:val="24"/>
      <w:lang w:eastAsia="en-AU"/>
    </w:rPr>
  </w:style>
  <w:style w:type="character" w:customStyle="1" w:styleId="QuoteBulletChar">
    <w:name w:val="Quote Bullet Char"/>
    <w:basedOn w:val="QuoteChar"/>
    <w:link w:val="QuoteBullet"/>
    <w:uiPriority w:val="7"/>
    <w:rsid w:val="001C0EF4"/>
    <w:rPr>
      <w:rFonts w:ascii="Metropolis Light" w:hAnsi="Metropolis Light"/>
      <w:color w:val="0D0D0D" w:themeColor="text1" w:themeTint="F2"/>
      <w:sz w:val="18"/>
      <w:szCs w:val="24"/>
      <w:lang w:eastAsia="en-AU"/>
    </w:rPr>
  </w:style>
  <w:style w:type="paragraph" w:customStyle="1" w:styleId="InsideCoverTextGreen">
    <w:name w:val="Inside Cover Text Green"/>
    <w:basedOn w:val="InsideCoverText"/>
    <w:uiPriority w:val="23"/>
    <w:qFormat/>
    <w:rsid w:val="001C0EF4"/>
    <w:pPr>
      <w:spacing w:before="280"/>
    </w:pPr>
    <w:rPr>
      <w:color w:val="5CA0B9"/>
    </w:rPr>
  </w:style>
  <w:style w:type="paragraph" w:styleId="List4">
    <w:name w:val="List 4"/>
    <w:basedOn w:val="Normal"/>
    <w:uiPriority w:val="99"/>
    <w:semiHidden/>
    <w:rsid w:val="001C0EF4"/>
    <w:pPr>
      <w:ind w:left="1132" w:hanging="283"/>
    </w:pPr>
  </w:style>
  <w:style w:type="paragraph" w:styleId="ListBullet">
    <w:name w:val="List Bullet"/>
    <w:link w:val="ListBulletChar"/>
    <w:uiPriority w:val="4"/>
    <w:qFormat/>
    <w:rsid w:val="001C0EF4"/>
    <w:pPr>
      <w:numPr>
        <w:numId w:val="5"/>
      </w:numPr>
      <w:spacing w:before="80" w:after="80" w:line="360" w:lineRule="auto"/>
      <w:jc w:val="both"/>
    </w:pPr>
    <w:rPr>
      <w:rFonts w:ascii="Metropolis Light" w:hAnsi="Metropolis Light"/>
      <w:color w:val="0D0D0D" w:themeColor="text1" w:themeTint="F2"/>
      <w:szCs w:val="24"/>
      <w:lang w:eastAsia="en-AU"/>
    </w:rPr>
  </w:style>
  <w:style w:type="paragraph" w:styleId="ListBullet2">
    <w:name w:val="List Bullet 2"/>
    <w:basedOn w:val="ListBullet"/>
    <w:uiPriority w:val="4"/>
    <w:rsid w:val="001C0EF4"/>
    <w:pPr>
      <w:numPr>
        <w:ilvl w:val="1"/>
      </w:numPr>
    </w:pPr>
  </w:style>
  <w:style w:type="paragraph" w:styleId="ListBullet3">
    <w:name w:val="List Bullet 3"/>
    <w:basedOn w:val="ListBullet2"/>
    <w:uiPriority w:val="4"/>
    <w:rsid w:val="001C0EF4"/>
    <w:pPr>
      <w:numPr>
        <w:ilvl w:val="2"/>
      </w:numPr>
    </w:pPr>
  </w:style>
  <w:style w:type="paragraph" w:styleId="ListBullet4">
    <w:name w:val="List Bullet 4"/>
    <w:basedOn w:val="ListBullet3"/>
    <w:uiPriority w:val="4"/>
    <w:semiHidden/>
    <w:rsid w:val="001C0EF4"/>
    <w:pPr>
      <w:numPr>
        <w:ilvl w:val="3"/>
      </w:numPr>
    </w:pPr>
  </w:style>
  <w:style w:type="paragraph" w:styleId="ListContinue">
    <w:name w:val="List Continue"/>
    <w:basedOn w:val="Normal"/>
    <w:uiPriority w:val="99"/>
    <w:rsid w:val="001C0EF4"/>
    <w:pPr>
      <w:numPr>
        <w:ilvl w:val="1"/>
        <w:numId w:val="1"/>
      </w:numPr>
    </w:pPr>
  </w:style>
  <w:style w:type="paragraph" w:styleId="ListContinue2">
    <w:name w:val="List Continue 2"/>
    <w:basedOn w:val="Normal"/>
    <w:uiPriority w:val="99"/>
    <w:rsid w:val="001C0EF4"/>
    <w:pPr>
      <w:ind w:left="566"/>
    </w:pPr>
  </w:style>
  <w:style w:type="paragraph" w:styleId="ListContinue3">
    <w:name w:val="List Continue 3"/>
    <w:basedOn w:val="Normal"/>
    <w:uiPriority w:val="99"/>
    <w:rsid w:val="001C0EF4"/>
    <w:pPr>
      <w:ind w:left="849"/>
    </w:pPr>
  </w:style>
  <w:style w:type="paragraph" w:styleId="ListContinue4">
    <w:name w:val="List Continue 4"/>
    <w:basedOn w:val="Normal"/>
    <w:uiPriority w:val="99"/>
    <w:rsid w:val="001C0EF4"/>
    <w:pPr>
      <w:ind w:left="1132"/>
    </w:pPr>
  </w:style>
  <w:style w:type="paragraph" w:styleId="ListContinue5">
    <w:name w:val="List Continue 5"/>
    <w:basedOn w:val="Normal"/>
    <w:uiPriority w:val="99"/>
    <w:semiHidden/>
    <w:rsid w:val="001C0EF4"/>
    <w:pPr>
      <w:ind w:left="1415"/>
    </w:pPr>
  </w:style>
  <w:style w:type="paragraph" w:styleId="ListNumber2">
    <w:name w:val="List Number 2"/>
    <w:basedOn w:val="ListNumber"/>
    <w:uiPriority w:val="4"/>
    <w:semiHidden/>
    <w:rsid w:val="001C0EF4"/>
    <w:pPr>
      <w:numPr>
        <w:ilvl w:val="1"/>
      </w:numPr>
    </w:pPr>
  </w:style>
  <w:style w:type="paragraph" w:styleId="ListNumber3">
    <w:name w:val="List Number 3"/>
    <w:basedOn w:val="ListNumber"/>
    <w:uiPriority w:val="4"/>
    <w:semiHidden/>
    <w:rsid w:val="001C0EF4"/>
    <w:pPr>
      <w:numPr>
        <w:ilvl w:val="2"/>
      </w:numPr>
    </w:pPr>
  </w:style>
  <w:style w:type="paragraph" w:styleId="ListNumber4">
    <w:name w:val="List Number 4"/>
    <w:basedOn w:val="ListNumber3"/>
    <w:uiPriority w:val="4"/>
    <w:semiHidden/>
    <w:rsid w:val="001C0EF4"/>
    <w:pPr>
      <w:numPr>
        <w:ilvl w:val="3"/>
      </w:numPr>
    </w:pPr>
  </w:style>
  <w:style w:type="paragraph" w:styleId="ListNumber5">
    <w:name w:val="List Number 5"/>
    <w:basedOn w:val="ListNumber3"/>
    <w:uiPriority w:val="4"/>
    <w:semiHidden/>
    <w:rsid w:val="001C0EF4"/>
    <w:pPr>
      <w:numPr>
        <w:ilvl w:val="4"/>
      </w:numPr>
    </w:pPr>
  </w:style>
  <w:style w:type="paragraph" w:customStyle="1" w:styleId="RecommendationQuote">
    <w:name w:val="Recommendation Quote"/>
    <w:basedOn w:val="aRecommendationText"/>
    <w:uiPriority w:val="14"/>
    <w:qFormat/>
    <w:rsid w:val="001C0EF4"/>
    <w:pPr>
      <w:spacing w:before="100" w:after="100"/>
    </w:pPr>
    <w:rPr>
      <w:i/>
    </w:rPr>
  </w:style>
  <w:style w:type="paragraph" w:customStyle="1" w:styleId="RecommendationText2">
    <w:name w:val="Recommendation Text 2"/>
    <w:basedOn w:val="RecommendationText"/>
    <w:uiPriority w:val="12"/>
    <w:qFormat/>
    <w:rsid w:val="00952023"/>
    <w:pPr>
      <w:ind w:left="1134"/>
    </w:pPr>
  </w:style>
  <w:style w:type="paragraph" w:customStyle="1" w:styleId="RecommendationBullet">
    <w:name w:val="Recommendation Bullet"/>
    <w:basedOn w:val="aRecommendationText"/>
    <w:uiPriority w:val="15"/>
    <w:qFormat/>
    <w:rsid w:val="001C0EF4"/>
    <w:pPr>
      <w:numPr>
        <w:ilvl w:val="0"/>
        <w:numId w:val="30"/>
      </w:numPr>
    </w:pPr>
  </w:style>
  <w:style w:type="paragraph" w:customStyle="1" w:styleId="QuoteBullet">
    <w:name w:val="Quote Bullet"/>
    <w:basedOn w:val="Quote"/>
    <w:link w:val="QuoteBulletChar"/>
    <w:uiPriority w:val="7"/>
    <w:qFormat/>
    <w:rsid w:val="001C0EF4"/>
    <w:pPr>
      <w:numPr>
        <w:numId w:val="6"/>
      </w:numPr>
    </w:pPr>
  </w:style>
  <w:style w:type="paragraph" w:customStyle="1" w:styleId="QuoteBullet2">
    <w:name w:val="Quote Bullet 2"/>
    <w:basedOn w:val="QuoteBullet"/>
    <w:uiPriority w:val="7"/>
    <w:rsid w:val="001C0EF4"/>
    <w:pPr>
      <w:numPr>
        <w:ilvl w:val="1"/>
      </w:numPr>
    </w:pPr>
  </w:style>
  <w:style w:type="paragraph" w:customStyle="1" w:styleId="QuoteBullet3">
    <w:name w:val="Quote Bullet 3"/>
    <w:basedOn w:val="QuoteBullet"/>
    <w:uiPriority w:val="7"/>
    <w:rsid w:val="001C0EF4"/>
    <w:pPr>
      <w:numPr>
        <w:ilvl w:val="2"/>
      </w:numPr>
    </w:pPr>
  </w:style>
  <w:style w:type="paragraph" w:customStyle="1" w:styleId="RecommendationBullet2">
    <w:name w:val="Recommendation Bullet 2"/>
    <w:basedOn w:val="RecommendationBullet"/>
    <w:uiPriority w:val="15"/>
    <w:qFormat/>
    <w:rsid w:val="001C0EF4"/>
    <w:pPr>
      <w:numPr>
        <w:ilvl w:val="1"/>
      </w:numPr>
    </w:pPr>
  </w:style>
  <w:style w:type="paragraph" w:styleId="TOC1">
    <w:name w:val="toc 1"/>
    <w:basedOn w:val="Normal"/>
    <w:next w:val="Normal"/>
    <w:uiPriority w:val="39"/>
    <w:unhideWhenUsed/>
    <w:qFormat/>
    <w:rsid w:val="001C0EF4"/>
    <w:pPr>
      <w:tabs>
        <w:tab w:val="right" w:leader="dot" w:pos="9061"/>
      </w:tabs>
      <w:spacing w:before="300" w:after="100"/>
      <w:ind w:right="340"/>
    </w:pPr>
    <w:rPr>
      <w:b/>
      <w:noProof/>
      <w:color w:val="5CA0B9"/>
      <w:sz w:val="22"/>
    </w:rPr>
  </w:style>
  <w:style w:type="paragraph" w:styleId="TOC2">
    <w:name w:val="toc 2"/>
    <w:basedOn w:val="TOC3"/>
    <w:next w:val="Normal"/>
    <w:uiPriority w:val="39"/>
    <w:unhideWhenUsed/>
    <w:qFormat/>
    <w:rsid w:val="001C0EF4"/>
    <w:pPr>
      <w:spacing w:after="0"/>
    </w:pPr>
  </w:style>
  <w:style w:type="paragraph" w:styleId="TOC3">
    <w:name w:val="toc 3"/>
    <w:basedOn w:val="Normal"/>
    <w:next w:val="Normal"/>
    <w:uiPriority w:val="39"/>
    <w:unhideWhenUsed/>
    <w:qFormat/>
    <w:rsid w:val="001C0EF4"/>
    <w:pPr>
      <w:tabs>
        <w:tab w:val="right" w:leader="dot" w:pos="9072"/>
      </w:tabs>
      <w:ind w:left="284" w:right="340"/>
    </w:pPr>
    <w:rPr>
      <w:sz w:val="22"/>
    </w:rPr>
  </w:style>
  <w:style w:type="paragraph" w:styleId="NoSpacing">
    <w:name w:val="No Spacing"/>
    <w:uiPriority w:val="99"/>
    <w:rsid w:val="001C0EF4"/>
    <w:rPr>
      <w:rFonts w:asciiTheme="minorHAnsi" w:hAnsiTheme="minorHAnsi"/>
      <w:sz w:val="24"/>
      <w:szCs w:val="24"/>
      <w:lang w:eastAsia="en-AU"/>
    </w:rPr>
  </w:style>
  <w:style w:type="paragraph" w:customStyle="1" w:styleId="RecommendationBullet3">
    <w:name w:val="Recommendation Bullet 3"/>
    <w:basedOn w:val="RecommendationBullet"/>
    <w:next w:val="aRecommendationText"/>
    <w:uiPriority w:val="15"/>
    <w:qFormat/>
    <w:rsid w:val="001C0EF4"/>
    <w:pPr>
      <w:numPr>
        <w:ilvl w:val="2"/>
      </w:numPr>
    </w:pPr>
  </w:style>
  <w:style w:type="paragraph" w:customStyle="1" w:styleId="RecommendationText4">
    <w:name w:val="Recommendation Text 4"/>
    <w:basedOn w:val="RecommendationText3"/>
    <w:uiPriority w:val="13"/>
    <w:qFormat/>
    <w:rsid w:val="001C0EF4"/>
    <w:pPr>
      <w:numPr>
        <w:ilvl w:val="3"/>
      </w:numPr>
    </w:pPr>
  </w:style>
  <w:style w:type="paragraph" w:customStyle="1" w:styleId="RecommendationText5">
    <w:name w:val="Recommendation Text 5"/>
    <w:basedOn w:val="RecommendationText4"/>
    <w:uiPriority w:val="13"/>
    <w:qFormat/>
    <w:rsid w:val="001C0EF4"/>
    <w:pPr>
      <w:numPr>
        <w:ilvl w:val="4"/>
      </w:numPr>
    </w:pPr>
  </w:style>
  <w:style w:type="paragraph" w:customStyle="1" w:styleId="QuestionText">
    <w:name w:val="Question Text"/>
    <w:basedOn w:val="RxRecommendationText"/>
    <w:link w:val="QuestionTextChar"/>
    <w:uiPriority w:val="16"/>
    <w:qFormat/>
    <w:rsid w:val="001C0EF4"/>
    <w:pPr>
      <w:numPr>
        <w:numId w:val="7"/>
      </w:numPr>
    </w:pPr>
    <w:rPr>
      <w:lang w:val="en-US" w:eastAsia="en-AU"/>
    </w:rPr>
  </w:style>
  <w:style w:type="paragraph" w:customStyle="1" w:styleId="CommentsText">
    <w:name w:val="Comments Text"/>
    <w:basedOn w:val="RxRecommendationText"/>
    <w:uiPriority w:val="17"/>
    <w:qFormat/>
    <w:rsid w:val="001C0EF4"/>
    <w:pPr>
      <w:numPr>
        <w:numId w:val="8"/>
      </w:numPr>
      <w:ind w:left="709" w:hanging="425"/>
    </w:pPr>
    <w:rPr>
      <w:lang w:eastAsia="en-AU"/>
    </w:rPr>
  </w:style>
  <w:style w:type="paragraph" w:customStyle="1" w:styleId="ReferenceText">
    <w:name w:val="Reference Text"/>
    <w:uiPriority w:val="8"/>
    <w:qFormat/>
    <w:rsid w:val="001C0EF4"/>
    <w:pPr>
      <w:spacing w:before="60" w:after="60" w:line="260" w:lineRule="atLeast"/>
      <w:ind w:left="113"/>
    </w:pPr>
    <w:rPr>
      <w:rFonts w:ascii="Calibri" w:hAnsi="Calibri" w:cstheme="majorHAnsi"/>
      <w:color w:val="5CA0B9"/>
      <w:sz w:val="16"/>
      <w:szCs w:val="16"/>
      <w:lang w:eastAsia="en-AU"/>
    </w:rPr>
  </w:style>
  <w:style w:type="table" w:customStyle="1" w:styleId="LCTable">
    <w:name w:val="LC Table"/>
    <w:basedOn w:val="TableNormal"/>
    <w:uiPriority w:val="99"/>
    <w:rsid w:val="001C0EF4"/>
    <w:pPr>
      <w:spacing w:before="60" w:after="60" w:line="260" w:lineRule="atLeast"/>
    </w:pPr>
    <w:rPr>
      <w:rFonts w:ascii="Calibri" w:hAnsi="Calibri"/>
      <w:sz w:val="18"/>
      <w:szCs w:val="24"/>
      <w:lang w:val="en-AU" w:eastAsia="en-AU"/>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1C0EF4"/>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1C0EF4"/>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1C0EF4"/>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1C0EF4"/>
    <w:rPr>
      <w:rFonts w:ascii="Calibri" w:hAnsi="Calibri"/>
      <w:caps/>
      <w:color w:val="FFFFFF"/>
      <w:sz w:val="18"/>
    </w:rPr>
  </w:style>
  <w:style w:type="paragraph" w:customStyle="1" w:styleId="TableSubheadingGreen">
    <w:name w:val="Table Subheading Green"/>
    <w:basedOn w:val="Normal"/>
    <w:uiPriority w:val="8"/>
    <w:qFormat/>
    <w:rsid w:val="001C0EF4"/>
    <w:rPr>
      <w:b/>
      <w:color w:val="5CA0B9"/>
    </w:rPr>
  </w:style>
  <w:style w:type="character" w:styleId="Hyperlink">
    <w:name w:val="Hyperlink"/>
    <w:basedOn w:val="DefaultParagraphFont"/>
    <w:uiPriority w:val="99"/>
    <w:unhideWhenUsed/>
    <w:rsid w:val="001C0EF4"/>
    <w:rPr>
      <w:color w:val="005745" w:themeColor="text2"/>
      <w:u w:val="single"/>
    </w:rPr>
  </w:style>
  <w:style w:type="paragraph" w:styleId="BodyTextIndent3">
    <w:name w:val="Body Text Indent 3"/>
    <w:basedOn w:val="Normal"/>
    <w:link w:val="BodyTextIndent3Char"/>
    <w:uiPriority w:val="2"/>
    <w:semiHidden/>
    <w:rsid w:val="001C0EF4"/>
    <w:pPr>
      <w:ind w:left="283"/>
    </w:pPr>
    <w:rPr>
      <w:sz w:val="16"/>
      <w:szCs w:val="16"/>
    </w:rPr>
  </w:style>
  <w:style w:type="paragraph" w:styleId="BodyTextIndent2">
    <w:name w:val="Body Text Indent 2"/>
    <w:basedOn w:val="BodyText2"/>
    <w:link w:val="BodyTextIndent2Char"/>
    <w:uiPriority w:val="1"/>
    <w:qFormat/>
    <w:rsid w:val="001C0EF4"/>
    <w:pPr>
      <w:numPr>
        <w:ilvl w:val="4"/>
      </w:numPr>
      <w:ind w:left="1559" w:hanging="425"/>
    </w:pPr>
    <w:rPr>
      <w:rFonts w:ascii="Metropolis Light" w:hAnsi="Metropolis Light"/>
      <w:color w:val="0D0D0D" w:themeColor="text1" w:themeTint="F2"/>
      <w:sz w:val="20"/>
    </w:rPr>
  </w:style>
  <w:style w:type="numbering" w:styleId="111111">
    <w:name w:val="Outline List 2"/>
    <w:basedOn w:val="NoList"/>
    <w:semiHidden/>
    <w:rsid w:val="001C0EF4"/>
    <w:pPr>
      <w:numPr>
        <w:numId w:val="2"/>
      </w:numPr>
    </w:pPr>
  </w:style>
  <w:style w:type="numbering" w:styleId="1ai">
    <w:name w:val="Outline List 1"/>
    <w:basedOn w:val="NoList"/>
    <w:semiHidden/>
    <w:rsid w:val="001C0EF4"/>
    <w:pPr>
      <w:numPr>
        <w:numId w:val="3"/>
      </w:numPr>
    </w:pPr>
  </w:style>
  <w:style w:type="numbering" w:styleId="ArticleSection">
    <w:name w:val="Outline List 3"/>
    <w:basedOn w:val="NoList"/>
    <w:semiHidden/>
    <w:rsid w:val="001C0EF4"/>
    <w:pPr>
      <w:numPr>
        <w:numId w:val="4"/>
      </w:numPr>
    </w:pPr>
  </w:style>
  <w:style w:type="paragraph" w:styleId="BlockText">
    <w:name w:val="Block Text"/>
    <w:basedOn w:val="Normal"/>
    <w:uiPriority w:val="99"/>
    <w:rsid w:val="001C0EF4"/>
    <w:pPr>
      <w:ind w:left="1440" w:right="1440"/>
    </w:pPr>
  </w:style>
  <w:style w:type="paragraph" w:styleId="BodyText">
    <w:name w:val="Body Text"/>
    <w:link w:val="BodyTextChar"/>
    <w:qFormat/>
    <w:rsid w:val="001C0EF4"/>
    <w:pPr>
      <w:numPr>
        <w:ilvl w:val="1"/>
        <w:numId w:val="28"/>
      </w:numPr>
      <w:spacing w:before="80" w:after="80" w:line="360" w:lineRule="auto"/>
      <w:jc w:val="both"/>
    </w:pPr>
    <w:rPr>
      <w:rFonts w:ascii="Metropolis Light" w:hAnsi="Metropolis Light"/>
      <w:color w:val="0D0D0D" w:themeColor="text1" w:themeTint="F2"/>
      <w:szCs w:val="24"/>
      <w:lang w:eastAsia="en-AU"/>
    </w:rPr>
  </w:style>
  <w:style w:type="paragraph" w:styleId="BodyText3">
    <w:name w:val="Body Text 3"/>
    <w:link w:val="BodyText3Char"/>
    <w:uiPriority w:val="1"/>
    <w:semiHidden/>
    <w:rsid w:val="001C0EF4"/>
    <w:pPr>
      <w:spacing w:before="80" w:after="80" w:line="360" w:lineRule="auto"/>
    </w:pPr>
    <w:rPr>
      <w:rFonts w:asciiTheme="minorHAnsi" w:hAnsiTheme="minorHAnsi"/>
      <w:sz w:val="24"/>
      <w:szCs w:val="24"/>
      <w:lang w:eastAsia="en-AU"/>
    </w:rPr>
  </w:style>
  <w:style w:type="paragraph" w:styleId="BodyTextFirstIndent">
    <w:name w:val="Body Text First Indent"/>
    <w:basedOn w:val="BodyText"/>
    <w:link w:val="BodyTextFirstIndentChar"/>
    <w:uiPriority w:val="99"/>
    <w:semiHidden/>
    <w:rsid w:val="001C0EF4"/>
    <w:pPr>
      <w:ind w:firstLine="210"/>
    </w:pPr>
  </w:style>
  <w:style w:type="paragraph" w:styleId="BodyTextIndent">
    <w:name w:val="Body Text Indent"/>
    <w:link w:val="BodyTextIndentChar"/>
    <w:rsid w:val="001C0EF4"/>
    <w:pPr>
      <w:numPr>
        <w:ilvl w:val="2"/>
        <w:numId w:val="20"/>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1C0EF4"/>
    <w:pPr>
      <w:ind w:firstLine="210"/>
    </w:pPr>
  </w:style>
  <w:style w:type="paragraph" w:styleId="Closing">
    <w:name w:val="Closing"/>
    <w:basedOn w:val="Normal"/>
    <w:link w:val="ClosingChar"/>
    <w:uiPriority w:val="99"/>
    <w:semiHidden/>
    <w:rsid w:val="001C0EF4"/>
    <w:pPr>
      <w:ind w:left="4252"/>
    </w:pPr>
  </w:style>
  <w:style w:type="numbering" w:customStyle="1" w:styleId="Chapter1">
    <w:name w:val="Chapter1"/>
    <w:uiPriority w:val="99"/>
    <w:rsid w:val="001C0EF4"/>
    <w:pPr>
      <w:numPr>
        <w:numId w:val="38"/>
      </w:numPr>
    </w:pPr>
  </w:style>
  <w:style w:type="paragraph" w:styleId="E-mailSignature">
    <w:name w:val="E-mail Signature"/>
    <w:basedOn w:val="Normal"/>
    <w:link w:val="E-mailSignatureChar"/>
    <w:uiPriority w:val="99"/>
    <w:semiHidden/>
    <w:rsid w:val="001C0EF4"/>
  </w:style>
  <w:style w:type="character" w:styleId="Emphasis">
    <w:name w:val="Emphasis"/>
    <w:basedOn w:val="DefaultParagraphFont"/>
    <w:uiPriority w:val="5"/>
    <w:qFormat/>
    <w:rsid w:val="001C0EF4"/>
    <w:rPr>
      <w:rFonts w:ascii="Calibri" w:hAnsi="Calibri"/>
      <w:i/>
      <w:iCs/>
      <w:sz w:val="20"/>
    </w:rPr>
  </w:style>
  <w:style w:type="paragraph" w:styleId="EnvelopeAddress">
    <w:name w:val="envelope address"/>
    <w:basedOn w:val="Normal"/>
    <w:uiPriority w:val="99"/>
    <w:semiHidden/>
    <w:rsid w:val="001C0E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1C0EF4"/>
    <w:rPr>
      <w:rFonts w:ascii="Arial" w:hAnsi="Arial" w:cs="Arial"/>
      <w:szCs w:val="20"/>
    </w:rPr>
  </w:style>
  <w:style w:type="character" w:styleId="FollowedHyperlink">
    <w:name w:val="FollowedHyperlink"/>
    <w:basedOn w:val="DefaultParagraphFont"/>
    <w:uiPriority w:val="59"/>
    <w:unhideWhenUsed/>
    <w:rsid w:val="001C0EF4"/>
    <w:rPr>
      <w:color w:val="008065" w:themeColor="text2" w:themeTint="E6"/>
      <w:u w:val="single"/>
    </w:rPr>
  </w:style>
  <w:style w:type="character" w:styleId="HTMLAcronym">
    <w:name w:val="HTML Acronym"/>
    <w:basedOn w:val="DefaultParagraphFont"/>
    <w:uiPriority w:val="99"/>
    <w:semiHidden/>
    <w:rsid w:val="001C0EF4"/>
  </w:style>
  <w:style w:type="paragraph" w:styleId="HTMLAddress">
    <w:name w:val="HTML Address"/>
    <w:basedOn w:val="Normal"/>
    <w:link w:val="HTMLAddressChar"/>
    <w:uiPriority w:val="99"/>
    <w:semiHidden/>
    <w:rsid w:val="001C0EF4"/>
    <w:rPr>
      <w:i/>
      <w:iCs/>
    </w:rPr>
  </w:style>
  <w:style w:type="character" w:styleId="HTMLCite">
    <w:name w:val="HTML Cite"/>
    <w:basedOn w:val="DefaultParagraphFont"/>
    <w:uiPriority w:val="99"/>
    <w:semiHidden/>
    <w:rsid w:val="001C0EF4"/>
    <w:rPr>
      <w:i/>
      <w:iCs/>
    </w:rPr>
  </w:style>
  <w:style w:type="character" w:styleId="HTMLCode">
    <w:name w:val="HTML Code"/>
    <w:basedOn w:val="DefaultParagraphFont"/>
    <w:uiPriority w:val="99"/>
    <w:semiHidden/>
    <w:rsid w:val="001C0EF4"/>
    <w:rPr>
      <w:rFonts w:ascii="Courier New" w:hAnsi="Courier New" w:cs="Courier New"/>
      <w:sz w:val="20"/>
      <w:szCs w:val="20"/>
    </w:rPr>
  </w:style>
  <w:style w:type="character" w:styleId="HTMLDefinition">
    <w:name w:val="HTML Definition"/>
    <w:basedOn w:val="DefaultParagraphFont"/>
    <w:uiPriority w:val="99"/>
    <w:semiHidden/>
    <w:rsid w:val="001C0EF4"/>
    <w:rPr>
      <w:i/>
      <w:iCs/>
    </w:rPr>
  </w:style>
  <w:style w:type="character" w:styleId="HTMLKeyboard">
    <w:name w:val="HTML Keyboard"/>
    <w:basedOn w:val="DefaultParagraphFont"/>
    <w:uiPriority w:val="99"/>
    <w:semiHidden/>
    <w:rsid w:val="001C0EF4"/>
    <w:rPr>
      <w:rFonts w:ascii="Courier New" w:hAnsi="Courier New" w:cs="Courier New"/>
      <w:sz w:val="20"/>
      <w:szCs w:val="20"/>
    </w:rPr>
  </w:style>
  <w:style w:type="paragraph" w:styleId="HTMLPreformatted">
    <w:name w:val="HTML Preformatted"/>
    <w:basedOn w:val="Normal"/>
    <w:link w:val="HTMLPreformattedChar"/>
    <w:uiPriority w:val="99"/>
    <w:semiHidden/>
    <w:rsid w:val="001C0EF4"/>
    <w:rPr>
      <w:rFonts w:ascii="Courier New" w:hAnsi="Courier New" w:cs="Courier New"/>
      <w:szCs w:val="20"/>
    </w:rPr>
  </w:style>
  <w:style w:type="character" w:styleId="HTMLSample">
    <w:name w:val="HTML Sample"/>
    <w:basedOn w:val="DefaultParagraphFont"/>
    <w:uiPriority w:val="99"/>
    <w:semiHidden/>
    <w:rsid w:val="001C0EF4"/>
    <w:rPr>
      <w:rFonts w:ascii="Courier New" w:hAnsi="Courier New" w:cs="Courier New"/>
    </w:rPr>
  </w:style>
  <w:style w:type="character" w:styleId="HTMLTypewriter">
    <w:name w:val="HTML Typewriter"/>
    <w:basedOn w:val="DefaultParagraphFont"/>
    <w:uiPriority w:val="99"/>
    <w:semiHidden/>
    <w:rsid w:val="001C0EF4"/>
    <w:rPr>
      <w:rFonts w:ascii="Courier New" w:hAnsi="Courier New" w:cs="Courier New"/>
      <w:sz w:val="20"/>
      <w:szCs w:val="20"/>
    </w:rPr>
  </w:style>
  <w:style w:type="character" w:styleId="HTMLVariable">
    <w:name w:val="HTML Variable"/>
    <w:basedOn w:val="DefaultParagraphFont"/>
    <w:uiPriority w:val="99"/>
    <w:semiHidden/>
    <w:rsid w:val="001C0EF4"/>
    <w:rPr>
      <w:i/>
      <w:iCs/>
    </w:rPr>
  </w:style>
  <w:style w:type="character" w:styleId="LineNumber">
    <w:name w:val="line number"/>
    <w:basedOn w:val="DefaultParagraphFont"/>
    <w:uiPriority w:val="99"/>
    <w:semiHidden/>
    <w:rsid w:val="001C0EF4"/>
  </w:style>
  <w:style w:type="paragraph" w:styleId="List">
    <w:name w:val="List"/>
    <w:basedOn w:val="Normal"/>
    <w:uiPriority w:val="99"/>
    <w:rsid w:val="001C0EF4"/>
    <w:pPr>
      <w:ind w:left="283" w:hanging="283"/>
    </w:pPr>
  </w:style>
  <w:style w:type="paragraph" w:styleId="List2">
    <w:name w:val="List 2"/>
    <w:basedOn w:val="Normal"/>
    <w:uiPriority w:val="99"/>
    <w:semiHidden/>
    <w:rsid w:val="001C0EF4"/>
    <w:pPr>
      <w:ind w:left="566" w:hanging="283"/>
    </w:pPr>
  </w:style>
  <w:style w:type="paragraph" w:styleId="List5">
    <w:name w:val="List 5"/>
    <w:basedOn w:val="Normal"/>
    <w:uiPriority w:val="99"/>
    <w:semiHidden/>
    <w:rsid w:val="001C0EF4"/>
    <w:pPr>
      <w:ind w:left="1415" w:hanging="283"/>
    </w:pPr>
  </w:style>
  <w:style w:type="paragraph" w:styleId="ListBullet5">
    <w:name w:val="List Bullet 5"/>
    <w:basedOn w:val="ListBullet3"/>
    <w:uiPriority w:val="4"/>
    <w:semiHidden/>
    <w:rsid w:val="001C0EF4"/>
    <w:pPr>
      <w:numPr>
        <w:ilvl w:val="4"/>
      </w:numPr>
    </w:pPr>
  </w:style>
  <w:style w:type="paragraph" w:styleId="ListNumber">
    <w:name w:val="List Number"/>
    <w:uiPriority w:val="4"/>
    <w:qFormat/>
    <w:rsid w:val="001C0EF4"/>
    <w:pPr>
      <w:numPr>
        <w:numId w:val="26"/>
      </w:numPr>
      <w:spacing w:before="80" w:after="80" w:line="360" w:lineRule="auto"/>
      <w:ind w:left="567" w:hanging="567"/>
      <w:jc w:val="both"/>
    </w:pPr>
    <w:rPr>
      <w:rFonts w:ascii="Metropolis Light" w:hAnsi="Metropolis Light"/>
      <w:color w:val="0D0D0D" w:themeColor="text1" w:themeTint="F2"/>
      <w:szCs w:val="24"/>
      <w:lang w:eastAsia="en-AU"/>
    </w:rPr>
  </w:style>
  <w:style w:type="paragraph" w:styleId="MessageHeader">
    <w:name w:val="Message Header"/>
    <w:basedOn w:val="Normal"/>
    <w:link w:val="MessageHeaderChar"/>
    <w:uiPriority w:val="99"/>
    <w:semiHidden/>
    <w:rsid w:val="001C0E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1C0EF4"/>
  </w:style>
  <w:style w:type="paragraph" w:styleId="NormalIndent">
    <w:name w:val="Normal Indent"/>
    <w:basedOn w:val="Normal"/>
    <w:uiPriority w:val="8"/>
    <w:rsid w:val="001C0EF4"/>
    <w:pPr>
      <w:ind w:left="720"/>
    </w:pPr>
  </w:style>
  <w:style w:type="paragraph" w:styleId="NoteHeading">
    <w:name w:val="Note Heading"/>
    <w:basedOn w:val="Normal"/>
    <w:next w:val="Normal"/>
    <w:link w:val="NoteHeadingChar"/>
    <w:uiPriority w:val="99"/>
    <w:semiHidden/>
    <w:rsid w:val="001C0EF4"/>
  </w:style>
  <w:style w:type="character" w:styleId="PageNumber">
    <w:name w:val="page number"/>
    <w:uiPriority w:val="99"/>
    <w:rsid w:val="001C0EF4"/>
    <w:rPr>
      <w:rFonts w:ascii="Metropolis Light" w:hAnsi="Metropolis Light"/>
      <w:color w:val="005745" w:themeColor="text2"/>
      <w:sz w:val="13"/>
    </w:rPr>
  </w:style>
  <w:style w:type="paragraph" w:styleId="PlainText">
    <w:name w:val="Plain Text"/>
    <w:basedOn w:val="Normal"/>
    <w:link w:val="PlainTextChar"/>
    <w:uiPriority w:val="99"/>
    <w:semiHidden/>
    <w:rsid w:val="001C0EF4"/>
    <w:rPr>
      <w:rFonts w:ascii="Courier New" w:hAnsi="Courier New" w:cs="Courier New"/>
      <w:szCs w:val="20"/>
    </w:rPr>
  </w:style>
  <w:style w:type="paragraph" w:styleId="Salutation">
    <w:name w:val="Salutation"/>
    <w:basedOn w:val="Normal"/>
    <w:next w:val="Normal"/>
    <w:link w:val="SalutationChar"/>
    <w:uiPriority w:val="99"/>
    <w:semiHidden/>
    <w:rsid w:val="001C0EF4"/>
  </w:style>
  <w:style w:type="paragraph" w:styleId="Signature">
    <w:name w:val="Signature"/>
    <w:basedOn w:val="Normal"/>
    <w:link w:val="SignatureChar"/>
    <w:uiPriority w:val="99"/>
    <w:semiHidden/>
    <w:rsid w:val="001C0EF4"/>
    <w:pPr>
      <w:ind w:left="4252"/>
    </w:pPr>
  </w:style>
  <w:style w:type="character" w:styleId="Strong">
    <w:name w:val="Strong"/>
    <w:basedOn w:val="DefaultParagraphFont"/>
    <w:uiPriority w:val="5"/>
    <w:qFormat/>
    <w:rsid w:val="001C0EF4"/>
    <w:rPr>
      <w:rFonts w:ascii="Metropolis Light" w:hAnsi="Metropolis Light"/>
      <w:b/>
      <w:bCs/>
      <w:sz w:val="20"/>
    </w:rPr>
  </w:style>
  <w:style w:type="paragraph" w:styleId="Subtitle">
    <w:name w:val="Subtitle"/>
    <w:basedOn w:val="Title"/>
    <w:link w:val="SubtitleChar"/>
    <w:uiPriority w:val="21"/>
    <w:qFormat/>
    <w:rsid w:val="001C0EF4"/>
    <w:pPr>
      <w:pBdr>
        <w:top w:val="single" w:sz="4" w:space="12" w:color="005745" w:themeColor="text2"/>
      </w:pBdr>
    </w:pPr>
    <w:rPr>
      <w:sz w:val="48"/>
    </w:rPr>
  </w:style>
  <w:style w:type="table" w:styleId="Table3Deffects1">
    <w:name w:val="Table 3D effects 1"/>
    <w:basedOn w:val="TableNormal"/>
    <w:semiHidden/>
    <w:rsid w:val="001C0EF4"/>
    <w:rPr>
      <w:rFonts w:asciiTheme="minorHAnsi" w:hAnsiTheme="minorHAnsi"/>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C0EF4"/>
    <w:rPr>
      <w:rFonts w:asciiTheme="minorHAnsi" w:hAnsiTheme="minorHAnsi"/>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C0EF4"/>
    <w:rPr>
      <w:rFonts w:asciiTheme="minorHAnsi" w:hAnsiTheme="minorHAnsi"/>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C0EF4"/>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C0EF4"/>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C0EF4"/>
    <w:rPr>
      <w:rFonts w:asciiTheme="minorHAnsi" w:hAnsiTheme="minorHAnsi"/>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C0EF4"/>
    <w:rPr>
      <w:rFonts w:asciiTheme="minorHAnsi" w:hAnsiTheme="minorHAnsi"/>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C0EF4"/>
    <w:rPr>
      <w:rFonts w:asciiTheme="minorHAnsi" w:hAnsiTheme="minorHAnsi"/>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C0EF4"/>
    <w:rPr>
      <w:rFonts w:asciiTheme="minorHAnsi" w:hAnsiTheme="minorHAnsi"/>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C0EF4"/>
    <w:rPr>
      <w:rFonts w:asciiTheme="minorHAnsi" w:hAnsiTheme="minorHAnsi"/>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C0EF4"/>
    <w:rPr>
      <w:rFonts w:asciiTheme="minorHAnsi" w:hAnsiTheme="minorHAnsi"/>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C0EF4"/>
    <w:rPr>
      <w:rFonts w:asciiTheme="minorHAnsi" w:hAnsiTheme="minorHAnsi"/>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C0EF4"/>
    <w:rPr>
      <w:rFonts w:asciiTheme="minorHAnsi" w:hAnsiTheme="minorHAnsi"/>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C0EF4"/>
    <w:rPr>
      <w:rFonts w:asciiTheme="minorHAnsi" w:hAnsiTheme="minorHAnsi"/>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C0EF4"/>
    <w:rPr>
      <w:rFonts w:asciiTheme="minorHAnsi" w:hAnsiTheme="minorHAnsi"/>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C0EF4"/>
    <w:rPr>
      <w:rFonts w:asciiTheme="minorHAnsi" w:hAnsiTheme="minorHAnsi"/>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C0EF4"/>
    <w:rPr>
      <w:rFonts w:asciiTheme="minorHAnsi" w:hAnsiTheme="minorHAnsi"/>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C0EF4"/>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C0EF4"/>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C0EF4"/>
    <w:rPr>
      <w:rFonts w:asciiTheme="minorHAnsi" w:hAnsiTheme="minorHAnsi"/>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C0EF4"/>
    <w:rPr>
      <w:rFonts w:asciiTheme="minorHAnsi" w:hAnsiTheme="minorHAnsi"/>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C0EF4"/>
    <w:rPr>
      <w:rFonts w:asciiTheme="minorHAnsi" w:hAnsiTheme="minorHAnsi"/>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C0EF4"/>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C0EF4"/>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C0EF4"/>
    <w:rPr>
      <w:rFonts w:asciiTheme="minorHAnsi" w:hAnsiTheme="minorHAnsi"/>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C0EF4"/>
    <w:rPr>
      <w:rFonts w:asciiTheme="minorHAnsi" w:hAnsiTheme="minorHAnsi"/>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C0EF4"/>
    <w:rPr>
      <w:rFonts w:asciiTheme="minorHAnsi" w:hAnsiTheme="minorHAnsi"/>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C0EF4"/>
    <w:rPr>
      <w:rFonts w:asciiTheme="minorHAnsi" w:hAnsiTheme="minorHAnsi"/>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C0EF4"/>
    <w:rPr>
      <w:rFonts w:asciiTheme="minorHAnsi" w:hAnsiTheme="minorHAnsi"/>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C0EF4"/>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C0EF4"/>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C0EF4"/>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C0EF4"/>
    <w:rPr>
      <w:rFonts w:asciiTheme="minorHAnsi" w:hAnsiTheme="minorHAnsi"/>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C0EF4"/>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C0EF4"/>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C0EF4"/>
    <w:rPr>
      <w:rFonts w:asciiTheme="minorHAnsi" w:hAnsiTheme="minorHAnsi"/>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C0EF4"/>
    <w:rPr>
      <w:rFonts w:asciiTheme="minorHAnsi" w:hAnsiTheme="minorHAnsi"/>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C0EF4"/>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C0EF4"/>
    <w:rPr>
      <w:rFonts w:asciiTheme="minorHAnsi" w:hAnsiTheme="minorHAnsi"/>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C0EF4"/>
    <w:rPr>
      <w:rFonts w:asciiTheme="minorHAnsi" w:hAnsiTheme="minorHAnsi"/>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C0EF4"/>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C0EF4"/>
    <w:rPr>
      <w:rFonts w:asciiTheme="minorHAnsi" w:hAnsiTheme="minorHAnsi"/>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C0EF4"/>
    <w:rPr>
      <w:rFonts w:asciiTheme="minorHAnsi" w:hAnsiTheme="minorHAnsi"/>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C0EF4"/>
    <w:rPr>
      <w:rFonts w:asciiTheme="minorHAnsi" w:hAnsiTheme="minorHAnsi"/>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1C0EF4"/>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basedOn w:val="DefaultParagraphFont"/>
    <w:link w:val="CommentText"/>
    <w:uiPriority w:val="99"/>
    <w:rsid w:val="001C0EF4"/>
    <w:rPr>
      <w:rFonts w:ascii="Metropolis Light" w:hAnsi="Metropolis Light"/>
      <w:color w:val="0D0D0D" w:themeColor="text1" w:themeTint="F2"/>
      <w:lang w:eastAsia="en-AU"/>
    </w:rPr>
  </w:style>
  <w:style w:type="paragraph" w:customStyle="1" w:styleId="InsideCoverText">
    <w:name w:val="Inside Cover Text"/>
    <w:uiPriority w:val="22"/>
    <w:qFormat/>
    <w:rsid w:val="001C0EF4"/>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1C0EF4"/>
    <w:pPr>
      <w:keepLines/>
      <w:numPr>
        <w:numId w:val="0"/>
      </w:numPr>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link w:val="Heading1anotinTOCChar"/>
    <w:uiPriority w:val="5"/>
    <w:qFormat/>
    <w:rsid w:val="001C0EF4"/>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1C0EF4"/>
    <w:pPr>
      <w:numPr>
        <w:ilvl w:val="1"/>
      </w:numPr>
    </w:pPr>
  </w:style>
  <w:style w:type="paragraph" w:customStyle="1" w:styleId="QuoteIndent2">
    <w:name w:val="Quote Indent 2"/>
    <w:basedOn w:val="QuoteIndent1"/>
    <w:uiPriority w:val="6"/>
    <w:qFormat/>
    <w:rsid w:val="001C0EF4"/>
    <w:pPr>
      <w:numPr>
        <w:ilvl w:val="2"/>
      </w:numPr>
    </w:pPr>
  </w:style>
  <w:style w:type="paragraph" w:customStyle="1" w:styleId="FootnoteBullet">
    <w:name w:val="Footnote Bullet"/>
    <w:basedOn w:val="FootnoteText"/>
    <w:uiPriority w:val="34"/>
    <w:qFormat/>
    <w:rsid w:val="001C0EF4"/>
    <w:pPr>
      <w:numPr>
        <w:numId w:val="9"/>
      </w:numPr>
    </w:pPr>
    <w:rPr>
      <w:color w:val="005745"/>
      <w:szCs w:val="17"/>
    </w:rPr>
  </w:style>
  <w:style w:type="paragraph" w:customStyle="1" w:styleId="FootnoteQuote">
    <w:name w:val="Footnote Quote"/>
    <w:basedOn w:val="FootnoteText"/>
    <w:uiPriority w:val="34"/>
    <w:qFormat/>
    <w:rsid w:val="001C0EF4"/>
    <w:pPr>
      <w:ind w:left="851" w:firstLine="0"/>
    </w:pPr>
    <w:rPr>
      <w:rFonts w:asciiTheme="majorHAnsi" w:hAnsiTheme="majorHAnsi"/>
      <w:sz w:val="13"/>
    </w:rPr>
  </w:style>
  <w:style w:type="paragraph" w:customStyle="1" w:styleId="FootnoteNumbered">
    <w:name w:val="Footnote Numbered"/>
    <w:basedOn w:val="FootnoteText"/>
    <w:uiPriority w:val="34"/>
    <w:qFormat/>
    <w:rsid w:val="001C0EF4"/>
    <w:pPr>
      <w:numPr>
        <w:numId w:val="13"/>
      </w:numPr>
    </w:pPr>
  </w:style>
  <w:style w:type="paragraph" w:customStyle="1" w:styleId="FootnoteNumbered2">
    <w:name w:val="Footnote Numbered 2"/>
    <w:basedOn w:val="FootnoteNumbered"/>
    <w:uiPriority w:val="34"/>
    <w:qFormat/>
    <w:rsid w:val="001C0EF4"/>
    <w:pPr>
      <w:numPr>
        <w:ilvl w:val="1"/>
      </w:numPr>
    </w:pPr>
  </w:style>
  <w:style w:type="paragraph" w:customStyle="1" w:styleId="FootnoteNumbered3">
    <w:name w:val="Footnote Numbered 3"/>
    <w:basedOn w:val="FootnoteNumbered"/>
    <w:uiPriority w:val="34"/>
    <w:qFormat/>
    <w:rsid w:val="001C0EF4"/>
    <w:pPr>
      <w:numPr>
        <w:ilvl w:val="2"/>
      </w:numPr>
      <w:ind w:left="1418"/>
    </w:pPr>
  </w:style>
  <w:style w:type="paragraph" w:customStyle="1" w:styleId="Summarybodytext">
    <w:name w:val="Summary bodytext"/>
    <w:basedOn w:val="BodyText"/>
    <w:uiPriority w:val="8"/>
    <w:qFormat/>
    <w:rsid w:val="001C0EF4"/>
    <w:pPr>
      <w:numPr>
        <w:numId w:val="12"/>
      </w:numPr>
      <w:ind w:left="709" w:hanging="709"/>
    </w:pPr>
  </w:style>
  <w:style w:type="paragraph" w:customStyle="1" w:styleId="Recommendationheading">
    <w:name w:val="Recommendation heading"/>
    <w:next w:val="RxRecommendationText"/>
    <w:uiPriority w:val="8"/>
    <w:qFormat/>
    <w:rsid w:val="001C0EF4"/>
    <w:pPr>
      <w:shd w:val="clear" w:color="auto" w:fill="5CA0B9"/>
      <w:spacing w:before="120" w:after="60"/>
    </w:pPr>
    <w:rPr>
      <w:rFonts w:ascii="Metropolis Light" w:hAnsi="Metropolis Light"/>
      <w:b/>
      <w:caps/>
      <w:color w:val="FFFFFF" w:themeColor="background1"/>
      <w:spacing w:val="24"/>
      <w:szCs w:val="22"/>
      <w:lang w:eastAsia="en-AU"/>
    </w:rPr>
  </w:style>
  <w:style w:type="character" w:customStyle="1" w:styleId="CoverPublicationTypeandNumber">
    <w:name w:val="Cover Publication Type and Number"/>
    <w:basedOn w:val="DefaultParagraphFont"/>
    <w:uiPriority w:val="9"/>
    <w:qFormat/>
    <w:rsid w:val="001C0EF4"/>
    <w:rPr>
      <w:rFonts w:ascii="Calibri" w:hAnsi="Calibri"/>
      <w:spacing w:val="54"/>
    </w:rPr>
  </w:style>
  <w:style w:type="paragraph" w:customStyle="1" w:styleId="CoverTitle">
    <w:name w:val="Cover Title"/>
    <w:basedOn w:val="Title"/>
    <w:uiPriority w:val="8"/>
    <w:qFormat/>
    <w:rsid w:val="001C0EF4"/>
    <w:rPr>
      <w:rFonts w:ascii="Metropolis" w:hAnsi="Metropolis"/>
    </w:rPr>
  </w:style>
  <w:style w:type="paragraph" w:customStyle="1" w:styleId="CoverSubtitle">
    <w:name w:val="Cover Subtitle"/>
    <w:basedOn w:val="Subtitle"/>
    <w:uiPriority w:val="8"/>
    <w:qFormat/>
    <w:rsid w:val="001C0EF4"/>
    <w:rPr>
      <w:rFonts w:ascii="Metropolis" w:hAnsi="Metropolis"/>
    </w:rPr>
  </w:style>
  <w:style w:type="paragraph" w:customStyle="1" w:styleId="CoverDate">
    <w:name w:val="Cover Date"/>
    <w:basedOn w:val="Normal"/>
    <w:uiPriority w:val="8"/>
    <w:qFormat/>
    <w:rsid w:val="001C0EF4"/>
    <w:pPr>
      <w:spacing w:before="57" w:after="57"/>
      <w:jc w:val="right"/>
    </w:pPr>
    <w:rPr>
      <w:color w:val="5CA0B9"/>
    </w:rPr>
  </w:style>
  <w:style w:type="table" w:customStyle="1" w:styleId="LCTableFinancial">
    <w:name w:val="LC Table Financial"/>
    <w:basedOn w:val="TableNormal"/>
    <w:uiPriority w:val="99"/>
    <w:rsid w:val="001C0EF4"/>
    <w:pPr>
      <w:spacing w:before="60" w:after="60" w:line="260" w:lineRule="atLeast"/>
      <w:jc w:val="center"/>
    </w:pPr>
    <w:rPr>
      <w:rFonts w:ascii="Calibri" w:hAnsi="Calibri"/>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1C0EF4"/>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1C0EF4"/>
    <w:pPr>
      <w:numPr>
        <w:ilvl w:val="2"/>
      </w:numPr>
      <w:spacing w:after="120"/>
    </w:pPr>
  </w:style>
  <w:style w:type="paragraph" w:customStyle="1" w:styleId="BodyTextalphalist">
    <w:name w:val="Body Text (alpha list)"/>
    <w:basedOn w:val="BodyText"/>
    <w:uiPriority w:val="1"/>
    <w:qFormat/>
    <w:rsid w:val="001C0EF4"/>
    <w:pPr>
      <w:numPr>
        <w:ilvl w:val="3"/>
      </w:numPr>
    </w:pPr>
  </w:style>
  <w:style w:type="paragraph" w:customStyle="1" w:styleId="QuoteIndent0">
    <w:name w:val="Quote Indent 0"/>
    <w:basedOn w:val="Quote"/>
    <w:uiPriority w:val="6"/>
    <w:qFormat/>
    <w:rsid w:val="001C0EF4"/>
    <w:pPr>
      <w:ind w:hanging="284"/>
    </w:pPr>
  </w:style>
  <w:style w:type="paragraph" w:customStyle="1" w:styleId="TableHeading">
    <w:name w:val="Table Heading"/>
    <w:basedOn w:val="Normal"/>
    <w:uiPriority w:val="8"/>
    <w:qFormat/>
    <w:rsid w:val="001C0EF4"/>
    <w:pPr>
      <w:spacing w:before="60"/>
    </w:pPr>
    <w:rPr>
      <w:caps/>
      <w:color w:val="FFFFFF"/>
      <w:sz w:val="18"/>
    </w:rPr>
  </w:style>
  <w:style w:type="paragraph" w:customStyle="1" w:styleId="LegislationIndent0">
    <w:name w:val="Legislation Indent 0"/>
    <w:basedOn w:val="LegislationBodytext"/>
    <w:uiPriority w:val="8"/>
    <w:qFormat/>
    <w:rsid w:val="001C0EF4"/>
    <w:pPr>
      <w:ind w:left="1276" w:hanging="567"/>
    </w:pPr>
  </w:style>
  <w:style w:type="paragraph" w:customStyle="1" w:styleId="LegislationSubheading1">
    <w:name w:val="Legislation Subheading 1"/>
    <w:basedOn w:val="BodyText"/>
    <w:uiPriority w:val="8"/>
    <w:qFormat/>
    <w:rsid w:val="001C0EF4"/>
    <w:pPr>
      <w:ind w:hanging="596"/>
    </w:pPr>
    <w:rPr>
      <w:b/>
    </w:rPr>
  </w:style>
  <w:style w:type="paragraph" w:customStyle="1" w:styleId="LegislationNumberedSubheading">
    <w:name w:val="Legislation Numbered Subheading"/>
    <w:basedOn w:val="LegislationSubheading1"/>
    <w:uiPriority w:val="8"/>
    <w:qFormat/>
    <w:rsid w:val="001C0EF4"/>
    <w:pPr>
      <w:ind w:hanging="709"/>
    </w:pPr>
  </w:style>
  <w:style w:type="paragraph" w:customStyle="1" w:styleId="LegislationBodytext">
    <w:name w:val="Legislation Bodytext"/>
    <w:basedOn w:val="Normal"/>
    <w:uiPriority w:val="8"/>
    <w:qFormat/>
    <w:rsid w:val="001C0EF4"/>
    <w:pPr>
      <w:ind w:left="567"/>
    </w:pPr>
  </w:style>
  <w:style w:type="paragraph" w:customStyle="1" w:styleId="LegislationIndent1">
    <w:name w:val="Legislation Indent 1"/>
    <w:basedOn w:val="LegislationIndent0"/>
    <w:uiPriority w:val="8"/>
    <w:qFormat/>
    <w:rsid w:val="001C0EF4"/>
    <w:pPr>
      <w:ind w:left="1843"/>
    </w:pPr>
  </w:style>
  <w:style w:type="paragraph" w:customStyle="1" w:styleId="LegislationSubheading2">
    <w:name w:val="Legislation Subheading 2"/>
    <w:basedOn w:val="LegislationSubheading1"/>
    <w:uiPriority w:val="8"/>
    <w:qFormat/>
    <w:rsid w:val="001C0EF4"/>
    <w:pPr>
      <w:jc w:val="center"/>
    </w:pPr>
    <w:rPr>
      <w:b w:val="0"/>
      <w:i/>
    </w:rPr>
  </w:style>
  <w:style w:type="paragraph" w:customStyle="1" w:styleId="LegislationIndent2">
    <w:name w:val="Legislation Indent 2"/>
    <w:basedOn w:val="LegislationIndent1"/>
    <w:uiPriority w:val="8"/>
    <w:qFormat/>
    <w:rsid w:val="001C0EF4"/>
    <w:pPr>
      <w:ind w:left="2268" w:hanging="425"/>
    </w:pPr>
  </w:style>
  <w:style w:type="paragraph" w:customStyle="1" w:styleId="G1GuidelinesText">
    <w:name w:val="G1 Guidelines Text"/>
    <w:basedOn w:val="RxRecommendationText"/>
    <w:uiPriority w:val="8"/>
    <w:qFormat/>
    <w:rsid w:val="001C0EF4"/>
    <w:pPr>
      <w:framePr w:wrap="around" w:vAnchor="text" w:hAnchor="text" w:y="1"/>
      <w:numPr>
        <w:numId w:val="11"/>
      </w:numPr>
    </w:pPr>
  </w:style>
  <w:style w:type="paragraph" w:customStyle="1" w:styleId="RecommendationText1">
    <w:name w:val="Recommendation Text 1"/>
    <w:basedOn w:val="RxRecommendationText"/>
    <w:link w:val="RecommendationText1Char"/>
    <w:uiPriority w:val="8"/>
    <w:qFormat/>
    <w:rsid w:val="005F4DB8"/>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1C0EF4"/>
    <w:rPr>
      <w:rFonts w:ascii="Metropolis Light" w:hAnsi="Metropolis Light"/>
      <w:color w:val="0D0D0D" w:themeColor="text1" w:themeTint="F2"/>
      <w:sz w:val="15"/>
      <w:lang w:eastAsia="en-US"/>
    </w:rPr>
  </w:style>
  <w:style w:type="character" w:customStyle="1" w:styleId="Heading2Char">
    <w:name w:val="Heading 2 Char"/>
    <w:basedOn w:val="DefaultParagraphFont"/>
    <w:link w:val="Heading2"/>
    <w:uiPriority w:val="5"/>
    <w:rsid w:val="001C0EF4"/>
    <w:rPr>
      <w:rFonts w:ascii="Metropolis" w:hAnsi="Metropolis"/>
      <w:b/>
      <w:caps/>
      <w:color w:val="5CA0B9"/>
      <w:sz w:val="22"/>
      <w:szCs w:val="24"/>
      <w:lang w:eastAsia="en-AU"/>
    </w:rPr>
  </w:style>
  <w:style w:type="character" w:customStyle="1" w:styleId="Heading3Char">
    <w:name w:val="Heading 3 Char"/>
    <w:basedOn w:val="DefaultParagraphFont"/>
    <w:link w:val="Heading3"/>
    <w:uiPriority w:val="5"/>
    <w:rsid w:val="001C0EF4"/>
    <w:rPr>
      <w:rFonts w:ascii="Metropolis" w:hAnsi="Metropolis"/>
      <w:b/>
      <w:color w:val="5CA0B9"/>
      <w:sz w:val="22"/>
      <w:szCs w:val="24"/>
      <w:lang w:eastAsia="en-AU"/>
    </w:rPr>
  </w:style>
  <w:style w:type="character" w:customStyle="1" w:styleId="Heading4Char">
    <w:name w:val="Heading 4 Char"/>
    <w:basedOn w:val="DefaultParagraphFont"/>
    <w:link w:val="Heading4"/>
    <w:uiPriority w:val="5"/>
    <w:rsid w:val="001C0EF4"/>
    <w:rPr>
      <w:rFonts w:ascii="Metropolis" w:hAnsi="Metropolis"/>
      <w:b/>
      <w:i/>
      <w:color w:val="5CA0B9"/>
      <w:szCs w:val="24"/>
      <w:lang w:eastAsia="en-AU"/>
    </w:rPr>
  </w:style>
  <w:style w:type="paragraph" w:customStyle="1" w:styleId="Introindent">
    <w:name w:val="Intro indent"/>
    <w:basedOn w:val="Normal"/>
    <w:next w:val="Normal"/>
    <w:qFormat/>
    <w:rsid w:val="001C0EF4"/>
    <w:pPr>
      <w:widowControl w:val="0"/>
      <w:spacing w:after="200" w:line="276" w:lineRule="auto"/>
      <w:ind w:left="680"/>
      <w:jc w:val="both"/>
    </w:pPr>
    <w:rPr>
      <w:rFonts w:eastAsiaTheme="minorHAnsi" w:cstheme="minorBidi"/>
      <w:szCs w:val="22"/>
      <w:lang w:val="en-US" w:eastAsia="en-US"/>
    </w:rPr>
  </w:style>
  <w:style w:type="paragraph" w:styleId="CommentSubject">
    <w:name w:val="annotation subject"/>
    <w:basedOn w:val="CommentText"/>
    <w:next w:val="CommentText"/>
    <w:link w:val="CommentSubjectChar"/>
    <w:uiPriority w:val="34"/>
    <w:rsid w:val="001C0EF4"/>
    <w:pPr>
      <w:spacing w:line="240" w:lineRule="auto"/>
    </w:pPr>
    <w:rPr>
      <w:b/>
      <w:bCs/>
    </w:rPr>
  </w:style>
  <w:style w:type="character" w:customStyle="1" w:styleId="CommentSubjectChar">
    <w:name w:val="Comment Subject Char"/>
    <w:basedOn w:val="CommentTextChar"/>
    <w:link w:val="CommentSubject"/>
    <w:uiPriority w:val="34"/>
    <w:rsid w:val="001C0EF4"/>
    <w:rPr>
      <w:rFonts w:ascii="Metropolis Light" w:hAnsi="Metropolis Light"/>
      <w:b/>
      <w:bCs/>
      <w:color w:val="0D0D0D" w:themeColor="text1" w:themeTint="F2"/>
      <w:lang w:eastAsia="en-AU"/>
    </w:rPr>
  </w:style>
  <w:style w:type="paragraph" w:styleId="Revision">
    <w:name w:val="Revision"/>
    <w:hidden/>
    <w:rsid w:val="001C0EF4"/>
    <w:rPr>
      <w:rFonts w:asciiTheme="minorHAnsi" w:hAnsiTheme="minorHAnsi"/>
      <w:sz w:val="24"/>
      <w:szCs w:val="24"/>
      <w:lang w:eastAsia="en-AU"/>
    </w:rPr>
  </w:style>
  <w:style w:type="paragraph" w:customStyle="1" w:styleId="paragraph">
    <w:name w:val="paragraph"/>
    <w:basedOn w:val="Normal"/>
    <w:rsid w:val="001C0EF4"/>
    <w:pPr>
      <w:spacing w:before="100" w:beforeAutospacing="1" w:after="100" w:afterAutospacing="1" w:line="240" w:lineRule="auto"/>
    </w:pPr>
    <w:rPr>
      <w:lang w:eastAsia="en-NZ"/>
    </w:rPr>
  </w:style>
  <w:style w:type="character" w:customStyle="1" w:styleId="normaltextrun">
    <w:name w:val="normaltextrun"/>
    <w:basedOn w:val="DefaultParagraphFont"/>
    <w:rsid w:val="001C0EF4"/>
  </w:style>
  <w:style w:type="paragraph" w:styleId="ListParagraph">
    <w:name w:val="List Paragraph"/>
    <w:basedOn w:val="Normal"/>
    <w:link w:val="ListParagraphChar"/>
    <w:uiPriority w:val="34"/>
    <w:rsid w:val="001C0EF4"/>
    <w:pPr>
      <w:ind w:left="720"/>
      <w:contextualSpacing/>
    </w:pPr>
    <w:rPr>
      <w:sz w:val="24"/>
    </w:rPr>
  </w:style>
  <w:style w:type="character" w:styleId="PlaceholderText">
    <w:name w:val="Placeholder Text"/>
    <w:basedOn w:val="DefaultParagraphFont"/>
    <w:uiPriority w:val="34"/>
    <w:rsid w:val="001C0EF4"/>
    <w:rPr>
      <w:color w:val="808080"/>
    </w:rPr>
  </w:style>
  <w:style w:type="character" w:customStyle="1" w:styleId="HeaderChar">
    <w:name w:val="Header Char"/>
    <w:basedOn w:val="DefaultParagraphFont"/>
    <w:link w:val="Header"/>
    <w:uiPriority w:val="99"/>
    <w:rsid w:val="001C0EF4"/>
    <w:rPr>
      <w:rFonts w:ascii="Metropolis Light" w:hAnsi="Metropolis Light"/>
      <w:color w:val="0D0D0D" w:themeColor="text1" w:themeTint="F2"/>
      <w:sz w:val="13"/>
      <w:szCs w:val="24"/>
      <w:lang w:eastAsia="en-AU"/>
    </w:rPr>
  </w:style>
  <w:style w:type="paragraph" w:customStyle="1" w:styleId="HEADING2topchapter-notinTOC">
    <w:name w:val="HEADING 2 ( top chapter - not in TOC)"/>
    <w:basedOn w:val="Normal"/>
    <w:link w:val="HEADING2topchapter-notinTOCChar"/>
    <w:uiPriority w:val="8"/>
    <w:qFormat/>
    <w:rsid w:val="001C0EF4"/>
    <w:pPr>
      <w:pageBreakBefore/>
      <w:spacing w:after="240" w:line="240" w:lineRule="auto"/>
      <w:ind w:right="-23"/>
    </w:pPr>
    <w:rPr>
      <w:rFonts w:ascii="Metropolis" w:eastAsia="Metropolis" w:hAnsi="Metropolis" w:cs="Metropolis"/>
      <w:b/>
      <w:bCs/>
      <w:color w:val="5CA0B9"/>
      <w:sz w:val="22"/>
      <w:szCs w:val="22"/>
    </w:rPr>
  </w:style>
  <w:style w:type="character" w:customStyle="1" w:styleId="HEADING2topchapter-notinTOCChar">
    <w:name w:val="HEADING 2 ( top chapter - not in TOC) Char"/>
    <w:basedOn w:val="DefaultParagraphFont"/>
    <w:link w:val="HEADING2topchapter-notinTOC"/>
    <w:uiPriority w:val="8"/>
    <w:rsid w:val="001C0EF4"/>
    <w:rPr>
      <w:rFonts w:ascii="Metropolis" w:eastAsia="Metropolis" w:hAnsi="Metropolis" w:cs="Metropolis"/>
      <w:b/>
      <w:bCs/>
      <w:color w:val="5CA0B9"/>
      <w:sz w:val="22"/>
      <w:szCs w:val="22"/>
      <w:lang w:eastAsia="en-AU"/>
    </w:rPr>
  </w:style>
  <w:style w:type="character" w:styleId="BookTitle">
    <w:name w:val="Book Title"/>
    <w:basedOn w:val="DefaultParagraphFont"/>
    <w:uiPriority w:val="29"/>
    <w:rsid w:val="001C0EF4"/>
    <w:rPr>
      <w:rFonts w:ascii="Metropolis Light" w:hAnsi="Metropolis Light"/>
      <w:b/>
      <w:bCs/>
      <w:smallCaps/>
      <w:spacing w:val="5"/>
    </w:rPr>
  </w:style>
  <w:style w:type="paragraph" w:styleId="Date">
    <w:name w:val="Date"/>
    <w:basedOn w:val="Normal"/>
    <w:next w:val="Normal"/>
    <w:link w:val="DateChar"/>
    <w:uiPriority w:val="29"/>
    <w:rsid w:val="001C0EF4"/>
  </w:style>
  <w:style w:type="character" w:customStyle="1" w:styleId="DateChar">
    <w:name w:val="Date Char"/>
    <w:basedOn w:val="DefaultParagraphFont"/>
    <w:link w:val="Date"/>
    <w:uiPriority w:val="29"/>
    <w:rsid w:val="001C0EF4"/>
    <w:rPr>
      <w:rFonts w:ascii="Metropolis Light" w:hAnsi="Metropolis Light"/>
      <w:color w:val="0D0D0D" w:themeColor="text1" w:themeTint="F2"/>
      <w:szCs w:val="24"/>
      <w:lang w:eastAsia="en-AU"/>
    </w:rPr>
  </w:style>
  <w:style w:type="paragraph" w:styleId="Bibliography">
    <w:name w:val="Bibliography"/>
    <w:basedOn w:val="Normal"/>
    <w:next w:val="Normal"/>
    <w:uiPriority w:val="34"/>
    <w:rsid w:val="001C0EF4"/>
  </w:style>
  <w:style w:type="character" w:styleId="EndnoteReference">
    <w:name w:val="endnote reference"/>
    <w:basedOn w:val="DefaultParagraphFont"/>
    <w:uiPriority w:val="34"/>
    <w:qFormat/>
    <w:rsid w:val="001C0EF4"/>
    <w:rPr>
      <w:rFonts w:ascii="Metropolis Light" w:hAnsi="Metropolis Light"/>
      <w:vertAlign w:val="superscript"/>
    </w:rPr>
  </w:style>
  <w:style w:type="paragraph" w:styleId="Index1">
    <w:name w:val="index 1"/>
    <w:basedOn w:val="Normal"/>
    <w:next w:val="Normal"/>
    <w:uiPriority w:val="34"/>
    <w:rsid w:val="001C0EF4"/>
    <w:pPr>
      <w:spacing w:after="0" w:line="240" w:lineRule="auto"/>
      <w:ind w:left="200" w:hanging="200"/>
    </w:pPr>
  </w:style>
  <w:style w:type="paragraph" w:styleId="IndexHeading">
    <w:name w:val="index heading"/>
    <w:basedOn w:val="Normal"/>
    <w:next w:val="Index1"/>
    <w:uiPriority w:val="34"/>
    <w:rsid w:val="001C0EF4"/>
    <w:rPr>
      <w:rFonts w:ascii="Metropolis" w:eastAsiaTheme="majorEastAsia" w:hAnsi="Metropolis" w:cstheme="majorBidi"/>
      <w:b/>
      <w:bCs/>
    </w:rPr>
  </w:style>
  <w:style w:type="character" w:styleId="IntenseEmphasis">
    <w:name w:val="Intense Emphasis"/>
    <w:basedOn w:val="DefaultParagraphFont"/>
    <w:uiPriority w:val="34"/>
    <w:rsid w:val="001C0EF4"/>
    <w:rPr>
      <w:rFonts w:ascii="Metropolis Light" w:hAnsi="Metropolis Light"/>
      <w:b/>
      <w:bCs/>
      <w:i/>
      <w:iCs/>
      <w:color w:val="005745" w:themeColor="accent1"/>
    </w:rPr>
  </w:style>
  <w:style w:type="character" w:styleId="IntenseReference">
    <w:name w:val="Intense Reference"/>
    <w:basedOn w:val="DefaultParagraphFont"/>
    <w:uiPriority w:val="34"/>
    <w:rsid w:val="001C0EF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1C0EF4"/>
    <w:rPr>
      <w:rFonts w:ascii="Metropolis" w:eastAsiaTheme="majorEastAsia" w:hAnsi="Metropolis" w:cstheme="majorBidi"/>
      <w:b/>
      <w:bCs/>
      <w:sz w:val="24"/>
    </w:rPr>
  </w:style>
  <w:style w:type="paragraph" w:styleId="TOC4">
    <w:name w:val="toc 4"/>
    <w:basedOn w:val="Normal"/>
    <w:next w:val="Normal"/>
    <w:uiPriority w:val="34"/>
    <w:rsid w:val="001C0EF4"/>
    <w:pPr>
      <w:spacing w:after="100"/>
      <w:ind w:left="600"/>
    </w:pPr>
  </w:style>
  <w:style w:type="paragraph" w:styleId="TOC5">
    <w:name w:val="toc 5"/>
    <w:basedOn w:val="Normal"/>
    <w:next w:val="Normal"/>
    <w:uiPriority w:val="34"/>
    <w:rsid w:val="001C0EF4"/>
    <w:pPr>
      <w:spacing w:after="100"/>
      <w:ind w:left="800"/>
    </w:pPr>
  </w:style>
  <w:style w:type="paragraph" w:styleId="TOC6">
    <w:name w:val="toc 6"/>
    <w:basedOn w:val="Normal"/>
    <w:next w:val="Normal"/>
    <w:uiPriority w:val="34"/>
    <w:rsid w:val="001C0EF4"/>
    <w:pPr>
      <w:spacing w:after="100"/>
      <w:ind w:left="1000"/>
    </w:pPr>
  </w:style>
  <w:style w:type="paragraph" w:styleId="TOC8">
    <w:name w:val="toc 8"/>
    <w:basedOn w:val="Normal"/>
    <w:next w:val="Normal"/>
    <w:uiPriority w:val="34"/>
    <w:rsid w:val="001C0EF4"/>
    <w:pPr>
      <w:spacing w:after="100"/>
      <w:ind w:left="1400"/>
    </w:pPr>
  </w:style>
  <w:style w:type="paragraph" w:styleId="TOC9">
    <w:name w:val="toc 9"/>
    <w:basedOn w:val="Normal"/>
    <w:next w:val="Normal"/>
    <w:uiPriority w:val="34"/>
    <w:rsid w:val="001C0EF4"/>
    <w:pPr>
      <w:spacing w:after="100"/>
      <w:ind w:left="1600"/>
    </w:pPr>
  </w:style>
  <w:style w:type="paragraph" w:styleId="TOC7">
    <w:name w:val="toc 7"/>
    <w:basedOn w:val="Normal"/>
    <w:next w:val="Normal"/>
    <w:uiPriority w:val="34"/>
    <w:rsid w:val="001C0EF4"/>
    <w:pPr>
      <w:spacing w:after="100"/>
      <w:ind w:left="1200"/>
    </w:pPr>
  </w:style>
  <w:style w:type="table" w:styleId="LightList-Accent5">
    <w:name w:val="Light List Accent 5"/>
    <w:basedOn w:val="TableNormal"/>
    <w:rsid w:val="001C0EF4"/>
    <w:rPr>
      <w:rFonts w:asciiTheme="minorHAnsi" w:hAnsiTheme="minorHAnsi"/>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34"/>
    <w:rsid w:val="001C0EF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1C0EF4"/>
    <w:rPr>
      <w:rFonts w:ascii="Tahoma" w:hAnsi="Tahoma" w:cs="Tahoma"/>
      <w:color w:val="0D0D0D" w:themeColor="text1" w:themeTint="F2"/>
      <w:sz w:val="16"/>
      <w:szCs w:val="16"/>
      <w:lang w:eastAsia="en-AU"/>
    </w:rPr>
  </w:style>
  <w:style w:type="paragraph" w:styleId="EndnoteText">
    <w:name w:val="endnote text"/>
    <w:basedOn w:val="Normal"/>
    <w:link w:val="EndnoteTextChar"/>
    <w:uiPriority w:val="34"/>
    <w:rsid w:val="001C0EF4"/>
    <w:pPr>
      <w:spacing w:after="0" w:line="240" w:lineRule="auto"/>
    </w:pPr>
    <w:rPr>
      <w:szCs w:val="20"/>
    </w:rPr>
  </w:style>
  <w:style w:type="character" w:customStyle="1" w:styleId="EndnoteTextChar">
    <w:name w:val="Endnote Text Char"/>
    <w:basedOn w:val="DefaultParagraphFont"/>
    <w:link w:val="EndnoteText"/>
    <w:uiPriority w:val="34"/>
    <w:rsid w:val="001C0EF4"/>
    <w:rPr>
      <w:rFonts w:ascii="Metropolis Light" w:hAnsi="Metropolis Light"/>
      <w:color w:val="0D0D0D" w:themeColor="text1" w:themeTint="F2"/>
      <w:lang w:eastAsia="en-AU"/>
    </w:rPr>
  </w:style>
  <w:style w:type="paragraph" w:styleId="Index2">
    <w:name w:val="index 2"/>
    <w:basedOn w:val="Normal"/>
    <w:next w:val="Normal"/>
    <w:uiPriority w:val="34"/>
    <w:rsid w:val="001C0EF4"/>
    <w:pPr>
      <w:spacing w:after="0" w:line="240" w:lineRule="auto"/>
      <w:ind w:left="400" w:hanging="200"/>
    </w:pPr>
  </w:style>
  <w:style w:type="paragraph" w:styleId="Index3">
    <w:name w:val="index 3"/>
    <w:basedOn w:val="Normal"/>
    <w:next w:val="Normal"/>
    <w:uiPriority w:val="34"/>
    <w:rsid w:val="001C0EF4"/>
    <w:pPr>
      <w:spacing w:after="0" w:line="240" w:lineRule="auto"/>
      <w:ind w:left="600" w:hanging="200"/>
    </w:pPr>
  </w:style>
  <w:style w:type="paragraph" w:styleId="Index4">
    <w:name w:val="index 4"/>
    <w:basedOn w:val="Normal"/>
    <w:next w:val="Normal"/>
    <w:uiPriority w:val="34"/>
    <w:rsid w:val="001C0EF4"/>
    <w:pPr>
      <w:spacing w:after="0" w:line="240" w:lineRule="auto"/>
      <w:ind w:left="800" w:hanging="200"/>
    </w:pPr>
  </w:style>
  <w:style w:type="paragraph" w:styleId="Index5">
    <w:name w:val="index 5"/>
    <w:basedOn w:val="Normal"/>
    <w:next w:val="Normal"/>
    <w:uiPriority w:val="34"/>
    <w:rsid w:val="001C0EF4"/>
    <w:pPr>
      <w:spacing w:after="0" w:line="240" w:lineRule="auto"/>
      <w:ind w:left="1000" w:hanging="200"/>
    </w:pPr>
  </w:style>
  <w:style w:type="paragraph" w:styleId="Index6">
    <w:name w:val="index 6"/>
    <w:basedOn w:val="Normal"/>
    <w:next w:val="Normal"/>
    <w:uiPriority w:val="34"/>
    <w:rsid w:val="001C0EF4"/>
    <w:pPr>
      <w:spacing w:after="0" w:line="240" w:lineRule="auto"/>
      <w:ind w:left="1200" w:hanging="200"/>
    </w:pPr>
  </w:style>
  <w:style w:type="paragraph" w:styleId="Index7">
    <w:name w:val="index 7"/>
    <w:basedOn w:val="Normal"/>
    <w:next w:val="Normal"/>
    <w:uiPriority w:val="34"/>
    <w:rsid w:val="001C0EF4"/>
    <w:pPr>
      <w:spacing w:after="0" w:line="240" w:lineRule="auto"/>
      <w:ind w:left="1400" w:hanging="200"/>
    </w:pPr>
  </w:style>
  <w:style w:type="paragraph" w:styleId="Index8">
    <w:name w:val="index 8"/>
    <w:basedOn w:val="Normal"/>
    <w:next w:val="Normal"/>
    <w:uiPriority w:val="34"/>
    <w:rsid w:val="001C0EF4"/>
    <w:pPr>
      <w:spacing w:after="0" w:line="240" w:lineRule="auto"/>
      <w:ind w:left="1600" w:hanging="200"/>
    </w:pPr>
  </w:style>
  <w:style w:type="paragraph" w:styleId="Index9">
    <w:name w:val="index 9"/>
    <w:basedOn w:val="Normal"/>
    <w:next w:val="Normal"/>
    <w:uiPriority w:val="34"/>
    <w:rsid w:val="001C0EF4"/>
    <w:pPr>
      <w:spacing w:after="0" w:line="240" w:lineRule="auto"/>
      <w:ind w:left="1800" w:hanging="200"/>
    </w:pPr>
  </w:style>
  <w:style w:type="paragraph" w:styleId="IntenseQuote">
    <w:name w:val="Intense Quote"/>
    <w:basedOn w:val="Normal"/>
    <w:next w:val="Normal"/>
    <w:link w:val="IntenseQuoteChar"/>
    <w:uiPriority w:val="34"/>
    <w:rsid w:val="001C0EF4"/>
    <w:pPr>
      <w:pBdr>
        <w:bottom w:val="single" w:sz="4" w:space="4" w:color="005745" w:themeColor="accent1"/>
      </w:pBdr>
      <w:spacing w:before="200" w:after="280"/>
      <w:ind w:left="936" w:right="936"/>
    </w:pPr>
    <w:rPr>
      <w:b/>
      <w:bCs/>
      <w:i/>
      <w:iCs/>
      <w:color w:val="005745" w:themeColor="accent1"/>
    </w:rPr>
  </w:style>
  <w:style w:type="character" w:customStyle="1" w:styleId="IntenseQuoteChar">
    <w:name w:val="Intense Quote Char"/>
    <w:basedOn w:val="DefaultParagraphFont"/>
    <w:link w:val="IntenseQuote"/>
    <w:uiPriority w:val="34"/>
    <w:rsid w:val="001C0EF4"/>
    <w:rPr>
      <w:rFonts w:ascii="Metropolis Light" w:hAnsi="Metropolis Light"/>
      <w:b/>
      <w:bCs/>
      <w:i/>
      <w:iCs/>
      <w:color w:val="005745" w:themeColor="accent1"/>
      <w:szCs w:val="24"/>
      <w:lang w:eastAsia="en-AU"/>
    </w:rPr>
  </w:style>
  <w:style w:type="paragraph" w:styleId="MacroText">
    <w:name w:val="macro"/>
    <w:link w:val="MacroTextChar"/>
    <w:uiPriority w:val="34"/>
    <w:rsid w:val="001C0EF4"/>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basedOn w:val="DefaultParagraphFont"/>
    <w:link w:val="MacroText"/>
    <w:uiPriority w:val="34"/>
    <w:rsid w:val="001C0EF4"/>
    <w:rPr>
      <w:rFonts w:ascii="Consolas" w:hAnsi="Consolas"/>
      <w:lang w:eastAsia="en-AU"/>
    </w:rPr>
  </w:style>
  <w:style w:type="paragraph" w:styleId="TableofAuthorities">
    <w:name w:val="table of authorities"/>
    <w:basedOn w:val="Normal"/>
    <w:next w:val="Normal"/>
    <w:uiPriority w:val="34"/>
    <w:rsid w:val="001C0EF4"/>
    <w:pPr>
      <w:spacing w:after="0"/>
      <w:ind w:left="200" w:hanging="200"/>
    </w:pPr>
  </w:style>
  <w:style w:type="paragraph" w:styleId="TableofFigures">
    <w:name w:val="table of figures"/>
    <w:basedOn w:val="Normal"/>
    <w:next w:val="Normal"/>
    <w:uiPriority w:val="34"/>
    <w:rsid w:val="001C0EF4"/>
    <w:pPr>
      <w:spacing w:after="0"/>
    </w:pPr>
  </w:style>
  <w:style w:type="character" w:customStyle="1" w:styleId="FooterChar">
    <w:name w:val="Footer Char"/>
    <w:link w:val="Footer"/>
    <w:uiPriority w:val="58"/>
    <w:rsid w:val="00833EE1"/>
    <w:rPr>
      <w:rFonts w:ascii="Metropolis Light" w:hAnsi="Metropolis Light"/>
      <w:color w:val="0D0D0D" w:themeColor="text1" w:themeTint="F2"/>
      <w:szCs w:val="24"/>
      <w:lang w:eastAsia="en-AU"/>
    </w:rPr>
  </w:style>
  <w:style w:type="character" w:customStyle="1" w:styleId="Heading1Char">
    <w:name w:val="Heading 1 Char"/>
    <w:basedOn w:val="DefaultParagraphFont"/>
    <w:link w:val="Heading1"/>
    <w:uiPriority w:val="10"/>
    <w:rsid w:val="00792C09"/>
    <w:rPr>
      <w:rFonts w:ascii="Metropolis Black" w:hAnsi="Metropolis Black"/>
      <w:b/>
      <w:color w:val="5CA0B9"/>
      <w:sz w:val="66"/>
      <w:szCs w:val="24"/>
      <w:lang w:eastAsia="en-US"/>
    </w:rPr>
  </w:style>
  <w:style w:type="character" w:customStyle="1" w:styleId="mover">
    <w:name w:val="mover"/>
    <w:basedOn w:val="DefaultParagraphFont"/>
    <w:rsid w:val="00833EE1"/>
  </w:style>
  <w:style w:type="paragraph" w:customStyle="1" w:styleId="BodyText1">
    <w:name w:val="Body Text1"/>
    <w:next w:val="BodyText"/>
    <w:link w:val="BodyText1Char"/>
    <w:qFormat/>
    <w:rsid w:val="00833EE1"/>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833EE1"/>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basedOn w:val="DefaultParagraphFont"/>
    <w:link w:val="BodyText"/>
    <w:rsid w:val="00FE073E"/>
    <w:rPr>
      <w:rFonts w:ascii="Metropolis Light" w:hAnsi="Metropolis Light"/>
      <w:color w:val="0D0D0D" w:themeColor="text1" w:themeTint="F2"/>
      <w:szCs w:val="24"/>
      <w:lang w:eastAsia="en-AU"/>
    </w:rPr>
  </w:style>
  <w:style w:type="character" w:customStyle="1" w:styleId="Heading5Char">
    <w:name w:val="Heading 5 Char"/>
    <w:link w:val="Heading5"/>
    <w:uiPriority w:val="10"/>
    <w:rsid w:val="00833EE1"/>
    <w:rPr>
      <w:rFonts w:ascii="Metropolis" w:hAnsi="Metropolis"/>
      <w:color w:val="5CA0B9"/>
      <w:szCs w:val="24"/>
      <w:lang w:eastAsia="en-AU"/>
    </w:rPr>
  </w:style>
  <w:style w:type="paragraph" w:customStyle="1" w:styleId="Default">
    <w:name w:val="Default"/>
    <w:rsid w:val="00833EE1"/>
    <w:pPr>
      <w:autoSpaceDE w:val="0"/>
      <w:autoSpaceDN w:val="0"/>
      <w:adjustRightInd w:val="0"/>
    </w:pPr>
    <w:rPr>
      <w:color w:val="000000"/>
      <w:sz w:val="24"/>
      <w:szCs w:val="24"/>
      <w:lang w:eastAsia="en-US"/>
    </w:rPr>
  </w:style>
  <w:style w:type="character" w:customStyle="1" w:styleId="spellingerror">
    <w:name w:val="spellingerror"/>
    <w:basedOn w:val="DefaultParagraphFont"/>
    <w:rsid w:val="00833EE1"/>
  </w:style>
  <w:style w:type="character" w:customStyle="1" w:styleId="ssit">
    <w:name w:val="ss_it"/>
    <w:basedOn w:val="DefaultParagraphFont"/>
    <w:rsid w:val="00833EE1"/>
  </w:style>
  <w:style w:type="table" w:styleId="MediumGrid3-Accent5">
    <w:name w:val="Medium Grid 3 Accent 5"/>
    <w:basedOn w:val="TableNormal"/>
    <w:uiPriority w:val="69"/>
    <w:rsid w:val="00833EE1"/>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833EE1"/>
  </w:style>
  <w:style w:type="character" w:customStyle="1" w:styleId="Heading1nonumChar">
    <w:name w:val="Heading 1 (no num) Char"/>
    <w:link w:val="Heading1nonum"/>
    <w:uiPriority w:val="5"/>
    <w:rsid w:val="00792C09"/>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833EE1"/>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833EE1"/>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833EE1"/>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833EE1"/>
    <w:pPr>
      <w:spacing w:after="360"/>
    </w:pPr>
    <w:rPr>
      <w:rFonts w:ascii="Metropolis Black" w:hAnsi="Metropolis Black"/>
      <w:caps w:val="0"/>
      <w:sz w:val="40"/>
    </w:rPr>
  </w:style>
  <w:style w:type="character" w:customStyle="1" w:styleId="ModelsheadingsChar">
    <w:name w:val="Models headings Char"/>
    <w:link w:val="Modelsheadings"/>
    <w:uiPriority w:val="8"/>
    <w:rsid w:val="00833EE1"/>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833EE1"/>
    <w:pPr>
      <w:spacing w:after="240"/>
      <w:ind w:left="0"/>
    </w:pPr>
  </w:style>
  <w:style w:type="character" w:customStyle="1" w:styleId="RecommendationTextChar">
    <w:name w:val="Recommendation Text Char"/>
    <w:link w:val="RecommendationText"/>
    <w:uiPriority w:val="11"/>
    <w:rsid w:val="00EE174C"/>
    <w:rPr>
      <w:rFonts w:ascii="Metropolis Light" w:hAnsi="Metropolis Light"/>
      <w:shd w:val="clear" w:color="auto" w:fill="AACDDA"/>
      <w:lang w:eastAsia="en-US"/>
    </w:rPr>
  </w:style>
  <w:style w:type="character" w:customStyle="1" w:styleId="RecommendationText1Char">
    <w:name w:val="Recommendation Text 1 Char"/>
    <w:link w:val="RecommendationText1"/>
    <w:uiPriority w:val="8"/>
    <w:rsid w:val="00833EE1"/>
    <w:rPr>
      <w:rFonts w:ascii="Metropolis Light" w:hAnsi="Metropolis Light"/>
      <w:lang w:eastAsia="en-US"/>
    </w:rPr>
  </w:style>
  <w:style w:type="character" w:customStyle="1" w:styleId="ProposalboxtextChar">
    <w:name w:val="Proposal box text Char"/>
    <w:link w:val="Proposalboxtext"/>
    <w:uiPriority w:val="8"/>
    <w:rsid w:val="00833EE1"/>
    <w:rPr>
      <w:rFonts w:ascii="Metropolis Light" w:hAnsi="Metropolis Light"/>
      <w:lang w:eastAsia="en-US"/>
    </w:rPr>
  </w:style>
  <w:style w:type="table" w:customStyle="1" w:styleId="TableGrid10">
    <w:name w:val="Table Grid1"/>
    <w:basedOn w:val="TableNormal"/>
    <w:next w:val="TableGrid"/>
    <w:uiPriority w:val="59"/>
    <w:rsid w:val="00833EE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833EE1"/>
    <w:pPr>
      <w:numPr>
        <w:numId w:val="14"/>
      </w:numPr>
      <w:ind w:left="567" w:hanging="567"/>
    </w:pPr>
    <w:rPr>
      <w:i/>
      <w:sz w:val="20"/>
    </w:rPr>
  </w:style>
  <w:style w:type="character" w:customStyle="1" w:styleId="OptionlistsubheadingChar">
    <w:name w:val="Option list subheading Char"/>
    <w:link w:val="Optionlistsubheading"/>
    <w:uiPriority w:val="8"/>
    <w:rsid w:val="00833EE1"/>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833EE1"/>
    <w:pPr>
      <w:spacing w:before="480"/>
    </w:pPr>
  </w:style>
  <w:style w:type="character" w:customStyle="1" w:styleId="PrelimheadingsChar">
    <w:name w:val="Prelim headings Char"/>
    <w:link w:val="Prelimheadings"/>
    <w:uiPriority w:val="8"/>
    <w:rsid w:val="00833EE1"/>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833EE1"/>
    <w:pPr>
      <w:spacing w:before="360"/>
    </w:pPr>
    <w:rPr>
      <w:rFonts w:ascii="Metropolis" w:hAnsi="Metropolis"/>
    </w:rPr>
  </w:style>
  <w:style w:type="character" w:customStyle="1" w:styleId="TOCHeadingChar">
    <w:name w:val="TOC Heading Char"/>
    <w:link w:val="TOCHeading"/>
    <w:uiPriority w:val="39"/>
    <w:rsid w:val="00833EE1"/>
    <w:rPr>
      <w:rFonts w:eastAsiaTheme="majorEastAsia" w:cstheme="majorBidi"/>
      <w:b/>
      <w:bCs/>
      <w:caps/>
      <w:color w:val="5CA0B9"/>
      <w:sz w:val="22"/>
      <w:szCs w:val="28"/>
      <w:lang w:eastAsia="ja-JP"/>
    </w:rPr>
  </w:style>
  <w:style w:type="character" w:customStyle="1" w:styleId="TOCPartdividerChar">
    <w:name w:val="TOC Part divider Char"/>
    <w:link w:val="TOCPartdivider"/>
    <w:uiPriority w:val="8"/>
    <w:rsid w:val="00833EE1"/>
    <w:rPr>
      <w:rFonts w:ascii="Metropolis" w:eastAsia="SimHei" w:hAnsi="Metropolis"/>
      <w:b/>
      <w:bCs/>
      <w:caps/>
      <w:color w:val="5CA0B9"/>
      <w:sz w:val="22"/>
      <w:szCs w:val="28"/>
      <w:lang w:eastAsia="ja-JP"/>
    </w:rPr>
  </w:style>
  <w:style w:type="paragraph" w:customStyle="1" w:styleId="Numberedpara">
    <w:name w:val="Numbered para"/>
    <w:basedOn w:val="Normal"/>
    <w:link w:val="NumberedparaChar"/>
    <w:qFormat/>
    <w:rsid w:val="00833EE1"/>
    <w:pPr>
      <w:numPr>
        <w:numId w:val="19"/>
      </w:numPr>
      <w:jc w:val="both"/>
    </w:pPr>
  </w:style>
  <w:style w:type="character" w:customStyle="1" w:styleId="label">
    <w:name w:val="label"/>
    <w:basedOn w:val="DefaultParagraphFont"/>
    <w:rsid w:val="00833EE1"/>
  </w:style>
  <w:style w:type="paragraph" w:customStyle="1" w:styleId="text">
    <w:name w:val="text"/>
    <w:basedOn w:val="Normal"/>
    <w:rsid w:val="00833EE1"/>
    <w:pPr>
      <w:spacing w:before="100" w:beforeAutospacing="1" w:after="100" w:afterAutospacing="1" w:line="240" w:lineRule="auto"/>
    </w:pPr>
    <w:rPr>
      <w:rFonts w:ascii="Times New Roman" w:hAnsi="Times New Roman"/>
      <w:sz w:val="24"/>
      <w:lang w:eastAsia="en-NZ"/>
    </w:rPr>
  </w:style>
  <w:style w:type="character" w:customStyle="1" w:styleId="sssh">
    <w:name w:val="ss_sh"/>
    <w:basedOn w:val="DefaultParagraphFont"/>
    <w:rsid w:val="00833EE1"/>
  </w:style>
  <w:style w:type="paragraph" w:customStyle="1" w:styleId="subprov">
    <w:name w:val="subprov"/>
    <w:basedOn w:val="Normal"/>
    <w:rsid w:val="00833EE1"/>
    <w:pPr>
      <w:spacing w:before="100" w:beforeAutospacing="1" w:after="100" w:afterAutospacing="1" w:line="240" w:lineRule="auto"/>
    </w:pPr>
    <w:rPr>
      <w:rFonts w:ascii="Times New Roman" w:hAnsi="Times New Roman"/>
      <w:sz w:val="24"/>
      <w:lang w:eastAsia="en-NZ"/>
    </w:rPr>
  </w:style>
  <w:style w:type="paragraph" w:customStyle="1" w:styleId="legclearfix">
    <w:name w:val="legclearfix"/>
    <w:basedOn w:val="Normal"/>
    <w:rsid w:val="00833EE1"/>
    <w:pPr>
      <w:spacing w:before="100" w:beforeAutospacing="1" w:after="100" w:afterAutospacing="1" w:line="240" w:lineRule="auto"/>
    </w:pPr>
    <w:rPr>
      <w:rFonts w:ascii="Times New Roman" w:hAnsi="Times New Roman"/>
      <w:sz w:val="24"/>
      <w:lang w:eastAsia="en-NZ"/>
    </w:rPr>
  </w:style>
  <w:style w:type="character" w:customStyle="1" w:styleId="legaddition">
    <w:name w:val="legaddition"/>
    <w:basedOn w:val="DefaultParagraphFont"/>
    <w:rsid w:val="00833EE1"/>
  </w:style>
  <w:style w:type="character" w:customStyle="1" w:styleId="leftcol">
    <w:name w:val="leftcol"/>
    <w:basedOn w:val="DefaultParagraphFont"/>
    <w:rsid w:val="00833EE1"/>
  </w:style>
  <w:style w:type="paragraph" w:customStyle="1" w:styleId="Bodytext0">
    <w:name w:val="Bodytext"/>
    <w:basedOn w:val="Normal"/>
    <w:uiPriority w:val="99"/>
    <w:rsid w:val="00833EE1"/>
    <w:pPr>
      <w:suppressAutoHyphens/>
      <w:autoSpaceDE w:val="0"/>
      <w:autoSpaceDN w:val="0"/>
      <w:adjustRightInd w:val="0"/>
      <w:spacing w:after="113" w:line="290" w:lineRule="atLeast"/>
      <w:textAlignment w:val="center"/>
    </w:pPr>
    <w:rPr>
      <w:rFonts w:cs="Metropolis Light"/>
      <w:color w:val="000000"/>
      <w:sz w:val="19"/>
      <w:szCs w:val="19"/>
      <w:lang w:val="en-US"/>
    </w:rPr>
  </w:style>
  <w:style w:type="paragraph" w:customStyle="1" w:styleId="Heading1-Mainpart">
    <w:name w:val="Heading 1 - Main part"/>
    <w:basedOn w:val="Normal"/>
    <w:link w:val="Heading1-MainpartChar"/>
    <w:qFormat/>
    <w:rsid w:val="00833EE1"/>
    <w:pPr>
      <w:spacing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833EE1"/>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833EE1"/>
    <w:pPr>
      <w:spacing w:line="240" w:lineRule="auto"/>
    </w:pPr>
    <w:rPr>
      <w:rFonts w:ascii="Calibri" w:hAnsi="Calibri"/>
      <w:lang w:eastAsia="en-NZ"/>
    </w:rPr>
  </w:style>
  <w:style w:type="paragraph" w:customStyle="1" w:styleId="Proposal">
    <w:name w:val="Proposal"/>
    <w:basedOn w:val="Normal"/>
    <w:link w:val="ProposalChar"/>
    <w:qFormat/>
    <w:rsid w:val="00833EE1"/>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833EE1"/>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833EE1"/>
    <w:pPr>
      <w:numPr>
        <w:ilvl w:val="0"/>
        <w:numId w:val="0"/>
      </w:numPr>
      <w:ind w:left="1004" w:right="284"/>
    </w:pPr>
    <w:rPr>
      <w:rFonts w:eastAsia="Metropolis Light"/>
      <w:color w:val="262626"/>
    </w:rPr>
  </w:style>
  <w:style w:type="character" w:customStyle="1" w:styleId="Proposal2Char">
    <w:name w:val="Proposal 2 Char"/>
    <w:link w:val="Proposal2"/>
    <w:uiPriority w:val="8"/>
    <w:rsid w:val="00833EE1"/>
    <w:rPr>
      <w:rFonts w:ascii="Metropolis Light" w:eastAsia="Metropolis Light" w:hAnsi="Metropolis Light"/>
      <w:color w:val="262626"/>
      <w:szCs w:val="24"/>
      <w:lang w:eastAsia="en-AU"/>
    </w:rPr>
  </w:style>
  <w:style w:type="character" w:customStyle="1" w:styleId="TitleChar">
    <w:name w:val="Title Char"/>
    <w:link w:val="Title"/>
    <w:uiPriority w:val="20"/>
    <w:rsid w:val="00833EE1"/>
    <w:rPr>
      <w:rFonts w:ascii="Calibri" w:hAnsi="Calibri" w:cs="Arial"/>
      <w:b/>
      <w:bCs/>
      <w:caps/>
      <w:color w:val="5CA0B9"/>
      <w:sz w:val="72"/>
      <w:szCs w:val="32"/>
      <w:lang w:eastAsia="en-AU"/>
    </w:rPr>
  </w:style>
  <w:style w:type="character" w:customStyle="1" w:styleId="SubtitleChar">
    <w:name w:val="Subtitle Char"/>
    <w:link w:val="Subtitle"/>
    <w:uiPriority w:val="21"/>
    <w:rsid w:val="00833EE1"/>
    <w:rPr>
      <w:rFonts w:ascii="Calibri" w:hAnsi="Calibri" w:cs="Arial"/>
      <w:b/>
      <w:bCs/>
      <w:caps/>
      <w:color w:val="5CA0B9"/>
      <w:sz w:val="48"/>
      <w:szCs w:val="32"/>
      <w:lang w:eastAsia="en-AU"/>
    </w:rPr>
  </w:style>
  <w:style w:type="character" w:customStyle="1" w:styleId="Heading6Char">
    <w:name w:val="Heading 6 Char"/>
    <w:link w:val="Heading6"/>
    <w:uiPriority w:val="10"/>
    <w:rsid w:val="00833EE1"/>
    <w:rPr>
      <w:rFonts w:ascii="Metropolis" w:hAnsi="Metropolis"/>
      <w:caps/>
      <w:color w:val="FFFFFF" w:themeColor="background1"/>
      <w:spacing w:val="24"/>
      <w:szCs w:val="22"/>
      <w:shd w:val="clear" w:color="auto" w:fill="404040" w:themeFill="text1" w:themeFillTint="BF"/>
      <w:lang w:eastAsia="en-AU"/>
    </w:rPr>
  </w:style>
  <w:style w:type="character" w:customStyle="1" w:styleId="Heading7Char">
    <w:name w:val="Heading 7 Char"/>
    <w:link w:val="Heading7"/>
    <w:uiPriority w:val="10"/>
    <w:semiHidden/>
    <w:rsid w:val="00833EE1"/>
    <w:rPr>
      <w:rFonts w:ascii="Metropolis Light" w:hAnsi="Metropolis Light"/>
      <w:color w:val="0D0D0D" w:themeColor="text1" w:themeTint="F2"/>
      <w:szCs w:val="24"/>
      <w:lang w:eastAsia="en-AU"/>
    </w:rPr>
  </w:style>
  <w:style w:type="character" w:customStyle="1" w:styleId="Heading8Char">
    <w:name w:val="Heading 8 Char"/>
    <w:link w:val="Heading8"/>
    <w:uiPriority w:val="10"/>
    <w:semiHidden/>
    <w:rsid w:val="00833EE1"/>
    <w:rPr>
      <w:rFonts w:ascii="Metropolis Light" w:hAnsi="Metropolis Light"/>
      <w:i/>
      <w:iCs/>
      <w:color w:val="0D0D0D" w:themeColor="text1" w:themeTint="F2"/>
      <w:szCs w:val="24"/>
      <w:lang w:eastAsia="en-AU"/>
    </w:rPr>
  </w:style>
  <w:style w:type="character" w:customStyle="1" w:styleId="Heading9Char">
    <w:name w:val="Heading 9 Char"/>
    <w:link w:val="Heading9"/>
    <w:uiPriority w:val="10"/>
    <w:semiHidden/>
    <w:rsid w:val="00833EE1"/>
    <w:rPr>
      <w:rFonts w:ascii="Arial" w:hAnsi="Arial" w:cs="Arial"/>
      <w:color w:val="0D0D0D" w:themeColor="text1" w:themeTint="F2"/>
      <w:sz w:val="22"/>
      <w:szCs w:val="22"/>
      <w:lang w:eastAsia="en-AU"/>
    </w:rPr>
  </w:style>
  <w:style w:type="character" w:customStyle="1" w:styleId="ClosingChar">
    <w:name w:val="Closing Char"/>
    <w:link w:val="Closing"/>
    <w:uiPriority w:val="99"/>
    <w:semiHidden/>
    <w:rsid w:val="00833EE1"/>
    <w:rPr>
      <w:rFonts w:ascii="Metropolis Light" w:hAnsi="Metropolis Light"/>
      <w:color w:val="0D0D0D" w:themeColor="text1" w:themeTint="F2"/>
      <w:szCs w:val="24"/>
      <w:lang w:eastAsia="en-AU"/>
    </w:rPr>
  </w:style>
  <w:style w:type="character" w:customStyle="1" w:styleId="SignatureChar">
    <w:name w:val="Signature Char"/>
    <w:link w:val="Signature"/>
    <w:uiPriority w:val="99"/>
    <w:semiHidden/>
    <w:rsid w:val="00833EE1"/>
    <w:rPr>
      <w:rFonts w:ascii="Metropolis Light" w:hAnsi="Metropolis Light"/>
      <w:color w:val="0D0D0D" w:themeColor="text1" w:themeTint="F2"/>
      <w:szCs w:val="24"/>
      <w:lang w:eastAsia="en-AU"/>
    </w:rPr>
  </w:style>
  <w:style w:type="character" w:customStyle="1" w:styleId="BodyTextIndentChar">
    <w:name w:val="Body Text Indent Char"/>
    <w:link w:val="BodyTextIndent"/>
    <w:rsid w:val="00833EE1"/>
    <w:rPr>
      <w:rFonts w:ascii="Metropolis Light" w:hAnsi="Metropolis Light"/>
      <w:szCs w:val="24"/>
      <w:lang w:eastAsia="en-AU"/>
    </w:rPr>
  </w:style>
  <w:style w:type="character" w:customStyle="1" w:styleId="MessageHeaderChar">
    <w:name w:val="Message Header Char"/>
    <w:link w:val="MessageHeader"/>
    <w:uiPriority w:val="99"/>
    <w:semiHidden/>
    <w:rsid w:val="00833EE1"/>
    <w:rPr>
      <w:rFonts w:ascii="Arial" w:hAnsi="Arial" w:cs="Arial"/>
      <w:color w:val="0D0D0D" w:themeColor="text1" w:themeTint="F2"/>
      <w:szCs w:val="24"/>
      <w:shd w:val="pct20" w:color="auto" w:fill="auto"/>
      <w:lang w:eastAsia="en-AU"/>
    </w:rPr>
  </w:style>
  <w:style w:type="character" w:customStyle="1" w:styleId="SalutationChar">
    <w:name w:val="Salutation Char"/>
    <w:link w:val="Salutation"/>
    <w:uiPriority w:val="99"/>
    <w:semiHidden/>
    <w:rsid w:val="00833EE1"/>
    <w:rPr>
      <w:rFonts w:ascii="Metropolis Light" w:hAnsi="Metropolis Light"/>
      <w:color w:val="0D0D0D" w:themeColor="text1" w:themeTint="F2"/>
      <w:szCs w:val="24"/>
      <w:lang w:eastAsia="en-AU"/>
    </w:rPr>
  </w:style>
  <w:style w:type="character" w:customStyle="1" w:styleId="BodyTextFirstIndentChar">
    <w:name w:val="Body Text First Indent Char"/>
    <w:link w:val="BodyTextFirstIndent"/>
    <w:uiPriority w:val="99"/>
    <w:semiHidden/>
    <w:rsid w:val="00833EE1"/>
    <w:rPr>
      <w:rFonts w:ascii="Metropolis Light" w:hAnsi="Metropolis Light"/>
      <w:color w:val="0D0D0D" w:themeColor="text1" w:themeTint="F2"/>
      <w:szCs w:val="24"/>
      <w:lang w:eastAsia="en-AU"/>
    </w:rPr>
  </w:style>
  <w:style w:type="character" w:customStyle="1" w:styleId="BodyTextFirstIndent2Char">
    <w:name w:val="Body Text First Indent 2 Char"/>
    <w:link w:val="BodyTextFirstIndent2"/>
    <w:uiPriority w:val="99"/>
    <w:semiHidden/>
    <w:rsid w:val="00833EE1"/>
    <w:rPr>
      <w:rFonts w:ascii="Metropolis Light" w:hAnsi="Metropolis Light"/>
      <w:szCs w:val="24"/>
      <w:lang w:eastAsia="en-AU"/>
    </w:rPr>
  </w:style>
  <w:style w:type="character" w:customStyle="1" w:styleId="NoteHeadingChar">
    <w:name w:val="Note Heading Char"/>
    <w:link w:val="NoteHeading"/>
    <w:uiPriority w:val="99"/>
    <w:semiHidden/>
    <w:rsid w:val="00833EE1"/>
    <w:rPr>
      <w:rFonts w:ascii="Metropolis Light" w:hAnsi="Metropolis Light"/>
      <w:color w:val="0D0D0D" w:themeColor="text1" w:themeTint="F2"/>
      <w:szCs w:val="24"/>
      <w:lang w:eastAsia="en-AU"/>
    </w:rPr>
  </w:style>
  <w:style w:type="character" w:customStyle="1" w:styleId="BodyText3Char">
    <w:name w:val="Body Text 3 Char"/>
    <w:link w:val="BodyText3"/>
    <w:uiPriority w:val="1"/>
    <w:semiHidden/>
    <w:rsid w:val="00833EE1"/>
    <w:rPr>
      <w:rFonts w:asciiTheme="minorHAnsi" w:hAnsiTheme="minorHAnsi"/>
      <w:sz w:val="24"/>
      <w:szCs w:val="24"/>
      <w:lang w:eastAsia="en-AU"/>
    </w:rPr>
  </w:style>
  <w:style w:type="character" w:customStyle="1" w:styleId="BodyTextIndent2Char">
    <w:name w:val="Body Text Indent 2 Char"/>
    <w:link w:val="BodyTextIndent2"/>
    <w:uiPriority w:val="1"/>
    <w:rsid w:val="00833EE1"/>
    <w:rPr>
      <w:rFonts w:ascii="Metropolis Light" w:hAnsi="Metropolis Light"/>
      <w:color w:val="0D0D0D" w:themeColor="text1" w:themeTint="F2"/>
      <w:szCs w:val="24"/>
      <w:lang w:eastAsia="en-AU"/>
    </w:rPr>
  </w:style>
  <w:style w:type="character" w:customStyle="1" w:styleId="BodyTextIndent3Char">
    <w:name w:val="Body Text Indent 3 Char"/>
    <w:link w:val="BodyTextIndent3"/>
    <w:uiPriority w:val="2"/>
    <w:semiHidden/>
    <w:rsid w:val="00833EE1"/>
    <w:rPr>
      <w:rFonts w:ascii="Metropolis Light" w:hAnsi="Metropolis Light"/>
      <w:color w:val="0D0D0D" w:themeColor="text1" w:themeTint="F2"/>
      <w:sz w:val="16"/>
      <w:szCs w:val="16"/>
      <w:lang w:eastAsia="en-AU"/>
    </w:rPr>
  </w:style>
  <w:style w:type="character" w:customStyle="1" w:styleId="PlainTextChar">
    <w:name w:val="Plain Text Char"/>
    <w:link w:val="PlainText"/>
    <w:uiPriority w:val="99"/>
    <w:semiHidden/>
    <w:rsid w:val="00833EE1"/>
    <w:rPr>
      <w:rFonts w:ascii="Courier New" w:hAnsi="Courier New" w:cs="Courier New"/>
      <w:color w:val="0D0D0D" w:themeColor="text1" w:themeTint="F2"/>
      <w:lang w:eastAsia="en-AU"/>
    </w:rPr>
  </w:style>
  <w:style w:type="character" w:customStyle="1" w:styleId="E-mailSignatureChar">
    <w:name w:val="E-mail Signature Char"/>
    <w:link w:val="E-mailSignature"/>
    <w:uiPriority w:val="99"/>
    <w:semiHidden/>
    <w:rsid w:val="00833EE1"/>
    <w:rPr>
      <w:rFonts w:ascii="Metropolis Light" w:hAnsi="Metropolis Light"/>
      <w:color w:val="0D0D0D" w:themeColor="text1" w:themeTint="F2"/>
      <w:szCs w:val="24"/>
      <w:lang w:eastAsia="en-AU"/>
    </w:rPr>
  </w:style>
  <w:style w:type="character" w:customStyle="1" w:styleId="HTMLAddressChar">
    <w:name w:val="HTML Address Char"/>
    <w:link w:val="HTMLAddress"/>
    <w:uiPriority w:val="99"/>
    <w:semiHidden/>
    <w:rsid w:val="00833EE1"/>
    <w:rPr>
      <w:rFonts w:ascii="Metropolis Light" w:hAnsi="Metropolis Light"/>
      <w:i/>
      <w:iCs/>
      <w:color w:val="0D0D0D" w:themeColor="text1" w:themeTint="F2"/>
      <w:szCs w:val="24"/>
      <w:lang w:eastAsia="en-AU"/>
    </w:rPr>
  </w:style>
  <w:style w:type="character" w:customStyle="1" w:styleId="HTMLPreformattedChar">
    <w:name w:val="HTML Preformatted Char"/>
    <w:link w:val="HTMLPreformatted"/>
    <w:uiPriority w:val="99"/>
    <w:semiHidden/>
    <w:rsid w:val="00833EE1"/>
    <w:rPr>
      <w:rFonts w:ascii="Courier New" w:hAnsi="Courier New" w:cs="Courier New"/>
      <w:color w:val="0D0D0D" w:themeColor="text1" w:themeTint="F2"/>
      <w:lang w:eastAsia="en-AU"/>
    </w:rPr>
  </w:style>
  <w:style w:type="character" w:customStyle="1" w:styleId="BodyText1Char">
    <w:name w:val="Body Text1 Char"/>
    <w:link w:val="BodyText1"/>
    <w:rsid w:val="00833EE1"/>
    <w:rPr>
      <w:rFonts w:ascii="Metropolis Light" w:hAnsi="Metropolis Light"/>
      <w:szCs w:val="24"/>
      <w:lang w:eastAsia="en-AU"/>
    </w:rPr>
  </w:style>
  <w:style w:type="character" w:customStyle="1" w:styleId="frag-no">
    <w:name w:val="frag-no"/>
    <w:basedOn w:val="DefaultParagraphFont"/>
    <w:rsid w:val="00833EE1"/>
  </w:style>
  <w:style w:type="paragraph" w:customStyle="1" w:styleId="PartAppendicesHeading">
    <w:name w:val="Part/Appendices Heading"/>
    <w:next w:val="Heading1"/>
    <w:uiPriority w:val="10"/>
    <w:qFormat/>
    <w:rsid w:val="001C0EF4"/>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833EE1"/>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833EE1"/>
    <w:pPr>
      <w:spacing w:before="3720"/>
    </w:pPr>
    <w:rPr>
      <w:noProof/>
      <w:lang w:eastAsia="en-NZ"/>
    </w:rPr>
  </w:style>
  <w:style w:type="character" w:customStyle="1" w:styleId="ALRchapterheadingChar">
    <w:name w:val="ALR chapter heading Char"/>
    <w:link w:val="ALRchapterheading"/>
    <w:uiPriority w:val="8"/>
    <w:rsid w:val="00833EE1"/>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833EE1"/>
    <w:pPr>
      <w:spacing w:before="480" w:after="240" w:line="293" w:lineRule="auto"/>
    </w:pPr>
    <w:rPr>
      <w:sz w:val="40"/>
    </w:rPr>
  </w:style>
  <w:style w:type="character" w:customStyle="1" w:styleId="ALRAppendixtitlepageChar">
    <w:name w:val="ALR Appendix title page Char"/>
    <w:link w:val="ALRAppendixtitlepage"/>
    <w:uiPriority w:val="8"/>
    <w:rsid w:val="00833EE1"/>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833EE1"/>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833EE1"/>
    <w:pPr>
      <w:numPr>
        <w:numId w:val="16"/>
      </w:numPr>
      <w:pBdr>
        <w:top w:val="single" w:sz="4" w:space="10" w:color="5CA0B9"/>
        <w:left w:val="single" w:sz="4" w:space="6" w:color="5CA0B9"/>
        <w:bottom w:val="single" w:sz="4" w:space="6" w:color="5CA0B9"/>
        <w:right w:val="single" w:sz="4" w:space="6" w:color="5CA0B9"/>
      </w:pBdr>
      <w:shd w:val="clear" w:color="auto" w:fill="E2EAEF"/>
      <w:spacing w:before="120"/>
    </w:pPr>
    <w:rPr>
      <w:rFonts w:eastAsia="Calibri"/>
      <w:color w:val="000000"/>
    </w:rPr>
  </w:style>
  <w:style w:type="character" w:customStyle="1" w:styleId="R1RecommendationTextChar">
    <w:name w:val="R1 Recommendation Text Char"/>
    <w:link w:val="R1RecommendationText"/>
    <w:rsid w:val="00833EE1"/>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1C0EF4"/>
  </w:style>
  <w:style w:type="paragraph" w:customStyle="1" w:styleId="TableText">
    <w:name w:val="Table Text"/>
    <w:basedOn w:val="Normal"/>
    <w:link w:val="TableTextChar"/>
    <w:uiPriority w:val="8"/>
    <w:qFormat/>
    <w:rsid w:val="00833EE1"/>
    <w:rPr>
      <w:szCs w:val="28"/>
    </w:rPr>
  </w:style>
  <w:style w:type="character" w:customStyle="1" w:styleId="TableTextChar">
    <w:name w:val="Table Text Char"/>
    <w:link w:val="TableText"/>
    <w:uiPriority w:val="8"/>
    <w:rsid w:val="00833EE1"/>
    <w:rPr>
      <w:rFonts w:ascii="Metropolis Light" w:hAnsi="Metropolis Light"/>
      <w:color w:val="0D0D0D"/>
      <w:szCs w:val="28"/>
      <w:lang w:eastAsia="en-AU"/>
    </w:rPr>
  </w:style>
  <w:style w:type="character" w:styleId="Mention">
    <w:name w:val="Mention"/>
    <w:basedOn w:val="DefaultParagraphFont"/>
    <w:uiPriority w:val="99"/>
    <w:unhideWhenUsed/>
    <w:rsid w:val="00833EE1"/>
    <w:rPr>
      <w:color w:val="2B579A"/>
      <w:shd w:val="clear" w:color="auto" w:fill="E1DFDD"/>
    </w:rPr>
  </w:style>
  <w:style w:type="paragraph" w:customStyle="1" w:styleId="pf0">
    <w:name w:val="pf0"/>
    <w:basedOn w:val="Normal"/>
    <w:rsid w:val="00833EE1"/>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833EE1"/>
    <w:rPr>
      <w:rFonts w:ascii="Segoe UI" w:hAnsi="Segoe UI" w:cs="Segoe UI" w:hint="default"/>
      <w:sz w:val="18"/>
      <w:szCs w:val="18"/>
    </w:rPr>
  </w:style>
  <w:style w:type="paragraph" w:customStyle="1" w:styleId="RxRecommendationText">
    <w:name w:val="Rx Recommendation Text"/>
    <w:link w:val="RxRecommendationTextChar"/>
    <w:uiPriority w:val="11"/>
    <w:qFormat/>
    <w:rsid w:val="001C0EF4"/>
    <w:pPr>
      <w:numPr>
        <w:numId w:val="23"/>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RecommendationTextChar">
    <w:name w:val="Rx Recommendation Text Char"/>
    <w:link w:val="RxRecommendationText"/>
    <w:uiPriority w:val="11"/>
    <w:rsid w:val="001C0EF4"/>
    <w:rPr>
      <w:rFonts w:ascii="Metropolis Light" w:hAnsi="Metropolis Light"/>
      <w:lang w:eastAsia="en-US"/>
    </w:rPr>
  </w:style>
  <w:style w:type="character" w:styleId="UnresolvedMention">
    <w:name w:val="Unresolved Mention"/>
    <w:basedOn w:val="DefaultParagraphFont"/>
    <w:uiPriority w:val="99"/>
    <w:unhideWhenUsed/>
    <w:rsid w:val="00952023"/>
    <w:rPr>
      <w:color w:val="605E5C"/>
      <w:shd w:val="clear" w:color="auto" w:fill="E1DFDD"/>
    </w:rPr>
  </w:style>
  <w:style w:type="paragraph" w:customStyle="1" w:styleId="ChapterSummaryBulleting">
    <w:name w:val="Chapter Summary Bulleting"/>
    <w:basedOn w:val="ListBullet"/>
    <w:link w:val="ChapterSummaryBulletingChar"/>
    <w:qFormat/>
    <w:rsid w:val="00833EE1"/>
    <w:pPr>
      <w:ind w:right="283"/>
    </w:pPr>
  </w:style>
  <w:style w:type="character" w:customStyle="1" w:styleId="ListBulletChar">
    <w:name w:val="List Bullet Char"/>
    <w:basedOn w:val="DefaultParagraphFont"/>
    <w:link w:val="ListBullet"/>
    <w:uiPriority w:val="4"/>
    <w:rsid w:val="00B93C3F"/>
    <w:rPr>
      <w:rFonts w:ascii="Metropolis Light" w:hAnsi="Metropolis Light"/>
      <w:color w:val="0D0D0D" w:themeColor="text1" w:themeTint="F2"/>
      <w:szCs w:val="24"/>
      <w:lang w:eastAsia="en-AU"/>
    </w:rPr>
  </w:style>
  <w:style w:type="character" w:customStyle="1" w:styleId="ChapterSummaryBulletingChar">
    <w:name w:val="Chapter Summary Bulleting Char"/>
    <w:basedOn w:val="ListBulletChar"/>
    <w:link w:val="ChapterSummaryBulleting"/>
    <w:rsid w:val="00833EE1"/>
    <w:rPr>
      <w:rFonts w:ascii="Metropolis Light" w:hAnsi="Metropolis Light"/>
      <w:color w:val="0D0D0D" w:themeColor="text1" w:themeTint="F2"/>
      <w:szCs w:val="24"/>
      <w:lang w:eastAsia="en-AU"/>
    </w:rPr>
  </w:style>
  <w:style w:type="character" w:customStyle="1" w:styleId="ListParagraphChar">
    <w:name w:val="List Paragraph Char"/>
    <w:basedOn w:val="DefaultParagraphFont"/>
    <w:link w:val="ListParagraph"/>
    <w:uiPriority w:val="34"/>
    <w:rsid w:val="00833EE1"/>
    <w:rPr>
      <w:rFonts w:ascii="Metropolis Light" w:hAnsi="Metropolis Light"/>
      <w:color w:val="0D0D0D" w:themeColor="text1" w:themeTint="F2"/>
      <w:sz w:val="24"/>
      <w:szCs w:val="24"/>
      <w:lang w:eastAsia="en-AU"/>
    </w:rPr>
  </w:style>
  <w:style w:type="paragraph" w:customStyle="1" w:styleId="Style1">
    <w:name w:val="Style1"/>
    <w:uiPriority w:val="8"/>
    <w:qFormat/>
    <w:rsid w:val="001C0EF4"/>
    <w:rPr>
      <w:rFonts w:ascii="Metropolis Light" w:hAnsi="Metropolis Light"/>
      <w:lang w:eastAsia="en-US"/>
    </w:rPr>
  </w:style>
  <w:style w:type="paragraph" w:customStyle="1" w:styleId="QuestionBox">
    <w:name w:val="Question Box"/>
    <w:basedOn w:val="BodyText"/>
    <w:link w:val="QuestionBoxChar"/>
    <w:uiPriority w:val="8"/>
    <w:qFormat/>
    <w:rsid w:val="00833EE1"/>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833EE1"/>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833EE1"/>
    <w:pPr>
      <w:numPr>
        <w:numId w:val="17"/>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833EE1"/>
  </w:style>
  <w:style w:type="numbering" w:customStyle="1" w:styleId="1ai1">
    <w:name w:val="1 / a / i1"/>
    <w:basedOn w:val="NoList"/>
    <w:next w:val="1ai"/>
    <w:semiHidden/>
    <w:rsid w:val="00833EE1"/>
  </w:style>
  <w:style w:type="numbering" w:customStyle="1" w:styleId="ArticleSection1">
    <w:name w:val="Article / Section1"/>
    <w:basedOn w:val="NoList"/>
    <w:next w:val="ArticleSection"/>
    <w:semiHidden/>
    <w:rsid w:val="00833EE1"/>
  </w:style>
  <w:style w:type="numbering" w:customStyle="1" w:styleId="Chapter12">
    <w:name w:val="Chapter12"/>
    <w:uiPriority w:val="99"/>
    <w:rsid w:val="00833EE1"/>
  </w:style>
  <w:style w:type="table" w:customStyle="1" w:styleId="TableGrid20">
    <w:name w:val="Table Grid2"/>
    <w:basedOn w:val="TableNormal"/>
    <w:next w:val="TableGrid"/>
    <w:rsid w:val="00833EE1"/>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character" w:customStyle="1" w:styleId="findhit">
    <w:name w:val="findhit"/>
    <w:basedOn w:val="DefaultParagraphFont"/>
    <w:rsid w:val="000A4CF9"/>
  </w:style>
  <w:style w:type="paragraph" w:customStyle="1" w:styleId="B2Recommendation">
    <w:name w:val="B2 Recommendation"/>
    <w:basedOn w:val="Normal"/>
    <w:rsid w:val="00D65AEA"/>
    <w:pPr>
      <w:tabs>
        <w:tab w:val="num" w:pos="1701"/>
        <w:tab w:val="left" w:pos="2268"/>
      </w:tabs>
      <w:ind w:left="1701" w:hanging="567"/>
    </w:pPr>
    <w:rPr>
      <w:rFonts w:ascii="Times New Roman Mäori" w:eastAsiaTheme="minorEastAsia" w:hAnsi="Times New Roman Mäori"/>
      <w:b/>
      <w:bCs/>
      <w:color w:val="339966"/>
      <w:sz w:val="24"/>
      <w:szCs w:val="20"/>
      <w:lang w:val="en-GB" w:bidi="th-TH"/>
    </w:rPr>
  </w:style>
  <w:style w:type="paragraph" w:customStyle="1" w:styleId="Thesis">
    <w:name w:val="Thesis"/>
    <w:basedOn w:val="Heading1"/>
    <w:qFormat/>
    <w:rsid w:val="00332BE6"/>
    <w:pPr>
      <w:keepNext w:val="0"/>
      <w:numPr>
        <w:numId w:val="0"/>
      </w:numPr>
      <w:snapToGrid w:val="0"/>
      <w:spacing w:beforeLines="1" w:before="120" w:afterLines="1" w:after="120"/>
      <w:jc w:val="both"/>
    </w:pPr>
    <w:rPr>
      <w:rFonts w:ascii="Times New Roman" w:eastAsiaTheme="minorHAnsi" w:hAnsi="Times New Roman"/>
      <w:b w:val="0"/>
      <w:bCs/>
      <w:i/>
      <w:color w:val="auto"/>
      <w:kern w:val="36"/>
      <w:sz w:val="28"/>
      <w:lang w:val="en-AU"/>
    </w:rPr>
  </w:style>
  <w:style w:type="paragraph" w:customStyle="1" w:styleId="ThesisH2">
    <w:name w:val="Thesis H2"/>
    <w:basedOn w:val="Normal"/>
    <w:next w:val="Normal"/>
    <w:qFormat/>
    <w:rsid w:val="00332BE6"/>
    <w:pPr>
      <w:snapToGrid w:val="0"/>
      <w:jc w:val="both"/>
    </w:pPr>
    <w:rPr>
      <w:rFonts w:ascii="Times New Roman" w:eastAsiaTheme="minorEastAsia" w:hAnsi="Times New Roman"/>
      <w:bCs/>
      <w:i/>
      <w:iCs/>
      <w:sz w:val="24"/>
      <w:lang w:eastAsia="zh-CN" w:bidi="th-TH"/>
    </w:rPr>
  </w:style>
  <w:style w:type="character" w:customStyle="1" w:styleId="superscript">
    <w:name w:val="superscript"/>
    <w:basedOn w:val="DefaultParagraphFont"/>
    <w:rsid w:val="007442B3"/>
  </w:style>
  <w:style w:type="character" w:customStyle="1" w:styleId="E-mailSignatureChar1">
    <w:name w:val="E-mail Signature Char1"/>
    <w:uiPriority w:val="99"/>
    <w:semiHidden/>
    <w:rsid w:val="002F7DD3"/>
    <w:rPr>
      <w:rFonts w:ascii="Metropolis Light" w:hAnsi="Metropolis Light"/>
      <w:color w:val="0D0D0D"/>
      <w:sz w:val="20"/>
      <w:lang w:val="en-NZ"/>
    </w:rPr>
  </w:style>
  <w:style w:type="character" w:customStyle="1" w:styleId="EmailSignatureChar">
    <w:name w:val="Email Signature Char"/>
    <w:uiPriority w:val="99"/>
    <w:semiHidden/>
    <w:rsid w:val="00B13807"/>
    <w:rPr>
      <w:rFonts w:ascii="Metropolis Light" w:hAnsi="Metropolis Light"/>
      <w:color w:val="0D0D0D"/>
      <w:sz w:val="20"/>
      <w:lang w:val="en-NZ"/>
    </w:rPr>
  </w:style>
  <w:style w:type="paragraph" w:customStyle="1" w:styleId="statutory-body-2em">
    <w:name w:val="statutory-body-2em"/>
    <w:basedOn w:val="Normal"/>
    <w:rsid w:val="00D16297"/>
    <w:pPr>
      <w:spacing w:before="100" w:beforeAutospacing="1" w:after="100" w:afterAutospacing="1" w:line="240" w:lineRule="auto"/>
    </w:pPr>
    <w:rPr>
      <w:rFonts w:ascii="Times New Roman" w:hAnsi="Times New Roman"/>
      <w:sz w:val="24"/>
      <w:lang w:eastAsia="zh-CN" w:bidi="th-TH"/>
    </w:rPr>
  </w:style>
  <w:style w:type="paragraph" w:customStyle="1" w:styleId="statutory-body-3em">
    <w:name w:val="statutory-body-3em"/>
    <w:basedOn w:val="Normal"/>
    <w:rsid w:val="00D16297"/>
    <w:pPr>
      <w:spacing w:before="100" w:beforeAutospacing="1" w:after="100" w:afterAutospacing="1" w:line="240" w:lineRule="auto"/>
    </w:pPr>
    <w:rPr>
      <w:rFonts w:ascii="Times New Roman" w:hAnsi="Times New Roman"/>
      <w:sz w:val="24"/>
      <w:lang w:eastAsia="zh-CN" w:bidi="th-TH"/>
    </w:rPr>
  </w:style>
  <w:style w:type="paragraph" w:customStyle="1" w:styleId="Subheading">
    <w:name w:val="Subheading"/>
    <w:basedOn w:val="Numberedpara"/>
    <w:qFormat/>
    <w:rsid w:val="007A4B16"/>
    <w:pPr>
      <w:numPr>
        <w:numId w:val="0"/>
      </w:numPr>
      <w:spacing w:before="80" w:after="80"/>
      <w:ind w:left="567" w:hanging="567"/>
    </w:pPr>
    <w:rPr>
      <w:rFonts w:eastAsiaTheme="minorEastAsia"/>
      <w:color w:val="000000" w:themeColor="text1"/>
      <w:szCs w:val="28"/>
      <w:u w:val="single"/>
      <w:lang w:bidi="th-TH"/>
    </w:rPr>
  </w:style>
  <w:style w:type="character" w:customStyle="1" w:styleId="cf21">
    <w:name w:val="cf21"/>
    <w:basedOn w:val="DefaultParagraphFont"/>
    <w:rsid w:val="00B82989"/>
    <w:rPr>
      <w:rFonts w:ascii="Segoe UI" w:hAnsi="Segoe UI" w:cs="Segoe UI" w:hint="default"/>
      <w:i/>
      <w:iCs/>
      <w:color w:val="0D0D0D"/>
      <w:sz w:val="18"/>
      <w:szCs w:val="18"/>
    </w:rPr>
  </w:style>
  <w:style w:type="character" w:customStyle="1" w:styleId="cf11">
    <w:name w:val="cf11"/>
    <w:basedOn w:val="DefaultParagraphFont"/>
    <w:rsid w:val="00096CF8"/>
    <w:rPr>
      <w:rFonts w:ascii="Segoe UI" w:hAnsi="Segoe UI" w:cs="Segoe UI" w:hint="default"/>
      <w:i/>
      <w:iCs/>
      <w:sz w:val="18"/>
      <w:szCs w:val="18"/>
    </w:rPr>
  </w:style>
  <w:style w:type="paragraph" w:customStyle="1" w:styleId="aRecommendationText">
    <w:name w:val="a. Recommendation Text"/>
    <w:basedOn w:val="RxRecommendationText"/>
    <w:uiPriority w:val="12"/>
    <w:qFormat/>
    <w:rsid w:val="001C0EF4"/>
    <w:pPr>
      <w:numPr>
        <w:ilvl w:val="1"/>
      </w:numPr>
      <w:ind w:left="1417" w:hanging="424"/>
    </w:pPr>
  </w:style>
  <w:style w:type="paragraph" w:customStyle="1" w:styleId="RecommendationText-Preformat">
    <w:name w:val="Recommendation Text - Preformat"/>
    <w:basedOn w:val="RecommendationText"/>
    <w:uiPriority w:val="12"/>
    <w:qFormat/>
    <w:rsid w:val="001C0EF4"/>
  </w:style>
  <w:style w:type="paragraph" w:customStyle="1" w:styleId="RxListofRecommendation">
    <w:name w:val="Rx List of Recommendation"/>
    <w:basedOn w:val="RxRecommendationText"/>
    <w:link w:val="RxListofRecommendationChar"/>
    <w:uiPriority w:val="8"/>
    <w:qFormat/>
    <w:rsid w:val="005F4DB8"/>
  </w:style>
  <w:style w:type="character" w:customStyle="1" w:styleId="RxListofRecommendationChar">
    <w:name w:val="Rx List of Recommendation Char"/>
    <w:basedOn w:val="RxRecommendationTextChar"/>
    <w:link w:val="RxListofRecommendation"/>
    <w:uiPriority w:val="8"/>
    <w:rsid w:val="005F4DB8"/>
    <w:rPr>
      <w:rFonts w:ascii="Metropolis Light" w:hAnsi="Metropolis Light"/>
      <w:lang w:eastAsia="en-US"/>
    </w:rPr>
  </w:style>
  <w:style w:type="paragraph" w:customStyle="1" w:styleId="bRecommendationText">
    <w:name w:val="b. Recommendation Text"/>
    <w:basedOn w:val="RxRecommendationText"/>
    <w:uiPriority w:val="12"/>
    <w:qFormat/>
    <w:rsid w:val="00E26BF5"/>
    <w:pPr>
      <w:numPr>
        <w:numId w:val="25"/>
      </w:numPr>
    </w:pPr>
    <w:rPr>
      <w:color w:val="0D0D0D" w:themeColor="text1" w:themeTint="F2"/>
    </w:rPr>
  </w:style>
  <w:style w:type="paragraph" w:customStyle="1" w:styleId="RxListRecommendationText">
    <w:name w:val="Rx List Recommendation Text"/>
    <w:link w:val="RxListRecommendationTextChar"/>
    <w:uiPriority w:val="11"/>
    <w:qFormat/>
    <w:rsid w:val="001C0EF4"/>
    <w:pPr>
      <w:numPr>
        <w:numId w:val="24"/>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ListRecommendationTextChar">
    <w:name w:val="Rx List Recommendation Text Char"/>
    <w:link w:val="RxListRecommendationText"/>
    <w:uiPriority w:val="11"/>
    <w:rsid w:val="001C0EF4"/>
    <w:rPr>
      <w:rFonts w:ascii="Metropolis Light" w:hAnsi="Metropolis Light"/>
      <w:lang w:eastAsia="en-US"/>
    </w:rPr>
  </w:style>
  <w:style w:type="numbering" w:customStyle="1" w:styleId="Chapter13">
    <w:name w:val="Chapter13"/>
    <w:uiPriority w:val="99"/>
    <w:rsid w:val="00663187"/>
  </w:style>
  <w:style w:type="paragraph" w:customStyle="1" w:styleId="Questionabc">
    <w:name w:val="Question abc"/>
    <w:basedOn w:val="Normal"/>
    <w:next w:val="Normal"/>
    <w:link w:val="QuestionabcChar"/>
    <w:uiPriority w:val="8"/>
    <w:qFormat/>
    <w:rsid w:val="00A71A09"/>
    <w:pPr>
      <w:tabs>
        <w:tab w:val="left" w:pos="709"/>
      </w:tabs>
      <w:spacing w:before="80"/>
      <w:ind w:right="284"/>
      <w:jc w:val="both"/>
    </w:pPr>
    <w:rPr>
      <w:rFonts w:eastAsia="Metropolis Light" w:cs="Metropolis Light"/>
      <w:color w:val="000000" w:themeColor="text1"/>
      <w:szCs w:val="19"/>
    </w:rPr>
  </w:style>
  <w:style w:type="character" w:customStyle="1" w:styleId="charsectno">
    <w:name w:val="charsectno"/>
    <w:basedOn w:val="DefaultParagraphFont"/>
    <w:rsid w:val="00A71A09"/>
  </w:style>
  <w:style w:type="character" w:customStyle="1" w:styleId="NumberedparaChar">
    <w:name w:val="Numbered para Char"/>
    <w:basedOn w:val="DefaultParagraphFont"/>
    <w:link w:val="Numberedpara"/>
    <w:rsid w:val="00A71A09"/>
    <w:rPr>
      <w:rFonts w:ascii="Metropolis Light" w:hAnsi="Metropolis Light"/>
      <w:color w:val="0D0D0D" w:themeColor="text1" w:themeTint="F2"/>
      <w:szCs w:val="24"/>
      <w:lang w:eastAsia="en-AU"/>
    </w:rPr>
  </w:style>
  <w:style w:type="table" w:customStyle="1" w:styleId="LCReportTable">
    <w:name w:val="LC Report Table"/>
    <w:basedOn w:val="TableNormal"/>
    <w:uiPriority w:val="99"/>
    <w:rsid w:val="000135F5"/>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Metropolis Semi Bold" w:hAnsi="Metropolis Semi Bold"/>
        <w:b/>
        <w:caps/>
        <w:smallCaps w:val="0"/>
        <w:color w:val="FFFFFF"/>
        <w:sz w:val="20"/>
      </w:rPr>
      <w:tblPr/>
      <w:tcPr>
        <w:shd w:val="clear" w:color="auto" w:fill="6BA539"/>
      </w:tcPr>
    </w:tblStylePr>
    <w:tblStylePr w:type="lastRow">
      <w:rPr>
        <w:b/>
      </w:rPr>
    </w:tblStylePr>
    <w:tblStylePr w:type="firstCol">
      <w:pPr>
        <w:wordWrap/>
        <w:jc w:val="left"/>
      </w:pPr>
    </w:tblStylePr>
  </w:style>
  <w:style w:type="paragraph" w:customStyle="1" w:styleId="Foreword">
    <w:name w:val="Foreword"/>
    <w:basedOn w:val="BodyTextIndent"/>
    <w:link w:val="ForewordChar"/>
    <w:uiPriority w:val="8"/>
    <w:qFormat/>
    <w:rsid w:val="00321EBB"/>
    <w:pPr>
      <w:numPr>
        <w:ilvl w:val="0"/>
        <w:numId w:val="0"/>
      </w:numPr>
      <w:tabs>
        <w:tab w:val="num" w:pos="1800"/>
      </w:tabs>
      <w:ind w:left="283" w:hanging="504"/>
    </w:pPr>
    <w:rPr>
      <w:rFonts w:eastAsia="Metropolis Light"/>
      <w:color w:val="0D0D0D" w:themeColor="text1" w:themeTint="F2"/>
    </w:rPr>
  </w:style>
  <w:style w:type="character" w:customStyle="1" w:styleId="ForewordChar">
    <w:name w:val="Foreword Char"/>
    <w:basedOn w:val="BodyTextIndentChar"/>
    <w:link w:val="Foreword"/>
    <w:uiPriority w:val="8"/>
    <w:rsid w:val="00321EBB"/>
    <w:rPr>
      <w:rFonts w:ascii="Metropolis Light" w:eastAsia="Metropolis Light" w:hAnsi="Metropolis Light"/>
      <w:color w:val="0D0D0D" w:themeColor="text1" w:themeTint="F2"/>
      <w:szCs w:val="24"/>
      <w:lang w:eastAsia="en-AU"/>
    </w:rPr>
  </w:style>
  <w:style w:type="character" w:customStyle="1" w:styleId="UnresolvedMention1">
    <w:name w:val="Unresolved Mention1"/>
    <w:basedOn w:val="DefaultParagraphFont"/>
    <w:uiPriority w:val="99"/>
    <w:semiHidden/>
    <w:unhideWhenUsed/>
    <w:rsid w:val="005B007A"/>
    <w:rPr>
      <w:color w:val="808080"/>
      <w:shd w:val="clear" w:color="auto" w:fill="E6E6E6"/>
    </w:rPr>
  </w:style>
  <w:style w:type="paragraph" w:customStyle="1" w:styleId="subsection2">
    <w:name w:val="subsection2"/>
    <w:basedOn w:val="Normal"/>
    <w:rsid w:val="005B007A"/>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19"/>
    <w:rsid w:val="005B007A"/>
    <w:rPr>
      <w:i/>
      <w:iCs/>
      <w:color w:val="808080" w:themeColor="text1" w:themeTint="7F"/>
    </w:rPr>
  </w:style>
  <w:style w:type="character" w:customStyle="1" w:styleId="insertwords">
    <w:name w:val="insertwords"/>
    <w:basedOn w:val="DefaultParagraphFont"/>
    <w:rsid w:val="005B007A"/>
  </w:style>
  <w:style w:type="character" w:customStyle="1" w:styleId="apple-converted-space">
    <w:name w:val="apple-converted-space"/>
    <w:basedOn w:val="DefaultParagraphFont"/>
    <w:rsid w:val="005B007A"/>
  </w:style>
  <w:style w:type="character" w:customStyle="1" w:styleId="sslistitemcontent">
    <w:name w:val="ss_listitemcontent"/>
    <w:basedOn w:val="DefaultParagraphFont"/>
    <w:rsid w:val="005B007A"/>
  </w:style>
  <w:style w:type="table" w:customStyle="1" w:styleId="GridTable1Light-Accent11">
    <w:name w:val="Grid Table 1 Light - Accent 11"/>
    <w:basedOn w:val="TableNormal"/>
    <w:uiPriority w:val="46"/>
    <w:rsid w:val="005B007A"/>
    <w:rPr>
      <w:rFonts w:asciiTheme="minorHAnsi" w:hAnsiTheme="minorHAnsi"/>
      <w:sz w:val="24"/>
      <w:szCs w:val="24"/>
      <w:lang w:val="en-AU" w:eastAsia="en-AU"/>
    </w:rPr>
    <w:tblPr>
      <w:tblStyleRowBandSize w:val="1"/>
      <w:tblStyleColBandSize w:val="1"/>
      <w:tblBorders>
        <w:top w:val="single" w:sz="4" w:space="0" w:color="55FFDB" w:themeColor="accent1" w:themeTint="66"/>
        <w:left w:val="single" w:sz="4" w:space="0" w:color="55FFDB" w:themeColor="accent1" w:themeTint="66"/>
        <w:bottom w:val="single" w:sz="4" w:space="0" w:color="55FFDB" w:themeColor="accent1" w:themeTint="66"/>
        <w:right w:val="single" w:sz="4" w:space="0" w:color="55FFDB" w:themeColor="accent1" w:themeTint="66"/>
        <w:insideH w:val="single" w:sz="4" w:space="0" w:color="55FFDB" w:themeColor="accent1" w:themeTint="66"/>
        <w:insideV w:val="single" w:sz="4" w:space="0" w:color="55FFDB" w:themeColor="accent1" w:themeTint="66"/>
      </w:tblBorders>
    </w:tblPr>
    <w:tblStylePr w:type="firstRow">
      <w:rPr>
        <w:b/>
        <w:bCs/>
      </w:rPr>
      <w:tblPr/>
      <w:tcPr>
        <w:tcBorders>
          <w:bottom w:val="single" w:sz="12" w:space="0" w:color="01FFCA" w:themeColor="accent1" w:themeTint="99"/>
        </w:tcBorders>
      </w:tcPr>
    </w:tblStylePr>
    <w:tblStylePr w:type="lastRow">
      <w:rPr>
        <w:b/>
        <w:bCs/>
      </w:rPr>
      <w:tblPr/>
      <w:tcPr>
        <w:tcBorders>
          <w:top w:val="double" w:sz="2" w:space="0" w:color="01FFCA" w:themeColor="accent1" w:themeTint="99"/>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5B007A"/>
    <w:rPr>
      <w:color w:val="605E5C"/>
      <w:shd w:val="clear" w:color="auto" w:fill="E1DFDD"/>
    </w:rPr>
  </w:style>
  <w:style w:type="character" w:customStyle="1" w:styleId="QuestionabcChar">
    <w:name w:val="Question abc Char"/>
    <w:basedOn w:val="ProposalChar"/>
    <w:link w:val="Questionabc"/>
    <w:uiPriority w:val="8"/>
    <w:rsid w:val="005B007A"/>
    <w:rPr>
      <w:rFonts w:ascii="Metropolis Light" w:eastAsia="Metropolis Light" w:hAnsi="Metropolis Light" w:cs="Metropolis Light"/>
      <w:color w:val="000000" w:themeColor="text1"/>
      <w:szCs w:val="19"/>
      <w:lang w:eastAsia="en-AU"/>
    </w:rPr>
  </w:style>
  <w:style w:type="character" w:customStyle="1" w:styleId="UnresolvedMention2">
    <w:name w:val="Unresolved Mention2"/>
    <w:basedOn w:val="DefaultParagraphFont"/>
    <w:uiPriority w:val="99"/>
    <w:semiHidden/>
    <w:unhideWhenUsed/>
    <w:rsid w:val="005B007A"/>
    <w:rPr>
      <w:color w:val="605E5C"/>
      <w:shd w:val="clear" w:color="auto" w:fill="E1DFDD"/>
    </w:rPr>
  </w:style>
  <w:style w:type="character" w:customStyle="1" w:styleId="UnresolvedMention3">
    <w:name w:val="Unresolved Mention3"/>
    <w:basedOn w:val="DefaultParagraphFont"/>
    <w:uiPriority w:val="99"/>
    <w:semiHidden/>
    <w:unhideWhenUsed/>
    <w:rsid w:val="005B007A"/>
    <w:rPr>
      <w:color w:val="605E5C"/>
      <w:shd w:val="clear" w:color="auto" w:fill="E1DFDD"/>
    </w:rPr>
  </w:style>
  <w:style w:type="paragraph" w:customStyle="1" w:styleId="TableHeader">
    <w:name w:val="Table Header"/>
    <w:basedOn w:val="BodyText"/>
    <w:link w:val="TableHeaderChar"/>
    <w:uiPriority w:val="8"/>
    <w:qFormat/>
    <w:rsid w:val="005B007A"/>
    <w:pPr>
      <w:numPr>
        <w:numId w:val="0"/>
      </w:numPr>
      <w:tabs>
        <w:tab w:val="left" w:pos="709"/>
        <w:tab w:val="num" w:pos="5416"/>
      </w:tabs>
      <w:spacing w:after="120" w:line="240" w:lineRule="auto"/>
      <w:jc w:val="left"/>
    </w:pPr>
    <w:rPr>
      <w:b/>
      <w:bCs/>
      <w:color w:val="FFFFFF" w:themeColor="background1"/>
    </w:rPr>
  </w:style>
  <w:style w:type="character" w:customStyle="1" w:styleId="TableHeaderChar">
    <w:name w:val="Table Header Char"/>
    <w:basedOn w:val="BodyTextChar"/>
    <w:link w:val="TableHeader"/>
    <w:uiPriority w:val="8"/>
    <w:rsid w:val="005B007A"/>
    <w:rPr>
      <w:rFonts w:ascii="Metropolis Light" w:hAnsi="Metropolis Light"/>
      <w:b/>
      <w:bCs/>
      <w:color w:val="FFFFFF" w:themeColor="background1"/>
      <w:szCs w:val="24"/>
      <w:lang w:eastAsia="en-AU"/>
    </w:rPr>
  </w:style>
  <w:style w:type="paragraph" w:customStyle="1" w:styleId="BoxTitle">
    <w:name w:val="Box Title"/>
    <w:basedOn w:val="Normal"/>
    <w:link w:val="BoxTitleChar"/>
    <w:uiPriority w:val="8"/>
    <w:qFormat/>
    <w:rsid w:val="005B007A"/>
    <w:pPr>
      <w:spacing w:before="100" w:beforeAutospacing="1" w:after="80"/>
    </w:pPr>
    <w:rPr>
      <w:rFonts w:ascii="Metropolis" w:eastAsia="Metropolis" w:hAnsi="Metropolis" w:cs="Metropolis"/>
      <w:b/>
      <w:color w:val="FFFFFF"/>
      <w:sz w:val="19"/>
      <w:szCs w:val="19"/>
    </w:rPr>
  </w:style>
  <w:style w:type="character" w:customStyle="1" w:styleId="BoxTitleChar">
    <w:name w:val="Box Title Char"/>
    <w:basedOn w:val="DefaultParagraphFont"/>
    <w:link w:val="BoxTitle"/>
    <w:uiPriority w:val="8"/>
    <w:rsid w:val="005B007A"/>
    <w:rPr>
      <w:rFonts w:ascii="Metropolis" w:eastAsia="Metropolis" w:hAnsi="Metropolis" w:cs="Metropolis"/>
      <w:b/>
      <w:color w:val="FFFFFF"/>
      <w:sz w:val="19"/>
      <w:szCs w:val="19"/>
      <w:lang w:eastAsia="en-US"/>
    </w:rPr>
  </w:style>
  <w:style w:type="table" w:customStyle="1" w:styleId="LCReportTable1">
    <w:name w:val="LC Report Table1"/>
    <w:basedOn w:val="LCTableFinancial"/>
    <w:uiPriority w:val="99"/>
    <w:rsid w:val="005B007A"/>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Source Sans Pro" w:hAnsi="Source Sans Pro"/>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1111112">
    <w:name w:val="1 / 1.1 / 1.1.12"/>
    <w:basedOn w:val="NoList"/>
    <w:next w:val="111111"/>
    <w:semiHidden/>
    <w:rsid w:val="001D0E37"/>
  </w:style>
  <w:style w:type="numbering" w:customStyle="1" w:styleId="1ai2">
    <w:name w:val="1 / a / i2"/>
    <w:basedOn w:val="NoList"/>
    <w:next w:val="1ai"/>
    <w:semiHidden/>
    <w:rsid w:val="001D0E37"/>
  </w:style>
  <w:style w:type="numbering" w:customStyle="1" w:styleId="ArticleSection2">
    <w:name w:val="Article / Section2"/>
    <w:basedOn w:val="NoList"/>
    <w:next w:val="ArticleSection"/>
    <w:semiHidden/>
    <w:rsid w:val="001D0E37"/>
  </w:style>
  <w:style w:type="numbering" w:customStyle="1" w:styleId="Chapter14">
    <w:name w:val="Chapter14"/>
    <w:uiPriority w:val="99"/>
    <w:rsid w:val="000D4D59"/>
  </w:style>
  <w:style w:type="table" w:customStyle="1" w:styleId="LCReportTable2">
    <w:name w:val="LC Report Table2"/>
    <w:basedOn w:val="TableNormal"/>
    <w:uiPriority w:val="99"/>
    <w:rsid w:val="002E79C9"/>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Metropolis Semi Bold" w:hAnsi="Metropolis Semi Bold"/>
        <w:b/>
        <w:caps/>
        <w:smallCaps w:val="0"/>
        <w:color w:val="FFFFFF"/>
        <w:sz w:val="20"/>
      </w:rPr>
      <w:tblPr/>
      <w:tcPr>
        <w:shd w:val="clear" w:color="auto" w:fill="6BA539"/>
      </w:tcPr>
    </w:tblStylePr>
    <w:tblStylePr w:type="lastRow">
      <w:rPr>
        <w:b/>
      </w:rPr>
    </w:tblStylePr>
    <w:tblStylePr w:type="firstCol">
      <w:pPr>
        <w:wordWrap/>
        <w:jc w:val="left"/>
      </w:pPr>
    </w:tblStylePr>
  </w:style>
  <w:style w:type="table" w:customStyle="1" w:styleId="LCReportTable11">
    <w:name w:val="LC Report Table11"/>
    <w:basedOn w:val="LCTableFinancial"/>
    <w:uiPriority w:val="99"/>
    <w:rsid w:val="000D4D59"/>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Source Sans Pro" w:hAnsi="Source Sans Pro"/>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Chapter15">
    <w:name w:val="Chapter15"/>
    <w:uiPriority w:val="99"/>
    <w:rsid w:val="00950B59"/>
  </w:style>
  <w:style w:type="numbering" w:customStyle="1" w:styleId="1111113">
    <w:name w:val="1 / 1.1 / 1.1.13"/>
    <w:basedOn w:val="NoList"/>
    <w:next w:val="111111"/>
    <w:semiHidden/>
    <w:rsid w:val="005A0B9C"/>
  </w:style>
  <w:style w:type="numbering" w:customStyle="1" w:styleId="1ai3">
    <w:name w:val="1 / a / i3"/>
    <w:basedOn w:val="NoList"/>
    <w:next w:val="1ai"/>
    <w:semiHidden/>
    <w:rsid w:val="005A0B9C"/>
  </w:style>
  <w:style w:type="numbering" w:customStyle="1" w:styleId="ArticleSection3">
    <w:name w:val="Article / Section3"/>
    <w:basedOn w:val="NoList"/>
    <w:next w:val="ArticleSection"/>
    <w:semiHidden/>
    <w:rsid w:val="005A0B9C"/>
  </w:style>
  <w:style w:type="numbering" w:customStyle="1" w:styleId="Chapter16">
    <w:name w:val="Chapter16"/>
    <w:uiPriority w:val="99"/>
    <w:rsid w:val="005A0B9C"/>
  </w:style>
  <w:style w:type="numbering" w:customStyle="1" w:styleId="1111114">
    <w:name w:val="1 / 1.1 / 1.1.14"/>
    <w:basedOn w:val="NoList"/>
    <w:next w:val="111111"/>
    <w:semiHidden/>
    <w:rsid w:val="001F1AEC"/>
  </w:style>
  <w:style w:type="numbering" w:customStyle="1" w:styleId="1ai4">
    <w:name w:val="1 / a / i4"/>
    <w:basedOn w:val="NoList"/>
    <w:next w:val="1ai"/>
    <w:semiHidden/>
    <w:rsid w:val="001F1AEC"/>
  </w:style>
  <w:style w:type="numbering" w:customStyle="1" w:styleId="ArticleSection4">
    <w:name w:val="Article / Section4"/>
    <w:basedOn w:val="NoList"/>
    <w:next w:val="ArticleSection"/>
    <w:semiHidden/>
    <w:rsid w:val="001F1AEC"/>
  </w:style>
  <w:style w:type="numbering" w:customStyle="1" w:styleId="Chapter17">
    <w:name w:val="Chapter17"/>
    <w:uiPriority w:val="99"/>
    <w:rsid w:val="001F1AEC"/>
  </w:style>
  <w:style w:type="numbering" w:customStyle="1" w:styleId="1111115">
    <w:name w:val="1 / 1.1 / 1.1.15"/>
    <w:basedOn w:val="NoList"/>
    <w:next w:val="111111"/>
    <w:semiHidden/>
    <w:rsid w:val="00602AA6"/>
  </w:style>
  <w:style w:type="numbering" w:customStyle="1" w:styleId="1ai5">
    <w:name w:val="1 / a / i5"/>
    <w:basedOn w:val="NoList"/>
    <w:next w:val="1ai"/>
    <w:semiHidden/>
    <w:rsid w:val="00602AA6"/>
  </w:style>
  <w:style w:type="numbering" w:customStyle="1" w:styleId="ArticleSection5">
    <w:name w:val="Article / Section5"/>
    <w:basedOn w:val="NoList"/>
    <w:next w:val="ArticleSection"/>
    <w:semiHidden/>
    <w:rsid w:val="00602AA6"/>
  </w:style>
  <w:style w:type="numbering" w:customStyle="1" w:styleId="Chapter18">
    <w:name w:val="Chapter18"/>
    <w:uiPriority w:val="99"/>
    <w:rsid w:val="00602AA6"/>
  </w:style>
  <w:style w:type="numbering" w:customStyle="1" w:styleId="1111116">
    <w:name w:val="1 / 1.1 / 1.1.16"/>
    <w:basedOn w:val="NoList"/>
    <w:next w:val="111111"/>
    <w:semiHidden/>
    <w:rsid w:val="00602AA6"/>
  </w:style>
  <w:style w:type="numbering" w:customStyle="1" w:styleId="1ai6">
    <w:name w:val="1 / a / i6"/>
    <w:basedOn w:val="NoList"/>
    <w:next w:val="1ai"/>
    <w:semiHidden/>
    <w:rsid w:val="00602AA6"/>
  </w:style>
  <w:style w:type="numbering" w:customStyle="1" w:styleId="ArticleSection6">
    <w:name w:val="Article / Section6"/>
    <w:basedOn w:val="NoList"/>
    <w:next w:val="ArticleSection"/>
    <w:semiHidden/>
    <w:rsid w:val="00602AA6"/>
  </w:style>
  <w:style w:type="numbering" w:customStyle="1" w:styleId="Chapter19">
    <w:name w:val="Chapter19"/>
    <w:uiPriority w:val="99"/>
    <w:rsid w:val="00602AA6"/>
  </w:style>
  <w:style w:type="numbering" w:customStyle="1" w:styleId="1111117">
    <w:name w:val="1 / 1.1 / 1.1.17"/>
    <w:basedOn w:val="NoList"/>
    <w:next w:val="111111"/>
    <w:semiHidden/>
    <w:rsid w:val="000E7174"/>
  </w:style>
  <w:style w:type="numbering" w:customStyle="1" w:styleId="1ai7">
    <w:name w:val="1 / a / i7"/>
    <w:basedOn w:val="NoList"/>
    <w:next w:val="1ai"/>
    <w:semiHidden/>
    <w:rsid w:val="000E7174"/>
  </w:style>
  <w:style w:type="numbering" w:customStyle="1" w:styleId="ArticleSection7">
    <w:name w:val="Article / Section7"/>
    <w:basedOn w:val="NoList"/>
    <w:next w:val="ArticleSection"/>
    <w:semiHidden/>
    <w:rsid w:val="000E7174"/>
  </w:style>
  <w:style w:type="numbering" w:customStyle="1" w:styleId="Chapter110">
    <w:name w:val="Chapter110"/>
    <w:uiPriority w:val="99"/>
    <w:rsid w:val="000E7174"/>
  </w:style>
  <w:style w:type="numbering" w:customStyle="1" w:styleId="1111118">
    <w:name w:val="1 / 1.1 / 1.1.18"/>
    <w:basedOn w:val="NoList"/>
    <w:next w:val="111111"/>
    <w:semiHidden/>
    <w:rsid w:val="001A32FB"/>
  </w:style>
  <w:style w:type="numbering" w:customStyle="1" w:styleId="1ai8">
    <w:name w:val="1 / a / i8"/>
    <w:basedOn w:val="NoList"/>
    <w:next w:val="1ai"/>
    <w:semiHidden/>
    <w:rsid w:val="001A32FB"/>
  </w:style>
  <w:style w:type="numbering" w:customStyle="1" w:styleId="ArticleSection8">
    <w:name w:val="Article / Section8"/>
    <w:basedOn w:val="NoList"/>
    <w:next w:val="ArticleSection"/>
    <w:semiHidden/>
    <w:rsid w:val="001A32FB"/>
  </w:style>
  <w:style w:type="numbering" w:customStyle="1" w:styleId="Chapter111">
    <w:name w:val="Chapter111"/>
    <w:uiPriority w:val="99"/>
    <w:rsid w:val="001A32FB"/>
  </w:style>
  <w:style w:type="paragraph" w:customStyle="1" w:styleId="Normal0">
    <w:name w:val="[Normal]"/>
    <w:rsid w:val="001A32FB"/>
    <w:pPr>
      <w:widowControl w:val="0"/>
      <w:autoSpaceDE w:val="0"/>
      <w:autoSpaceDN w:val="0"/>
      <w:adjustRightInd w:val="0"/>
    </w:pPr>
    <w:rPr>
      <w:rFonts w:ascii="Arial" w:hAnsi="Arial" w:cs="Arial"/>
      <w:sz w:val="24"/>
      <w:szCs w:val="24"/>
      <w:lang w:eastAsia="en-AU" w:bidi="th-TH"/>
    </w:rPr>
  </w:style>
  <w:style w:type="paragraph" w:customStyle="1" w:styleId="ParaNumbering">
    <w:name w:val="ParaNumbering"/>
    <w:basedOn w:val="Normal"/>
    <w:rsid w:val="001A32FB"/>
    <w:pPr>
      <w:numPr>
        <w:numId w:val="27"/>
      </w:numPr>
      <w:spacing w:before="180" w:after="180"/>
      <w:jc w:val="both"/>
    </w:pPr>
    <w:rPr>
      <w:rFonts w:ascii="Times New Roman" w:eastAsia="Batang" w:hAnsi="Times New Roman"/>
      <w:sz w:val="24"/>
      <w:szCs w:val="20"/>
      <w:lang w:val="en-AU"/>
    </w:rPr>
  </w:style>
  <w:style w:type="paragraph" w:customStyle="1" w:styleId="sc-9a00e533-0">
    <w:name w:val="sc-9a00e533-0"/>
    <w:basedOn w:val="Normal"/>
    <w:rsid w:val="001A32FB"/>
    <w:pPr>
      <w:spacing w:before="100" w:beforeAutospacing="1" w:after="100" w:afterAutospacing="1" w:line="240" w:lineRule="auto"/>
    </w:pPr>
    <w:rPr>
      <w:rFonts w:ascii="Times New Roman" w:hAnsi="Times New Roman"/>
      <w:sz w:val="24"/>
      <w:lang w:eastAsia="zh-CN" w:bidi="th-TH"/>
    </w:rPr>
  </w:style>
  <w:style w:type="numbering" w:customStyle="1" w:styleId="1111119">
    <w:name w:val="1 / 1.1 / 1.1.19"/>
    <w:basedOn w:val="NoList"/>
    <w:next w:val="111111"/>
    <w:semiHidden/>
    <w:rsid w:val="00655D34"/>
  </w:style>
  <w:style w:type="numbering" w:customStyle="1" w:styleId="1ai9">
    <w:name w:val="1 / a / i9"/>
    <w:basedOn w:val="NoList"/>
    <w:next w:val="1ai"/>
    <w:semiHidden/>
    <w:rsid w:val="00655D34"/>
  </w:style>
  <w:style w:type="numbering" w:customStyle="1" w:styleId="ArticleSection9">
    <w:name w:val="Article / Section9"/>
    <w:basedOn w:val="NoList"/>
    <w:next w:val="ArticleSection"/>
    <w:semiHidden/>
    <w:rsid w:val="00655D34"/>
  </w:style>
  <w:style w:type="numbering" w:customStyle="1" w:styleId="Chapter112">
    <w:name w:val="Chapter112"/>
    <w:uiPriority w:val="99"/>
    <w:rsid w:val="00655D34"/>
  </w:style>
  <w:style w:type="numbering" w:customStyle="1" w:styleId="11111110">
    <w:name w:val="1 / 1.1 / 1.1.110"/>
    <w:basedOn w:val="NoList"/>
    <w:next w:val="111111"/>
    <w:semiHidden/>
    <w:rsid w:val="00696EEF"/>
  </w:style>
  <w:style w:type="numbering" w:customStyle="1" w:styleId="1ai10">
    <w:name w:val="1 / a / i10"/>
    <w:basedOn w:val="NoList"/>
    <w:next w:val="1ai"/>
    <w:semiHidden/>
    <w:rsid w:val="00696EEF"/>
  </w:style>
  <w:style w:type="numbering" w:customStyle="1" w:styleId="ArticleSection10">
    <w:name w:val="Article / Section10"/>
    <w:basedOn w:val="NoList"/>
    <w:next w:val="ArticleSection"/>
    <w:semiHidden/>
    <w:rsid w:val="00696EEF"/>
  </w:style>
  <w:style w:type="numbering" w:customStyle="1" w:styleId="Chapter113">
    <w:name w:val="Chapter113"/>
    <w:uiPriority w:val="99"/>
    <w:rsid w:val="00696EEF"/>
  </w:style>
  <w:style w:type="numbering" w:customStyle="1" w:styleId="11111111">
    <w:name w:val="1 / 1.1 / 1.1.111"/>
    <w:basedOn w:val="NoList"/>
    <w:next w:val="111111"/>
    <w:semiHidden/>
    <w:rsid w:val="00696EEF"/>
  </w:style>
  <w:style w:type="numbering" w:customStyle="1" w:styleId="1ai11">
    <w:name w:val="1 / a / i11"/>
    <w:basedOn w:val="NoList"/>
    <w:next w:val="1ai"/>
    <w:semiHidden/>
    <w:rsid w:val="00696EEF"/>
  </w:style>
  <w:style w:type="numbering" w:customStyle="1" w:styleId="ArticleSection11">
    <w:name w:val="Article / Section11"/>
    <w:basedOn w:val="NoList"/>
    <w:next w:val="ArticleSection"/>
    <w:semiHidden/>
    <w:rsid w:val="00696EEF"/>
  </w:style>
  <w:style w:type="numbering" w:customStyle="1" w:styleId="Chapter114">
    <w:name w:val="Chapter114"/>
    <w:uiPriority w:val="99"/>
    <w:rsid w:val="00696EEF"/>
  </w:style>
  <w:style w:type="numbering" w:customStyle="1" w:styleId="11111112">
    <w:name w:val="1 / 1.1 / 1.1.112"/>
    <w:basedOn w:val="NoList"/>
    <w:next w:val="111111"/>
    <w:semiHidden/>
    <w:rsid w:val="00696EEF"/>
  </w:style>
  <w:style w:type="numbering" w:customStyle="1" w:styleId="1ai12">
    <w:name w:val="1 / a / i12"/>
    <w:basedOn w:val="NoList"/>
    <w:next w:val="1ai"/>
    <w:semiHidden/>
    <w:rsid w:val="00696EEF"/>
  </w:style>
  <w:style w:type="numbering" w:customStyle="1" w:styleId="ArticleSection12">
    <w:name w:val="Article / Section12"/>
    <w:basedOn w:val="NoList"/>
    <w:next w:val="ArticleSection"/>
    <w:semiHidden/>
    <w:rsid w:val="00696EEF"/>
  </w:style>
  <w:style w:type="numbering" w:customStyle="1" w:styleId="Chapter115">
    <w:name w:val="Chapter115"/>
    <w:uiPriority w:val="99"/>
    <w:rsid w:val="00696EEF"/>
  </w:style>
  <w:style w:type="numbering" w:customStyle="1" w:styleId="11111113">
    <w:name w:val="1 / 1.1 / 1.1.113"/>
    <w:basedOn w:val="NoList"/>
    <w:next w:val="111111"/>
    <w:semiHidden/>
    <w:rsid w:val="00696EEF"/>
  </w:style>
  <w:style w:type="numbering" w:customStyle="1" w:styleId="1ai13">
    <w:name w:val="1 / a / i13"/>
    <w:basedOn w:val="NoList"/>
    <w:next w:val="1ai"/>
    <w:semiHidden/>
    <w:rsid w:val="00696EEF"/>
  </w:style>
  <w:style w:type="numbering" w:customStyle="1" w:styleId="ArticleSection13">
    <w:name w:val="Article / Section13"/>
    <w:basedOn w:val="NoList"/>
    <w:next w:val="ArticleSection"/>
    <w:semiHidden/>
    <w:rsid w:val="00696EEF"/>
  </w:style>
  <w:style w:type="numbering" w:customStyle="1" w:styleId="Chapter116">
    <w:name w:val="Chapter116"/>
    <w:uiPriority w:val="99"/>
    <w:rsid w:val="00696EEF"/>
  </w:style>
  <w:style w:type="numbering" w:customStyle="1" w:styleId="11111114">
    <w:name w:val="1 / 1.1 / 1.1.114"/>
    <w:basedOn w:val="NoList"/>
    <w:next w:val="111111"/>
    <w:semiHidden/>
    <w:rsid w:val="00696EEF"/>
  </w:style>
  <w:style w:type="numbering" w:customStyle="1" w:styleId="1ai14">
    <w:name w:val="1 / a / i14"/>
    <w:basedOn w:val="NoList"/>
    <w:next w:val="1ai"/>
    <w:semiHidden/>
    <w:rsid w:val="00696EEF"/>
  </w:style>
  <w:style w:type="numbering" w:customStyle="1" w:styleId="ArticleSection14">
    <w:name w:val="Article / Section14"/>
    <w:basedOn w:val="NoList"/>
    <w:next w:val="ArticleSection"/>
    <w:semiHidden/>
    <w:rsid w:val="00696EEF"/>
  </w:style>
  <w:style w:type="numbering" w:customStyle="1" w:styleId="Chapter117">
    <w:name w:val="Chapter117"/>
    <w:uiPriority w:val="99"/>
    <w:rsid w:val="00696EEF"/>
  </w:style>
  <w:style w:type="numbering" w:customStyle="1" w:styleId="11111115">
    <w:name w:val="1 / 1.1 / 1.1.115"/>
    <w:basedOn w:val="NoList"/>
    <w:next w:val="111111"/>
    <w:semiHidden/>
    <w:rsid w:val="00696EEF"/>
  </w:style>
  <w:style w:type="numbering" w:customStyle="1" w:styleId="1ai15">
    <w:name w:val="1 / a / i15"/>
    <w:basedOn w:val="NoList"/>
    <w:next w:val="1ai"/>
    <w:semiHidden/>
    <w:rsid w:val="00696EEF"/>
  </w:style>
  <w:style w:type="numbering" w:customStyle="1" w:styleId="ArticleSection15">
    <w:name w:val="Article / Section15"/>
    <w:basedOn w:val="NoList"/>
    <w:next w:val="ArticleSection"/>
    <w:semiHidden/>
    <w:rsid w:val="00696EEF"/>
  </w:style>
  <w:style w:type="numbering" w:customStyle="1" w:styleId="Chapter118">
    <w:name w:val="Chapter118"/>
    <w:uiPriority w:val="99"/>
    <w:rsid w:val="00696EEF"/>
  </w:style>
  <w:style w:type="numbering" w:customStyle="1" w:styleId="11111116">
    <w:name w:val="1 / 1.1 / 1.1.116"/>
    <w:basedOn w:val="NoList"/>
    <w:next w:val="111111"/>
    <w:semiHidden/>
    <w:rsid w:val="00696EEF"/>
  </w:style>
  <w:style w:type="numbering" w:customStyle="1" w:styleId="1ai16">
    <w:name w:val="1 / a / i16"/>
    <w:basedOn w:val="NoList"/>
    <w:next w:val="1ai"/>
    <w:semiHidden/>
    <w:rsid w:val="00696EEF"/>
  </w:style>
  <w:style w:type="numbering" w:customStyle="1" w:styleId="ArticleSection16">
    <w:name w:val="Article / Section16"/>
    <w:basedOn w:val="NoList"/>
    <w:next w:val="ArticleSection"/>
    <w:semiHidden/>
    <w:rsid w:val="00696EEF"/>
  </w:style>
  <w:style w:type="numbering" w:customStyle="1" w:styleId="Chapter119">
    <w:name w:val="Chapter119"/>
    <w:uiPriority w:val="99"/>
    <w:rsid w:val="00696EEF"/>
    <w:pPr>
      <w:numPr>
        <w:numId w:val="16"/>
      </w:numPr>
    </w:pPr>
  </w:style>
  <w:style w:type="table" w:customStyle="1" w:styleId="LCTable3">
    <w:name w:val="LC Table3"/>
    <w:basedOn w:val="TableNormal"/>
    <w:uiPriority w:val="99"/>
    <w:rsid w:val="00696EEF"/>
    <w:pPr>
      <w:spacing w:before="60" w:after="60" w:line="260" w:lineRule="atLeast"/>
    </w:pPr>
    <w:rPr>
      <w:rFonts w:ascii="Calibri" w:hAnsi="Calibri"/>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numbering" w:customStyle="1" w:styleId="Chapter123">
    <w:name w:val="Chapter123"/>
    <w:uiPriority w:val="99"/>
    <w:rsid w:val="005C1E7E"/>
  </w:style>
  <w:style w:type="numbering" w:customStyle="1" w:styleId="11111117">
    <w:name w:val="1 / 1.1 / 1.1.117"/>
    <w:basedOn w:val="NoList"/>
    <w:next w:val="111111"/>
    <w:semiHidden/>
    <w:rsid w:val="00135A08"/>
  </w:style>
  <w:style w:type="numbering" w:customStyle="1" w:styleId="1ai17">
    <w:name w:val="1 / a / i17"/>
    <w:basedOn w:val="NoList"/>
    <w:next w:val="1ai"/>
    <w:semiHidden/>
    <w:rsid w:val="00135A08"/>
  </w:style>
  <w:style w:type="numbering" w:customStyle="1" w:styleId="ArticleSection17">
    <w:name w:val="Article / Section17"/>
    <w:basedOn w:val="NoList"/>
    <w:next w:val="ArticleSection"/>
    <w:semiHidden/>
    <w:rsid w:val="00135A08"/>
  </w:style>
  <w:style w:type="numbering" w:customStyle="1" w:styleId="Chapter120">
    <w:name w:val="Chapter120"/>
    <w:uiPriority w:val="99"/>
    <w:rsid w:val="00135A08"/>
  </w:style>
  <w:style w:type="numbering" w:customStyle="1" w:styleId="11111118">
    <w:name w:val="1 / 1.1 / 1.1.118"/>
    <w:basedOn w:val="NoList"/>
    <w:next w:val="111111"/>
    <w:semiHidden/>
    <w:rsid w:val="00135A08"/>
  </w:style>
  <w:style w:type="numbering" w:customStyle="1" w:styleId="1ai18">
    <w:name w:val="1 / a / i18"/>
    <w:basedOn w:val="NoList"/>
    <w:next w:val="1ai"/>
    <w:semiHidden/>
    <w:rsid w:val="00135A08"/>
  </w:style>
  <w:style w:type="numbering" w:customStyle="1" w:styleId="ArticleSection18">
    <w:name w:val="Article / Section18"/>
    <w:basedOn w:val="NoList"/>
    <w:next w:val="ArticleSection"/>
    <w:semiHidden/>
    <w:rsid w:val="00135A08"/>
  </w:style>
  <w:style w:type="numbering" w:customStyle="1" w:styleId="Chapter121">
    <w:name w:val="Chapter121"/>
    <w:uiPriority w:val="99"/>
    <w:rsid w:val="00135A08"/>
  </w:style>
  <w:style w:type="numbering" w:customStyle="1" w:styleId="11111119">
    <w:name w:val="1 / 1.1 / 1.1.119"/>
    <w:basedOn w:val="NoList"/>
    <w:next w:val="111111"/>
    <w:semiHidden/>
    <w:rsid w:val="00135A08"/>
  </w:style>
  <w:style w:type="numbering" w:customStyle="1" w:styleId="1ai19">
    <w:name w:val="1 / a / i19"/>
    <w:basedOn w:val="NoList"/>
    <w:next w:val="1ai"/>
    <w:semiHidden/>
    <w:rsid w:val="00135A08"/>
  </w:style>
  <w:style w:type="numbering" w:customStyle="1" w:styleId="ArticleSection19">
    <w:name w:val="Article / Section19"/>
    <w:basedOn w:val="NoList"/>
    <w:next w:val="ArticleSection"/>
    <w:semiHidden/>
    <w:rsid w:val="00135A08"/>
  </w:style>
  <w:style w:type="numbering" w:customStyle="1" w:styleId="Chapter122">
    <w:name w:val="Chapter122"/>
    <w:uiPriority w:val="99"/>
    <w:rsid w:val="00135A08"/>
  </w:style>
  <w:style w:type="numbering" w:customStyle="1" w:styleId="11111120">
    <w:name w:val="1 / 1.1 / 1.1.120"/>
    <w:basedOn w:val="NoList"/>
    <w:next w:val="111111"/>
    <w:semiHidden/>
    <w:rsid w:val="00135A08"/>
  </w:style>
  <w:style w:type="numbering" w:customStyle="1" w:styleId="1ai20">
    <w:name w:val="1 / a / i20"/>
    <w:basedOn w:val="NoList"/>
    <w:next w:val="1ai"/>
    <w:semiHidden/>
    <w:rsid w:val="00135A08"/>
  </w:style>
  <w:style w:type="numbering" w:customStyle="1" w:styleId="ArticleSection20">
    <w:name w:val="Article / Section20"/>
    <w:basedOn w:val="NoList"/>
    <w:next w:val="ArticleSection"/>
    <w:semiHidden/>
    <w:rsid w:val="00135A08"/>
  </w:style>
  <w:style w:type="paragraph" w:customStyle="1" w:styleId="pf1">
    <w:name w:val="pf1"/>
    <w:basedOn w:val="Normal"/>
    <w:rsid w:val="00DD5158"/>
    <w:pPr>
      <w:spacing w:before="100" w:beforeAutospacing="1" w:after="100" w:afterAutospacing="1" w:line="240" w:lineRule="auto"/>
      <w:ind w:left="300"/>
    </w:pPr>
    <w:rPr>
      <w:rFonts w:ascii="Times New Roman" w:hAnsi="Times New Roman"/>
      <w:sz w:val="24"/>
      <w:lang w:eastAsia="zh-CN" w:bidi="th-TH"/>
    </w:rPr>
  </w:style>
  <w:style w:type="paragraph" w:customStyle="1" w:styleId="Encl">
    <w:name w:val="Encl"/>
    <w:basedOn w:val="NormalIndent"/>
    <w:rsid w:val="00F717CC"/>
    <w:pPr>
      <w:tabs>
        <w:tab w:val="left" w:pos="567"/>
        <w:tab w:val="left" w:pos="1134"/>
        <w:tab w:val="left" w:pos="1701"/>
        <w:tab w:val="left" w:pos="2268"/>
      </w:tabs>
      <w:ind w:left="0"/>
      <w:jc w:val="both"/>
    </w:pPr>
    <w:rPr>
      <w:rFonts w:ascii="Times New Roman Mäori" w:hAnsi="Times New Roman Mäori"/>
      <w:szCs w:val="20"/>
      <w:lang w:val="en-GB"/>
    </w:rPr>
  </w:style>
  <w:style w:type="character" w:customStyle="1" w:styleId="Emphasis1">
    <w:name w:val="Emphasis1"/>
    <w:basedOn w:val="DefaultParagraphFont"/>
    <w:rsid w:val="00F717CC"/>
  </w:style>
  <w:style w:type="character" w:customStyle="1" w:styleId="Emphasis2">
    <w:name w:val="Emphasis2"/>
    <w:basedOn w:val="DefaultParagraphFont"/>
    <w:rsid w:val="00F717CC"/>
  </w:style>
  <w:style w:type="character" w:customStyle="1" w:styleId="Emphasis3">
    <w:name w:val="Emphasis3"/>
    <w:basedOn w:val="DefaultParagraphFont"/>
    <w:rsid w:val="00F717CC"/>
  </w:style>
  <w:style w:type="character" w:customStyle="1" w:styleId="Emphasis4">
    <w:name w:val="Emphasis4"/>
    <w:basedOn w:val="DefaultParagraphFont"/>
    <w:rsid w:val="00F717CC"/>
  </w:style>
  <w:style w:type="character" w:customStyle="1" w:styleId="QuestionTextChar">
    <w:name w:val="Question Text Char"/>
    <w:basedOn w:val="RecommendationTextChar"/>
    <w:link w:val="QuestionText"/>
    <w:uiPriority w:val="16"/>
    <w:rsid w:val="00F717CC"/>
    <w:rPr>
      <w:rFonts w:ascii="Metropolis Light" w:hAnsi="Metropolis Light"/>
      <w:shd w:val="clear" w:color="auto" w:fill="AACDDA"/>
      <w:lang w:val="en-US" w:eastAsia="en-AU"/>
    </w:rPr>
  </w:style>
  <w:style w:type="character" w:customStyle="1" w:styleId="CorpsdetexteCar">
    <w:name w:val="Corps de texte Car"/>
    <w:basedOn w:val="DefaultParagraphFont"/>
    <w:rsid w:val="00F717CC"/>
    <w:rPr>
      <w:rFonts w:ascii="Metropolis Light" w:hAnsi="Metropolis Light"/>
      <w:color w:val="000000" w:themeColor="text1"/>
      <w:sz w:val="20"/>
      <w:lang w:val="en-NZ"/>
    </w:rPr>
  </w:style>
  <w:style w:type="table" w:styleId="PlainTable1">
    <w:name w:val="Plain Table 1"/>
    <w:basedOn w:val="TableNormal"/>
    <w:uiPriority w:val="41"/>
    <w:rsid w:val="00F717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F717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BodyText">
    <w:name w:val="a. Body Text"/>
    <w:basedOn w:val="Numberedpara"/>
    <w:link w:val="aBodyTextChar"/>
    <w:qFormat/>
    <w:rsid w:val="00F717CC"/>
    <w:pPr>
      <w:numPr>
        <w:numId w:val="0"/>
      </w:numPr>
      <w:tabs>
        <w:tab w:val="num" w:pos="1134"/>
      </w:tabs>
      <w:spacing w:before="80" w:after="80"/>
      <w:ind w:left="1134" w:hanging="567"/>
    </w:pPr>
    <w:rPr>
      <w:rFonts w:eastAsiaTheme="minorEastAsia"/>
      <w:color w:val="000000" w:themeColor="text1"/>
      <w:szCs w:val="30"/>
      <w:lang w:eastAsia="zh-CN" w:bidi="th-TH"/>
    </w:rPr>
  </w:style>
  <w:style w:type="character" w:customStyle="1" w:styleId="aBodyTextChar">
    <w:name w:val="a. Body Text Char"/>
    <w:basedOn w:val="NumberedparaChar"/>
    <w:link w:val="aBodyText"/>
    <w:rsid w:val="00F717CC"/>
    <w:rPr>
      <w:rFonts w:ascii="Metropolis Light" w:eastAsiaTheme="minorEastAsia" w:hAnsi="Metropolis Light" w:cstheme="minorBidi"/>
      <w:color w:val="000000" w:themeColor="text1"/>
      <w:kern w:val="2"/>
      <w:szCs w:val="30"/>
      <w:lang w:eastAsia="zh-CN" w:bidi="th-TH"/>
      <w14:ligatures w14:val="standardContextual"/>
    </w:rPr>
  </w:style>
  <w:style w:type="paragraph" w:styleId="BodyText2">
    <w:name w:val="Body Text 2"/>
    <w:link w:val="BodyText2Char"/>
    <w:uiPriority w:val="1"/>
    <w:qFormat/>
    <w:rsid w:val="001C0EF4"/>
    <w:pPr>
      <w:numPr>
        <w:ilvl w:val="3"/>
        <w:numId w:val="20"/>
      </w:numPr>
      <w:spacing w:before="80" w:after="80" w:line="360" w:lineRule="auto"/>
      <w:jc w:val="both"/>
    </w:pPr>
    <w:rPr>
      <w:rFonts w:ascii="Calibri Light" w:hAnsi="Calibri Light"/>
      <w:sz w:val="22"/>
      <w:szCs w:val="24"/>
      <w:lang w:eastAsia="en-AU"/>
    </w:rPr>
  </w:style>
  <w:style w:type="character" w:customStyle="1" w:styleId="BodyText2Char">
    <w:name w:val="Body Text 2 Char"/>
    <w:basedOn w:val="DefaultParagraphFont"/>
    <w:link w:val="BodyText2"/>
    <w:uiPriority w:val="1"/>
    <w:rPr>
      <w:rFonts w:ascii="Calibri Light" w:hAnsi="Calibri Light"/>
      <w:sz w:val="22"/>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199170092">
      <w:bodyDiv w:val="1"/>
      <w:marLeft w:val="0"/>
      <w:marRight w:val="0"/>
      <w:marTop w:val="0"/>
      <w:marBottom w:val="0"/>
      <w:divBdr>
        <w:top w:val="none" w:sz="0" w:space="0" w:color="auto"/>
        <w:left w:val="none" w:sz="0" w:space="0" w:color="auto"/>
        <w:bottom w:val="none" w:sz="0" w:space="0" w:color="auto"/>
        <w:right w:val="none" w:sz="0" w:space="0" w:color="auto"/>
      </w:divBdr>
    </w:div>
    <w:div w:id="205803590">
      <w:bodyDiv w:val="1"/>
      <w:marLeft w:val="0"/>
      <w:marRight w:val="0"/>
      <w:marTop w:val="0"/>
      <w:marBottom w:val="0"/>
      <w:divBdr>
        <w:top w:val="none" w:sz="0" w:space="0" w:color="auto"/>
        <w:left w:val="none" w:sz="0" w:space="0" w:color="auto"/>
        <w:bottom w:val="none" w:sz="0" w:space="0" w:color="auto"/>
        <w:right w:val="none" w:sz="0" w:space="0" w:color="auto"/>
      </w:divBdr>
    </w:div>
    <w:div w:id="215435761">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117904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52209104">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1285164">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56864599">
      <w:bodyDiv w:val="1"/>
      <w:marLeft w:val="0"/>
      <w:marRight w:val="0"/>
      <w:marTop w:val="0"/>
      <w:marBottom w:val="0"/>
      <w:divBdr>
        <w:top w:val="none" w:sz="0" w:space="0" w:color="auto"/>
        <w:left w:val="none" w:sz="0" w:space="0" w:color="auto"/>
        <w:bottom w:val="none" w:sz="0" w:space="0" w:color="auto"/>
        <w:right w:val="none" w:sz="0" w:space="0" w:color="auto"/>
      </w:divBdr>
      <w:divsChild>
        <w:div w:id="436674963">
          <w:marLeft w:val="0"/>
          <w:marRight w:val="0"/>
          <w:marTop w:val="83"/>
          <w:marBottom w:val="0"/>
          <w:divBdr>
            <w:top w:val="none" w:sz="0" w:space="0" w:color="auto"/>
            <w:left w:val="none" w:sz="0" w:space="0" w:color="auto"/>
            <w:bottom w:val="none" w:sz="0" w:space="0" w:color="auto"/>
            <w:right w:val="none" w:sz="0" w:space="0" w:color="auto"/>
          </w:divBdr>
        </w:div>
        <w:div w:id="2140218992">
          <w:marLeft w:val="0"/>
          <w:marRight w:val="0"/>
          <w:marTop w:val="83"/>
          <w:marBottom w:val="0"/>
          <w:divBdr>
            <w:top w:val="none" w:sz="0" w:space="0" w:color="auto"/>
            <w:left w:val="none" w:sz="0" w:space="0" w:color="auto"/>
            <w:bottom w:val="none" w:sz="0" w:space="0" w:color="auto"/>
            <w:right w:val="none" w:sz="0" w:space="0" w:color="auto"/>
          </w:divBdr>
        </w:div>
      </w:divsChild>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80930243">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10418703">
      <w:bodyDiv w:val="1"/>
      <w:marLeft w:val="0"/>
      <w:marRight w:val="0"/>
      <w:marTop w:val="0"/>
      <w:marBottom w:val="0"/>
      <w:divBdr>
        <w:top w:val="none" w:sz="0" w:space="0" w:color="auto"/>
        <w:left w:val="none" w:sz="0" w:space="0" w:color="auto"/>
        <w:bottom w:val="none" w:sz="0" w:space="0" w:color="auto"/>
        <w:right w:val="none" w:sz="0" w:space="0" w:color="auto"/>
      </w:divBdr>
    </w:div>
    <w:div w:id="714431898">
      <w:bodyDiv w:val="1"/>
      <w:marLeft w:val="0"/>
      <w:marRight w:val="0"/>
      <w:marTop w:val="0"/>
      <w:marBottom w:val="0"/>
      <w:divBdr>
        <w:top w:val="none" w:sz="0" w:space="0" w:color="auto"/>
        <w:left w:val="none" w:sz="0" w:space="0" w:color="auto"/>
        <w:bottom w:val="none" w:sz="0" w:space="0" w:color="auto"/>
        <w:right w:val="none" w:sz="0" w:space="0" w:color="auto"/>
      </w:divBdr>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780298630">
      <w:bodyDiv w:val="1"/>
      <w:marLeft w:val="0"/>
      <w:marRight w:val="0"/>
      <w:marTop w:val="0"/>
      <w:marBottom w:val="0"/>
      <w:divBdr>
        <w:top w:val="none" w:sz="0" w:space="0" w:color="auto"/>
        <w:left w:val="none" w:sz="0" w:space="0" w:color="auto"/>
        <w:bottom w:val="none" w:sz="0" w:space="0" w:color="auto"/>
        <w:right w:val="none" w:sz="0" w:space="0" w:color="auto"/>
      </w:divBdr>
    </w:div>
    <w:div w:id="798377065">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51410195">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892430622">
      <w:bodyDiv w:val="1"/>
      <w:marLeft w:val="0"/>
      <w:marRight w:val="0"/>
      <w:marTop w:val="0"/>
      <w:marBottom w:val="0"/>
      <w:divBdr>
        <w:top w:val="none" w:sz="0" w:space="0" w:color="auto"/>
        <w:left w:val="none" w:sz="0" w:space="0" w:color="auto"/>
        <w:bottom w:val="none" w:sz="0" w:space="0" w:color="auto"/>
        <w:right w:val="none" w:sz="0" w:space="0" w:color="auto"/>
      </w:divBdr>
    </w:div>
    <w:div w:id="894508787">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57906523">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71543443">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27312750">
      <w:bodyDiv w:val="1"/>
      <w:marLeft w:val="0"/>
      <w:marRight w:val="0"/>
      <w:marTop w:val="0"/>
      <w:marBottom w:val="0"/>
      <w:divBdr>
        <w:top w:val="none" w:sz="0" w:space="0" w:color="auto"/>
        <w:left w:val="none" w:sz="0" w:space="0" w:color="auto"/>
        <w:bottom w:val="none" w:sz="0" w:space="0" w:color="auto"/>
        <w:right w:val="none" w:sz="0" w:space="0" w:color="auto"/>
      </w:divBdr>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174950443">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272677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2000242">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67579057">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5092179">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46888721">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1994941414">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25091016">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72656330">
      <w:bodyDiv w:val="1"/>
      <w:marLeft w:val="0"/>
      <w:marRight w:val="0"/>
      <w:marTop w:val="0"/>
      <w:marBottom w:val="0"/>
      <w:divBdr>
        <w:top w:val="none" w:sz="0" w:space="0" w:color="auto"/>
        <w:left w:val="none" w:sz="0" w:space="0" w:color="auto"/>
        <w:bottom w:val="none" w:sz="0" w:space="0" w:color="auto"/>
        <w:right w:val="none" w:sz="0" w:space="0" w:color="auto"/>
      </w:divBdr>
      <w:divsChild>
        <w:div w:id="1900440126">
          <w:marLeft w:val="0"/>
          <w:marRight w:val="0"/>
          <w:marTop w:val="83"/>
          <w:marBottom w:val="0"/>
          <w:divBdr>
            <w:top w:val="none" w:sz="0" w:space="0" w:color="auto"/>
            <w:left w:val="none" w:sz="0" w:space="0" w:color="auto"/>
            <w:bottom w:val="none" w:sz="0" w:space="0" w:color="auto"/>
            <w:right w:val="none" w:sz="0" w:space="0" w:color="auto"/>
          </w:divBdr>
        </w:div>
        <w:div w:id="1952735345">
          <w:marLeft w:val="0"/>
          <w:marRight w:val="0"/>
          <w:marTop w:val="83"/>
          <w:marBottom w:val="0"/>
          <w:divBdr>
            <w:top w:val="none" w:sz="0" w:space="0" w:color="auto"/>
            <w:left w:val="none" w:sz="0" w:space="0" w:color="auto"/>
            <w:bottom w:val="none" w:sz="0" w:space="0" w:color="auto"/>
            <w:right w:val="none" w:sz="0" w:space="0" w:color="auto"/>
          </w:divBdr>
        </w:div>
      </w:divsChild>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14.xml"/><Relationship Id="rId21" Type="http://schemas.openxmlformats.org/officeDocument/2006/relationships/image" Target="media/image4.png"/><Relationship Id="rId34" Type="http://schemas.openxmlformats.org/officeDocument/2006/relationships/header" Target="header9.xml"/><Relationship Id="rId42" Type="http://schemas.openxmlformats.org/officeDocument/2006/relationships/header" Target="header17.xml"/><Relationship Id="rId47" Type="http://schemas.openxmlformats.org/officeDocument/2006/relationships/header" Target="header22.xml"/><Relationship Id="rId50" Type="http://schemas.openxmlformats.org/officeDocument/2006/relationships/header" Target="header25.xml"/><Relationship Id="rId55" Type="http://schemas.openxmlformats.org/officeDocument/2006/relationships/header" Target="header29.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footer" Target="footer4.xml"/><Relationship Id="rId58" Type="http://schemas.openxmlformats.org/officeDocument/2006/relationships/header" Target="header32.xml"/><Relationship Id="rId5" Type="http://schemas.openxmlformats.org/officeDocument/2006/relationships/customXml" Target="../customXml/item5.xml"/><Relationship Id="rId61" Type="http://schemas.openxmlformats.org/officeDocument/2006/relationships/header" Target="header34.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yperlink" Target="http://www.lawcom.govt.nz"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header" Target="header21.xml"/><Relationship Id="rId59" Type="http://schemas.openxmlformats.org/officeDocument/2006/relationships/header" Target="header33.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8.xml"/><Relationship Id="rId62"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creativecommons.org/licenses/by/4.0/" TargetMode="External"/><Relationship Id="rId28" Type="http://schemas.openxmlformats.org/officeDocument/2006/relationships/image" Target="media/image7.png"/><Relationship Id="rId36" Type="http://schemas.openxmlformats.org/officeDocument/2006/relationships/header" Target="header11.xml"/><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eader" Target="header19.xml"/><Relationship Id="rId52" Type="http://schemas.openxmlformats.org/officeDocument/2006/relationships/header" Target="header27.xml"/><Relationship Id="rId60"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Final%20Report%20-%20Chapter%20-%20Template.docx"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EFJMHPFX6CZM-1600631141-231</_dlc_DocId>
    <_dlc_DocIdUrl xmlns="a85b4a20-75c1-47a1-b80d-c24888539def">
      <Url>https://lawcomnz.sharepoint.com/Projects/HCR/_layouts/15/DocIdRedir.aspx?ID=EFJMHPFX6CZM-1600631141-231</Url>
      <Description>EFJMHPFX6CZM-1600631141-231</Description>
    </_dlc_DocIdUrl>
    <TaxCatchAll xmlns="a85b4a20-75c1-47a1-b80d-c24888539def" xsi:nil="true"/>
    <SharedWithUsers xmlns="67c9f9d7-4c07-4d4c-a121-f7dcc0010109">
      <UserInfo>
        <DisplayName>Helen McQueen</DisplayName>
        <AccountId>68</AccountId>
        <AccountType/>
      </UserInfo>
      <UserInfo>
        <DisplayName>Dena Valente</DisplayName>
        <AccountId>5606</AccountId>
        <AccountType/>
      </UserInfo>
      <UserInfo>
        <DisplayName>Duke Nguyen</DisplayName>
        <AccountId>41</AccountId>
        <AccountType/>
      </UserInfo>
      <UserInfo>
        <DisplayName>Ruth Campbell</DisplayName>
        <AccountId>6210</AccountId>
        <AccountType/>
      </UserInfo>
      <UserInfo>
        <DisplayName>Amokura Kawharu</DisplayName>
        <AccountId>2891</AccountId>
        <AccountType/>
      </UserInfo>
      <UserInfo>
        <DisplayName>George Curzon-Hobson</DisplayName>
        <AccountId>6770</AccountId>
        <AccountType/>
      </UserInfo>
    </SharedWithUsers>
    <Document_x0020_Type xmlns="A35D336E-330D-427F-985C-48FEE9AA6870">Full publication</Document_x0020_Type>
    <To_x002d_Address xmlns="A35D336E-330D-427F-985C-48FEE9AA6870" xsi:nil="true"/>
    <Sent xmlns="A35D336E-330D-427F-985C-48FEE9AA6870" xsi:nil="true"/>
    <From xmlns="A35D336E-330D-427F-985C-48FEE9AA6870" xsi:nil="true"/>
    <Description0 xmlns="A35D336E-330D-427F-985C-48FEE9AA6870" xsi:nil="true"/>
    <Publication_x0020_Type xmlns="A35D336E-330D-427F-985C-48FEE9AA6870">Report</Publication_x0020_Type>
    <Topic xmlns="A35D336E-330D-427F-985C-48FEE9AA6870">Writing</Topic>
    <To xmlns="A35D336E-330D-427F-985C-48FEE9AA6870" xsi:nil="true"/>
    <From_x002d_Address xmlns="A35D336E-330D-427F-985C-48FEE9AA6870" xsi:nil="true"/>
    <lcf76f155ced4ddcb4097134ff3c332f xmlns="a35d336e-330d-427f-985c-48fee9aa68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723BBDD80EAD479C8AFDFEFB6DD920" ma:contentTypeVersion="6" ma:contentTypeDescription="Create a new document." ma:contentTypeScope="" ma:versionID="5c54a1b749f3bc1554809e5ff1a40cab">
  <xsd:schema xmlns:xsd="http://www.w3.org/2001/XMLSchema" xmlns:xs="http://www.w3.org/2001/XMLSchema" xmlns:p="http://schemas.microsoft.com/office/2006/metadata/properties" xmlns:ns2="a85b4a20-75c1-47a1-b80d-c24888539def" xmlns:ns3="A35D336E-330D-427F-985C-48FEE9AA6870" xmlns:ns4="67c9f9d7-4c07-4d4c-a121-f7dcc0010109" xmlns:ns5="8aef46b2-e9f9-4668-ba1f-6f3688fcd530" xmlns:ns6="a35d336e-330d-427f-985c-48fee9aa6870" targetNamespace="http://schemas.microsoft.com/office/2006/metadata/properties" ma:root="true" ma:fieldsID="406ec4f608bd3b6b91d367a177f3de0a" ns2:_="" ns3:_="" ns4:_="" ns5:_="" ns6:_="">
    <xsd:import namespace="a85b4a20-75c1-47a1-b80d-c24888539def"/>
    <xsd:import namespace="A35D336E-330D-427F-985C-48FEE9AA6870"/>
    <xsd:import namespace="67c9f9d7-4c07-4d4c-a121-f7dcc0010109"/>
    <xsd:import namespace="8aef46b2-e9f9-4668-ba1f-6f3688fcd530"/>
    <xsd:import namespace="a35d336e-330d-427f-985c-48fee9aa6870"/>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5: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6:MediaServiceObjectDetectorVersions" minOccurs="0"/>
                <xsd:element ref="ns6:MediaLengthInSeconds" minOccurs="0"/>
                <xsd:element ref="ns6:lcf76f155ced4ddcb4097134ff3c332f" minOccurs="0"/>
                <xsd:element ref="ns6:MediaServiceDateTaken"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5D336E-330D-427F-985C-48FEE9AA6870"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9f9d7-4c07-4d4c-a121-f7dcc0010109"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d336e-330d-427f-985c-48fee9aa6870"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a1488460-7e13-4933-b166-accf7d6b7021"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FAB39-9DEA-468A-8C48-CD2077569EC1}">
  <ds:schemaRefs>
    <ds:schemaRef ds:uri="http://schemas.microsoft.com/office/2006/metadata/properties"/>
    <ds:schemaRef ds:uri="http://schemas.microsoft.com/office/infopath/2007/PartnerControls"/>
    <ds:schemaRef ds:uri="a85b4a20-75c1-47a1-b80d-c24888539def"/>
    <ds:schemaRef ds:uri="67c9f9d7-4c07-4d4c-a121-f7dcc0010109"/>
    <ds:schemaRef ds:uri="A35D336E-330D-427F-985C-48FEE9AA6870"/>
    <ds:schemaRef ds:uri="a35d336e-330d-427f-985c-48fee9aa6870"/>
  </ds:schemaRefs>
</ds:datastoreItem>
</file>

<file path=customXml/itemProps2.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3.xml><?xml version="1.0" encoding="utf-8"?>
<ds:datastoreItem xmlns:ds="http://schemas.openxmlformats.org/officeDocument/2006/customXml" ds:itemID="{59C34B8E-8719-45AB-97D2-677D89185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A35D336E-330D-427F-985C-48FEE9AA6870"/>
    <ds:schemaRef ds:uri="67c9f9d7-4c07-4d4c-a121-f7dcc0010109"/>
    <ds:schemaRef ds:uri="8aef46b2-e9f9-4668-ba1f-6f3688fcd530"/>
    <ds:schemaRef ds:uri="a35d336e-330d-427f-985c-48fee9aa6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5.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Final%20Report%20-%20Chapter%20-%20Template.docx</Template>
  <TotalTime>3002</TotalTime>
  <Pages>6</Pages>
  <Words>64045</Words>
  <Characters>365060</Characters>
  <Application>Microsoft Office Word</Application>
  <DocSecurity>2</DocSecurity>
  <Lines>3042</Lines>
  <Paragraphs>856</Paragraphs>
  <ScaleCrop>false</ScaleCrop>
  <HeadingPairs>
    <vt:vector size="2" baseType="variant">
      <vt:variant>
        <vt:lpstr>Title</vt:lpstr>
      </vt:variant>
      <vt:variant>
        <vt:i4>1</vt:i4>
      </vt:variant>
    </vt:vector>
  </HeadingPairs>
  <TitlesOfParts>
    <vt:vector size="1" baseType="lpstr">
      <vt:lpstr>NZLC-R152</vt:lpstr>
    </vt:vector>
  </TitlesOfParts>
  <Company/>
  <LinksUpToDate>false</LinksUpToDate>
  <CharactersWithSpaces>428249</CharactersWithSpaces>
  <SharedDoc>false</SharedDoc>
  <HLinks>
    <vt:vector size="402" baseType="variant">
      <vt:variant>
        <vt:i4>1048637</vt:i4>
      </vt:variant>
      <vt:variant>
        <vt:i4>389</vt:i4>
      </vt:variant>
      <vt:variant>
        <vt:i4>0</vt:i4>
      </vt:variant>
      <vt:variant>
        <vt:i4>5</vt:i4>
      </vt:variant>
      <vt:variant>
        <vt:lpwstr/>
      </vt:variant>
      <vt:variant>
        <vt:lpwstr>_Toc231467878</vt:lpwstr>
      </vt:variant>
      <vt:variant>
        <vt:i4>1048637</vt:i4>
      </vt:variant>
      <vt:variant>
        <vt:i4>383</vt:i4>
      </vt:variant>
      <vt:variant>
        <vt:i4>0</vt:i4>
      </vt:variant>
      <vt:variant>
        <vt:i4>5</vt:i4>
      </vt:variant>
      <vt:variant>
        <vt:lpwstr/>
      </vt:variant>
      <vt:variant>
        <vt:lpwstr>_Toc231467875</vt:lpwstr>
      </vt:variant>
      <vt:variant>
        <vt:i4>1048637</vt:i4>
      </vt:variant>
      <vt:variant>
        <vt:i4>377</vt:i4>
      </vt:variant>
      <vt:variant>
        <vt:i4>0</vt:i4>
      </vt:variant>
      <vt:variant>
        <vt:i4>5</vt:i4>
      </vt:variant>
      <vt:variant>
        <vt:lpwstr/>
      </vt:variant>
      <vt:variant>
        <vt:lpwstr>_Toc231467870</vt:lpwstr>
      </vt:variant>
      <vt:variant>
        <vt:i4>1114173</vt:i4>
      </vt:variant>
      <vt:variant>
        <vt:i4>371</vt:i4>
      </vt:variant>
      <vt:variant>
        <vt:i4>0</vt:i4>
      </vt:variant>
      <vt:variant>
        <vt:i4>5</vt:i4>
      </vt:variant>
      <vt:variant>
        <vt:lpwstr/>
      </vt:variant>
      <vt:variant>
        <vt:lpwstr>_Toc231467869</vt:lpwstr>
      </vt:variant>
      <vt:variant>
        <vt:i4>1114173</vt:i4>
      </vt:variant>
      <vt:variant>
        <vt:i4>365</vt:i4>
      </vt:variant>
      <vt:variant>
        <vt:i4>0</vt:i4>
      </vt:variant>
      <vt:variant>
        <vt:i4>5</vt:i4>
      </vt:variant>
      <vt:variant>
        <vt:lpwstr/>
      </vt:variant>
      <vt:variant>
        <vt:lpwstr>_Toc231467868</vt:lpwstr>
      </vt:variant>
      <vt:variant>
        <vt:i4>1114173</vt:i4>
      </vt:variant>
      <vt:variant>
        <vt:i4>359</vt:i4>
      </vt:variant>
      <vt:variant>
        <vt:i4>0</vt:i4>
      </vt:variant>
      <vt:variant>
        <vt:i4>5</vt:i4>
      </vt:variant>
      <vt:variant>
        <vt:lpwstr/>
      </vt:variant>
      <vt:variant>
        <vt:lpwstr>_Toc231467867</vt:lpwstr>
      </vt:variant>
      <vt:variant>
        <vt:i4>1114173</vt:i4>
      </vt:variant>
      <vt:variant>
        <vt:i4>353</vt:i4>
      </vt:variant>
      <vt:variant>
        <vt:i4>0</vt:i4>
      </vt:variant>
      <vt:variant>
        <vt:i4>5</vt:i4>
      </vt:variant>
      <vt:variant>
        <vt:lpwstr/>
      </vt:variant>
      <vt:variant>
        <vt:lpwstr>_Toc231467866</vt:lpwstr>
      </vt:variant>
      <vt:variant>
        <vt:i4>1114173</vt:i4>
      </vt:variant>
      <vt:variant>
        <vt:i4>347</vt:i4>
      </vt:variant>
      <vt:variant>
        <vt:i4>0</vt:i4>
      </vt:variant>
      <vt:variant>
        <vt:i4>5</vt:i4>
      </vt:variant>
      <vt:variant>
        <vt:lpwstr/>
      </vt:variant>
      <vt:variant>
        <vt:lpwstr>_Toc231467865</vt:lpwstr>
      </vt:variant>
      <vt:variant>
        <vt:i4>1114173</vt:i4>
      </vt:variant>
      <vt:variant>
        <vt:i4>341</vt:i4>
      </vt:variant>
      <vt:variant>
        <vt:i4>0</vt:i4>
      </vt:variant>
      <vt:variant>
        <vt:i4>5</vt:i4>
      </vt:variant>
      <vt:variant>
        <vt:lpwstr/>
      </vt:variant>
      <vt:variant>
        <vt:lpwstr>_Toc231467864</vt:lpwstr>
      </vt:variant>
      <vt:variant>
        <vt:i4>1114173</vt:i4>
      </vt:variant>
      <vt:variant>
        <vt:i4>335</vt:i4>
      </vt:variant>
      <vt:variant>
        <vt:i4>0</vt:i4>
      </vt:variant>
      <vt:variant>
        <vt:i4>5</vt:i4>
      </vt:variant>
      <vt:variant>
        <vt:lpwstr/>
      </vt:variant>
      <vt:variant>
        <vt:lpwstr>_Toc231467863</vt:lpwstr>
      </vt:variant>
      <vt:variant>
        <vt:i4>1114173</vt:i4>
      </vt:variant>
      <vt:variant>
        <vt:i4>329</vt:i4>
      </vt:variant>
      <vt:variant>
        <vt:i4>0</vt:i4>
      </vt:variant>
      <vt:variant>
        <vt:i4>5</vt:i4>
      </vt:variant>
      <vt:variant>
        <vt:lpwstr/>
      </vt:variant>
      <vt:variant>
        <vt:lpwstr>_Toc231467862</vt:lpwstr>
      </vt:variant>
      <vt:variant>
        <vt:i4>1114173</vt:i4>
      </vt:variant>
      <vt:variant>
        <vt:i4>323</vt:i4>
      </vt:variant>
      <vt:variant>
        <vt:i4>0</vt:i4>
      </vt:variant>
      <vt:variant>
        <vt:i4>5</vt:i4>
      </vt:variant>
      <vt:variant>
        <vt:lpwstr/>
      </vt:variant>
      <vt:variant>
        <vt:lpwstr>_Toc231467861</vt:lpwstr>
      </vt:variant>
      <vt:variant>
        <vt:i4>1114173</vt:i4>
      </vt:variant>
      <vt:variant>
        <vt:i4>317</vt:i4>
      </vt:variant>
      <vt:variant>
        <vt:i4>0</vt:i4>
      </vt:variant>
      <vt:variant>
        <vt:i4>5</vt:i4>
      </vt:variant>
      <vt:variant>
        <vt:lpwstr/>
      </vt:variant>
      <vt:variant>
        <vt:lpwstr>_Toc231467860</vt:lpwstr>
      </vt:variant>
      <vt:variant>
        <vt:i4>1179709</vt:i4>
      </vt:variant>
      <vt:variant>
        <vt:i4>311</vt:i4>
      </vt:variant>
      <vt:variant>
        <vt:i4>0</vt:i4>
      </vt:variant>
      <vt:variant>
        <vt:i4>5</vt:i4>
      </vt:variant>
      <vt:variant>
        <vt:lpwstr/>
      </vt:variant>
      <vt:variant>
        <vt:lpwstr>_Toc231467859</vt:lpwstr>
      </vt:variant>
      <vt:variant>
        <vt:i4>1179709</vt:i4>
      </vt:variant>
      <vt:variant>
        <vt:i4>305</vt:i4>
      </vt:variant>
      <vt:variant>
        <vt:i4>0</vt:i4>
      </vt:variant>
      <vt:variant>
        <vt:i4>5</vt:i4>
      </vt:variant>
      <vt:variant>
        <vt:lpwstr/>
      </vt:variant>
      <vt:variant>
        <vt:lpwstr>_Toc231467858</vt:lpwstr>
      </vt:variant>
      <vt:variant>
        <vt:i4>1179709</vt:i4>
      </vt:variant>
      <vt:variant>
        <vt:i4>299</vt:i4>
      </vt:variant>
      <vt:variant>
        <vt:i4>0</vt:i4>
      </vt:variant>
      <vt:variant>
        <vt:i4>5</vt:i4>
      </vt:variant>
      <vt:variant>
        <vt:lpwstr/>
      </vt:variant>
      <vt:variant>
        <vt:lpwstr>_Toc231467857</vt:lpwstr>
      </vt:variant>
      <vt:variant>
        <vt:i4>1179709</vt:i4>
      </vt:variant>
      <vt:variant>
        <vt:i4>293</vt:i4>
      </vt:variant>
      <vt:variant>
        <vt:i4>0</vt:i4>
      </vt:variant>
      <vt:variant>
        <vt:i4>5</vt:i4>
      </vt:variant>
      <vt:variant>
        <vt:lpwstr/>
      </vt:variant>
      <vt:variant>
        <vt:lpwstr>_Toc231467856</vt:lpwstr>
      </vt:variant>
      <vt:variant>
        <vt:i4>1179709</vt:i4>
      </vt:variant>
      <vt:variant>
        <vt:i4>287</vt:i4>
      </vt:variant>
      <vt:variant>
        <vt:i4>0</vt:i4>
      </vt:variant>
      <vt:variant>
        <vt:i4>5</vt:i4>
      </vt:variant>
      <vt:variant>
        <vt:lpwstr/>
      </vt:variant>
      <vt:variant>
        <vt:lpwstr>_Toc231467855</vt:lpwstr>
      </vt:variant>
      <vt:variant>
        <vt:i4>1179709</vt:i4>
      </vt:variant>
      <vt:variant>
        <vt:i4>281</vt:i4>
      </vt:variant>
      <vt:variant>
        <vt:i4>0</vt:i4>
      </vt:variant>
      <vt:variant>
        <vt:i4>5</vt:i4>
      </vt:variant>
      <vt:variant>
        <vt:lpwstr/>
      </vt:variant>
      <vt:variant>
        <vt:lpwstr>_Toc231467854</vt:lpwstr>
      </vt:variant>
      <vt:variant>
        <vt:i4>1179709</vt:i4>
      </vt:variant>
      <vt:variant>
        <vt:i4>275</vt:i4>
      </vt:variant>
      <vt:variant>
        <vt:i4>0</vt:i4>
      </vt:variant>
      <vt:variant>
        <vt:i4>5</vt:i4>
      </vt:variant>
      <vt:variant>
        <vt:lpwstr/>
      </vt:variant>
      <vt:variant>
        <vt:lpwstr>_Toc231467853</vt:lpwstr>
      </vt:variant>
      <vt:variant>
        <vt:i4>1179709</vt:i4>
      </vt:variant>
      <vt:variant>
        <vt:i4>269</vt:i4>
      </vt:variant>
      <vt:variant>
        <vt:i4>0</vt:i4>
      </vt:variant>
      <vt:variant>
        <vt:i4>5</vt:i4>
      </vt:variant>
      <vt:variant>
        <vt:lpwstr/>
      </vt:variant>
      <vt:variant>
        <vt:lpwstr>_Toc231467852</vt:lpwstr>
      </vt:variant>
      <vt:variant>
        <vt:i4>1179709</vt:i4>
      </vt:variant>
      <vt:variant>
        <vt:i4>263</vt:i4>
      </vt:variant>
      <vt:variant>
        <vt:i4>0</vt:i4>
      </vt:variant>
      <vt:variant>
        <vt:i4>5</vt:i4>
      </vt:variant>
      <vt:variant>
        <vt:lpwstr/>
      </vt:variant>
      <vt:variant>
        <vt:lpwstr>_Toc231467851</vt:lpwstr>
      </vt:variant>
      <vt:variant>
        <vt:i4>1179709</vt:i4>
      </vt:variant>
      <vt:variant>
        <vt:i4>257</vt:i4>
      </vt:variant>
      <vt:variant>
        <vt:i4>0</vt:i4>
      </vt:variant>
      <vt:variant>
        <vt:i4>5</vt:i4>
      </vt:variant>
      <vt:variant>
        <vt:lpwstr/>
      </vt:variant>
      <vt:variant>
        <vt:lpwstr>_Toc231467850</vt:lpwstr>
      </vt:variant>
      <vt:variant>
        <vt:i4>1245245</vt:i4>
      </vt:variant>
      <vt:variant>
        <vt:i4>251</vt:i4>
      </vt:variant>
      <vt:variant>
        <vt:i4>0</vt:i4>
      </vt:variant>
      <vt:variant>
        <vt:i4>5</vt:i4>
      </vt:variant>
      <vt:variant>
        <vt:lpwstr/>
      </vt:variant>
      <vt:variant>
        <vt:lpwstr>_Toc231467849</vt:lpwstr>
      </vt:variant>
      <vt:variant>
        <vt:i4>1245245</vt:i4>
      </vt:variant>
      <vt:variant>
        <vt:i4>245</vt:i4>
      </vt:variant>
      <vt:variant>
        <vt:i4>0</vt:i4>
      </vt:variant>
      <vt:variant>
        <vt:i4>5</vt:i4>
      </vt:variant>
      <vt:variant>
        <vt:lpwstr/>
      </vt:variant>
      <vt:variant>
        <vt:lpwstr>_Toc231467848</vt:lpwstr>
      </vt:variant>
      <vt:variant>
        <vt:i4>1245245</vt:i4>
      </vt:variant>
      <vt:variant>
        <vt:i4>239</vt:i4>
      </vt:variant>
      <vt:variant>
        <vt:i4>0</vt:i4>
      </vt:variant>
      <vt:variant>
        <vt:i4>5</vt:i4>
      </vt:variant>
      <vt:variant>
        <vt:lpwstr/>
      </vt:variant>
      <vt:variant>
        <vt:lpwstr>_Toc231467847</vt:lpwstr>
      </vt:variant>
      <vt:variant>
        <vt:i4>1245245</vt:i4>
      </vt:variant>
      <vt:variant>
        <vt:i4>233</vt:i4>
      </vt:variant>
      <vt:variant>
        <vt:i4>0</vt:i4>
      </vt:variant>
      <vt:variant>
        <vt:i4>5</vt:i4>
      </vt:variant>
      <vt:variant>
        <vt:lpwstr/>
      </vt:variant>
      <vt:variant>
        <vt:lpwstr>_Toc231467846</vt:lpwstr>
      </vt:variant>
      <vt:variant>
        <vt:i4>1245245</vt:i4>
      </vt:variant>
      <vt:variant>
        <vt:i4>227</vt:i4>
      </vt:variant>
      <vt:variant>
        <vt:i4>0</vt:i4>
      </vt:variant>
      <vt:variant>
        <vt:i4>5</vt:i4>
      </vt:variant>
      <vt:variant>
        <vt:lpwstr/>
      </vt:variant>
      <vt:variant>
        <vt:lpwstr>_Toc231467845</vt:lpwstr>
      </vt:variant>
      <vt:variant>
        <vt:i4>1245245</vt:i4>
      </vt:variant>
      <vt:variant>
        <vt:i4>221</vt:i4>
      </vt:variant>
      <vt:variant>
        <vt:i4>0</vt:i4>
      </vt:variant>
      <vt:variant>
        <vt:i4>5</vt:i4>
      </vt:variant>
      <vt:variant>
        <vt:lpwstr/>
      </vt:variant>
      <vt:variant>
        <vt:lpwstr>_Toc231467844</vt:lpwstr>
      </vt:variant>
      <vt:variant>
        <vt:i4>1245245</vt:i4>
      </vt:variant>
      <vt:variant>
        <vt:i4>215</vt:i4>
      </vt:variant>
      <vt:variant>
        <vt:i4>0</vt:i4>
      </vt:variant>
      <vt:variant>
        <vt:i4>5</vt:i4>
      </vt:variant>
      <vt:variant>
        <vt:lpwstr/>
      </vt:variant>
      <vt:variant>
        <vt:lpwstr>_Toc231467843</vt:lpwstr>
      </vt:variant>
      <vt:variant>
        <vt:i4>1245245</vt:i4>
      </vt:variant>
      <vt:variant>
        <vt:i4>209</vt:i4>
      </vt:variant>
      <vt:variant>
        <vt:i4>0</vt:i4>
      </vt:variant>
      <vt:variant>
        <vt:i4>5</vt:i4>
      </vt:variant>
      <vt:variant>
        <vt:lpwstr/>
      </vt:variant>
      <vt:variant>
        <vt:lpwstr>_Toc231467842</vt:lpwstr>
      </vt:variant>
      <vt:variant>
        <vt:i4>1245245</vt:i4>
      </vt:variant>
      <vt:variant>
        <vt:i4>203</vt:i4>
      </vt:variant>
      <vt:variant>
        <vt:i4>0</vt:i4>
      </vt:variant>
      <vt:variant>
        <vt:i4>5</vt:i4>
      </vt:variant>
      <vt:variant>
        <vt:lpwstr/>
      </vt:variant>
      <vt:variant>
        <vt:lpwstr>_Toc231467841</vt:lpwstr>
      </vt:variant>
      <vt:variant>
        <vt:i4>1245245</vt:i4>
      </vt:variant>
      <vt:variant>
        <vt:i4>197</vt:i4>
      </vt:variant>
      <vt:variant>
        <vt:i4>0</vt:i4>
      </vt:variant>
      <vt:variant>
        <vt:i4>5</vt:i4>
      </vt:variant>
      <vt:variant>
        <vt:lpwstr/>
      </vt:variant>
      <vt:variant>
        <vt:lpwstr>_Toc231467840</vt:lpwstr>
      </vt:variant>
      <vt:variant>
        <vt:i4>1310781</vt:i4>
      </vt:variant>
      <vt:variant>
        <vt:i4>191</vt:i4>
      </vt:variant>
      <vt:variant>
        <vt:i4>0</vt:i4>
      </vt:variant>
      <vt:variant>
        <vt:i4>5</vt:i4>
      </vt:variant>
      <vt:variant>
        <vt:lpwstr/>
      </vt:variant>
      <vt:variant>
        <vt:lpwstr>_Toc231467839</vt:lpwstr>
      </vt:variant>
      <vt:variant>
        <vt:i4>1310781</vt:i4>
      </vt:variant>
      <vt:variant>
        <vt:i4>185</vt:i4>
      </vt:variant>
      <vt:variant>
        <vt:i4>0</vt:i4>
      </vt:variant>
      <vt:variant>
        <vt:i4>5</vt:i4>
      </vt:variant>
      <vt:variant>
        <vt:lpwstr/>
      </vt:variant>
      <vt:variant>
        <vt:lpwstr>_Toc231467838</vt:lpwstr>
      </vt:variant>
      <vt:variant>
        <vt:i4>1310781</vt:i4>
      </vt:variant>
      <vt:variant>
        <vt:i4>179</vt:i4>
      </vt:variant>
      <vt:variant>
        <vt:i4>0</vt:i4>
      </vt:variant>
      <vt:variant>
        <vt:i4>5</vt:i4>
      </vt:variant>
      <vt:variant>
        <vt:lpwstr/>
      </vt:variant>
      <vt:variant>
        <vt:lpwstr>_Toc231467837</vt:lpwstr>
      </vt:variant>
      <vt:variant>
        <vt:i4>1310781</vt:i4>
      </vt:variant>
      <vt:variant>
        <vt:i4>173</vt:i4>
      </vt:variant>
      <vt:variant>
        <vt:i4>0</vt:i4>
      </vt:variant>
      <vt:variant>
        <vt:i4>5</vt:i4>
      </vt:variant>
      <vt:variant>
        <vt:lpwstr/>
      </vt:variant>
      <vt:variant>
        <vt:lpwstr>_Toc231467836</vt:lpwstr>
      </vt:variant>
      <vt:variant>
        <vt:i4>1310781</vt:i4>
      </vt:variant>
      <vt:variant>
        <vt:i4>167</vt:i4>
      </vt:variant>
      <vt:variant>
        <vt:i4>0</vt:i4>
      </vt:variant>
      <vt:variant>
        <vt:i4>5</vt:i4>
      </vt:variant>
      <vt:variant>
        <vt:lpwstr/>
      </vt:variant>
      <vt:variant>
        <vt:lpwstr>_Toc231467835</vt:lpwstr>
      </vt:variant>
      <vt:variant>
        <vt:i4>1310781</vt:i4>
      </vt:variant>
      <vt:variant>
        <vt:i4>161</vt:i4>
      </vt:variant>
      <vt:variant>
        <vt:i4>0</vt:i4>
      </vt:variant>
      <vt:variant>
        <vt:i4>5</vt:i4>
      </vt:variant>
      <vt:variant>
        <vt:lpwstr/>
      </vt:variant>
      <vt:variant>
        <vt:lpwstr>_Toc231467834</vt:lpwstr>
      </vt:variant>
      <vt:variant>
        <vt:i4>1310781</vt:i4>
      </vt:variant>
      <vt:variant>
        <vt:i4>155</vt:i4>
      </vt:variant>
      <vt:variant>
        <vt:i4>0</vt:i4>
      </vt:variant>
      <vt:variant>
        <vt:i4>5</vt:i4>
      </vt:variant>
      <vt:variant>
        <vt:lpwstr/>
      </vt:variant>
      <vt:variant>
        <vt:lpwstr>_Toc231467833</vt:lpwstr>
      </vt:variant>
      <vt:variant>
        <vt:i4>1310781</vt:i4>
      </vt:variant>
      <vt:variant>
        <vt:i4>149</vt:i4>
      </vt:variant>
      <vt:variant>
        <vt:i4>0</vt:i4>
      </vt:variant>
      <vt:variant>
        <vt:i4>5</vt:i4>
      </vt:variant>
      <vt:variant>
        <vt:lpwstr/>
      </vt:variant>
      <vt:variant>
        <vt:lpwstr>_Toc231467832</vt:lpwstr>
      </vt:variant>
      <vt:variant>
        <vt:i4>1310781</vt:i4>
      </vt:variant>
      <vt:variant>
        <vt:i4>143</vt:i4>
      </vt:variant>
      <vt:variant>
        <vt:i4>0</vt:i4>
      </vt:variant>
      <vt:variant>
        <vt:i4>5</vt:i4>
      </vt:variant>
      <vt:variant>
        <vt:lpwstr/>
      </vt:variant>
      <vt:variant>
        <vt:lpwstr>_Toc231467831</vt:lpwstr>
      </vt:variant>
      <vt:variant>
        <vt:i4>1310781</vt:i4>
      </vt:variant>
      <vt:variant>
        <vt:i4>137</vt:i4>
      </vt:variant>
      <vt:variant>
        <vt:i4>0</vt:i4>
      </vt:variant>
      <vt:variant>
        <vt:i4>5</vt:i4>
      </vt:variant>
      <vt:variant>
        <vt:lpwstr/>
      </vt:variant>
      <vt:variant>
        <vt:lpwstr>_Toc231467830</vt:lpwstr>
      </vt:variant>
      <vt:variant>
        <vt:i4>1376317</vt:i4>
      </vt:variant>
      <vt:variant>
        <vt:i4>131</vt:i4>
      </vt:variant>
      <vt:variant>
        <vt:i4>0</vt:i4>
      </vt:variant>
      <vt:variant>
        <vt:i4>5</vt:i4>
      </vt:variant>
      <vt:variant>
        <vt:lpwstr/>
      </vt:variant>
      <vt:variant>
        <vt:lpwstr>_Toc231467829</vt:lpwstr>
      </vt:variant>
      <vt:variant>
        <vt:i4>1376317</vt:i4>
      </vt:variant>
      <vt:variant>
        <vt:i4>125</vt:i4>
      </vt:variant>
      <vt:variant>
        <vt:i4>0</vt:i4>
      </vt:variant>
      <vt:variant>
        <vt:i4>5</vt:i4>
      </vt:variant>
      <vt:variant>
        <vt:lpwstr/>
      </vt:variant>
      <vt:variant>
        <vt:lpwstr>_Toc231467828</vt:lpwstr>
      </vt:variant>
      <vt:variant>
        <vt:i4>1376317</vt:i4>
      </vt:variant>
      <vt:variant>
        <vt:i4>119</vt:i4>
      </vt:variant>
      <vt:variant>
        <vt:i4>0</vt:i4>
      </vt:variant>
      <vt:variant>
        <vt:i4>5</vt:i4>
      </vt:variant>
      <vt:variant>
        <vt:lpwstr/>
      </vt:variant>
      <vt:variant>
        <vt:lpwstr>_Toc231467827</vt:lpwstr>
      </vt:variant>
      <vt:variant>
        <vt:i4>1376317</vt:i4>
      </vt:variant>
      <vt:variant>
        <vt:i4>113</vt:i4>
      </vt:variant>
      <vt:variant>
        <vt:i4>0</vt:i4>
      </vt:variant>
      <vt:variant>
        <vt:i4>5</vt:i4>
      </vt:variant>
      <vt:variant>
        <vt:lpwstr/>
      </vt:variant>
      <vt:variant>
        <vt:lpwstr>_Toc231467826</vt:lpwstr>
      </vt:variant>
      <vt:variant>
        <vt:i4>1376317</vt:i4>
      </vt:variant>
      <vt:variant>
        <vt:i4>107</vt:i4>
      </vt:variant>
      <vt:variant>
        <vt:i4>0</vt:i4>
      </vt:variant>
      <vt:variant>
        <vt:i4>5</vt:i4>
      </vt:variant>
      <vt:variant>
        <vt:lpwstr/>
      </vt:variant>
      <vt:variant>
        <vt:lpwstr>_Toc231467825</vt:lpwstr>
      </vt:variant>
      <vt:variant>
        <vt:i4>1376317</vt:i4>
      </vt:variant>
      <vt:variant>
        <vt:i4>101</vt:i4>
      </vt:variant>
      <vt:variant>
        <vt:i4>0</vt:i4>
      </vt:variant>
      <vt:variant>
        <vt:i4>5</vt:i4>
      </vt:variant>
      <vt:variant>
        <vt:lpwstr/>
      </vt:variant>
      <vt:variant>
        <vt:lpwstr>_Toc231467824</vt:lpwstr>
      </vt:variant>
      <vt:variant>
        <vt:i4>1376317</vt:i4>
      </vt:variant>
      <vt:variant>
        <vt:i4>95</vt:i4>
      </vt:variant>
      <vt:variant>
        <vt:i4>0</vt:i4>
      </vt:variant>
      <vt:variant>
        <vt:i4>5</vt:i4>
      </vt:variant>
      <vt:variant>
        <vt:lpwstr/>
      </vt:variant>
      <vt:variant>
        <vt:lpwstr>_Toc231467823</vt:lpwstr>
      </vt:variant>
      <vt:variant>
        <vt:i4>1376317</vt:i4>
      </vt:variant>
      <vt:variant>
        <vt:i4>89</vt:i4>
      </vt:variant>
      <vt:variant>
        <vt:i4>0</vt:i4>
      </vt:variant>
      <vt:variant>
        <vt:i4>5</vt:i4>
      </vt:variant>
      <vt:variant>
        <vt:lpwstr/>
      </vt:variant>
      <vt:variant>
        <vt:lpwstr>_Toc231467822</vt:lpwstr>
      </vt:variant>
      <vt:variant>
        <vt:i4>1376317</vt:i4>
      </vt:variant>
      <vt:variant>
        <vt:i4>83</vt:i4>
      </vt:variant>
      <vt:variant>
        <vt:i4>0</vt:i4>
      </vt:variant>
      <vt:variant>
        <vt:i4>5</vt:i4>
      </vt:variant>
      <vt:variant>
        <vt:lpwstr/>
      </vt:variant>
      <vt:variant>
        <vt:lpwstr>_Toc231467821</vt:lpwstr>
      </vt:variant>
      <vt:variant>
        <vt:i4>1376317</vt:i4>
      </vt:variant>
      <vt:variant>
        <vt:i4>77</vt:i4>
      </vt:variant>
      <vt:variant>
        <vt:i4>0</vt:i4>
      </vt:variant>
      <vt:variant>
        <vt:i4>5</vt:i4>
      </vt:variant>
      <vt:variant>
        <vt:lpwstr/>
      </vt:variant>
      <vt:variant>
        <vt:lpwstr>_Toc231467820</vt:lpwstr>
      </vt:variant>
      <vt:variant>
        <vt:i4>1441853</vt:i4>
      </vt:variant>
      <vt:variant>
        <vt:i4>71</vt:i4>
      </vt:variant>
      <vt:variant>
        <vt:i4>0</vt:i4>
      </vt:variant>
      <vt:variant>
        <vt:i4>5</vt:i4>
      </vt:variant>
      <vt:variant>
        <vt:lpwstr/>
      </vt:variant>
      <vt:variant>
        <vt:lpwstr>_Toc231467819</vt:lpwstr>
      </vt:variant>
      <vt:variant>
        <vt:i4>1441853</vt:i4>
      </vt:variant>
      <vt:variant>
        <vt:i4>65</vt:i4>
      </vt:variant>
      <vt:variant>
        <vt:i4>0</vt:i4>
      </vt:variant>
      <vt:variant>
        <vt:i4>5</vt:i4>
      </vt:variant>
      <vt:variant>
        <vt:lpwstr/>
      </vt:variant>
      <vt:variant>
        <vt:lpwstr>_Toc231467818</vt:lpwstr>
      </vt:variant>
      <vt:variant>
        <vt:i4>1441853</vt:i4>
      </vt:variant>
      <vt:variant>
        <vt:i4>59</vt:i4>
      </vt:variant>
      <vt:variant>
        <vt:i4>0</vt:i4>
      </vt:variant>
      <vt:variant>
        <vt:i4>5</vt:i4>
      </vt:variant>
      <vt:variant>
        <vt:lpwstr/>
      </vt:variant>
      <vt:variant>
        <vt:lpwstr>_Toc231467817</vt:lpwstr>
      </vt:variant>
      <vt:variant>
        <vt:i4>1441853</vt:i4>
      </vt:variant>
      <vt:variant>
        <vt:i4>53</vt:i4>
      </vt:variant>
      <vt:variant>
        <vt:i4>0</vt:i4>
      </vt:variant>
      <vt:variant>
        <vt:i4>5</vt:i4>
      </vt:variant>
      <vt:variant>
        <vt:lpwstr/>
      </vt:variant>
      <vt:variant>
        <vt:lpwstr>_Toc231467816</vt:lpwstr>
      </vt:variant>
      <vt:variant>
        <vt:i4>1441853</vt:i4>
      </vt:variant>
      <vt:variant>
        <vt:i4>47</vt:i4>
      </vt:variant>
      <vt:variant>
        <vt:i4>0</vt:i4>
      </vt:variant>
      <vt:variant>
        <vt:i4>5</vt:i4>
      </vt:variant>
      <vt:variant>
        <vt:lpwstr/>
      </vt:variant>
      <vt:variant>
        <vt:lpwstr>_Toc231467815</vt:lpwstr>
      </vt:variant>
      <vt:variant>
        <vt:i4>1441853</vt:i4>
      </vt:variant>
      <vt:variant>
        <vt:i4>41</vt:i4>
      </vt:variant>
      <vt:variant>
        <vt:i4>0</vt:i4>
      </vt:variant>
      <vt:variant>
        <vt:i4>5</vt:i4>
      </vt:variant>
      <vt:variant>
        <vt:lpwstr/>
      </vt:variant>
      <vt:variant>
        <vt:lpwstr>_Toc231467814</vt:lpwstr>
      </vt:variant>
      <vt:variant>
        <vt:i4>1441853</vt:i4>
      </vt:variant>
      <vt:variant>
        <vt:i4>35</vt:i4>
      </vt:variant>
      <vt:variant>
        <vt:i4>0</vt:i4>
      </vt:variant>
      <vt:variant>
        <vt:i4>5</vt:i4>
      </vt:variant>
      <vt:variant>
        <vt:lpwstr/>
      </vt:variant>
      <vt:variant>
        <vt:lpwstr>_Toc231467813</vt:lpwstr>
      </vt:variant>
      <vt:variant>
        <vt:i4>1441853</vt:i4>
      </vt:variant>
      <vt:variant>
        <vt:i4>29</vt:i4>
      </vt:variant>
      <vt:variant>
        <vt:i4>0</vt:i4>
      </vt:variant>
      <vt:variant>
        <vt:i4>5</vt:i4>
      </vt:variant>
      <vt:variant>
        <vt:lpwstr/>
      </vt:variant>
      <vt:variant>
        <vt:lpwstr>_Toc231467812</vt:lpwstr>
      </vt:variant>
      <vt:variant>
        <vt:i4>1441853</vt:i4>
      </vt:variant>
      <vt:variant>
        <vt:i4>23</vt:i4>
      </vt:variant>
      <vt:variant>
        <vt:i4>0</vt:i4>
      </vt:variant>
      <vt:variant>
        <vt:i4>5</vt:i4>
      </vt:variant>
      <vt:variant>
        <vt:lpwstr/>
      </vt:variant>
      <vt:variant>
        <vt:lpwstr>_Toc231467811</vt:lpwstr>
      </vt:variant>
      <vt:variant>
        <vt:i4>1441853</vt:i4>
      </vt:variant>
      <vt:variant>
        <vt:i4>17</vt:i4>
      </vt:variant>
      <vt:variant>
        <vt:i4>0</vt:i4>
      </vt:variant>
      <vt:variant>
        <vt:i4>5</vt:i4>
      </vt:variant>
      <vt:variant>
        <vt:lpwstr/>
      </vt:variant>
      <vt:variant>
        <vt:lpwstr>_Toc231467810</vt:lpwstr>
      </vt:variant>
      <vt:variant>
        <vt:i4>1507389</vt:i4>
      </vt:variant>
      <vt:variant>
        <vt:i4>11</vt:i4>
      </vt:variant>
      <vt:variant>
        <vt:i4>0</vt:i4>
      </vt:variant>
      <vt:variant>
        <vt:i4>5</vt:i4>
      </vt:variant>
      <vt:variant>
        <vt:lpwstr/>
      </vt:variant>
      <vt:variant>
        <vt:lpwstr>_Toc231467808</vt:lpwstr>
      </vt:variant>
      <vt:variant>
        <vt:i4>1507389</vt:i4>
      </vt:variant>
      <vt:variant>
        <vt:i4>5</vt:i4>
      </vt:variant>
      <vt:variant>
        <vt:i4>0</vt:i4>
      </vt:variant>
      <vt:variant>
        <vt:i4>5</vt:i4>
      </vt:variant>
      <vt:variant>
        <vt:lpwstr/>
      </vt:variant>
      <vt:variant>
        <vt:lpwstr>_Toc231467807</vt:lpwstr>
      </vt:variant>
      <vt:variant>
        <vt:i4>2818170</vt:i4>
      </vt:variant>
      <vt:variant>
        <vt:i4>0</vt:i4>
      </vt:variant>
      <vt:variant>
        <vt:i4>0</vt:i4>
      </vt:variant>
      <vt:variant>
        <vt:i4>5</vt:i4>
      </vt:variant>
      <vt:variant>
        <vt:lpwstr>http://www.lawcom.govt.nz/</vt:lpwstr>
      </vt:variant>
      <vt:variant>
        <vt:lpwstr/>
      </vt:variant>
      <vt:variant>
        <vt:i4>2687045</vt:i4>
      </vt:variant>
      <vt:variant>
        <vt:i4>0</vt:i4>
      </vt:variant>
      <vt:variant>
        <vt:i4>0</vt:i4>
      </vt:variant>
      <vt:variant>
        <vt:i4>5</vt:i4>
      </vt:variant>
      <vt:variant>
        <vt:lpwstr>mailto:mhickford@lawcom.govt.nz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NZLC-R152</dc:title>
  <dc:subject/>
  <dc:creator>Law Commission</dc:creator>
  <cp:keywords/>
  <dc:description/>
  <cp:lastModifiedBy>Duke Nguyen</cp:lastModifiedBy>
  <cp:revision>2</cp:revision>
  <cp:lastPrinted>2026-06-11T03:47:00Z</cp:lastPrinted>
  <dcterms:created xsi:type="dcterms:W3CDTF">2026-06-09T04:48:00Z</dcterms:created>
  <dcterms:modified xsi:type="dcterms:W3CDTF">2026-07-20T23:53:00Z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0x010100EA723BBDD80EAD479C8AFDFEFB6DD920</vt:lpwstr>
  </property>
  <property fmtid="{D5CDD505-2E9C-101B-9397-08002B2CF9AE}" pid="3" name="AuthorIds_UIVersion_1">
    <vt:lpwstr>41</vt:lpwstr>
  </property>
  <property fmtid="{D5CDD505-2E9C-101B-9397-08002B2CF9AE}" pid="4" name="AuthorIds_UIVersion_4">
    <vt:lpwstr>41</vt:lpwstr>
  </property>
  <property fmtid="{D5CDD505-2E9C-101B-9397-08002B2CF9AE}" pid="5" name="AuthorIds_UIVersion_27">
    <vt:lpwstr>41</vt:lpwstr>
  </property>
  <property fmtid="{D5CDD505-2E9C-101B-9397-08002B2CF9AE}" pid="6" name="AuthorIds_UIVersion_95">
    <vt:lpwstr>86</vt:lpwstr>
  </property>
  <property fmtid="{D5CDD505-2E9C-101B-9397-08002B2CF9AE}" pid="7" name="AuthorIds_UIVersion_18">
    <vt:lpwstr>50</vt:lpwstr>
  </property>
  <property fmtid="{D5CDD505-2E9C-101B-9397-08002B2CF9AE}" pid="8" name="AuthorIds_UIVersion_22">
    <vt:lpwstr>50</vt:lpwstr>
  </property>
  <property fmtid="{D5CDD505-2E9C-101B-9397-08002B2CF9AE}" pid="9" name="ComplianceAssetId">
    <vt:lpwstr/>
  </property>
  <property fmtid="{D5CDD505-2E9C-101B-9397-08002B2CF9AE}" pid="10" name="MediaServiceImageTags">
    <vt:lpwstr/>
  </property>
  <property fmtid="{D5CDD505-2E9C-101B-9397-08002B2CF9AE}" pid="11" name="_dlc_DocIdItemGuid">
    <vt:lpwstr>238eca5a-da34-4df2-bcf9-9c11d15fc07c</vt:lpwstr>
  </property>
  <property fmtid="{D5CDD505-2E9C-101B-9397-08002B2CF9AE}" pid="12" name="_MarkAsFinal">
    <vt:bool>true</vt:bool>
  </property>
</Properties>
</file>