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EE36B" w14:textId="3E2C1A25" w:rsidR="00862DF8" w:rsidRDefault="0029587E">
      <w:pPr>
        <w:spacing w:after="0" w:line="200" w:lineRule="exact"/>
        <w:rPr>
          <w:szCs w:val="20"/>
        </w:rPr>
      </w:pPr>
      <w:r>
        <w:rPr>
          <w:noProof/>
          <w:szCs w:val="20"/>
        </w:rPr>
        <mc:AlternateContent>
          <mc:Choice Requires="wpg">
            <w:drawing>
              <wp:anchor distT="0" distB="0" distL="114300" distR="114300" simplePos="0" relativeHeight="251658241" behindDoc="0" locked="0" layoutInCell="1" allowOverlap="1" wp14:anchorId="3CF3CE24" wp14:editId="2EE4A20F">
                <wp:simplePos x="0" y="0"/>
                <wp:positionH relativeFrom="column">
                  <wp:posOffset>-884192</wp:posOffset>
                </wp:positionH>
                <wp:positionV relativeFrom="paragraph">
                  <wp:posOffset>-529171</wp:posOffset>
                </wp:positionV>
                <wp:extent cx="7200265" cy="1158240"/>
                <wp:effectExtent l="0" t="0" r="635" b="3810"/>
                <wp:wrapNone/>
                <wp:docPr id="240" name="Group 240"/>
                <wp:cNvGraphicFramePr/>
                <a:graphic xmlns:a="http://schemas.openxmlformats.org/drawingml/2006/main">
                  <a:graphicData uri="http://schemas.microsoft.com/office/word/2010/wordprocessingGroup">
                    <wpg:wgp>
                      <wpg:cNvGrpSpPr/>
                      <wpg:grpSpPr>
                        <a:xfrm>
                          <a:off x="0" y="0"/>
                          <a:ext cx="7200265" cy="1158240"/>
                          <a:chOff x="0" y="0"/>
                          <a:chExt cx="7200265" cy="1158240"/>
                        </a:xfrm>
                      </wpg:grpSpPr>
                      <wps:wsp>
                        <wps:cNvPr id="238" name="Freeform 6"/>
                        <wps:cNvSpPr>
                          <a:spLocks/>
                        </wps:cNvSpPr>
                        <wps:spPr bwMode="auto">
                          <a:xfrm>
                            <a:off x="0" y="0"/>
                            <a:ext cx="7200265" cy="1158240"/>
                          </a:xfrm>
                          <a:custGeom>
                            <a:avLst/>
                            <a:gdLst>
                              <a:gd name="T0" fmla="+- 0 283 283"/>
                              <a:gd name="T1" fmla="*/ T0 w 11339"/>
                              <a:gd name="T2" fmla="+- 0 2107 283"/>
                              <a:gd name="T3" fmla="*/ 2107 h 1824"/>
                              <a:gd name="T4" fmla="+- 0 11622 283"/>
                              <a:gd name="T5" fmla="*/ T4 w 11339"/>
                              <a:gd name="T6" fmla="+- 0 2107 283"/>
                              <a:gd name="T7" fmla="*/ 2107 h 1824"/>
                              <a:gd name="T8" fmla="+- 0 11622 283"/>
                              <a:gd name="T9" fmla="*/ T8 w 11339"/>
                              <a:gd name="T10" fmla="+- 0 283 283"/>
                              <a:gd name="T11" fmla="*/ 283 h 1824"/>
                              <a:gd name="T12" fmla="+- 0 283 283"/>
                              <a:gd name="T13" fmla="*/ T12 w 11339"/>
                              <a:gd name="T14" fmla="+- 0 283 283"/>
                              <a:gd name="T15" fmla="*/ 283 h 1824"/>
                              <a:gd name="T16" fmla="+- 0 283 283"/>
                              <a:gd name="T17" fmla="*/ T16 w 11339"/>
                              <a:gd name="T18" fmla="+- 0 2107 283"/>
                              <a:gd name="T19" fmla="*/ 2107 h 1824"/>
                            </a:gdLst>
                            <a:ahLst/>
                            <a:cxnLst>
                              <a:cxn ang="0">
                                <a:pos x="T1" y="T3"/>
                              </a:cxn>
                              <a:cxn ang="0">
                                <a:pos x="T5" y="T7"/>
                              </a:cxn>
                              <a:cxn ang="0">
                                <a:pos x="T9" y="T11"/>
                              </a:cxn>
                              <a:cxn ang="0">
                                <a:pos x="T13" y="T15"/>
                              </a:cxn>
                              <a:cxn ang="0">
                                <a:pos x="T17" y="T19"/>
                              </a:cxn>
                            </a:cxnLst>
                            <a:rect l="0" t="0" r="r" b="b"/>
                            <a:pathLst>
                              <a:path w="11339" h="1824">
                                <a:moveTo>
                                  <a:pt x="0" y="1824"/>
                                </a:moveTo>
                                <a:lnTo>
                                  <a:pt x="11339" y="1824"/>
                                </a:lnTo>
                                <a:lnTo>
                                  <a:pt x="11339" y="0"/>
                                </a:lnTo>
                                <a:lnTo>
                                  <a:pt x="0" y="0"/>
                                </a:lnTo>
                                <a:lnTo>
                                  <a:pt x="0" y="1824"/>
                                </a:lnTo>
                              </a:path>
                            </a:pathLst>
                          </a:custGeom>
                          <a:blipFill>
                            <a:blip r:embed="rId12"/>
                            <a:stretch>
                              <a:fillRect/>
                            </a:stretch>
                          </a:blipFill>
                          <a:ln>
                            <a:noFill/>
                          </a:ln>
                        </wps:spPr>
                        <wps:bodyPr rot="0" vert="horz" wrap="square" lIns="91440" tIns="45720" rIns="91440" bIns="45720" anchor="t" anchorCtr="0" upright="1">
                          <a:noAutofit/>
                        </wps:bodyPr>
                      </wps:wsp>
                      <pic:pic xmlns:pic="http://schemas.openxmlformats.org/drawingml/2006/picture">
                        <pic:nvPicPr>
                          <pic:cNvPr id="239" name="Picture 351">
                            <a:extLst>
                              <a:ext uri="{C183D7F6-B498-43B3-948B-1728B52AA6E4}">
                                <adec:decorative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19075" y="314325"/>
                            <a:ext cx="1540510" cy="618490"/>
                          </a:xfrm>
                          <a:prstGeom prst="rect">
                            <a:avLst/>
                          </a:prstGeom>
                          <a:noFill/>
                          <a:ln>
                            <a:noFill/>
                          </a:ln>
                        </pic:spPr>
                      </pic:pic>
                      <wps:wsp>
                        <wps:cNvPr id="301" name="Text Box 2"/>
                        <wps:cNvSpPr txBox="1">
                          <a:spLocks noChangeArrowheads="1"/>
                        </wps:cNvSpPr>
                        <wps:spPr bwMode="auto">
                          <a:xfrm>
                            <a:off x="3086100" y="180974"/>
                            <a:ext cx="4004392" cy="899223"/>
                          </a:xfrm>
                          <a:prstGeom prst="rect">
                            <a:avLst/>
                          </a:prstGeom>
                          <a:noFill/>
                          <a:ln w="9525">
                            <a:noFill/>
                            <a:miter lim="800000"/>
                            <a:headEnd/>
                            <a:tailEnd/>
                          </a:ln>
                        </wps:spPr>
                        <wps:txbx>
                          <w:txbxContent>
                            <w:p w14:paraId="1FA0AC82" w14:textId="5D50B709" w:rsidR="00392EE8" w:rsidRPr="00392EE8" w:rsidRDefault="00BA5C20" w:rsidP="00392EE8">
                              <w:pPr>
                                <w:pStyle w:val="BodyText1"/>
                                <w:spacing w:after="0"/>
                                <w:jc w:val="right"/>
                                <w:rPr>
                                  <w:rFonts w:ascii="Metropolis" w:hAnsi="Metropolis"/>
                                  <w:b/>
                                  <w:color w:val="C96D61"/>
                                  <w:szCs w:val="20"/>
                                </w:rPr>
                              </w:pPr>
                              <w:proofErr w:type="spellStart"/>
                              <w:r w:rsidRPr="00BA5C20">
                                <w:rPr>
                                  <w:rFonts w:ascii="Metropolis" w:hAnsi="Metropolis"/>
                                  <w:b/>
                                  <w:color w:val="C96D61"/>
                                  <w:szCs w:val="20"/>
                                </w:rPr>
                                <w:t>Whiringa</w:t>
                              </w:r>
                              <w:proofErr w:type="spellEnd"/>
                              <w:r w:rsidRPr="00BA5C20">
                                <w:rPr>
                                  <w:rFonts w:ascii="Metropolis" w:hAnsi="Metropolis"/>
                                  <w:b/>
                                  <w:color w:val="C96D61"/>
                                  <w:szCs w:val="20"/>
                                </w:rPr>
                                <w:t>-ā-</w:t>
                              </w:r>
                              <w:proofErr w:type="spellStart"/>
                              <w:r w:rsidRPr="00BA5C20">
                                <w:rPr>
                                  <w:rFonts w:ascii="Metropolis" w:hAnsi="Metropolis"/>
                                  <w:b/>
                                  <w:color w:val="C96D61"/>
                                  <w:szCs w:val="20"/>
                                </w:rPr>
                                <w:t>rangi</w:t>
                              </w:r>
                              <w:proofErr w:type="spellEnd"/>
                              <w:r w:rsidR="00661C20" w:rsidRPr="00661C20">
                                <w:rPr>
                                  <w:rFonts w:ascii="Metropolis" w:hAnsi="Metropolis"/>
                                  <w:b/>
                                  <w:color w:val="C96D61"/>
                                  <w:szCs w:val="20"/>
                                </w:rPr>
                                <w:t xml:space="preserve"> </w:t>
                              </w:r>
                              <w:r w:rsidR="00392EE8" w:rsidRPr="00392EE8">
                                <w:rPr>
                                  <w:rFonts w:ascii="Metropolis" w:hAnsi="Metropolis"/>
                                  <w:b/>
                                  <w:color w:val="C96D61"/>
                                  <w:szCs w:val="20"/>
                                </w:rPr>
                                <w:t xml:space="preserve">| </w:t>
                              </w:r>
                              <w:r>
                                <w:rPr>
                                  <w:rFonts w:ascii="Metropolis" w:hAnsi="Metropolis"/>
                                  <w:b/>
                                  <w:color w:val="C96D61"/>
                                  <w:szCs w:val="20"/>
                                </w:rPr>
                                <w:t>November</w:t>
                              </w:r>
                              <w:r w:rsidR="00392EE8" w:rsidRPr="00392EE8">
                                <w:rPr>
                                  <w:rFonts w:ascii="Metropolis" w:hAnsi="Metropolis"/>
                                  <w:b/>
                                  <w:color w:val="C96D61"/>
                                  <w:szCs w:val="20"/>
                                </w:rPr>
                                <w:t xml:space="preserve"> 2022</w:t>
                              </w:r>
                            </w:p>
                            <w:p w14:paraId="7206AC46" w14:textId="77777777" w:rsidR="00392EE8" w:rsidRPr="00392EE8" w:rsidRDefault="00392EE8" w:rsidP="00392EE8">
                              <w:pPr>
                                <w:pStyle w:val="BodyText1"/>
                                <w:spacing w:after="0"/>
                                <w:jc w:val="right"/>
                                <w:rPr>
                                  <w:rFonts w:ascii="Metropolis" w:hAnsi="Metropolis"/>
                                  <w:b/>
                                  <w:color w:val="C96D61"/>
                                  <w:szCs w:val="20"/>
                                </w:rPr>
                              </w:pPr>
                              <w:proofErr w:type="spellStart"/>
                              <w:r w:rsidRPr="00392EE8">
                                <w:rPr>
                                  <w:rFonts w:ascii="Metropolis" w:hAnsi="Metropolis"/>
                                  <w:b/>
                                  <w:color w:val="C96D61"/>
                                  <w:szCs w:val="20"/>
                                </w:rPr>
                                <w:t>Te</w:t>
                              </w:r>
                              <w:proofErr w:type="spellEnd"/>
                              <w:r w:rsidRPr="00392EE8">
                                <w:rPr>
                                  <w:rFonts w:ascii="Metropolis" w:hAnsi="Metropolis"/>
                                  <w:b/>
                                  <w:color w:val="C96D61"/>
                                  <w:szCs w:val="20"/>
                                </w:rPr>
                                <w:t xml:space="preserve"> Whanganui-a-Tara, Aotearoa</w:t>
                              </w:r>
                            </w:p>
                            <w:p w14:paraId="050BEA5A" w14:textId="77777777" w:rsidR="00392EE8" w:rsidRPr="00392EE8" w:rsidRDefault="00392EE8" w:rsidP="00392EE8">
                              <w:pPr>
                                <w:pStyle w:val="BodyText1"/>
                                <w:spacing w:after="0"/>
                                <w:jc w:val="right"/>
                                <w:rPr>
                                  <w:rFonts w:ascii="Metropolis" w:hAnsi="Metropolis"/>
                                  <w:b/>
                                  <w:color w:val="C96D61"/>
                                  <w:szCs w:val="20"/>
                                </w:rPr>
                              </w:pPr>
                              <w:r w:rsidRPr="00392EE8">
                                <w:rPr>
                                  <w:rFonts w:ascii="Metropolis" w:hAnsi="Metropolis"/>
                                  <w:b/>
                                  <w:color w:val="C96D61"/>
                                  <w:szCs w:val="20"/>
                                </w:rPr>
                                <w:t>Wellington, New Zealand</w:t>
                              </w:r>
                            </w:p>
                            <w:p w14:paraId="352A27FB" w14:textId="77777777" w:rsidR="00392EE8" w:rsidRDefault="00392EE8" w:rsidP="00392EE8"/>
                          </w:txbxContent>
                        </wps:txbx>
                        <wps:bodyPr rot="0" vert="horz" wrap="square" lIns="91440" tIns="45720" rIns="91440" bIns="45720" anchor="t" anchorCtr="0">
                          <a:noAutofit/>
                        </wps:bodyPr>
                      </wps:wsp>
                    </wpg:wgp>
                  </a:graphicData>
                </a:graphic>
              </wp:anchor>
            </w:drawing>
          </mc:Choice>
          <mc:Fallback>
            <w:pict>
              <v:group w14:anchorId="3CF3CE24" id="Group 240" o:spid="_x0000_s1026" style="position:absolute;margin-left:-69.6pt;margin-top:-41.65pt;width:566.95pt;height:91.2pt;z-index:251658241" coordsize="72002,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">
                <v:shape id="Freeform 6" o:spid="_x0000_s1027" style="position:absolute;width:72002;height:11582;visibility:visible;mso-wrap-style:square;v-text-anchor:top" coordsize="11339,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" path="m,1824r11339,l11339,,,,,1824e" stroked="f">
                  <v:fill r:id="rId14" o:title="" recolor="t" rotate="t" type="frame"/>
                  <v:path arrowok="t" o:connecttype="custom" o:connectlocs="0,1337945;7200265,1337945;7200265,179705;0,179705;0,133794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1" o:spid="_x0000_s1028" type="#_x0000_t75" alt="&quot;&quot;" style="position:absolute;left:2190;top:3143;width:15405;height: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">
                  <v:imagedata r:id="rId15" o:title=""/>
                </v:shape>
                <v:shapetype id="_x0000_t202" coordsize="21600,21600" o:spt="202" path="m,l,21600r21600,l21600,xe">
                  <v:stroke joinstyle="miter"/>
                  <v:path gradientshapeok="t" o:connecttype="rect"/>
                </v:shapetype>
                <v:shape id="Text Box 2" o:spid="_x0000_s1029" type="#_x0000_t202" style="position:absolute;left:30861;top:1809;width:40043;height:8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1FA0AC82" w14:textId="5D50B709" w:rsidR="00392EE8" w:rsidRPr="00392EE8" w:rsidRDefault="00BA5C20" w:rsidP="00392EE8">
                        <w:pPr>
                          <w:pStyle w:val="BodyText1"/>
                          <w:spacing w:after="0"/>
                          <w:jc w:val="right"/>
                          <w:rPr>
                            <w:rFonts w:ascii="Metropolis" w:hAnsi="Metropolis"/>
                            <w:b/>
                            <w:color w:val="C96D61"/>
                            <w:szCs w:val="20"/>
                          </w:rPr>
                        </w:pPr>
                        <w:proofErr w:type="spellStart"/>
                        <w:r w:rsidRPr="00BA5C20">
                          <w:rPr>
                            <w:rFonts w:ascii="Metropolis" w:hAnsi="Metropolis"/>
                            <w:b/>
                            <w:color w:val="C96D61"/>
                            <w:szCs w:val="20"/>
                          </w:rPr>
                          <w:t>Whiringa</w:t>
                        </w:r>
                        <w:proofErr w:type="spellEnd"/>
                        <w:r w:rsidRPr="00BA5C20">
                          <w:rPr>
                            <w:rFonts w:ascii="Metropolis" w:hAnsi="Metropolis"/>
                            <w:b/>
                            <w:color w:val="C96D61"/>
                            <w:szCs w:val="20"/>
                          </w:rPr>
                          <w:t>-ā-</w:t>
                        </w:r>
                        <w:proofErr w:type="spellStart"/>
                        <w:r w:rsidRPr="00BA5C20">
                          <w:rPr>
                            <w:rFonts w:ascii="Metropolis" w:hAnsi="Metropolis"/>
                            <w:b/>
                            <w:color w:val="C96D61"/>
                            <w:szCs w:val="20"/>
                          </w:rPr>
                          <w:t>rangi</w:t>
                        </w:r>
                        <w:proofErr w:type="spellEnd"/>
                        <w:r w:rsidR="00661C20" w:rsidRPr="00661C20">
                          <w:rPr>
                            <w:rFonts w:ascii="Metropolis" w:hAnsi="Metropolis"/>
                            <w:b/>
                            <w:color w:val="C96D61"/>
                            <w:szCs w:val="20"/>
                          </w:rPr>
                          <w:t xml:space="preserve"> </w:t>
                        </w:r>
                        <w:r w:rsidR="00392EE8" w:rsidRPr="00392EE8">
                          <w:rPr>
                            <w:rFonts w:ascii="Metropolis" w:hAnsi="Metropolis"/>
                            <w:b/>
                            <w:color w:val="C96D61"/>
                            <w:szCs w:val="20"/>
                          </w:rPr>
                          <w:t xml:space="preserve">| </w:t>
                        </w:r>
                        <w:r>
                          <w:rPr>
                            <w:rFonts w:ascii="Metropolis" w:hAnsi="Metropolis"/>
                            <w:b/>
                            <w:color w:val="C96D61"/>
                            <w:szCs w:val="20"/>
                          </w:rPr>
                          <w:t>November</w:t>
                        </w:r>
                        <w:r w:rsidR="00392EE8" w:rsidRPr="00392EE8">
                          <w:rPr>
                            <w:rFonts w:ascii="Metropolis" w:hAnsi="Metropolis"/>
                            <w:b/>
                            <w:color w:val="C96D61"/>
                            <w:szCs w:val="20"/>
                          </w:rPr>
                          <w:t xml:space="preserve"> 2022</w:t>
                        </w:r>
                      </w:p>
                      <w:p w14:paraId="7206AC46" w14:textId="77777777" w:rsidR="00392EE8" w:rsidRPr="00392EE8" w:rsidRDefault="00392EE8" w:rsidP="00392EE8">
                        <w:pPr>
                          <w:pStyle w:val="BodyText1"/>
                          <w:spacing w:after="0"/>
                          <w:jc w:val="right"/>
                          <w:rPr>
                            <w:rFonts w:ascii="Metropolis" w:hAnsi="Metropolis"/>
                            <w:b/>
                            <w:color w:val="C96D61"/>
                            <w:szCs w:val="20"/>
                          </w:rPr>
                        </w:pPr>
                        <w:proofErr w:type="spellStart"/>
                        <w:r w:rsidRPr="00392EE8">
                          <w:rPr>
                            <w:rFonts w:ascii="Metropolis" w:hAnsi="Metropolis"/>
                            <w:b/>
                            <w:color w:val="C96D61"/>
                            <w:szCs w:val="20"/>
                          </w:rPr>
                          <w:t>Te</w:t>
                        </w:r>
                        <w:proofErr w:type="spellEnd"/>
                        <w:r w:rsidRPr="00392EE8">
                          <w:rPr>
                            <w:rFonts w:ascii="Metropolis" w:hAnsi="Metropolis"/>
                            <w:b/>
                            <w:color w:val="C96D61"/>
                            <w:szCs w:val="20"/>
                          </w:rPr>
                          <w:t xml:space="preserve"> Whanganui-a-Tara, Aotearoa</w:t>
                        </w:r>
                      </w:p>
                      <w:p w14:paraId="050BEA5A" w14:textId="77777777" w:rsidR="00392EE8" w:rsidRPr="00392EE8" w:rsidRDefault="00392EE8" w:rsidP="00392EE8">
                        <w:pPr>
                          <w:pStyle w:val="BodyText1"/>
                          <w:spacing w:after="0"/>
                          <w:jc w:val="right"/>
                          <w:rPr>
                            <w:rFonts w:ascii="Metropolis" w:hAnsi="Metropolis"/>
                            <w:b/>
                            <w:color w:val="C96D61"/>
                            <w:szCs w:val="20"/>
                          </w:rPr>
                        </w:pPr>
                        <w:r w:rsidRPr="00392EE8">
                          <w:rPr>
                            <w:rFonts w:ascii="Metropolis" w:hAnsi="Metropolis"/>
                            <w:b/>
                            <w:color w:val="C96D61"/>
                            <w:szCs w:val="20"/>
                          </w:rPr>
                          <w:t>Wellington, New Zealand</w:t>
                        </w:r>
                      </w:p>
                      <w:p w14:paraId="352A27FB" w14:textId="77777777" w:rsidR="00392EE8" w:rsidRDefault="00392EE8" w:rsidP="00392EE8"/>
                    </w:txbxContent>
                  </v:textbox>
                </v:shape>
              </v:group>
            </w:pict>
          </mc:Fallback>
        </mc:AlternateContent>
      </w:r>
    </w:p>
    <w:p w14:paraId="1F9EE36C" w14:textId="30D97DF3" w:rsidR="00862DF8" w:rsidRDefault="00862DF8">
      <w:pPr>
        <w:spacing w:after="0" w:line="200" w:lineRule="exact"/>
        <w:rPr>
          <w:szCs w:val="20"/>
        </w:rPr>
      </w:pPr>
    </w:p>
    <w:p w14:paraId="1F9EE36D" w14:textId="38C07F40" w:rsidR="00862DF8" w:rsidRDefault="00862DF8">
      <w:pPr>
        <w:spacing w:after="0" w:line="200" w:lineRule="exact"/>
        <w:rPr>
          <w:szCs w:val="20"/>
        </w:rPr>
      </w:pPr>
    </w:p>
    <w:p w14:paraId="1F9EE36E" w14:textId="32AF4438" w:rsidR="00862DF8" w:rsidRDefault="00862DF8">
      <w:pPr>
        <w:spacing w:after="0" w:line="200" w:lineRule="exact"/>
        <w:rPr>
          <w:szCs w:val="20"/>
        </w:rPr>
      </w:pPr>
    </w:p>
    <w:p w14:paraId="706C2C4A" w14:textId="7695384D" w:rsidR="00392EE8" w:rsidRPr="00140754" w:rsidRDefault="00392EE8" w:rsidP="002940BD">
      <w:pPr>
        <w:pStyle w:val="FootnoteText"/>
        <w:ind w:left="0" w:firstLine="0"/>
      </w:pPr>
    </w:p>
    <w:p w14:paraId="1F9EE36F" w14:textId="2FC917E0" w:rsidR="00862DF8" w:rsidRDefault="00862DF8">
      <w:pPr>
        <w:spacing w:after="0" w:line="200" w:lineRule="exact"/>
        <w:rPr>
          <w:szCs w:val="20"/>
        </w:rPr>
      </w:pPr>
    </w:p>
    <w:p w14:paraId="1F9EE372" w14:textId="77777777" w:rsidR="00862DF8" w:rsidRDefault="00862DF8">
      <w:pPr>
        <w:spacing w:after="0" w:line="200" w:lineRule="exact"/>
        <w:rPr>
          <w:szCs w:val="20"/>
        </w:rPr>
      </w:pPr>
    </w:p>
    <w:p w14:paraId="1F9EE373" w14:textId="77777777" w:rsidR="00862DF8" w:rsidRDefault="00862DF8">
      <w:pPr>
        <w:spacing w:before="2" w:after="0" w:line="260" w:lineRule="exact"/>
        <w:rPr>
          <w:sz w:val="26"/>
          <w:szCs w:val="26"/>
        </w:rPr>
      </w:pPr>
    </w:p>
    <w:p w14:paraId="1F9EE374" w14:textId="678A8234" w:rsidR="00862DF8" w:rsidRPr="003A7A58" w:rsidRDefault="0028184D">
      <w:pPr>
        <w:spacing w:before="51" w:after="0" w:line="240" w:lineRule="auto"/>
        <w:ind w:left="117" w:right="-20"/>
        <w:rPr>
          <w:rFonts w:ascii="Metropolis Extra Bold" w:eastAsia="Metropolis Extra Bold" w:hAnsi="Metropolis Extra Bold" w:cs="Metropolis Extra Bold"/>
          <w:color w:val="262626" w:themeColor="text1" w:themeTint="D9"/>
          <w:sz w:val="33"/>
          <w:szCs w:val="33"/>
        </w:rPr>
      </w:pPr>
      <w:proofErr w:type="spellStart"/>
      <w:r w:rsidRPr="00F00BCD">
        <w:rPr>
          <w:rFonts w:ascii="Metropolis Extra Bold" w:eastAsia="Metropolis Extra Bold" w:hAnsi="Metropolis Extra Bold" w:cs="Metropolis Extra Bold"/>
          <w:color w:val="262626" w:themeColor="text1" w:themeTint="D9"/>
          <w:spacing w:val="-2"/>
          <w:sz w:val="33"/>
          <w:szCs w:val="33"/>
        </w:rPr>
        <w:t>Pūrongo</w:t>
      </w:r>
      <w:proofErr w:type="spellEnd"/>
      <w:r w:rsidRPr="00F00BCD">
        <w:rPr>
          <w:rFonts w:ascii="Metropolis Extra Bold" w:eastAsia="Metropolis Extra Bold" w:hAnsi="Metropolis Extra Bold" w:cs="Metropolis Extra Bold"/>
          <w:color w:val="262626" w:themeColor="text1" w:themeTint="D9"/>
          <w:spacing w:val="-2"/>
          <w:sz w:val="33"/>
          <w:szCs w:val="33"/>
        </w:rPr>
        <w:t xml:space="preserve"> </w:t>
      </w:r>
      <w:proofErr w:type="spellStart"/>
      <w:r w:rsidRPr="00F00BCD">
        <w:rPr>
          <w:rFonts w:ascii="Metropolis Extra Bold" w:eastAsia="Metropolis Extra Bold" w:hAnsi="Metropolis Extra Bold" w:cs="Metropolis Extra Bold"/>
          <w:color w:val="262626" w:themeColor="text1" w:themeTint="D9"/>
          <w:spacing w:val="-2"/>
          <w:sz w:val="33"/>
          <w:szCs w:val="33"/>
        </w:rPr>
        <w:t>Rangahau</w:t>
      </w:r>
      <w:proofErr w:type="spellEnd"/>
      <w:r w:rsidR="00FF5030" w:rsidRPr="00F00BCD">
        <w:rPr>
          <w:rFonts w:ascii="Metropolis Extra Bold" w:eastAsia="Metropolis Extra Bold" w:hAnsi="Metropolis Extra Bold" w:cs="Metropolis Extra Bold"/>
          <w:color w:val="262626" w:themeColor="text1" w:themeTint="D9"/>
          <w:spacing w:val="-2"/>
          <w:sz w:val="33"/>
          <w:szCs w:val="33"/>
        </w:rPr>
        <w:t xml:space="preserve"> | </w:t>
      </w:r>
      <w:r w:rsidR="002A1421" w:rsidRPr="00F00BCD">
        <w:rPr>
          <w:rFonts w:ascii="Metropolis Extra Bold" w:eastAsia="Metropolis Extra Bold" w:hAnsi="Metropolis Extra Bold" w:cs="Metropolis Extra Bold"/>
          <w:color w:val="262626" w:themeColor="text1" w:themeTint="D9"/>
          <w:spacing w:val="-2"/>
          <w:sz w:val="33"/>
          <w:szCs w:val="33"/>
        </w:rPr>
        <w:t>S</w:t>
      </w:r>
      <w:r w:rsidR="002A1421" w:rsidRPr="00F00BCD">
        <w:rPr>
          <w:rFonts w:ascii="Metropolis Extra Bold" w:eastAsia="Metropolis Extra Bold" w:hAnsi="Metropolis Extra Bold" w:cs="Metropolis Extra Bold"/>
          <w:color w:val="262626" w:themeColor="text1" w:themeTint="D9"/>
          <w:spacing w:val="-1"/>
          <w:sz w:val="33"/>
          <w:szCs w:val="33"/>
        </w:rPr>
        <w:t>t</w:t>
      </w:r>
      <w:r w:rsidR="002A1421" w:rsidRPr="00F00BCD">
        <w:rPr>
          <w:rFonts w:ascii="Metropolis Extra Bold" w:eastAsia="Metropolis Extra Bold" w:hAnsi="Metropolis Extra Bold" w:cs="Metropolis Extra Bold"/>
          <w:color w:val="262626" w:themeColor="text1" w:themeTint="D9"/>
          <w:spacing w:val="2"/>
          <w:sz w:val="33"/>
          <w:szCs w:val="33"/>
        </w:rPr>
        <w:t>u</w:t>
      </w:r>
      <w:r w:rsidR="002A1421" w:rsidRPr="00F00BCD">
        <w:rPr>
          <w:rFonts w:ascii="Metropolis Extra Bold" w:eastAsia="Metropolis Extra Bold" w:hAnsi="Metropolis Extra Bold" w:cs="Metropolis Extra Bold"/>
          <w:color w:val="262626" w:themeColor="text1" w:themeTint="D9"/>
          <w:spacing w:val="-1"/>
          <w:sz w:val="33"/>
          <w:szCs w:val="33"/>
        </w:rPr>
        <w:t>d</w:t>
      </w:r>
      <w:r w:rsidR="002A1421" w:rsidRPr="00F00BCD">
        <w:rPr>
          <w:rFonts w:ascii="Metropolis Extra Bold" w:eastAsia="Metropolis Extra Bold" w:hAnsi="Metropolis Extra Bold" w:cs="Metropolis Extra Bold"/>
          <w:color w:val="262626" w:themeColor="text1" w:themeTint="D9"/>
          <w:sz w:val="33"/>
          <w:szCs w:val="33"/>
        </w:rPr>
        <w:t xml:space="preserve">y </w:t>
      </w:r>
      <w:r w:rsidR="002A1421" w:rsidRPr="00F00BCD">
        <w:rPr>
          <w:rFonts w:ascii="Metropolis Extra Bold" w:eastAsia="Metropolis Extra Bold" w:hAnsi="Metropolis Extra Bold" w:cs="Metropolis Extra Bold"/>
          <w:color w:val="262626" w:themeColor="text1" w:themeTint="D9"/>
          <w:spacing w:val="-5"/>
          <w:sz w:val="33"/>
          <w:szCs w:val="33"/>
        </w:rPr>
        <w:t>P</w:t>
      </w:r>
      <w:r w:rsidR="002A1421" w:rsidRPr="00F00BCD">
        <w:rPr>
          <w:rFonts w:ascii="Metropolis Extra Bold" w:eastAsia="Metropolis Extra Bold" w:hAnsi="Metropolis Extra Bold" w:cs="Metropolis Extra Bold"/>
          <w:color w:val="262626" w:themeColor="text1" w:themeTint="D9"/>
          <w:spacing w:val="2"/>
          <w:sz w:val="33"/>
          <w:szCs w:val="33"/>
        </w:rPr>
        <w:t>a</w:t>
      </w:r>
      <w:r w:rsidR="002A1421" w:rsidRPr="00F00BCD">
        <w:rPr>
          <w:rFonts w:ascii="Metropolis Extra Bold" w:eastAsia="Metropolis Extra Bold" w:hAnsi="Metropolis Extra Bold" w:cs="Metropolis Extra Bold"/>
          <w:color w:val="262626" w:themeColor="text1" w:themeTint="D9"/>
          <w:spacing w:val="1"/>
          <w:sz w:val="33"/>
          <w:szCs w:val="33"/>
        </w:rPr>
        <w:t>pe</w:t>
      </w:r>
      <w:r w:rsidR="002A1421" w:rsidRPr="00F00BCD">
        <w:rPr>
          <w:rFonts w:ascii="Metropolis Extra Bold" w:eastAsia="Metropolis Extra Bold" w:hAnsi="Metropolis Extra Bold" w:cs="Metropolis Extra Bold"/>
          <w:color w:val="262626" w:themeColor="text1" w:themeTint="D9"/>
          <w:sz w:val="33"/>
          <w:szCs w:val="33"/>
        </w:rPr>
        <w:t xml:space="preserve">r </w:t>
      </w:r>
      <w:r w:rsidR="002A1421" w:rsidRPr="00F00BCD">
        <w:rPr>
          <w:rFonts w:ascii="Metropolis Extra Bold" w:eastAsia="Metropolis Extra Bold" w:hAnsi="Metropolis Extra Bold" w:cs="Metropolis Extra Bold"/>
          <w:color w:val="262626" w:themeColor="text1" w:themeTint="D9"/>
          <w:spacing w:val="1"/>
          <w:sz w:val="33"/>
          <w:szCs w:val="33"/>
        </w:rPr>
        <w:t>2</w:t>
      </w:r>
      <w:r w:rsidR="0048576D" w:rsidRPr="00F00BCD">
        <w:rPr>
          <w:rFonts w:ascii="Metropolis Extra Bold" w:eastAsia="Metropolis Extra Bold" w:hAnsi="Metropolis Extra Bold" w:cs="Metropolis Extra Bold"/>
          <w:color w:val="262626" w:themeColor="text1" w:themeTint="D9"/>
          <w:spacing w:val="1"/>
          <w:sz w:val="33"/>
          <w:szCs w:val="33"/>
        </w:rPr>
        <w:t>3</w:t>
      </w:r>
    </w:p>
    <w:p w14:paraId="1F9EE375" w14:textId="77777777" w:rsidR="00862DF8" w:rsidRDefault="00862DF8">
      <w:pPr>
        <w:spacing w:before="8" w:after="0" w:line="120" w:lineRule="exact"/>
        <w:rPr>
          <w:sz w:val="12"/>
          <w:szCs w:val="12"/>
        </w:rPr>
      </w:pPr>
    </w:p>
    <w:p w14:paraId="1F9EE376" w14:textId="452F5844" w:rsidR="00862DF8" w:rsidRDefault="00862DF8">
      <w:pPr>
        <w:spacing w:after="0" w:line="200" w:lineRule="exact"/>
        <w:rPr>
          <w:szCs w:val="20"/>
        </w:rPr>
      </w:pPr>
    </w:p>
    <w:p w14:paraId="4459FDE6" w14:textId="77777777" w:rsidR="008472D4" w:rsidRDefault="008472D4">
      <w:pPr>
        <w:spacing w:after="0" w:line="200" w:lineRule="exact"/>
        <w:rPr>
          <w:szCs w:val="20"/>
        </w:rPr>
      </w:pPr>
    </w:p>
    <w:p w14:paraId="2A4A944D" w14:textId="77777777" w:rsidR="00F03E0B" w:rsidRDefault="00F03E0B">
      <w:pPr>
        <w:spacing w:after="0" w:line="200" w:lineRule="exact"/>
        <w:rPr>
          <w:szCs w:val="20"/>
        </w:rPr>
      </w:pPr>
    </w:p>
    <w:p w14:paraId="1F9EE377" w14:textId="73FF4308" w:rsidR="00862DF8" w:rsidRPr="003A7A58" w:rsidRDefault="00E6718F" w:rsidP="00516ADB">
      <w:pPr>
        <w:spacing w:after="0" w:line="288" w:lineRule="auto"/>
        <w:ind w:left="119" w:right="1100"/>
        <w:rPr>
          <w:rFonts w:ascii="Metropolis Black" w:eastAsia="Metropolis Black" w:hAnsi="Metropolis Black" w:cs="Metropolis Black"/>
          <w:color w:val="262626" w:themeColor="text1" w:themeTint="D9"/>
          <w:sz w:val="66"/>
          <w:szCs w:val="66"/>
        </w:rPr>
      </w:pPr>
      <w:r w:rsidRPr="00E6718F">
        <w:rPr>
          <w:rFonts w:ascii="Metropolis Black" w:eastAsia="Metropolis Black" w:hAnsi="Metropolis Black" w:cs="Metropolis Black"/>
          <w:b/>
          <w:bCs/>
          <w:color w:val="262626" w:themeColor="text1" w:themeTint="D9"/>
          <w:spacing w:val="-13"/>
          <w:sz w:val="66"/>
          <w:szCs w:val="66"/>
        </w:rPr>
        <w:t xml:space="preserve">The Legal Framework for Emergencies in Aotearoa New Zealand </w:t>
      </w:r>
    </w:p>
    <w:p w14:paraId="699D58A4" w14:textId="24AC7369" w:rsidR="00B21310" w:rsidRDefault="00B21310" w:rsidP="00BA125A">
      <w:pPr>
        <w:spacing w:before="6" w:after="0" w:line="300" w:lineRule="auto"/>
        <w:rPr>
          <w:color w:val="000000" w:themeColor="text1"/>
          <w:sz w:val="15"/>
          <w:szCs w:val="15"/>
        </w:rPr>
      </w:pPr>
    </w:p>
    <w:p w14:paraId="497D6656" w14:textId="77777777" w:rsidR="003E3C97" w:rsidRDefault="003E3C97" w:rsidP="00BA125A">
      <w:pPr>
        <w:spacing w:before="6" w:after="0" w:line="300" w:lineRule="auto"/>
        <w:rPr>
          <w:color w:val="000000" w:themeColor="text1"/>
          <w:sz w:val="15"/>
          <w:szCs w:val="15"/>
        </w:rPr>
      </w:pPr>
    </w:p>
    <w:p w14:paraId="48B559E2" w14:textId="06D43EA4" w:rsidR="00B21310" w:rsidRDefault="00B64AF8" w:rsidP="00BA125A">
      <w:pPr>
        <w:spacing w:before="6" w:after="0" w:line="300" w:lineRule="auto"/>
        <w:rPr>
          <w:color w:val="000000" w:themeColor="text1"/>
          <w:sz w:val="15"/>
          <w:szCs w:val="15"/>
        </w:rPr>
      </w:pPr>
      <w:r w:rsidRPr="00DB0600">
        <w:rPr>
          <w:noProof/>
        </w:rPr>
        <mc:AlternateContent>
          <mc:Choice Requires="wpg">
            <w:drawing>
              <wp:anchor distT="0" distB="0" distL="114300" distR="114300" simplePos="0" relativeHeight="251658242" behindDoc="1" locked="0" layoutInCell="1" allowOverlap="1" wp14:anchorId="4C19481F" wp14:editId="0E2CD8C3">
                <wp:simplePos x="0" y="0"/>
                <wp:positionH relativeFrom="page">
                  <wp:posOffset>1167130</wp:posOffset>
                </wp:positionH>
                <wp:positionV relativeFrom="paragraph">
                  <wp:posOffset>74930</wp:posOffset>
                </wp:positionV>
                <wp:extent cx="1799590" cy="1270"/>
                <wp:effectExtent l="0" t="19050" r="10160" b="1778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417" y="1878"/>
                          <a:chExt cx="2098" cy="2"/>
                        </a:xfrm>
                      </wpg:grpSpPr>
                      <wps:wsp>
                        <wps:cNvPr id="242" name="Freeform 9"/>
                        <wps:cNvSpPr>
                          <a:spLocks/>
                        </wps:cNvSpPr>
                        <wps:spPr bwMode="auto">
                          <a:xfrm>
                            <a:off x="1417" y="1878"/>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414042"/>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1CB99" id="Group 241" o:spid="_x0000_s1026" style="position:absolute;margin-left:91.9pt;margin-top:5.9pt;width:141.7pt;height:.1pt;z-index:-251658238;mso-position-horizontal-relative:page" coordorigin="1417,1878"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">
                <v:shape id="Freeform 9" o:spid="_x0000_s1027" style="position:absolute;left:1417;top:1878;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" path="m,l2098,e" filled="f" strokecolor="#414042" strokeweight="3pt">
                  <v:path arrowok="t" o:connecttype="custom" o:connectlocs="0,0;2098,0" o:connectangles="0,0"/>
                </v:shape>
                <w10:wrap anchorx="page"/>
              </v:group>
            </w:pict>
          </mc:Fallback>
        </mc:AlternateContent>
      </w:r>
    </w:p>
    <w:p w14:paraId="1F9EE37C" w14:textId="42B52F7D" w:rsidR="00862DF8" w:rsidRPr="00575F3A" w:rsidRDefault="00862DF8" w:rsidP="00BA125A">
      <w:pPr>
        <w:spacing w:after="0" w:line="300" w:lineRule="auto"/>
        <w:rPr>
          <w:sz w:val="8"/>
          <w:szCs w:val="8"/>
        </w:rPr>
      </w:pPr>
    </w:p>
    <w:p w14:paraId="3019FFB5" w14:textId="77777777" w:rsidR="00C03750" w:rsidRDefault="00C03750" w:rsidP="00543A5B">
      <w:pPr>
        <w:spacing w:before="51" w:after="0" w:line="240" w:lineRule="auto"/>
        <w:ind w:left="117" w:right="-20"/>
        <w:rPr>
          <w:rFonts w:ascii="Metropolis Extra Bold" w:eastAsia="Metropolis Extra Bold" w:hAnsi="Metropolis Extra Bold" w:cs="Metropolis Extra Bold"/>
          <w:color w:val="C96D61"/>
          <w:sz w:val="33"/>
          <w:szCs w:val="33"/>
        </w:rPr>
      </w:pPr>
    </w:p>
    <w:p w14:paraId="29A60C6B" w14:textId="458C3D57" w:rsidR="00543A5B" w:rsidRPr="007801E8" w:rsidRDefault="00543A5B" w:rsidP="00543A5B">
      <w:pPr>
        <w:spacing w:before="51" w:after="0" w:line="240" w:lineRule="auto"/>
        <w:ind w:left="117" w:right="-20"/>
        <w:rPr>
          <w:rFonts w:ascii="Metropolis Extra Bold" w:eastAsia="Metropolis Extra Bold" w:hAnsi="Metropolis Extra Bold" w:cs="Metropolis Extra Bold"/>
          <w:color w:val="C96D61"/>
          <w:sz w:val="36"/>
          <w:szCs w:val="36"/>
        </w:rPr>
        <w:sectPr w:rsidR="00543A5B" w:rsidRPr="007801E8" w:rsidSect="00D50ACF">
          <w:footnotePr>
            <w:numRestart w:val="eachSect"/>
          </w:footnotePr>
          <w:type w:val="continuous"/>
          <w:pgSz w:w="11920" w:h="16840"/>
          <w:pgMar w:top="1134" w:right="1134" w:bottom="1134" w:left="1701" w:header="720" w:footer="720" w:gutter="0"/>
          <w:cols w:space="720"/>
        </w:sectPr>
      </w:pPr>
      <w:r w:rsidRPr="007801E8">
        <w:rPr>
          <w:rFonts w:ascii="Metropolis Extra Bold" w:eastAsia="Metropolis Extra Bold" w:hAnsi="Metropolis Extra Bold" w:cs="Metropolis Extra Bold"/>
          <w:color w:val="C96D61"/>
          <w:sz w:val="36"/>
          <w:szCs w:val="36"/>
        </w:rPr>
        <w:t>Professor Janet McLean KC</w:t>
      </w:r>
    </w:p>
    <w:p w14:paraId="431D943C" w14:textId="7CB38AAA" w:rsidR="009C1396" w:rsidRPr="00C27100" w:rsidRDefault="009C1396" w:rsidP="00566F19">
      <w:pPr>
        <w:spacing w:before="480" w:after="0" w:line="300" w:lineRule="auto"/>
        <w:ind w:left="119" w:right="1287"/>
        <w:rPr>
          <w:rFonts w:ascii="Metropolis Black" w:eastAsia="Metropolis Black" w:hAnsi="Metropolis Black" w:cs="Metropolis Black"/>
          <w:color w:val="CD796C"/>
          <w:spacing w:val="-32"/>
          <w:sz w:val="40"/>
          <w:szCs w:val="40"/>
        </w:rPr>
      </w:pPr>
    </w:p>
    <w:p w14:paraId="295F6ACD" w14:textId="77777777" w:rsidR="00EC73E8" w:rsidRDefault="00EC73E8">
      <w:pPr>
        <w:spacing w:after="0"/>
        <w:rPr>
          <w:rFonts w:ascii="Metropolis" w:hAnsi="Metropolis"/>
        </w:rPr>
      </w:pPr>
    </w:p>
    <w:p w14:paraId="1F9EE37F" w14:textId="7638AEDF" w:rsidR="00EC73E8" w:rsidRPr="00575F3A" w:rsidRDefault="00BC6B35" w:rsidP="00575F3A">
      <w:pPr>
        <w:spacing w:before="51" w:after="0" w:line="240" w:lineRule="auto"/>
        <w:ind w:left="117" w:right="-20"/>
        <w:rPr>
          <w:rFonts w:ascii="Metropolis Extra Bold" w:eastAsia="Metropolis Extra Bold" w:hAnsi="Metropolis Extra Bold" w:cs="Metropolis Extra Bold"/>
          <w:color w:val="262626" w:themeColor="text1" w:themeTint="D9"/>
          <w:sz w:val="33"/>
          <w:szCs w:val="33"/>
        </w:rPr>
        <w:sectPr w:rsidR="00EC73E8" w:rsidRPr="00575F3A" w:rsidSect="00D50ACF">
          <w:footnotePr>
            <w:numRestart w:val="eachSect"/>
          </w:footnotePr>
          <w:type w:val="continuous"/>
          <w:pgSz w:w="11920" w:h="16840"/>
          <w:pgMar w:top="1134" w:right="1134" w:bottom="1134" w:left="1701" w:header="720" w:footer="720" w:gutter="0"/>
          <w:cols w:space="720"/>
        </w:sectPr>
      </w:pPr>
      <w:r>
        <w:rPr>
          <w:rFonts w:ascii="Metropolis Extra Bold" w:eastAsia="Metropolis Extra Bold" w:hAnsi="Metropolis Extra Bold" w:cs="Metropolis Extra Bold"/>
          <w:noProof/>
          <w:color w:val="262626" w:themeColor="text1" w:themeTint="D9"/>
          <w:sz w:val="33"/>
          <w:szCs w:val="33"/>
        </w:rPr>
        <w:drawing>
          <wp:anchor distT="0" distB="0" distL="114300" distR="114300" simplePos="0" relativeHeight="251658267" behindDoc="0" locked="0" layoutInCell="1" allowOverlap="1" wp14:anchorId="4FB6579C" wp14:editId="3662C652">
            <wp:simplePos x="0" y="0"/>
            <wp:positionH relativeFrom="column">
              <wp:posOffset>-918210</wp:posOffset>
            </wp:positionH>
            <wp:positionV relativeFrom="paragraph">
              <wp:posOffset>2776301</wp:posOffset>
            </wp:positionV>
            <wp:extent cx="7232102" cy="1158258"/>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32102" cy="1158258"/>
                    </a:xfrm>
                    <a:prstGeom prst="rect">
                      <a:avLst/>
                    </a:prstGeom>
                  </pic:spPr>
                </pic:pic>
              </a:graphicData>
            </a:graphic>
            <wp14:sizeRelH relativeFrom="margin">
              <wp14:pctWidth>0</wp14:pctWidth>
            </wp14:sizeRelH>
            <wp14:sizeRelV relativeFrom="margin">
              <wp14:pctHeight>0</wp14:pctHeight>
            </wp14:sizeRelV>
          </wp:anchor>
        </w:drawing>
      </w:r>
    </w:p>
    <w:p w14:paraId="6C53466D" w14:textId="77FD450D" w:rsidR="003C78A6" w:rsidRPr="00CC0BA1" w:rsidRDefault="003C78A6" w:rsidP="00516ADB">
      <w:pPr>
        <w:ind w:right="1855"/>
        <w:jc w:val="both"/>
        <w:rPr>
          <w:sz w:val="18"/>
          <w:szCs w:val="18"/>
        </w:rPr>
      </w:pPr>
      <w:proofErr w:type="spellStart"/>
      <w:r w:rsidRPr="00CC0BA1">
        <w:rPr>
          <w:sz w:val="18"/>
          <w:szCs w:val="18"/>
        </w:rPr>
        <w:lastRenderedPageBreak/>
        <w:t>Te</w:t>
      </w:r>
      <w:proofErr w:type="spellEnd"/>
      <w:r w:rsidRPr="00CC0BA1">
        <w:rPr>
          <w:sz w:val="18"/>
          <w:szCs w:val="18"/>
        </w:rPr>
        <w:t xml:space="preserve"> Aka Matua o </w:t>
      </w:r>
      <w:proofErr w:type="spellStart"/>
      <w:r w:rsidRPr="00CC0BA1">
        <w:rPr>
          <w:sz w:val="18"/>
          <w:szCs w:val="18"/>
        </w:rPr>
        <w:t>te</w:t>
      </w:r>
      <w:proofErr w:type="spellEnd"/>
      <w:r w:rsidRPr="00CC0BA1">
        <w:rPr>
          <w:sz w:val="18"/>
          <w:szCs w:val="18"/>
        </w:rPr>
        <w:t xml:space="preserve"> Ture | Law Commission</w:t>
      </w:r>
      <w:r w:rsidR="007F386C">
        <w:rPr>
          <w:sz w:val="18"/>
          <w:szCs w:val="18"/>
        </w:rPr>
        <w:t xml:space="preserve"> </w:t>
      </w:r>
      <w:r w:rsidRPr="00CC0BA1">
        <w:rPr>
          <w:sz w:val="18"/>
          <w:szCs w:val="18"/>
        </w:rPr>
        <w:t xml:space="preserve">is an independent, publicly funded, central advisory body established by statute to undertake the systematic review, </w:t>
      </w:r>
      <w:proofErr w:type="gramStart"/>
      <w:r w:rsidRPr="00CC0BA1">
        <w:rPr>
          <w:sz w:val="18"/>
          <w:szCs w:val="18"/>
        </w:rPr>
        <w:t>reform</w:t>
      </w:r>
      <w:proofErr w:type="gramEnd"/>
      <w:r w:rsidRPr="00CC0BA1">
        <w:rPr>
          <w:sz w:val="18"/>
          <w:szCs w:val="18"/>
        </w:rPr>
        <w:t xml:space="preserve"> and development of the law of Aotearoa New Zealand. Its purpose is to help achieve law that is just, </w:t>
      </w:r>
      <w:proofErr w:type="gramStart"/>
      <w:r w:rsidRPr="00CC0BA1">
        <w:rPr>
          <w:sz w:val="18"/>
          <w:szCs w:val="18"/>
        </w:rPr>
        <w:t>principled</w:t>
      </w:r>
      <w:proofErr w:type="gramEnd"/>
      <w:r w:rsidRPr="00CC0BA1">
        <w:rPr>
          <w:sz w:val="18"/>
          <w:szCs w:val="18"/>
        </w:rPr>
        <w:t xml:space="preserve"> and accessible and that reflects the values and aspirations of the people of Aotearoa New Zealand.  </w:t>
      </w:r>
    </w:p>
    <w:p w14:paraId="51C1B5B6" w14:textId="77777777" w:rsidR="003C78A6" w:rsidRPr="00CC0BA1" w:rsidRDefault="003C78A6" w:rsidP="00516ADB">
      <w:pPr>
        <w:ind w:right="1855"/>
        <w:jc w:val="both"/>
        <w:rPr>
          <w:sz w:val="18"/>
          <w:szCs w:val="18"/>
        </w:rPr>
      </w:pPr>
      <w:proofErr w:type="spellStart"/>
      <w:r w:rsidRPr="00CC0BA1">
        <w:rPr>
          <w:sz w:val="18"/>
          <w:szCs w:val="18"/>
        </w:rPr>
        <w:t>Te</w:t>
      </w:r>
      <w:proofErr w:type="spellEnd"/>
      <w:r w:rsidRPr="00CC0BA1">
        <w:rPr>
          <w:sz w:val="18"/>
          <w:szCs w:val="18"/>
        </w:rPr>
        <w:t xml:space="preserve"> Aka Matua in the Commission’s Māori name refers to the parent vine that </w:t>
      </w:r>
      <w:proofErr w:type="spellStart"/>
      <w:r w:rsidRPr="00CC0BA1">
        <w:rPr>
          <w:sz w:val="18"/>
          <w:szCs w:val="18"/>
        </w:rPr>
        <w:t>Tāwhaki</w:t>
      </w:r>
      <w:proofErr w:type="spellEnd"/>
      <w:r w:rsidRPr="00CC0BA1">
        <w:rPr>
          <w:sz w:val="18"/>
          <w:szCs w:val="18"/>
        </w:rPr>
        <w:t xml:space="preserve"> used to climb up to the heavens. At the foot of the ascent, </w:t>
      </w:r>
      <w:proofErr w:type="gramStart"/>
      <w:r w:rsidRPr="00CC0BA1">
        <w:rPr>
          <w:sz w:val="18"/>
          <w:szCs w:val="18"/>
        </w:rPr>
        <w:t>he</w:t>
      </w:r>
      <w:proofErr w:type="gramEnd"/>
      <w:r w:rsidRPr="00CC0BA1">
        <w:rPr>
          <w:sz w:val="18"/>
          <w:szCs w:val="18"/>
        </w:rPr>
        <w:t xml:space="preserve"> and his brother Karihi find their grandmother Whaitiri, who guards the vines that form the pathway into the sky. Karihi tries to climb the vines first but makes the error of climbing up the aka </w:t>
      </w:r>
      <w:proofErr w:type="spellStart"/>
      <w:r w:rsidRPr="00CC0BA1">
        <w:rPr>
          <w:sz w:val="18"/>
          <w:szCs w:val="18"/>
        </w:rPr>
        <w:t>taepa</w:t>
      </w:r>
      <w:proofErr w:type="spellEnd"/>
      <w:r w:rsidRPr="00CC0BA1">
        <w:rPr>
          <w:sz w:val="18"/>
          <w:szCs w:val="18"/>
        </w:rPr>
        <w:t xml:space="preserve"> or hanging vine. He is blown violently around by the winds of heaven and falls to his death. Following Whaitiri’s advice, </w:t>
      </w:r>
      <w:proofErr w:type="spellStart"/>
      <w:r w:rsidRPr="00CC0BA1">
        <w:rPr>
          <w:sz w:val="18"/>
          <w:szCs w:val="18"/>
        </w:rPr>
        <w:t>Tāwhaki</w:t>
      </w:r>
      <w:proofErr w:type="spellEnd"/>
      <w:r w:rsidRPr="00CC0BA1">
        <w:rPr>
          <w:sz w:val="18"/>
          <w:szCs w:val="18"/>
        </w:rPr>
        <w:t xml:space="preserve"> climbs the aka </w:t>
      </w:r>
      <w:proofErr w:type="spellStart"/>
      <w:r w:rsidRPr="00CC0BA1">
        <w:rPr>
          <w:sz w:val="18"/>
          <w:szCs w:val="18"/>
        </w:rPr>
        <w:t>matua</w:t>
      </w:r>
      <w:proofErr w:type="spellEnd"/>
      <w:r w:rsidRPr="00CC0BA1">
        <w:rPr>
          <w:sz w:val="18"/>
          <w:szCs w:val="18"/>
        </w:rPr>
        <w:t xml:space="preserve"> or parent vine, reaches the heavens and receives the three baskets of knowledge.</w:t>
      </w:r>
    </w:p>
    <w:p w14:paraId="0F64F989" w14:textId="77777777" w:rsidR="003C78A6" w:rsidRPr="003C78A6" w:rsidRDefault="003C78A6" w:rsidP="003C78A6">
      <w:pPr>
        <w:spacing w:before="240"/>
        <w:ind w:left="142" w:hanging="142"/>
        <w:rPr>
          <w:rFonts w:ascii="Metropolis" w:hAnsi="Metropolis"/>
          <w:b/>
          <w:bCs/>
          <w:i/>
          <w:iCs/>
          <w:color w:val="C96D61"/>
          <w:szCs w:val="20"/>
        </w:rPr>
      </w:pPr>
      <w:r w:rsidRPr="003C78A6">
        <w:rPr>
          <w:rFonts w:ascii="Metropolis" w:hAnsi="Metropolis"/>
          <w:b/>
          <w:bCs/>
          <w:i/>
          <w:iCs/>
          <w:color w:val="C96D61"/>
          <w:szCs w:val="20"/>
        </w:rPr>
        <w:t xml:space="preserve">Kia whanake ngā </w:t>
      </w:r>
      <w:proofErr w:type="spellStart"/>
      <w:r w:rsidRPr="003C78A6">
        <w:rPr>
          <w:rFonts w:ascii="Metropolis" w:hAnsi="Metropolis"/>
          <w:b/>
          <w:bCs/>
          <w:i/>
          <w:iCs/>
          <w:color w:val="C96D61"/>
          <w:szCs w:val="20"/>
        </w:rPr>
        <w:t>ture</w:t>
      </w:r>
      <w:proofErr w:type="spellEnd"/>
      <w:r w:rsidRPr="003C78A6">
        <w:rPr>
          <w:rFonts w:ascii="Metropolis" w:hAnsi="Metropolis"/>
          <w:b/>
          <w:bCs/>
          <w:i/>
          <w:iCs/>
          <w:color w:val="C96D61"/>
          <w:szCs w:val="20"/>
        </w:rPr>
        <w:t xml:space="preserve"> o Aotearoa </w:t>
      </w:r>
      <w:proofErr w:type="spellStart"/>
      <w:r w:rsidRPr="003C78A6">
        <w:rPr>
          <w:rFonts w:ascii="Metropolis" w:hAnsi="Metropolis"/>
          <w:b/>
          <w:bCs/>
          <w:i/>
          <w:iCs/>
          <w:color w:val="C96D61"/>
          <w:szCs w:val="20"/>
        </w:rPr>
        <w:t>mā</w:t>
      </w:r>
      <w:proofErr w:type="spellEnd"/>
      <w:r w:rsidRPr="003C78A6">
        <w:rPr>
          <w:rFonts w:ascii="Metropolis" w:hAnsi="Metropolis"/>
          <w:b/>
          <w:bCs/>
          <w:i/>
          <w:iCs/>
          <w:color w:val="C96D61"/>
          <w:szCs w:val="20"/>
        </w:rPr>
        <w:t xml:space="preserve"> </w:t>
      </w:r>
      <w:proofErr w:type="spellStart"/>
      <w:r w:rsidRPr="003C78A6">
        <w:rPr>
          <w:rFonts w:ascii="Metropolis" w:hAnsi="Metropolis"/>
          <w:b/>
          <w:bCs/>
          <w:i/>
          <w:iCs/>
          <w:color w:val="C96D61"/>
          <w:szCs w:val="20"/>
        </w:rPr>
        <w:t>te</w:t>
      </w:r>
      <w:proofErr w:type="spellEnd"/>
      <w:r w:rsidRPr="003C78A6">
        <w:rPr>
          <w:rFonts w:ascii="Metropolis" w:hAnsi="Metropolis"/>
          <w:b/>
          <w:bCs/>
          <w:i/>
          <w:iCs/>
          <w:color w:val="C96D61"/>
          <w:szCs w:val="20"/>
        </w:rPr>
        <w:t xml:space="preserve"> </w:t>
      </w:r>
      <w:proofErr w:type="spellStart"/>
      <w:r w:rsidRPr="003C78A6">
        <w:rPr>
          <w:rFonts w:ascii="Metropolis" w:hAnsi="Metropolis"/>
          <w:b/>
          <w:bCs/>
          <w:i/>
          <w:iCs/>
          <w:color w:val="C96D61"/>
          <w:szCs w:val="20"/>
        </w:rPr>
        <w:t>arotake</w:t>
      </w:r>
      <w:proofErr w:type="spellEnd"/>
      <w:r w:rsidRPr="003C78A6">
        <w:rPr>
          <w:rFonts w:ascii="Metropolis" w:hAnsi="Metropolis"/>
          <w:b/>
          <w:bCs/>
          <w:i/>
          <w:iCs/>
          <w:color w:val="C96D61"/>
          <w:szCs w:val="20"/>
        </w:rPr>
        <w:t xml:space="preserve"> motuhake  </w:t>
      </w:r>
    </w:p>
    <w:p w14:paraId="2FC5BE42" w14:textId="77777777" w:rsidR="003C78A6" w:rsidRPr="003C78A6" w:rsidRDefault="003C78A6" w:rsidP="003C78A6">
      <w:pPr>
        <w:ind w:left="142" w:hanging="142"/>
        <w:rPr>
          <w:rFonts w:ascii="Metropolis" w:hAnsi="Metropolis"/>
          <w:b/>
          <w:bCs/>
          <w:i/>
          <w:iCs/>
          <w:color w:val="C96D61"/>
          <w:sz w:val="18"/>
          <w:szCs w:val="18"/>
        </w:rPr>
      </w:pPr>
      <w:r w:rsidRPr="003C78A6">
        <w:rPr>
          <w:rFonts w:ascii="Metropolis" w:hAnsi="Metropolis"/>
          <w:b/>
          <w:bCs/>
          <w:i/>
          <w:iCs/>
          <w:color w:val="C96D61"/>
          <w:szCs w:val="20"/>
        </w:rPr>
        <w:t>Better law for Aotearoa New Zealand through independent review</w:t>
      </w:r>
    </w:p>
    <w:p w14:paraId="5020BA60" w14:textId="77777777" w:rsidR="003C78A6" w:rsidRPr="00DB0600" w:rsidRDefault="003C78A6" w:rsidP="003C78A6">
      <w:pPr>
        <w:spacing w:before="360" w:after="80"/>
        <w:ind w:right="2931"/>
        <w:rPr>
          <w:b/>
          <w:sz w:val="18"/>
        </w:rPr>
      </w:pPr>
      <w:r w:rsidRPr="00DB0600">
        <w:rPr>
          <w:b/>
          <w:sz w:val="18"/>
        </w:rPr>
        <w:t>The Commissioners are:</w:t>
      </w:r>
    </w:p>
    <w:p w14:paraId="40AEFE31" w14:textId="77777777" w:rsidR="008618C5" w:rsidRPr="008618C5" w:rsidRDefault="008618C5" w:rsidP="008618C5">
      <w:pPr>
        <w:ind w:right="3243"/>
        <w:rPr>
          <w:rFonts w:eastAsia="Times"/>
          <w:sz w:val="18"/>
        </w:rPr>
      </w:pPr>
      <w:r w:rsidRPr="008618C5">
        <w:rPr>
          <w:rFonts w:eastAsia="Times"/>
          <w:sz w:val="18"/>
        </w:rPr>
        <w:t xml:space="preserve">Amokura Kawharu – Tumu </w:t>
      </w:r>
      <w:proofErr w:type="spellStart"/>
      <w:r w:rsidRPr="008618C5">
        <w:rPr>
          <w:rFonts w:eastAsia="Times"/>
          <w:sz w:val="18"/>
        </w:rPr>
        <w:t>Whakarae</w:t>
      </w:r>
      <w:proofErr w:type="spellEnd"/>
      <w:r w:rsidRPr="008618C5">
        <w:rPr>
          <w:rFonts w:eastAsia="Times"/>
          <w:sz w:val="18"/>
        </w:rPr>
        <w:t xml:space="preserve"> | President </w:t>
      </w:r>
    </w:p>
    <w:p w14:paraId="145A77B8" w14:textId="77777777" w:rsidR="008618C5" w:rsidRPr="008618C5" w:rsidRDefault="008618C5" w:rsidP="008618C5">
      <w:pPr>
        <w:ind w:right="3243"/>
        <w:rPr>
          <w:rFonts w:eastAsia="Times"/>
          <w:sz w:val="18"/>
        </w:rPr>
      </w:pPr>
      <w:r w:rsidRPr="008618C5">
        <w:rPr>
          <w:rFonts w:eastAsia="Times"/>
          <w:sz w:val="18"/>
        </w:rPr>
        <w:t xml:space="preserve">Claudia Geiringer – </w:t>
      </w:r>
      <w:proofErr w:type="spellStart"/>
      <w:r w:rsidRPr="008618C5">
        <w:rPr>
          <w:rFonts w:eastAsia="Times"/>
          <w:sz w:val="18"/>
        </w:rPr>
        <w:t>Kaikōmihana</w:t>
      </w:r>
      <w:proofErr w:type="spellEnd"/>
      <w:r w:rsidRPr="008618C5">
        <w:rPr>
          <w:rFonts w:eastAsia="Times"/>
          <w:sz w:val="18"/>
        </w:rPr>
        <w:t xml:space="preserve"> | Commissioner</w:t>
      </w:r>
    </w:p>
    <w:p w14:paraId="6DAF801E" w14:textId="77777777" w:rsidR="008618C5" w:rsidRPr="008618C5" w:rsidRDefault="008618C5" w:rsidP="008618C5">
      <w:pPr>
        <w:ind w:right="3243"/>
        <w:rPr>
          <w:rFonts w:eastAsia="Times"/>
          <w:sz w:val="18"/>
        </w:rPr>
      </w:pPr>
      <w:r w:rsidRPr="008618C5">
        <w:rPr>
          <w:rFonts w:eastAsia="Times"/>
          <w:sz w:val="18"/>
        </w:rPr>
        <w:t xml:space="preserve">Geof </w:t>
      </w:r>
      <w:proofErr w:type="spellStart"/>
      <w:r w:rsidRPr="008618C5">
        <w:rPr>
          <w:rFonts w:eastAsia="Times"/>
          <w:sz w:val="18"/>
        </w:rPr>
        <w:t>Shirtcliffe</w:t>
      </w:r>
      <w:proofErr w:type="spellEnd"/>
      <w:r w:rsidRPr="008618C5">
        <w:rPr>
          <w:rFonts w:eastAsia="Times"/>
          <w:sz w:val="18"/>
        </w:rPr>
        <w:t xml:space="preserve"> – </w:t>
      </w:r>
      <w:proofErr w:type="spellStart"/>
      <w:r w:rsidRPr="008618C5">
        <w:rPr>
          <w:rFonts w:eastAsia="Times"/>
          <w:sz w:val="18"/>
        </w:rPr>
        <w:t>Kaikōmihana</w:t>
      </w:r>
      <w:proofErr w:type="spellEnd"/>
      <w:r w:rsidRPr="008618C5">
        <w:rPr>
          <w:rFonts w:eastAsia="Times"/>
          <w:sz w:val="18"/>
        </w:rPr>
        <w:t xml:space="preserve"> | Commissioner</w:t>
      </w:r>
    </w:p>
    <w:p w14:paraId="51798EB3" w14:textId="77777777" w:rsidR="008618C5" w:rsidRDefault="008618C5" w:rsidP="008618C5">
      <w:pPr>
        <w:ind w:right="3243"/>
        <w:rPr>
          <w:rFonts w:eastAsia="Times"/>
          <w:sz w:val="18"/>
        </w:rPr>
      </w:pPr>
      <w:r w:rsidRPr="008618C5">
        <w:rPr>
          <w:rFonts w:eastAsia="Times"/>
          <w:sz w:val="18"/>
        </w:rPr>
        <w:t xml:space="preserve">The Hon Justice Christian </w:t>
      </w:r>
      <w:proofErr w:type="spellStart"/>
      <w:r w:rsidRPr="008618C5">
        <w:rPr>
          <w:rFonts w:eastAsia="Times"/>
          <w:sz w:val="18"/>
        </w:rPr>
        <w:t>Whata</w:t>
      </w:r>
      <w:proofErr w:type="spellEnd"/>
      <w:r w:rsidRPr="008618C5">
        <w:rPr>
          <w:rFonts w:eastAsia="Times"/>
          <w:sz w:val="18"/>
        </w:rPr>
        <w:t xml:space="preserve"> – </w:t>
      </w:r>
      <w:proofErr w:type="spellStart"/>
      <w:r w:rsidRPr="008618C5">
        <w:rPr>
          <w:rFonts w:eastAsia="Times"/>
          <w:sz w:val="18"/>
        </w:rPr>
        <w:t>Kaikōmihana</w:t>
      </w:r>
      <w:proofErr w:type="spellEnd"/>
      <w:r w:rsidRPr="008618C5">
        <w:rPr>
          <w:rFonts w:eastAsia="Times"/>
          <w:sz w:val="18"/>
        </w:rPr>
        <w:t xml:space="preserve"> | Commissioner</w:t>
      </w:r>
    </w:p>
    <w:p w14:paraId="4249476D" w14:textId="5208F314" w:rsidR="003C78A6" w:rsidRDefault="003C78A6">
      <w:pPr>
        <w:spacing w:after="0" w:line="333" w:lineRule="auto"/>
        <w:ind w:left="114" w:right="2931"/>
        <w:rPr>
          <w:rFonts w:eastAsia="Metropolis Light" w:cs="Metropolis Light"/>
          <w:color w:val="231F20"/>
          <w:sz w:val="18"/>
          <w:szCs w:val="18"/>
        </w:rPr>
      </w:pPr>
    </w:p>
    <w:p w14:paraId="3C623370" w14:textId="1E5C1C1E" w:rsidR="00517CA0" w:rsidRDefault="00517CA0">
      <w:pPr>
        <w:spacing w:after="0" w:line="333" w:lineRule="auto"/>
        <w:ind w:left="114" w:right="2931"/>
        <w:rPr>
          <w:rFonts w:eastAsia="Metropolis Light" w:cs="Metropolis Light"/>
          <w:color w:val="231F20"/>
          <w:sz w:val="18"/>
          <w:szCs w:val="18"/>
        </w:rPr>
      </w:pPr>
    </w:p>
    <w:p w14:paraId="4EAF68DD" w14:textId="3A56C871" w:rsidR="00517CA0" w:rsidRDefault="00517CA0">
      <w:pPr>
        <w:spacing w:after="0" w:line="333" w:lineRule="auto"/>
        <w:ind w:left="114" w:right="2931"/>
        <w:rPr>
          <w:rFonts w:eastAsia="Metropolis Light" w:cs="Metropolis Light"/>
          <w:color w:val="231F20"/>
          <w:sz w:val="18"/>
          <w:szCs w:val="18"/>
        </w:rPr>
      </w:pPr>
    </w:p>
    <w:p w14:paraId="2E546EF1" w14:textId="7830EFDC" w:rsidR="00517CA0" w:rsidRDefault="00517CA0">
      <w:pPr>
        <w:spacing w:after="0" w:line="333" w:lineRule="auto"/>
        <w:ind w:left="114" w:right="2931"/>
        <w:rPr>
          <w:rFonts w:eastAsia="Metropolis Light" w:cs="Metropolis Light"/>
          <w:color w:val="231F20"/>
          <w:sz w:val="18"/>
          <w:szCs w:val="18"/>
        </w:rPr>
      </w:pPr>
    </w:p>
    <w:p w14:paraId="1F9EE3AC" w14:textId="77777777" w:rsidR="00862DF8" w:rsidRDefault="00862DF8">
      <w:pPr>
        <w:spacing w:after="0" w:line="200" w:lineRule="exact"/>
        <w:rPr>
          <w:szCs w:val="20"/>
        </w:rPr>
      </w:pPr>
    </w:p>
    <w:p w14:paraId="1F9EE3AD" w14:textId="77777777" w:rsidR="00862DF8" w:rsidRDefault="00862DF8">
      <w:pPr>
        <w:spacing w:after="0" w:line="200" w:lineRule="exact"/>
        <w:rPr>
          <w:szCs w:val="20"/>
        </w:rPr>
      </w:pPr>
    </w:p>
    <w:p w14:paraId="1F9EE3AE" w14:textId="0E2841F6" w:rsidR="00862DF8" w:rsidRDefault="008472D4">
      <w:pPr>
        <w:spacing w:after="0" w:line="200" w:lineRule="exact"/>
        <w:rPr>
          <w:szCs w:val="20"/>
        </w:rPr>
      </w:pPr>
      <w:r>
        <w:rPr>
          <w:noProof/>
        </w:rPr>
        <mc:AlternateContent>
          <mc:Choice Requires="wpg">
            <w:drawing>
              <wp:anchor distT="0" distB="0" distL="114300" distR="114300" simplePos="0" relativeHeight="251658240" behindDoc="1" locked="0" layoutInCell="1" allowOverlap="1" wp14:anchorId="1F9EE5A2" wp14:editId="617846A0">
                <wp:simplePos x="0" y="0"/>
                <wp:positionH relativeFrom="page">
                  <wp:posOffset>1084580</wp:posOffset>
                </wp:positionH>
                <wp:positionV relativeFrom="paragraph">
                  <wp:posOffset>147955</wp:posOffset>
                </wp:positionV>
                <wp:extent cx="1439545" cy="1270"/>
                <wp:effectExtent l="0" t="19050" r="27305" b="17780"/>
                <wp:wrapNone/>
                <wp:docPr id="157"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9545" cy="1270"/>
                          <a:chOff x="1134" y="-469"/>
                          <a:chExt cx="2098" cy="2"/>
                        </a:xfrm>
                      </wpg:grpSpPr>
                      <wps:wsp>
                        <wps:cNvPr id="158"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CBB9E" id="Group 135" o:spid="_x0000_s1026" style="position:absolute;margin-left:85.4pt;margin-top:11.65pt;width:113.35pt;height:.1pt;z-index:-251658240;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" path="m,l2097,e" filled="f" strokecolor="#c96d61" strokeweight="3pt">
                  <v:path arrowok="t" o:connecttype="custom" o:connectlocs="0,0;2097,0" o:connectangles="0,0"/>
                </v:shape>
                <w10:wrap anchorx="page"/>
              </v:group>
            </w:pict>
          </mc:Fallback>
        </mc:AlternateContent>
      </w:r>
    </w:p>
    <w:p w14:paraId="1F9EE3AF" w14:textId="02D05A63" w:rsidR="00862DF8" w:rsidRDefault="00862DF8">
      <w:pPr>
        <w:spacing w:after="0" w:line="200" w:lineRule="exact"/>
        <w:rPr>
          <w:szCs w:val="20"/>
        </w:rPr>
      </w:pPr>
    </w:p>
    <w:p w14:paraId="07DE958B" w14:textId="73882874" w:rsidR="00BB2B03" w:rsidRPr="00DB0600" w:rsidRDefault="00BB2B03" w:rsidP="00EE437C">
      <w:pPr>
        <w:spacing w:after="0" w:line="333" w:lineRule="auto"/>
        <w:ind w:right="3246"/>
        <w:rPr>
          <w:sz w:val="18"/>
          <w:szCs w:val="18"/>
        </w:rPr>
      </w:pPr>
      <w:r w:rsidRPr="00DB0600">
        <w:rPr>
          <w:sz w:val="18"/>
          <w:szCs w:val="18"/>
        </w:rPr>
        <w:t xml:space="preserve">Kei </w:t>
      </w:r>
      <w:proofErr w:type="spellStart"/>
      <w:r w:rsidRPr="00DB0600">
        <w:rPr>
          <w:sz w:val="18"/>
          <w:szCs w:val="18"/>
        </w:rPr>
        <w:t>te</w:t>
      </w:r>
      <w:proofErr w:type="spellEnd"/>
      <w:r w:rsidRPr="00DB0600">
        <w:rPr>
          <w:sz w:val="18"/>
          <w:szCs w:val="18"/>
        </w:rPr>
        <w:t xml:space="preserve"> </w:t>
      </w:r>
      <w:proofErr w:type="spellStart"/>
      <w:r w:rsidRPr="00DB0600">
        <w:rPr>
          <w:sz w:val="18"/>
          <w:szCs w:val="18"/>
        </w:rPr>
        <w:t>pātengi</w:t>
      </w:r>
      <w:proofErr w:type="spellEnd"/>
      <w:r w:rsidRPr="00DB0600">
        <w:rPr>
          <w:sz w:val="18"/>
          <w:szCs w:val="18"/>
        </w:rPr>
        <w:t xml:space="preserve"> </w:t>
      </w:r>
      <w:proofErr w:type="spellStart"/>
      <w:r w:rsidRPr="00DB0600">
        <w:rPr>
          <w:sz w:val="18"/>
          <w:szCs w:val="18"/>
        </w:rPr>
        <w:t>raraunga</w:t>
      </w:r>
      <w:proofErr w:type="spellEnd"/>
      <w:r w:rsidRPr="00DB0600">
        <w:rPr>
          <w:sz w:val="18"/>
          <w:szCs w:val="18"/>
        </w:rPr>
        <w:t xml:space="preserve"> o </w:t>
      </w:r>
      <w:proofErr w:type="spellStart"/>
      <w:r w:rsidRPr="00DB0600">
        <w:rPr>
          <w:sz w:val="18"/>
          <w:szCs w:val="18"/>
        </w:rPr>
        <w:t>Te</w:t>
      </w:r>
      <w:proofErr w:type="spellEnd"/>
      <w:r w:rsidRPr="00DB0600">
        <w:rPr>
          <w:sz w:val="18"/>
          <w:szCs w:val="18"/>
        </w:rPr>
        <w:t xml:space="preserve"> Puna </w:t>
      </w:r>
      <w:proofErr w:type="spellStart"/>
      <w:r w:rsidRPr="00DB0600">
        <w:rPr>
          <w:sz w:val="18"/>
          <w:szCs w:val="18"/>
        </w:rPr>
        <w:t>Mātauranga</w:t>
      </w:r>
      <w:proofErr w:type="spellEnd"/>
      <w:r w:rsidRPr="00DB0600">
        <w:rPr>
          <w:sz w:val="18"/>
          <w:szCs w:val="18"/>
        </w:rPr>
        <w:t xml:space="preserve"> o Aotearoa </w:t>
      </w:r>
      <w:proofErr w:type="spellStart"/>
      <w:r w:rsidRPr="00DB0600">
        <w:rPr>
          <w:sz w:val="18"/>
          <w:szCs w:val="18"/>
        </w:rPr>
        <w:t>te</w:t>
      </w:r>
      <w:proofErr w:type="spellEnd"/>
      <w:r w:rsidRPr="00DB0600">
        <w:rPr>
          <w:sz w:val="18"/>
          <w:szCs w:val="18"/>
        </w:rPr>
        <w:t xml:space="preserve"> </w:t>
      </w:r>
      <w:proofErr w:type="spellStart"/>
      <w:r w:rsidRPr="00DB0600">
        <w:rPr>
          <w:sz w:val="18"/>
          <w:szCs w:val="18"/>
        </w:rPr>
        <w:t>whakarārangi</w:t>
      </w:r>
      <w:proofErr w:type="spellEnd"/>
      <w:r w:rsidRPr="00DB0600">
        <w:rPr>
          <w:sz w:val="18"/>
          <w:szCs w:val="18"/>
        </w:rPr>
        <w:t xml:space="preserve"> o </w:t>
      </w:r>
      <w:proofErr w:type="spellStart"/>
      <w:r w:rsidRPr="00DB0600">
        <w:rPr>
          <w:sz w:val="18"/>
          <w:szCs w:val="18"/>
        </w:rPr>
        <w:t>tēnei</w:t>
      </w:r>
      <w:proofErr w:type="spellEnd"/>
      <w:r w:rsidRPr="00DB0600">
        <w:rPr>
          <w:sz w:val="18"/>
          <w:szCs w:val="18"/>
        </w:rPr>
        <w:t xml:space="preserve"> </w:t>
      </w:r>
      <w:proofErr w:type="spellStart"/>
      <w:r w:rsidRPr="00DB0600">
        <w:rPr>
          <w:sz w:val="18"/>
          <w:szCs w:val="18"/>
        </w:rPr>
        <w:t>pukapuka</w:t>
      </w:r>
      <w:proofErr w:type="spellEnd"/>
      <w:r w:rsidRPr="00DB0600">
        <w:rPr>
          <w:sz w:val="18"/>
          <w:szCs w:val="18"/>
        </w:rPr>
        <w:t xml:space="preserve">. </w:t>
      </w:r>
    </w:p>
    <w:p w14:paraId="011B9C03" w14:textId="77777777" w:rsidR="00BB2B03" w:rsidRPr="00DB0600" w:rsidRDefault="00BB2B03" w:rsidP="00BB2B03">
      <w:pPr>
        <w:tabs>
          <w:tab w:val="left" w:pos="5387"/>
        </w:tabs>
        <w:ind w:right="567"/>
        <w:rPr>
          <w:sz w:val="18"/>
          <w:szCs w:val="18"/>
        </w:rPr>
      </w:pPr>
      <w:r w:rsidRPr="00DB0600">
        <w:rPr>
          <w:sz w:val="18"/>
          <w:szCs w:val="18"/>
        </w:rPr>
        <w:t xml:space="preserve">A catalogue record for this title is available from the National Library of New Zealand. </w:t>
      </w:r>
    </w:p>
    <w:p w14:paraId="1B3CE081" w14:textId="78D82F23" w:rsidR="00BB2B03" w:rsidRPr="00BE0BAC" w:rsidRDefault="00BB2B03" w:rsidP="00BB2B03">
      <w:pPr>
        <w:tabs>
          <w:tab w:val="left" w:pos="5387"/>
        </w:tabs>
        <w:ind w:right="3118"/>
        <w:rPr>
          <w:sz w:val="18"/>
          <w:szCs w:val="18"/>
        </w:rPr>
      </w:pPr>
      <w:bookmarkStart w:id="0" w:name="_Hlk42152179"/>
      <w:r w:rsidRPr="00BE0BAC">
        <w:rPr>
          <w:sz w:val="18"/>
          <w:szCs w:val="18"/>
        </w:rPr>
        <w:t xml:space="preserve">ISBN </w:t>
      </w:r>
      <w:r w:rsidR="00A35973" w:rsidRPr="00BE0BAC">
        <w:rPr>
          <w:sz w:val="18"/>
          <w:szCs w:val="18"/>
        </w:rPr>
        <w:t>978-1-99-115990-8 (Print)</w:t>
      </w:r>
    </w:p>
    <w:p w14:paraId="097D7E4C" w14:textId="69710E74" w:rsidR="00BB2B03" w:rsidRPr="00BE0BAC" w:rsidRDefault="00BB2B03" w:rsidP="00BB2B03">
      <w:pPr>
        <w:tabs>
          <w:tab w:val="left" w:pos="5387"/>
        </w:tabs>
        <w:ind w:right="3118"/>
        <w:rPr>
          <w:sz w:val="18"/>
          <w:szCs w:val="18"/>
        </w:rPr>
      </w:pPr>
      <w:r w:rsidRPr="00BE0BAC">
        <w:rPr>
          <w:sz w:val="18"/>
          <w:szCs w:val="18"/>
        </w:rPr>
        <w:t xml:space="preserve">ISBN </w:t>
      </w:r>
      <w:r w:rsidR="00037C1F" w:rsidRPr="00BE0BAC">
        <w:rPr>
          <w:sz w:val="18"/>
          <w:szCs w:val="18"/>
        </w:rPr>
        <w:t>978-1-99-115991-5 (Online)</w:t>
      </w:r>
    </w:p>
    <w:p w14:paraId="2FCF1BBB" w14:textId="795CC5DE" w:rsidR="004F6CCA" w:rsidRDefault="00CE2488" w:rsidP="00BB2B03">
      <w:pPr>
        <w:tabs>
          <w:tab w:val="left" w:pos="5387"/>
        </w:tabs>
        <w:ind w:right="3118"/>
        <w:rPr>
          <w:sz w:val="18"/>
          <w:szCs w:val="18"/>
        </w:rPr>
      </w:pPr>
      <w:r>
        <w:rPr>
          <w:sz w:val="18"/>
          <w:szCs w:val="18"/>
        </w:rPr>
        <w:t xml:space="preserve">ISSN </w:t>
      </w:r>
      <w:r w:rsidR="004F6CCA" w:rsidRPr="004F6CCA">
        <w:rPr>
          <w:sz w:val="18"/>
          <w:szCs w:val="18"/>
        </w:rPr>
        <w:t>1174-9776 (Print)</w:t>
      </w:r>
    </w:p>
    <w:p w14:paraId="238D224C" w14:textId="24496C5E" w:rsidR="00BB2B03" w:rsidRPr="00DB0600" w:rsidRDefault="00BB2B03" w:rsidP="00BB2B03">
      <w:pPr>
        <w:tabs>
          <w:tab w:val="left" w:pos="5387"/>
        </w:tabs>
        <w:ind w:right="3118"/>
        <w:rPr>
          <w:sz w:val="18"/>
          <w:szCs w:val="18"/>
        </w:rPr>
      </w:pPr>
      <w:r w:rsidRPr="00BE0BAC">
        <w:rPr>
          <w:sz w:val="18"/>
          <w:szCs w:val="18"/>
        </w:rPr>
        <w:t xml:space="preserve">ISSN </w:t>
      </w:r>
      <w:r w:rsidR="00BE0BAC" w:rsidRPr="00BE0BAC">
        <w:rPr>
          <w:sz w:val="18"/>
          <w:szCs w:val="18"/>
        </w:rPr>
        <w:t>1177-7125 (Online)</w:t>
      </w:r>
    </w:p>
    <w:bookmarkEnd w:id="0"/>
    <w:p w14:paraId="31DF9AD0" w14:textId="77777777" w:rsidR="00297E92" w:rsidRPr="00CE2488" w:rsidRDefault="00297E92" w:rsidP="00BB2B03">
      <w:pPr>
        <w:tabs>
          <w:tab w:val="left" w:pos="5387"/>
        </w:tabs>
        <w:ind w:right="1984"/>
        <w:rPr>
          <w:sz w:val="12"/>
          <w:szCs w:val="12"/>
        </w:rPr>
      </w:pPr>
    </w:p>
    <w:p w14:paraId="036A14F8" w14:textId="0B814484" w:rsidR="00BB2B03" w:rsidRPr="00517CA0" w:rsidRDefault="00BB2B03" w:rsidP="00BB2B03">
      <w:pPr>
        <w:tabs>
          <w:tab w:val="left" w:pos="5387"/>
        </w:tabs>
        <w:ind w:right="1984"/>
        <w:rPr>
          <w:rStyle w:val="Hyperlink"/>
          <w:color w:val="auto"/>
          <w:sz w:val="18"/>
          <w:szCs w:val="18"/>
        </w:rPr>
      </w:pPr>
      <w:r w:rsidRPr="00517CA0">
        <w:rPr>
          <w:sz w:val="18"/>
          <w:szCs w:val="18"/>
        </w:rPr>
        <w:t xml:space="preserve">This title may be cited as NZLC </w:t>
      </w:r>
      <w:r w:rsidR="00A01C43" w:rsidRPr="00517CA0">
        <w:rPr>
          <w:sz w:val="18"/>
          <w:szCs w:val="18"/>
        </w:rPr>
        <w:t>SP23</w:t>
      </w:r>
      <w:r w:rsidRPr="00517CA0">
        <w:rPr>
          <w:sz w:val="18"/>
          <w:szCs w:val="18"/>
        </w:rPr>
        <w:t xml:space="preserve">. </w:t>
      </w:r>
      <w:bookmarkStart w:id="1" w:name="_Hlk52890792"/>
      <w:r w:rsidRPr="00517CA0">
        <w:rPr>
          <w:sz w:val="18"/>
          <w:szCs w:val="18"/>
        </w:rPr>
        <w:t xml:space="preserve">This title is available on the internet at the website of </w:t>
      </w:r>
      <w:proofErr w:type="spellStart"/>
      <w:r w:rsidRPr="00517CA0">
        <w:rPr>
          <w:sz w:val="18"/>
          <w:szCs w:val="18"/>
        </w:rPr>
        <w:t>Te</w:t>
      </w:r>
      <w:proofErr w:type="spellEnd"/>
      <w:r w:rsidRPr="00517CA0">
        <w:rPr>
          <w:sz w:val="18"/>
          <w:szCs w:val="18"/>
        </w:rPr>
        <w:t xml:space="preserve"> Aka Matua o </w:t>
      </w:r>
      <w:proofErr w:type="spellStart"/>
      <w:r w:rsidRPr="00517CA0">
        <w:rPr>
          <w:sz w:val="18"/>
          <w:szCs w:val="18"/>
        </w:rPr>
        <w:t>te</w:t>
      </w:r>
      <w:proofErr w:type="spellEnd"/>
      <w:r w:rsidRPr="00517CA0">
        <w:rPr>
          <w:sz w:val="18"/>
          <w:szCs w:val="18"/>
        </w:rPr>
        <w:t xml:space="preserve"> Ture | Law Commission: </w:t>
      </w:r>
      <w:hyperlink r:id="rId17" w:history="1">
        <w:r w:rsidRPr="00517CA0">
          <w:rPr>
            <w:rStyle w:val="Hyperlink"/>
            <w:color w:val="auto"/>
            <w:sz w:val="18"/>
            <w:szCs w:val="18"/>
          </w:rPr>
          <w:t>www.lawcom.govt.nz</w:t>
        </w:r>
      </w:hyperlink>
    </w:p>
    <w:p w14:paraId="792E2742" w14:textId="77777777" w:rsidR="00CB0CB7" w:rsidRPr="00CB0CB7" w:rsidRDefault="00CB0CB7" w:rsidP="00BB2B03">
      <w:pPr>
        <w:tabs>
          <w:tab w:val="left" w:pos="5387"/>
        </w:tabs>
        <w:ind w:right="1984"/>
        <w:rPr>
          <w:sz w:val="16"/>
          <w:szCs w:val="16"/>
        </w:rPr>
      </w:pPr>
    </w:p>
    <w:p w14:paraId="17B32851" w14:textId="14D44E8C" w:rsidR="00BB2B03" w:rsidRPr="00DB0600" w:rsidRDefault="00BB2B03" w:rsidP="00BB2B03">
      <w:pPr>
        <w:tabs>
          <w:tab w:val="left" w:pos="5387"/>
        </w:tabs>
        <w:spacing w:before="240"/>
        <w:ind w:right="1985"/>
        <w:rPr>
          <w:sz w:val="18"/>
          <w:szCs w:val="18"/>
        </w:rPr>
      </w:pPr>
      <w:r w:rsidRPr="00DB0600">
        <w:rPr>
          <w:rFonts w:eastAsia="Arial Unicode MS"/>
          <w:sz w:val="18"/>
          <w:szCs w:val="18"/>
        </w:rPr>
        <w:t xml:space="preserve">Copyright </w:t>
      </w:r>
      <w:r w:rsidRPr="00DB0600">
        <w:rPr>
          <w:rFonts w:ascii="Courier New" w:eastAsia="Arial Unicode MS" w:hAnsi="Courier New" w:cs="Courier New"/>
          <w:sz w:val="18"/>
          <w:szCs w:val="18"/>
        </w:rPr>
        <w:t>©</w:t>
      </w:r>
      <w:r w:rsidRPr="00DB0600">
        <w:rPr>
          <w:rFonts w:eastAsia="Arial Unicode MS"/>
          <w:sz w:val="18"/>
          <w:szCs w:val="18"/>
        </w:rPr>
        <w:t xml:space="preserve"> 2022 </w:t>
      </w:r>
      <w:proofErr w:type="spellStart"/>
      <w:r w:rsidRPr="00DB0600">
        <w:rPr>
          <w:sz w:val="18"/>
          <w:szCs w:val="18"/>
        </w:rPr>
        <w:t>Te</w:t>
      </w:r>
      <w:proofErr w:type="spellEnd"/>
      <w:r w:rsidRPr="00DB0600">
        <w:rPr>
          <w:sz w:val="18"/>
          <w:szCs w:val="18"/>
        </w:rPr>
        <w:t xml:space="preserve"> Aka Matua o </w:t>
      </w:r>
      <w:proofErr w:type="spellStart"/>
      <w:r w:rsidRPr="00DB0600">
        <w:rPr>
          <w:sz w:val="18"/>
          <w:szCs w:val="18"/>
        </w:rPr>
        <w:t>te</w:t>
      </w:r>
      <w:proofErr w:type="spellEnd"/>
      <w:r w:rsidRPr="00DB0600">
        <w:rPr>
          <w:sz w:val="18"/>
          <w:szCs w:val="18"/>
        </w:rPr>
        <w:t xml:space="preserve"> Ture |</w:t>
      </w:r>
      <w:r w:rsidRPr="00DB0600">
        <w:rPr>
          <w:rFonts w:eastAsia="Arial Unicode MS"/>
          <w:sz w:val="18"/>
          <w:szCs w:val="18"/>
        </w:rPr>
        <w:t xml:space="preserve"> Law Commission. </w:t>
      </w:r>
      <w:r w:rsidRPr="00DB0600">
        <w:rPr>
          <w:sz w:val="18"/>
          <w:szCs w:val="18"/>
        </w:rPr>
        <w:t xml:space="preserve"> </w:t>
      </w:r>
      <w:bookmarkEnd w:id="1"/>
    </w:p>
    <w:p w14:paraId="4F1E6412" w14:textId="77777777" w:rsidR="00BB2B03" w:rsidRPr="00DB0600" w:rsidRDefault="00BB2B03" w:rsidP="00BB2B03">
      <w:pPr>
        <w:spacing w:before="3" w:line="180" w:lineRule="exact"/>
        <w:ind w:right="567"/>
        <w:rPr>
          <w:color w:val="262626"/>
          <w:sz w:val="14"/>
        </w:rPr>
      </w:pPr>
      <w:r w:rsidRPr="00DB0600">
        <w:rPr>
          <w:noProof/>
        </w:rPr>
        <w:drawing>
          <wp:anchor distT="0" distB="0" distL="114300" distR="114300" simplePos="0" relativeHeight="251658243" behindDoc="1" locked="0" layoutInCell="1" allowOverlap="1" wp14:anchorId="5BF1ECAA" wp14:editId="6B1125B3">
            <wp:simplePos x="0" y="0"/>
            <wp:positionH relativeFrom="column">
              <wp:posOffset>3175</wp:posOffset>
            </wp:positionH>
            <wp:positionV relativeFrom="paragraph">
              <wp:posOffset>12156</wp:posOffset>
            </wp:positionV>
            <wp:extent cx="948055" cy="334010"/>
            <wp:effectExtent l="0" t="0" r="4445" b="8890"/>
            <wp:wrapTight wrapText="bothSides">
              <wp:wrapPolygon edited="0">
                <wp:start x="0" y="0"/>
                <wp:lineTo x="0" y="20943"/>
                <wp:lineTo x="21267" y="20943"/>
                <wp:lineTo x="21267" y="0"/>
                <wp:lineTo x="0" y="0"/>
              </wp:wrapPolygon>
            </wp:wrapTight>
            <wp:docPr id="245" name="Picture 93" descr="Creative Commons Attribution ">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a:hlinkClick r:id="rId18"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8055" cy="334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0600">
        <w:rPr>
          <w:color w:val="262626"/>
          <w:sz w:val="14"/>
        </w:rPr>
        <w:t>T</w:t>
      </w:r>
      <w:r w:rsidRPr="00DB0600">
        <w:rPr>
          <w:color w:val="262626"/>
          <w:sz w:val="12"/>
          <w:szCs w:val="20"/>
        </w:rPr>
        <w:t xml:space="preserve">his work is licensed under the Creative Commons Attribution 4.0 International licence. In essence, you are free to copy, distribute and adapt the work, </w:t>
      </w:r>
      <w:proofErr w:type="gramStart"/>
      <w:r w:rsidRPr="00DB0600">
        <w:rPr>
          <w:color w:val="262626"/>
          <w:sz w:val="12"/>
          <w:szCs w:val="20"/>
        </w:rPr>
        <w:t>as long as</w:t>
      </w:r>
      <w:proofErr w:type="gramEnd"/>
      <w:r w:rsidRPr="00DB0600">
        <w:rPr>
          <w:color w:val="262626"/>
          <w:sz w:val="12"/>
          <w:szCs w:val="20"/>
        </w:rPr>
        <w:t xml:space="preserve"> you attribute the work to </w:t>
      </w:r>
      <w:proofErr w:type="spellStart"/>
      <w:r w:rsidRPr="00DB0600">
        <w:rPr>
          <w:color w:val="262626"/>
          <w:sz w:val="12"/>
          <w:szCs w:val="20"/>
        </w:rPr>
        <w:t>Te</w:t>
      </w:r>
      <w:proofErr w:type="spellEnd"/>
      <w:r w:rsidRPr="00DB0600">
        <w:rPr>
          <w:color w:val="262626"/>
          <w:sz w:val="12"/>
          <w:szCs w:val="20"/>
        </w:rPr>
        <w:t xml:space="preserve"> Aka Matua o </w:t>
      </w:r>
      <w:proofErr w:type="spellStart"/>
      <w:r w:rsidRPr="00DB0600">
        <w:rPr>
          <w:color w:val="262626"/>
          <w:sz w:val="12"/>
          <w:szCs w:val="20"/>
        </w:rPr>
        <w:t>te</w:t>
      </w:r>
      <w:proofErr w:type="spellEnd"/>
      <w:r w:rsidRPr="00DB0600">
        <w:rPr>
          <w:color w:val="262626"/>
          <w:sz w:val="12"/>
          <w:szCs w:val="20"/>
        </w:rPr>
        <w:t xml:space="preserve"> Ture | Law Commission and abide by other licence terms. To view a copy of this licence, visit https://creativecommons.org/licenses/by/4.0</w:t>
      </w:r>
    </w:p>
    <w:p w14:paraId="1F9EE3BB" w14:textId="77777777" w:rsidR="00862DF8" w:rsidRDefault="00862DF8">
      <w:pPr>
        <w:spacing w:after="0"/>
        <w:sectPr w:rsidR="00862DF8" w:rsidSect="00D50ACF">
          <w:footnotePr>
            <w:numRestart w:val="eachSect"/>
          </w:footnotePr>
          <w:pgSz w:w="11920" w:h="16840"/>
          <w:pgMar w:top="1134" w:right="1134" w:bottom="1134" w:left="1701" w:header="720" w:footer="720" w:gutter="0"/>
          <w:cols w:space="720"/>
        </w:sectPr>
      </w:pPr>
    </w:p>
    <w:p w14:paraId="1F9EE3DF" w14:textId="77777777" w:rsidR="00862DF8" w:rsidRDefault="002A1421" w:rsidP="00F074CE">
      <w:pPr>
        <w:pStyle w:val="Heading1nonum"/>
        <w:spacing w:before="600"/>
        <w:rPr>
          <w:rFonts w:eastAsia="Metropolis Black"/>
        </w:rPr>
      </w:pPr>
      <w:bookmarkStart w:id="2" w:name="_Toc117063084"/>
      <w:bookmarkStart w:id="3" w:name="_Toc118119276"/>
      <w:r>
        <w:rPr>
          <w:rFonts w:eastAsia="Metropolis Black"/>
        </w:rPr>
        <w:lastRenderedPageBreak/>
        <w:t>F</w:t>
      </w:r>
      <w:r>
        <w:rPr>
          <w:rFonts w:eastAsia="Metropolis Black"/>
          <w:spacing w:val="-8"/>
        </w:rPr>
        <w:t>o</w:t>
      </w:r>
      <w:r>
        <w:rPr>
          <w:rFonts w:eastAsia="Metropolis Black"/>
          <w:spacing w:val="-13"/>
        </w:rPr>
        <w:t>r</w:t>
      </w:r>
      <w:r>
        <w:rPr>
          <w:rFonts w:eastAsia="Metropolis Black"/>
        </w:rPr>
        <w:t>e</w:t>
      </w:r>
      <w:r>
        <w:rPr>
          <w:rFonts w:eastAsia="Metropolis Black"/>
          <w:spacing w:val="-22"/>
        </w:rPr>
        <w:t>w</w:t>
      </w:r>
      <w:r>
        <w:rPr>
          <w:rFonts w:eastAsia="Metropolis Black"/>
          <w:spacing w:val="-8"/>
        </w:rPr>
        <w:t>o</w:t>
      </w:r>
      <w:r>
        <w:rPr>
          <w:rFonts w:eastAsia="Metropolis Black"/>
          <w:spacing w:val="-12"/>
        </w:rPr>
        <w:t>r</w:t>
      </w:r>
      <w:r>
        <w:rPr>
          <w:rFonts w:eastAsia="Metropolis Black"/>
        </w:rPr>
        <w:t>d</w:t>
      </w:r>
      <w:bookmarkEnd w:id="2"/>
      <w:bookmarkEnd w:id="3"/>
    </w:p>
    <w:p w14:paraId="1F9EE3E0" w14:textId="7683C48F" w:rsidR="00862DF8" w:rsidRDefault="00862DF8">
      <w:pPr>
        <w:spacing w:after="0" w:line="200" w:lineRule="exact"/>
        <w:rPr>
          <w:szCs w:val="20"/>
        </w:rPr>
      </w:pPr>
    </w:p>
    <w:p w14:paraId="38188EBF" w14:textId="21290556" w:rsidR="00C20222" w:rsidRDefault="00C20222">
      <w:pPr>
        <w:spacing w:after="0" w:line="200" w:lineRule="exact"/>
        <w:rPr>
          <w:szCs w:val="20"/>
        </w:rPr>
      </w:pPr>
      <w:r>
        <w:rPr>
          <w:noProof/>
        </w:rPr>
        <mc:AlternateContent>
          <mc:Choice Requires="wpg">
            <w:drawing>
              <wp:anchor distT="0" distB="0" distL="114300" distR="114300" simplePos="0" relativeHeight="251658265" behindDoc="1" locked="0" layoutInCell="1" allowOverlap="1" wp14:anchorId="3DBE86D0" wp14:editId="5146B9D8">
                <wp:simplePos x="0" y="0"/>
                <wp:positionH relativeFrom="page">
                  <wp:posOffset>1080135</wp:posOffset>
                </wp:positionH>
                <wp:positionV relativeFrom="paragraph">
                  <wp:posOffset>18415</wp:posOffset>
                </wp:positionV>
                <wp:extent cx="1332230" cy="1270"/>
                <wp:effectExtent l="0" t="19050" r="20320" b="17780"/>
                <wp:wrapNone/>
                <wp:docPr id="9"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0" name="Freeform 122"/>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A81B1" id="Group 121" o:spid="_x0000_s1026" style="position:absolute;margin-left:85.05pt;margin-top:1.45pt;width:104.9pt;height:.1pt;z-index:-251658215;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">
                <v:shape id="Freeform 122"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" path="m,l2098,e" filled="f" strokecolor="#c96d61" strokeweight="3pt">
                  <v:path arrowok="t" o:connecttype="custom" o:connectlocs="0,0;2098,0" o:connectangles="0,0"/>
                </v:shape>
                <w10:wrap anchorx="page"/>
              </v:group>
            </w:pict>
          </mc:Fallback>
        </mc:AlternateContent>
      </w:r>
    </w:p>
    <w:p w14:paraId="5E762C06" w14:textId="77777777" w:rsidR="00C20222" w:rsidRDefault="00C20222" w:rsidP="00B52EA9">
      <w:pPr>
        <w:spacing w:after="0" w:line="290" w:lineRule="atLeast"/>
        <w:ind w:right="243"/>
        <w:rPr>
          <w:rFonts w:eastAsia="Metropolis Light" w:cs="Metropolis Light"/>
          <w:color w:val="C96D61"/>
          <w:szCs w:val="20"/>
          <w:highlight w:val="yellow"/>
        </w:rPr>
      </w:pPr>
    </w:p>
    <w:p w14:paraId="5D42C8B8" w14:textId="0C62DFD8" w:rsidR="008C6A88" w:rsidRPr="00090596" w:rsidRDefault="009A41CC" w:rsidP="00D342EA">
      <w:pPr>
        <w:ind w:right="244"/>
        <w:jc w:val="both"/>
        <w:rPr>
          <w:rFonts w:eastAsia="Metropolis Light" w:cs="Metropolis Light"/>
          <w:szCs w:val="20"/>
        </w:rPr>
      </w:pPr>
      <w:r w:rsidRPr="00090596">
        <w:rPr>
          <w:rFonts w:eastAsia="Metropolis Light" w:cs="Metropolis Light"/>
          <w:szCs w:val="20"/>
        </w:rPr>
        <w:t xml:space="preserve">In April 2021, </w:t>
      </w:r>
      <w:proofErr w:type="spellStart"/>
      <w:r w:rsidRPr="00090596">
        <w:rPr>
          <w:rFonts w:eastAsia="Metropolis Light" w:cs="Metropolis Light"/>
          <w:szCs w:val="20"/>
        </w:rPr>
        <w:t>Te</w:t>
      </w:r>
      <w:proofErr w:type="spellEnd"/>
      <w:r w:rsidRPr="00090596">
        <w:rPr>
          <w:rFonts w:eastAsia="Metropolis Light" w:cs="Metropolis Light"/>
          <w:szCs w:val="20"/>
        </w:rPr>
        <w:t xml:space="preserve"> Aka Matua o </w:t>
      </w:r>
      <w:proofErr w:type="spellStart"/>
      <w:r w:rsidRPr="00090596">
        <w:rPr>
          <w:rFonts w:eastAsia="Metropolis Light" w:cs="Metropolis Light"/>
          <w:szCs w:val="20"/>
        </w:rPr>
        <w:t>te</w:t>
      </w:r>
      <w:proofErr w:type="spellEnd"/>
      <w:r w:rsidRPr="00090596">
        <w:rPr>
          <w:rFonts w:eastAsia="Metropolis Light" w:cs="Metropolis Light"/>
          <w:szCs w:val="20"/>
        </w:rPr>
        <w:t xml:space="preserve"> Ture | Law Commission</w:t>
      </w:r>
      <w:r w:rsidR="0052305C">
        <w:rPr>
          <w:rFonts w:eastAsia="Metropolis Light" w:cs="Metropolis Light"/>
          <w:szCs w:val="20"/>
        </w:rPr>
        <w:t xml:space="preserve"> </w:t>
      </w:r>
      <w:r w:rsidRPr="00090596">
        <w:rPr>
          <w:rFonts w:eastAsia="Metropolis Light" w:cs="Metropolis Light"/>
          <w:szCs w:val="20"/>
        </w:rPr>
        <w:t xml:space="preserve">engaged Professor Janet McLean KC to </w:t>
      </w:r>
      <w:r w:rsidR="00D36E6C" w:rsidRPr="00090596">
        <w:rPr>
          <w:rFonts w:eastAsia="Metropolis Light" w:cs="Metropolis Light"/>
          <w:szCs w:val="20"/>
        </w:rPr>
        <w:t xml:space="preserve">write a study paper concerning Aotearoa New Zealand’s </w:t>
      </w:r>
      <w:r w:rsidR="00AD7343" w:rsidRPr="00090596">
        <w:rPr>
          <w:rFonts w:eastAsia="Metropolis Light" w:cs="Metropolis Light"/>
          <w:szCs w:val="20"/>
        </w:rPr>
        <w:t>legal and institutional framework for pandemics and other threats</w:t>
      </w:r>
      <w:r w:rsidR="00C75E63" w:rsidRPr="00090596">
        <w:rPr>
          <w:rFonts w:eastAsia="Metropolis Light" w:cs="Metropolis Light"/>
          <w:szCs w:val="20"/>
        </w:rPr>
        <w:t xml:space="preserve">. </w:t>
      </w:r>
      <w:r w:rsidR="00137388" w:rsidRPr="00090596">
        <w:rPr>
          <w:rFonts w:eastAsia="Metropolis Light" w:cs="Metropolis Light"/>
          <w:szCs w:val="20"/>
        </w:rPr>
        <w:t>At the time, the C</w:t>
      </w:r>
      <w:r w:rsidR="0061070F">
        <w:rPr>
          <w:rFonts w:eastAsia="Metropolis Light" w:cs="Metropolis Light"/>
          <w:szCs w:val="20"/>
        </w:rPr>
        <w:t>OVID</w:t>
      </w:r>
      <w:r w:rsidR="00137388" w:rsidRPr="00090596">
        <w:rPr>
          <w:rFonts w:eastAsia="Metropolis Light" w:cs="Metropolis Light"/>
          <w:szCs w:val="20"/>
        </w:rPr>
        <w:t xml:space="preserve">-19 pandemic had been with us for </w:t>
      </w:r>
      <w:r w:rsidR="00480C04" w:rsidRPr="00090596">
        <w:rPr>
          <w:rFonts w:eastAsia="Metropolis Light" w:cs="Metropolis Light"/>
          <w:szCs w:val="20"/>
        </w:rPr>
        <w:t>over a year. We had witnessed its unprecedented impacts across society,</w:t>
      </w:r>
      <w:r w:rsidR="00967DDE" w:rsidRPr="00090596">
        <w:rPr>
          <w:rFonts w:eastAsia="Metropolis Light" w:cs="Metropolis Light"/>
          <w:szCs w:val="20"/>
        </w:rPr>
        <w:t xml:space="preserve"> </w:t>
      </w:r>
      <w:r w:rsidR="00260F57">
        <w:rPr>
          <w:rFonts w:eastAsia="Metropolis Light" w:cs="Metropolis Light"/>
          <w:szCs w:val="20"/>
        </w:rPr>
        <w:t>especially</w:t>
      </w:r>
      <w:r w:rsidR="00967DDE" w:rsidRPr="00090596">
        <w:rPr>
          <w:rFonts w:eastAsia="Metropolis Light" w:cs="Metropolis Light"/>
          <w:szCs w:val="20"/>
        </w:rPr>
        <w:t xml:space="preserve"> those arising from the various</w:t>
      </w:r>
      <w:r w:rsidR="00480C04" w:rsidRPr="00090596">
        <w:rPr>
          <w:rFonts w:eastAsia="Metropolis Light" w:cs="Metropolis Light"/>
          <w:szCs w:val="20"/>
        </w:rPr>
        <w:t xml:space="preserve"> measures adopted to</w:t>
      </w:r>
      <w:r w:rsidR="00FC5A5E" w:rsidRPr="00090596">
        <w:rPr>
          <w:rFonts w:eastAsia="Metropolis Light" w:cs="Metropolis Light"/>
          <w:szCs w:val="20"/>
        </w:rPr>
        <w:t xml:space="preserve"> prevent and</w:t>
      </w:r>
      <w:r w:rsidR="00480C04" w:rsidRPr="00090596">
        <w:rPr>
          <w:rFonts w:eastAsia="Metropolis Light" w:cs="Metropolis Light"/>
          <w:szCs w:val="20"/>
        </w:rPr>
        <w:t xml:space="preserve"> </w:t>
      </w:r>
      <w:r w:rsidR="00967DDE" w:rsidRPr="00090596">
        <w:rPr>
          <w:rFonts w:eastAsia="Metropolis Light" w:cs="Metropolis Light"/>
          <w:szCs w:val="20"/>
        </w:rPr>
        <w:t>mitigate the</w:t>
      </w:r>
      <w:r w:rsidR="00984BDE" w:rsidRPr="00090596">
        <w:rPr>
          <w:rFonts w:eastAsia="Metropolis Light" w:cs="Metropolis Light"/>
          <w:szCs w:val="20"/>
        </w:rPr>
        <w:t xml:space="preserve"> risks of infection spreading</w:t>
      </w:r>
      <w:r w:rsidR="00E8000D" w:rsidRPr="00090596">
        <w:rPr>
          <w:rFonts w:eastAsia="Metropolis Light" w:cs="Metropolis Light"/>
          <w:szCs w:val="20"/>
        </w:rPr>
        <w:t>.</w:t>
      </w:r>
      <w:r w:rsidR="00FC5A5E" w:rsidRPr="00090596">
        <w:rPr>
          <w:rFonts w:eastAsia="Metropolis Light" w:cs="Metropolis Light"/>
          <w:szCs w:val="20"/>
        </w:rPr>
        <w:t xml:space="preserve"> These measures in turn have prompted</w:t>
      </w:r>
      <w:r w:rsidR="00B41B08" w:rsidRPr="00090596">
        <w:rPr>
          <w:rFonts w:eastAsia="Metropolis Light" w:cs="Metropolis Light"/>
          <w:szCs w:val="20"/>
        </w:rPr>
        <w:t xml:space="preserve"> people to question whether our legal institutions </w:t>
      </w:r>
      <w:r w:rsidR="007F39D8" w:rsidRPr="00090596">
        <w:rPr>
          <w:rFonts w:eastAsia="Metropolis Light" w:cs="Metropolis Light"/>
          <w:szCs w:val="20"/>
        </w:rPr>
        <w:t xml:space="preserve">are adequate for crisis situations. </w:t>
      </w:r>
    </w:p>
    <w:p w14:paraId="33A112EA" w14:textId="5B50C728" w:rsidR="00E8000D" w:rsidRDefault="0074520C" w:rsidP="00D342EA">
      <w:pPr>
        <w:ind w:right="244"/>
        <w:jc w:val="both"/>
        <w:rPr>
          <w:rFonts w:eastAsia="Metropolis Light" w:cs="Metropolis Light"/>
          <w:szCs w:val="20"/>
        </w:rPr>
      </w:pPr>
      <w:r w:rsidRPr="00090596">
        <w:rPr>
          <w:rFonts w:eastAsia="Metropolis Light" w:cs="Metropolis Light"/>
          <w:szCs w:val="20"/>
        </w:rPr>
        <w:t xml:space="preserve">Just over </w:t>
      </w:r>
      <w:r w:rsidR="002E17DF">
        <w:rPr>
          <w:rFonts w:eastAsia="Metropolis Light" w:cs="Metropolis Light"/>
          <w:szCs w:val="20"/>
        </w:rPr>
        <w:t>30</w:t>
      </w:r>
      <w:r w:rsidR="002E17DF" w:rsidRPr="00090596">
        <w:rPr>
          <w:rFonts w:eastAsia="Metropolis Light" w:cs="Metropolis Light"/>
          <w:szCs w:val="20"/>
        </w:rPr>
        <w:t xml:space="preserve"> </w:t>
      </w:r>
      <w:r w:rsidR="00C43E19" w:rsidRPr="00090596">
        <w:rPr>
          <w:rFonts w:eastAsia="Metropolis Light" w:cs="Metropolis Light"/>
          <w:szCs w:val="20"/>
        </w:rPr>
        <w:t>years ago</w:t>
      </w:r>
      <w:r w:rsidR="002E17DF">
        <w:rPr>
          <w:rFonts w:eastAsia="Metropolis Light" w:cs="Metropolis Light"/>
          <w:szCs w:val="20"/>
        </w:rPr>
        <w:t>,</w:t>
      </w:r>
      <w:r w:rsidR="00C43E19" w:rsidRPr="00090596">
        <w:rPr>
          <w:rFonts w:eastAsia="Metropolis Light" w:cs="Metropolis Light"/>
          <w:szCs w:val="20"/>
        </w:rPr>
        <w:t xml:space="preserve"> the Commission published its </w:t>
      </w:r>
      <w:r w:rsidR="00C43E19" w:rsidRPr="00090596">
        <w:rPr>
          <w:rFonts w:eastAsia="Metropolis Light" w:cs="Metropolis Light"/>
          <w:i/>
          <w:iCs/>
          <w:szCs w:val="20"/>
        </w:rPr>
        <w:t xml:space="preserve">Final Report on Emergencies </w:t>
      </w:r>
      <w:r w:rsidR="00C43E19" w:rsidRPr="00090596">
        <w:rPr>
          <w:rFonts w:eastAsia="Metropolis Light" w:cs="Metropolis Light"/>
          <w:szCs w:val="20"/>
        </w:rPr>
        <w:t>(</w:t>
      </w:r>
      <w:r w:rsidR="00511C12" w:rsidRPr="00090596">
        <w:rPr>
          <w:rFonts w:eastAsia="Metropolis Light" w:cs="Metropolis Light"/>
          <w:szCs w:val="20"/>
        </w:rPr>
        <w:t xml:space="preserve">NZLC R22, 1991). </w:t>
      </w:r>
      <w:r w:rsidR="00882792" w:rsidRPr="00090596">
        <w:rPr>
          <w:rFonts w:eastAsia="Metropolis Light" w:cs="Metropolis Light"/>
          <w:szCs w:val="20"/>
        </w:rPr>
        <w:t>The Report addressed the</w:t>
      </w:r>
      <w:r w:rsidR="009574CF" w:rsidRPr="00090596">
        <w:rPr>
          <w:rFonts w:eastAsia="Metropolis Light" w:cs="Metropolis Light"/>
          <w:szCs w:val="20"/>
        </w:rPr>
        <w:t xml:space="preserve"> sources of powers in an emergency and the</w:t>
      </w:r>
      <w:r w:rsidR="00882792" w:rsidRPr="00090596">
        <w:rPr>
          <w:rFonts w:eastAsia="Metropolis Light" w:cs="Metropolis Light"/>
          <w:szCs w:val="20"/>
        </w:rPr>
        <w:t xml:space="preserve"> balance of powers and freedoms</w:t>
      </w:r>
      <w:r w:rsidR="008D5B36" w:rsidRPr="00090596">
        <w:rPr>
          <w:rFonts w:eastAsia="Metropolis Light" w:cs="Metropolis Light"/>
          <w:szCs w:val="20"/>
        </w:rPr>
        <w:t xml:space="preserve"> </w:t>
      </w:r>
      <w:r w:rsidR="005B7C6C" w:rsidRPr="00090596">
        <w:rPr>
          <w:rFonts w:eastAsia="Metropolis Light" w:cs="Metropolis Light"/>
          <w:szCs w:val="20"/>
        </w:rPr>
        <w:t xml:space="preserve">in an emergency, </w:t>
      </w:r>
      <w:r w:rsidR="009C43FC" w:rsidRPr="00090596">
        <w:rPr>
          <w:rFonts w:eastAsia="Metropolis Light" w:cs="Metropolis Light"/>
          <w:szCs w:val="20"/>
        </w:rPr>
        <w:t xml:space="preserve">both generally and in relation to </w:t>
      </w:r>
      <w:proofErr w:type="gramStart"/>
      <w:r w:rsidR="009C43FC" w:rsidRPr="00090596">
        <w:rPr>
          <w:rFonts w:eastAsia="Metropolis Light" w:cs="Metropolis Light"/>
          <w:szCs w:val="20"/>
        </w:rPr>
        <w:t>particular kinds</w:t>
      </w:r>
      <w:proofErr w:type="gramEnd"/>
      <w:r w:rsidR="009C43FC" w:rsidRPr="00090596">
        <w:rPr>
          <w:rFonts w:eastAsia="Metropolis Light" w:cs="Metropolis Light"/>
          <w:szCs w:val="20"/>
        </w:rPr>
        <w:t xml:space="preserve"> of emergencies. </w:t>
      </w:r>
      <w:r w:rsidR="00381D6D" w:rsidRPr="00090596">
        <w:rPr>
          <w:rFonts w:eastAsia="Metropolis Light" w:cs="Metropolis Light"/>
          <w:szCs w:val="20"/>
        </w:rPr>
        <w:t>Notably</w:t>
      </w:r>
      <w:r w:rsidR="00FD0594">
        <w:rPr>
          <w:rFonts w:eastAsia="Metropolis Light" w:cs="Metropolis Light"/>
          <w:szCs w:val="20"/>
        </w:rPr>
        <w:t>,</w:t>
      </w:r>
      <w:r w:rsidR="00381D6D" w:rsidRPr="00090596">
        <w:rPr>
          <w:rFonts w:eastAsia="Metropolis Light" w:cs="Metropolis Light"/>
          <w:szCs w:val="20"/>
        </w:rPr>
        <w:t xml:space="preserve"> the Report does not address pandemics</w:t>
      </w:r>
      <w:r w:rsidR="00381D6D">
        <w:rPr>
          <w:rFonts w:eastAsia="Metropolis Light" w:cs="Metropolis Light"/>
          <w:szCs w:val="20"/>
        </w:rPr>
        <w:t xml:space="preserve">, although it </w:t>
      </w:r>
      <w:r w:rsidR="000C2AE9">
        <w:rPr>
          <w:rFonts w:eastAsia="Metropolis Light" w:cs="Metropolis Light"/>
          <w:szCs w:val="20"/>
        </w:rPr>
        <w:t xml:space="preserve">briefly mentions epidemics and </w:t>
      </w:r>
      <w:r w:rsidR="00381D6D">
        <w:rPr>
          <w:rFonts w:eastAsia="Metropolis Light" w:cs="Metropolis Light"/>
          <w:szCs w:val="20"/>
        </w:rPr>
        <w:t xml:space="preserve">makes recommendations </w:t>
      </w:r>
      <w:r w:rsidR="00443094">
        <w:rPr>
          <w:rFonts w:eastAsia="Metropolis Light" w:cs="Metropolis Light"/>
          <w:szCs w:val="20"/>
        </w:rPr>
        <w:t>relating to biological incidents in the context of a war.</w:t>
      </w:r>
    </w:p>
    <w:p w14:paraId="005229E1" w14:textId="0FD5B196" w:rsidR="00443094" w:rsidRPr="00C75E63" w:rsidRDefault="00ED5EB6" w:rsidP="00D342EA">
      <w:pPr>
        <w:ind w:right="244"/>
        <w:jc w:val="both"/>
        <w:rPr>
          <w:rFonts w:eastAsia="Metropolis Light" w:cs="Metropolis Light"/>
          <w:szCs w:val="20"/>
        </w:rPr>
      </w:pPr>
      <w:r>
        <w:rPr>
          <w:rFonts w:eastAsia="Metropolis Light" w:cs="Metropolis Light"/>
          <w:szCs w:val="20"/>
        </w:rPr>
        <w:t>Given the C</w:t>
      </w:r>
      <w:r w:rsidR="0061070F">
        <w:rPr>
          <w:rFonts w:eastAsia="Metropolis Light" w:cs="Metropolis Light"/>
          <w:szCs w:val="20"/>
        </w:rPr>
        <w:t>OVID</w:t>
      </w:r>
      <w:r>
        <w:rPr>
          <w:rFonts w:eastAsia="Metropolis Light" w:cs="Metropolis Light"/>
          <w:szCs w:val="20"/>
        </w:rPr>
        <w:t>-19 pandemic</w:t>
      </w:r>
      <w:r w:rsidR="00740018">
        <w:rPr>
          <w:rFonts w:eastAsia="Metropolis Light" w:cs="Metropolis Light"/>
          <w:szCs w:val="20"/>
        </w:rPr>
        <w:t>,</w:t>
      </w:r>
      <w:r w:rsidR="00C103F6">
        <w:rPr>
          <w:rFonts w:eastAsia="Metropolis Light" w:cs="Metropolis Light"/>
          <w:szCs w:val="20"/>
        </w:rPr>
        <w:t xml:space="preserve"> the changing nature of threats </w:t>
      </w:r>
      <w:r w:rsidR="00A90B67">
        <w:rPr>
          <w:rFonts w:eastAsia="Metropolis Light" w:cs="Metropolis Light"/>
          <w:szCs w:val="20"/>
        </w:rPr>
        <w:t>that may require an emergency response</w:t>
      </w:r>
      <w:r w:rsidR="00740018">
        <w:rPr>
          <w:rFonts w:eastAsia="Metropolis Light" w:cs="Metropolis Light"/>
          <w:szCs w:val="20"/>
        </w:rPr>
        <w:t xml:space="preserve"> and changes to the legal landscape in Aotearoa New Zealand </w:t>
      </w:r>
      <w:r w:rsidR="00A90B67">
        <w:rPr>
          <w:rFonts w:eastAsia="Metropolis Light" w:cs="Metropolis Light"/>
          <w:szCs w:val="20"/>
        </w:rPr>
        <w:t xml:space="preserve">more generally, </w:t>
      </w:r>
      <w:r>
        <w:rPr>
          <w:rFonts w:eastAsia="Metropolis Light" w:cs="Metropolis Light"/>
          <w:szCs w:val="20"/>
        </w:rPr>
        <w:t xml:space="preserve">it was timely for the Commission to </w:t>
      </w:r>
      <w:r w:rsidR="00090596">
        <w:rPr>
          <w:rFonts w:eastAsia="Metropolis Light" w:cs="Metropolis Light"/>
          <w:szCs w:val="20"/>
        </w:rPr>
        <w:t xml:space="preserve">reconsider </w:t>
      </w:r>
      <w:r w:rsidR="00950867">
        <w:rPr>
          <w:rFonts w:eastAsia="Metropolis Light" w:cs="Metropolis Light"/>
          <w:szCs w:val="20"/>
        </w:rPr>
        <w:t>the country’s</w:t>
      </w:r>
      <w:r w:rsidR="008C6380">
        <w:rPr>
          <w:rFonts w:eastAsia="Metropolis Light" w:cs="Metropolis Light"/>
          <w:szCs w:val="20"/>
        </w:rPr>
        <w:t xml:space="preserve"> legal readiness for future emergencies. </w:t>
      </w:r>
      <w:r w:rsidR="002B0EDC">
        <w:rPr>
          <w:rFonts w:eastAsia="Metropolis Light" w:cs="Metropolis Light"/>
          <w:szCs w:val="20"/>
        </w:rPr>
        <w:t xml:space="preserve">We are </w:t>
      </w:r>
      <w:r w:rsidR="00443B88">
        <w:rPr>
          <w:rFonts w:eastAsia="Metropolis Light" w:cs="Metropolis Light"/>
          <w:szCs w:val="20"/>
        </w:rPr>
        <w:t xml:space="preserve">immensely </w:t>
      </w:r>
      <w:r w:rsidR="002B0EDC">
        <w:rPr>
          <w:rFonts w:eastAsia="Metropolis Light" w:cs="Metropolis Light"/>
          <w:szCs w:val="20"/>
        </w:rPr>
        <w:t xml:space="preserve">grateful that Professor McLean agreed to take on this task for </w:t>
      </w:r>
      <w:r w:rsidR="00CD1BA2">
        <w:rPr>
          <w:rFonts w:eastAsia="Metropolis Light" w:cs="Metropolis Light"/>
          <w:szCs w:val="20"/>
        </w:rPr>
        <w:t>us and</w:t>
      </w:r>
      <w:r w:rsidR="00964E30">
        <w:rPr>
          <w:rFonts w:eastAsia="Metropolis Light" w:cs="Metropolis Light"/>
          <w:szCs w:val="20"/>
        </w:rPr>
        <w:t xml:space="preserve"> thank her for the scholarship </w:t>
      </w:r>
      <w:r w:rsidR="00AA5C76">
        <w:rPr>
          <w:rFonts w:eastAsia="Metropolis Light" w:cs="Metropolis Light"/>
          <w:szCs w:val="20"/>
        </w:rPr>
        <w:t xml:space="preserve">of her research and </w:t>
      </w:r>
      <w:r w:rsidR="003B0C88">
        <w:rPr>
          <w:rFonts w:eastAsia="Metropolis Light" w:cs="Metropolis Light"/>
          <w:szCs w:val="20"/>
        </w:rPr>
        <w:t xml:space="preserve">the </w:t>
      </w:r>
      <w:r w:rsidR="00AA5C76">
        <w:rPr>
          <w:rFonts w:eastAsia="Metropolis Light" w:cs="Metropolis Light"/>
          <w:szCs w:val="20"/>
        </w:rPr>
        <w:t xml:space="preserve">wisdom </w:t>
      </w:r>
      <w:r w:rsidR="00964E30">
        <w:rPr>
          <w:rFonts w:eastAsia="Metropolis Light" w:cs="Metropolis Light"/>
          <w:szCs w:val="20"/>
        </w:rPr>
        <w:t xml:space="preserve">of her </w:t>
      </w:r>
      <w:r w:rsidR="003B0C88">
        <w:rPr>
          <w:rFonts w:eastAsia="Metropolis Light" w:cs="Metropolis Light"/>
          <w:szCs w:val="20"/>
        </w:rPr>
        <w:t>advice.</w:t>
      </w:r>
    </w:p>
    <w:p w14:paraId="0F3BD8B7" w14:textId="6388139F" w:rsidR="0016303F" w:rsidRDefault="0016303F">
      <w:pPr>
        <w:spacing w:after="0"/>
      </w:pPr>
    </w:p>
    <w:p w14:paraId="4BA1769A" w14:textId="7B0921E1" w:rsidR="000402FB" w:rsidRDefault="008873C6">
      <w:pPr>
        <w:spacing w:after="0"/>
      </w:pPr>
      <w:r>
        <w:rPr>
          <w:noProof/>
        </w:rPr>
        <w:drawing>
          <wp:anchor distT="0" distB="0" distL="114300" distR="114300" simplePos="0" relativeHeight="251658271" behindDoc="0" locked="0" layoutInCell="1" allowOverlap="1" wp14:anchorId="2865C0DB" wp14:editId="5EFEEF3E">
            <wp:simplePos x="0" y="0"/>
            <wp:positionH relativeFrom="column">
              <wp:posOffset>-48895</wp:posOffset>
            </wp:positionH>
            <wp:positionV relativeFrom="paragraph">
              <wp:posOffset>188150</wp:posOffset>
            </wp:positionV>
            <wp:extent cx="2076450" cy="517525"/>
            <wp:effectExtent l="0" t="0" r="0" b="0"/>
            <wp:wrapSquare wrapText="bothSides"/>
            <wp:docPr id="764519663" name="Picture 76451966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19663" name="Picture 764519663" descr="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6450" cy="517525"/>
                    </a:xfrm>
                    <a:prstGeom prst="rect">
                      <a:avLst/>
                    </a:prstGeom>
                    <a:noFill/>
                    <a:ln>
                      <a:noFill/>
                    </a:ln>
                  </pic:spPr>
                </pic:pic>
              </a:graphicData>
            </a:graphic>
          </wp:anchor>
        </w:drawing>
      </w:r>
    </w:p>
    <w:p w14:paraId="4EC7365F" w14:textId="77777777" w:rsidR="00D92A2E" w:rsidRDefault="00D92A2E">
      <w:pPr>
        <w:spacing w:after="0"/>
      </w:pPr>
    </w:p>
    <w:p w14:paraId="5BB00599" w14:textId="77777777" w:rsidR="00F47322" w:rsidRDefault="00F47322">
      <w:pPr>
        <w:spacing w:after="0"/>
      </w:pPr>
    </w:p>
    <w:p w14:paraId="37946979" w14:textId="52BF7F82" w:rsidR="00F47322" w:rsidRDefault="00F47322">
      <w:pPr>
        <w:spacing w:after="0"/>
      </w:pPr>
      <w:r>
        <w:t>Amokura Kawharu</w:t>
      </w:r>
    </w:p>
    <w:p w14:paraId="5B480455" w14:textId="25C19F24" w:rsidR="00F47322" w:rsidRDefault="00F47322">
      <w:pPr>
        <w:spacing w:after="0"/>
      </w:pPr>
      <w:r>
        <w:t xml:space="preserve">Tumu </w:t>
      </w:r>
      <w:proofErr w:type="spellStart"/>
      <w:r>
        <w:t>Whakarae</w:t>
      </w:r>
      <w:proofErr w:type="spellEnd"/>
      <w:r>
        <w:t xml:space="preserve"> | President</w:t>
      </w:r>
    </w:p>
    <w:p w14:paraId="191096ED" w14:textId="77777777" w:rsidR="00F47322" w:rsidRDefault="00F47322">
      <w:pPr>
        <w:spacing w:after="0"/>
      </w:pPr>
    </w:p>
    <w:p w14:paraId="3812F7DA" w14:textId="38931693" w:rsidR="0016303F" w:rsidRDefault="0016303F">
      <w:pPr>
        <w:spacing w:after="0"/>
      </w:pPr>
    </w:p>
    <w:p w14:paraId="0B1EBBC2" w14:textId="30D4E8EE" w:rsidR="0016303F" w:rsidRDefault="0016303F">
      <w:pPr>
        <w:spacing w:after="0"/>
      </w:pPr>
    </w:p>
    <w:p w14:paraId="1F9EE413" w14:textId="620F7E8A" w:rsidR="0016303F" w:rsidRDefault="0016303F">
      <w:pPr>
        <w:spacing w:after="0"/>
        <w:sectPr w:rsidR="0016303F" w:rsidSect="00DA6C34">
          <w:headerReference w:type="even" r:id="rId21"/>
          <w:headerReference w:type="default" r:id="rId22"/>
          <w:footnotePr>
            <w:numRestart w:val="eachSect"/>
          </w:footnotePr>
          <w:pgSz w:w="11920" w:h="16840"/>
          <w:pgMar w:top="1134" w:right="1134" w:bottom="1134" w:left="1701" w:header="499" w:footer="46" w:gutter="0"/>
          <w:pgNumType w:fmt="lowerRoman" w:start="3"/>
          <w:cols w:space="720"/>
        </w:sectPr>
      </w:pPr>
    </w:p>
    <w:p w14:paraId="7EB709D9" w14:textId="5744A2F4" w:rsidR="00D1015D" w:rsidRDefault="005E66B5" w:rsidP="00F074CE">
      <w:pPr>
        <w:pStyle w:val="Heading1nonum"/>
        <w:spacing w:before="600"/>
        <w:rPr>
          <w:rFonts w:eastAsia="Metropolis Black"/>
        </w:rPr>
      </w:pPr>
      <w:bookmarkStart w:id="4" w:name="_Toc118119277"/>
      <w:r w:rsidRPr="00F52D12">
        <w:rPr>
          <w:rFonts w:eastAsia="Metropolis Black"/>
        </w:rPr>
        <w:lastRenderedPageBreak/>
        <w:t>Author’s</w:t>
      </w:r>
      <w:r>
        <w:rPr>
          <w:rFonts w:eastAsia="Metropolis Black"/>
        </w:rPr>
        <w:t xml:space="preserve"> preface</w:t>
      </w:r>
      <w:bookmarkEnd w:id="4"/>
    </w:p>
    <w:p w14:paraId="00A33536" w14:textId="4F7B5645" w:rsidR="00BD0BFA" w:rsidRDefault="00BD0BFA" w:rsidP="00D1015D">
      <w:pPr>
        <w:spacing w:after="0" w:line="290" w:lineRule="atLeast"/>
        <w:ind w:left="114" w:right="568"/>
        <w:jc w:val="both"/>
        <w:rPr>
          <w:rFonts w:eastAsia="Metropolis Light" w:cs="Metropolis Light"/>
          <w:color w:val="231F20"/>
          <w:sz w:val="19"/>
          <w:szCs w:val="19"/>
          <w:highlight w:val="yellow"/>
        </w:rPr>
      </w:pPr>
      <w:r>
        <w:rPr>
          <w:noProof/>
        </w:rPr>
        <mc:AlternateContent>
          <mc:Choice Requires="wpg">
            <w:drawing>
              <wp:anchor distT="0" distB="0" distL="114300" distR="114300" simplePos="0" relativeHeight="251658268" behindDoc="1" locked="0" layoutInCell="1" allowOverlap="1" wp14:anchorId="49A97AA2" wp14:editId="22B0F132">
                <wp:simplePos x="0" y="0"/>
                <wp:positionH relativeFrom="page">
                  <wp:posOffset>1080135</wp:posOffset>
                </wp:positionH>
                <wp:positionV relativeFrom="paragraph">
                  <wp:posOffset>89014</wp:posOffset>
                </wp:positionV>
                <wp:extent cx="1332230" cy="1270"/>
                <wp:effectExtent l="0" t="19050" r="20320" b="17780"/>
                <wp:wrapNone/>
                <wp:docPr id="5"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6" name="Freeform 122"/>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7DA46" id="Group 121" o:spid="_x0000_s1026" style="position:absolute;margin-left:85.05pt;margin-top:7pt;width:104.9pt;height:.1pt;z-index:-25165821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">
                <v:shape id="Freeform 122"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" path="m,l2098,e" filled="f" strokecolor="#c96d61" strokeweight="3pt">
                  <v:path arrowok="t" o:connecttype="custom" o:connectlocs="0,0;2098,0" o:connectangles="0,0"/>
                </v:shape>
                <w10:wrap anchorx="page"/>
              </v:group>
            </w:pict>
          </mc:Fallback>
        </mc:AlternateContent>
      </w:r>
    </w:p>
    <w:p w14:paraId="0DA8C270" w14:textId="77777777" w:rsidR="0063189C" w:rsidRDefault="0063189C" w:rsidP="00D1015D">
      <w:pPr>
        <w:spacing w:after="0" w:line="290" w:lineRule="atLeast"/>
        <w:ind w:left="114" w:right="568"/>
        <w:jc w:val="both"/>
        <w:rPr>
          <w:rFonts w:eastAsia="Metropolis Light" w:cs="Metropolis Light"/>
          <w:color w:val="231F20"/>
          <w:sz w:val="19"/>
          <w:szCs w:val="19"/>
          <w:highlight w:val="yellow"/>
        </w:rPr>
      </w:pPr>
    </w:p>
    <w:p w14:paraId="1E78F598" w14:textId="04417751" w:rsidR="00B15E15" w:rsidRPr="00B15E15" w:rsidRDefault="00B15E15" w:rsidP="00FD0594">
      <w:pPr>
        <w:ind w:right="244"/>
        <w:jc w:val="both"/>
        <w:rPr>
          <w:rFonts w:eastAsia="Metropolis Light" w:cs="Metropolis Light"/>
          <w:szCs w:val="20"/>
        </w:rPr>
      </w:pPr>
      <w:r w:rsidRPr="00B15E15">
        <w:rPr>
          <w:rFonts w:eastAsia="Metropolis Light" w:cs="Metropolis Light"/>
          <w:szCs w:val="20"/>
        </w:rPr>
        <w:t xml:space="preserve">This </w:t>
      </w:r>
      <w:r w:rsidR="00F47322">
        <w:rPr>
          <w:rFonts w:eastAsia="Metropolis Light" w:cs="Metropolis Light"/>
          <w:szCs w:val="20"/>
        </w:rPr>
        <w:t>paper</w:t>
      </w:r>
      <w:r w:rsidRPr="00B15E15">
        <w:rPr>
          <w:rFonts w:eastAsia="Metropolis Light" w:cs="Metropolis Light"/>
          <w:szCs w:val="20"/>
        </w:rPr>
        <w:t xml:space="preserve"> was written primarily from my home in Auckland (sometimes under conditions of lockdown) while the C</w:t>
      </w:r>
      <w:r w:rsidR="0061070F">
        <w:rPr>
          <w:rFonts w:eastAsia="Metropolis Light" w:cs="Metropolis Light"/>
          <w:szCs w:val="20"/>
        </w:rPr>
        <w:t>OVID</w:t>
      </w:r>
      <w:r w:rsidRPr="00B15E15">
        <w:rPr>
          <w:rFonts w:eastAsia="Metropolis Light" w:cs="Metropolis Light"/>
          <w:szCs w:val="20"/>
        </w:rPr>
        <w:t xml:space="preserve">-19 pandemic unfolded, new variants of the virus evolved, a huge amount of legislation was </w:t>
      </w:r>
      <w:proofErr w:type="gramStart"/>
      <w:r w:rsidRPr="00B15E15">
        <w:rPr>
          <w:rFonts w:eastAsia="Metropolis Light" w:cs="Metropolis Light"/>
          <w:szCs w:val="20"/>
        </w:rPr>
        <w:t>generated</w:t>
      </w:r>
      <w:proofErr w:type="gramEnd"/>
      <w:r w:rsidRPr="00B15E15">
        <w:rPr>
          <w:rFonts w:eastAsia="Metropolis Light" w:cs="Metropolis Light"/>
          <w:szCs w:val="20"/>
        </w:rPr>
        <w:t xml:space="preserve"> and legislation began to be challenged in the courts. </w:t>
      </w:r>
    </w:p>
    <w:p w14:paraId="217287C3" w14:textId="16912FBC" w:rsidR="00B15E15" w:rsidRPr="00B15E15" w:rsidRDefault="00B15E15" w:rsidP="00FD0594">
      <w:pPr>
        <w:ind w:right="244"/>
        <w:jc w:val="both"/>
        <w:rPr>
          <w:rFonts w:eastAsia="Metropolis Light" w:cs="Metropolis Light"/>
          <w:szCs w:val="20"/>
        </w:rPr>
      </w:pPr>
      <w:r w:rsidRPr="00B15E15">
        <w:rPr>
          <w:rFonts w:eastAsia="Metropolis Light" w:cs="Metropolis Light"/>
          <w:szCs w:val="20"/>
        </w:rPr>
        <w:t xml:space="preserve">The legal issues changed drastically over that time. </w:t>
      </w:r>
      <w:r w:rsidR="00FD0594">
        <w:rPr>
          <w:rFonts w:eastAsia="Metropolis Light" w:cs="Metropolis Light"/>
          <w:szCs w:val="20"/>
        </w:rPr>
        <w:t xml:space="preserve">This paper </w:t>
      </w:r>
      <w:r w:rsidRPr="00B15E15">
        <w:rPr>
          <w:rFonts w:eastAsia="Metropolis Light" w:cs="Metropolis Light"/>
          <w:szCs w:val="20"/>
        </w:rPr>
        <w:t xml:space="preserve">draws on my expertise as a public lawyer and does not necessarily represent the views of the Commission. Thanks to Selwyn Fraser and Nathan Pinder for research assistance. </w:t>
      </w:r>
    </w:p>
    <w:p w14:paraId="41CEF884" w14:textId="0041B27B" w:rsidR="00B15E15" w:rsidRDefault="00B15E15" w:rsidP="00FD0594">
      <w:pPr>
        <w:ind w:right="244"/>
        <w:jc w:val="both"/>
        <w:rPr>
          <w:rFonts w:eastAsia="Metropolis Light" w:cs="Metropolis Light"/>
          <w:szCs w:val="20"/>
        </w:rPr>
      </w:pPr>
      <w:r w:rsidRPr="00B15E15">
        <w:rPr>
          <w:rFonts w:eastAsia="Metropolis Light" w:cs="Metropolis Light"/>
          <w:szCs w:val="20"/>
        </w:rPr>
        <w:t xml:space="preserve">All errors are my own. The law is as stated </w:t>
      </w:r>
      <w:proofErr w:type="gramStart"/>
      <w:r w:rsidRPr="00B15E15">
        <w:rPr>
          <w:rFonts w:eastAsia="Metropolis Light" w:cs="Metropolis Light"/>
          <w:szCs w:val="20"/>
        </w:rPr>
        <w:t>at</w:t>
      </w:r>
      <w:proofErr w:type="gramEnd"/>
      <w:r w:rsidRPr="00B15E15">
        <w:rPr>
          <w:rFonts w:eastAsia="Metropolis Light" w:cs="Metropolis Light"/>
          <w:szCs w:val="20"/>
        </w:rPr>
        <w:t xml:space="preserve"> 14 July 2022.</w:t>
      </w:r>
    </w:p>
    <w:p w14:paraId="3091C531" w14:textId="77777777" w:rsidR="00D60B10" w:rsidRDefault="00D60B10" w:rsidP="00FD0594">
      <w:pPr>
        <w:ind w:right="244"/>
        <w:jc w:val="both"/>
        <w:rPr>
          <w:rFonts w:eastAsia="Metropolis Light" w:cs="Metropolis Light"/>
          <w:szCs w:val="20"/>
        </w:rPr>
      </w:pPr>
    </w:p>
    <w:p w14:paraId="7368D932" w14:textId="2FAA3A77" w:rsidR="00B15E15" w:rsidRPr="0063189C" w:rsidRDefault="00B15E15" w:rsidP="00FD0594">
      <w:pPr>
        <w:ind w:right="244"/>
        <w:jc w:val="both"/>
        <w:rPr>
          <w:rFonts w:eastAsia="Metropolis Light" w:cs="Metropolis Light"/>
          <w:szCs w:val="20"/>
        </w:rPr>
      </w:pPr>
      <w:r w:rsidRPr="0063189C">
        <w:rPr>
          <w:rFonts w:eastAsia="Metropolis Light" w:cs="Metropolis Light"/>
          <w:szCs w:val="20"/>
        </w:rPr>
        <w:t>Professor Janet McLean KC</w:t>
      </w:r>
    </w:p>
    <w:p w14:paraId="0821089A" w14:textId="77777777" w:rsidR="00D1015D" w:rsidRDefault="00D1015D" w:rsidP="00D1015D">
      <w:pPr>
        <w:spacing w:after="0" w:line="200" w:lineRule="exact"/>
        <w:rPr>
          <w:szCs w:val="20"/>
        </w:rPr>
      </w:pPr>
    </w:p>
    <w:p w14:paraId="7653C320" w14:textId="6081F8F5" w:rsidR="00D1015D" w:rsidRDefault="00D1015D" w:rsidP="00D1015D">
      <w:pPr>
        <w:spacing w:after="0" w:line="200" w:lineRule="exact"/>
        <w:rPr>
          <w:szCs w:val="20"/>
        </w:rPr>
      </w:pPr>
    </w:p>
    <w:p w14:paraId="067191E6" w14:textId="7DD5D5CC" w:rsidR="00D1015D" w:rsidRDefault="00D1015D" w:rsidP="00D1015D">
      <w:pPr>
        <w:spacing w:before="15" w:after="0" w:line="260" w:lineRule="exact"/>
        <w:rPr>
          <w:sz w:val="26"/>
          <w:szCs w:val="26"/>
        </w:rPr>
      </w:pPr>
    </w:p>
    <w:p w14:paraId="4B93434B" w14:textId="2BB9C8ED" w:rsidR="00F635BC" w:rsidRDefault="00F635BC" w:rsidP="006F2F1E">
      <w:pPr>
        <w:spacing w:after="0" w:line="240" w:lineRule="auto"/>
        <w:ind w:left="114" w:right="-20"/>
        <w:rPr>
          <w:szCs w:val="20"/>
        </w:rPr>
        <w:sectPr w:rsidR="00F635BC" w:rsidSect="00556B28">
          <w:headerReference w:type="even" r:id="rId23"/>
          <w:headerReference w:type="default" r:id="rId24"/>
          <w:footnotePr>
            <w:numRestart w:val="eachSect"/>
          </w:footnotePr>
          <w:pgSz w:w="11920" w:h="16840"/>
          <w:pgMar w:top="1134" w:right="1134" w:bottom="1134" w:left="1701" w:header="499" w:footer="46" w:gutter="0"/>
          <w:pgNumType w:fmt="lowerRoman" w:start="4"/>
          <w:cols w:space="720"/>
        </w:sectPr>
      </w:pPr>
    </w:p>
    <w:p w14:paraId="1F9EE435" w14:textId="77777777" w:rsidR="00862DF8" w:rsidRDefault="00862DF8">
      <w:pPr>
        <w:spacing w:after="0" w:line="200" w:lineRule="exact"/>
        <w:rPr>
          <w:szCs w:val="20"/>
        </w:rPr>
      </w:pPr>
    </w:p>
    <w:p w14:paraId="03D17C8E" w14:textId="77777777" w:rsidR="002C3364" w:rsidRDefault="002C3364">
      <w:pPr>
        <w:spacing w:after="0" w:line="200" w:lineRule="exact"/>
        <w:rPr>
          <w:szCs w:val="20"/>
        </w:rPr>
      </w:pPr>
    </w:p>
    <w:p w14:paraId="1F9EE437" w14:textId="77777777" w:rsidR="00862DF8" w:rsidRDefault="002A1421" w:rsidP="00AD4ECF">
      <w:pPr>
        <w:spacing w:before="41" w:after="0" w:line="240" w:lineRule="auto"/>
        <w:ind w:right="5386"/>
        <w:jc w:val="both"/>
        <w:rPr>
          <w:rFonts w:ascii="Metropolis Black" w:eastAsia="Metropolis Black" w:hAnsi="Metropolis Black" w:cs="Metropolis Black"/>
          <w:sz w:val="66"/>
          <w:szCs w:val="66"/>
        </w:rPr>
      </w:pPr>
      <w:r>
        <w:rPr>
          <w:rFonts w:ascii="Metropolis Black" w:eastAsia="Metropolis Black" w:hAnsi="Metropolis Black" w:cs="Metropolis Black"/>
          <w:b/>
          <w:bCs/>
          <w:color w:val="C96D61"/>
          <w:spacing w:val="-18"/>
          <w:sz w:val="66"/>
          <w:szCs w:val="66"/>
        </w:rPr>
        <w:t>C</w:t>
      </w:r>
      <w:r>
        <w:rPr>
          <w:rFonts w:ascii="Metropolis Black" w:eastAsia="Metropolis Black" w:hAnsi="Metropolis Black" w:cs="Metropolis Black"/>
          <w:b/>
          <w:bCs/>
          <w:color w:val="C96D61"/>
          <w:spacing w:val="-8"/>
          <w:sz w:val="66"/>
          <w:szCs w:val="66"/>
        </w:rPr>
        <w:t>o</w:t>
      </w:r>
      <w:r>
        <w:rPr>
          <w:rFonts w:ascii="Metropolis Black" w:eastAsia="Metropolis Black" w:hAnsi="Metropolis Black" w:cs="Metropolis Black"/>
          <w:b/>
          <w:bCs/>
          <w:color w:val="C96D61"/>
          <w:spacing w:val="-10"/>
          <w:sz w:val="66"/>
          <w:szCs w:val="66"/>
        </w:rPr>
        <w:t>n</w:t>
      </w:r>
      <w:r>
        <w:rPr>
          <w:rFonts w:ascii="Metropolis Black" w:eastAsia="Metropolis Black" w:hAnsi="Metropolis Black" w:cs="Metropolis Black"/>
          <w:b/>
          <w:bCs/>
          <w:color w:val="C96D61"/>
          <w:spacing w:val="-14"/>
          <w:sz w:val="66"/>
          <w:szCs w:val="66"/>
        </w:rPr>
        <w:t>t</w:t>
      </w:r>
      <w:r>
        <w:rPr>
          <w:rFonts w:ascii="Metropolis Black" w:eastAsia="Metropolis Black" w:hAnsi="Metropolis Black" w:cs="Metropolis Black"/>
          <w:b/>
          <w:bCs/>
          <w:color w:val="C96D61"/>
          <w:spacing w:val="-7"/>
          <w:sz w:val="66"/>
          <w:szCs w:val="66"/>
        </w:rPr>
        <w:t>e</w:t>
      </w:r>
      <w:r>
        <w:rPr>
          <w:rFonts w:ascii="Metropolis Black" w:eastAsia="Metropolis Black" w:hAnsi="Metropolis Black" w:cs="Metropolis Black"/>
          <w:b/>
          <w:bCs/>
          <w:color w:val="C96D61"/>
          <w:spacing w:val="-10"/>
          <w:sz w:val="66"/>
          <w:szCs w:val="66"/>
        </w:rPr>
        <w:t>n</w:t>
      </w:r>
      <w:r>
        <w:rPr>
          <w:rFonts w:ascii="Metropolis Black" w:eastAsia="Metropolis Black" w:hAnsi="Metropolis Black" w:cs="Metropolis Black"/>
          <w:b/>
          <w:bCs/>
          <w:color w:val="C96D61"/>
          <w:spacing w:val="-6"/>
          <w:sz w:val="66"/>
          <w:szCs w:val="66"/>
        </w:rPr>
        <w:t>t</w:t>
      </w:r>
      <w:r>
        <w:rPr>
          <w:rFonts w:ascii="Metropolis Black" w:eastAsia="Metropolis Black" w:hAnsi="Metropolis Black" w:cs="Metropolis Black"/>
          <w:b/>
          <w:bCs/>
          <w:color w:val="C96D61"/>
          <w:sz w:val="66"/>
          <w:szCs w:val="66"/>
        </w:rPr>
        <w:t>s</w:t>
      </w:r>
    </w:p>
    <w:p w14:paraId="1F9EE438" w14:textId="77777777" w:rsidR="00862DF8" w:rsidRDefault="00862DF8">
      <w:pPr>
        <w:spacing w:before="1" w:after="0" w:line="130" w:lineRule="exact"/>
        <w:rPr>
          <w:sz w:val="13"/>
          <w:szCs w:val="13"/>
        </w:rPr>
      </w:pPr>
    </w:p>
    <w:p w14:paraId="1F9EE439" w14:textId="7B495387" w:rsidR="00862DF8" w:rsidRDefault="00862DF8">
      <w:pPr>
        <w:spacing w:after="0" w:line="200" w:lineRule="exact"/>
        <w:rPr>
          <w:szCs w:val="20"/>
        </w:rPr>
      </w:pPr>
    </w:p>
    <w:p w14:paraId="471655CF" w14:textId="18B07391" w:rsidR="00BD0BFA" w:rsidRDefault="00C20222">
      <w:pPr>
        <w:spacing w:after="0" w:line="200" w:lineRule="exact"/>
        <w:rPr>
          <w:szCs w:val="20"/>
        </w:rPr>
      </w:pPr>
      <w:r>
        <w:rPr>
          <w:noProof/>
        </w:rPr>
        <mc:AlternateContent>
          <mc:Choice Requires="wpg">
            <w:drawing>
              <wp:anchor distT="0" distB="0" distL="114300" distR="114300" simplePos="0" relativeHeight="251658264" behindDoc="1" locked="0" layoutInCell="1" allowOverlap="1" wp14:anchorId="31828615" wp14:editId="40930FCD">
                <wp:simplePos x="0" y="0"/>
                <wp:positionH relativeFrom="page">
                  <wp:posOffset>1080135</wp:posOffset>
                </wp:positionH>
                <wp:positionV relativeFrom="paragraph">
                  <wp:posOffset>107950</wp:posOffset>
                </wp:positionV>
                <wp:extent cx="1332230" cy="1270"/>
                <wp:effectExtent l="0" t="19050" r="20320" b="17780"/>
                <wp:wrapNone/>
                <wp:docPr id="3"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4" name="Freeform 122"/>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FCA0F" id="Group 121" o:spid="_x0000_s1026" style="position:absolute;margin-left:85.05pt;margin-top:8.5pt;width:104.9pt;height:.1pt;z-index:-25165821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">
                <v:shape id="Freeform 122"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" path="m,l2098,e" filled="f" strokecolor="#c96d61" strokeweight="3pt">
                  <v:path arrowok="t" o:connecttype="custom" o:connectlocs="0,0;2098,0" o:connectangles="0,0"/>
                </v:shape>
                <w10:wrap anchorx="page"/>
              </v:group>
            </w:pict>
          </mc:Fallback>
        </mc:AlternateContent>
      </w:r>
    </w:p>
    <w:p w14:paraId="334B695C" w14:textId="2CFA4832" w:rsidR="00BD0BFA" w:rsidRDefault="00BD0BFA">
      <w:pPr>
        <w:spacing w:after="0" w:line="200" w:lineRule="exact"/>
        <w:rPr>
          <w:szCs w:val="20"/>
        </w:rPr>
      </w:pPr>
    </w:p>
    <w:p w14:paraId="5B4CA66E" w14:textId="60CBE16B" w:rsidR="00976F4A" w:rsidRDefault="005E6A30">
      <w:pPr>
        <w:pStyle w:val="TOC1"/>
        <w:rPr>
          <w:rFonts w:asciiTheme="minorHAnsi" w:eastAsiaTheme="minorEastAsia" w:hAnsiTheme="minorHAnsi"/>
          <w:b w:val="0"/>
          <w:caps w:val="0"/>
          <w:color w:val="auto"/>
          <w:sz w:val="22"/>
          <w:lang w:eastAsia="en-NZ"/>
        </w:rPr>
      </w:pPr>
      <w:r>
        <w:rPr>
          <w:rFonts w:eastAsia="SimSun"/>
          <w:caps w:val="0"/>
          <w:lang w:eastAsia="en-NZ"/>
        </w:rPr>
        <w:fldChar w:fldCharType="begin"/>
      </w:r>
      <w:r>
        <w:rPr>
          <w:rFonts w:eastAsia="SimSun"/>
          <w:caps w:val="0"/>
          <w:lang w:eastAsia="en-NZ"/>
        </w:rPr>
        <w:instrText xml:space="preserve"> TOC \o "3-3" \h \z \t "Heading 1,1,Heading 2,2,Subtitle,1,Title,1,Cover Title,1,Cover Subtitle,1,Heading 1 (no num),1,NZLSG H1,1,Cover Page Text,1,Cover Page Title,1,Models headings,2,Prelim headings,1,Thesis,1" </w:instrText>
      </w:r>
      <w:r>
        <w:rPr>
          <w:rFonts w:eastAsia="SimSun"/>
          <w:caps w:val="0"/>
          <w:lang w:eastAsia="en-NZ"/>
        </w:rPr>
        <w:fldChar w:fldCharType="separate"/>
      </w:r>
      <w:hyperlink w:anchor="_Toc118119276" w:history="1">
        <w:r w:rsidR="00976F4A" w:rsidRPr="00323E3B">
          <w:rPr>
            <w:rStyle w:val="Hyperlink"/>
            <w:rFonts w:eastAsia="Metropolis Black"/>
          </w:rPr>
          <w:t>F</w:t>
        </w:r>
        <w:r w:rsidR="00976F4A" w:rsidRPr="00323E3B">
          <w:rPr>
            <w:rStyle w:val="Hyperlink"/>
            <w:rFonts w:eastAsia="Metropolis Black"/>
            <w:spacing w:val="-8"/>
          </w:rPr>
          <w:t>o</w:t>
        </w:r>
        <w:r w:rsidR="00976F4A" w:rsidRPr="00323E3B">
          <w:rPr>
            <w:rStyle w:val="Hyperlink"/>
            <w:rFonts w:eastAsia="Metropolis Black"/>
            <w:spacing w:val="-13"/>
          </w:rPr>
          <w:t>r</w:t>
        </w:r>
        <w:r w:rsidR="00976F4A" w:rsidRPr="00323E3B">
          <w:rPr>
            <w:rStyle w:val="Hyperlink"/>
            <w:rFonts w:eastAsia="Metropolis Black"/>
          </w:rPr>
          <w:t>e</w:t>
        </w:r>
        <w:r w:rsidR="00976F4A" w:rsidRPr="00323E3B">
          <w:rPr>
            <w:rStyle w:val="Hyperlink"/>
            <w:rFonts w:eastAsia="Metropolis Black"/>
            <w:spacing w:val="-22"/>
          </w:rPr>
          <w:t>w</w:t>
        </w:r>
        <w:r w:rsidR="00976F4A" w:rsidRPr="00323E3B">
          <w:rPr>
            <w:rStyle w:val="Hyperlink"/>
            <w:rFonts w:eastAsia="Metropolis Black"/>
            <w:spacing w:val="-8"/>
          </w:rPr>
          <w:t>o</w:t>
        </w:r>
        <w:r w:rsidR="00976F4A" w:rsidRPr="00323E3B">
          <w:rPr>
            <w:rStyle w:val="Hyperlink"/>
            <w:rFonts w:eastAsia="Metropolis Black"/>
            <w:spacing w:val="-12"/>
          </w:rPr>
          <w:t>r</w:t>
        </w:r>
        <w:r w:rsidR="00976F4A" w:rsidRPr="00323E3B">
          <w:rPr>
            <w:rStyle w:val="Hyperlink"/>
            <w:rFonts w:eastAsia="Metropolis Black"/>
          </w:rPr>
          <w:t>d</w:t>
        </w:r>
        <w:r w:rsidR="00976F4A">
          <w:rPr>
            <w:webHidden/>
          </w:rPr>
          <w:tab/>
        </w:r>
        <w:r w:rsidR="00976F4A">
          <w:rPr>
            <w:webHidden/>
          </w:rPr>
          <w:fldChar w:fldCharType="begin"/>
        </w:r>
        <w:r w:rsidR="00976F4A">
          <w:rPr>
            <w:webHidden/>
          </w:rPr>
          <w:instrText xml:space="preserve"> PAGEREF _Toc118119276 \h </w:instrText>
        </w:r>
        <w:r w:rsidR="00976F4A">
          <w:rPr>
            <w:webHidden/>
          </w:rPr>
        </w:r>
        <w:r w:rsidR="00976F4A">
          <w:rPr>
            <w:webHidden/>
          </w:rPr>
          <w:fldChar w:fldCharType="separate"/>
        </w:r>
        <w:r w:rsidR="0008452D">
          <w:rPr>
            <w:caps w:val="0"/>
            <w:webHidden/>
          </w:rPr>
          <w:t>iii</w:t>
        </w:r>
        <w:r w:rsidR="00976F4A">
          <w:rPr>
            <w:webHidden/>
          </w:rPr>
          <w:fldChar w:fldCharType="end"/>
        </w:r>
      </w:hyperlink>
    </w:p>
    <w:p w14:paraId="2699C36C" w14:textId="23D889FB" w:rsidR="00976F4A" w:rsidRDefault="008F3DB7">
      <w:pPr>
        <w:pStyle w:val="TOC1"/>
        <w:rPr>
          <w:rFonts w:asciiTheme="minorHAnsi" w:eastAsiaTheme="minorEastAsia" w:hAnsiTheme="minorHAnsi"/>
          <w:b w:val="0"/>
          <w:caps w:val="0"/>
          <w:color w:val="auto"/>
          <w:sz w:val="22"/>
          <w:lang w:eastAsia="en-NZ"/>
        </w:rPr>
      </w:pPr>
      <w:hyperlink w:anchor="_Toc118119277" w:history="1">
        <w:r w:rsidR="00976F4A" w:rsidRPr="00323E3B">
          <w:rPr>
            <w:rStyle w:val="Hyperlink"/>
            <w:rFonts w:eastAsia="Metropolis Black"/>
          </w:rPr>
          <w:t>Author’s preface</w:t>
        </w:r>
        <w:r w:rsidR="00976F4A">
          <w:rPr>
            <w:webHidden/>
          </w:rPr>
          <w:tab/>
        </w:r>
        <w:r w:rsidR="00976F4A">
          <w:rPr>
            <w:webHidden/>
          </w:rPr>
          <w:fldChar w:fldCharType="begin"/>
        </w:r>
        <w:r w:rsidR="00976F4A">
          <w:rPr>
            <w:webHidden/>
          </w:rPr>
          <w:instrText xml:space="preserve"> PAGEREF _Toc118119277 \h </w:instrText>
        </w:r>
        <w:r w:rsidR="00976F4A">
          <w:rPr>
            <w:webHidden/>
          </w:rPr>
        </w:r>
        <w:r w:rsidR="00976F4A">
          <w:rPr>
            <w:webHidden/>
          </w:rPr>
          <w:fldChar w:fldCharType="separate"/>
        </w:r>
        <w:r w:rsidR="0008452D">
          <w:rPr>
            <w:caps w:val="0"/>
            <w:webHidden/>
          </w:rPr>
          <w:t>iv</w:t>
        </w:r>
        <w:r w:rsidR="00976F4A">
          <w:rPr>
            <w:webHidden/>
          </w:rPr>
          <w:fldChar w:fldCharType="end"/>
        </w:r>
      </w:hyperlink>
    </w:p>
    <w:p w14:paraId="73EACA91" w14:textId="4A677A87" w:rsidR="00976F4A" w:rsidRDefault="008F3DB7">
      <w:pPr>
        <w:pStyle w:val="TOC1"/>
        <w:rPr>
          <w:rFonts w:asciiTheme="minorHAnsi" w:eastAsiaTheme="minorEastAsia" w:hAnsiTheme="minorHAnsi"/>
          <w:b w:val="0"/>
          <w:caps w:val="0"/>
          <w:color w:val="auto"/>
          <w:sz w:val="22"/>
          <w:lang w:eastAsia="en-NZ"/>
        </w:rPr>
      </w:pPr>
      <w:hyperlink w:anchor="_Toc118119278" w:history="1">
        <w:r w:rsidR="00976F4A" w:rsidRPr="00323E3B">
          <w:rPr>
            <w:rStyle w:val="Hyperlink"/>
          </w:rPr>
          <w:t>E</w:t>
        </w:r>
        <w:r w:rsidR="00976F4A" w:rsidRPr="00323E3B">
          <w:rPr>
            <w:rStyle w:val="Hyperlink"/>
            <w:spacing w:val="-24"/>
          </w:rPr>
          <w:t>x</w:t>
        </w:r>
        <w:r w:rsidR="00976F4A" w:rsidRPr="00323E3B">
          <w:rPr>
            <w:rStyle w:val="Hyperlink"/>
            <w:spacing w:val="-11"/>
          </w:rPr>
          <w:t>e</w:t>
        </w:r>
        <w:r w:rsidR="00976F4A" w:rsidRPr="00323E3B">
          <w:rPr>
            <w:rStyle w:val="Hyperlink"/>
            <w:spacing w:val="-14"/>
          </w:rPr>
          <w:t>c</w:t>
        </w:r>
        <w:r w:rsidR="00976F4A" w:rsidRPr="00323E3B">
          <w:rPr>
            <w:rStyle w:val="Hyperlink"/>
          </w:rPr>
          <w:t>u</w:t>
        </w:r>
        <w:r w:rsidR="00976F4A" w:rsidRPr="00323E3B">
          <w:rPr>
            <w:rStyle w:val="Hyperlink"/>
            <w:spacing w:val="-7"/>
          </w:rPr>
          <w:t>t</w:t>
        </w:r>
        <w:r w:rsidR="00976F4A" w:rsidRPr="00323E3B">
          <w:rPr>
            <w:rStyle w:val="Hyperlink"/>
            <w:spacing w:val="-14"/>
          </w:rPr>
          <w:t>i</w:t>
        </w:r>
        <w:r w:rsidR="00976F4A" w:rsidRPr="00323E3B">
          <w:rPr>
            <w:rStyle w:val="Hyperlink"/>
            <w:spacing w:val="-28"/>
          </w:rPr>
          <w:t>v</w:t>
        </w:r>
        <w:r w:rsidR="00976F4A" w:rsidRPr="00323E3B">
          <w:rPr>
            <w:rStyle w:val="Hyperlink"/>
          </w:rPr>
          <w:t>e</w:t>
        </w:r>
        <w:r w:rsidR="00976F4A" w:rsidRPr="00323E3B">
          <w:rPr>
            <w:rStyle w:val="Hyperlink"/>
            <w:spacing w:val="-13"/>
          </w:rPr>
          <w:t xml:space="preserve"> </w:t>
        </w:r>
        <w:r w:rsidR="00976F4A" w:rsidRPr="00323E3B">
          <w:rPr>
            <w:rStyle w:val="Hyperlink"/>
          </w:rPr>
          <w:t>summary</w:t>
        </w:r>
        <w:r w:rsidR="00976F4A">
          <w:rPr>
            <w:webHidden/>
          </w:rPr>
          <w:tab/>
        </w:r>
        <w:r w:rsidR="00976F4A">
          <w:rPr>
            <w:webHidden/>
          </w:rPr>
          <w:fldChar w:fldCharType="begin"/>
        </w:r>
        <w:r w:rsidR="00976F4A">
          <w:rPr>
            <w:webHidden/>
          </w:rPr>
          <w:instrText xml:space="preserve"> PAGEREF _Toc118119278 \h </w:instrText>
        </w:r>
        <w:r w:rsidR="00976F4A">
          <w:rPr>
            <w:webHidden/>
          </w:rPr>
        </w:r>
        <w:r w:rsidR="00976F4A">
          <w:rPr>
            <w:webHidden/>
          </w:rPr>
          <w:fldChar w:fldCharType="separate"/>
        </w:r>
        <w:r w:rsidR="0008452D">
          <w:rPr>
            <w:webHidden/>
          </w:rPr>
          <w:t>3</w:t>
        </w:r>
        <w:r w:rsidR="00976F4A">
          <w:rPr>
            <w:webHidden/>
          </w:rPr>
          <w:fldChar w:fldCharType="end"/>
        </w:r>
      </w:hyperlink>
    </w:p>
    <w:p w14:paraId="116A0FB2" w14:textId="0EAF0D2B" w:rsidR="00976F4A" w:rsidRDefault="008F3DB7">
      <w:pPr>
        <w:pStyle w:val="TOC2"/>
        <w:rPr>
          <w:rFonts w:asciiTheme="minorHAnsi" w:eastAsiaTheme="minorEastAsia" w:hAnsiTheme="minorHAnsi"/>
          <w:b w:val="0"/>
          <w:color w:val="auto"/>
          <w:sz w:val="22"/>
          <w:lang w:eastAsia="en-NZ"/>
        </w:rPr>
      </w:pPr>
      <w:hyperlink w:anchor="_Toc118119279" w:history="1">
        <w:r w:rsidR="00976F4A" w:rsidRPr="00323E3B">
          <w:rPr>
            <w:rStyle w:val="Hyperlink"/>
            <w:rFonts w:eastAsia="Metropolis"/>
          </w:rPr>
          <w:t>Structure of the Study Paper</w:t>
        </w:r>
        <w:r w:rsidR="00976F4A">
          <w:rPr>
            <w:webHidden/>
          </w:rPr>
          <w:tab/>
        </w:r>
        <w:r w:rsidR="00976F4A">
          <w:rPr>
            <w:webHidden/>
          </w:rPr>
          <w:fldChar w:fldCharType="begin"/>
        </w:r>
        <w:r w:rsidR="00976F4A">
          <w:rPr>
            <w:webHidden/>
          </w:rPr>
          <w:instrText xml:space="preserve"> PAGEREF _Toc118119279 \h </w:instrText>
        </w:r>
        <w:r w:rsidR="00976F4A">
          <w:rPr>
            <w:webHidden/>
          </w:rPr>
        </w:r>
        <w:r w:rsidR="00976F4A">
          <w:rPr>
            <w:webHidden/>
          </w:rPr>
          <w:fldChar w:fldCharType="separate"/>
        </w:r>
        <w:r w:rsidR="0008452D">
          <w:rPr>
            <w:webHidden/>
          </w:rPr>
          <w:t>3</w:t>
        </w:r>
        <w:r w:rsidR="00976F4A">
          <w:rPr>
            <w:webHidden/>
          </w:rPr>
          <w:fldChar w:fldCharType="end"/>
        </w:r>
      </w:hyperlink>
    </w:p>
    <w:p w14:paraId="2CE8CC3F" w14:textId="7030EE66" w:rsidR="00976F4A" w:rsidRDefault="008F3DB7">
      <w:pPr>
        <w:pStyle w:val="TOC2"/>
        <w:rPr>
          <w:rFonts w:asciiTheme="minorHAnsi" w:eastAsiaTheme="minorEastAsia" w:hAnsiTheme="minorHAnsi"/>
          <w:b w:val="0"/>
          <w:color w:val="auto"/>
          <w:sz w:val="22"/>
          <w:lang w:eastAsia="en-NZ"/>
        </w:rPr>
      </w:pPr>
      <w:hyperlink w:anchor="_Toc118119280" w:history="1">
        <w:r w:rsidR="00976F4A" w:rsidRPr="00323E3B">
          <w:rPr>
            <w:rStyle w:val="Hyperlink"/>
            <w:bCs/>
          </w:rPr>
          <w:t>Principal Recommendations</w:t>
        </w:r>
        <w:r w:rsidR="00976F4A">
          <w:rPr>
            <w:webHidden/>
          </w:rPr>
          <w:tab/>
        </w:r>
        <w:r w:rsidR="00976F4A">
          <w:rPr>
            <w:webHidden/>
          </w:rPr>
          <w:fldChar w:fldCharType="begin"/>
        </w:r>
        <w:r w:rsidR="00976F4A">
          <w:rPr>
            <w:webHidden/>
          </w:rPr>
          <w:instrText xml:space="preserve"> PAGEREF _Toc118119280 \h </w:instrText>
        </w:r>
        <w:r w:rsidR="00976F4A">
          <w:rPr>
            <w:webHidden/>
          </w:rPr>
        </w:r>
        <w:r w:rsidR="00976F4A">
          <w:rPr>
            <w:webHidden/>
          </w:rPr>
          <w:fldChar w:fldCharType="separate"/>
        </w:r>
        <w:r w:rsidR="0008452D">
          <w:rPr>
            <w:webHidden/>
          </w:rPr>
          <w:t>3</w:t>
        </w:r>
        <w:r w:rsidR="00976F4A">
          <w:rPr>
            <w:webHidden/>
          </w:rPr>
          <w:fldChar w:fldCharType="end"/>
        </w:r>
      </w:hyperlink>
    </w:p>
    <w:p w14:paraId="6C11A502" w14:textId="1096CC83" w:rsidR="00976F4A" w:rsidRDefault="008F3DB7">
      <w:pPr>
        <w:pStyle w:val="TOC1"/>
        <w:rPr>
          <w:rFonts w:asciiTheme="minorHAnsi" w:eastAsiaTheme="minorEastAsia" w:hAnsiTheme="minorHAnsi"/>
          <w:b w:val="0"/>
          <w:caps w:val="0"/>
          <w:color w:val="auto"/>
          <w:sz w:val="22"/>
          <w:lang w:eastAsia="en-NZ"/>
        </w:rPr>
      </w:pPr>
      <w:hyperlink w:anchor="_Toc118119284" w:history="1">
        <w:r w:rsidR="00976F4A" w:rsidRPr="00323E3B">
          <w:rPr>
            <w:rStyle w:val="Hyperlink"/>
            <w:spacing w:val="-3"/>
          </w:rPr>
          <w:t>I</w:t>
        </w:r>
        <w:r w:rsidR="00976F4A" w:rsidRPr="00323E3B">
          <w:rPr>
            <w:rStyle w:val="Hyperlink"/>
            <w:spacing w:val="-10"/>
          </w:rPr>
          <w:t>n</w:t>
        </w:r>
        <w:r w:rsidR="00976F4A" w:rsidRPr="00323E3B">
          <w:rPr>
            <w:rStyle w:val="Hyperlink"/>
          </w:rPr>
          <w:t>t</w:t>
        </w:r>
        <w:r w:rsidR="00976F4A" w:rsidRPr="00323E3B">
          <w:rPr>
            <w:rStyle w:val="Hyperlink"/>
            <w:spacing w:val="-14"/>
          </w:rPr>
          <w:t>r</w:t>
        </w:r>
        <w:r w:rsidR="00976F4A" w:rsidRPr="00323E3B">
          <w:rPr>
            <w:rStyle w:val="Hyperlink"/>
            <w:spacing w:val="-9"/>
          </w:rPr>
          <w:t>o</w:t>
        </w:r>
        <w:r w:rsidR="00976F4A" w:rsidRPr="00323E3B">
          <w:rPr>
            <w:rStyle w:val="Hyperlink"/>
            <w:spacing w:val="-4"/>
          </w:rPr>
          <w:t>d</w:t>
        </w:r>
        <w:r w:rsidR="00976F4A" w:rsidRPr="00323E3B">
          <w:rPr>
            <w:rStyle w:val="Hyperlink"/>
          </w:rPr>
          <w:t>u</w:t>
        </w:r>
        <w:r w:rsidR="00976F4A" w:rsidRPr="00323E3B">
          <w:rPr>
            <w:rStyle w:val="Hyperlink"/>
            <w:spacing w:val="-4"/>
          </w:rPr>
          <w:t>c</w:t>
        </w:r>
        <w:r w:rsidR="00976F4A" w:rsidRPr="00323E3B">
          <w:rPr>
            <w:rStyle w:val="Hyperlink"/>
          </w:rPr>
          <w:t>t</w:t>
        </w:r>
        <w:r w:rsidR="00976F4A" w:rsidRPr="00323E3B">
          <w:rPr>
            <w:rStyle w:val="Hyperlink"/>
            <w:spacing w:val="-11"/>
          </w:rPr>
          <w:t>i</w:t>
        </w:r>
        <w:r w:rsidR="00976F4A" w:rsidRPr="00323E3B">
          <w:rPr>
            <w:rStyle w:val="Hyperlink"/>
            <w:spacing w:val="-8"/>
          </w:rPr>
          <w:t>o</w:t>
        </w:r>
        <w:r w:rsidR="00976F4A" w:rsidRPr="00323E3B">
          <w:rPr>
            <w:rStyle w:val="Hyperlink"/>
          </w:rPr>
          <w:t>n</w:t>
        </w:r>
        <w:r w:rsidR="00976F4A">
          <w:rPr>
            <w:webHidden/>
          </w:rPr>
          <w:tab/>
        </w:r>
        <w:r w:rsidR="00976F4A">
          <w:rPr>
            <w:webHidden/>
          </w:rPr>
          <w:fldChar w:fldCharType="begin"/>
        </w:r>
        <w:r w:rsidR="00976F4A">
          <w:rPr>
            <w:webHidden/>
          </w:rPr>
          <w:instrText xml:space="preserve"> PAGEREF _Toc118119284 \h </w:instrText>
        </w:r>
        <w:r w:rsidR="00976F4A">
          <w:rPr>
            <w:webHidden/>
          </w:rPr>
        </w:r>
        <w:r w:rsidR="00976F4A">
          <w:rPr>
            <w:webHidden/>
          </w:rPr>
          <w:fldChar w:fldCharType="separate"/>
        </w:r>
        <w:r w:rsidR="0008452D">
          <w:rPr>
            <w:webHidden/>
          </w:rPr>
          <w:t>8</w:t>
        </w:r>
        <w:r w:rsidR="00976F4A">
          <w:rPr>
            <w:webHidden/>
          </w:rPr>
          <w:fldChar w:fldCharType="end"/>
        </w:r>
      </w:hyperlink>
    </w:p>
    <w:p w14:paraId="7BF43BD4" w14:textId="71F06BF9" w:rsidR="00976F4A" w:rsidRDefault="008F3DB7">
      <w:pPr>
        <w:pStyle w:val="TOC1"/>
        <w:rPr>
          <w:rFonts w:asciiTheme="minorHAnsi" w:eastAsiaTheme="minorEastAsia" w:hAnsiTheme="minorHAnsi"/>
          <w:b w:val="0"/>
          <w:caps w:val="0"/>
          <w:color w:val="auto"/>
          <w:sz w:val="22"/>
          <w:lang w:eastAsia="en-NZ"/>
        </w:rPr>
      </w:pPr>
      <w:hyperlink w:anchor="_Toc118119285" w:history="1">
        <w:r w:rsidR="008863D0">
          <w:rPr>
            <w:rStyle w:val="Hyperlink"/>
          </w:rPr>
          <w:t xml:space="preserve">PART ONE: </w:t>
        </w:r>
        <w:r w:rsidR="00976F4A" w:rsidRPr="00323E3B">
          <w:rPr>
            <w:rStyle w:val="Hyperlink"/>
          </w:rPr>
          <w:t>Aotearoa New Zealand’s evolving constitutional framework</w:t>
        </w:r>
        <w:r w:rsidR="00976F4A">
          <w:rPr>
            <w:webHidden/>
          </w:rPr>
          <w:tab/>
        </w:r>
        <w:r w:rsidR="00976F4A">
          <w:rPr>
            <w:webHidden/>
          </w:rPr>
          <w:fldChar w:fldCharType="begin"/>
        </w:r>
        <w:r w:rsidR="00976F4A">
          <w:rPr>
            <w:webHidden/>
          </w:rPr>
          <w:instrText xml:space="preserve"> PAGEREF _Toc118119285 \h </w:instrText>
        </w:r>
        <w:r w:rsidR="00976F4A">
          <w:rPr>
            <w:webHidden/>
          </w:rPr>
        </w:r>
        <w:r w:rsidR="00976F4A">
          <w:rPr>
            <w:webHidden/>
          </w:rPr>
          <w:fldChar w:fldCharType="separate"/>
        </w:r>
        <w:r w:rsidR="0008452D">
          <w:rPr>
            <w:webHidden/>
          </w:rPr>
          <w:t>12</w:t>
        </w:r>
        <w:r w:rsidR="00976F4A">
          <w:rPr>
            <w:webHidden/>
          </w:rPr>
          <w:fldChar w:fldCharType="end"/>
        </w:r>
      </w:hyperlink>
    </w:p>
    <w:p w14:paraId="63A828D4" w14:textId="28C5A86E" w:rsidR="00976F4A" w:rsidRDefault="008F3DB7">
      <w:pPr>
        <w:pStyle w:val="TOC2"/>
        <w:rPr>
          <w:rFonts w:asciiTheme="minorHAnsi" w:eastAsiaTheme="minorEastAsia" w:hAnsiTheme="minorHAnsi"/>
          <w:b w:val="0"/>
          <w:color w:val="auto"/>
          <w:sz w:val="22"/>
          <w:lang w:eastAsia="en-NZ"/>
        </w:rPr>
      </w:pPr>
      <w:hyperlink w:anchor="_Toc118119286" w:history="1">
        <w:r w:rsidR="00976F4A" w:rsidRPr="00323E3B">
          <w:rPr>
            <w:rStyle w:val="Hyperlink"/>
          </w:rPr>
          <w:t>Earlier Law Commission work on emergencies</w:t>
        </w:r>
        <w:r w:rsidR="00976F4A">
          <w:rPr>
            <w:webHidden/>
          </w:rPr>
          <w:tab/>
        </w:r>
        <w:r w:rsidR="00976F4A">
          <w:rPr>
            <w:webHidden/>
          </w:rPr>
          <w:fldChar w:fldCharType="begin"/>
        </w:r>
        <w:r w:rsidR="00976F4A">
          <w:rPr>
            <w:webHidden/>
          </w:rPr>
          <w:instrText xml:space="preserve"> PAGEREF _Toc118119286 \h </w:instrText>
        </w:r>
        <w:r w:rsidR="00976F4A">
          <w:rPr>
            <w:webHidden/>
          </w:rPr>
        </w:r>
        <w:r w:rsidR="00976F4A">
          <w:rPr>
            <w:webHidden/>
          </w:rPr>
          <w:fldChar w:fldCharType="separate"/>
        </w:r>
        <w:r w:rsidR="0008452D">
          <w:rPr>
            <w:webHidden/>
          </w:rPr>
          <w:t>12</w:t>
        </w:r>
        <w:r w:rsidR="00976F4A">
          <w:rPr>
            <w:webHidden/>
          </w:rPr>
          <w:fldChar w:fldCharType="end"/>
        </w:r>
      </w:hyperlink>
    </w:p>
    <w:p w14:paraId="45332DC0" w14:textId="7A11B213" w:rsidR="00976F4A" w:rsidRDefault="008F3DB7">
      <w:pPr>
        <w:pStyle w:val="TOC2"/>
        <w:rPr>
          <w:rFonts w:asciiTheme="minorHAnsi" w:eastAsiaTheme="minorEastAsia" w:hAnsiTheme="minorHAnsi"/>
          <w:b w:val="0"/>
          <w:color w:val="auto"/>
          <w:sz w:val="22"/>
          <w:lang w:eastAsia="en-NZ"/>
        </w:rPr>
      </w:pPr>
      <w:hyperlink w:anchor="_Toc118119287" w:history="1">
        <w:r w:rsidR="00976F4A" w:rsidRPr="00323E3B">
          <w:rPr>
            <w:rStyle w:val="Hyperlink"/>
          </w:rPr>
          <w:t>Changes since 1991: The development and recognition of legal and constitutional norms</w:t>
        </w:r>
        <w:r w:rsidR="00976F4A">
          <w:rPr>
            <w:webHidden/>
          </w:rPr>
          <w:tab/>
        </w:r>
        <w:r w:rsidR="00976F4A">
          <w:rPr>
            <w:webHidden/>
          </w:rPr>
          <w:fldChar w:fldCharType="begin"/>
        </w:r>
        <w:r w:rsidR="00976F4A">
          <w:rPr>
            <w:webHidden/>
          </w:rPr>
          <w:instrText xml:space="preserve"> PAGEREF _Toc118119287 \h </w:instrText>
        </w:r>
        <w:r w:rsidR="00976F4A">
          <w:rPr>
            <w:webHidden/>
          </w:rPr>
        </w:r>
        <w:r w:rsidR="00976F4A">
          <w:rPr>
            <w:webHidden/>
          </w:rPr>
          <w:fldChar w:fldCharType="separate"/>
        </w:r>
        <w:r w:rsidR="0008452D">
          <w:rPr>
            <w:webHidden/>
          </w:rPr>
          <w:t>13</w:t>
        </w:r>
        <w:r w:rsidR="00976F4A">
          <w:rPr>
            <w:webHidden/>
          </w:rPr>
          <w:fldChar w:fldCharType="end"/>
        </w:r>
      </w:hyperlink>
    </w:p>
    <w:p w14:paraId="576EE555" w14:textId="670534B9" w:rsidR="00976F4A" w:rsidRDefault="008F3DB7">
      <w:pPr>
        <w:pStyle w:val="TOC3"/>
        <w:rPr>
          <w:rFonts w:asciiTheme="minorHAnsi" w:eastAsiaTheme="minorEastAsia" w:hAnsiTheme="minorHAnsi"/>
          <w:noProof/>
          <w:sz w:val="22"/>
          <w:lang w:eastAsia="en-NZ"/>
        </w:rPr>
      </w:pPr>
      <w:hyperlink w:anchor="_Toc118119288" w:history="1">
        <w:r w:rsidR="00976F4A" w:rsidRPr="00323E3B">
          <w:rPr>
            <w:rStyle w:val="Hyperlink"/>
            <w:noProof/>
          </w:rPr>
          <w:t>Tikanga Māori</w:t>
        </w:r>
        <w:r w:rsidR="00976F4A">
          <w:rPr>
            <w:noProof/>
            <w:webHidden/>
          </w:rPr>
          <w:tab/>
        </w:r>
        <w:r w:rsidR="00976F4A">
          <w:rPr>
            <w:noProof/>
            <w:webHidden/>
          </w:rPr>
          <w:fldChar w:fldCharType="begin"/>
        </w:r>
        <w:r w:rsidR="00976F4A">
          <w:rPr>
            <w:noProof/>
            <w:webHidden/>
          </w:rPr>
          <w:instrText xml:space="preserve"> PAGEREF _Toc118119288 \h </w:instrText>
        </w:r>
        <w:r w:rsidR="00976F4A">
          <w:rPr>
            <w:noProof/>
            <w:webHidden/>
          </w:rPr>
        </w:r>
        <w:r w:rsidR="00976F4A">
          <w:rPr>
            <w:noProof/>
            <w:webHidden/>
          </w:rPr>
          <w:fldChar w:fldCharType="separate"/>
        </w:r>
        <w:r w:rsidR="0008452D">
          <w:rPr>
            <w:noProof/>
            <w:webHidden/>
          </w:rPr>
          <w:t>14</w:t>
        </w:r>
        <w:r w:rsidR="00976F4A">
          <w:rPr>
            <w:noProof/>
            <w:webHidden/>
          </w:rPr>
          <w:fldChar w:fldCharType="end"/>
        </w:r>
      </w:hyperlink>
    </w:p>
    <w:p w14:paraId="5460CBC3" w14:textId="0E949109" w:rsidR="00976F4A" w:rsidRDefault="008F3DB7">
      <w:pPr>
        <w:pStyle w:val="TOC3"/>
        <w:rPr>
          <w:rFonts w:asciiTheme="minorHAnsi" w:eastAsiaTheme="minorEastAsia" w:hAnsiTheme="minorHAnsi"/>
          <w:noProof/>
          <w:sz w:val="22"/>
          <w:lang w:eastAsia="en-NZ"/>
        </w:rPr>
      </w:pPr>
      <w:hyperlink w:anchor="_Toc118119289" w:history="1">
        <w:r w:rsidR="00976F4A" w:rsidRPr="00323E3B">
          <w:rPr>
            <w:rStyle w:val="Hyperlink"/>
            <w:noProof/>
          </w:rPr>
          <w:t>Te Tiriti o Waitangi</w:t>
        </w:r>
        <w:r w:rsidR="00976F4A">
          <w:rPr>
            <w:noProof/>
            <w:webHidden/>
          </w:rPr>
          <w:tab/>
        </w:r>
        <w:r w:rsidR="00976F4A">
          <w:rPr>
            <w:noProof/>
            <w:webHidden/>
          </w:rPr>
          <w:fldChar w:fldCharType="begin"/>
        </w:r>
        <w:r w:rsidR="00976F4A">
          <w:rPr>
            <w:noProof/>
            <w:webHidden/>
          </w:rPr>
          <w:instrText xml:space="preserve"> PAGEREF _Toc118119289 \h </w:instrText>
        </w:r>
        <w:r w:rsidR="00976F4A">
          <w:rPr>
            <w:noProof/>
            <w:webHidden/>
          </w:rPr>
        </w:r>
        <w:r w:rsidR="00976F4A">
          <w:rPr>
            <w:noProof/>
            <w:webHidden/>
          </w:rPr>
          <w:fldChar w:fldCharType="separate"/>
        </w:r>
        <w:r w:rsidR="0008452D">
          <w:rPr>
            <w:noProof/>
            <w:webHidden/>
          </w:rPr>
          <w:t>16</w:t>
        </w:r>
        <w:r w:rsidR="00976F4A">
          <w:rPr>
            <w:noProof/>
            <w:webHidden/>
          </w:rPr>
          <w:fldChar w:fldCharType="end"/>
        </w:r>
      </w:hyperlink>
    </w:p>
    <w:p w14:paraId="2075E889" w14:textId="7BFCD1EE" w:rsidR="00976F4A" w:rsidRDefault="008F3DB7">
      <w:pPr>
        <w:pStyle w:val="TOC3"/>
        <w:rPr>
          <w:rFonts w:asciiTheme="minorHAnsi" w:eastAsiaTheme="minorEastAsia" w:hAnsiTheme="minorHAnsi"/>
          <w:noProof/>
          <w:sz w:val="22"/>
          <w:lang w:eastAsia="en-NZ"/>
        </w:rPr>
      </w:pPr>
      <w:hyperlink w:anchor="_Toc118119290" w:history="1">
        <w:r w:rsidR="00976F4A" w:rsidRPr="00323E3B">
          <w:rPr>
            <w:rStyle w:val="Hyperlink"/>
            <w:noProof/>
          </w:rPr>
          <w:t>The executive government and its relationship to Parliament</w:t>
        </w:r>
        <w:r w:rsidR="00976F4A">
          <w:rPr>
            <w:noProof/>
            <w:webHidden/>
          </w:rPr>
          <w:tab/>
        </w:r>
        <w:r w:rsidR="00976F4A">
          <w:rPr>
            <w:noProof/>
            <w:webHidden/>
          </w:rPr>
          <w:fldChar w:fldCharType="begin"/>
        </w:r>
        <w:r w:rsidR="00976F4A">
          <w:rPr>
            <w:noProof/>
            <w:webHidden/>
          </w:rPr>
          <w:instrText xml:space="preserve"> PAGEREF _Toc118119290 \h </w:instrText>
        </w:r>
        <w:r w:rsidR="00976F4A">
          <w:rPr>
            <w:noProof/>
            <w:webHidden/>
          </w:rPr>
        </w:r>
        <w:r w:rsidR="00976F4A">
          <w:rPr>
            <w:noProof/>
            <w:webHidden/>
          </w:rPr>
          <w:fldChar w:fldCharType="separate"/>
        </w:r>
        <w:r w:rsidR="0008452D">
          <w:rPr>
            <w:noProof/>
            <w:webHidden/>
          </w:rPr>
          <w:t>20</w:t>
        </w:r>
        <w:r w:rsidR="00976F4A">
          <w:rPr>
            <w:noProof/>
            <w:webHidden/>
          </w:rPr>
          <w:fldChar w:fldCharType="end"/>
        </w:r>
      </w:hyperlink>
    </w:p>
    <w:p w14:paraId="66668A70" w14:textId="111D0425" w:rsidR="00976F4A" w:rsidRDefault="008F3DB7">
      <w:pPr>
        <w:pStyle w:val="TOC3"/>
        <w:rPr>
          <w:rFonts w:asciiTheme="minorHAnsi" w:eastAsiaTheme="minorEastAsia" w:hAnsiTheme="minorHAnsi"/>
          <w:noProof/>
          <w:sz w:val="22"/>
          <w:lang w:eastAsia="en-NZ"/>
        </w:rPr>
      </w:pPr>
      <w:hyperlink w:anchor="_Toc118119291" w:history="1">
        <w:r w:rsidR="00976F4A" w:rsidRPr="00323E3B">
          <w:rPr>
            <w:rStyle w:val="Hyperlink"/>
            <w:noProof/>
          </w:rPr>
          <w:t>A rights framework for emergencies</w:t>
        </w:r>
        <w:r w:rsidR="00976F4A">
          <w:rPr>
            <w:noProof/>
            <w:webHidden/>
          </w:rPr>
          <w:tab/>
        </w:r>
        <w:r w:rsidR="00976F4A">
          <w:rPr>
            <w:noProof/>
            <w:webHidden/>
          </w:rPr>
          <w:fldChar w:fldCharType="begin"/>
        </w:r>
        <w:r w:rsidR="00976F4A">
          <w:rPr>
            <w:noProof/>
            <w:webHidden/>
          </w:rPr>
          <w:instrText xml:space="preserve"> PAGEREF _Toc118119291 \h </w:instrText>
        </w:r>
        <w:r w:rsidR="00976F4A">
          <w:rPr>
            <w:noProof/>
            <w:webHidden/>
          </w:rPr>
        </w:r>
        <w:r w:rsidR="00976F4A">
          <w:rPr>
            <w:noProof/>
            <w:webHidden/>
          </w:rPr>
          <w:fldChar w:fldCharType="separate"/>
        </w:r>
        <w:r w:rsidR="0008452D">
          <w:rPr>
            <w:noProof/>
            <w:webHidden/>
          </w:rPr>
          <w:t>24</w:t>
        </w:r>
        <w:r w:rsidR="00976F4A">
          <w:rPr>
            <w:noProof/>
            <w:webHidden/>
          </w:rPr>
          <w:fldChar w:fldCharType="end"/>
        </w:r>
      </w:hyperlink>
    </w:p>
    <w:p w14:paraId="06D9CD26" w14:textId="465DE347" w:rsidR="00976F4A" w:rsidRDefault="008F3DB7">
      <w:pPr>
        <w:pStyle w:val="TOC1"/>
        <w:rPr>
          <w:rFonts w:asciiTheme="minorHAnsi" w:eastAsiaTheme="minorEastAsia" w:hAnsiTheme="minorHAnsi"/>
          <w:b w:val="0"/>
          <w:caps w:val="0"/>
          <w:color w:val="auto"/>
          <w:sz w:val="22"/>
          <w:lang w:eastAsia="en-NZ"/>
        </w:rPr>
      </w:pPr>
      <w:hyperlink w:anchor="_Toc118119292" w:history="1">
        <w:r w:rsidR="008863D0">
          <w:rPr>
            <w:rStyle w:val="Hyperlink"/>
          </w:rPr>
          <w:t xml:space="preserve">PART TWO: </w:t>
        </w:r>
        <w:r w:rsidR="00976F4A" w:rsidRPr="00323E3B">
          <w:rPr>
            <w:rStyle w:val="Hyperlink"/>
          </w:rPr>
          <w:t>Principles governing emergency legislation</w:t>
        </w:r>
        <w:r w:rsidR="00976F4A">
          <w:rPr>
            <w:webHidden/>
          </w:rPr>
          <w:tab/>
        </w:r>
        <w:r w:rsidR="00976F4A">
          <w:rPr>
            <w:webHidden/>
          </w:rPr>
          <w:fldChar w:fldCharType="begin"/>
        </w:r>
        <w:r w:rsidR="00976F4A">
          <w:rPr>
            <w:webHidden/>
          </w:rPr>
          <w:instrText xml:space="preserve"> PAGEREF _Toc118119292 \h </w:instrText>
        </w:r>
        <w:r w:rsidR="00976F4A">
          <w:rPr>
            <w:webHidden/>
          </w:rPr>
        </w:r>
        <w:r w:rsidR="00976F4A">
          <w:rPr>
            <w:webHidden/>
          </w:rPr>
          <w:fldChar w:fldCharType="separate"/>
        </w:r>
        <w:r w:rsidR="0008452D">
          <w:rPr>
            <w:webHidden/>
          </w:rPr>
          <w:t>31</w:t>
        </w:r>
        <w:r w:rsidR="00976F4A">
          <w:rPr>
            <w:webHidden/>
          </w:rPr>
          <w:fldChar w:fldCharType="end"/>
        </w:r>
      </w:hyperlink>
    </w:p>
    <w:p w14:paraId="6C9FD1D7" w14:textId="10C0162F" w:rsidR="00976F4A" w:rsidRDefault="008F3DB7">
      <w:pPr>
        <w:pStyle w:val="TOC2"/>
        <w:rPr>
          <w:rFonts w:asciiTheme="minorHAnsi" w:eastAsiaTheme="minorEastAsia" w:hAnsiTheme="minorHAnsi"/>
          <w:b w:val="0"/>
          <w:color w:val="auto"/>
          <w:sz w:val="22"/>
          <w:lang w:eastAsia="en-NZ"/>
        </w:rPr>
      </w:pPr>
      <w:hyperlink w:anchor="_Toc118119293" w:history="1">
        <w:r w:rsidR="00976F4A" w:rsidRPr="00323E3B">
          <w:rPr>
            <w:rStyle w:val="Hyperlink"/>
            <w:shd w:val="clear" w:color="auto" w:fill="FFFFFF"/>
          </w:rPr>
          <w:t>Introduction</w:t>
        </w:r>
        <w:r w:rsidR="00976F4A">
          <w:rPr>
            <w:webHidden/>
          </w:rPr>
          <w:tab/>
        </w:r>
        <w:r w:rsidR="00976F4A">
          <w:rPr>
            <w:webHidden/>
          </w:rPr>
          <w:fldChar w:fldCharType="begin"/>
        </w:r>
        <w:r w:rsidR="00976F4A">
          <w:rPr>
            <w:webHidden/>
          </w:rPr>
          <w:instrText xml:space="preserve"> PAGEREF _Toc118119293 \h </w:instrText>
        </w:r>
        <w:r w:rsidR="00976F4A">
          <w:rPr>
            <w:webHidden/>
          </w:rPr>
        </w:r>
        <w:r w:rsidR="00976F4A">
          <w:rPr>
            <w:webHidden/>
          </w:rPr>
          <w:fldChar w:fldCharType="separate"/>
        </w:r>
        <w:r w:rsidR="0008452D">
          <w:rPr>
            <w:webHidden/>
          </w:rPr>
          <w:t>31</w:t>
        </w:r>
        <w:r w:rsidR="00976F4A">
          <w:rPr>
            <w:webHidden/>
          </w:rPr>
          <w:fldChar w:fldCharType="end"/>
        </w:r>
      </w:hyperlink>
    </w:p>
    <w:p w14:paraId="4A42174C" w14:textId="69C676C7" w:rsidR="00976F4A" w:rsidRDefault="008F3DB7">
      <w:pPr>
        <w:pStyle w:val="TOC2"/>
        <w:rPr>
          <w:rFonts w:asciiTheme="minorHAnsi" w:eastAsiaTheme="minorEastAsia" w:hAnsiTheme="minorHAnsi"/>
          <w:b w:val="0"/>
          <w:color w:val="auto"/>
          <w:sz w:val="22"/>
          <w:lang w:eastAsia="en-NZ"/>
        </w:rPr>
      </w:pPr>
      <w:hyperlink w:anchor="_Toc118119294" w:history="1">
        <w:r w:rsidR="00976F4A" w:rsidRPr="00323E3B">
          <w:rPr>
            <w:rStyle w:val="Hyperlink"/>
            <w:shd w:val="clear" w:color="auto" w:fill="FFFFFF"/>
          </w:rPr>
          <w:t>Time-limited emergency legislation</w:t>
        </w:r>
        <w:r w:rsidR="00976F4A">
          <w:rPr>
            <w:webHidden/>
          </w:rPr>
          <w:tab/>
        </w:r>
        <w:r w:rsidR="00976F4A">
          <w:rPr>
            <w:webHidden/>
          </w:rPr>
          <w:fldChar w:fldCharType="begin"/>
        </w:r>
        <w:r w:rsidR="00976F4A">
          <w:rPr>
            <w:webHidden/>
          </w:rPr>
          <w:instrText xml:space="preserve"> PAGEREF _Toc118119294 \h </w:instrText>
        </w:r>
        <w:r w:rsidR="00976F4A">
          <w:rPr>
            <w:webHidden/>
          </w:rPr>
        </w:r>
        <w:r w:rsidR="00976F4A">
          <w:rPr>
            <w:webHidden/>
          </w:rPr>
          <w:fldChar w:fldCharType="separate"/>
        </w:r>
        <w:r w:rsidR="0008452D">
          <w:rPr>
            <w:webHidden/>
          </w:rPr>
          <w:t>32</w:t>
        </w:r>
        <w:r w:rsidR="00976F4A">
          <w:rPr>
            <w:webHidden/>
          </w:rPr>
          <w:fldChar w:fldCharType="end"/>
        </w:r>
      </w:hyperlink>
    </w:p>
    <w:p w14:paraId="6484918E" w14:textId="66EC0A3F" w:rsidR="00976F4A" w:rsidRDefault="008F3DB7">
      <w:pPr>
        <w:pStyle w:val="TOC2"/>
        <w:rPr>
          <w:rFonts w:asciiTheme="minorHAnsi" w:eastAsiaTheme="minorEastAsia" w:hAnsiTheme="minorHAnsi"/>
          <w:b w:val="0"/>
          <w:color w:val="auto"/>
          <w:sz w:val="22"/>
          <w:lang w:eastAsia="en-NZ"/>
        </w:rPr>
      </w:pPr>
      <w:hyperlink w:anchor="_Toc118119295" w:history="1">
        <w:r w:rsidR="00976F4A" w:rsidRPr="00323E3B">
          <w:rPr>
            <w:rStyle w:val="Hyperlink"/>
            <w:shd w:val="clear" w:color="auto" w:fill="FFFFFF"/>
          </w:rPr>
          <w:t>Consideration of emergency legislation</w:t>
        </w:r>
        <w:r w:rsidR="00976F4A">
          <w:rPr>
            <w:webHidden/>
          </w:rPr>
          <w:tab/>
        </w:r>
        <w:r w:rsidR="00976F4A">
          <w:rPr>
            <w:webHidden/>
          </w:rPr>
          <w:fldChar w:fldCharType="begin"/>
        </w:r>
        <w:r w:rsidR="00976F4A">
          <w:rPr>
            <w:webHidden/>
          </w:rPr>
          <w:instrText xml:space="preserve"> PAGEREF _Toc118119295 \h </w:instrText>
        </w:r>
        <w:r w:rsidR="00976F4A">
          <w:rPr>
            <w:webHidden/>
          </w:rPr>
        </w:r>
        <w:r w:rsidR="00976F4A">
          <w:rPr>
            <w:webHidden/>
          </w:rPr>
          <w:fldChar w:fldCharType="separate"/>
        </w:r>
        <w:r w:rsidR="0008452D">
          <w:rPr>
            <w:webHidden/>
          </w:rPr>
          <w:t>33</w:t>
        </w:r>
        <w:r w:rsidR="00976F4A">
          <w:rPr>
            <w:webHidden/>
          </w:rPr>
          <w:fldChar w:fldCharType="end"/>
        </w:r>
      </w:hyperlink>
    </w:p>
    <w:p w14:paraId="4CD0D159" w14:textId="745534F6" w:rsidR="00976F4A" w:rsidRDefault="008F3DB7">
      <w:pPr>
        <w:pStyle w:val="TOC2"/>
        <w:rPr>
          <w:rFonts w:asciiTheme="minorHAnsi" w:eastAsiaTheme="minorEastAsia" w:hAnsiTheme="minorHAnsi"/>
          <w:b w:val="0"/>
          <w:color w:val="auto"/>
          <w:sz w:val="22"/>
          <w:lang w:eastAsia="en-NZ"/>
        </w:rPr>
      </w:pPr>
      <w:hyperlink w:anchor="_Toc118119296" w:history="1">
        <w:r w:rsidR="00976F4A" w:rsidRPr="00323E3B">
          <w:rPr>
            <w:rStyle w:val="Hyperlink"/>
            <w:shd w:val="clear" w:color="auto" w:fill="FFFFFF"/>
          </w:rPr>
          <w:t xml:space="preserve">Powers to </w:t>
        </w:r>
        <w:r w:rsidR="00976F4A" w:rsidRPr="00323E3B">
          <w:rPr>
            <w:rStyle w:val="Hyperlink"/>
          </w:rPr>
          <w:t>make</w:t>
        </w:r>
        <w:r w:rsidR="00976F4A" w:rsidRPr="00323E3B">
          <w:rPr>
            <w:rStyle w:val="Hyperlink"/>
            <w:shd w:val="clear" w:color="auto" w:fill="FFFFFF"/>
          </w:rPr>
          <w:t xml:space="preserve"> orders in emergency legislation</w:t>
        </w:r>
        <w:r w:rsidR="00976F4A">
          <w:rPr>
            <w:webHidden/>
          </w:rPr>
          <w:tab/>
        </w:r>
        <w:r w:rsidR="00976F4A">
          <w:rPr>
            <w:webHidden/>
          </w:rPr>
          <w:fldChar w:fldCharType="begin"/>
        </w:r>
        <w:r w:rsidR="00976F4A">
          <w:rPr>
            <w:webHidden/>
          </w:rPr>
          <w:instrText xml:space="preserve"> PAGEREF _Toc118119296 \h </w:instrText>
        </w:r>
        <w:r w:rsidR="00976F4A">
          <w:rPr>
            <w:webHidden/>
          </w:rPr>
        </w:r>
        <w:r w:rsidR="00976F4A">
          <w:rPr>
            <w:webHidden/>
          </w:rPr>
          <w:fldChar w:fldCharType="separate"/>
        </w:r>
        <w:r w:rsidR="0008452D">
          <w:rPr>
            <w:webHidden/>
          </w:rPr>
          <w:t>34</w:t>
        </w:r>
        <w:r w:rsidR="00976F4A">
          <w:rPr>
            <w:webHidden/>
          </w:rPr>
          <w:fldChar w:fldCharType="end"/>
        </w:r>
      </w:hyperlink>
    </w:p>
    <w:p w14:paraId="01FC183B" w14:textId="78ECD503" w:rsidR="00976F4A" w:rsidRDefault="008F3DB7">
      <w:pPr>
        <w:pStyle w:val="TOC2"/>
        <w:rPr>
          <w:rFonts w:asciiTheme="minorHAnsi" w:eastAsiaTheme="minorEastAsia" w:hAnsiTheme="minorHAnsi"/>
          <w:b w:val="0"/>
          <w:color w:val="auto"/>
          <w:sz w:val="22"/>
          <w:lang w:eastAsia="en-NZ"/>
        </w:rPr>
      </w:pPr>
      <w:hyperlink w:anchor="_Toc118119297" w:history="1">
        <w:r w:rsidR="00976F4A" w:rsidRPr="00323E3B">
          <w:rPr>
            <w:rStyle w:val="Hyperlink"/>
            <w:shd w:val="clear" w:color="auto" w:fill="FFFFFF"/>
          </w:rPr>
          <w:t xml:space="preserve">Orders </w:t>
        </w:r>
        <w:r w:rsidR="00976F4A" w:rsidRPr="00323E3B">
          <w:rPr>
            <w:rStyle w:val="Hyperlink"/>
          </w:rPr>
          <w:t>modifying</w:t>
        </w:r>
        <w:r w:rsidR="00976F4A" w:rsidRPr="00323E3B">
          <w:rPr>
            <w:rStyle w:val="Hyperlink"/>
            <w:shd w:val="clear" w:color="auto" w:fill="FFFFFF"/>
          </w:rPr>
          <w:t xml:space="preserve"> statutes</w:t>
        </w:r>
        <w:r w:rsidR="00976F4A">
          <w:rPr>
            <w:webHidden/>
          </w:rPr>
          <w:tab/>
        </w:r>
        <w:r w:rsidR="00976F4A">
          <w:rPr>
            <w:webHidden/>
          </w:rPr>
          <w:fldChar w:fldCharType="begin"/>
        </w:r>
        <w:r w:rsidR="00976F4A">
          <w:rPr>
            <w:webHidden/>
          </w:rPr>
          <w:instrText xml:space="preserve"> PAGEREF _Toc118119297 \h </w:instrText>
        </w:r>
        <w:r w:rsidR="00976F4A">
          <w:rPr>
            <w:webHidden/>
          </w:rPr>
        </w:r>
        <w:r w:rsidR="00976F4A">
          <w:rPr>
            <w:webHidden/>
          </w:rPr>
          <w:fldChar w:fldCharType="separate"/>
        </w:r>
        <w:r w:rsidR="0008452D">
          <w:rPr>
            <w:webHidden/>
          </w:rPr>
          <w:t>36</w:t>
        </w:r>
        <w:r w:rsidR="00976F4A">
          <w:rPr>
            <w:webHidden/>
          </w:rPr>
          <w:fldChar w:fldCharType="end"/>
        </w:r>
      </w:hyperlink>
    </w:p>
    <w:p w14:paraId="3F3A3B31" w14:textId="2CDABA23" w:rsidR="00976F4A" w:rsidRDefault="008F3DB7">
      <w:pPr>
        <w:pStyle w:val="TOC2"/>
        <w:rPr>
          <w:rFonts w:asciiTheme="minorHAnsi" w:eastAsiaTheme="minorEastAsia" w:hAnsiTheme="minorHAnsi"/>
          <w:b w:val="0"/>
          <w:color w:val="auto"/>
          <w:sz w:val="22"/>
          <w:lang w:eastAsia="en-NZ"/>
        </w:rPr>
      </w:pPr>
      <w:hyperlink w:anchor="_Toc118119298" w:history="1">
        <w:r w:rsidR="00976F4A" w:rsidRPr="00323E3B">
          <w:rPr>
            <w:rStyle w:val="Hyperlink"/>
          </w:rPr>
          <w:t>Controls</w:t>
        </w:r>
        <w:r w:rsidR="00976F4A" w:rsidRPr="00323E3B">
          <w:rPr>
            <w:rStyle w:val="Hyperlink"/>
            <w:shd w:val="clear" w:color="auto" w:fill="FFFFFF"/>
          </w:rPr>
          <w:t xml:space="preserve"> on implementation</w:t>
        </w:r>
        <w:r w:rsidR="00976F4A">
          <w:rPr>
            <w:webHidden/>
          </w:rPr>
          <w:tab/>
        </w:r>
        <w:r w:rsidR="00976F4A">
          <w:rPr>
            <w:webHidden/>
          </w:rPr>
          <w:fldChar w:fldCharType="begin"/>
        </w:r>
        <w:r w:rsidR="00976F4A">
          <w:rPr>
            <w:webHidden/>
          </w:rPr>
          <w:instrText xml:space="preserve"> PAGEREF _Toc118119298 \h </w:instrText>
        </w:r>
        <w:r w:rsidR="00976F4A">
          <w:rPr>
            <w:webHidden/>
          </w:rPr>
        </w:r>
        <w:r w:rsidR="00976F4A">
          <w:rPr>
            <w:webHidden/>
          </w:rPr>
          <w:fldChar w:fldCharType="separate"/>
        </w:r>
        <w:r w:rsidR="0008452D">
          <w:rPr>
            <w:webHidden/>
          </w:rPr>
          <w:t>39</w:t>
        </w:r>
        <w:r w:rsidR="00976F4A">
          <w:rPr>
            <w:webHidden/>
          </w:rPr>
          <w:fldChar w:fldCharType="end"/>
        </w:r>
      </w:hyperlink>
    </w:p>
    <w:p w14:paraId="37FDA3A4" w14:textId="4DCD012A" w:rsidR="00976F4A" w:rsidRDefault="008F3DB7">
      <w:pPr>
        <w:pStyle w:val="TOC2"/>
        <w:rPr>
          <w:rFonts w:asciiTheme="minorHAnsi" w:eastAsiaTheme="minorEastAsia" w:hAnsiTheme="minorHAnsi"/>
          <w:b w:val="0"/>
          <w:color w:val="auto"/>
          <w:sz w:val="22"/>
          <w:lang w:eastAsia="en-NZ"/>
        </w:rPr>
      </w:pPr>
      <w:hyperlink w:anchor="_Toc118119299" w:history="1">
        <w:r w:rsidR="00976F4A" w:rsidRPr="00323E3B">
          <w:rPr>
            <w:rStyle w:val="Hyperlink"/>
          </w:rPr>
          <w:t>International norms and benchmarks</w:t>
        </w:r>
        <w:r w:rsidR="00976F4A">
          <w:rPr>
            <w:webHidden/>
          </w:rPr>
          <w:tab/>
        </w:r>
        <w:r w:rsidR="00976F4A">
          <w:rPr>
            <w:webHidden/>
          </w:rPr>
          <w:fldChar w:fldCharType="begin"/>
        </w:r>
        <w:r w:rsidR="00976F4A">
          <w:rPr>
            <w:webHidden/>
          </w:rPr>
          <w:instrText xml:space="preserve"> PAGEREF _Toc118119299 \h </w:instrText>
        </w:r>
        <w:r w:rsidR="00976F4A">
          <w:rPr>
            <w:webHidden/>
          </w:rPr>
        </w:r>
        <w:r w:rsidR="00976F4A">
          <w:rPr>
            <w:webHidden/>
          </w:rPr>
          <w:fldChar w:fldCharType="separate"/>
        </w:r>
        <w:r w:rsidR="0008452D">
          <w:rPr>
            <w:webHidden/>
          </w:rPr>
          <w:t>40</w:t>
        </w:r>
        <w:r w:rsidR="00976F4A">
          <w:rPr>
            <w:webHidden/>
          </w:rPr>
          <w:fldChar w:fldCharType="end"/>
        </w:r>
      </w:hyperlink>
    </w:p>
    <w:p w14:paraId="187B9715" w14:textId="1BE753F9" w:rsidR="00976F4A" w:rsidRDefault="008F3DB7">
      <w:pPr>
        <w:pStyle w:val="TOC2"/>
        <w:rPr>
          <w:rFonts w:asciiTheme="minorHAnsi" w:eastAsiaTheme="minorEastAsia" w:hAnsiTheme="minorHAnsi"/>
          <w:b w:val="0"/>
          <w:color w:val="auto"/>
          <w:sz w:val="22"/>
          <w:lang w:eastAsia="en-NZ"/>
        </w:rPr>
      </w:pPr>
      <w:hyperlink w:anchor="_Toc118119300" w:history="1">
        <w:r w:rsidR="00976F4A" w:rsidRPr="00323E3B">
          <w:rPr>
            <w:rStyle w:val="Hyperlink"/>
            <w:rFonts w:eastAsia="Calibri"/>
          </w:rPr>
          <w:t>Recovery from the emergency begins on day one</w:t>
        </w:r>
        <w:r w:rsidR="00976F4A">
          <w:rPr>
            <w:webHidden/>
          </w:rPr>
          <w:tab/>
        </w:r>
        <w:r w:rsidR="00976F4A">
          <w:rPr>
            <w:webHidden/>
          </w:rPr>
          <w:fldChar w:fldCharType="begin"/>
        </w:r>
        <w:r w:rsidR="00976F4A">
          <w:rPr>
            <w:webHidden/>
          </w:rPr>
          <w:instrText xml:space="preserve"> PAGEREF _Toc118119300 \h </w:instrText>
        </w:r>
        <w:r w:rsidR="00976F4A">
          <w:rPr>
            <w:webHidden/>
          </w:rPr>
        </w:r>
        <w:r w:rsidR="00976F4A">
          <w:rPr>
            <w:webHidden/>
          </w:rPr>
          <w:fldChar w:fldCharType="separate"/>
        </w:r>
        <w:r w:rsidR="0008452D">
          <w:rPr>
            <w:webHidden/>
          </w:rPr>
          <w:t>41</w:t>
        </w:r>
        <w:r w:rsidR="00976F4A">
          <w:rPr>
            <w:webHidden/>
          </w:rPr>
          <w:fldChar w:fldCharType="end"/>
        </w:r>
      </w:hyperlink>
    </w:p>
    <w:p w14:paraId="585FC590" w14:textId="08B63FD2" w:rsidR="00976F4A" w:rsidRDefault="008F3DB7">
      <w:pPr>
        <w:pStyle w:val="TOC2"/>
        <w:rPr>
          <w:rFonts w:asciiTheme="minorHAnsi" w:eastAsiaTheme="minorEastAsia" w:hAnsiTheme="minorHAnsi"/>
          <w:b w:val="0"/>
          <w:color w:val="auto"/>
          <w:sz w:val="22"/>
          <w:lang w:eastAsia="en-NZ"/>
        </w:rPr>
      </w:pPr>
      <w:hyperlink w:anchor="_Toc118119301" w:history="1">
        <w:r w:rsidR="00976F4A" w:rsidRPr="00323E3B">
          <w:rPr>
            <w:rStyle w:val="Hyperlink"/>
          </w:rPr>
          <w:t>Reviewing previous experience</w:t>
        </w:r>
        <w:r w:rsidR="00976F4A">
          <w:rPr>
            <w:webHidden/>
          </w:rPr>
          <w:tab/>
        </w:r>
        <w:r w:rsidR="00976F4A">
          <w:rPr>
            <w:webHidden/>
          </w:rPr>
          <w:fldChar w:fldCharType="begin"/>
        </w:r>
        <w:r w:rsidR="00976F4A">
          <w:rPr>
            <w:webHidden/>
          </w:rPr>
          <w:instrText xml:space="preserve"> PAGEREF _Toc118119301 \h </w:instrText>
        </w:r>
        <w:r w:rsidR="00976F4A">
          <w:rPr>
            <w:webHidden/>
          </w:rPr>
        </w:r>
        <w:r w:rsidR="00976F4A">
          <w:rPr>
            <w:webHidden/>
          </w:rPr>
          <w:fldChar w:fldCharType="separate"/>
        </w:r>
        <w:r w:rsidR="0008452D">
          <w:rPr>
            <w:webHidden/>
          </w:rPr>
          <w:t>41</w:t>
        </w:r>
        <w:r w:rsidR="00976F4A">
          <w:rPr>
            <w:webHidden/>
          </w:rPr>
          <w:fldChar w:fldCharType="end"/>
        </w:r>
      </w:hyperlink>
    </w:p>
    <w:p w14:paraId="564A06CC" w14:textId="68D067C1" w:rsidR="008863D0" w:rsidRDefault="008863D0">
      <w:pPr>
        <w:widowControl w:val="0"/>
        <w:spacing w:before="0" w:after="200" w:line="276" w:lineRule="auto"/>
        <w:rPr>
          <w:rStyle w:val="Hyperlink"/>
          <w:rFonts w:ascii="Metropolis" w:hAnsi="Metropolis"/>
          <w:b/>
          <w:caps/>
          <w:noProof/>
        </w:rPr>
      </w:pPr>
    </w:p>
    <w:p w14:paraId="6D2B0358" w14:textId="6A4524A2" w:rsidR="00976F4A" w:rsidRDefault="008F3DB7">
      <w:pPr>
        <w:pStyle w:val="TOC1"/>
        <w:rPr>
          <w:rFonts w:asciiTheme="minorHAnsi" w:eastAsiaTheme="minorEastAsia" w:hAnsiTheme="minorHAnsi"/>
          <w:b w:val="0"/>
          <w:caps w:val="0"/>
          <w:color w:val="auto"/>
          <w:sz w:val="22"/>
          <w:lang w:eastAsia="en-NZ"/>
        </w:rPr>
      </w:pPr>
      <w:hyperlink w:anchor="_Toc118119302" w:history="1">
        <w:r w:rsidR="008863D0">
          <w:rPr>
            <w:rStyle w:val="Hyperlink"/>
          </w:rPr>
          <w:t xml:space="preserve">PART THREE: </w:t>
        </w:r>
        <w:r w:rsidR="00976F4A" w:rsidRPr="00323E3B">
          <w:rPr>
            <w:rStyle w:val="Hyperlink"/>
          </w:rPr>
          <w:t>Understanding and improving the current legislative framework for emergencies</w:t>
        </w:r>
        <w:r w:rsidR="00976F4A">
          <w:rPr>
            <w:webHidden/>
          </w:rPr>
          <w:tab/>
        </w:r>
        <w:r w:rsidR="00976F4A">
          <w:rPr>
            <w:webHidden/>
          </w:rPr>
          <w:fldChar w:fldCharType="begin"/>
        </w:r>
        <w:r w:rsidR="00976F4A">
          <w:rPr>
            <w:webHidden/>
          </w:rPr>
          <w:instrText xml:space="preserve"> PAGEREF _Toc118119302 \h </w:instrText>
        </w:r>
        <w:r w:rsidR="00976F4A">
          <w:rPr>
            <w:webHidden/>
          </w:rPr>
        </w:r>
        <w:r w:rsidR="00976F4A">
          <w:rPr>
            <w:webHidden/>
          </w:rPr>
          <w:fldChar w:fldCharType="separate"/>
        </w:r>
        <w:r w:rsidR="0008452D">
          <w:rPr>
            <w:webHidden/>
          </w:rPr>
          <w:t>43</w:t>
        </w:r>
        <w:r w:rsidR="00976F4A">
          <w:rPr>
            <w:webHidden/>
          </w:rPr>
          <w:fldChar w:fldCharType="end"/>
        </w:r>
      </w:hyperlink>
    </w:p>
    <w:p w14:paraId="262C4599" w14:textId="20716897" w:rsidR="00976F4A" w:rsidRDefault="008F3DB7">
      <w:pPr>
        <w:pStyle w:val="TOC2"/>
        <w:rPr>
          <w:rFonts w:asciiTheme="minorHAnsi" w:eastAsiaTheme="minorEastAsia" w:hAnsiTheme="minorHAnsi"/>
          <w:b w:val="0"/>
          <w:color w:val="auto"/>
          <w:sz w:val="22"/>
          <w:lang w:eastAsia="en-NZ"/>
        </w:rPr>
      </w:pPr>
      <w:hyperlink w:anchor="_Toc118119303" w:history="1">
        <w:r w:rsidR="00976F4A" w:rsidRPr="00323E3B">
          <w:rPr>
            <w:rStyle w:val="Hyperlink"/>
          </w:rPr>
          <w:t>Civil Defence Emergency Management Act 2002</w:t>
        </w:r>
        <w:r w:rsidR="00976F4A">
          <w:rPr>
            <w:webHidden/>
          </w:rPr>
          <w:tab/>
        </w:r>
        <w:r w:rsidR="00976F4A">
          <w:rPr>
            <w:webHidden/>
          </w:rPr>
          <w:fldChar w:fldCharType="begin"/>
        </w:r>
        <w:r w:rsidR="00976F4A">
          <w:rPr>
            <w:webHidden/>
          </w:rPr>
          <w:instrText xml:space="preserve"> PAGEREF _Toc118119303 \h </w:instrText>
        </w:r>
        <w:r w:rsidR="00976F4A">
          <w:rPr>
            <w:webHidden/>
          </w:rPr>
        </w:r>
        <w:r w:rsidR="00976F4A">
          <w:rPr>
            <w:webHidden/>
          </w:rPr>
          <w:fldChar w:fldCharType="separate"/>
        </w:r>
        <w:r w:rsidR="0008452D">
          <w:rPr>
            <w:webHidden/>
          </w:rPr>
          <w:t>44</w:t>
        </w:r>
        <w:r w:rsidR="00976F4A">
          <w:rPr>
            <w:webHidden/>
          </w:rPr>
          <w:fldChar w:fldCharType="end"/>
        </w:r>
      </w:hyperlink>
    </w:p>
    <w:p w14:paraId="0B76D787" w14:textId="7F481761" w:rsidR="00976F4A" w:rsidRDefault="008F3DB7">
      <w:pPr>
        <w:pStyle w:val="TOC2"/>
        <w:rPr>
          <w:rFonts w:asciiTheme="minorHAnsi" w:eastAsiaTheme="minorEastAsia" w:hAnsiTheme="minorHAnsi"/>
          <w:b w:val="0"/>
          <w:color w:val="auto"/>
          <w:sz w:val="22"/>
          <w:lang w:eastAsia="en-NZ"/>
        </w:rPr>
      </w:pPr>
      <w:hyperlink w:anchor="_Toc118119304" w:history="1">
        <w:r w:rsidR="00976F4A" w:rsidRPr="00323E3B">
          <w:rPr>
            <w:rStyle w:val="Hyperlink"/>
          </w:rPr>
          <w:t>What is an “emergency” under the CDEM Act?</w:t>
        </w:r>
        <w:r w:rsidR="00976F4A">
          <w:rPr>
            <w:webHidden/>
          </w:rPr>
          <w:tab/>
        </w:r>
        <w:r w:rsidR="00976F4A">
          <w:rPr>
            <w:webHidden/>
          </w:rPr>
          <w:fldChar w:fldCharType="begin"/>
        </w:r>
        <w:r w:rsidR="00976F4A">
          <w:rPr>
            <w:webHidden/>
          </w:rPr>
          <w:instrText xml:space="preserve"> PAGEREF _Toc118119304 \h </w:instrText>
        </w:r>
        <w:r w:rsidR="00976F4A">
          <w:rPr>
            <w:webHidden/>
          </w:rPr>
        </w:r>
        <w:r w:rsidR="00976F4A">
          <w:rPr>
            <w:webHidden/>
          </w:rPr>
          <w:fldChar w:fldCharType="separate"/>
        </w:r>
        <w:r w:rsidR="0008452D">
          <w:rPr>
            <w:webHidden/>
          </w:rPr>
          <w:t>44</w:t>
        </w:r>
        <w:r w:rsidR="00976F4A">
          <w:rPr>
            <w:webHidden/>
          </w:rPr>
          <w:fldChar w:fldCharType="end"/>
        </w:r>
      </w:hyperlink>
    </w:p>
    <w:p w14:paraId="6936FA75" w14:textId="7202BAF3" w:rsidR="00976F4A" w:rsidRDefault="008F3DB7">
      <w:pPr>
        <w:pStyle w:val="TOC3"/>
        <w:rPr>
          <w:rFonts w:asciiTheme="minorHAnsi" w:eastAsiaTheme="minorEastAsia" w:hAnsiTheme="minorHAnsi"/>
          <w:noProof/>
          <w:sz w:val="22"/>
          <w:lang w:eastAsia="en-NZ"/>
        </w:rPr>
      </w:pPr>
      <w:hyperlink w:anchor="_Toc118119305" w:history="1">
        <w:r w:rsidR="00976F4A" w:rsidRPr="00323E3B">
          <w:rPr>
            <w:rStyle w:val="Hyperlink"/>
            <w:noProof/>
          </w:rPr>
          <w:t>State of emergency</w:t>
        </w:r>
        <w:r w:rsidR="00976F4A">
          <w:rPr>
            <w:noProof/>
            <w:webHidden/>
          </w:rPr>
          <w:tab/>
        </w:r>
        <w:r w:rsidR="00976F4A">
          <w:rPr>
            <w:noProof/>
            <w:webHidden/>
          </w:rPr>
          <w:fldChar w:fldCharType="begin"/>
        </w:r>
        <w:r w:rsidR="00976F4A">
          <w:rPr>
            <w:noProof/>
            <w:webHidden/>
          </w:rPr>
          <w:instrText xml:space="preserve"> PAGEREF _Toc118119305 \h </w:instrText>
        </w:r>
        <w:r w:rsidR="00976F4A">
          <w:rPr>
            <w:noProof/>
            <w:webHidden/>
          </w:rPr>
        </w:r>
        <w:r w:rsidR="00976F4A">
          <w:rPr>
            <w:noProof/>
            <w:webHidden/>
          </w:rPr>
          <w:fldChar w:fldCharType="separate"/>
        </w:r>
        <w:r w:rsidR="0008452D">
          <w:rPr>
            <w:noProof/>
            <w:webHidden/>
          </w:rPr>
          <w:t>44</w:t>
        </w:r>
        <w:r w:rsidR="00976F4A">
          <w:rPr>
            <w:noProof/>
            <w:webHidden/>
          </w:rPr>
          <w:fldChar w:fldCharType="end"/>
        </w:r>
      </w:hyperlink>
    </w:p>
    <w:p w14:paraId="7D333EFB" w14:textId="693B61DA" w:rsidR="00976F4A" w:rsidRDefault="008F3DB7">
      <w:pPr>
        <w:pStyle w:val="TOC3"/>
        <w:rPr>
          <w:rFonts w:asciiTheme="minorHAnsi" w:eastAsiaTheme="minorEastAsia" w:hAnsiTheme="minorHAnsi"/>
          <w:noProof/>
          <w:sz w:val="22"/>
          <w:lang w:eastAsia="en-NZ"/>
        </w:rPr>
      </w:pPr>
      <w:hyperlink w:anchor="_Toc118119306" w:history="1">
        <w:r w:rsidR="00976F4A" w:rsidRPr="00323E3B">
          <w:rPr>
            <w:rStyle w:val="Hyperlink"/>
            <w:noProof/>
          </w:rPr>
          <w:t>National emergency</w:t>
        </w:r>
        <w:r w:rsidR="00976F4A">
          <w:rPr>
            <w:noProof/>
            <w:webHidden/>
          </w:rPr>
          <w:tab/>
        </w:r>
        <w:r w:rsidR="00976F4A">
          <w:rPr>
            <w:noProof/>
            <w:webHidden/>
          </w:rPr>
          <w:fldChar w:fldCharType="begin"/>
        </w:r>
        <w:r w:rsidR="00976F4A">
          <w:rPr>
            <w:noProof/>
            <w:webHidden/>
          </w:rPr>
          <w:instrText xml:space="preserve"> PAGEREF _Toc118119306 \h </w:instrText>
        </w:r>
        <w:r w:rsidR="00976F4A">
          <w:rPr>
            <w:noProof/>
            <w:webHidden/>
          </w:rPr>
        </w:r>
        <w:r w:rsidR="00976F4A">
          <w:rPr>
            <w:noProof/>
            <w:webHidden/>
          </w:rPr>
          <w:fldChar w:fldCharType="separate"/>
        </w:r>
        <w:r w:rsidR="0008452D">
          <w:rPr>
            <w:noProof/>
            <w:webHidden/>
          </w:rPr>
          <w:t>44</w:t>
        </w:r>
        <w:r w:rsidR="00976F4A">
          <w:rPr>
            <w:noProof/>
            <w:webHidden/>
          </w:rPr>
          <w:fldChar w:fldCharType="end"/>
        </w:r>
      </w:hyperlink>
    </w:p>
    <w:p w14:paraId="32041347" w14:textId="0E90BE7B" w:rsidR="00976F4A" w:rsidRDefault="008F3DB7">
      <w:pPr>
        <w:pStyle w:val="TOC3"/>
        <w:rPr>
          <w:rFonts w:asciiTheme="minorHAnsi" w:eastAsiaTheme="minorEastAsia" w:hAnsiTheme="minorHAnsi"/>
          <w:noProof/>
          <w:sz w:val="22"/>
          <w:lang w:eastAsia="en-NZ"/>
        </w:rPr>
      </w:pPr>
      <w:hyperlink w:anchor="_Toc118119307" w:history="1">
        <w:r w:rsidR="00976F4A" w:rsidRPr="00323E3B">
          <w:rPr>
            <w:rStyle w:val="Hyperlink"/>
            <w:noProof/>
          </w:rPr>
          <w:t>Local emergency</w:t>
        </w:r>
        <w:r w:rsidR="00976F4A">
          <w:rPr>
            <w:noProof/>
            <w:webHidden/>
          </w:rPr>
          <w:tab/>
        </w:r>
        <w:r w:rsidR="00976F4A">
          <w:rPr>
            <w:noProof/>
            <w:webHidden/>
          </w:rPr>
          <w:fldChar w:fldCharType="begin"/>
        </w:r>
        <w:r w:rsidR="00976F4A">
          <w:rPr>
            <w:noProof/>
            <w:webHidden/>
          </w:rPr>
          <w:instrText xml:space="preserve"> PAGEREF _Toc118119307 \h </w:instrText>
        </w:r>
        <w:r w:rsidR="00976F4A">
          <w:rPr>
            <w:noProof/>
            <w:webHidden/>
          </w:rPr>
        </w:r>
        <w:r w:rsidR="00976F4A">
          <w:rPr>
            <w:noProof/>
            <w:webHidden/>
          </w:rPr>
          <w:fldChar w:fldCharType="separate"/>
        </w:r>
        <w:r w:rsidR="0008452D">
          <w:rPr>
            <w:noProof/>
            <w:webHidden/>
          </w:rPr>
          <w:t>45</w:t>
        </w:r>
        <w:r w:rsidR="00976F4A">
          <w:rPr>
            <w:noProof/>
            <w:webHidden/>
          </w:rPr>
          <w:fldChar w:fldCharType="end"/>
        </w:r>
      </w:hyperlink>
    </w:p>
    <w:p w14:paraId="61645A71" w14:textId="49C8B68A" w:rsidR="00976F4A" w:rsidRDefault="008F3DB7">
      <w:pPr>
        <w:pStyle w:val="TOC3"/>
        <w:rPr>
          <w:rFonts w:asciiTheme="minorHAnsi" w:eastAsiaTheme="minorEastAsia" w:hAnsiTheme="minorHAnsi"/>
          <w:noProof/>
          <w:sz w:val="22"/>
          <w:lang w:eastAsia="en-NZ"/>
        </w:rPr>
      </w:pPr>
      <w:hyperlink w:anchor="_Toc118119308" w:history="1">
        <w:r w:rsidR="00976F4A" w:rsidRPr="00323E3B">
          <w:rPr>
            <w:rStyle w:val="Hyperlink"/>
            <w:noProof/>
          </w:rPr>
          <w:t>Transition period</w:t>
        </w:r>
        <w:r w:rsidR="00976F4A">
          <w:rPr>
            <w:noProof/>
            <w:webHidden/>
          </w:rPr>
          <w:tab/>
        </w:r>
        <w:r w:rsidR="00976F4A">
          <w:rPr>
            <w:noProof/>
            <w:webHidden/>
          </w:rPr>
          <w:fldChar w:fldCharType="begin"/>
        </w:r>
        <w:r w:rsidR="00976F4A">
          <w:rPr>
            <w:noProof/>
            <w:webHidden/>
          </w:rPr>
          <w:instrText xml:space="preserve"> PAGEREF _Toc118119308 \h </w:instrText>
        </w:r>
        <w:r w:rsidR="00976F4A">
          <w:rPr>
            <w:noProof/>
            <w:webHidden/>
          </w:rPr>
        </w:r>
        <w:r w:rsidR="00976F4A">
          <w:rPr>
            <w:noProof/>
            <w:webHidden/>
          </w:rPr>
          <w:fldChar w:fldCharType="separate"/>
        </w:r>
        <w:r w:rsidR="0008452D">
          <w:rPr>
            <w:noProof/>
            <w:webHidden/>
          </w:rPr>
          <w:t>45</w:t>
        </w:r>
        <w:r w:rsidR="00976F4A">
          <w:rPr>
            <w:noProof/>
            <w:webHidden/>
          </w:rPr>
          <w:fldChar w:fldCharType="end"/>
        </w:r>
      </w:hyperlink>
    </w:p>
    <w:p w14:paraId="61EE7E1C" w14:textId="54EFE5EC" w:rsidR="00976F4A" w:rsidRDefault="008F3DB7">
      <w:pPr>
        <w:pStyle w:val="TOC2"/>
        <w:rPr>
          <w:rFonts w:asciiTheme="minorHAnsi" w:eastAsiaTheme="minorEastAsia" w:hAnsiTheme="minorHAnsi"/>
          <w:b w:val="0"/>
          <w:color w:val="auto"/>
          <w:sz w:val="22"/>
          <w:lang w:eastAsia="en-NZ"/>
        </w:rPr>
      </w:pPr>
      <w:hyperlink w:anchor="_Toc118119309" w:history="1">
        <w:r w:rsidR="00976F4A" w:rsidRPr="00323E3B">
          <w:rPr>
            <w:rStyle w:val="Hyperlink"/>
          </w:rPr>
          <w:t>Relationship of CDEM Act with other statutes</w:t>
        </w:r>
        <w:r w:rsidR="00976F4A">
          <w:rPr>
            <w:webHidden/>
          </w:rPr>
          <w:tab/>
        </w:r>
        <w:r w:rsidR="00976F4A">
          <w:rPr>
            <w:webHidden/>
          </w:rPr>
          <w:fldChar w:fldCharType="begin"/>
        </w:r>
        <w:r w:rsidR="00976F4A">
          <w:rPr>
            <w:webHidden/>
          </w:rPr>
          <w:instrText xml:space="preserve"> PAGEREF _Toc118119309 \h </w:instrText>
        </w:r>
        <w:r w:rsidR="00976F4A">
          <w:rPr>
            <w:webHidden/>
          </w:rPr>
        </w:r>
        <w:r w:rsidR="00976F4A">
          <w:rPr>
            <w:webHidden/>
          </w:rPr>
          <w:fldChar w:fldCharType="separate"/>
        </w:r>
        <w:r w:rsidR="0008452D">
          <w:rPr>
            <w:webHidden/>
          </w:rPr>
          <w:t>46</w:t>
        </w:r>
        <w:r w:rsidR="00976F4A">
          <w:rPr>
            <w:webHidden/>
          </w:rPr>
          <w:fldChar w:fldCharType="end"/>
        </w:r>
      </w:hyperlink>
    </w:p>
    <w:p w14:paraId="1568E8F1" w14:textId="4AE21E8C" w:rsidR="00976F4A" w:rsidRDefault="008F3DB7">
      <w:pPr>
        <w:pStyle w:val="TOC2"/>
        <w:rPr>
          <w:rFonts w:asciiTheme="minorHAnsi" w:eastAsiaTheme="minorEastAsia" w:hAnsiTheme="minorHAnsi"/>
          <w:b w:val="0"/>
          <w:color w:val="auto"/>
          <w:sz w:val="22"/>
          <w:lang w:eastAsia="en-NZ"/>
        </w:rPr>
      </w:pPr>
      <w:hyperlink w:anchor="_Toc118119310" w:history="1">
        <w:r w:rsidR="00976F4A" w:rsidRPr="00323E3B">
          <w:rPr>
            <w:rStyle w:val="Hyperlink"/>
          </w:rPr>
          <w:t>CDEM Act fitness for purpose?</w:t>
        </w:r>
        <w:r w:rsidR="00976F4A">
          <w:rPr>
            <w:webHidden/>
          </w:rPr>
          <w:tab/>
        </w:r>
        <w:r w:rsidR="00976F4A">
          <w:rPr>
            <w:webHidden/>
          </w:rPr>
          <w:fldChar w:fldCharType="begin"/>
        </w:r>
        <w:r w:rsidR="00976F4A">
          <w:rPr>
            <w:webHidden/>
          </w:rPr>
          <w:instrText xml:space="preserve"> PAGEREF _Toc118119310 \h </w:instrText>
        </w:r>
        <w:r w:rsidR="00976F4A">
          <w:rPr>
            <w:webHidden/>
          </w:rPr>
        </w:r>
        <w:r w:rsidR="00976F4A">
          <w:rPr>
            <w:webHidden/>
          </w:rPr>
          <w:fldChar w:fldCharType="separate"/>
        </w:r>
        <w:r w:rsidR="0008452D">
          <w:rPr>
            <w:webHidden/>
          </w:rPr>
          <w:t>48</w:t>
        </w:r>
        <w:r w:rsidR="00976F4A">
          <w:rPr>
            <w:webHidden/>
          </w:rPr>
          <w:fldChar w:fldCharType="end"/>
        </w:r>
      </w:hyperlink>
    </w:p>
    <w:p w14:paraId="74BD272F" w14:textId="62FB922A" w:rsidR="00976F4A" w:rsidRDefault="008F3DB7">
      <w:pPr>
        <w:pStyle w:val="TOC2"/>
        <w:rPr>
          <w:rFonts w:asciiTheme="minorHAnsi" w:eastAsiaTheme="minorEastAsia" w:hAnsiTheme="minorHAnsi"/>
          <w:b w:val="0"/>
          <w:color w:val="auto"/>
          <w:sz w:val="22"/>
          <w:lang w:eastAsia="en-NZ"/>
        </w:rPr>
      </w:pPr>
      <w:hyperlink w:anchor="_Toc118119311" w:history="1">
        <w:r w:rsidR="00976F4A" w:rsidRPr="00323E3B">
          <w:rPr>
            <w:rStyle w:val="Hyperlink"/>
          </w:rPr>
          <w:t>Pandemic emergencies</w:t>
        </w:r>
        <w:r w:rsidR="00976F4A">
          <w:rPr>
            <w:webHidden/>
          </w:rPr>
          <w:tab/>
        </w:r>
        <w:r w:rsidR="00976F4A">
          <w:rPr>
            <w:webHidden/>
          </w:rPr>
          <w:fldChar w:fldCharType="begin"/>
        </w:r>
        <w:r w:rsidR="00976F4A">
          <w:rPr>
            <w:webHidden/>
          </w:rPr>
          <w:instrText xml:space="preserve"> PAGEREF _Toc118119311 \h </w:instrText>
        </w:r>
        <w:r w:rsidR="00976F4A">
          <w:rPr>
            <w:webHidden/>
          </w:rPr>
        </w:r>
        <w:r w:rsidR="00976F4A">
          <w:rPr>
            <w:webHidden/>
          </w:rPr>
          <w:fldChar w:fldCharType="separate"/>
        </w:r>
        <w:r w:rsidR="0008452D">
          <w:rPr>
            <w:webHidden/>
          </w:rPr>
          <w:t>48</w:t>
        </w:r>
        <w:r w:rsidR="00976F4A">
          <w:rPr>
            <w:webHidden/>
          </w:rPr>
          <w:fldChar w:fldCharType="end"/>
        </w:r>
      </w:hyperlink>
    </w:p>
    <w:p w14:paraId="17953AC6" w14:textId="0C9D09DB" w:rsidR="00976F4A" w:rsidRDefault="008F3DB7">
      <w:pPr>
        <w:pStyle w:val="TOC3"/>
        <w:rPr>
          <w:rFonts w:asciiTheme="minorHAnsi" w:eastAsiaTheme="minorEastAsia" w:hAnsiTheme="minorHAnsi"/>
          <w:noProof/>
          <w:sz w:val="22"/>
          <w:lang w:eastAsia="en-NZ"/>
        </w:rPr>
      </w:pPr>
      <w:hyperlink w:anchor="_Toc118119312" w:history="1">
        <w:r w:rsidR="00976F4A" w:rsidRPr="00323E3B">
          <w:rPr>
            <w:rStyle w:val="Hyperlink"/>
            <w:noProof/>
          </w:rPr>
          <w:t>World Health Organization International Health Regulations 2005</w:t>
        </w:r>
        <w:r w:rsidR="00976F4A">
          <w:rPr>
            <w:noProof/>
            <w:webHidden/>
          </w:rPr>
          <w:tab/>
        </w:r>
        <w:r w:rsidR="00976F4A">
          <w:rPr>
            <w:noProof/>
            <w:webHidden/>
          </w:rPr>
          <w:fldChar w:fldCharType="begin"/>
        </w:r>
        <w:r w:rsidR="00976F4A">
          <w:rPr>
            <w:noProof/>
            <w:webHidden/>
          </w:rPr>
          <w:instrText xml:space="preserve"> PAGEREF _Toc118119312 \h </w:instrText>
        </w:r>
        <w:r w:rsidR="00976F4A">
          <w:rPr>
            <w:noProof/>
            <w:webHidden/>
          </w:rPr>
        </w:r>
        <w:r w:rsidR="00976F4A">
          <w:rPr>
            <w:noProof/>
            <w:webHidden/>
          </w:rPr>
          <w:fldChar w:fldCharType="separate"/>
        </w:r>
        <w:r w:rsidR="0008452D">
          <w:rPr>
            <w:noProof/>
            <w:webHidden/>
          </w:rPr>
          <w:t>48</w:t>
        </w:r>
        <w:r w:rsidR="00976F4A">
          <w:rPr>
            <w:noProof/>
            <w:webHidden/>
          </w:rPr>
          <w:fldChar w:fldCharType="end"/>
        </w:r>
      </w:hyperlink>
    </w:p>
    <w:p w14:paraId="52FC8BC8" w14:textId="01F6AB0D" w:rsidR="00976F4A" w:rsidRDefault="008F3DB7">
      <w:pPr>
        <w:pStyle w:val="TOC3"/>
        <w:rPr>
          <w:rFonts w:asciiTheme="minorHAnsi" w:eastAsiaTheme="minorEastAsia" w:hAnsiTheme="minorHAnsi"/>
          <w:noProof/>
          <w:sz w:val="22"/>
          <w:lang w:eastAsia="en-NZ"/>
        </w:rPr>
      </w:pPr>
      <w:hyperlink w:anchor="_Toc118119313" w:history="1">
        <w:r w:rsidR="00976F4A" w:rsidRPr="00323E3B">
          <w:rPr>
            <w:rStyle w:val="Hyperlink"/>
            <w:noProof/>
          </w:rPr>
          <w:t>Triggering the Health Act</w:t>
        </w:r>
        <w:r w:rsidR="00976F4A">
          <w:rPr>
            <w:noProof/>
            <w:webHidden/>
          </w:rPr>
          <w:tab/>
        </w:r>
        <w:r w:rsidR="00976F4A">
          <w:rPr>
            <w:noProof/>
            <w:webHidden/>
          </w:rPr>
          <w:fldChar w:fldCharType="begin"/>
        </w:r>
        <w:r w:rsidR="00976F4A">
          <w:rPr>
            <w:noProof/>
            <w:webHidden/>
          </w:rPr>
          <w:instrText xml:space="preserve"> PAGEREF _Toc118119313 \h </w:instrText>
        </w:r>
        <w:r w:rsidR="00976F4A">
          <w:rPr>
            <w:noProof/>
            <w:webHidden/>
          </w:rPr>
        </w:r>
        <w:r w:rsidR="00976F4A">
          <w:rPr>
            <w:noProof/>
            <w:webHidden/>
          </w:rPr>
          <w:fldChar w:fldCharType="separate"/>
        </w:r>
        <w:r w:rsidR="0008452D">
          <w:rPr>
            <w:noProof/>
            <w:webHidden/>
          </w:rPr>
          <w:t>49</w:t>
        </w:r>
        <w:r w:rsidR="00976F4A">
          <w:rPr>
            <w:noProof/>
            <w:webHidden/>
          </w:rPr>
          <w:fldChar w:fldCharType="end"/>
        </w:r>
      </w:hyperlink>
    </w:p>
    <w:p w14:paraId="3D8B46EE" w14:textId="2200B8D3" w:rsidR="00976F4A" w:rsidRDefault="008F3DB7">
      <w:pPr>
        <w:pStyle w:val="TOC3"/>
        <w:rPr>
          <w:rFonts w:asciiTheme="minorHAnsi" w:eastAsiaTheme="minorEastAsia" w:hAnsiTheme="minorHAnsi"/>
          <w:noProof/>
          <w:sz w:val="22"/>
          <w:lang w:eastAsia="en-NZ"/>
        </w:rPr>
      </w:pPr>
      <w:hyperlink w:anchor="_Toc118119314" w:history="1">
        <w:r w:rsidR="00976F4A" w:rsidRPr="00323E3B">
          <w:rPr>
            <w:rStyle w:val="Hyperlink"/>
            <w:noProof/>
            <w:shd w:val="clear" w:color="auto" w:fill="FFFFFF"/>
          </w:rPr>
          <w:t xml:space="preserve">The </w:t>
        </w:r>
        <w:r w:rsidR="00976F4A" w:rsidRPr="00323E3B">
          <w:rPr>
            <w:rStyle w:val="Hyperlink"/>
            <w:noProof/>
          </w:rPr>
          <w:t>status</w:t>
        </w:r>
        <w:r w:rsidR="00976F4A" w:rsidRPr="00323E3B">
          <w:rPr>
            <w:rStyle w:val="Hyperlink"/>
            <w:noProof/>
            <w:shd w:val="clear" w:color="auto" w:fill="FFFFFF"/>
          </w:rPr>
          <w:t xml:space="preserve"> of regulations under s 117 and orders under s 70</w:t>
        </w:r>
        <w:r w:rsidR="00976F4A">
          <w:rPr>
            <w:noProof/>
            <w:webHidden/>
          </w:rPr>
          <w:tab/>
        </w:r>
        <w:r w:rsidR="00976F4A">
          <w:rPr>
            <w:noProof/>
            <w:webHidden/>
          </w:rPr>
          <w:fldChar w:fldCharType="begin"/>
        </w:r>
        <w:r w:rsidR="00976F4A">
          <w:rPr>
            <w:noProof/>
            <w:webHidden/>
          </w:rPr>
          <w:instrText xml:space="preserve"> PAGEREF _Toc118119314 \h </w:instrText>
        </w:r>
        <w:r w:rsidR="00976F4A">
          <w:rPr>
            <w:noProof/>
            <w:webHidden/>
          </w:rPr>
        </w:r>
        <w:r w:rsidR="00976F4A">
          <w:rPr>
            <w:noProof/>
            <w:webHidden/>
          </w:rPr>
          <w:fldChar w:fldCharType="separate"/>
        </w:r>
        <w:r w:rsidR="0008452D">
          <w:rPr>
            <w:noProof/>
            <w:webHidden/>
          </w:rPr>
          <w:t>51</w:t>
        </w:r>
        <w:r w:rsidR="00976F4A">
          <w:rPr>
            <w:noProof/>
            <w:webHidden/>
          </w:rPr>
          <w:fldChar w:fldCharType="end"/>
        </w:r>
      </w:hyperlink>
    </w:p>
    <w:p w14:paraId="232CF90C" w14:textId="5621158B" w:rsidR="00976F4A" w:rsidRDefault="008F3DB7">
      <w:pPr>
        <w:pStyle w:val="TOC3"/>
        <w:rPr>
          <w:rFonts w:asciiTheme="minorHAnsi" w:eastAsiaTheme="minorEastAsia" w:hAnsiTheme="minorHAnsi"/>
          <w:noProof/>
          <w:sz w:val="22"/>
          <w:lang w:eastAsia="en-NZ"/>
        </w:rPr>
      </w:pPr>
      <w:hyperlink w:anchor="_Toc118119315" w:history="1">
        <w:r w:rsidR="00976F4A" w:rsidRPr="00323E3B">
          <w:rPr>
            <w:rStyle w:val="Hyperlink"/>
            <w:noProof/>
          </w:rPr>
          <w:t>Epidemic Preparedness Act 2006</w:t>
        </w:r>
        <w:r w:rsidR="00976F4A">
          <w:rPr>
            <w:noProof/>
            <w:webHidden/>
          </w:rPr>
          <w:tab/>
        </w:r>
        <w:r w:rsidR="00976F4A">
          <w:rPr>
            <w:noProof/>
            <w:webHidden/>
          </w:rPr>
          <w:fldChar w:fldCharType="begin"/>
        </w:r>
        <w:r w:rsidR="00976F4A">
          <w:rPr>
            <w:noProof/>
            <w:webHidden/>
          </w:rPr>
          <w:instrText xml:space="preserve"> PAGEREF _Toc118119315 \h </w:instrText>
        </w:r>
        <w:r w:rsidR="00976F4A">
          <w:rPr>
            <w:noProof/>
            <w:webHidden/>
          </w:rPr>
        </w:r>
        <w:r w:rsidR="00976F4A">
          <w:rPr>
            <w:noProof/>
            <w:webHidden/>
          </w:rPr>
          <w:fldChar w:fldCharType="separate"/>
        </w:r>
        <w:r w:rsidR="0008452D">
          <w:rPr>
            <w:noProof/>
            <w:webHidden/>
          </w:rPr>
          <w:t>56</w:t>
        </w:r>
        <w:r w:rsidR="00976F4A">
          <w:rPr>
            <w:noProof/>
            <w:webHidden/>
          </w:rPr>
          <w:fldChar w:fldCharType="end"/>
        </w:r>
      </w:hyperlink>
    </w:p>
    <w:p w14:paraId="0F5AFA02" w14:textId="5FE64AF8" w:rsidR="00976F4A" w:rsidRDefault="008F3DB7">
      <w:pPr>
        <w:pStyle w:val="TOC3"/>
        <w:rPr>
          <w:rFonts w:asciiTheme="minorHAnsi" w:eastAsiaTheme="minorEastAsia" w:hAnsiTheme="minorHAnsi"/>
          <w:noProof/>
          <w:sz w:val="22"/>
          <w:lang w:eastAsia="en-NZ"/>
        </w:rPr>
      </w:pPr>
      <w:hyperlink w:anchor="_Toc118119316" w:history="1">
        <w:r w:rsidR="00976F4A" w:rsidRPr="00323E3B">
          <w:rPr>
            <w:rStyle w:val="Hyperlink"/>
            <w:noProof/>
          </w:rPr>
          <w:t>Migration and borders</w:t>
        </w:r>
        <w:r w:rsidR="00976F4A">
          <w:rPr>
            <w:noProof/>
            <w:webHidden/>
          </w:rPr>
          <w:tab/>
        </w:r>
        <w:r w:rsidR="00976F4A">
          <w:rPr>
            <w:noProof/>
            <w:webHidden/>
          </w:rPr>
          <w:fldChar w:fldCharType="begin"/>
        </w:r>
        <w:r w:rsidR="00976F4A">
          <w:rPr>
            <w:noProof/>
            <w:webHidden/>
          </w:rPr>
          <w:instrText xml:space="preserve"> PAGEREF _Toc118119316 \h </w:instrText>
        </w:r>
        <w:r w:rsidR="00976F4A">
          <w:rPr>
            <w:noProof/>
            <w:webHidden/>
          </w:rPr>
        </w:r>
        <w:r w:rsidR="00976F4A">
          <w:rPr>
            <w:noProof/>
            <w:webHidden/>
          </w:rPr>
          <w:fldChar w:fldCharType="separate"/>
        </w:r>
        <w:r w:rsidR="0008452D">
          <w:rPr>
            <w:noProof/>
            <w:webHidden/>
          </w:rPr>
          <w:t>59</w:t>
        </w:r>
        <w:r w:rsidR="00976F4A">
          <w:rPr>
            <w:noProof/>
            <w:webHidden/>
          </w:rPr>
          <w:fldChar w:fldCharType="end"/>
        </w:r>
      </w:hyperlink>
    </w:p>
    <w:p w14:paraId="3035DE7E" w14:textId="18551850" w:rsidR="00976F4A" w:rsidRDefault="008F3DB7">
      <w:pPr>
        <w:pStyle w:val="TOC2"/>
        <w:rPr>
          <w:rFonts w:asciiTheme="minorHAnsi" w:eastAsiaTheme="minorEastAsia" w:hAnsiTheme="minorHAnsi"/>
          <w:b w:val="0"/>
          <w:color w:val="auto"/>
          <w:sz w:val="22"/>
          <w:lang w:eastAsia="en-NZ"/>
        </w:rPr>
      </w:pPr>
      <w:hyperlink w:anchor="_Toc118119317" w:history="1">
        <w:r w:rsidR="00976F4A" w:rsidRPr="00323E3B">
          <w:rPr>
            <w:rStyle w:val="Hyperlink"/>
            <w:shd w:val="clear" w:color="auto" w:fill="FFFFFF"/>
          </w:rPr>
          <w:t>Enforcement powers in a pandemic and more generally</w:t>
        </w:r>
        <w:r w:rsidR="00976F4A">
          <w:rPr>
            <w:webHidden/>
          </w:rPr>
          <w:tab/>
        </w:r>
        <w:r w:rsidR="00976F4A">
          <w:rPr>
            <w:webHidden/>
          </w:rPr>
          <w:fldChar w:fldCharType="begin"/>
        </w:r>
        <w:r w:rsidR="00976F4A">
          <w:rPr>
            <w:webHidden/>
          </w:rPr>
          <w:instrText xml:space="preserve"> PAGEREF _Toc118119317 \h </w:instrText>
        </w:r>
        <w:r w:rsidR="00976F4A">
          <w:rPr>
            <w:webHidden/>
          </w:rPr>
        </w:r>
        <w:r w:rsidR="00976F4A">
          <w:rPr>
            <w:webHidden/>
          </w:rPr>
          <w:fldChar w:fldCharType="separate"/>
        </w:r>
        <w:r w:rsidR="0008452D">
          <w:rPr>
            <w:webHidden/>
          </w:rPr>
          <w:t>60</w:t>
        </w:r>
        <w:r w:rsidR="00976F4A">
          <w:rPr>
            <w:webHidden/>
          </w:rPr>
          <w:fldChar w:fldCharType="end"/>
        </w:r>
      </w:hyperlink>
    </w:p>
    <w:p w14:paraId="1DA5515B" w14:textId="41150D77" w:rsidR="00976F4A" w:rsidRDefault="008F3DB7">
      <w:pPr>
        <w:pStyle w:val="TOC3"/>
        <w:rPr>
          <w:rFonts w:asciiTheme="minorHAnsi" w:eastAsiaTheme="minorEastAsia" w:hAnsiTheme="minorHAnsi"/>
          <w:noProof/>
          <w:sz w:val="22"/>
          <w:lang w:eastAsia="en-NZ"/>
        </w:rPr>
      </w:pPr>
      <w:hyperlink w:anchor="_Toc118119318" w:history="1">
        <w:r w:rsidR="00976F4A" w:rsidRPr="00323E3B">
          <w:rPr>
            <w:rStyle w:val="Hyperlink"/>
            <w:noProof/>
          </w:rPr>
          <w:t>Air border</w:t>
        </w:r>
        <w:r w:rsidR="00976F4A">
          <w:rPr>
            <w:noProof/>
            <w:webHidden/>
          </w:rPr>
          <w:tab/>
        </w:r>
        <w:r w:rsidR="00976F4A">
          <w:rPr>
            <w:noProof/>
            <w:webHidden/>
          </w:rPr>
          <w:fldChar w:fldCharType="begin"/>
        </w:r>
        <w:r w:rsidR="00976F4A">
          <w:rPr>
            <w:noProof/>
            <w:webHidden/>
          </w:rPr>
          <w:instrText xml:space="preserve"> PAGEREF _Toc118119318 \h </w:instrText>
        </w:r>
        <w:r w:rsidR="00976F4A">
          <w:rPr>
            <w:noProof/>
            <w:webHidden/>
          </w:rPr>
        </w:r>
        <w:r w:rsidR="00976F4A">
          <w:rPr>
            <w:noProof/>
            <w:webHidden/>
          </w:rPr>
          <w:fldChar w:fldCharType="separate"/>
        </w:r>
        <w:r w:rsidR="0008452D">
          <w:rPr>
            <w:noProof/>
            <w:webHidden/>
          </w:rPr>
          <w:t>63</w:t>
        </w:r>
        <w:r w:rsidR="00976F4A">
          <w:rPr>
            <w:noProof/>
            <w:webHidden/>
          </w:rPr>
          <w:fldChar w:fldCharType="end"/>
        </w:r>
      </w:hyperlink>
    </w:p>
    <w:p w14:paraId="6A2ED1C5" w14:textId="6CB36EBC" w:rsidR="00976F4A" w:rsidRDefault="008F3DB7">
      <w:pPr>
        <w:pStyle w:val="TOC3"/>
        <w:rPr>
          <w:rFonts w:asciiTheme="minorHAnsi" w:eastAsiaTheme="minorEastAsia" w:hAnsiTheme="minorHAnsi"/>
          <w:noProof/>
          <w:sz w:val="22"/>
          <w:lang w:eastAsia="en-NZ"/>
        </w:rPr>
      </w:pPr>
      <w:hyperlink w:anchor="_Toc118119319" w:history="1">
        <w:r w:rsidR="00976F4A" w:rsidRPr="00323E3B">
          <w:rPr>
            <w:rStyle w:val="Hyperlink"/>
            <w:noProof/>
          </w:rPr>
          <w:t>Maritime border</w:t>
        </w:r>
        <w:r w:rsidR="00976F4A">
          <w:rPr>
            <w:noProof/>
            <w:webHidden/>
          </w:rPr>
          <w:tab/>
        </w:r>
        <w:r w:rsidR="00976F4A">
          <w:rPr>
            <w:noProof/>
            <w:webHidden/>
          </w:rPr>
          <w:fldChar w:fldCharType="begin"/>
        </w:r>
        <w:r w:rsidR="00976F4A">
          <w:rPr>
            <w:noProof/>
            <w:webHidden/>
          </w:rPr>
          <w:instrText xml:space="preserve"> PAGEREF _Toc118119319 \h </w:instrText>
        </w:r>
        <w:r w:rsidR="00976F4A">
          <w:rPr>
            <w:noProof/>
            <w:webHidden/>
          </w:rPr>
        </w:r>
        <w:r w:rsidR="00976F4A">
          <w:rPr>
            <w:noProof/>
            <w:webHidden/>
          </w:rPr>
          <w:fldChar w:fldCharType="separate"/>
        </w:r>
        <w:r w:rsidR="0008452D">
          <w:rPr>
            <w:noProof/>
            <w:webHidden/>
          </w:rPr>
          <w:t>64</w:t>
        </w:r>
        <w:r w:rsidR="00976F4A">
          <w:rPr>
            <w:noProof/>
            <w:webHidden/>
          </w:rPr>
          <w:fldChar w:fldCharType="end"/>
        </w:r>
      </w:hyperlink>
    </w:p>
    <w:p w14:paraId="213257DF" w14:textId="67289F96" w:rsidR="00976F4A" w:rsidRDefault="008F3DB7">
      <w:pPr>
        <w:pStyle w:val="TOC3"/>
        <w:rPr>
          <w:rFonts w:asciiTheme="minorHAnsi" w:eastAsiaTheme="minorEastAsia" w:hAnsiTheme="minorHAnsi"/>
          <w:noProof/>
          <w:sz w:val="22"/>
          <w:lang w:eastAsia="en-NZ"/>
        </w:rPr>
      </w:pPr>
      <w:hyperlink w:anchor="_Toc118119320" w:history="1">
        <w:r w:rsidR="00976F4A" w:rsidRPr="00323E3B">
          <w:rPr>
            <w:rStyle w:val="Hyperlink"/>
            <w:noProof/>
          </w:rPr>
          <w:t>Enforcing the compliance of ordinary New Zealand citizens</w:t>
        </w:r>
        <w:r w:rsidR="00976F4A">
          <w:rPr>
            <w:noProof/>
            <w:webHidden/>
          </w:rPr>
          <w:tab/>
        </w:r>
        <w:r w:rsidR="00976F4A">
          <w:rPr>
            <w:noProof/>
            <w:webHidden/>
          </w:rPr>
          <w:fldChar w:fldCharType="begin"/>
        </w:r>
        <w:r w:rsidR="00976F4A">
          <w:rPr>
            <w:noProof/>
            <w:webHidden/>
          </w:rPr>
          <w:instrText xml:space="preserve"> PAGEREF _Toc118119320 \h </w:instrText>
        </w:r>
        <w:r w:rsidR="00976F4A">
          <w:rPr>
            <w:noProof/>
            <w:webHidden/>
          </w:rPr>
        </w:r>
        <w:r w:rsidR="00976F4A">
          <w:rPr>
            <w:noProof/>
            <w:webHidden/>
          </w:rPr>
          <w:fldChar w:fldCharType="separate"/>
        </w:r>
        <w:r w:rsidR="0008452D">
          <w:rPr>
            <w:noProof/>
            <w:webHidden/>
          </w:rPr>
          <w:t>66</w:t>
        </w:r>
        <w:r w:rsidR="00976F4A">
          <w:rPr>
            <w:noProof/>
            <w:webHidden/>
          </w:rPr>
          <w:fldChar w:fldCharType="end"/>
        </w:r>
      </w:hyperlink>
    </w:p>
    <w:p w14:paraId="2361CFAB" w14:textId="020A08F2" w:rsidR="00976F4A" w:rsidRDefault="008F3DB7">
      <w:pPr>
        <w:pStyle w:val="TOC2"/>
        <w:rPr>
          <w:rFonts w:asciiTheme="minorHAnsi" w:eastAsiaTheme="minorEastAsia" w:hAnsiTheme="minorHAnsi"/>
          <w:b w:val="0"/>
          <w:color w:val="auto"/>
          <w:sz w:val="22"/>
          <w:lang w:eastAsia="en-NZ"/>
        </w:rPr>
      </w:pPr>
      <w:hyperlink w:anchor="_Toc118119321" w:history="1">
        <w:r w:rsidR="00976F4A" w:rsidRPr="00323E3B">
          <w:rPr>
            <w:rStyle w:val="Hyperlink"/>
          </w:rPr>
          <w:t>Elections in an emergency</w:t>
        </w:r>
        <w:r w:rsidR="00976F4A">
          <w:rPr>
            <w:webHidden/>
          </w:rPr>
          <w:tab/>
        </w:r>
        <w:r w:rsidR="00976F4A">
          <w:rPr>
            <w:webHidden/>
          </w:rPr>
          <w:fldChar w:fldCharType="begin"/>
        </w:r>
        <w:r w:rsidR="00976F4A">
          <w:rPr>
            <w:webHidden/>
          </w:rPr>
          <w:instrText xml:space="preserve"> PAGEREF _Toc118119321 \h </w:instrText>
        </w:r>
        <w:r w:rsidR="00976F4A">
          <w:rPr>
            <w:webHidden/>
          </w:rPr>
        </w:r>
        <w:r w:rsidR="00976F4A">
          <w:rPr>
            <w:webHidden/>
          </w:rPr>
          <w:fldChar w:fldCharType="separate"/>
        </w:r>
        <w:r w:rsidR="0008452D">
          <w:rPr>
            <w:webHidden/>
          </w:rPr>
          <w:t>66</w:t>
        </w:r>
        <w:r w:rsidR="00976F4A">
          <w:rPr>
            <w:webHidden/>
          </w:rPr>
          <w:fldChar w:fldCharType="end"/>
        </w:r>
      </w:hyperlink>
    </w:p>
    <w:p w14:paraId="7A689BCC" w14:textId="3C0B4525" w:rsidR="00976F4A" w:rsidRDefault="008F3DB7">
      <w:pPr>
        <w:pStyle w:val="TOC2"/>
        <w:rPr>
          <w:rFonts w:asciiTheme="minorHAnsi" w:eastAsiaTheme="minorEastAsia" w:hAnsiTheme="minorHAnsi"/>
          <w:b w:val="0"/>
          <w:color w:val="auto"/>
          <w:sz w:val="22"/>
          <w:lang w:eastAsia="en-NZ"/>
        </w:rPr>
      </w:pPr>
      <w:hyperlink w:anchor="_Toc118119322" w:history="1">
        <w:r w:rsidR="00976F4A" w:rsidRPr="00323E3B">
          <w:rPr>
            <w:rStyle w:val="Hyperlink"/>
          </w:rPr>
          <w:t>Concluding remarks</w:t>
        </w:r>
        <w:r w:rsidR="00976F4A">
          <w:rPr>
            <w:webHidden/>
          </w:rPr>
          <w:tab/>
        </w:r>
        <w:r w:rsidR="00976F4A">
          <w:rPr>
            <w:webHidden/>
          </w:rPr>
          <w:fldChar w:fldCharType="begin"/>
        </w:r>
        <w:r w:rsidR="00976F4A">
          <w:rPr>
            <w:webHidden/>
          </w:rPr>
          <w:instrText xml:space="preserve"> PAGEREF _Toc118119322 \h </w:instrText>
        </w:r>
        <w:r w:rsidR="00976F4A">
          <w:rPr>
            <w:webHidden/>
          </w:rPr>
        </w:r>
        <w:r w:rsidR="00976F4A">
          <w:rPr>
            <w:webHidden/>
          </w:rPr>
          <w:fldChar w:fldCharType="separate"/>
        </w:r>
        <w:r w:rsidR="0008452D">
          <w:rPr>
            <w:webHidden/>
          </w:rPr>
          <w:t>69</w:t>
        </w:r>
        <w:r w:rsidR="00976F4A">
          <w:rPr>
            <w:webHidden/>
          </w:rPr>
          <w:fldChar w:fldCharType="end"/>
        </w:r>
      </w:hyperlink>
    </w:p>
    <w:p w14:paraId="1A2DE8A8" w14:textId="438C2287" w:rsidR="00976F4A" w:rsidRDefault="008F3DB7">
      <w:pPr>
        <w:pStyle w:val="TOC1"/>
        <w:rPr>
          <w:rFonts w:asciiTheme="minorHAnsi" w:eastAsiaTheme="minorEastAsia" w:hAnsiTheme="minorHAnsi"/>
          <w:b w:val="0"/>
          <w:caps w:val="0"/>
          <w:color w:val="auto"/>
          <w:sz w:val="22"/>
          <w:lang w:eastAsia="en-NZ"/>
        </w:rPr>
      </w:pPr>
      <w:hyperlink w:anchor="_Toc118119323" w:history="1">
        <w:r w:rsidR="00976F4A" w:rsidRPr="00323E3B">
          <w:rPr>
            <w:rStyle w:val="Hyperlink"/>
          </w:rPr>
          <w:t xml:space="preserve"> Appendix One</w:t>
        </w:r>
        <w:r w:rsidR="00976F4A">
          <w:rPr>
            <w:webHidden/>
          </w:rPr>
          <w:tab/>
        </w:r>
        <w:r w:rsidR="00976F4A">
          <w:rPr>
            <w:webHidden/>
          </w:rPr>
          <w:fldChar w:fldCharType="begin"/>
        </w:r>
        <w:r w:rsidR="00976F4A">
          <w:rPr>
            <w:webHidden/>
          </w:rPr>
          <w:instrText xml:space="preserve"> PAGEREF _Toc118119323 \h </w:instrText>
        </w:r>
        <w:r w:rsidR="00976F4A">
          <w:rPr>
            <w:webHidden/>
          </w:rPr>
        </w:r>
        <w:r w:rsidR="00976F4A">
          <w:rPr>
            <w:webHidden/>
          </w:rPr>
          <w:fldChar w:fldCharType="separate"/>
        </w:r>
        <w:r w:rsidR="0008452D">
          <w:rPr>
            <w:webHidden/>
          </w:rPr>
          <w:t>70</w:t>
        </w:r>
        <w:r w:rsidR="00976F4A">
          <w:rPr>
            <w:webHidden/>
          </w:rPr>
          <w:fldChar w:fldCharType="end"/>
        </w:r>
      </w:hyperlink>
    </w:p>
    <w:p w14:paraId="6E433F22" w14:textId="31223422" w:rsidR="00976F4A" w:rsidRDefault="008F3DB7">
      <w:pPr>
        <w:pStyle w:val="TOC1"/>
        <w:rPr>
          <w:rFonts w:asciiTheme="minorHAnsi" w:eastAsiaTheme="minorEastAsia" w:hAnsiTheme="minorHAnsi"/>
          <w:b w:val="0"/>
          <w:caps w:val="0"/>
          <w:color w:val="auto"/>
          <w:sz w:val="22"/>
          <w:lang w:eastAsia="en-NZ"/>
        </w:rPr>
      </w:pPr>
      <w:hyperlink w:anchor="_Toc118119324" w:history="1">
        <w:r w:rsidR="00976F4A" w:rsidRPr="00323E3B">
          <w:rPr>
            <w:rStyle w:val="Hyperlink"/>
          </w:rPr>
          <w:t xml:space="preserve"> Appendix Two</w:t>
        </w:r>
        <w:r w:rsidR="00976F4A">
          <w:rPr>
            <w:webHidden/>
          </w:rPr>
          <w:tab/>
        </w:r>
        <w:r w:rsidR="00976F4A">
          <w:rPr>
            <w:webHidden/>
          </w:rPr>
          <w:fldChar w:fldCharType="begin"/>
        </w:r>
        <w:r w:rsidR="00976F4A">
          <w:rPr>
            <w:webHidden/>
          </w:rPr>
          <w:instrText xml:space="preserve"> PAGEREF _Toc118119324 \h </w:instrText>
        </w:r>
        <w:r w:rsidR="00976F4A">
          <w:rPr>
            <w:webHidden/>
          </w:rPr>
        </w:r>
        <w:r w:rsidR="00976F4A">
          <w:rPr>
            <w:webHidden/>
          </w:rPr>
          <w:fldChar w:fldCharType="separate"/>
        </w:r>
        <w:r w:rsidR="0008452D">
          <w:rPr>
            <w:webHidden/>
          </w:rPr>
          <w:t>71</w:t>
        </w:r>
        <w:r w:rsidR="00976F4A">
          <w:rPr>
            <w:webHidden/>
          </w:rPr>
          <w:fldChar w:fldCharType="end"/>
        </w:r>
      </w:hyperlink>
    </w:p>
    <w:p w14:paraId="24D9EDD8" w14:textId="34D1C2C8" w:rsidR="00976F4A" w:rsidRDefault="008F3DB7">
      <w:pPr>
        <w:pStyle w:val="TOC1"/>
        <w:rPr>
          <w:rFonts w:asciiTheme="minorHAnsi" w:eastAsiaTheme="minorEastAsia" w:hAnsiTheme="minorHAnsi"/>
          <w:b w:val="0"/>
          <w:caps w:val="0"/>
          <w:color w:val="auto"/>
          <w:sz w:val="22"/>
          <w:lang w:eastAsia="en-NZ"/>
        </w:rPr>
      </w:pPr>
      <w:hyperlink w:anchor="_Toc118119325" w:history="1">
        <w:r w:rsidR="00976F4A" w:rsidRPr="00323E3B">
          <w:rPr>
            <w:rStyle w:val="Hyperlink"/>
          </w:rPr>
          <w:t xml:space="preserve"> Appendix Three</w:t>
        </w:r>
        <w:r w:rsidR="00976F4A">
          <w:rPr>
            <w:webHidden/>
          </w:rPr>
          <w:tab/>
        </w:r>
        <w:r w:rsidR="00976F4A">
          <w:rPr>
            <w:webHidden/>
          </w:rPr>
          <w:fldChar w:fldCharType="begin"/>
        </w:r>
        <w:r w:rsidR="00976F4A">
          <w:rPr>
            <w:webHidden/>
          </w:rPr>
          <w:instrText xml:space="preserve"> PAGEREF _Toc118119325 \h </w:instrText>
        </w:r>
        <w:r w:rsidR="00976F4A">
          <w:rPr>
            <w:webHidden/>
          </w:rPr>
        </w:r>
        <w:r w:rsidR="00976F4A">
          <w:rPr>
            <w:webHidden/>
          </w:rPr>
          <w:fldChar w:fldCharType="separate"/>
        </w:r>
        <w:r w:rsidR="0008452D">
          <w:rPr>
            <w:webHidden/>
          </w:rPr>
          <w:t>74</w:t>
        </w:r>
        <w:r w:rsidR="00976F4A">
          <w:rPr>
            <w:webHidden/>
          </w:rPr>
          <w:fldChar w:fldCharType="end"/>
        </w:r>
      </w:hyperlink>
    </w:p>
    <w:p w14:paraId="57863FEC" w14:textId="58F4A804" w:rsidR="00976F4A" w:rsidRDefault="008F3DB7">
      <w:pPr>
        <w:pStyle w:val="TOC3"/>
        <w:rPr>
          <w:rFonts w:asciiTheme="minorHAnsi" w:eastAsiaTheme="minorEastAsia" w:hAnsiTheme="minorHAnsi"/>
          <w:noProof/>
          <w:sz w:val="22"/>
          <w:lang w:eastAsia="en-NZ"/>
        </w:rPr>
      </w:pPr>
      <w:hyperlink w:anchor="_Toc118119326" w:history="1">
        <w:r w:rsidR="00976F4A" w:rsidRPr="00323E3B">
          <w:rPr>
            <w:rStyle w:val="Hyperlink"/>
            <w:noProof/>
          </w:rPr>
          <w:t>Epidemic management notices under s 8 activating dormant provisions</w:t>
        </w:r>
        <w:r w:rsidR="00976F4A">
          <w:rPr>
            <w:noProof/>
            <w:webHidden/>
          </w:rPr>
          <w:tab/>
        </w:r>
        <w:r w:rsidR="00976F4A">
          <w:rPr>
            <w:noProof/>
            <w:webHidden/>
          </w:rPr>
          <w:fldChar w:fldCharType="begin"/>
        </w:r>
        <w:r w:rsidR="00976F4A">
          <w:rPr>
            <w:noProof/>
            <w:webHidden/>
          </w:rPr>
          <w:instrText xml:space="preserve"> PAGEREF _Toc118119326 \h </w:instrText>
        </w:r>
        <w:r w:rsidR="00976F4A">
          <w:rPr>
            <w:noProof/>
            <w:webHidden/>
          </w:rPr>
        </w:r>
        <w:r w:rsidR="00976F4A">
          <w:rPr>
            <w:noProof/>
            <w:webHidden/>
          </w:rPr>
          <w:fldChar w:fldCharType="separate"/>
        </w:r>
        <w:r w:rsidR="0008452D">
          <w:rPr>
            <w:noProof/>
            <w:webHidden/>
          </w:rPr>
          <w:t>74</w:t>
        </w:r>
        <w:r w:rsidR="00976F4A">
          <w:rPr>
            <w:noProof/>
            <w:webHidden/>
          </w:rPr>
          <w:fldChar w:fldCharType="end"/>
        </w:r>
      </w:hyperlink>
    </w:p>
    <w:p w14:paraId="544F3360" w14:textId="5E064AA0" w:rsidR="00976F4A" w:rsidRDefault="008F3DB7">
      <w:pPr>
        <w:pStyle w:val="TOC3"/>
        <w:rPr>
          <w:rFonts w:asciiTheme="minorHAnsi" w:eastAsiaTheme="minorEastAsia" w:hAnsiTheme="minorHAnsi"/>
          <w:noProof/>
          <w:sz w:val="22"/>
          <w:lang w:eastAsia="en-NZ"/>
        </w:rPr>
      </w:pPr>
      <w:hyperlink w:anchor="_Toc118119327" w:history="1">
        <w:r w:rsidR="00976F4A" w:rsidRPr="00323E3B">
          <w:rPr>
            <w:rStyle w:val="Hyperlink"/>
            <w:noProof/>
          </w:rPr>
          <w:t>Modification of Immigration Act (Order 1)</w:t>
        </w:r>
        <w:r w:rsidR="00976F4A">
          <w:rPr>
            <w:noProof/>
            <w:webHidden/>
          </w:rPr>
          <w:tab/>
        </w:r>
        <w:r w:rsidR="00976F4A">
          <w:rPr>
            <w:noProof/>
            <w:webHidden/>
          </w:rPr>
          <w:fldChar w:fldCharType="begin"/>
        </w:r>
        <w:r w:rsidR="00976F4A">
          <w:rPr>
            <w:noProof/>
            <w:webHidden/>
          </w:rPr>
          <w:instrText xml:space="preserve"> PAGEREF _Toc118119327 \h </w:instrText>
        </w:r>
        <w:r w:rsidR="00976F4A">
          <w:rPr>
            <w:noProof/>
            <w:webHidden/>
          </w:rPr>
        </w:r>
        <w:r w:rsidR="00976F4A">
          <w:rPr>
            <w:noProof/>
            <w:webHidden/>
          </w:rPr>
          <w:fldChar w:fldCharType="separate"/>
        </w:r>
        <w:r w:rsidR="0008452D">
          <w:rPr>
            <w:noProof/>
            <w:webHidden/>
          </w:rPr>
          <w:t>75</w:t>
        </w:r>
        <w:r w:rsidR="00976F4A">
          <w:rPr>
            <w:noProof/>
            <w:webHidden/>
          </w:rPr>
          <w:fldChar w:fldCharType="end"/>
        </w:r>
      </w:hyperlink>
    </w:p>
    <w:p w14:paraId="7D72C044" w14:textId="7178582B" w:rsidR="00976F4A" w:rsidRDefault="008F3DB7">
      <w:pPr>
        <w:pStyle w:val="TOC3"/>
        <w:rPr>
          <w:rFonts w:asciiTheme="minorHAnsi" w:eastAsiaTheme="minorEastAsia" w:hAnsiTheme="minorHAnsi"/>
          <w:noProof/>
          <w:sz w:val="22"/>
          <w:lang w:eastAsia="en-NZ"/>
        </w:rPr>
      </w:pPr>
      <w:hyperlink w:anchor="_Toc118119328" w:history="1">
        <w:r w:rsidR="00976F4A" w:rsidRPr="00323E3B">
          <w:rPr>
            <w:rStyle w:val="Hyperlink"/>
            <w:noProof/>
          </w:rPr>
          <w:t>Modification of Parole Act (Order 2)</w:t>
        </w:r>
        <w:r w:rsidR="00976F4A">
          <w:rPr>
            <w:noProof/>
            <w:webHidden/>
          </w:rPr>
          <w:tab/>
        </w:r>
        <w:r w:rsidR="00976F4A">
          <w:rPr>
            <w:noProof/>
            <w:webHidden/>
          </w:rPr>
          <w:fldChar w:fldCharType="begin"/>
        </w:r>
        <w:r w:rsidR="00976F4A">
          <w:rPr>
            <w:noProof/>
            <w:webHidden/>
          </w:rPr>
          <w:instrText xml:space="preserve"> PAGEREF _Toc118119328 \h </w:instrText>
        </w:r>
        <w:r w:rsidR="00976F4A">
          <w:rPr>
            <w:noProof/>
            <w:webHidden/>
          </w:rPr>
        </w:r>
        <w:r w:rsidR="00976F4A">
          <w:rPr>
            <w:noProof/>
            <w:webHidden/>
          </w:rPr>
          <w:fldChar w:fldCharType="separate"/>
        </w:r>
        <w:r w:rsidR="0008452D">
          <w:rPr>
            <w:noProof/>
            <w:webHidden/>
          </w:rPr>
          <w:t>76</w:t>
        </w:r>
        <w:r w:rsidR="00976F4A">
          <w:rPr>
            <w:noProof/>
            <w:webHidden/>
          </w:rPr>
          <w:fldChar w:fldCharType="end"/>
        </w:r>
      </w:hyperlink>
    </w:p>
    <w:p w14:paraId="3646DB1A" w14:textId="3F121ECC" w:rsidR="00976F4A" w:rsidRDefault="008F3DB7">
      <w:pPr>
        <w:pStyle w:val="TOC3"/>
        <w:rPr>
          <w:rFonts w:asciiTheme="minorHAnsi" w:eastAsiaTheme="minorEastAsia" w:hAnsiTheme="minorHAnsi"/>
          <w:noProof/>
          <w:sz w:val="22"/>
          <w:lang w:eastAsia="en-NZ"/>
        </w:rPr>
      </w:pPr>
      <w:hyperlink w:anchor="_Toc118119329" w:history="1">
        <w:r w:rsidR="00976F4A" w:rsidRPr="00323E3B">
          <w:rPr>
            <w:rStyle w:val="Hyperlink"/>
            <w:noProof/>
          </w:rPr>
          <w:t>Modification of Sentencing Act (Order 2)</w:t>
        </w:r>
        <w:r w:rsidR="00976F4A">
          <w:rPr>
            <w:noProof/>
            <w:webHidden/>
          </w:rPr>
          <w:tab/>
        </w:r>
        <w:r w:rsidR="00976F4A">
          <w:rPr>
            <w:noProof/>
            <w:webHidden/>
          </w:rPr>
          <w:fldChar w:fldCharType="begin"/>
        </w:r>
        <w:r w:rsidR="00976F4A">
          <w:rPr>
            <w:noProof/>
            <w:webHidden/>
          </w:rPr>
          <w:instrText xml:space="preserve"> PAGEREF _Toc118119329 \h </w:instrText>
        </w:r>
        <w:r w:rsidR="00976F4A">
          <w:rPr>
            <w:noProof/>
            <w:webHidden/>
          </w:rPr>
        </w:r>
        <w:r w:rsidR="00976F4A">
          <w:rPr>
            <w:noProof/>
            <w:webHidden/>
          </w:rPr>
          <w:fldChar w:fldCharType="separate"/>
        </w:r>
        <w:r w:rsidR="0008452D">
          <w:rPr>
            <w:noProof/>
            <w:webHidden/>
          </w:rPr>
          <w:t>78</w:t>
        </w:r>
        <w:r w:rsidR="00976F4A">
          <w:rPr>
            <w:noProof/>
            <w:webHidden/>
          </w:rPr>
          <w:fldChar w:fldCharType="end"/>
        </w:r>
      </w:hyperlink>
    </w:p>
    <w:p w14:paraId="57504B96" w14:textId="626608DD" w:rsidR="00976F4A" w:rsidRDefault="008F3DB7">
      <w:pPr>
        <w:pStyle w:val="TOC3"/>
        <w:rPr>
          <w:rFonts w:asciiTheme="minorHAnsi" w:eastAsiaTheme="minorEastAsia" w:hAnsiTheme="minorHAnsi"/>
          <w:noProof/>
          <w:sz w:val="22"/>
          <w:lang w:eastAsia="en-NZ"/>
        </w:rPr>
      </w:pPr>
      <w:hyperlink w:anchor="_Toc118119330" w:history="1">
        <w:r w:rsidR="00976F4A" w:rsidRPr="00323E3B">
          <w:rPr>
            <w:rStyle w:val="Hyperlink"/>
            <w:noProof/>
          </w:rPr>
          <w:t>Section 15 immediate modification orders</w:t>
        </w:r>
        <w:r w:rsidR="00976F4A">
          <w:rPr>
            <w:noProof/>
            <w:webHidden/>
          </w:rPr>
          <w:tab/>
        </w:r>
        <w:r w:rsidR="00976F4A">
          <w:rPr>
            <w:noProof/>
            <w:webHidden/>
          </w:rPr>
          <w:fldChar w:fldCharType="begin"/>
        </w:r>
        <w:r w:rsidR="00976F4A">
          <w:rPr>
            <w:noProof/>
            <w:webHidden/>
          </w:rPr>
          <w:instrText xml:space="preserve"> PAGEREF _Toc118119330 \h </w:instrText>
        </w:r>
        <w:r w:rsidR="00976F4A">
          <w:rPr>
            <w:noProof/>
            <w:webHidden/>
          </w:rPr>
        </w:r>
        <w:r w:rsidR="00976F4A">
          <w:rPr>
            <w:noProof/>
            <w:webHidden/>
          </w:rPr>
          <w:fldChar w:fldCharType="separate"/>
        </w:r>
        <w:r w:rsidR="0008452D">
          <w:rPr>
            <w:noProof/>
            <w:webHidden/>
          </w:rPr>
          <w:t>79</w:t>
        </w:r>
        <w:r w:rsidR="00976F4A">
          <w:rPr>
            <w:noProof/>
            <w:webHidden/>
          </w:rPr>
          <w:fldChar w:fldCharType="end"/>
        </w:r>
      </w:hyperlink>
    </w:p>
    <w:p w14:paraId="5F2D782D" w14:textId="3E709CD9" w:rsidR="003339E7" w:rsidRDefault="005E6A30" w:rsidP="005918AB">
      <w:pPr>
        <w:spacing w:after="0"/>
        <w:rPr>
          <w:rFonts w:eastAsia="SimSun"/>
          <w:caps/>
          <w:noProof/>
          <w:lang w:eastAsia="en-NZ"/>
        </w:rPr>
      </w:pPr>
      <w:r>
        <w:rPr>
          <w:rFonts w:eastAsia="SimSun"/>
          <w:caps/>
          <w:noProof/>
          <w:lang w:eastAsia="en-NZ"/>
        </w:rPr>
        <w:fldChar w:fldCharType="end"/>
      </w:r>
    </w:p>
    <w:p w14:paraId="31D067C9" w14:textId="508B4815" w:rsidR="003339E7" w:rsidRDefault="00BA7267" w:rsidP="005918AB">
      <w:pPr>
        <w:spacing w:after="0"/>
        <w:rPr>
          <w:rFonts w:eastAsia="SimSun"/>
          <w:caps/>
          <w:noProof/>
          <w:lang w:eastAsia="en-NZ"/>
        </w:rPr>
      </w:pPr>
      <w:r>
        <w:rPr>
          <w:noProof/>
        </w:rPr>
        <mc:AlternateContent>
          <mc:Choice Requires="wpg">
            <w:drawing>
              <wp:anchor distT="0" distB="0" distL="114300" distR="114300" simplePos="0" relativeHeight="251658266" behindDoc="1" locked="0" layoutInCell="1" allowOverlap="1" wp14:anchorId="2C4B8056" wp14:editId="6DAE1BF2">
                <wp:simplePos x="0" y="0"/>
                <wp:positionH relativeFrom="page">
                  <wp:posOffset>1080135</wp:posOffset>
                </wp:positionH>
                <wp:positionV relativeFrom="paragraph">
                  <wp:posOffset>233680</wp:posOffset>
                </wp:positionV>
                <wp:extent cx="1439545" cy="1270"/>
                <wp:effectExtent l="0" t="19050" r="27305" b="17780"/>
                <wp:wrapNone/>
                <wp:docPr id="3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9545" cy="1270"/>
                          <a:chOff x="1134" y="-190"/>
                          <a:chExt cx="2098" cy="2"/>
                        </a:xfrm>
                      </wpg:grpSpPr>
                      <wps:wsp>
                        <wps:cNvPr id="35" name="Freeform 93"/>
                        <wps:cNvSpPr>
                          <a:spLocks/>
                        </wps:cNvSpPr>
                        <wps:spPr bwMode="auto">
                          <a:xfrm>
                            <a:off x="1134" y="-19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20E57" id="Group 92" o:spid="_x0000_s1026" style="position:absolute;margin-left:85.05pt;margin-top:18.4pt;width:113.35pt;height:.1pt;z-index:-251658214;mso-position-horizontal-relative:page" coordorigin="1134,-19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">
                <v:shape id="Freeform 93" o:spid="_x0000_s1027" style="position:absolute;left:1134;top:-19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" path="m,l2097,e" filled="f" strokecolor="#c96d61" strokeweight="3pt">
                  <v:path arrowok="t" o:connecttype="custom" o:connectlocs="0,0;2097,0" o:connectangles="0,0"/>
                </v:shape>
                <w10:wrap anchorx="page"/>
              </v:group>
            </w:pict>
          </mc:Fallback>
        </mc:AlternateContent>
      </w:r>
    </w:p>
    <w:p w14:paraId="1F9EE4C7" w14:textId="01526221" w:rsidR="003339E7" w:rsidRDefault="003339E7" w:rsidP="005918AB">
      <w:pPr>
        <w:spacing w:after="0"/>
        <w:sectPr w:rsidR="003339E7" w:rsidSect="00B95313">
          <w:headerReference w:type="even" r:id="rId25"/>
          <w:headerReference w:type="default" r:id="rId26"/>
          <w:footnotePr>
            <w:numRestart w:val="eachSect"/>
          </w:footnotePr>
          <w:pgSz w:w="11907" w:h="16840" w:code="9"/>
          <w:pgMar w:top="1134" w:right="1134" w:bottom="1134" w:left="1701" w:header="499" w:footer="45" w:gutter="0"/>
          <w:pgNumType w:start="1"/>
          <w:cols w:space="720"/>
        </w:sectPr>
      </w:pPr>
    </w:p>
    <w:p w14:paraId="7869CAD7" w14:textId="77777777" w:rsidR="008472D4" w:rsidRDefault="008472D4" w:rsidP="008472D4">
      <w:pPr>
        <w:spacing w:before="55" w:after="0" w:line="240" w:lineRule="auto"/>
        <w:ind w:left="114" w:right="-20" w:hanging="114"/>
        <w:rPr>
          <w:rFonts w:ascii="Metropolis" w:eastAsia="Metropolis" w:hAnsi="Metropolis" w:cs="Metropolis"/>
          <w:sz w:val="21"/>
          <w:szCs w:val="21"/>
        </w:rPr>
      </w:pPr>
      <w:bookmarkStart w:id="5" w:name="_Toc117063086"/>
    </w:p>
    <w:p w14:paraId="0D97966A" w14:textId="77777777" w:rsidR="008472D4" w:rsidRDefault="008472D4" w:rsidP="008472D4">
      <w:pPr>
        <w:spacing w:after="0" w:line="200" w:lineRule="exact"/>
        <w:rPr>
          <w:szCs w:val="20"/>
        </w:rPr>
      </w:pPr>
      <w:r>
        <w:rPr>
          <w:noProof/>
        </w:rPr>
        <mc:AlternateContent>
          <mc:Choice Requires="wpg">
            <w:drawing>
              <wp:anchor distT="0" distB="0" distL="114300" distR="114300" simplePos="0" relativeHeight="251658269" behindDoc="1" locked="0" layoutInCell="1" allowOverlap="1" wp14:anchorId="143B84D7" wp14:editId="4A63D70A">
                <wp:simplePos x="0" y="0"/>
                <wp:positionH relativeFrom="page">
                  <wp:posOffset>1096140</wp:posOffset>
                </wp:positionH>
                <wp:positionV relativeFrom="paragraph">
                  <wp:posOffset>171450</wp:posOffset>
                </wp:positionV>
                <wp:extent cx="1332230" cy="1270"/>
                <wp:effectExtent l="0" t="19050" r="20320" b="17780"/>
                <wp:wrapNone/>
                <wp:docPr id="5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535"/>
                          <a:chExt cx="2098" cy="2"/>
                        </a:xfrm>
                      </wpg:grpSpPr>
                      <wps:wsp>
                        <wps:cNvPr id="54" name="Freeform 9"/>
                        <wps:cNvSpPr>
                          <a:spLocks/>
                        </wps:cNvSpPr>
                        <wps:spPr bwMode="auto">
                          <a:xfrm>
                            <a:off x="1134" y="535"/>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8B797" id="Group 8" o:spid="_x0000_s1026" style="position:absolute;margin-left:86.3pt;margin-top:13.5pt;width:104.9pt;height:.1pt;z-index:-251658211;mso-position-horizontal-relative:page" coordorigin="1134,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">
                <v:shape id="Freeform 9" o:spid="_x0000_s1027" style="position:absolute;left:1134;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" path="m,l2097,e" filled="f" strokecolor="#c96d61" strokeweight="3pt">
                  <v:path arrowok="t" o:connecttype="custom" o:connectlocs="0,0;2097,0" o:connectangles="0,0"/>
                </v:shape>
                <w10:wrap anchorx="page"/>
              </v:group>
            </w:pict>
          </mc:Fallback>
        </mc:AlternateContent>
      </w:r>
    </w:p>
    <w:p w14:paraId="0B72212D" w14:textId="77777777" w:rsidR="008472D4" w:rsidRDefault="008472D4" w:rsidP="008472D4">
      <w:pPr>
        <w:spacing w:after="0" w:line="200" w:lineRule="exact"/>
        <w:rPr>
          <w:szCs w:val="20"/>
        </w:rPr>
      </w:pPr>
    </w:p>
    <w:p w14:paraId="346F6575" w14:textId="689116B3" w:rsidR="008472D4" w:rsidRDefault="00BF5C98" w:rsidP="008472D4">
      <w:pPr>
        <w:pStyle w:val="Heading1"/>
      </w:pPr>
      <w:bookmarkStart w:id="6" w:name="_Toc118119278"/>
      <w:r>
        <w:t>E</w:t>
      </w:r>
      <w:r>
        <w:rPr>
          <w:spacing w:val="-24"/>
        </w:rPr>
        <w:t>x</w:t>
      </w:r>
      <w:r>
        <w:rPr>
          <w:spacing w:val="-11"/>
        </w:rPr>
        <w:t>e</w:t>
      </w:r>
      <w:r>
        <w:rPr>
          <w:spacing w:val="-14"/>
        </w:rPr>
        <w:t>c</w:t>
      </w:r>
      <w:r>
        <w:t>u</w:t>
      </w:r>
      <w:r>
        <w:rPr>
          <w:spacing w:val="-7"/>
        </w:rPr>
        <w:t>t</w:t>
      </w:r>
      <w:r>
        <w:rPr>
          <w:spacing w:val="-14"/>
        </w:rPr>
        <w:t>i</w:t>
      </w:r>
      <w:r>
        <w:rPr>
          <w:spacing w:val="-28"/>
        </w:rPr>
        <w:t>v</w:t>
      </w:r>
      <w:r>
        <w:t>e</w:t>
      </w:r>
      <w:r>
        <w:rPr>
          <w:spacing w:val="-13"/>
        </w:rPr>
        <w:t xml:space="preserve"> </w:t>
      </w:r>
      <w:r w:rsidRPr="00BD0BFA">
        <w:t>summary</w:t>
      </w:r>
      <w:bookmarkEnd w:id="6"/>
    </w:p>
    <w:p w14:paraId="3094167E" w14:textId="77777777" w:rsidR="008472D4" w:rsidRDefault="008472D4" w:rsidP="008472D4">
      <w:pPr>
        <w:spacing w:after="0" w:line="200" w:lineRule="exact"/>
        <w:rPr>
          <w:szCs w:val="20"/>
        </w:rPr>
      </w:pPr>
    </w:p>
    <w:p w14:paraId="3C2FA336" w14:textId="77777777" w:rsidR="008472D4" w:rsidRDefault="008472D4" w:rsidP="008472D4">
      <w:pPr>
        <w:spacing w:after="0" w:line="200" w:lineRule="exact"/>
        <w:rPr>
          <w:szCs w:val="20"/>
        </w:rPr>
      </w:pPr>
    </w:p>
    <w:p w14:paraId="0A951461" w14:textId="77777777" w:rsidR="008472D4" w:rsidRDefault="008472D4" w:rsidP="008472D4">
      <w:pPr>
        <w:spacing w:after="0" w:line="200" w:lineRule="exact"/>
        <w:rPr>
          <w:szCs w:val="20"/>
        </w:rPr>
      </w:pPr>
      <w:r>
        <w:rPr>
          <w:noProof/>
        </w:rPr>
        <mc:AlternateContent>
          <mc:Choice Requires="wpg">
            <w:drawing>
              <wp:anchor distT="0" distB="0" distL="114300" distR="114300" simplePos="0" relativeHeight="251658270" behindDoc="1" locked="0" layoutInCell="1" allowOverlap="1" wp14:anchorId="733D778B" wp14:editId="181FF254">
                <wp:simplePos x="0" y="0"/>
                <wp:positionH relativeFrom="page">
                  <wp:posOffset>1096140</wp:posOffset>
                </wp:positionH>
                <wp:positionV relativeFrom="paragraph">
                  <wp:posOffset>38100</wp:posOffset>
                </wp:positionV>
                <wp:extent cx="1332230" cy="1270"/>
                <wp:effectExtent l="0" t="19050" r="20320" b="17780"/>
                <wp:wrapNone/>
                <wp:docPr id="5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260"/>
                          <a:chExt cx="2098" cy="2"/>
                        </a:xfrm>
                      </wpg:grpSpPr>
                      <wps:wsp>
                        <wps:cNvPr id="56" name="Freeform 7"/>
                        <wps:cNvSpPr>
                          <a:spLocks/>
                        </wps:cNvSpPr>
                        <wps:spPr bwMode="auto">
                          <a:xfrm>
                            <a:off x="1134" y="-26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D8B9C1" id="Group 6" o:spid="_x0000_s1026" style="position:absolute;margin-left:86.3pt;margin-top:3pt;width:104.9pt;height:.1pt;z-index:-251658210;mso-position-horizontal-relative:page" coordorigin="1134,-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">
                <v:shape id="Freeform 7" o:spid="_x0000_s1027" style="position:absolute;left:1134;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" path="m,l2097,e" filled="f" strokecolor="#c96d61" strokeweight="3pt">
                  <v:path arrowok="t" o:connecttype="custom" o:connectlocs="0,0;2097,0" o:connectangles="0,0"/>
                </v:shape>
                <w10:wrap anchorx="page"/>
              </v:group>
            </w:pict>
          </mc:Fallback>
        </mc:AlternateContent>
      </w:r>
    </w:p>
    <w:bookmarkEnd w:id="5"/>
    <w:p w14:paraId="1F9EE4D1" w14:textId="77777777" w:rsidR="00862DF8" w:rsidRDefault="00862DF8">
      <w:pPr>
        <w:spacing w:before="8" w:after="0" w:line="240" w:lineRule="exact"/>
        <w:rPr>
          <w:sz w:val="24"/>
        </w:rPr>
      </w:pPr>
    </w:p>
    <w:p w14:paraId="1F9EE4D2" w14:textId="15A7110F" w:rsidR="00862DF8" w:rsidRPr="00BD0BFA" w:rsidRDefault="00957ED4" w:rsidP="00957ED4">
      <w:pPr>
        <w:pStyle w:val="Heading2"/>
        <w:rPr>
          <w:rFonts w:eastAsia="Metropolis"/>
        </w:rPr>
      </w:pPr>
      <w:bookmarkStart w:id="7" w:name="_Toc117063087"/>
      <w:bookmarkStart w:id="8" w:name="_Toc118119279"/>
      <w:r>
        <w:rPr>
          <w:rFonts w:eastAsia="Metropolis"/>
        </w:rPr>
        <w:t>S</w:t>
      </w:r>
      <w:r w:rsidRPr="00BD0BFA">
        <w:rPr>
          <w:rFonts w:eastAsia="Metropolis"/>
        </w:rPr>
        <w:t xml:space="preserve">tructure of the </w:t>
      </w:r>
      <w:bookmarkEnd w:id="7"/>
      <w:r w:rsidR="00025547">
        <w:rPr>
          <w:rFonts w:eastAsia="Metropolis"/>
        </w:rPr>
        <w:t>Study Paper</w:t>
      </w:r>
      <w:bookmarkEnd w:id="8"/>
    </w:p>
    <w:p w14:paraId="571DBB56" w14:textId="651031C1" w:rsidR="00C97FBB" w:rsidRDefault="00C97FBB">
      <w:pPr>
        <w:pStyle w:val="ListNumber"/>
      </w:pPr>
      <w:r>
        <w:t xml:space="preserve">This </w:t>
      </w:r>
      <w:r w:rsidR="00025547">
        <w:t>S</w:t>
      </w:r>
      <w:r>
        <w:t xml:space="preserve">tudy </w:t>
      </w:r>
      <w:r w:rsidR="00025547">
        <w:t>P</w:t>
      </w:r>
      <w:r>
        <w:t xml:space="preserve">aper is in three parts. Part </w:t>
      </w:r>
      <w:r w:rsidRPr="001D37FD">
        <w:t xml:space="preserve">One </w:t>
      </w:r>
      <w:r>
        <w:t xml:space="preserve">identifies changes to Aotearoa New Zealand’s background constitutional norms since </w:t>
      </w:r>
      <w:proofErr w:type="spellStart"/>
      <w:r w:rsidR="008E4549" w:rsidRPr="00090596">
        <w:rPr>
          <w:rFonts w:eastAsia="Metropolis Light" w:cs="Metropolis Light"/>
          <w:szCs w:val="20"/>
        </w:rPr>
        <w:t>Te</w:t>
      </w:r>
      <w:proofErr w:type="spellEnd"/>
      <w:r w:rsidR="008E4549" w:rsidRPr="00090596">
        <w:rPr>
          <w:rFonts w:eastAsia="Metropolis Light" w:cs="Metropolis Light"/>
          <w:szCs w:val="20"/>
        </w:rPr>
        <w:t xml:space="preserve"> Aka Matua o </w:t>
      </w:r>
      <w:proofErr w:type="spellStart"/>
      <w:r w:rsidR="008E4549" w:rsidRPr="00090596">
        <w:rPr>
          <w:rFonts w:eastAsia="Metropolis Light" w:cs="Metropolis Light"/>
          <w:szCs w:val="20"/>
        </w:rPr>
        <w:t>te</w:t>
      </w:r>
      <w:proofErr w:type="spellEnd"/>
      <w:r w:rsidR="008E4549" w:rsidRPr="00090596">
        <w:rPr>
          <w:rFonts w:eastAsia="Metropolis Light" w:cs="Metropolis Light"/>
          <w:szCs w:val="20"/>
        </w:rPr>
        <w:t xml:space="preserve"> Ture | </w:t>
      </w:r>
      <w:r>
        <w:t>Law Commission</w:t>
      </w:r>
      <w:r w:rsidR="002D1F57">
        <w:t xml:space="preserve"> (Commission)</w:t>
      </w:r>
      <w:r w:rsidR="009C0EC0">
        <w:t>’s</w:t>
      </w:r>
      <w:r>
        <w:t xml:space="preserve"> 1991 </w:t>
      </w:r>
      <w:r w:rsidR="00FD0594" w:rsidRPr="00CC3ADC">
        <w:rPr>
          <w:i/>
          <w:iCs/>
        </w:rPr>
        <w:t xml:space="preserve">Final </w:t>
      </w:r>
      <w:r w:rsidRPr="00CC3ADC">
        <w:rPr>
          <w:i/>
          <w:iCs/>
        </w:rPr>
        <w:t>Report on Emergencies</w:t>
      </w:r>
      <w:r>
        <w:t>. Modern emergency legislation will be read against background norms to be found in:</w:t>
      </w:r>
    </w:p>
    <w:p w14:paraId="2AA8B7B2" w14:textId="3951B306" w:rsidR="00C97FBB" w:rsidRPr="00E734A9" w:rsidRDefault="00C97FBB">
      <w:pPr>
        <w:pStyle w:val="BodyTextalphalist"/>
        <w:ind w:hanging="567"/>
      </w:pPr>
      <w:r w:rsidRPr="00E734A9">
        <w:t xml:space="preserve">tikanga </w:t>
      </w:r>
      <w:proofErr w:type="gramStart"/>
      <w:r w:rsidRPr="00E734A9">
        <w:t>M</w:t>
      </w:r>
      <w:r w:rsidR="009E3B04">
        <w:t>ā</w:t>
      </w:r>
      <w:r w:rsidRPr="00E734A9">
        <w:t>ori;</w:t>
      </w:r>
      <w:proofErr w:type="gramEnd"/>
      <w:r w:rsidRPr="00E734A9">
        <w:t xml:space="preserve"> </w:t>
      </w:r>
    </w:p>
    <w:p w14:paraId="259BFF42" w14:textId="17C8EFD8" w:rsidR="00C97FBB" w:rsidRPr="00E734A9" w:rsidRDefault="005A4822">
      <w:pPr>
        <w:pStyle w:val="BodyTextalphalist"/>
        <w:ind w:hanging="567"/>
      </w:pPr>
      <w:proofErr w:type="spellStart"/>
      <w:r>
        <w:t>t</w:t>
      </w:r>
      <w:r w:rsidR="00C97FBB" w:rsidRPr="00E734A9">
        <w:t>e</w:t>
      </w:r>
      <w:proofErr w:type="spellEnd"/>
      <w:r w:rsidR="00C97FBB" w:rsidRPr="00E734A9">
        <w:t xml:space="preserve"> </w:t>
      </w:r>
      <w:proofErr w:type="spellStart"/>
      <w:r w:rsidR="00C97FBB" w:rsidRPr="00E734A9">
        <w:t>Tiriti</w:t>
      </w:r>
      <w:proofErr w:type="spellEnd"/>
      <w:r w:rsidR="00C97FBB" w:rsidRPr="00E734A9">
        <w:t xml:space="preserve"> o Waitangi</w:t>
      </w:r>
      <w:r w:rsidR="00622C5A">
        <w:t xml:space="preserve"> </w:t>
      </w:r>
      <w:r w:rsidR="00A32F9F">
        <w:t xml:space="preserve">| Treaty of </w:t>
      </w:r>
      <w:proofErr w:type="gramStart"/>
      <w:r w:rsidR="00A32F9F">
        <w:t>Waitangi</w:t>
      </w:r>
      <w:r w:rsidR="00C97FBB" w:rsidRPr="00E734A9">
        <w:t>;</w:t>
      </w:r>
      <w:proofErr w:type="gramEnd"/>
      <w:r w:rsidR="00C97FBB" w:rsidRPr="00E734A9">
        <w:t xml:space="preserve"> </w:t>
      </w:r>
    </w:p>
    <w:p w14:paraId="6C9C476A" w14:textId="407FDE6E" w:rsidR="00C97FBB" w:rsidRPr="00E734A9" w:rsidRDefault="00C97FBB">
      <w:pPr>
        <w:pStyle w:val="BodyTextalphalist"/>
        <w:ind w:hanging="567"/>
      </w:pPr>
      <w:r w:rsidRPr="00E734A9">
        <w:t xml:space="preserve">international and domestic rights protection frameworks; </w:t>
      </w:r>
      <w:r w:rsidR="00C0429D">
        <w:t>and</w:t>
      </w:r>
    </w:p>
    <w:p w14:paraId="426C8F70" w14:textId="77777777" w:rsidR="00C97FBB" w:rsidRPr="00E734A9" w:rsidRDefault="00C97FBB">
      <w:pPr>
        <w:pStyle w:val="BodyTextalphalist"/>
        <w:ind w:hanging="567"/>
      </w:pPr>
      <w:r w:rsidRPr="00E734A9">
        <w:t xml:space="preserve">privacy </w:t>
      </w:r>
      <w:proofErr w:type="gramStart"/>
      <w:r w:rsidRPr="00E734A9">
        <w:t>law;</w:t>
      </w:r>
      <w:proofErr w:type="gramEnd"/>
    </w:p>
    <w:p w14:paraId="78DCA820" w14:textId="1A0B1AE8" w:rsidR="00C97FBB" w:rsidRDefault="00C97FBB" w:rsidP="003D702E">
      <w:pPr>
        <w:pStyle w:val="BodyTextalphalist"/>
        <w:numPr>
          <w:ilvl w:val="0"/>
          <w:numId w:val="0"/>
        </w:numPr>
        <w:ind w:left="567"/>
      </w:pPr>
      <w:r w:rsidRPr="00E734A9">
        <w:t>and against</w:t>
      </w:r>
      <w:r>
        <w:t xml:space="preserve"> a general expectation that limitations on protected rights and freedoms must be prescribed by law. </w:t>
      </w:r>
    </w:p>
    <w:p w14:paraId="442AC96A" w14:textId="2DBFF1D5" w:rsidR="00C97FBB" w:rsidRDefault="00C97FBB">
      <w:pPr>
        <w:pStyle w:val="ListNumber"/>
      </w:pPr>
      <w:r w:rsidRPr="001D37FD">
        <w:t>Part Two</w:t>
      </w:r>
      <w:r>
        <w:t xml:space="preserve"> endorses the </w:t>
      </w:r>
      <w:r w:rsidRPr="001D37FD">
        <w:t xml:space="preserve">general principles </w:t>
      </w:r>
      <w:r>
        <w:t>that</w:t>
      </w:r>
      <w:r w:rsidRPr="001D37FD">
        <w:t xml:space="preserve"> should apply to emergency legislation</w:t>
      </w:r>
      <w:r>
        <w:t xml:space="preserve"> identified by the Regulations Review Committee</w:t>
      </w:r>
      <w:r w:rsidRPr="001D37FD">
        <w:t xml:space="preserve"> </w:t>
      </w:r>
      <w:r>
        <w:t>and elaborates upon them further</w:t>
      </w:r>
      <w:r w:rsidRPr="001D37FD">
        <w:t xml:space="preserve">. It suggests that </w:t>
      </w:r>
      <w:r w:rsidR="00851AD6">
        <w:t>Aotearoa</w:t>
      </w:r>
      <w:r w:rsidR="00851AD6" w:rsidRPr="001D37FD">
        <w:t xml:space="preserve"> </w:t>
      </w:r>
      <w:r w:rsidRPr="001D37FD">
        <w:t xml:space="preserve">New Zealand has </w:t>
      </w:r>
      <w:r>
        <w:t>very</w:t>
      </w:r>
      <w:r w:rsidRPr="001D37FD">
        <w:t xml:space="preserve"> much </w:t>
      </w:r>
      <w:r>
        <w:t xml:space="preserve">relied </w:t>
      </w:r>
      <w:r w:rsidRPr="001D37FD">
        <w:t xml:space="preserve">on bespoke emergency legislation enacted to deal with emergencies as they have arisen. </w:t>
      </w:r>
      <w:r>
        <w:t xml:space="preserve">It should now consolidate some of that experience by embedding selected provisions for emergencies in standing rules, protected by legal thresholds and triggering provisions. </w:t>
      </w:r>
    </w:p>
    <w:p w14:paraId="31D1DFEF" w14:textId="56241BA8" w:rsidR="00C97FBB" w:rsidRPr="00C97FBB" w:rsidRDefault="00C97FBB">
      <w:pPr>
        <w:pStyle w:val="ListNumber"/>
        <w:rPr>
          <w:rFonts w:eastAsia="Metropolis Light"/>
        </w:rPr>
      </w:pPr>
      <w:r w:rsidRPr="001D37FD">
        <w:t xml:space="preserve">Part </w:t>
      </w:r>
      <w:r>
        <w:t>T</w:t>
      </w:r>
      <w:r w:rsidRPr="001D37FD">
        <w:t xml:space="preserve">hree </w:t>
      </w:r>
      <w:r>
        <w:t>contains</w:t>
      </w:r>
      <w:r w:rsidRPr="001D37FD">
        <w:t xml:space="preserve"> a detailed analysis of the existing standing legal regime for emergencies, usually but not always triggered by a declaration of emergency. </w:t>
      </w:r>
      <w:r>
        <w:t>It</w:t>
      </w:r>
      <w:r w:rsidRPr="001D37FD">
        <w:t xml:space="preserve"> looks across </w:t>
      </w:r>
      <w:r>
        <w:t>various</w:t>
      </w:r>
      <w:r w:rsidRPr="001D37FD">
        <w:t xml:space="preserve"> types of emergencies, considers </w:t>
      </w:r>
      <w:r>
        <w:t xml:space="preserve">the legal tests </w:t>
      </w:r>
      <w:r w:rsidR="00C0429D">
        <w:t xml:space="preserve">that </w:t>
      </w:r>
      <w:r>
        <w:t>unlock emergency powers</w:t>
      </w:r>
      <w:r w:rsidRPr="001D37FD">
        <w:t xml:space="preserve"> and </w:t>
      </w:r>
      <w:r>
        <w:t xml:space="preserve">for how long and discusses </w:t>
      </w:r>
      <w:r w:rsidRPr="001D37FD">
        <w:t>the rules for elections disrupted by emergencies</w:t>
      </w:r>
      <w:r>
        <w:t>. Its</w:t>
      </w:r>
      <w:r w:rsidRPr="001D37FD">
        <w:t xml:space="preserve"> particular</w:t>
      </w:r>
      <w:r>
        <w:t xml:space="preserve"> focus is </w:t>
      </w:r>
      <w:r w:rsidRPr="001D37FD">
        <w:t xml:space="preserve">on lessons from the </w:t>
      </w:r>
      <w:r>
        <w:t>ongoing</w:t>
      </w:r>
      <w:r w:rsidRPr="001D37FD">
        <w:t xml:space="preserve"> pandemic.</w:t>
      </w:r>
    </w:p>
    <w:p w14:paraId="1F9EE4DF" w14:textId="59667F9D" w:rsidR="00862DF8" w:rsidRDefault="00F07F52" w:rsidP="00F07F52">
      <w:pPr>
        <w:pStyle w:val="Heading2"/>
        <w:rPr>
          <w:bCs/>
        </w:rPr>
      </w:pPr>
      <w:bookmarkStart w:id="9" w:name="_Toc117063088"/>
      <w:bookmarkStart w:id="10" w:name="_Toc118119280"/>
      <w:r>
        <w:rPr>
          <w:bCs/>
        </w:rPr>
        <w:t xml:space="preserve">Principal </w:t>
      </w:r>
      <w:r w:rsidRPr="000A41B8">
        <w:rPr>
          <w:bCs/>
        </w:rPr>
        <w:t>Recommendations</w:t>
      </w:r>
      <w:bookmarkEnd w:id="9"/>
      <w:bookmarkEnd w:id="10"/>
    </w:p>
    <w:p w14:paraId="4C3A8513" w14:textId="1C41CC4B" w:rsidR="00357C48" w:rsidRPr="00357C48" w:rsidRDefault="00AD524A" w:rsidP="00AD524A">
      <w:pPr>
        <w:pStyle w:val="Heading3"/>
        <w:rPr>
          <w:rFonts w:eastAsia="Metropolis"/>
        </w:rPr>
      </w:pPr>
      <w:bookmarkStart w:id="11" w:name="_Toc117063089"/>
      <w:bookmarkStart w:id="12" w:name="_Toc117063702"/>
      <w:bookmarkStart w:id="13" w:name="_Toc118119281"/>
      <w:r>
        <w:rPr>
          <w:rFonts w:eastAsia="Metropolis"/>
        </w:rPr>
        <w:t>Part One</w:t>
      </w:r>
      <w:bookmarkEnd w:id="11"/>
      <w:bookmarkEnd w:id="12"/>
      <w:bookmarkEnd w:id="13"/>
    </w:p>
    <w:p w14:paraId="50DBCD6E" w14:textId="4245D126" w:rsidR="00A063FB" w:rsidRPr="00035A57" w:rsidRDefault="00A063FB">
      <w:pPr>
        <w:pStyle w:val="ListNumber"/>
        <w:rPr>
          <w:rFonts w:eastAsia="Metropolis Light" w:cs="Metropolis Light"/>
          <w:color w:val="231F20"/>
          <w:sz w:val="19"/>
          <w:szCs w:val="19"/>
        </w:rPr>
      </w:pPr>
      <w:r w:rsidRPr="00035A57">
        <w:rPr>
          <w:rFonts w:eastAsia="Metropolis Light" w:cs="Metropolis Light"/>
          <w:color w:val="231F20"/>
          <w:sz w:val="19"/>
          <w:szCs w:val="19"/>
        </w:rPr>
        <w:t>Māori should have greater input into emergency legislation, emergency preparation and the recovery phase of emergencies.</w:t>
      </w:r>
    </w:p>
    <w:p w14:paraId="1B64E55B" w14:textId="0B7585D6" w:rsidR="00A063FB" w:rsidRPr="00A063FB" w:rsidRDefault="00A063FB">
      <w:pPr>
        <w:pStyle w:val="ListNumber"/>
        <w:rPr>
          <w:rFonts w:eastAsia="Metropolis Light" w:cs="Metropolis Light"/>
          <w:color w:val="231F20"/>
          <w:sz w:val="19"/>
          <w:szCs w:val="19"/>
        </w:rPr>
      </w:pPr>
      <w:r w:rsidRPr="00A063FB">
        <w:rPr>
          <w:rFonts w:eastAsia="Metropolis Light" w:cs="Metropolis Light"/>
          <w:color w:val="231F20"/>
          <w:sz w:val="19"/>
          <w:szCs w:val="19"/>
        </w:rPr>
        <w:t xml:space="preserve">In those rare cases in which </w:t>
      </w:r>
      <w:r w:rsidR="00C0429D">
        <w:rPr>
          <w:rFonts w:eastAsia="Metropolis Light" w:cs="Metropolis Light"/>
          <w:color w:val="231F20"/>
          <w:sz w:val="19"/>
          <w:szCs w:val="19"/>
        </w:rPr>
        <w:t xml:space="preserve">the </w:t>
      </w:r>
      <w:r w:rsidRPr="00A063FB">
        <w:rPr>
          <w:rFonts w:eastAsia="Metropolis Light" w:cs="Metropolis Light"/>
          <w:color w:val="231F20"/>
          <w:sz w:val="19"/>
          <w:szCs w:val="19"/>
        </w:rPr>
        <w:t xml:space="preserve">New Zealand </w:t>
      </w:r>
      <w:r w:rsidR="00851AD6">
        <w:rPr>
          <w:rFonts w:eastAsia="Metropolis Light" w:cs="Metropolis Light"/>
          <w:color w:val="231F20"/>
          <w:sz w:val="19"/>
          <w:szCs w:val="19"/>
        </w:rPr>
        <w:t>G</w:t>
      </w:r>
      <w:r w:rsidRPr="00A063FB">
        <w:rPr>
          <w:rFonts w:eastAsia="Metropolis Light" w:cs="Metropolis Light"/>
          <w:color w:val="231F20"/>
          <w:sz w:val="19"/>
          <w:szCs w:val="19"/>
        </w:rPr>
        <w:t>overnment is forced by circumstances to act without participation from Māori authorities, especially in the acute response phase, the duty of active protection of Māori should weigh more heavily than usual on government.</w:t>
      </w:r>
    </w:p>
    <w:p w14:paraId="3965C5EC" w14:textId="77777777" w:rsidR="00A063FB" w:rsidRPr="00A063FB" w:rsidRDefault="00A063FB">
      <w:pPr>
        <w:pStyle w:val="ListNumber"/>
        <w:rPr>
          <w:rFonts w:eastAsia="Metropolis Light" w:cs="Metropolis Light"/>
          <w:color w:val="231F20"/>
          <w:sz w:val="19"/>
          <w:szCs w:val="19"/>
        </w:rPr>
      </w:pPr>
      <w:r w:rsidRPr="00A063FB">
        <w:rPr>
          <w:rFonts w:eastAsia="Metropolis Light" w:cs="Metropolis Light"/>
          <w:color w:val="231F20"/>
          <w:sz w:val="19"/>
          <w:szCs w:val="19"/>
        </w:rPr>
        <w:lastRenderedPageBreak/>
        <w:t>Standing committees of Māori advisors for emergencies should be established.</w:t>
      </w:r>
    </w:p>
    <w:p w14:paraId="26EB1F8E" w14:textId="369C0CDA" w:rsidR="00AB2CAE" w:rsidRPr="00837674" w:rsidRDefault="00A063FB">
      <w:pPr>
        <w:pStyle w:val="ListNumber"/>
        <w:rPr>
          <w:rFonts w:eastAsia="Metropolis Light" w:cs="Metropolis Light"/>
          <w:sz w:val="19"/>
          <w:szCs w:val="19"/>
        </w:rPr>
      </w:pPr>
      <w:r w:rsidRPr="00A063FB">
        <w:rPr>
          <w:rFonts w:eastAsia="Metropolis Light" w:cs="Metropolis Light"/>
          <w:color w:val="231F20"/>
          <w:sz w:val="19"/>
          <w:szCs w:val="19"/>
        </w:rPr>
        <w:t xml:space="preserve">Ongoing work needs to be undertaken, with the involvement of the Privacy Commissioner, into alternatives to lockdowns and quarantines </w:t>
      </w:r>
      <w:r w:rsidR="00AB2CAE">
        <w:rPr>
          <w:rFonts w:eastAsia="Metropolis Light" w:cs="Metropolis Light"/>
          <w:color w:val="231F20"/>
          <w:sz w:val="19"/>
          <w:szCs w:val="19"/>
        </w:rPr>
        <w:t>that</w:t>
      </w:r>
      <w:r w:rsidR="00AB2CAE" w:rsidRPr="00A063FB">
        <w:rPr>
          <w:rFonts w:eastAsia="Metropolis Light" w:cs="Metropolis Light"/>
          <w:color w:val="231F20"/>
          <w:sz w:val="19"/>
          <w:szCs w:val="19"/>
        </w:rPr>
        <w:t xml:space="preserve"> </w:t>
      </w:r>
      <w:r w:rsidRPr="00A063FB">
        <w:rPr>
          <w:rFonts w:eastAsia="Metropolis Light" w:cs="Metropolis Light"/>
          <w:color w:val="231F20"/>
          <w:sz w:val="19"/>
          <w:szCs w:val="19"/>
        </w:rPr>
        <w:t>use phone surveillance as a measure of both disease surveillance and enforcement. The current legislative test in the Privacy Act 2020 weighs privacy against the public interest, but in a pandemic, privacy rights may have to be weighed against other rights and freedoms.</w:t>
      </w:r>
    </w:p>
    <w:p w14:paraId="20AEF5B8" w14:textId="7108D2FE" w:rsidR="00E1280B" w:rsidRPr="00D01370" w:rsidRDefault="00E1280B" w:rsidP="00AD524A">
      <w:pPr>
        <w:pStyle w:val="Heading3"/>
      </w:pPr>
      <w:bookmarkStart w:id="14" w:name="_Toc117063090"/>
      <w:bookmarkStart w:id="15" w:name="_Toc117063703"/>
      <w:bookmarkStart w:id="16" w:name="_Toc118119282"/>
      <w:r w:rsidRPr="00D01370">
        <w:t>Part Two</w:t>
      </w:r>
      <w:bookmarkEnd w:id="14"/>
      <w:bookmarkEnd w:id="15"/>
      <w:bookmarkEnd w:id="16"/>
    </w:p>
    <w:p w14:paraId="13329CE5" w14:textId="77777777" w:rsidR="00E1280B" w:rsidRPr="00F95E6A" w:rsidRDefault="00E1280B" w:rsidP="00AD524A">
      <w:pPr>
        <w:pStyle w:val="Heading4"/>
        <w:rPr>
          <w:shd w:val="clear" w:color="auto" w:fill="FFFFFF"/>
        </w:rPr>
      </w:pPr>
      <w:r w:rsidRPr="00F95E6A">
        <w:rPr>
          <w:shd w:val="clear" w:color="auto" w:fill="FFFFFF"/>
        </w:rPr>
        <w:t>Emergency regulations and orders</w:t>
      </w:r>
    </w:p>
    <w:p w14:paraId="17B9B22B" w14:textId="77777777" w:rsidR="00E1280B" w:rsidRDefault="00E1280B">
      <w:pPr>
        <w:pStyle w:val="ListNumber"/>
      </w:pPr>
      <w:r>
        <w:t xml:space="preserve">For reasons of </w:t>
      </w:r>
      <w:r w:rsidRPr="00E1280B">
        <w:rPr>
          <w:rFonts w:eastAsia="Metropolis Light" w:cs="Metropolis Light"/>
          <w:color w:val="231F20"/>
          <w:sz w:val="19"/>
          <w:szCs w:val="19"/>
        </w:rPr>
        <w:t>constitutional</w:t>
      </w:r>
      <w:r>
        <w:t xml:space="preserve"> principle, primary legislation enacted by Parliament usually prevails over secondary legislation made by the executive government.</w:t>
      </w:r>
    </w:p>
    <w:p w14:paraId="5223C7F3" w14:textId="462FA282" w:rsidR="00E1280B" w:rsidRDefault="00E1280B">
      <w:pPr>
        <w:pStyle w:val="ListNumber"/>
        <w:rPr>
          <w:shd w:val="clear" w:color="auto" w:fill="FFFFFF"/>
        </w:rPr>
      </w:pPr>
      <w:r>
        <w:rPr>
          <w:shd w:val="clear" w:color="auto" w:fill="FFFFFF"/>
        </w:rPr>
        <w:t>O</w:t>
      </w:r>
      <w:r w:rsidRPr="00F21F36">
        <w:rPr>
          <w:shd w:val="clear" w:color="auto" w:fill="FFFFFF"/>
        </w:rPr>
        <w:t xml:space="preserve">rders made </w:t>
      </w:r>
      <w:r w:rsidRPr="00E1280B">
        <w:rPr>
          <w:rFonts w:eastAsia="Metropolis Light" w:cs="Metropolis Light"/>
          <w:color w:val="231F20"/>
          <w:sz w:val="19"/>
          <w:szCs w:val="19"/>
        </w:rPr>
        <w:t>under</w:t>
      </w:r>
      <w:r w:rsidRPr="00F21F36">
        <w:rPr>
          <w:shd w:val="clear" w:color="auto" w:fill="FFFFFF"/>
        </w:rPr>
        <w:t xml:space="preserve"> delegated power conferred </w:t>
      </w:r>
      <w:r>
        <w:rPr>
          <w:shd w:val="clear" w:color="auto" w:fill="FFFFFF"/>
        </w:rPr>
        <w:t xml:space="preserve">on the executive </w:t>
      </w:r>
      <w:r w:rsidRPr="00F21F36">
        <w:rPr>
          <w:shd w:val="clear" w:color="auto" w:fill="FFFFFF"/>
        </w:rPr>
        <w:t xml:space="preserve">in emergency legislation should have the status of secondary legislation and be subject to the </w:t>
      </w:r>
      <w:r>
        <w:rPr>
          <w:shd w:val="clear" w:color="auto" w:fill="FFFFFF"/>
        </w:rPr>
        <w:t>same minimum</w:t>
      </w:r>
      <w:r w:rsidRPr="00F21F36">
        <w:rPr>
          <w:shd w:val="clear" w:color="auto" w:fill="FFFFFF"/>
        </w:rPr>
        <w:t xml:space="preserve"> checks and balances as secondary legislation more generally (such as publication requirements and the availability of regulatory disallowance procedures)</w:t>
      </w:r>
      <w:r>
        <w:rPr>
          <w:shd w:val="clear" w:color="auto" w:fill="FFFFFF"/>
        </w:rPr>
        <w:t>.</w:t>
      </w:r>
    </w:p>
    <w:p w14:paraId="2C732AAF" w14:textId="6929D14A" w:rsidR="00E1280B" w:rsidRDefault="00E1280B">
      <w:pPr>
        <w:pStyle w:val="ListNumber"/>
        <w:rPr>
          <w:shd w:val="clear" w:color="auto" w:fill="FFFFFF"/>
        </w:rPr>
      </w:pPr>
      <w:r>
        <w:rPr>
          <w:shd w:val="clear" w:color="auto" w:fill="FFFFFF"/>
        </w:rPr>
        <w:t>Additional measures for control and supervision of such orders should be calibrated according to:</w:t>
      </w:r>
    </w:p>
    <w:p w14:paraId="59395171" w14:textId="044EFB8C" w:rsidR="00E1280B" w:rsidRPr="00420F70" w:rsidRDefault="00452339" w:rsidP="00556B28">
      <w:pPr>
        <w:pStyle w:val="BodyTextalphalist"/>
        <w:numPr>
          <w:ilvl w:val="2"/>
          <w:numId w:val="10"/>
        </w:numPr>
        <w:ind w:hanging="567"/>
      </w:pPr>
      <w:r>
        <w:t>h</w:t>
      </w:r>
      <w:r w:rsidR="00E1280B" w:rsidRPr="00420F70">
        <w:t>ow much negative impact the orders are likely to have on the daily life and businesses of the population as a whole (including the extent to which they are likely to restrict protected rights and liberties</w:t>
      </w:r>
      <w:proofErr w:type="gramStart"/>
      <w:r w:rsidR="00E1280B" w:rsidRPr="00420F70">
        <w:t>);</w:t>
      </w:r>
      <w:proofErr w:type="gramEnd"/>
    </w:p>
    <w:p w14:paraId="06F63C0A" w14:textId="6514E068" w:rsidR="00E1280B" w:rsidRPr="00420F70" w:rsidRDefault="00452339">
      <w:pPr>
        <w:pStyle w:val="BodyTextalphalist"/>
        <w:ind w:hanging="567"/>
      </w:pPr>
      <w:r>
        <w:t>h</w:t>
      </w:r>
      <w:r w:rsidR="00E1280B" w:rsidRPr="00420F70">
        <w:t xml:space="preserve">ow much negative impact the orders are likely to have on particular sectors of the </w:t>
      </w:r>
      <w:proofErr w:type="gramStart"/>
      <w:r w:rsidR="00E1280B" w:rsidRPr="00420F70">
        <w:t>population;</w:t>
      </w:r>
      <w:proofErr w:type="gramEnd"/>
    </w:p>
    <w:p w14:paraId="2F69F2E6" w14:textId="6CF1D89C" w:rsidR="00E1280B" w:rsidRPr="00420F70" w:rsidRDefault="00452339">
      <w:pPr>
        <w:pStyle w:val="BodyTextalphalist"/>
        <w:ind w:hanging="567"/>
      </w:pPr>
      <w:r>
        <w:t>h</w:t>
      </w:r>
      <w:r w:rsidR="00E1280B" w:rsidRPr="00420F70">
        <w:t xml:space="preserve">ow much negative impact the orders are likely to have on </w:t>
      </w:r>
      <w:proofErr w:type="gramStart"/>
      <w:r w:rsidR="00E1280B" w:rsidRPr="00420F70">
        <w:t>Māori;</w:t>
      </w:r>
      <w:proofErr w:type="gramEnd"/>
    </w:p>
    <w:p w14:paraId="0E981BED" w14:textId="00F2D9C8" w:rsidR="00E1280B" w:rsidRPr="00420F70" w:rsidRDefault="00452339">
      <w:pPr>
        <w:pStyle w:val="BodyTextalphalist"/>
        <w:ind w:hanging="567"/>
      </w:pPr>
      <w:r>
        <w:t>h</w:t>
      </w:r>
      <w:r w:rsidR="00E1280B" w:rsidRPr="00420F70">
        <w:t xml:space="preserve">ow much public input has been possible in </w:t>
      </w:r>
      <w:r>
        <w:t xml:space="preserve">the </w:t>
      </w:r>
      <w:r w:rsidR="00E1280B" w:rsidRPr="00420F70">
        <w:t xml:space="preserve">making of the primary legislation under which the orders have been </w:t>
      </w:r>
      <w:proofErr w:type="gramStart"/>
      <w:r w:rsidR="00E1280B" w:rsidRPr="00420F70">
        <w:t>made;</w:t>
      </w:r>
      <w:proofErr w:type="gramEnd"/>
    </w:p>
    <w:p w14:paraId="7C7419AD" w14:textId="7F999090" w:rsidR="00E1280B" w:rsidRPr="00420F70" w:rsidRDefault="00452339">
      <w:pPr>
        <w:pStyle w:val="BodyTextalphalist"/>
        <w:ind w:hanging="567"/>
      </w:pPr>
      <w:r>
        <w:t>h</w:t>
      </w:r>
      <w:r w:rsidR="00E1280B" w:rsidRPr="00420F70">
        <w:t xml:space="preserve">ow much </w:t>
      </w:r>
      <w:r w:rsidR="00FA7F6C">
        <w:t>p</w:t>
      </w:r>
      <w:r w:rsidR="00E1280B" w:rsidRPr="00420F70">
        <w:t xml:space="preserve">arliamentary input has been possible into the primary legislation and draft </w:t>
      </w:r>
      <w:proofErr w:type="gramStart"/>
      <w:r w:rsidR="00E1280B" w:rsidRPr="00420F70">
        <w:t>orders;</w:t>
      </w:r>
      <w:proofErr w:type="gramEnd"/>
    </w:p>
    <w:p w14:paraId="0D0A0619" w14:textId="414BEC62" w:rsidR="00E1280B" w:rsidRPr="00420F70" w:rsidRDefault="00452339">
      <w:pPr>
        <w:pStyle w:val="BodyTextalphalist"/>
        <w:ind w:hanging="567"/>
      </w:pPr>
      <w:r>
        <w:t>t</w:t>
      </w:r>
      <w:r w:rsidR="00E1280B" w:rsidRPr="00420F70">
        <w:t>he likely duration of the emergency;</w:t>
      </w:r>
      <w:r>
        <w:t xml:space="preserve"> and</w:t>
      </w:r>
    </w:p>
    <w:p w14:paraId="5498B77C" w14:textId="18B84B96" w:rsidR="00E1280B" w:rsidRDefault="00452339">
      <w:pPr>
        <w:pStyle w:val="BodyTextalphalist"/>
        <w:ind w:hanging="567"/>
        <w:rPr>
          <w:shd w:val="clear" w:color="auto" w:fill="FFFFFF"/>
        </w:rPr>
      </w:pPr>
      <w:r>
        <w:t>w</w:t>
      </w:r>
      <w:r w:rsidR="00E1280B" w:rsidRPr="00420F70">
        <w:t>hether the orders</w:t>
      </w:r>
      <w:r w:rsidR="00E1280B">
        <w:rPr>
          <w:shd w:val="clear" w:color="auto" w:fill="FFFFFF"/>
        </w:rPr>
        <w:t xml:space="preserve"> modify statutes passed by Parliament</w:t>
      </w:r>
      <w:r w:rsidR="00420F70">
        <w:rPr>
          <w:shd w:val="clear" w:color="auto" w:fill="FFFFFF"/>
        </w:rPr>
        <w:t>.</w:t>
      </w:r>
    </w:p>
    <w:p w14:paraId="560FC2B1" w14:textId="7138871D" w:rsidR="00E1280B" w:rsidRDefault="00E1280B">
      <w:pPr>
        <w:pStyle w:val="ListNumber"/>
        <w:rPr>
          <w:shd w:val="clear" w:color="auto" w:fill="FFFFFF"/>
        </w:rPr>
      </w:pPr>
      <w:r>
        <w:rPr>
          <w:shd w:val="clear" w:color="auto" w:fill="FFFFFF"/>
        </w:rPr>
        <w:t>In circumstances in which there is great public impact and low public and parliamentary input, additional opportunities for scrutiny of orders should be considered, such as:</w:t>
      </w:r>
    </w:p>
    <w:p w14:paraId="35ACF471" w14:textId="20A46AA2" w:rsidR="00E1280B" w:rsidRPr="00420F70" w:rsidRDefault="00452339" w:rsidP="00556B28">
      <w:pPr>
        <w:pStyle w:val="BodyTextalphalist"/>
        <w:numPr>
          <w:ilvl w:val="2"/>
          <w:numId w:val="11"/>
        </w:numPr>
        <w:ind w:hanging="567"/>
      </w:pPr>
      <w:r>
        <w:rPr>
          <w:shd w:val="clear" w:color="auto" w:fill="FFFFFF"/>
        </w:rPr>
        <w:t>a</w:t>
      </w:r>
      <w:r w:rsidR="00E1280B" w:rsidRPr="00420F70">
        <w:rPr>
          <w:shd w:val="clear" w:color="auto" w:fill="FFFFFF"/>
        </w:rPr>
        <w:t xml:space="preserve"> </w:t>
      </w:r>
      <w:r w:rsidR="00E1280B" w:rsidRPr="00420F70">
        <w:t xml:space="preserve">requirement to publish a justification of why an order is necessary, its effect on protected rights and </w:t>
      </w:r>
      <w:proofErr w:type="spellStart"/>
      <w:r w:rsidR="005A4822">
        <w:t>te</w:t>
      </w:r>
      <w:proofErr w:type="spellEnd"/>
      <w:r w:rsidR="00E1280B" w:rsidRPr="00420F70">
        <w:t xml:space="preserve"> </w:t>
      </w:r>
      <w:proofErr w:type="spellStart"/>
      <w:r w:rsidR="00E1280B" w:rsidRPr="00420F70">
        <w:t>Tiriti</w:t>
      </w:r>
      <w:proofErr w:type="spellEnd"/>
      <w:r w:rsidR="00E1280B" w:rsidRPr="00420F70">
        <w:t xml:space="preserve"> o Waitangi and the advice on which the Minister relied within 7 days of its </w:t>
      </w:r>
      <w:proofErr w:type="gramStart"/>
      <w:r w:rsidR="00E1280B" w:rsidRPr="00420F70">
        <w:t>making;</w:t>
      </w:r>
      <w:proofErr w:type="gramEnd"/>
    </w:p>
    <w:p w14:paraId="472A725C" w14:textId="5E9B8F82" w:rsidR="00E1280B" w:rsidRPr="00420F70" w:rsidRDefault="00452339">
      <w:pPr>
        <w:pStyle w:val="BodyTextalphalist"/>
        <w:ind w:hanging="567"/>
      </w:pPr>
      <w:r>
        <w:t>a</w:t>
      </w:r>
      <w:r w:rsidR="00E1280B" w:rsidRPr="00420F70">
        <w:t xml:space="preserve"> requirement that the House affirm the order within a stated </w:t>
      </w:r>
      <w:proofErr w:type="gramStart"/>
      <w:r w:rsidR="00E1280B" w:rsidRPr="00420F70">
        <w:t>period;</w:t>
      </w:r>
      <w:proofErr w:type="gramEnd"/>
    </w:p>
    <w:p w14:paraId="42720F0F" w14:textId="10DD5315" w:rsidR="00E1280B" w:rsidRPr="00420F70" w:rsidRDefault="00452339">
      <w:pPr>
        <w:pStyle w:val="BodyTextalphalist"/>
        <w:ind w:hanging="567"/>
      </w:pPr>
      <w:r>
        <w:t>s</w:t>
      </w:r>
      <w:r w:rsidR="00E1280B" w:rsidRPr="00420F70">
        <w:t xml:space="preserve">crutiny by a standing body of </w:t>
      </w:r>
      <w:proofErr w:type="gramStart"/>
      <w:r w:rsidR="00E1280B" w:rsidRPr="00420F70">
        <w:t>experts;</w:t>
      </w:r>
      <w:proofErr w:type="gramEnd"/>
    </w:p>
    <w:p w14:paraId="2CB891E9" w14:textId="15C912D7" w:rsidR="00E1280B" w:rsidRPr="00420F70" w:rsidRDefault="00452339">
      <w:pPr>
        <w:pStyle w:val="BodyTextalphalist"/>
        <w:ind w:hanging="567"/>
      </w:pPr>
      <w:r>
        <w:t>s</w:t>
      </w:r>
      <w:r w:rsidR="00E1280B" w:rsidRPr="00420F70">
        <w:t xml:space="preserve">crutiny by a body of community </w:t>
      </w:r>
      <w:proofErr w:type="gramStart"/>
      <w:r w:rsidR="00E1280B" w:rsidRPr="00420F70">
        <w:t>representatives;</w:t>
      </w:r>
      <w:proofErr w:type="gramEnd"/>
      <w:r w:rsidR="00E1280B" w:rsidRPr="00420F70">
        <w:t xml:space="preserve"> </w:t>
      </w:r>
    </w:p>
    <w:p w14:paraId="3FC25ADB" w14:textId="5DE47D26" w:rsidR="00E1280B" w:rsidRPr="00420F70" w:rsidRDefault="00452339">
      <w:pPr>
        <w:pStyle w:val="BodyTextalphalist"/>
        <w:ind w:hanging="567"/>
      </w:pPr>
      <w:r>
        <w:t>s</w:t>
      </w:r>
      <w:r w:rsidR="00E1280B" w:rsidRPr="00420F70">
        <w:t>crutiny by a standing body of Māori representatives;</w:t>
      </w:r>
      <w:r w:rsidR="004F2CB0">
        <w:t xml:space="preserve"> and</w:t>
      </w:r>
    </w:p>
    <w:p w14:paraId="1E245AC7" w14:textId="21A1F9BE" w:rsidR="00E1280B" w:rsidRDefault="00452339">
      <w:pPr>
        <w:pStyle w:val="BodyTextalphalist"/>
        <w:ind w:hanging="567"/>
        <w:rPr>
          <w:shd w:val="clear" w:color="auto" w:fill="FFFFFF"/>
        </w:rPr>
      </w:pPr>
      <w:r>
        <w:t>s</w:t>
      </w:r>
      <w:r w:rsidR="00E1280B" w:rsidRPr="00420F70">
        <w:t>trict time limits on the duration</w:t>
      </w:r>
      <w:r w:rsidR="00E1280B">
        <w:rPr>
          <w:shd w:val="clear" w:color="auto" w:fill="FFFFFF"/>
        </w:rPr>
        <w:t xml:space="preserve"> of the order.</w:t>
      </w:r>
    </w:p>
    <w:p w14:paraId="257DC7A6" w14:textId="58446365" w:rsidR="00E1280B" w:rsidRPr="00E52F6E" w:rsidRDefault="00E1280B" w:rsidP="0059109B">
      <w:pPr>
        <w:pStyle w:val="Heading4"/>
        <w:rPr>
          <w:shd w:val="clear" w:color="auto" w:fill="FFFFFF"/>
        </w:rPr>
      </w:pPr>
      <w:r w:rsidRPr="00E52F6E">
        <w:rPr>
          <w:shd w:val="clear" w:color="auto" w:fill="FFFFFF"/>
        </w:rPr>
        <w:lastRenderedPageBreak/>
        <w:t>Regulations</w:t>
      </w:r>
      <w:r>
        <w:rPr>
          <w:shd w:val="clear" w:color="auto" w:fill="FFFFFF"/>
        </w:rPr>
        <w:t xml:space="preserve"> </w:t>
      </w:r>
      <w:r w:rsidR="004F2CB0">
        <w:rPr>
          <w:shd w:val="clear" w:color="auto" w:fill="FFFFFF"/>
        </w:rPr>
        <w:t>that</w:t>
      </w:r>
      <w:r w:rsidR="004F2CB0" w:rsidRPr="00E52F6E">
        <w:rPr>
          <w:shd w:val="clear" w:color="auto" w:fill="FFFFFF"/>
        </w:rPr>
        <w:t xml:space="preserve"> </w:t>
      </w:r>
      <w:r w:rsidRPr="00E52F6E">
        <w:rPr>
          <w:shd w:val="clear" w:color="auto" w:fill="FFFFFF"/>
        </w:rPr>
        <w:t>modify statutes</w:t>
      </w:r>
    </w:p>
    <w:p w14:paraId="6560E6DF" w14:textId="466218B6" w:rsidR="00E1280B" w:rsidRDefault="00E1280B">
      <w:pPr>
        <w:pStyle w:val="ListNumber"/>
      </w:pPr>
      <w:r>
        <w:t xml:space="preserve">Earlier </w:t>
      </w:r>
      <w:r w:rsidRPr="00420F70">
        <w:rPr>
          <w:shd w:val="clear" w:color="auto" w:fill="FFFFFF"/>
        </w:rPr>
        <w:t>modifications</w:t>
      </w:r>
      <w:r>
        <w:t xml:space="preserve"> to statutes by regulations required in response to past earthquakes and during the C</w:t>
      </w:r>
      <w:r w:rsidR="0061070F">
        <w:rPr>
          <w:rFonts w:eastAsia="Metropolis Light" w:cs="Metropolis Light"/>
          <w:szCs w:val="20"/>
        </w:rPr>
        <w:t>OVID</w:t>
      </w:r>
      <w:r>
        <w:t>-19 pandemic should be considered for inclusion in standing rules to be triggered by a declaration of emergency or epidemic notice.</w:t>
      </w:r>
    </w:p>
    <w:p w14:paraId="1849CC19" w14:textId="77777777" w:rsidR="00E1280B" w:rsidRDefault="00E1280B">
      <w:pPr>
        <w:pStyle w:val="ListNumber"/>
      </w:pPr>
      <w:r w:rsidRPr="00420F70">
        <w:rPr>
          <w:shd w:val="clear" w:color="auto" w:fill="FFFFFF"/>
        </w:rPr>
        <w:t>Where</w:t>
      </w:r>
      <w:r>
        <w:t xml:space="preserve"> necessary, bespoke legislation should include a non-exhaustive positive list of statutes that can be modified by regulation. The list should be able to be added to “if necessary” together with a requirement of reasons. </w:t>
      </w:r>
    </w:p>
    <w:p w14:paraId="1F9EE4E4" w14:textId="213DBD18" w:rsidR="00E1280B" w:rsidRDefault="00E1280B">
      <w:pPr>
        <w:pStyle w:val="ListNumber"/>
        <w:rPr>
          <w:rFonts w:eastAsia="Metropolis Light" w:cs="Metropolis Light"/>
          <w:sz w:val="19"/>
          <w:szCs w:val="19"/>
        </w:rPr>
      </w:pPr>
      <w:r w:rsidRPr="00420F70">
        <w:rPr>
          <w:shd w:val="clear" w:color="auto" w:fill="FFFFFF"/>
        </w:rPr>
        <w:t>Ideally</w:t>
      </w:r>
      <w:r w:rsidR="004F2CB0">
        <w:rPr>
          <w:shd w:val="clear" w:color="auto" w:fill="FFFFFF"/>
        </w:rPr>
        <w:t>,</w:t>
      </w:r>
      <w:r>
        <w:t xml:space="preserve"> modifications to statutes by regulation should only be authorised in rare cases in which they are </w:t>
      </w:r>
      <w:r w:rsidR="004F2CB0">
        <w:t>“</w:t>
      </w:r>
      <w:r>
        <w:t xml:space="preserve">likely to be necessary” (rather than “necessary or desirable” or </w:t>
      </w:r>
      <w:r w:rsidR="004F2CB0">
        <w:t>“</w:t>
      </w:r>
      <w:r>
        <w:t>expedient”). At the very least</w:t>
      </w:r>
      <w:r w:rsidR="004F2CB0">
        <w:t>,</w:t>
      </w:r>
      <w:r>
        <w:t xml:space="preserve"> the statute should spell out the purposes for which modifications can be made. Modifications of legislative requirements </w:t>
      </w:r>
      <w:r w:rsidR="004F2CB0">
        <w:t xml:space="preserve">that </w:t>
      </w:r>
      <w:r>
        <w:t xml:space="preserve">have as their object to ensure that individuals </w:t>
      </w:r>
      <w:proofErr w:type="gramStart"/>
      <w:r>
        <w:t>are able to</w:t>
      </w:r>
      <w:proofErr w:type="gramEnd"/>
      <w:r>
        <w:t xml:space="preserve"> obey the law when they would otherwise have no option but to be in breach of the law because of emergency measures support the rule of law. Other reasons for the modification of statutes by regulations</w:t>
      </w:r>
      <w:r w:rsidR="004F2CB0">
        <w:t>, for example,</w:t>
      </w:r>
      <w:r w:rsidR="004F2CB0" w:rsidDel="004F2CB0">
        <w:t xml:space="preserve"> </w:t>
      </w:r>
      <w:r>
        <w:t>for the purposes of administrative convenience or redeployment of personnel</w:t>
      </w:r>
      <w:r w:rsidR="004F2CB0">
        <w:t>,</w:t>
      </w:r>
      <w:r>
        <w:t xml:space="preserve"> should require much more by way of justification and supervision.</w:t>
      </w:r>
    </w:p>
    <w:p w14:paraId="57C095FF" w14:textId="77777777" w:rsidR="000310D4" w:rsidRDefault="000310D4" w:rsidP="0059109B">
      <w:pPr>
        <w:pStyle w:val="Heading3"/>
      </w:pPr>
      <w:bookmarkStart w:id="17" w:name="_Toc117063091"/>
      <w:bookmarkStart w:id="18" w:name="_Toc117063704"/>
      <w:bookmarkStart w:id="19" w:name="_Toc118119283"/>
      <w:r>
        <w:t>Part Three</w:t>
      </w:r>
      <w:bookmarkEnd w:id="17"/>
      <w:bookmarkEnd w:id="18"/>
      <w:bookmarkEnd w:id="19"/>
    </w:p>
    <w:p w14:paraId="504D6679" w14:textId="77777777" w:rsidR="000310D4" w:rsidRDefault="000310D4" w:rsidP="0059109B">
      <w:pPr>
        <w:pStyle w:val="Heading4"/>
      </w:pPr>
      <w:r>
        <w:t>Suggested changes to the standing regime for emergencies</w:t>
      </w:r>
    </w:p>
    <w:p w14:paraId="5CF7C3CB" w14:textId="588C0D2C" w:rsidR="000310D4" w:rsidRDefault="000310D4">
      <w:pPr>
        <w:pStyle w:val="ListNumber"/>
      </w:pPr>
      <w:r>
        <w:t xml:space="preserve">It would be both possible and desirable to enact more emergency rules in primary legislation, with full public input, subject to well-calibrated protections and legal tests to ensure they are triggered by a genuine emergency and that they become dormant again once the emergency </w:t>
      </w:r>
      <w:r w:rsidR="004F2CB0">
        <w:t>has</w:t>
      </w:r>
      <w:r>
        <w:t xml:space="preserve"> passed. It is likely that the need for bespoke legislation will never completely go away, but we ought not to be as reliant on it as we have been. </w:t>
      </w:r>
    </w:p>
    <w:p w14:paraId="4E1F6693" w14:textId="0FE22774" w:rsidR="000310D4" w:rsidRDefault="000310D4">
      <w:pPr>
        <w:pStyle w:val="ListNumber"/>
      </w:pPr>
      <w:r>
        <w:t>The standing regime for emergencies should be designed to be time-limited so that emergency powers cease when a state of emergency (and its transition period) ends.</w:t>
      </w:r>
      <w:r w:rsidR="009E3B04">
        <w:t xml:space="preserve"> </w:t>
      </w:r>
      <w:r>
        <w:t>In certain cases</w:t>
      </w:r>
      <w:r w:rsidR="0039021E">
        <w:t>,</w:t>
      </w:r>
      <w:r>
        <w:t xml:space="preserve"> it may be necessary to confer powers on officials to act immediately for a short period in advance of a formal state of emergency being declared. </w:t>
      </w:r>
    </w:p>
    <w:p w14:paraId="454A961B" w14:textId="72105824" w:rsidR="000310D4" w:rsidRDefault="000310D4" w:rsidP="0059109B">
      <w:pPr>
        <w:pStyle w:val="Heading4"/>
      </w:pPr>
      <w:r>
        <w:t xml:space="preserve">Relationship </w:t>
      </w:r>
      <w:r w:rsidR="0039021E">
        <w:t>b</w:t>
      </w:r>
      <w:r>
        <w:t>etween the Civil Defence Emergency Management Act</w:t>
      </w:r>
      <w:r w:rsidR="0039021E">
        <w:t xml:space="preserve"> 2002 (CDEM Act)</w:t>
      </w:r>
      <w:r>
        <w:t xml:space="preserve"> and other emergency powers</w:t>
      </w:r>
    </w:p>
    <w:p w14:paraId="556F1F26" w14:textId="1DA3AB81" w:rsidR="000310D4" w:rsidRDefault="000310D4">
      <w:pPr>
        <w:pStyle w:val="ListNumber"/>
      </w:pPr>
      <w:r>
        <w:t xml:space="preserve">The relationship between the CDEM Act and the declaration of emergency processes it sets out and </w:t>
      </w:r>
      <w:r w:rsidR="0075740A">
        <w:t xml:space="preserve">the </w:t>
      </w:r>
      <w:r>
        <w:t xml:space="preserve">emergency powers in separate statutes is varied and complicated and could benefit from further consideration and greater consistency or justification. </w:t>
      </w:r>
      <w:proofErr w:type="gramStart"/>
      <w:r>
        <w:t>Are</w:t>
      </w:r>
      <w:proofErr w:type="gramEnd"/>
      <w:r>
        <w:t xml:space="preserve"> the sector-specific declaration of emergency regimes intended to be used for ordinary or intermediate emergencies or are they intended to unlock powers in advance of serious emergencies being declared under the CDEM Act or both? </w:t>
      </w:r>
    </w:p>
    <w:p w14:paraId="753A6343" w14:textId="77777777" w:rsidR="000310D4" w:rsidRDefault="000310D4" w:rsidP="0059109B">
      <w:pPr>
        <w:pStyle w:val="Heading4"/>
      </w:pPr>
      <w:r>
        <w:t>Powers in a pandemic</w:t>
      </w:r>
    </w:p>
    <w:p w14:paraId="5BFEFAA6" w14:textId="05F9A18F" w:rsidR="000310D4" w:rsidRDefault="000310D4">
      <w:pPr>
        <w:pStyle w:val="ListNumber"/>
      </w:pPr>
      <w:r>
        <w:t>The exercise of the more</w:t>
      </w:r>
      <w:r w:rsidR="0075740A">
        <w:t>-</w:t>
      </w:r>
      <w:r>
        <w:t xml:space="preserve">routine public health powers relating to specified individuals and places should continue to be triggered by the Minister of Health on the advice of local </w:t>
      </w:r>
      <w:r w:rsidR="00843000">
        <w:t>m</w:t>
      </w:r>
      <w:r>
        <w:t xml:space="preserve">edical </w:t>
      </w:r>
      <w:r w:rsidR="00843000">
        <w:t>o</w:t>
      </w:r>
      <w:r>
        <w:t xml:space="preserve">fficers of </w:t>
      </w:r>
      <w:r w:rsidR="00843000">
        <w:t>h</w:t>
      </w:r>
      <w:r>
        <w:t xml:space="preserve">ealth. Consideration should also be given to whether it may be appropriate to confer further powers directly on medical officers of health to act immediately and for a limited time in relation to identified threats to public health including for a limited period in advance of powers being formally triggered. </w:t>
      </w:r>
    </w:p>
    <w:p w14:paraId="119A33F2" w14:textId="3E87A3AC" w:rsidR="000310D4" w:rsidRDefault="000310D4">
      <w:pPr>
        <w:pStyle w:val="ListNumber"/>
      </w:pPr>
      <w:r>
        <w:lastRenderedPageBreak/>
        <w:t xml:space="preserve">There should be a separate regime for powers to regulate health emergencies </w:t>
      </w:r>
      <w:r w:rsidR="00203FAA">
        <w:t xml:space="preserve">that </w:t>
      </w:r>
      <w:r>
        <w:t xml:space="preserve">affect whole populations (whether local or national). </w:t>
      </w:r>
    </w:p>
    <w:p w14:paraId="7582686E" w14:textId="77777777" w:rsidR="000310D4" w:rsidRDefault="000310D4">
      <w:pPr>
        <w:pStyle w:val="ListNumber"/>
      </w:pPr>
      <w:r>
        <w:t>The exercise of powers in relation to the whole population or parts of the population should be triggered by the issue of an epidemic notice either by the Prime Minister acting in consultation with the Minister of Health on public health advice or the Governor-General in Council acting on public health advice.</w:t>
      </w:r>
    </w:p>
    <w:p w14:paraId="77235397" w14:textId="2FEC7525" w:rsidR="000310D4" w:rsidRDefault="000310D4">
      <w:pPr>
        <w:pStyle w:val="ListNumber"/>
      </w:pPr>
      <w:r>
        <w:t xml:space="preserve">Powers over the whole or parts of the population should </w:t>
      </w:r>
      <w:proofErr w:type="gramStart"/>
      <w:r>
        <w:t>still continue</w:t>
      </w:r>
      <w:proofErr w:type="gramEnd"/>
      <w:r>
        <w:t xml:space="preserve"> to be able to be triggered by the Minister </w:t>
      </w:r>
      <w:r w:rsidR="00D34A4A">
        <w:t>for Emergency Management</w:t>
      </w:r>
      <w:r>
        <w:t xml:space="preserve"> under the CDEM Act in order to activate its notification requirements and time-limits. </w:t>
      </w:r>
    </w:p>
    <w:p w14:paraId="48FE8668" w14:textId="21E5ACE6" w:rsidR="000310D4" w:rsidRDefault="00FD168E">
      <w:pPr>
        <w:pStyle w:val="ListNumber"/>
      </w:pPr>
      <w:r>
        <w:t>T</w:t>
      </w:r>
      <w:r w:rsidR="000310D4">
        <w:t>here should be a reference in the Health</w:t>
      </w:r>
      <w:r w:rsidR="00947680">
        <w:t xml:space="preserve"> Act 1956</w:t>
      </w:r>
      <w:r w:rsidR="000310D4">
        <w:t xml:space="preserve"> and Epidemic Preparedness Act</w:t>
      </w:r>
      <w:r w:rsidR="00947680">
        <w:t xml:space="preserve"> 2006</w:t>
      </w:r>
      <w:r w:rsidR="000310D4">
        <w:t xml:space="preserve"> (and not just the CDEM Act) to the need to take a precautionary approach.</w:t>
      </w:r>
    </w:p>
    <w:p w14:paraId="5ECF58E8" w14:textId="4C945CAE" w:rsidR="000310D4" w:rsidRDefault="000310D4">
      <w:pPr>
        <w:pStyle w:val="ListNumber"/>
      </w:pPr>
      <w:r>
        <w:t>The Health Act s 117 confers broad powers to make regulations with little by way of protection in terms of their purpose and without any requirement of a triggering event. The s</w:t>
      </w:r>
      <w:r w:rsidR="00006DE1">
        <w:t xml:space="preserve"> </w:t>
      </w:r>
      <w:r>
        <w:t>117 powers significantly overlap with the powers to make orders under s 70 (for example</w:t>
      </w:r>
      <w:r w:rsidR="00006DE1">
        <w:t>,</w:t>
      </w:r>
      <w:r>
        <w:t xml:space="preserve"> the powers to restrict public gatherings and to isolate persons). It would be helpful to identify in the Health Act when ordinary regulation-making powers are contemplated and for which purposes</w:t>
      </w:r>
      <w:r w:rsidR="00006DE1">
        <w:t xml:space="preserve"> </w:t>
      </w:r>
      <w:r>
        <w:t>– or alternatively to align the two regimes as much as possible.</w:t>
      </w:r>
    </w:p>
    <w:p w14:paraId="3D8CA748" w14:textId="7F368E72" w:rsidR="000310D4" w:rsidRDefault="000310D4">
      <w:pPr>
        <w:pStyle w:val="ListNumber"/>
      </w:pPr>
      <w:r>
        <w:t>Powers to make orders over parts or the whole of the population under the Health Act should be conferred on the officials who hold political responsibility for their exercise rather than public servants. National orders should be made by the Prime Minister or Governor-General in Council having regard to public health advice (indicat</w:t>
      </w:r>
      <w:r w:rsidR="00006DE1">
        <w:t>ing</w:t>
      </w:r>
      <w:r>
        <w:t xml:space="preserve"> that a range of other advice will be relevant but without specifying exactly which Ministers </w:t>
      </w:r>
      <w:proofErr w:type="gramStart"/>
      <w:r>
        <w:t>have to</w:t>
      </w:r>
      <w:proofErr w:type="gramEnd"/>
      <w:r>
        <w:t xml:space="preserve"> be involved</w:t>
      </w:r>
      <w:r w:rsidR="00652A18">
        <w:t>)</w:t>
      </w:r>
      <w:r w:rsidR="00074008">
        <w:t xml:space="preserve">. </w:t>
      </w:r>
      <w:r>
        <w:t>Geographically bounded orders (which could include lockdowns of major cities) should be made by the politically responsible Minister of Health on public health advice.</w:t>
      </w:r>
    </w:p>
    <w:p w14:paraId="3919F9C8" w14:textId="4849699D" w:rsidR="000310D4" w:rsidRDefault="000310D4">
      <w:pPr>
        <w:pStyle w:val="ListNumber"/>
      </w:pPr>
      <w:r>
        <w:t xml:space="preserve">Powers to regulate essential services and supply chains in a pandemic should be conferred on the Minister responsible for </w:t>
      </w:r>
      <w:r w:rsidR="00006DE1">
        <w:t>c</w:t>
      </w:r>
      <w:r>
        <w:t xml:space="preserve">ommerce having regard to public health advice. </w:t>
      </w:r>
    </w:p>
    <w:p w14:paraId="1F63F5AE" w14:textId="706F063C" w:rsidR="000310D4" w:rsidRDefault="000310D4">
      <w:pPr>
        <w:pStyle w:val="ListNumber"/>
      </w:pPr>
      <w:r>
        <w:t xml:space="preserve">The COVID-19 Public Health Response Act 2020 improves on the Health Act in the way in which the powers are expressed and the purposes for which health orders can be made. However, some </w:t>
      </w:r>
      <w:proofErr w:type="gramStart"/>
      <w:r>
        <w:t>particular matters</w:t>
      </w:r>
      <w:proofErr w:type="gramEnd"/>
      <w:r>
        <w:t xml:space="preserve"> identified by the Finance and Expenditure Committee Inquiry into the operation of the COVID-19 Public Health Response Act 2020 need further consideration. These include the incorporation of </w:t>
      </w:r>
      <w:proofErr w:type="spellStart"/>
      <w:r w:rsidR="00AF0F84">
        <w:t>t</w:t>
      </w:r>
      <w:r>
        <w:t>e</w:t>
      </w:r>
      <w:proofErr w:type="spellEnd"/>
      <w:r>
        <w:t xml:space="preserve"> </w:t>
      </w:r>
      <w:proofErr w:type="spellStart"/>
      <w:r>
        <w:t>Tiriti</w:t>
      </w:r>
      <w:proofErr w:type="spellEnd"/>
      <w:r>
        <w:t xml:space="preserve"> o Waitangi and principles of tikanga Māori</w:t>
      </w:r>
      <w:r w:rsidR="00F17764">
        <w:t>,</w:t>
      </w:r>
      <w:r>
        <w:t xml:space="preserve"> ensuring that contact tracing rules comply with privacy principles and the authorisation of other officials to enforce orders made under the Health Act. Added to the list should be the potential effect of pandemic orders on religious freedom. Other control devices should be considered (as mentioned above) including:</w:t>
      </w:r>
    </w:p>
    <w:p w14:paraId="58D4D7CC" w14:textId="6BBCEBBF" w:rsidR="000310D4" w:rsidRDefault="00F17764" w:rsidP="00CC3ADC">
      <w:pPr>
        <w:pStyle w:val="BodyTextalphalist"/>
        <w:numPr>
          <w:ilvl w:val="2"/>
          <w:numId w:val="12"/>
        </w:numPr>
        <w:ind w:hanging="567"/>
      </w:pPr>
      <w:r>
        <w:t>a</w:t>
      </w:r>
      <w:r w:rsidR="000310D4">
        <w:t xml:space="preserve"> requirement to publish a justification of why an order is necessary, its effect on protected rights and </w:t>
      </w:r>
      <w:proofErr w:type="spellStart"/>
      <w:r w:rsidR="00AF0F84">
        <w:t>te</w:t>
      </w:r>
      <w:proofErr w:type="spellEnd"/>
      <w:r w:rsidR="000310D4">
        <w:t xml:space="preserve"> </w:t>
      </w:r>
      <w:proofErr w:type="spellStart"/>
      <w:r w:rsidR="000310D4">
        <w:t>Tiriti</w:t>
      </w:r>
      <w:proofErr w:type="spellEnd"/>
      <w:r w:rsidR="000310D4">
        <w:t xml:space="preserve"> o Waitangi and the advice on which the Minister relied within 7 days of its </w:t>
      </w:r>
      <w:proofErr w:type="gramStart"/>
      <w:r w:rsidR="000310D4">
        <w:t>making</w:t>
      </w:r>
      <w:r>
        <w:t>;</w:t>
      </w:r>
      <w:proofErr w:type="gramEnd"/>
    </w:p>
    <w:p w14:paraId="786780CD" w14:textId="49AD022F" w:rsidR="000310D4" w:rsidRDefault="00F17764" w:rsidP="00556B28">
      <w:pPr>
        <w:pStyle w:val="BodyTextalphalist"/>
        <w:numPr>
          <w:ilvl w:val="2"/>
          <w:numId w:val="12"/>
        </w:numPr>
        <w:ind w:hanging="567"/>
      </w:pPr>
      <w:r>
        <w:t>a</w:t>
      </w:r>
      <w:r w:rsidR="000310D4">
        <w:t xml:space="preserve"> requirement that the House affirm an order within a stated </w:t>
      </w:r>
      <w:proofErr w:type="gramStart"/>
      <w:r w:rsidR="000310D4">
        <w:t>period;</w:t>
      </w:r>
      <w:proofErr w:type="gramEnd"/>
    </w:p>
    <w:p w14:paraId="35C5348E" w14:textId="0D39B266" w:rsidR="000310D4" w:rsidRDefault="00F17764">
      <w:pPr>
        <w:pStyle w:val="BodyTextalphalist"/>
        <w:ind w:hanging="567"/>
      </w:pPr>
      <w:r>
        <w:t>s</w:t>
      </w:r>
      <w:r w:rsidR="000310D4">
        <w:t xml:space="preserve">crutiny by a standing body of </w:t>
      </w:r>
      <w:proofErr w:type="gramStart"/>
      <w:r w:rsidR="000310D4">
        <w:t>experts;</w:t>
      </w:r>
      <w:proofErr w:type="gramEnd"/>
    </w:p>
    <w:p w14:paraId="697DFDA1" w14:textId="797DA70D" w:rsidR="000310D4" w:rsidRDefault="00F17764">
      <w:pPr>
        <w:pStyle w:val="BodyTextalphalist"/>
        <w:ind w:hanging="567"/>
      </w:pPr>
      <w:r>
        <w:t>s</w:t>
      </w:r>
      <w:r w:rsidR="000310D4">
        <w:t xml:space="preserve">crutiny by a body of community representatives; </w:t>
      </w:r>
      <w:r>
        <w:t>and</w:t>
      </w:r>
    </w:p>
    <w:p w14:paraId="217805B9" w14:textId="647EA02C" w:rsidR="000310D4" w:rsidRDefault="00F17764">
      <w:pPr>
        <w:pStyle w:val="BodyTextalphalist"/>
        <w:ind w:hanging="567"/>
      </w:pPr>
      <w:r>
        <w:t>s</w:t>
      </w:r>
      <w:r w:rsidR="000310D4">
        <w:t xml:space="preserve">crutiny by a standing body of Māori representatives. </w:t>
      </w:r>
    </w:p>
    <w:p w14:paraId="17B6E9A5" w14:textId="18ECCD8D" w:rsidR="000310D4" w:rsidRDefault="000310D4">
      <w:pPr>
        <w:pStyle w:val="ListNumber"/>
      </w:pPr>
      <w:r>
        <w:lastRenderedPageBreak/>
        <w:t xml:space="preserve">The operation of the Epidemic Preparedness Act should be assessed to determine its effectiveness and whether more provisions should be embedded in advance to be activated by the issue of an epidemic notice. The triggering test for issuing an epidemic notice is currently quite onerous. It refers to the directly disrupting effects of the disease itself and not to the indirect effects of measures taken by the government to mitigate the spread or outbreak of a disease. This should be clarified by reference to both direct and indirect effects. </w:t>
      </w:r>
    </w:p>
    <w:p w14:paraId="068DD8A6" w14:textId="0C1E0977" w:rsidR="000310D4" w:rsidRDefault="000310D4">
      <w:pPr>
        <w:pStyle w:val="ListNumber"/>
      </w:pPr>
      <w:r>
        <w:t>The enlistment of other officials for the enforcement of orders under the COVID-19 Public Health Response Act suggests that the enforcement provisions of the Health Act are not necessarily appropriate or sufficiently specialised for the long-</w:t>
      </w:r>
      <w:r w:rsidR="00A42806">
        <w:t>term</w:t>
      </w:r>
      <w:r>
        <w:t xml:space="preserve"> response required in relation to a pandemic emergency. The powers of WorkSafe inspectors, Aviation Security officers and Customs officers could be augmented </w:t>
      </w:r>
      <w:r w:rsidR="005A60C6">
        <w:t xml:space="preserve">in their parent legislation </w:t>
      </w:r>
      <w:r>
        <w:t xml:space="preserve">to be triggered by the issue of an epidemic notice. </w:t>
      </w:r>
    </w:p>
    <w:p w14:paraId="12150259" w14:textId="6A9D6A87" w:rsidR="000310D4" w:rsidRDefault="000310D4">
      <w:pPr>
        <w:pStyle w:val="ListNumber"/>
      </w:pPr>
      <w:r>
        <w:t>The legislature should consider whether s 9 of the Defence Act</w:t>
      </w:r>
      <w:r w:rsidR="00536DD4">
        <w:t xml:space="preserve"> 1990</w:t>
      </w:r>
      <w:r>
        <w:t xml:space="preserve"> should be amended to authorise assistance by the defence forces when an epidemic notice has been given. Ideally, ministerial approval ought to be required</w:t>
      </w:r>
      <w:r w:rsidR="00536DD4">
        <w:t>,</w:t>
      </w:r>
      <w:r>
        <w:t xml:space="preserve"> and limitations on the use of such enforcement powers against the civilian population ought to be included. </w:t>
      </w:r>
      <w:r w:rsidR="005A60C6">
        <w:t>The Defence Forces</w:t>
      </w:r>
      <w:r>
        <w:t xml:space="preserve"> should be acting in support of civilian enforcement officers (such as Police or Customs officers) </w:t>
      </w:r>
      <w:proofErr w:type="gramStart"/>
      <w:r>
        <w:t>if at all possible</w:t>
      </w:r>
      <w:proofErr w:type="gramEnd"/>
      <w:r>
        <w:t>.</w:t>
      </w:r>
    </w:p>
    <w:p w14:paraId="0503A176" w14:textId="77777777" w:rsidR="000310D4" w:rsidRDefault="000310D4" w:rsidP="0059109B">
      <w:pPr>
        <w:pStyle w:val="Heading4"/>
      </w:pPr>
      <w:r>
        <w:t>Parliament and elections</w:t>
      </w:r>
    </w:p>
    <w:p w14:paraId="7755D2E7" w14:textId="29B39DA4" w:rsidR="000310D4" w:rsidRDefault="000310D4">
      <w:pPr>
        <w:pStyle w:val="ListNumber"/>
      </w:pPr>
      <w:r>
        <w:t>Section 18(1) of the Constitution Act 1986 allows the Governor-General to designate where Parliament should meet and</w:t>
      </w:r>
      <w:r w:rsidR="00E65506">
        <w:t>,</w:t>
      </w:r>
      <w:r>
        <w:t xml:space="preserve"> in s 18 (1A)</w:t>
      </w:r>
      <w:r w:rsidR="00E65506">
        <w:t>,</w:t>
      </w:r>
      <w:r>
        <w:t xml:space="preserve"> to change the “place” it meets “if that place is unsafe or uninhabitable”. The provision could be clarified to add “mode of meeting” to make clearer that technical alternatives are also possible. Once Parliament has been convened, the House itself can decide where and how to conduct its business. </w:t>
      </w:r>
    </w:p>
    <w:p w14:paraId="4724371E" w14:textId="73D055C5" w:rsidR="000310D4" w:rsidRDefault="000310D4">
      <w:pPr>
        <w:pStyle w:val="ListNumber"/>
      </w:pPr>
      <w:r>
        <w:t>Further consideration needs to be given to the conduct of elections disrupted by an emergency. Current legislation places an undue burden on the Chief Electoral Officer to make what may be very difficult decisions in very difficult circumstances when an election is disrupted by an emergency. Further consideration should be given to whether the Chief Electoral Officer should be enabled and, in certain circumstances</w:t>
      </w:r>
      <w:r w:rsidR="00E65506">
        <w:t>,</w:t>
      </w:r>
      <w:r>
        <w:t xml:space="preserve"> required to consult the Clerk of the Executive Council and the Chief </w:t>
      </w:r>
      <w:r w:rsidR="00D34A4A">
        <w:t xml:space="preserve">Government </w:t>
      </w:r>
      <w:r>
        <w:t>Statistician.</w:t>
      </w:r>
    </w:p>
    <w:p w14:paraId="2500664A" w14:textId="77777777" w:rsidR="000310D4" w:rsidRDefault="000310D4">
      <w:pPr>
        <w:pStyle w:val="ListNumber"/>
      </w:pPr>
      <w:r>
        <w:t>If an emergency occurs or threatens after Parliament has been dissolved or expired and the electoral writs issued, there should be consideration of whether there should be a power to reconvene the old Parliament to seek a political solution to the disrupted election.</w:t>
      </w:r>
    </w:p>
    <w:p w14:paraId="51230CB2" w14:textId="249F3BF3" w:rsidR="000310D4" w:rsidRDefault="000310D4">
      <w:pPr>
        <w:pStyle w:val="ListNumber"/>
      </w:pPr>
      <w:r>
        <w:t xml:space="preserve">The Cabinet Manual caretaker conventions should address when the caretaker conventions begin </w:t>
      </w:r>
      <w:proofErr w:type="gramStart"/>
      <w:r>
        <w:t>in the event that</w:t>
      </w:r>
      <w:proofErr w:type="gramEnd"/>
      <w:r>
        <w:t xml:space="preserve"> an election is partially or wholly disrupted</w:t>
      </w:r>
      <w:r w:rsidR="004957AE">
        <w:t xml:space="preserve"> by an emergency</w:t>
      </w:r>
      <w:r>
        <w:t>.</w:t>
      </w:r>
    </w:p>
    <w:p w14:paraId="6297544E" w14:textId="77777777" w:rsidR="00815A00" w:rsidRDefault="00815A00" w:rsidP="00815A00">
      <w:pPr>
        <w:pStyle w:val="ListNumber"/>
        <w:numPr>
          <w:ilvl w:val="0"/>
          <w:numId w:val="0"/>
        </w:numPr>
        <w:ind w:left="1134" w:hanging="425"/>
      </w:pPr>
    </w:p>
    <w:p w14:paraId="66BE9577" w14:textId="3D210202" w:rsidR="00815A00" w:rsidRDefault="00815A00" w:rsidP="005213D1">
      <w:pPr>
        <w:pStyle w:val="ListNumber"/>
        <w:numPr>
          <w:ilvl w:val="0"/>
          <w:numId w:val="0"/>
        </w:numPr>
      </w:pPr>
      <w:r>
        <w:rPr>
          <w:noProof/>
        </w:rPr>
        <mc:AlternateContent>
          <mc:Choice Requires="wpg">
            <w:drawing>
              <wp:anchor distT="0" distB="0" distL="114300" distR="114300" simplePos="0" relativeHeight="251658244" behindDoc="1" locked="0" layoutInCell="1" allowOverlap="1" wp14:anchorId="5CF9C742" wp14:editId="5D772FD6">
                <wp:simplePos x="0" y="0"/>
                <wp:positionH relativeFrom="page">
                  <wp:posOffset>1080135</wp:posOffset>
                </wp:positionH>
                <wp:positionV relativeFrom="paragraph">
                  <wp:posOffset>212090</wp:posOffset>
                </wp:positionV>
                <wp:extent cx="1440000" cy="1270"/>
                <wp:effectExtent l="0" t="19050" r="27305" b="17780"/>
                <wp:wrapNone/>
                <wp:docPr id="764519366"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000" cy="1270"/>
                          <a:chOff x="1134" y="-190"/>
                          <a:chExt cx="2098" cy="2"/>
                        </a:xfrm>
                      </wpg:grpSpPr>
                      <wps:wsp>
                        <wps:cNvPr id="764519367" name="Freeform 93"/>
                        <wps:cNvSpPr>
                          <a:spLocks/>
                        </wps:cNvSpPr>
                        <wps:spPr bwMode="auto">
                          <a:xfrm>
                            <a:off x="1134" y="-19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D57DAF" id="Group 92" o:spid="_x0000_s1026" style="position:absolute;margin-left:85.05pt;margin-top:16.7pt;width:113.4pt;height:.1pt;z-index:-251658236;mso-position-horizontal-relative:page" coordorigin="1134,-19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">
                <v:shape id="Freeform 93" o:spid="_x0000_s1027" style="position:absolute;left:1134;top:-19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" path="m,l2097,e" filled="f" strokecolor="#c96d61" strokeweight="3pt">
                  <v:path arrowok="t" o:connecttype="custom" o:connectlocs="0,0;2097,0" o:connectangles="0,0"/>
                </v:shape>
                <w10:wrap anchorx="page"/>
              </v:group>
            </w:pict>
          </mc:Fallback>
        </mc:AlternateContent>
      </w:r>
    </w:p>
    <w:p w14:paraId="3C4B94B1" w14:textId="1A2249E4" w:rsidR="00815A00" w:rsidRDefault="00815A00" w:rsidP="00815A00">
      <w:pPr>
        <w:pStyle w:val="ListNumber"/>
        <w:numPr>
          <w:ilvl w:val="0"/>
          <w:numId w:val="0"/>
        </w:numPr>
        <w:ind w:left="1134" w:hanging="425"/>
      </w:pPr>
    </w:p>
    <w:p w14:paraId="1F9EE4F2" w14:textId="26D46485" w:rsidR="00815A00" w:rsidRDefault="00815A00" w:rsidP="00815A00">
      <w:pPr>
        <w:pStyle w:val="ListNumber"/>
        <w:numPr>
          <w:ilvl w:val="0"/>
          <w:numId w:val="0"/>
        </w:numPr>
        <w:ind w:left="1134" w:hanging="425"/>
        <w:sectPr w:rsidR="00815A00" w:rsidSect="00D50ACF">
          <w:headerReference w:type="default" r:id="rId27"/>
          <w:footnotePr>
            <w:numRestart w:val="eachSect"/>
          </w:footnotePr>
          <w:pgSz w:w="11920" w:h="16840"/>
          <w:pgMar w:top="1134" w:right="1134" w:bottom="1134" w:left="1701" w:header="499" w:footer="46" w:gutter="0"/>
          <w:cols w:space="720"/>
          <w:docGrid w:linePitch="272"/>
        </w:sectPr>
      </w:pPr>
    </w:p>
    <w:p w14:paraId="011E0A91" w14:textId="77777777" w:rsidR="00083E27" w:rsidRDefault="00083E27" w:rsidP="00083E27">
      <w:pPr>
        <w:spacing w:after="0" w:line="200" w:lineRule="exact"/>
        <w:rPr>
          <w:szCs w:val="20"/>
        </w:rPr>
      </w:pPr>
      <w:r>
        <w:rPr>
          <w:noProof/>
        </w:rPr>
        <w:lastRenderedPageBreak/>
        <mc:AlternateContent>
          <mc:Choice Requires="wpg">
            <w:drawing>
              <wp:anchor distT="0" distB="0" distL="114300" distR="114300" simplePos="0" relativeHeight="251658247" behindDoc="1" locked="0" layoutInCell="1" allowOverlap="1" wp14:anchorId="0147C641" wp14:editId="398D4B9C">
                <wp:simplePos x="0" y="0"/>
                <wp:positionH relativeFrom="page">
                  <wp:posOffset>1096140</wp:posOffset>
                </wp:positionH>
                <wp:positionV relativeFrom="paragraph">
                  <wp:posOffset>171450</wp:posOffset>
                </wp:positionV>
                <wp:extent cx="1332230" cy="1270"/>
                <wp:effectExtent l="0" t="19050" r="20320" b="17780"/>
                <wp:wrapNone/>
                <wp:docPr id="3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535"/>
                          <a:chExt cx="2098" cy="2"/>
                        </a:xfrm>
                      </wpg:grpSpPr>
                      <wps:wsp>
                        <wps:cNvPr id="33" name="Freeform 9"/>
                        <wps:cNvSpPr>
                          <a:spLocks/>
                        </wps:cNvSpPr>
                        <wps:spPr bwMode="auto">
                          <a:xfrm>
                            <a:off x="1134" y="535"/>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2528C" id="Group 8" o:spid="_x0000_s1026" style="position:absolute;margin-left:86.3pt;margin-top:13.5pt;width:104.9pt;height:.1pt;z-index:-251658233;mso-position-horizontal-relative:page" coordorigin="1134,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">
                <v:shape id="Freeform 9" o:spid="_x0000_s1027" style="position:absolute;left:1134;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" path="m,l2097,e" filled="f" strokecolor="#c96d61" strokeweight="3pt">
                  <v:path arrowok="t" o:connecttype="custom" o:connectlocs="0,0;2097,0" o:connectangles="0,0"/>
                </v:shape>
                <w10:wrap anchorx="page"/>
              </v:group>
            </w:pict>
          </mc:Fallback>
        </mc:AlternateContent>
      </w:r>
    </w:p>
    <w:p w14:paraId="7887FE8A" w14:textId="77777777" w:rsidR="00083E27" w:rsidRDefault="00083E27" w:rsidP="00083E27">
      <w:pPr>
        <w:spacing w:after="0" w:line="200" w:lineRule="exact"/>
        <w:rPr>
          <w:szCs w:val="20"/>
        </w:rPr>
      </w:pPr>
    </w:p>
    <w:p w14:paraId="020BDDCF" w14:textId="77777777" w:rsidR="00083E27" w:rsidRDefault="00083E27">
      <w:pPr>
        <w:pStyle w:val="Heading1"/>
      </w:pPr>
      <w:bookmarkStart w:id="20" w:name="_Toc117063092"/>
      <w:bookmarkStart w:id="21" w:name="_Toc118119284"/>
      <w:r>
        <w:rPr>
          <w:spacing w:val="-3"/>
        </w:rPr>
        <w:t>I</w:t>
      </w:r>
      <w:r>
        <w:rPr>
          <w:spacing w:val="-10"/>
        </w:rPr>
        <w:t>n</w:t>
      </w:r>
      <w:r>
        <w:t>t</w:t>
      </w:r>
      <w:r>
        <w:rPr>
          <w:spacing w:val="-14"/>
        </w:rPr>
        <w:t>r</w:t>
      </w:r>
      <w:r>
        <w:rPr>
          <w:spacing w:val="-9"/>
        </w:rPr>
        <w:t>o</w:t>
      </w:r>
      <w:r>
        <w:rPr>
          <w:spacing w:val="-4"/>
        </w:rPr>
        <w:t>d</w:t>
      </w:r>
      <w:r>
        <w:t>u</w:t>
      </w:r>
      <w:r>
        <w:rPr>
          <w:spacing w:val="-4"/>
        </w:rPr>
        <w:t>c</w:t>
      </w:r>
      <w:r>
        <w:t>t</w:t>
      </w:r>
      <w:r>
        <w:rPr>
          <w:spacing w:val="-11"/>
        </w:rPr>
        <w:t>i</w:t>
      </w:r>
      <w:r>
        <w:rPr>
          <w:spacing w:val="-8"/>
        </w:rPr>
        <w:t>o</w:t>
      </w:r>
      <w:r>
        <w:t>n</w:t>
      </w:r>
      <w:bookmarkEnd w:id="20"/>
      <w:bookmarkEnd w:id="21"/>
    </w:p>
    <w:p w14:paraId="1C48F0AB" w14:textId="77777777" w:rsidR="00083E27" w:rsidRDefault="00083E27" w:rsidP="00083E27">
      <w:pPr>
        <w:spacing w:after="0" w:line="200" w:lineRule="exact"/>
        <w:rPr>
          <w:szCs w:val="20"/>
        </w:rPr>
      </w:pPr>
    </w:p>
    <w:p w14:paraId="354598E1" w14:textId="77777777" w:rsidR="00083E27" w:rsidRDefault="00083E27" w:rsidP="00083E27">
      <w:pPr>
        <w:spacing w:after="0" w:line="200" w:lineRule="exact"/>
        <w:rPr>
          <w:szCs w:val="20"/>
        </w:rPr>
      </w:pPr>
    </w:p>
    <w:p w14:paraId="4A06C887" w14:textId="77777777" w:rsidR="00083E27" w:rsidRDefault="00083E27" w:rsidP="00083E27">
      <w:pPr>
        <w:spacing w:after="0" w:line="200" w:lineRule="exact"/>
        <w:rPr>
          <w:szCs w:val="20"/>
        </w:rPr>
      </w:pPr>
      <w:r>
        <w:rPr>
          <w:noProof/>
        </w:rPr>
        <mc:AlternateContent>
          <mc:Choice Requires="wpg">
            <w:drawing>
              <wp:anchor distT="0" distB="0" distL="114300" distR="114300" simplePos="0" relativeHeight="251658248" behindDoc="1" locked="0" layoutInCell="1" allowOverlap="1" wp14:anchorId="7C9A68A6" wp14:editId="4AADB0D3">
                <wp:simplePos x="0" y="0"/>
                <wp:positionH relativeFrom="page">
                  <wp:posOffset>1096140</wp:posOffset>
                </wp:positionH>
                <wp:positionV relativeFrom="paragraph">
                  <wp:posOffset>38100</wp:posOffset>
                </wp:positionV>
                <wp:extent cx="1332230" cy="1270"/>
                <wp:effectExtent l="0" t="19050" r="20320" b="17780"/>
                <wp:wrapNone/>
                <wp:docPr id="1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260"/>
                          <a:chExt cx="2098" cy="2"/>
                        </a:xfrm>
                      </wpg:grpSpPr>
                      <wps:wsp>
                        <wps:cNvPr id="14" name="Freeform 7"/>
                        <wps:cNvSpPr>
                          <a:spLocks/>
                        </wps:cNvSpPr>
                        <wps:spPr bwMode="auto">
                          <a:xfrm>
                            <a:off x="1134" y="-26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F4225" id="Group 6" o:spid="_x0000_s1026" style="position:absolute;margin-left:86.3pt;margin-top:3pt;width:104.9pt;height:.1pt;z-index:-251658232;mso-position-horizontal-relative:page" coordorigin="1134,-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">
                <v:shape id="Freeform 7" o:spid="_x0000_s1027" style="position:absolute;left:1134;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" path="m,l2097,e" filled="f" strokecolor="#c96d61" strokeweight="3pt">
                  <v:path arrowok="t" o:connecttype="custom" o:connectlocs="0,0;2097,0" o:connectangles="0,0"/>
                </v:shape>
                <w10:wrap anchorx="page"/>
              </v:group>
            </w:pict>
          </mc:Fallback>
        </mc:AlternateContent>
      </w:r>
    </w:p>
    <w:p w14:paraId="1F9EE550" w14:textId="5EEBE1FD" w:rsidR="00862DF8" w:rsidRDefault="00862DF8" w:rsidP="00664897">
      <w:pPr>
        <w:spacing w:after="0" w:line="240" w:lineRule="auto"/>
        <w:ind w:left="114" w:right="-20" w:hanging="114"/>
        <w:rPr>
          <w:rFonts w:ascii="Metropolis" w:eastAsia="Metropolis" w:hAnsi="Metropolis" w:cs="Metropolis"/>
          <w:sz w:val="21"/>
          <w:szCs w:val="21"/>
        </w:rPr>
      </w:pPr>
    </w:p>
    <w:p w14:paraId="260B6259" w14:textId="12D1704A" w:rsidR="001946BD" w:rsidRPr="002055D7" w:rsidRDefault="007C1297" w:rsidP="002055D7">
      <w:pPr>
        <w:spacing w:before="240" w:after="0" w:line="300" w:lineRule="auto"/>
        <w:ind w:right="1287" w:firstLine="567"/>
        <w:rPr>
          <w:rFonts w:eastAsia="Times New Roman" w:cs="Times New Roman"/>
          <w:b/>
          <w:bCs/>
          <w:szCs w:val="24"/>
          <w:lang w:eastAsia="en-AU"/>
        </w:rPr>
      </w:pPr>
      <w:r w:rsidRPr="002055D7">
        <w:rPr>
          <w:rFonts w:eastAsia="Times New Roman" w:cs="Times New Roman"/>
          <w:b/>
          <w:bCs/>
          <w:szCs w:val="24"/>
          <w:lang w:eastAsia="en-AU"/>
        </w:rPr>
        <w:t xml:space="preserve">He moana </w:t>
      </w:r>
      <w:proofErr w:type="spellStart"/>
      <w:r w:rsidRPr="002055D7">
        <w:rPr>
          <w:rFonts w:eastAsia="Times New Roman" w:cs="Times New Roman"/>
          <w:b/>
          <w:bCs/>
          <w:szCs w:val="24"/>
          <w:lang w:eastAsia="en-AU"/>
        </w:rPr>
        <w:t>kē</w:t>
      </w:r>
      <w:proofErr w:type="spellEnd"/>
      <w:r w:rsidRPr="002055D7">
        <w:rPr>
          <w:rFonts w:eastAsia="Times New Roman" w:cs="Times New Roman"/>
          <w:b/>
          <w:bCs/>
          <w:szCs w:val="24"/>
          <w:lang w:eastAsia="en-AU"/>
        </w:rPr>
        <w:t xml:space="preserve"> ta </w:t>
      </w:r>
      <w:proofErr w:type="spellStart"/>
      <w:r w:rsidRPr="002055D7">
        <w:rPr>
          <w:rFonts w:eastAsia="Times New Roman" w:cs="Times New Roman"/>
          <w:b/>
          <w:bCs/>
          <w:szCs w:val="24"/>
          <w:lang w:eastAsia="en-AU"/>
        </w:rPr>
        <w:t>matawhānui</w:t>
      </w:r>
      <w:proofErr w:type="spellEnd"/>
      <w:r w:rsidRPr="002055D7">
        <w:rPr>
          <w:rFonts w:eastAsia="Times New Roman" w:cs="Times New Roman"/>
          <w:b/>
          <w:bCs/>
          <w:szCs w:val="24"/>
          <w:lang w:eastAsia="en-AU"/>
        </w:rPr>
        <w:t xml:space="preserve">, he moana </w:t>
      </w:r>
      <w:proofErr w:type="spellStart"/>
      <w:r w:rsidRPr="002055D7">
        <w:rPr>
          <w:rFonts w:eastAsia="Times New Roman" w:cs="Times New Roman"/>
          <w:b/>
          <w:bCs/>
          <w:szCs w:val="24"/>
          <w:lang w:eastAsia="en-AU"/>
        </w:rPr>
        <w:t>kē</w:t>
      </w:r>
      <w:proofErr w:type="spellEnd"/>
      <w:r w:rsidRPr="002055D7">
        <w:rPr>
          <w:rFonts w:eastAsia="Times New Roman" w:cs="Times New Roman"/>
          <w:b/>
          <w:bCs/>
          <w:szCs w:val="24"/>
          <w:lang w:eastAsia="en-AU"/>
        </w:rPr>
        <w:t xml:space="preserve"> ta </w:t>
      </w:r>
      <w:proofErr w:type="spellStart"/>
      <w:r w:rsidRPr="002055D7">
        <w:rPr>
          <w:rFonts w:eastAsia="Times New Roman" w:cs="Times New Roman"/>
          <w:b/>
          <w:bCs/>
          <w:szCs w:val="24"/>
          <w:lang w:eastAsia="en-AU"/>
        </w:rPr>
        <w:t>matawhāiti</w:t>
      </w:r>
      <w:proofErr w:type="spellEnd"/>
    </w:p>
    <w:p w14:paraId="5CFA564A" w14:textId="34DD3A1E" w:rsidR="007C1297" w:rsidRPr="002055D7" w:rsidRDefault="007C1297" w:rsidP="002055D7">
      <w:pPr>
        <w:spacing w:before="240" w:after="0" w:line="300" w:lineRule="auto"/>
        <w:ind w:right="1287" w:firstLine="567"/>
        <w:rPr>
          <w:rFonts w:eastAsia="Times New Roman" w:cs="Times New Roman"/>
          <w:b/>
          <w:bCs/>
          <w:i/>
          <w:iCs/>
          <w:szCs w:val="24"/>
          <w:lang w:eastAsia="en-AU"/>
        </w:rPr>
      </w:pPr>
      <w:r w:rsidRPr="002055D7">
        <w:rPr>
          <w:rFonts w:eastAsia="Times New Roman" w:cs="Times New Roman"/>
          <w:b/>
          <w:bCs/>
          <w:i/>
          <w:iCs/>
          <w:szCs w:val="24"/>
          <w:lang w:eastAsia="en-AU"/>
        </w:rPr>
        <w:t xml:space="preserve">Proper preparation is needed </w:t>
      </w:r>
      <w:proofErr w:type="gramStart"/>
      <w:r w:rsidRPr="002055D7">
        <w:rPr>
          <w:rFonts w:eastAsia="Times New Roman" w:cs="Times New Roman"/>
          <w:b/>
          <w:bCs/>
          <w:i/>
          <w:iCs/>
          <w:szCs w:val="24"/>
          <w:lang w:eastAsia="en-AU"/>
        </w:rPr>
        <w:t>in order to</w:t>
      </w:r>
      <w:proofErr w:type="gramEnd"/>
      <w:r w:rsidRPr="002055D7">
        <w:rPr>
          <w:rFonts w:eastAsia="Times New Roman" w:cs="Times New Roman"/>
          <w:b/>
          <w:bCs/>
          <w:i/>
          <w:iCs/>
          <w:szCs w:val="24"/>
          <w:lang w:eastAsia="en-AU"/>
        </w:rPr>
        <w:t xml:space="preserve"> secure the future for the people</w:t>
      </w:r>
    </w:p>
    <w:p w14:paraId="49DEC681" w14:textId="77777777" w:rsidR="007C1297" w:rsidRDefault="007C1297" w:rsidP="00664897">
      <w:pPr>
        <w:spacing w:after="0" w:line="240" w:lineRule="auto"/>
        <w:ind w:left="114" w:right="-20" w:hanging="114"/>
        <w:rPr>
          <w:rFonts w:ascii="Metropolis" w:eastAsia="Metropolis" w:hAnsi="Metropolis" w:cs="Metropolis"/>
          <w:sz w:val="21"/>
          <w:szCs w:val="21"/>
        </w:rPr>
      </w:pPr>
    </w:p>
    <w:p w14:paraId="1F9EE551" w14:textId="77777777" w:rsidR="00862DF8" w:rsidRDefault="00862DF8">
      <w:pPr>
        <w:spacing w:before="3" w:after="0" w:line="120" w:lineRule="exact"/>
        <w:rPr>
          <w:sz w:val="12"/>
          <w:szCs w:val="12"/>
        </w:rPr>
      </w:pPr>
    </w:p>
    <w:p w14:paraId="5A65A48F" w14:textId="52B9D857" w:rsidR="00F233B8" w:rsidRPr="000C409A" w:rsidRDefault="00F233B8" w:rsidP="00556B28">
      <w:pPr>
        <w:pStyle w:val="ListNumber"/>
        <w:numPr>
          <w:ilvl w:val="0"/>
          <w:numId w:val="35"/>
        </w:numPr>
        <w:ind w:left="567" w:hanging="567"/>
        <w:rPr>
          <w:rFonts w:eastAsia="Metropolis Light"/>
        </w:rPr>
      </w:pPr>
      <w:r w:rsidRPr="00DC2776">
        <w:t>On 9 April 2021</w:t>
      </w:r>
      <w:r w:rsidR="00D31197">
        <w:t>,</w:t>
      </w:r>
      <w:r w:rsidRPr="00DC2776">
        <w:t xml:space="preserve"> </w:t>
      </w:r>
      <w:proofErr w:type="spellStart"/>
      <w:r w:rsidRPr="00DC2776">
        <w:t>Te</w:t>
      </w:r>
      <w:proofErr w:type="spellEnd"/>
      <w:r w:rsidRPr="00DC2776">
        <w:t xml:space="preserve"> Aka Matua o </w:t>
      </w:r>
      <w:proofErr w:type="spellStart"/>
      <w:r w:rsidRPr="00DC2776">
        <w:t>te</w:t>
      </w:r>
      <w:proofErr w:type="spellEnd"/>
      <w:r w:rsidRPr="00DC2776">
        <w:t xml:space="preserve"> Ture</w:t>
      </w:r>
      <w:r w:rsidR="002B4633">
        <w:t xml:space="preserve"> |</w:t>
      </w:r>
      <w:r w:rsidRPr="00DC2776">
        <w:t xml:space="preserve"> Law Commission</w:t>
      </w:r>
      <w:r w:rsidR="009C0EC0">
        <w:t xml:space="preserve"> (Commission)</w:t>
      </w:r>
      <w:r w:rsidRPr="00DC2776">
        <w:t xml:space="preserve"> commissioned me to write a </w:t>
      </w:r>
      <w:r w:rsidR="00C01324">
        <w:t>s</w:t>
      </w:r>
      <w:r w:rsidRPr="00DC2776">
        <w:t xml:space="preserve">tudy </w:t>
      </w:r>
      <w:r w:rsidR="00C01324">
        <w:t>p</w:t>
      </w:r>
      <w:r w:rsidRPr="00DC2776">
        <w:t>aper concerning Aotearoa New Zealand’s legal and institutional framework for pandemics and other threats. Building on the Commission’s</w:t>
      </w:r>
      <w:r w:rsidR="00084E7D" w:rsidRPr="000C409A">
        <w:rPr>
          <w:rFonts w:ascii="Calibri" w:hAnsi="Calibri" w:cs="Calibri"/>
        </w:rPr>
        <w:t xml:space="preserve"> </w:t>
      </w:r>
      <w:r w:rsidRPr="000C409A">
        <w:rPr>
          <w:rStyle w:val="Emphasis"/>
          <w:rFonts w:ascii="Metropolis Light" w:hAnsi="Metropolis Light"/>
          <w:b w:val="0"/>
          <w:bCs/>
          <w:i/>
          <w:iCs w:val="0"/>
          <w:sz w:val="20"/>
          <w:szCs w:val="20"/>
        </w:rPr>
        <w:t>Final Report on Emergencies</w:t>
      </w:r>
      <w:r w:rsidR="007165FA" w:rsidRPr="000C409A">
        <w:rPr>
          <w:rStyle w:val="Emphasis"/>
          <w:rFonts w:ascii="Metropolis Light" w:hAnsi="Metropolis Light"/>
          <w:b w:val="0"/>
          <w:bCs/>
          <w:i/>
          <w:iCs w:val="0"/>
          <w:sz w:val="20"/>
          <w:szCs w:val="20"/>
        </w:rPr>
        <w:t xml:space="preserve"> </w:t>
      </w:r>
      <w:r w:rsidRPr="00DC2776">
        <w:t xml:space="preserve">(NZLC R22, 1991), I was asked to undertake a preliminary evaluation of how well Aotearoa New Zealand’s laws and legal institutions anticipated the challenges presented by COVID-19 and to identify any questions that ought to be considered to ensure readiness for future emergencies. I was asked to focus on the standing legislative regime designed for threats posed by pandemics and to consider the appropriate distribution of powers including the exercise of executive </w:t>
      </w:r>
      <w:r w:rsidR="008B610C">
        <w:t xml:space="preserve">power </w:t>
      </w:r>
      <w:r w:rsidRPr="00DC2776">
        <w:t xml:space="preserve">as opposed to legislative power in </w:t>
      </w:r>
      <w:proofErr w:type="gramStart"/>
      <w:r w:rsidRPr="00DC2776">
        <w:t>an emergency situation</w:t>
      </w:r>
      <w:proofErr w:type="gramEnd"/>
      <w:r w:rsidRPr="00DC2776">
        <w:t xml:space="preserve">, the holding of elections and the exercise of </w:t>
      </w:r>
      <w:proofErr w:type="spellStart"/>
      <w:r w:rsidRPr="00DC2776">
        <w:t>kāwanatanga</w:t>
      </w:r>
      <w:proofErr w:type="spellEnd"/>
      <w:r w:rsidRPr="00DC2776">
        <w:t xml:space="preserve"> by the Crown in light of </w:t>
      </w:r>
      <w:proofErr w:type="spellStart"/>
      <w:r w:rsidRPr="00DC2776">
        <w:t>te</w:t>
      </w:r>
      <w:proofErr w:type="spellEnd"/>
      <w:r w:rsidRPr="00DC2776">
        <w:t xml:space="preserve"> </w:t>
      </w:r>
      <w:proofErr w:type="spellStart"/>
      <w:r w:rsidRPr="00DC2776">
        <w:t>Tiriti</w:t>
      </w:r>
      <w:proofErr w:type="spellEnd"/>
      <w:r w:rsidRPr="00DC2776">
        <w:t xml:space="preserve"> o Waitangi |Treaty of Waitangi obligations. </w:t>
      </w:r>
    </w:p>
    <w:p w14:paraId="704F206B" w14:textId="2A39B4FE" w:rsidR="00F233B8" w:rsidRDefault="00F233B8" w:rsidP="000C409A">
      <w:pPr>
        <w:pStyle w:val="ListNumber"/>
      </w:pPr>
      <w:r w:rsidRPr="001D37FD">
        <w:t>Th</w:t>
      </w:r>
      <w:r>
        <w:t>is</w:t>
      </w:r>
      <w:r w:rsidRPr="001D37FD">
        <w:t xml:space="preserve"> </w:t>
      </w:r>
      <w:r w:rsidR="00A27792">
        <w:t>S</w:t>
      </w:r>
      <w:r w:rsidRPr="001D37FD">
        <w:t xml:space="preserve">tudy </w:t>
      </w:r>
      <w:r w:rsidR="00A27792">
        <w:t>P</w:t>
      </w:r>
      <w:r>
        <w:t xml:space="preserve">aper </w:t>
      </w:r>
      <w:r w:rsidRPr="001D37FD">
        <w:t xml:space="preserve">is in three parts. </w:t>
      </w:r>
      <w:proofErr w:type="gramStart"/>
      <w:r w:rsidRPr="001D37FD">
        <w:t>Part</w:t>
      </w:r>
      <w:proofErr w:type="gramEnd"/>
      <w:r w:rsidRPr="001D37FD">
        <w:t xml:space="preserve"> One survey</w:t>
      </w:r>
      <w:r>
        <w:t>s</w:t>
      </w:r>
      <w:r w:rsidRPr="001D37FD">
        <w:t xml:space="preserve"> the Commission’s earlier work in relation to emergencies in Aotearoa New Zealand, describes</w:t>
      </w:r>
      <w:r>
        <w:t xml:space="preserve"> some of the constitutional background norms</w:t>
      </w:r>
      <w:r w:rsidRPr="00453D24">
        <w:t xml:space="preserve"> </w:t>
      </w:r>
      <w:r w:rsidR="008B610C">
        <w:t xml:space="preserve">that </w:t>
      </w:r>
      <w:r>
        <w:t>have been recogni</w:t>
      </w:r>
      <w:r w:rsidR="008B610C">
        <w:t>s</w:t>
      </w:r>
      <w:r>
        <w:t xml:space="preserve">ed or </w:t>
      </w:r>
      <w:r w:rsidR="008B610C">
        <w:t xml:space="preserve">have </w:t>
      </w:r>
      <w:r>
        <w:t xml:space="preserve">evolved </w:t>
      </w:r>
      <w:r w:rsidRPr="001D37FD">
        <w:t>since that earlier study,</w:t>
      </w:r>
      <w:r>
        <w:t xml:space="preserve"> such as </w:t>
      </w:r>
      <w:proofErr w:type="spellStart"/>
      <w:r w:rsidR="00AF0F84">
        <w:t>t</w:t>
      </w:r>
      <w:r>
        <w:t>e</w:t>
      </w:r>
      <w:proofErr w:type="spellEnd"/>
      <w:r>
        <w:t xml:space="preserve"> </w:t>
      </w:r>
      <w:proofErr w:type="spellStart"/>
      <w:r>
        <w:t>Tiriti</w:t>
      </w:r>
      <w:proofErr w:type="spellEnd"/>
      <w:r>
        <w:t xml:space="preserve"> o Waitangi and the New Zealand Bill of Rights Act 1990, </w:t>
      </w:r>
      <w:r w:rsidRPr="001D37FD">
        <w:t xml:space="preserve">and </w:t>
      </w:r>
      <w:r>
        <w:t xml:space="preserve">suggests some of the ways </w:t>
      </w:r>
      <w:r w:rsidRPr="001D37FD">
        <w:t xml:space="preserve">those norms are likely to be tested in an emergency. Part Two discusses </w:t>
      </w:r>
      <w:r>
        <w:t>more</w:t>
      </w:r>
      <w:r w:rsidR="009D20E6">
        <w:t>-</w:t>
      </w:r>
      <w:r>
        <w:t xml:space="preserve">specific </w:t>
      </w:r>
      <w:r w:rsidRPr="001D37FD">
        <w:t xml:space="preserve">principles </w:t>
      </w:r>
      <w:r>
        <w:t>and practices that</w:t>
      </w:r>
      <w:r w:rsidRPr="001D37FD">
        <w:t xml:space="preserve"> </w:t>
      </w:r>
      <w:r>
        <w:t xml:space="preserve">should inform the ways in which </w:t>
      </w:r>
      <w:r w:rsidRPr="001D37FD">
        <w:t>emergency legislation</w:t>
      </w:r>
      <w:r>
        <w:t xml:space="preserve"> is drafted</w:t>
      </w:r>
      <w:r w:rsidRPr="001D37FD">
        <w:t xml:space="preserve">. It draws on </w:t>
      </w:r>
      <w:r>
        <w:t xml:space="preserve">the legal responses to </w:t>
      </w:r>
      <w:proofErr w:type="gramStart"/>
      <w:r>
        <w:t>a number of</w:t>
      </w:r>
      <w:proofErr w:type="gramEnd"/>
      <w:r>
        <w:t xml:space="preserve"> </w:t>
      </w:r>
      <w:r w:rsidR="00851AD6">
        <w:t>Aotearoa</w:t>
      </w:r>
      <w:r w:rsidR="00851AD6" w:rsidRPr="001D37FD">
        <w:t xml:space="preserve"> </w:t>
      </w:r>
      <w:r w:rsidRPr="001D37FD">
        <w:t xml:space="preserve">New Zealand’s recent disaster events </w:t>
      </w:r>
      <w:r w:rsidR="009D20E6">
        <w:t>–</w:t>
      </w:r>
      <w:r w:rsidRPr="001D37FD">
        <w:t xml:space="preserve"> notably earthquakes</w:t>
      </w:r>
      <w:r>
        <w:t xml:space="preserve"> </w:t>
      </w:r>
      <w:r w:rsidR="009D20E6">
        <w:t>–</w:t>
      </w:r>
      <w:r w:rsidRPr="001D37FD">
        <w:t xml:space="preserve"> </w:t>
      </w:r>
      <w:r w:rsidR="009D20E6">
        <w:t xml:space="preserve">that </w:t>
      </w:r>
      <w:r>
        <w:t xml:space="preserve">have </w:t>
      </w:r>
      <w:r w:rsidRPr="001D37FD">
        <w:t>establish</w:t>
      </w:r>
      <w:r>
        <w:t>ed</w:t>
      </w:r>
      <w:r w:rsidRPr="001D37FD">
        <w:t xml:space="preserve"> legislative practices and principles to be observed in </w:t>
      </w:r>
      <w:r>
        <w:t>sector-</w:t>
      </w:r>
      <w:r w:rsidRPr="001D37FD">
        <w:t xml:space="preserve">specific emergency legislation. It suggests that </w:t>
      </w:r>
      <w:r w:rsidR="00851AD6">
        <w:t>Aotearoa</w:t>
      </w:r>
      <w:r w:rsidR="00851AD6" w:rsidRPr="001D37FD">
        <w:t xml:space="preserve"> </w:t>
      </w:r>
      <w:r w:rsidRPr="001D37FD">
        <w:t xml:space="preserve">New Zealand has </w:t>
      </w:r>
      <w:r>
        <w:t>very</w:t>
      </w:r>
      <w:r w:rsidRPr="001D37FD">
        <w:t xml:space="preserve"> much </w:t>
      </w:r>
      <w:r>
        <w:t xml:space="preserve">relied </w:t>
      </w:r>
      <w:r w:rsidRPr="001D37FD">
        <w:t xml:space="preserve">on bespoke emergency legislation enacted to deal with emergencies as they have arisen. </w:t>
      </w:r>
      <w:r>
        <w:t xml:space="preserve">It could now consolidate some of that experience in standing rules that can be unlocked once a triggering event occurs. </w:t>
      </w:r>
      <w:r w:rsidRPr="001D37FD">
        <w:t xml:space="preserve">Part </w:t>
      </w:r>
      <w:r>
        <w:t>T</w:t>
      </w:r>
      <w:r w:rsidRPr="001D37FD">
        <w:t xml:space="preserve">hree </w:t>
      </w:r>
      <w:r>
        <w:t>contains</w:t>
      </w:r>
      <w:r w:rsidRPr="001D37FD">
        <w:t xml:space="preserve"> a more detailed analysis of the existing standing legal regime for emergencies, usually but not always triggered by a declaration of emergency. </w:t>
      </w:r>
      <w:r>
        <w:t>It</w:t>
      </w:r>
      <w:r w:rsidRPr="001D37FD">
        <w:t xml:space="preserve"> looks across </w:t>
      </w:r>
      <w:r>
        <w:t>various</w:t>
      </w:r>
      <w:r w:rsidRPr="001D37FD">
        <w:t xml:space="preserve"> types of emergencies, considers </w:t>
      </w:r>
      <w:r>
        <w:t xml:space="preserve">the legal tests </w:t>
      </w:r>
      <w:r w:rsidR="001364C1">
        <w:t xml:space="preserve">that </w:t>
      </w:r>
      <w:r>
        <w:t>unlock emergency powers</w:t>
      </w:r>
      <w:r w:rsidRPr="001D37FD">
        <w:t xml:space="preserve"> and </w:t>
      </w:r>
      <w:r>
        <w:t xml:space="preserve">for how long and discusses </w:t>
      </w:r>
      <w:r w:rsidRPr="001D37FD">
        <w:t>the rules for elections disrupted by emergencies</w:t>
      </w:r>
      <w:r>
        <w:t>. Its</w:t>
      </w:r>
      <w:r w:rsidRPr="001D37FD">
        <w:t xml:space="preserve"> particular</w:t>
      </w:r>
      <w:r>
        <w:t xml:space="preserve"> focus is </w:t>
      </w:r>
      <w:r w:rsidRPr="001D37FD">
        <w:t xml:space="preserve">on lessons from the </w:t>
      </w:r>
      <w:r>
        <w:t>ongoing</w:t>
      </w:r>
      <w:r w:rsidRPr="001D37FD">
        <w:t xml:space="preserve"> pandemic</w:t>
      </w:r>
      <w:r>
        <w:t xml:space="preserve"> and potential reforms to the Health Act 1956 provisions designed to control outbreaks of diseases.</w:t>
      </w:r>
      <w:r w:rsidRPr="001D37FD">
        <w:t xml:space="preserve"> </w:t>
      </w:r>
    </w:p>
    <w:p w14:paraId="3B22818D" w14:textId="32FD52EC" w:rsidR="00F233B8" w:rsidRDefault="00F233B8" w:rsidP="000C409A">
      <w:pPr>
        <w:pStyle w:val="ListNumber"/>
      </w:pPr>
      <w:r w:rsidRPr="001F497A">
        <w:t>When C</w:t>
      </w:r>
      <w:r w:rsidR="0061070F">
        <w:rPr>
          <w:rFonts w:eastAsia="Metropolis Light" w:cs="Metropolis Light"/>
          <w:szCs w:val="20"/>
        </w:rPr>
        <w:t>OVID</w:t>
      </w:r>
      <w:r>
        <w:t>-1</w:t>
      </w:r>
      <w:r w:rsidRPr="001F497A">
        <w:t xml:space="preserve">9 reached Aotearoa New Zealand’s shores, officials had to make the best of the existing legal regime for epidemics and to find ways to make it work. </w:t>
      </w:r>
      <w:r>
        <w:t>T</w:t>
      </w:r>
      <w:r w:rsidRPr="001F497A">
        <w:t xml:space="preserve">his study </w:t>
      </w:r>
      <w:r>
        <w:t xml:space="preserve">is not </w:t>
      </w:r>
      <w:r w:rsidRPr="001F497A">
        <w:t xml:space="preserve">seeking to allocate praise or blame for the government’s handling of the current crisis. </w:t>
      </w:r>
      <w:r w:rsidRPr="001F497A">
        <w:lastRenderedPageBreak/>
        <w:t xml:space="preserve">Instead, it speaks to the future, drawing on general principles and on what we have learned not only in relation to the latest pandemic but </w:t>
      </w:r>
      <w:r>
        <w:t xml:space="preserve">also </w:t>
      </w:r>
      <w:r w:rsidRPr="001F497A">
        <w:t xml:space="preserve">from other emergencies such as the Christchurch and </w:t>
      </w:r>
      <w:proofErr w:type="spellStart"/>
      <w:r w:rsidRPr="001F497A">
        <w:t>Kaik</w:t>
      </w:r>
      <w:r>
        <w:t>ō</w:t>
      </w:r>
      <w:r w:rsidRPr="001F497A">
        <w:t>ura</w:t>
      </w:r>
      <w:proofErr w:type="spellEnd"/>
      <w:r w:rsidRPr="001F497A">
        <w:t xml:space="preserve"> earthquakes. Its focus is on ensuring that governments in the future have sufficient powers to do what is necessary to protect their citizens in an emergency and on the proper legal and political controls on such powers.</w:t>
      </w:r>
      <w:r>
        <w:t xml:space="preserve"> </w:t>
      </w:r>
      <w:r w:rsidRPr="001F497A">
        <w:t>In the relative calm of this distance from the initial outbreak of C</w:t>
      </w:r>
      <w:r w:rsidR="0061070F">
        <w:rPr>
          <w:rFonts w:eastAsia="Metropolis Light" w:cs="Metropolis Light"/>
          <w:szCs w:val="20"/>
        </w:rPr>
        <w:t>OVID</w:t>
      </w:r>
      <w:r>
        <w:t>-19</w:t>
      </w:r>
      <w:r w:rsidRPr="001F497A">
        <w:t xml:space="preserve"> and with the legal experience of it fresh in our minds, we have an opportunity to identify general frameworks, </w:t>
      </w:r>
      <w:proofErr w:type="gramStart"/>
      <w:r w:rsidRPr="001F497A">
        <w:t>principles</w:t>
      </w:r>
      <w:proofErr w:type="gramEnd"/>
      <w:r w:rsidRPr="001F497A">
        <w:t xml:space="preserve"> and processes with which to frame future responses. </w:t>
      </w:r>
      <w:r>
        <w:t xml:space="preserve">The “golden hour” for such legislative reform is while the pandemic is still fresh in our minds and while we have a realistic view of what legal powers may be necessary </w:t>
      </w:r>
      <w:proofErr w:type="gramStart"/>
      <w:r>
        <w:t>in order to</w:t>
      </w:r>
      <w:proofErr w:type="gramEnd"/>
      <w:r>
        <w:t xml:space="preserve"> respond to a major threat to the life of the nation. </w:t>
      </w:r>
    </w:p>
    <w:p w14:paraId="2787D4CA" w14:textId="28E237FF" w:rsidR="00F233B8" w:rsidRDefault="00F233B8" w:rsidP="000C409A">
      <w:pPr>
        <w:pStyle w:val="ListNumber"/>
      </w:pPr>
      <w:r w:rsidRPr="001F497A">
        <w:t xml:space="preserve">Louise Delany’s valuable book </w:t>
      </w:r>
      <w:r w:rsidRPr="001F497A">
        <w:rPr>
          <w:i/>
          <w:iCs/>
        </w:rPr>
        <w:t>Covid and the Law in Aotearoa New Zealand</w:t>
      </w:r>
      <w:r w:rsidRPr="00207796">
        <w:t>,</w:t>
      </w:r>
      <w:r w:rsidRPr="001F497A">
        <w:t xml:space="preserve"> which was published halfway through this project, relieves me of the task of outlining in detail </w:t>
      </w:r>
      <w:r w:rsidR="00851AD6">
        <w:t>Aotearoa</w:t>
      </w:r>
      <w:r w:rsidR="00851AD6" w:rsidRPr="001F497A">
        <w:t xml:space="preserve"> </w:t>
      </w:r>
      <w:r w:rsidRPr="001F497A">
        <w:t>New Zealand’s legal response to C</w:t>
      </w:r>
      <w:r w:rsidR="0061070F">
        <w:t>OVID</w:t>
      </w:r>
      <w:r w:rsidRPr="001F497A">
        <w:t>-19</w:t>
      </w:r>
      <w:r>
        <w:t xml:space="preserve"> (though at times I have included examples of orders made in the response to C</w:t>
      </w:r>
      <w:r w:rsidR="0061070F">
        <w:rPr>
          <w:rFonts w:eastAsia="Metropolis Light" w:cs="Metropolis Light"/>
          <w:szCs w:val="20"/>
        </w:rPr>
        <w:t>OVID</w:t>
      </w:r>
      <w:r>
        <w:t>-19)</w:t>
      </w:r>
      <w:r w:rsidRPr="001F497A">
        <w:t>.</w:t>
      </w:r>
      <w:r w:rsidRPr="001F497A">
        <w:rPr>
          <w:rStyle w:val="FootnoteReference"/>
        </w:rPr>
        <w:footnoteReference w:id="2"/>
      </w:r>
      <w:r w:rsidRPr="001F497A">
        <w:t xml:space="preserve"> As part of her analysis, Delany includes a helpful chronological account of the labyrinthine statutes, orders and directives </w:t>
      </w:r>
      <w:r w:rsidR="00207796">
        <w:t>that</w:t>
      </w:r>
      <w:r w:rsidR="00207796" w:rsidRPr="001F497A">
        <w:t xml:space="preserve"> </w:t>
      </w:r>
      <w:r w:rsidRPr="001F497A">
        <w:t>have been used to give effect to the government’s measures in response to C</w:t>
      </w:r>
      <w:r w:rsidR="0061070F">
        <w:t>OVID</w:t>
      </w:r>
      <w:r w:rsidRPr="001F497A">
        <w:t>-19.</w:t>
      </w:r>
      <w:r w:rsidRPr="001F497A">
        <w:rPr>
          <w:rStyle w:val="FootnoteReference"/>
        </w:rPr>
        <w:footnoteReference w:id="3"/>
      </w:r>
      <w:r w:rsidRPr="001F497A">
        <w:t xml:space="preserve"> Part T</w:t>
      </w:r>
      <w:r>
        <w:t>hree</w:t>
      </w:r>
      <w:r w:rsidRPr="001F497A">
        <w:t xml:space="preserve"> </w:t>
      </w:r>
      <w:r>
        <w:t>of this Study</w:t>
      </w:r>
      <w:r w:rsidR="00207796">
        <w:t xml:space="preserve"> Paper</w:t>
      </w:r>
      <w:r>
        <w:t xml:space="preserve"> </w:t>
      </w:r>
      <w:r w:rsidRPr="001F497A">
        <w:t>refers to matters of legal detail,</w:t>
      </w:r>
      <w:r>
        <w:t xml:space="preserve"> but </w:t>
      </w:r>
      <w:r w:rsidRPr="001F497A">
        <w:t>it is not intended to be a complete account of all the instruments used or even of all of the legal</w:t>
      </w:r>
      <w:r>
        <w:t xml:space="preserve"> </w:t>
      </w:r>
      <w:r w:rsidRPr="001F497A">
        <w:t xml:space="preserve">issues </w:t>
      </w:r>
      <w:r w:rsidR="00A27792">
        <w:t>that</w:t>
      </w:r>
      <w:r w:rsidR="00A27792" w:rsidRPr="001F497A">
        <w:t xml:space="preserve"> </w:t>
      </w:r>
      <w:r w:rsidRPr="001F497A">
        <w:t>have arisen in relation to the C</w:t>
      </w:r>
      <w:r w:rsidR="0061070F">
        <w:t>OVID</w:t>
      </w:r>
      <w:r w:rsidRPr="001F497A">
        <w:t xml:space="preserve">-19 pandemic in particular. For example, </w:t>
      </w:r>
      <w:r>
        <w:t xml:space="preserve">there have been numerous legal challenges surrounding vaccine availability, </w:t>
      </w:r>
      <w:proofErr w:type="gramStart"/>
      <w:r>
        <w:t>safety</w:t>
      </w:r>
      <w:proofErr w:type="gramEnd"/>
      <w:r>
        <w:t xml:space="preserve"> and the imposition of vaccine mandates. A future pandemic is likely to raise different issues </w:t>
      </w:r>
      <w:r w:rsidRPr="001F497A">
        <w:t xml:space="preserve">depending on the disease type, how easily it is transmitted, </w:t>
      </w:r>
      <w:r>
        <w:t xml:space="preserve">which sections of the public are most at risk, </w:t>
      </w:r>
      <w:r w:rsidRPr="001F497A">
        <w:t xml:space="preserve">its virulence, </w:t>
      </w:r>
      <w:r>
        <w:t xml:space="preserve">whether there is an effective vaccine and </w:t>
      </w:r>
      <w:r w:rsidRPr="001F497A">
        <w:t>how much population take</w:t>
      </w:r>
      <w:r>
        <w:t>-</w:t>
      </w:r>
      <w:r w:rsidRPr="001F497A">
        <w:t xml:space="preserve">up of a vaccine is required for </w:t>
      </w:r>
      <w:r w:rsidR="007A3442">
        <w:t>vaccine</w:t>
      </w:r>
      <w:r w:rsidRPr="001F497A">
        <w:t xml:space="preserve"> effectiveness.</w:t>
      </w:r>
      <w:r w:rsidRPr="001F497A">
        <w:rPr>
          <w:rStyle w:val="FootnoteReference"/>
        </w:rPr>
        <w:footnoteReference w:id="4"/>
      </w:r>
      <w:r>
        <w:t xml:space="preserve"> </w:t>
      </w:r>
    </w:p>
    <w:p w14:paraId="5A051B99" w14:textId="30F5B8AB" w:rsidR="00F233B8" w:rsidRDefault="00F233B8" w:rsidP="000C409A">
      <w:pPr>
        <w:pStyle w:val="ListNumber"/>
      </w:pPr>
      <w:r w:rsidRPr="001F497A">
        <w:t xml:space="preserve">Emergency preparedness </w:t>
      </w:r>
      <w:r>
        <w:t xml:space="preserve">and mitigation </w:t>
      </w:r>
      <w:r w:rsidRPr="001F497A">
        <w:t>involve</w:t>
      </w:r>
      <w:r>
        <w:t>s</w:t>
      </w:r>
      <w:r w:rsidRPr="001F497A">
        <w:t xml:space="preserve"> numerous elements of which the legal framework is only one. </w:t>
      </w:r>
      <w:r>
        <w:t xml:space="preserve">Public institutions need to be coordinated and resilient. This is especially the case when policy institutions such as the Ministry of Health have been established separately from institutions engaged in delivering services. </w:t>
      </w:r>
      <w:r w:rsidRPr="001F497A">
        <w:t xml:space="preserve">Interconnectedness with the wider world and between diverse communities and sites of authority within Aotearoa New Zealand </w:t>
      </w:r>
      <w:r>
        <w:t xml:space="preserve">will be </w:t>
      </w:r>
      <w:r w:rsidRPr="001F497A">
        <w:t>critical to ensure that communication is clear, information feeds back into the system and there is trust in government</w:t>
      </w:r>
      <w:r>
        <w:t xml:space="preserve"> and its institutions</w:t>
      </w:r>
      <w:r w:rsidRPr="001F497A">
        <w:t>.</w:t>
      </w:r>
      <w:r w:rsidRPr="001F497A">
        <w:rPr>
          <w:rStyle w:val="FootnoteReference"/>
        </w:rPr>
        <w:footnoteReference w:id="5"/>
      </w:r>
      <w:r w:rsidRPr="001F497A">
        <w:t xml:space="preserve"> As the experience of C</w:t>
      </w:r>
      <w:r w:rsidR="0061070F">
        <w:t>OVID</w:t>
      </w:r>
      <w:r w:rsidRPr="001F497A">
        <w:t>-19 has shown, there is a need to develop capacity</w:t>
      </w:r>
      <w:r>
        <w:t xml:space="preserve">, </w:t>
      </w:r>
      <w:r w:rsidRPr="001F497A">
        <w:t xml:space="preserve">risk analysis </w:t>
      </w:r>
      <w:r>
        <w:t xml:space="preserve">and resilience </w:t>
      </w:r>
      <w:r w:rsidRPr="001F497A">
        <w:t>in advance of un</w:t>
      </w:r>
      <w:r>
        <w:t>foreseen</w:t>
      </w:r>
      <w:r w:rsidRPr="001F497A">
        <w:t xml:space="preserve"> perils. </w:t>
      </w:r>
      <w:r>
        <w:t xml:space="preserve">Low intensive care capacity limited the government’s choices of how to respond and resulted in longer and stricter lockdowns. </w:t>
      </w:r>
      <w:r w:rsidRPr="001F497A">
        <w:t>Developing</w:t>
      </w:r>
      <w:r>
        <w:t xml:space="preserve"> and maintaining </w:t>
      </w:r>
      <w:r w:rsidRPr="001F497A">
        <w:t xml:space="preserve">social cohesion </w:t>
      </w:r>
      <w:r>
        <w:t>will be</w:t>
      </w:r>
      <w:r w:rsidRPr="001F497A">
        <w:t xml:space="preserve"> </w:t>
      </w:r>
      <w:r>
        <w:t>critical</w:t>
      </w:r>
      <w:r w:rsidRPr="001F497A">
        <w:t xml:space="preserve">. </w:t>
      </w:r>
      <w:r>
        <w:t>In a pandemic</w:t>
      </w:r>
      <w:proofErr w:type="gramStart"/>
      <w:r>
        <w:t xml:space="preserve">, in particular, </w:t>
      </w:r>
      <w:r w:rsidRPr="001F497A">
        <w:t>we</w:t>
      </w:r>
      <w:proofErr w:type="gramEnd"/>
      <w:r w:rsidRPr="001F497A">
        <w:t xml:space="preserve"> are only as secure as the most vulnerable of </w:t>
      </w:r>
      <w:r>
        <w:t>our communities</w:t>
      </w:r>
      <w:r w:rsidRPr="001F497A">
        <w:t>. Relationships between government agencies and Māori institutions</w:t>
      </w:r>
      <w:r>
        <w:t xml:space="preserve"> </w:t>
      </w:r>
      <w:r w:rsidRPr="001F497A">
        <w:t xml:space="preserve">and community groups </w:t>
      </w:r>
      <w:r w:rsidR="00A47A9C">
        <w:t>that</w:t>
      </w:r>
      <w:r w:rsidR="00A47A9C" w:rsidRPr="001F497A">
        <w:t xml:space="preserve"> </w:t>
      </w:r>
      <w:r w:rsidRPr="001F497A">
        <w:t>look after people’s welfare cannot be forged during a state of emergency</w:t>
      </w:r>
      <w:r w:rsidR="00A47A9C">
        <w:t>.</w:t>
      </w:r>
      <w:r w:rsidRPr="001F497A">
        <w:t xml:space="preserve"> </w:t>
      </w:r>
      <w:r w:rsidR="00A47A9C">
        <w:t>S</w:t>
      </w:r>
      <w:r w:rsidRPr="001F497A">
        <w:t>uch relationships need to be strong and well established. Electronic alternatives to face</w:t>
      </w:r>
      <w:r>
        <w:t>-</w:t>
      </w:r>
      <w:r w:rsidRPr="001F497A">
        <w:t>to</w:t>
      </w:r>
      <w:r>
        <w:t>-</w:t>
      </w:r>
      <w:r w:rsidRPr="001F497A">
        <w:t xml:space="preserve">face contact may need to be </w:t>
      </w:r>
      <w:r w:rsidRPr="001F497A">
        <w:lastRenderedPageBreak/>
        <w:t>further trial</w:t>
      </w:r>
      <w:r w:rsidR="00A47A9C">
        <w:t>l</w:t>
      </w:r>
      <w:r w:rsidRPr="001F497A">
        <w:t>ed and developed, as may information gathering a</w:t>
      </w:r>
      <w:r>
        <w:t xml:space="preserve">nd </w:t>
      </w:r>
      <w:r w:rsidRPr="001F497A">
        <w:t>systems for the protection of personal information. The Public Service Act 2020 provides a framework for continuous evaluation of long-term challenges and threats to Aotearoa New Zealand</w:t>
      </w:r>
      <w:r w:rsidR="00A47A9C">
        <w:t>,</w:t>
      </w:r>
      <w:r>
        <w:t xml:space="preserve"> which will be an important part of planning,</w:t>
      </w:r>
      <w:r w:rsidR="00414013">
        <w:rPr>
          <w:rStyle w:val="FootnoteReference"/>
        </w:rPr>
        <w:footnoteReference w:id="6"/>
      </w:r>
      <w:r w:rsidRPr="001F497A">
        <w:t xml:space="preserve"> </w:t>
      </w:r>
      <w:r>
        <w:t>as does the Civil Defence Emergency Management Act</w:t>
      </w:r>
      <w:r w:rsidR="00A47A9C">
        <w:t xml:space="preserve"> </w:t>
      </w:r>
      <w:r w:rsidR="00A47A9C">
        <w:rPr>
          <w:shd w:val="clear" w:color="auto" w:fill="FFFFFF"/>
        </w:rPr>
        <w:t>2002,</w:t>
      </w:r>
      <w:r>
        <w:t xml:space="preserve"> which is currently under review.</w:t>
      </w:r>
    </w:p>
    <w:p w14:paraId="60DF04A7" w14:textId="46B614CC" w:rsidR="00F233B8" w:rsidRDefault="00F233B8" w:rsidP="000C409A">
      <w:pPr>
        <w:pStyle w:val="ListNumber"/>
      </w:pPr>
      <w:r w:rsidRPr="001F497A">
        <w:t xml:space="preserve">It is tempting to </w:t>
      </w:r>
      <w:r>
        <w:t>place too much emphasis on what is</w:t>
      </w:r>
      <w:r w:rsidRPr="001F497A">
        <w:t xml:space="preserve"> “natural” and “inevitable” about emergencies. </w:t>
      </w:r>
      <w:r>
        <w:t xml:space="preserve">However, it is often </w:t>
      </w:r>
      <w:r w:rsidRPr="001F497A">
        <w:t xml:space="preserve">the </w:t>
      </w:r>
      <w:r>
        <w:rPr>
          <w:i/>
          <w:iCs/>
        </w:rPr>
        <w:t xml:space="preserve">consequences </w:t>
      </w:r>
      <w:r w:rsidRPr="001F497A">
        <w:t>of a</w:t>
      </w:r>
      <w:r>
        <w:t>n</w:t>
      </w:r>
      <w:r w:rsidRPr="001F497A">
        <w:t xml:space="preserve"> </w:t>
      </w:r>
      <w:r>
        <w:t xml:space="preserve">emergency </w:t>
      </w:r>
      <w:r w:rsidRPr="001F497A">
        <w:t>event</w:t>
      </w:r>
      <w:r w:rsidR="000D47E5">
        <w:t xml:space="preserve"> that</w:t>
      </w:r>
      <w:r>
        <w:t xml:space="preserve"> is the disaster. H</w:t>
      </w:r>
      <w:r w:rsidRPr="001F497A">
        <w:t xml:space="preserve">ow </w:t>
      </w:r>
      <w:r>
        <w:t xml:space="preserve">an emergency </w:t>
      </w:r>
      <w:r w:rsidRPr="001F497A">
        <w:t>is experienced by people</w:t>
      </w:r>
      <w:r>
        <w:t xml:space="preserve"> is</w:t>
      </w:r>
      <w:r w:rsidRPr="001F497A">
        <w:t xml:space="preserve"> often</w:t>
      </w:r>
      <w:r>
        <w:t xml:space="preserve"> </w:t>
      </w:r>
      <w:r w:rsidRPr="001F497A">
        <w:t xml:space="preserve">very much the product of human agency. The </w:t>
      </w:r>
      <w:r w:rsidRPr="001F497A">
        <w:rPr>
          <w:i/>
          <w:iCs/>
        </w:rPr>
        <w:t xml:space="preserve">extent </w:t>
      </w:r>
      <w:r w:rsidRPr="001F497A">
        <w:t xml:space="preserve">of the flooding of New Orleans in Hurricane Katrina had a human cause. We </w:t>
      </w:r>
      <w:proofErr w:type="gramStart"/>
      <w:r w:rsidRPr="001F497A">
        <w:t>are able to</w:t>
      </w:r>
      <w:proofErr w:type="gramEnd"/>
      <w:r w:rsidRPr="001F497A">
        <w:t xml:space="preserve"> design buildings to protect lives in an earthquake. The degree to which individual rights </w:t>
      </w:r>
      <w:proofErr w:type="gramStart"/>
      <w:r w:rsidRPr="001F497A">
        <w:t>have to</w:t>
      </w:r>
      <w:proofErr w:type="gramEnd"/>
      <w:r w:rsidRPr="001F497A">
        <w:t xml:space="preserve"> be limited to protect public health may depend in part on hospital capacity</w:t>
      </w:r>
      <w:r>
        <w:t>,</w:t>
      </w:r>
      <w:r w:rsidRPr="001F497A">
        <w:t xml:space="preserve"> the </w:t>
      </w:r>
      <w:r>
        <w:t xml:space="preserve">general </w:t>
      </w:r>
      <w:r w:rsidRPr="001F497A">
        <w:t>health status of the population</w:t>
      </w:r>
      <w:r>
        <w:t xml:space="preserve"> and the speed at which borders can be closed</w:t>
      </w:r>
      <w:r w:rsidRPr="001F497A">
        <w:t>. Intensive care capacity and other health provision capacity should be planned with future contingencies in mind. Future events are inevitable</w:t>
      </w:r>
      <w:r>
        <w:t>,</w:t>
      </w:r>
      <w:r w:rsidRPr="001F497A">
        <w:t xml:space="preserve"> but their effects and our responses to them are not. That is especially true at a time when we are faced with the pervasive threat of climate change. How well we plan will have a direct effect on the liberties we will be able to enjoy in the future as well as on our social and economic wellbeing.</w:t>
      </w:r>
    </w:p>
    <w:p w14:paraId="493C24DF" w14:textId="0954C9D2" w:rsidR="00F233B8" w:rsidRPr="001F497A" w:rsidRDefault="00F233B8" w:rsidP="000C409A">
      <w:pPr>
        <w:pStyle w:val="ListNumber"/>
      </w:pPr>
      <w:r w:rsidRPr="001F497A">
        <w:t xml:space="preserve">Given the size of these broader challenges, some may regard the clarification of the </w:t>
      </w:r>
      <w:r w:rsidRPr="001F497A">
        <w:rPr>
          <w:i/>
          <w:iCs/>
        </w:rPr>
        <w:t xml:space="preserve">legal </w:t>
      </w:r>
      <w:r w:rsidRPr="001F497A">
        <w:t xml:space="preserve">framework as a relatively unimportant or even peripheral part of preparing for a future emergency and pandemic response. After all, some may argue that the </w:t>
      </w:r>
      <w:r w:rsidRPr="001F497A">
        <w:rPr>
          <w:i/>
          <w:iCs/>
        </w:rPr>
        <w:t xml:space="preserve">effectiveness </w:t>
      </w:r>
      <w:r w:rsidRPr="00B5195D">
        <w:t>and</w:t>
      </w:r>
      <w:r w:rsidRPr="001F497A">
        <w:rPr>
          <w:i/>
          <w:iCs/>
        </w:rPr>
        <w:t xml:space="preserve"> justification </w:t>
      </w:r>
      <w:r w:rsidRPr="001F497A">
        <w:rPr>
          <w:iCs/>
        </w:rPr>
        <w:t>for</w:t>
      </w:r>
      <w:r w:rsidRPr="001F497A">
        <w:rPr>
          <w:i/>
          <w:iCs/>
        </w:rPr>
        <w:t xml:space="preserve"> </w:t>
      </w:r>
      <w:r w:rsidR="00851AD6">
        <w:t>Aotearoa</w:t>
      </w:r>
      <w:r w:rsidR="00851AD6" w:rsidRPr="001F497A">
        <w:t xml:space="preserve"> </w:t>
      </w:r>
      <w:r w:rsidRPr="001F497A">
        <w:t>New Zealand’s initial C</w:t>
      </w:r>
      <w:r w:rsidR="0061070F">
        <w:t>OVID</w:t>
      </w:r>
      <w:r w:rsidRPr="001F497A">
        <w:t>-19 response in March 2020 w</w:t>
      </w:r>
      <w:r>
        <w:t>ere</w:t>
      </w:r>
      <w:r w:rsidRPr="001F497A">
        <w:t xml:space="preserve"> more important than its legality. As time went on, </w:t>
      </w:r>
      <w:r>
        <w:t xml:space="preserve">however, </w:t>
      </w:r>
      <w:r w:rsidRPr="001F497A">
        <w:t xml:space="preserve">the importance of the legal regime became increasingly </w:t>
      </w:r>
      <w:r>
        <w:t xml:space="preserve">more </w:t>
      </w:r>
      <w:r w:rsidRPr="001F497A">
        <w:t>apparent</w:t>
      </w:r>
      <w:r>
        <w:t xml:space="preserve"> to everyone</w:t>
      </w:r>
      <w:r w:rsidRPr="001F497A">
        <w:t>. A good legal framework ensures that appropriate officials have app</w:t>
      </w:r>
      <w:r>
        <w:t xml:space="preserve">osite </w:t>
      </w:r>
      <w:r w:rsidRPr="001F497A">
        <w:t xml:space="preserve">powers and provides opportunities for governments to justify their actions. It establishes processes, promotes </w:t>
      </w:r>
      <w:proofErr w:type="gramStart"/>
      <w:r w:rsidRPr="001F497A">
        <w:t>certainty</w:t>
      </w:r>
      <w:proofErr w:type="gramEnd"/>
      <w:r w:rsidRPr="001F497A">
        <w:t xml:space="preserve"> and disciplines power and decision</w:t>
      </w:r>
      <w:r w:rsidR="000D47E5">
        <w:t xml:space="preserve"> </w:t>
      </w:r>
      <w:r w:rsidRPr="001F497A">
        <w:t>making</w:t>
      </w:r>
      <w:r>
        <w:t>.</w:t>
      </w:r>
      <w:r w:rsidRPr="001F497A">
        <w:t xml:space="preserve"> </w:t>
      </w:r>
      <w:r>
        <w:t>I</w:t>
      </w:r>
      <w:r w:rsidRPr="001F497A">
        <w:t xml:space="preserve">t provides rules and standards to which officials can be held </w:t>
      </w:r>
      <w:r w:rsidR="000D47E5">
        <w:t>–</w:t>
      </w:r>
      <w:r>
        <w:t xml:space="preserve"> </w:t>
      </w:r>
      <w:r w:rsidRPr="001F497A">
        <w:t>in times of crisis as well as ordinary times. Such standards are important in guiding officials’ behaviour when levels of public trust are highest and the temptation to overreach is strong</w:t>
      </w:r>
      <w:r>
        <w:t xml:space="preserve">. They are </w:t>
      </w:r>
      <w:r w:rsidRPr="001F497A">
        <w:t xml:space="preserve">even more </w:t>
      </w:r>
      <w:r>
        <w:t>important</w:t>
      </w:r>
      <w:r w:rsidRPr="001F497A">
        <w:t xml:space="preserve"> when public trust inevitably starts to </w:t>
      </w:r>
      <w:proofErr w:type="gramStart"/>
      <w:r w:rsidRPr="001F497A">
        <w:t>wane</w:t>
      </w:r>
      <w:proofErr w:type="gramEnd"/>
      <w:r w:rsidRPr="001F497A">
        <w:t xml:space="preserve"> or the measures adopted seem not to be working or are taking a long time to work. The response phase in a pandemic</w:t>
      </w:r>
      <w:proofErr w:type="gramStart"/>
      <w:r w:rsidRPr="001F497A">
        <w:t>, in particular, can</w:t>
      </w:r>
      <w:proofErr w:type="gramEnd"/>
      <w:r w:rsidRPr="001F497A">
        <w:t xml:space="preserve"> sometimes be very long. Both officials and citizens can become fatigued, and confidence and trust in government will inevitably fluctuate. In both the initial emergency phase and in the longer response and recovery phase</w:t>
      </w:r>
      <w:r>
        <w:t>s</w:t>
      </w:r>
      <w:r w:rsidRPr="001F497A">
        <w:t xml:space="preserve">, legal standards need to be accessible and, to the extent possible in an emergency, predictable in their application. Getting the legal framework correct is essential for the legitimacy of government. It evidences a political community’s deepest commitments to the value of respect for persons. </w:t>
      </w:r>
      <w:r>
        <w:t>A bad legal framework can contribute to a disaster.</w:t>
      </w:r>
    </w:p>
    <w:p w14:paraId="1BDD9500" w14:textId="14CF2EBF" w:rsidR="00F233B8" w:rsidRDefault="00F233B8" w:rsidP="000C409A">
      <w:pPr>
        <w:pStyle w:val="ListNumber"/>
      </w:pPr>
      <w:r w:rsidRPr="001F497A">
        <w:t xml:space="preserve">Lawyers have long worried that the use by governments of extra-legal </w:t>
      </w:r>
      <w:r>
        <w:t xml:space="preserve">or extraordinary </w:t>
      </w:r>
      <w:r w:rsidRPr="001F497A">
        <w:t>powers in a genuine emergency for good reason</w:t>
      </w:r>
      <w:r>
        <w:t>s</w:t>
      </w:r>
      <w:r w:rsidRPr="001F497A">
        <w:t xml:space="preserve"> may give licen</w:t>
      </w:r>
      <w:r w:rsidR="000D47E5">
        <w:t>c</w:t>
      </w:r>
      <w:r w:rsidRPr="001F497A">
        <w:t xml:space="preserve">e to future governments to dispense with ordinary law and legal processes in situations in which the emergency has been manufactured or exaggerated. Clear and effective frameworks </w:t>
      </w:r>
      <w:r>
        <w:t>that</w:t>
      </w:r>
      <w:r w:rsidRPr="001F497A">
        <w:t xml:space="preserve"> confer powers and create expectations of accountability during emergencies ensure that emergencies do not take place in the absence of legal authorisation and constraint. </w:t>
      </w:r>
    </w:p>
    <w:p w14:paraId="74D5F7A7" w14:textId="24D1DA1B" w:rsidR="00F233B8" w:rsidRDefault="00F233B8" w:rsidP="000C409A">
      <w:pPr>
        <w:pStyle w:val="ListNumber"/>
      </w:pPr>
      <w:r w:rsidRPr="001F497A">
        <w:lastRenderedPageBreak/>
        <w:t xml:space="preserve">Observers of emergencies have identified the following phases in any emergency: mitigation, preparedness, </w:t>
      </w:r>
      <w:proofErr w:type="gramStart"/>
      <w:r w:rsidRPr="001F497A">
        <w:t>response</w:t>
      </w:r>
      <w:proofErr w:type="gramEnd"/>
      <w:r w:rsidRPr="001F497A">
        <w:t xml:space="preserve"> and recovery. </w:t>
      </w:r>
      <w:r>
        <w:t xml:space="preserve">In a liberal democracy, the expectation is </w:t>
      </w:r>
      <w:r w:rsidRPr="001F497A">
        <w:t>that extraordinary measures and the suspension of ordinary processes should be limited as much as possible to the acute part of the response phase and that recovery should commence as early as possible. The experience of the C</w:t>
      </w:r>
      <w:r w:rsidR="0061070F">
        <w:t>OVID</w:t>
      </w:r>
      <w:r w:rsidRPr="001F497A">
        <w:t xml:space="preserve">-19 pandemic may cause us to rethink these </w:t>
      </w:r>
      <w:r w:rsidR="00154353">
        <w:t>discrete</w:t>
      </w:r>
      <w:r w:rsidR="00154353" w:rsidRPr="001F497A">
        <w:t xml:space="preserve"> </w:t>
      </w:r>
      <w:r w:rsidRPr="001F497A">
        <w:t>phases given that the response and recovery phase</w:t>
      </w:r>
      <w:r>
        <w:t>s</w:t>
      </w:r>
      <w:r w:rsidRPr="001F497A">
        <w:t xml:space="preserve"> may </w:t>
      </w:r>
      <w:r>
        <w:t>proceed in tandem</w:t>
      </w:r>
      <w:r w:rsidRPr="001F497A">
        <w:t xml:space="preserve"> for many years and </w:t>
      </w:r>
      <w:r>
        <w:t xml:space="preserve">the threat to health may </w:t>
      </w:r>
      <w:r w:rsidRPr="001F497A">
        <w:t xml:space="preserve">fluctuate. </w:t>
      </w:r>
      <w:r>
        <w:t>The general proposition still holds good that the use of extraordinary powers should be as time-limited as possible and the resumption of ordinary political and legal processes should commence as early as is prudent (subject to ongoing mitigation measures).</w:t>
      </w:r>
    </w:p>
    <w:p w14:paraId="3B80CE9E" w14:textId="44E377F7" w:rsidR="00EA0327" w:rsidRDefault="00EA0327" w:rsidP="003E0A36">
      <w:pPr>
        <w:pStyle w:val="BodyText"/>
        <w:numPr>
          <w:ilvl w:val="0"/>
          <w:numId w:val="0"/>
        </w:numPr>
        <w:ind w:left="709"/>
        <w:rPr>
          <w:rFonts w:eastAsia="Metropolis Light"/>
        </w:rPr>
      </w:pPr>
    </w:p>
    <w:p w14:paraId="657E0649" w14:textId="486F54FA" w:rsidR="00EA0327" w:rsidRDefault="00EA0327" w:rsidP="003E0A36">
      <w:pPr>
        <w:pStyle w:val="BodyText"/>
        <w:numPr>
          <w:ilvl w:val="0"/>
          <w:numId w:val="0"/>
        </w:numPr>
        <w:ind w:left="709"/>
        <w:rPr>
          <w:rFonts w:eastAsia="Metropolis Light"/>
        </w:rPr>
      </w:pPr>
      <w:r>
        <w:rPr>
          <w:noProof/>
        </w:rPr>
        <mc:AlternateContent>
          <mc:Choice Requires="wpg">
            <w:drawing>
              <wp:anchor distT="0" distB="0" distL="114300" distR="114300" simplePos="0" relativeHeight="251658245" behindDoc="1" locked="0" layoutInCell="1" allowOverlap="1" wp14:anchorId="721BD5DB" wp14:editId="3733A1EB">
                <wp:simplePos x="0" y="0"/>
                <wp:positionH relativeFrom="page">
                  <wp:posOffset>1107440</wp:posOffset>
                </wp:positionH>
                <wp:positionV relativeFrom="paragraph">
                  <wp:posOffset>128270</wp:posOffset>
                </wp:positionV>
                <wp:extent cx="1440000" cy="1270"/>
                <wp:effectExtent l="0" t="19050" r="27305" b="17780"/>
                <wp:wrapNone/>
                <wp:docPr id="7"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000" cy="1270"/>
                          <a:chOff x="1417" y="-260"/>
                          <a:chExt cx="2098" cy="2"/>
                        </a:xfrm>
                      </wpg:grpSpPr>
                      <wps:wsp>
                        <wps:cNvPr id="8" name="Freeform 122"/>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392B1" id="Group 121" o:spid="_x0000_s1026" style="position:absolute;margin-left:87.2pt;margin-top:10.1pt;width:113.4pt;height:.1pt;z-index:-251658235;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">
                <v:shape id="Freeform 122"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" path="m,l2098,e" filled="f" strokecolor="#c96d61" strokeweight="3pt">
                  <v:path arrowok="t" o:connecttype="custom" o:connectlocs="0,0;2098,0" o:connectangles="0,0"/>
                </v:shape>
                <w10:wrap anchorx="page"/>
              </v:group>
            </w:pict>
          </mc:Fallback>
        </mc:AlternateContent>
      </w:r>
    </w:p>
    <w:p w14:paraId="31CAB430" w14:textId="77777777" w:rsidR="00EA0327" w:rsidRDefault="00EA0327" w:rsidP="003E0A36">
      <w:pPr>
        <w:pStyle w:val="BodyText"/>
        <w:numPr>
          <w:ilvl w:val="0"/>
          <w:numId w:val="0"/>
        </w:numPr>
        <w:ind w:left="709"/>
        <w:rPr>
          <w:rFonts w:eastAsia="Metropolis Light"/>
        </w:rPr>
      </w:pPr>
    </w:p>
    <w:p w14:paraId="040FF804" w14:textId="77777777" w:rsidR="00EA0327" w:rsidRDefault="00EA0327" w:rsidP="00EA0327">
      <w:pPr>
        <w:pStyle w:val="BodyText"/>
        <w:ind w:firstLine="0"/>
        <w:rPr>
          <w:rFonts w:eastAsia="Metropolis Light"/>
        </w:rPr>
        <w:sectPr w:rsidR="00EA0327" w:rsidSect="00D50ACF">
          <w:headerReference w:type="default" r:id="rId28"/>
          <w:footnotePr>
            <w:numRestart w:val="eachSect"/>
          </w:footnotePr>
          <w:pgSz w:w="11920" w:h="16840"/>
          <w:pgMar w:top="1134" w:right="1134" w:bottom="1134" w:left="1701" w:header="499" w:footer="46" w:gutter="0"/>
          <w:cols w:space="720"/>
        </w:sectPr>
      </w:pPr>
    </w:p>
    <w:p w14:paraId="53AB7E75" w14:textId="77777777" w:rsidR="00D67F32" w:rsidRPr="00650E87" w:rsidRDefault="00D67F32" w:rsidP="00D67F32">
      <w:pPr>
        <w:spacing w:after="0" w:line="200" w:lineRule="exact"/>
        <w:rPr>
          <w:szCs w:val="20"/>
        </w:rPr>
      </w:pPr>
    </w:p>
    <w:p w14:paraId="080420FC" w14:textId="2D2334B2" w:rsidR="00EF2C5E" w:rsidRDefault="00EF2C5E" w:rsidP="00EF2C5E">
      <w:pPr>
        <w:spacing w:before="55" w:after="0" w:line="240" w:lineRule="auto"/>
        <w:ind w:left="114" w:right="-20" w:hanging="114"/>
        <w:rPr>
          <w:rFonts w:ascii="Metropolis" w:eastAsia="Metropolis" w:hAnsi="Metropolis" w:cs="Metropolis"/>
          <w:sz w:val="21"/>
          <w:szCs w:val="21"/>
        </w:rPr>
      </w:pPr>
      <w:r>
        <w:rPr>
          <w:rFonts w:ascii="Metropolis" w:eastAsia="Metropolis" w:hAnsi="Metropolis" w:cs="Metropolis"/>
          <w:b/>
          <w:bCs/>
          <w:color w:val="C96D61"/>
          <w:sz w:val="21"/>
          <w:szCs w:val="21"/>
        </w:rPr>
        <w:t>PART ONE</w:t>
      </w:r>
    </w:p>
    <w:p w14:paraId="21722BB4" w14:textId="77777777" w:rsidR="00EF2C5E" w:rsidRDefault="00EF2C5E" w:rsidP="00EF2C5E">
      <w:pPr>
        <w:spacing w:after="0" w:line="200" w:lineRule="exact"/>
        <w:rPr>
          <w:szCs w:val="20"/>
        </w:rPr>
      </w:pPr>
      <w:r>
        <w:rPr>
          <w:noProof/>
        </w:rPr>
        <mc:AlternateContent>
          <mc:Choice Requires="wpg">
            <w:drawing>
              <wp:anchor distT="0" distB="0" distL="114300" distR="114300" simplePos="0" relativeHeight="251658249" behindDoc="1" locked="0" layoutInCell="1" allowOverlap="1" wp14:anchorId="71C135FA" wp14:editId="3C3604E0">
                <wp:simplePos x="0" y="0"/>
                <wp:positionH relativeFrom="page">
                  <wp:posOffset>1057910</wp:posOffset>
                </wp:positionH>
                <wp:positionV relativeFrom="paragraph">
                  <wp:posOffset>171450</wp:posOffset>
                </wp:positionV>
                <wp:extent cx="1332230" cy="1270"/>
                <wp:effectExtent l="0" t="19050" r="20320" b="17780"/>
                <wp:wrapNone/>
                <wp:docPr id="1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535"/>
                          <a:chExt cx="2098" cy="2"/>
                        </a:xfrm>
                      </wpg:grpSpPr>
                      <wps:wsp>
                        <wps:cNvPr id="16" name="Freeform 9"/>
                        <wps:cNvSpPr>
                          <a:spLocks/>
                        </wps:cNvSpPr>
                        <wps:spPr bwMode="auto">
                          <a:xfrm>
                            <a:off x="1134" y="535"/>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D4CD5" id="Group 8" o:spid="_x0000_s1026" style="position:absolute;margin-left:83.3pt;margin-top:13.5pt;width:104.9pt;height:.1pt;z-index:-251658231;mso-position-horizontal-relative:page" coordorigin="1134,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">
                <v:shape id="Freeform 9" o:spid="_x0000_s1027" style="position:absolute;left:1134;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" path="m,l2097,e" filled="f" strokecolor="#c96d61" strokeweight="3pt">
                  <v:path arrowok="t" o:connecttype="custom" o:connectlocs="0,0;2097,0" o:connectangles="0,0"/>
                </v:shape>
                <w10:wrap anchorx="page"/>
              </v:group>
            </w:pict>
          </mc:Fallback>
        </mc:AlternateContent>
      </w:r>
    </w:p>
    <w:p w14:paraId="02610A70" w14:textId="1CEA67A0" w:rsidR="00D67F32" w:rsidRDefault="00872C7A" w:rsidP="00516ADB">
      <w:pPr>
        <w:pStyle w:val="Heading1"/>
        <w:spacing w:line="283" w:lineRule="auto"/>
      </w:pPr>
      <w:bookmarkStart w:id="22" w:name="_Toc117063093"/>
      <w:bookmarkStart w:id="23" w:name="_Toc118119285"/>
      <w:r w:rsidRPr="00872C7A">
        <w:t xml:space="preserve">Aotearoa New Zealand’s </w:t>
      </w:r>
      <w:r w:rsidR="00E97783">
        <w:t>e</w:t>
      </w:r>
      <w:r w:rsidRPr="00872C7A">
        <w:t xml:space="preserve">volving </w:t>
      </w:r>
      <w:r w:rsidR="00E97783">
        <w:t>c</w:t>
      </w:r>
      <w:r w:rsidRPr="00872C7A">
        <w:t xml:space="preserve">onstitutional </w:t>
      </w:r>
      <w:r w:rsidR="00E97783">
        <w:t>f</w:t>
      </w:r>
      <w:r w:rsidRPr="00872C7A">
        <w:t>ramework</w:t>
      </w:r>
      <w:bookmarkEnd w:id="22"/>
      <w:bookmarkEnd w:id="23"/>
    </w:p>
    <w:p w14:paraId="5FDA0E34" w14:textId="77777777" w:rsidR="00D67F32" w:rsidRDefault="00D67F32" w:rsidP="00D67F32">
      <w:pPr>
        <w:spacing w:after="0" w:line="200" w:lineRule="exact"/>
        <w:rPr>
          <w:szCs w:val="20"/>
        </w:rPr>
      </w:pPr>
    </w:p>
    <w:p w14:paraId="4B5FBE7A" w14:textId="6B496A25" w:rsidR="00D67F32" w:rsidRDefault="005B7B25" w:rsidP="00D67F32">
      <w:pPr>
        <w:spacing w:after="0" w:line="200" w:lineRule="exact"/>
        <w:rPr>
          <w:szCs w:val="20"/>
        </w:rPr>
      </w:pPr>
      <w:r>
        <w:rPr>
          <w:noProof/>
        </w:rPr>
        <mc:AlternateContent>
          <mc:Choice Requires="wpg">
            <w:drawing>
              <wp:anchor distT="0" distB="0" distL="114300" distR="114300" simplePos="0" relativeHeight="251658246" behindDoc="1" locked="0" layoutInCell="1" allowOverlap="1" wp14:anchorId="6F127FBA" wp14:editId="009EA4C3">
                <wp:simplePos x="0" y="0"/>
                <wp:positionH relativeFrom="page">
                  <wp:posOffset>1057910</wp:posOffset>
                </wp:positionH>
                <wp:positionV relativeFrom="paragraph">
                  <wp:posOffset>152400</wp:posOffset>
                </wp:positionV>
                <wp:extent cx="1332230" cy="1270"/>
                <wp:effectExtent l="0" t="19050" r="20320" b="17780"/>
                <wp:wrapNone/>
                <wp:docPr id="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260"/>
                          <a:chExt cx="2098" cy="2"/>
                        </a:xfrm>
                      </wpg:grpSpPr>
                      <wps:wsp>
                        <wps:cNvPr id="12" name="Freeform 7"/>
                        <wps:cNvSpPr>
                          <a:spLocks/>
                        </wps:cNvSpPr>
                        <wps:spPr bwMode="auto">
                          <a:xfrm>
                            <a:off x="1134" y="-26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A48AF" id="Group 6" o:spid="_x0000_s1026" style="position:absolute;margin-left:83.3pt;margin-top:12pt;width:104.9pt;height:.1pt;z-index:-251658234;mso-position-horizontal-relative:page" coordorigin="1134,-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">
                <v:shape id="Freeform 7" o:spid="_x0000_s1027" style="position:absolute;left:1134;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" path="m,l2097,e" filled="f" strokecolor="#c96d61" strokeweight="3pt">
                  <v:path arrowok="t" o:connecttype="custom" o:connectlocs="0,0;2097,0" o:connectangles="0,0"/>
                </v:shape>
                <w10:wrap anchorx="page"/>
              </v:group>
            </w:pict>
          </mc:Fallback>
        </mc:AlternateContent>
      </w:r>
    </w:p>
    <w:p w14:paraId="36925F87" w14:textId="77777777" w:rsidR="00D67F32" w:rsidRDefault="00D67F32" w:rsidP="00D67F32">
      <w:pPr>
        <w:spacing w:after="0" w:line="240" w:lineRule="auto"/>
        <w:ind w:left="114" w:right="-20" w:hanging="114"/>
        <w:rPr>
          <w:rFonts w:ascii="Metropolis" w:eastAsia="Metropolis" w:hAnsi="Metropolis" w:cs="Metropolis"/>
          <w:sz w:val="21"/>
          <w:szCs w:val="21"/>
        </w:rPr>
      </w:pPr>
    </w:p>
    <w:p w14:paraId="753E7AC3" w14:textId="77777777" w:rsidR="005B7B25" w:rsidRPr="005B7B25" w:rsidRDefault="005B7B25" w:rsidP="00556B28">
      <w:pPr>
        <w:pStyle w:val="ListParagraph"/>
        <w:numPr>
          <w:ilvl w:val="0"/>
          <w:numId w:val="13"/>
        </w:numPr>
        <w:contextualSpacing w:val="0"/>
        <w:jc w:val="both"/>
        <w:rPr>
          <w:rFonts w:eastAsia="Metropolis Light" w:cs="Times New Roman"/>
          <w:vanish/>
          <w:sz w:val="20"/>
          <w:szCs w:val="24"/>
          <w:lang w:eastAsia="en-AU"/>
        </w:rPr>
      </w:pPr>
    </w:p>
    <w:p w14:paraId="5DFEA8F7" w14:textId="4F377E90" w:rsidR="00484D86" w:rsidRPr="001F497A" w:rsidRDefault="00E97783" w:rsidP="00520808">
      <w:pPr>
        <w:pStyle w:val="Heading2"/>
      </w:pPr>
      <w:bookmarkStart w:id="24" w:name="_Toc105321143"/>
      <w:bookmarkStart w:id="25" w:name="_Toc105321326"/>
      <w:bookmarkStart w:id="26" w:name="_Toc105321458"/>
      <w:bookmarkStart w:id="27" w:name="_Toc116464808"/>
      <w:bookmarkStart w:id="28" w:name="_Toc117063094"/>
      <w:bookmarkStart w:id="29" w:name="_Toc118119286"/>
      <w:bookmarkEnd w:id="24"/>
      <w:bookmarkEnd w:id="25"/>
      <w:bookmarkEnd w:id="26"/>
      <w:r>
        <w:t>E</w:t>
      </w:r>
      <w:r w:rsidR="00484D86" w:rsidRPr="001F497A">
        <w:t>arlier Law Commission work on emergencies</w:t>
      </w:r>
      <w:bookmarkEnd w:id="27"/>
      <w:bookmarkEnd w:id="28"/>
      <w:bookmarkEnd w:id="29"/>
    </w:p>
    <w:p w14:paraId="0DA4FA07" w14:textId="04830FA7" w:rsidR="00484D86" w:rsidRDefault="00D31197" w:rsidP="00FB32D6">
      <w:pPr>
        <w:pStyle w:val="BodyTextnonum"/>
      </w:pPr>
      <w:proofErr w:type="spellStart"/>
      <w:r w:rsidRPr="00DC2776">
        <w:t>Te</w:t>
      </w:r>
      <w:proofErr w:type="spellEnd"/>
      <w:r w:rsidRPr="00DC2776">
        <w:t xml:space="preserve"> Aka Matua o </w:t>
      </w:r>
      <w:proofErr w:type="spellStart"/>
      <w:r w:rsidRPr="00DC2776">
        <w:t>te</w:t>
      </w:r>
      <w:proofErr w:type="spellEnd"/>
      <w:r w:rsidRPr="00DC2776">
        <w:t xml:space="preserve"> Ture</w:t>
      </w:r>
      <w:r>
        <w:t xml:space="preserve"> |</w:t>
      </w:r>
      <w:r w:rsidRPr="00DC2776">
        <w:t xml:space="preserve"> </w:t>
      </w:r>
      <w:r w:rsidR="00484D86" w:rsidRPr="001F497A">
        <w:t>Law Commission</w:t>
      </w:r>
      <w:r w:rsidR="009C0EC0">
        <w:t xml:space="preserve"> (Commission)</w:t>
      </w:r>
      <w:r w:rsidR="00484D86" w:rsidRPr="001F497A">
        <w:t xml:space="preserve">’s 1991 </w:t>
      </w:r>
      <w:r w:rsidR="00484D86" w:rsidRPr="001F497A">
        <w:rPr>
          <w:i/>
        </w:rPr>
        <w:t>Final Report on Emergencies</w:t>
      </w:r>
      <w:r w:rsidR="00484D86" w:rsidRPr="001F497A">
        <w:t xml:space="preserve"> </w:t>
      </w:r>
      <w:r w:rsidR="00E97783">
        <w:t xml:space="preserve">(1991 Report) </w:t>
      </w:r>
      <w:r w:rsidR="00484D86" w:rsidRPr="001F497A">
        <w:t xml:space="preserve">was an important contribution to the identification of the legislative principles and practices </w:t>
      </w:r>
      <w:r w:rsidR="00E97783">
        <w:t>that</w:t>
      </w:r>
      <w:r w:rsidR="00E97783" w:rsidRPr="001F497A">
        <w:t xml:space="preserve"> </w:t>
      </w:r>
      <w:r w:rsidR="00484D86" w:rsidRPr="001F497A">
        <w:t xml:space="preserve">should govern emergencies in </w:t>
      </w:r>
      <w:r w:rsidR="00484D86">
        <w:t xml:space="preserve">Aotearoa </w:t>
      </w:r>
      <w:r w:rsidR="00484D86" w:rsidRPr="001F497A">
        <w:t>New Zealand.</w:t>
      </w:r>
      <w:r w:rsidR="00484D86" w:rsidRPr="001F497A">
        <w:rPr>
          <w:rStyle w:val="FootnoteReference"/>
        </w:rPr>
        <w:footnoteReference w:id="7"/>
      </w:r>
      <w:r w:rsidR="00484D86" w:rsidRPr="001F497A">
        <w:t xml:space="preserve"> The 1991 Report was informed by the ways in which successive New Zealand governments had used the broad emergency powers conferred in the Economic Stabilisation Act </w:t>
      </w:r>
      <w:r w:rsidR="0028463E">
        <w:t>1948</w:t>
      </w:r>
      <w:r w:rsidR="00484D86" w:rsidRPr="001F497A">
        <w:t xml:space="preserve"> and the Public Safety Conservation Act </w:t>
      </w:r>
      <w:r w:rsidR="0028463E">
        <w:t xml:space="preserve">1932 </w:t>
      </w:r>
      <w:r w:rsidR="00484D86" w:rsidRPr="001F497A">
        <w:t>to extend their executive powers.</w:t>
      </w:r>
      <w:r w:rsidR="00484D86" w:rsidRPr="001F497A">
        <w:rPr>
          <w:rStyle w:val="FootnoteReference"/>
        </w:rPr>
        <w:footnoteReference w:id="8"/>
      </w:r>
      <w:r w:rsidR="00484D86" w:rsidRPr="001F497A">
        <w:t xml:space="preserve"> Both of these statutes left the question of when emergency powers were justified to the Prime Minister’s individual judg</w:t>
      </w:r>
      <w:r w:rsidR="001C4CCD">
        <w:t>e</w:t>
      </w:r>
      <w:r w:rsidR="00484D86" w:rsidRPr="001F497A">
        <w:t>ment and conferred extensive powers on the Prime Minister with little by way of safeguards. These Acts remained part of the law of</w:t>
      </w:r>
      <w:r w:rsidR="00851AD6">
        <w:t xml:space="preserve"> </w:t>
      </w:r>
      <w:r w:rsidR="00484D86" w:rsidRPr="001F497A">
        <w:t xml:space="preserve">New Zealand until their repeal in 1987. </w:t>
      </w:r>
    </w:p>
    <w:p w14:paraId="04CE82A9" w14:textId="6D7C94D9" w:rsidR="00484D86" w:rsidRDefault="00484D86" w:rsidP="00FB32D6">
      <w:pPr>
        <w:pStyle w:val="BodyTextnonum"/>
      </w:pPr>
      <w:r>
        <w:t xml:space="preserve">The 1991 Report referred to the </w:t>
      </w:r>
      <w:r w:rsidRPr="00F21F36">
        <w:t xml:space="preserve">various </w:t>
      </w:r>
      <w:r>
        <w:t xml:space="preserve">stages of </w:t>
      </w:r>
      <w:r w:rsidRPr="00F21F36">
        <w:t xml:space="preserve">the </w:t>
      </w:r>
      <w:r>
        <w:t xml:space="preserve">so-called </w:t>
      </w:r>
      <w:r w:rsidRPr="00F21F36">
        <w:t>emergency continuum.</w:t>
      </w:r>
      <w:r>
        <w:rPr>
          <w:rStyle w:val="FootnoteReference"/>
        </w:rPr>
        <w:footnoteReference w:id="9"/>
      </w:r>
      <w:r>
        <w:t xml:space="preserve"> </w:t>
      </w:r>
      <w:r w:rsidRPr="00F21F36">
        <w:t xml:space="preserve">The </w:t>
      </w:r>
      <w:r w:rsidRPr="00F21F36">
        <w:rPr>
          <w:i/>
          <w:iCs/>
        </w:rPr>
        <w:t>mitigation</w:t>
      </w:r>
      <w:r w:rsidRPr="00F21F36">
        <w:t xml:space="preserve"> phase involves attempt</w:t>
      </w:r>
      <w:r>
        <w:t>s</w:t>
      </w:r>
      <w:r w:rsidRPr="00F21F36">
        <w:t xml:space="preserve"> to prevent an emergency from arising or to</w:t>
      </w:r>
      <w:r>
        <w:t xml:space="preserve"> </w:t>
      </w:r>
      <w:r w:rsidRPr="00F21F36">
        <w:t xml:space="preserve">reduce its effects if it does occur. </w:t>
      </w:r>
      <w:r>
        <w:t>T</w:t>
      </w:r>
      <w:r w:rsidRPr="00F21F36">
        <w:t xml:space="preserve">he </w:t>
      </w:r>
      <w:r w:rsidRPr="00F21F36">
        <w:rPr>
          <w:i/>
          <w:iCs/>
        </w:rPr>
        <w:t>preparedness</w:t>
      </w:r>
      <w:r w:rsidRPr="00F21F36">
        <w:t xml:space="preserve"> phase</w:t>
      </w:r>
      <w:r>
        <w:t xml:space="preserve"> refers to planning for an emergency</w:t>
      </w:r>
      <w:r w:rsidRPr="00F21F36">
        <w:t xml:space="preserve">. The measures taken to deal with the immediate effects of the emergency itself are the </w:t>
      </w:r>
      <w:r w:rsidRPr="00F21F36">
        <w:rPr>
          <w:i/>
          <w:iCs/>
        </w:rPr>
        <w:t>response</w:t>
      </w:r>
      <w:r w:rsidRPr="00F21F36">
        <w:t xml:space="preserve"> phase. And steps will have to be taken to address the problems arising from the emergency</w:t>
      </w:r>
      <w:r>
        <w:t xml:space="preserve"> in </w:t>
      </w:r>
      <w:r w:rsidRPr="00F21F36">
        <w:t xml:space="preserve">the </w:t>
      </w:r>
      <w:r w:rsidRPr="00F21F36">
        <w:rPr>
          <w:i/>
          <w:iCs/>
        </w:rPr>
        <w:t>recovery</w:t>
      </w:r>
      <w:r w:rsidRPr="00F21F36">
        <w:t xml:space="preserve"> phase. The Commission was primarily concerned with the </w:t>
      </w:r>
      <w:r w:rsidRPr="00F21F36">
        <w:rPr>
          <w:i/>
          <w:iCs/>
        </w:rPr>
        <w:t xml:space="preserve">response </w:t>
      </w:r>
      <w:r w:rsidRPr="00B5195D">
        <w:t>or acute</w:t>
      </w:r>
      <w:r>
        <w:rPr>
          <w:i/>
          <w:iCs/>
        </w:rPr>
        <w:t xml:space="preserve"> </w:t>
      </w:r>
      <w:r w:rsidRPr="00F21F36">
        <w:t xml:space="preserve">phase of emergencies because it is </w:t>
      </w:r>
      <w:r>
        <w:t>during</w:t>
      </w:r>
      <w:r w:rsidRPr="00F21F36">
        <w:t xml:space="preserve"> this phase </w:t>
      </w:r>
      <w:r>
        <w:t xml:space="preserve">in which </w:t>
      </w:r>
      <w:r w:rsidRPr="00F21F36">
        <w:t xml:space="preserve">extraordinary powers </w:t>
      </w:r>
      <w:r>
        <w:t xml:space="preserve">tend to be most </w:t>
      </w:r>
      <w:r w:rsidRPr="00F21F36">
        <w:t xml:space="preserve">required. </w:t>
      </w:r>
      <w:r>
        <w:t xml:space="preserve">These phases are rarely as </w:t>
      </w:r>
      <w:r w:rsidR="001C4CCD">
        <w:t xml:space="preserve">discrete </w:t>
      </w:r>
      <w:r>
        <w:t>as the continuum describes. It is widely accepted that the response and recovery phases tend to occur in tandem. In a pandemic</w:t>
      </w:r>
      <w:proofErr w:type="gramStart"/>
      <w:r>
        <w:t>, in particular, mitigation</w:t>
      </w:r>
      <w:proofErr w:type="gramEnd"/>
      <w:r>
        <w:t xml:space="preserve"> measures may need to be in place throughout.</w:t>
      </w:r>
    </w:p>
    <w:p w14:paraId="591724A1" w14:textId="580BEDB6" w:rsidR="00484D86" w:rsidRDefault="00484D86" w:rsidP="00FB32D6">
      <w:pPr>
        <w:pStyle w:val="BodyTextnonum"/>
      </w:pPr>
      <w:r w:rsidRPr="001F497A">
        <w:t xml:space="preserve">Many of the recommendations made in the 1991 Report have since been adopted as best legislative practice. Following its recommendations, the practice has for the most part </w:t>
      </w:r>
      <w:r w:rsidRPr="001F497A">
        <w:lastRenderedPageBreak/>
        <w:t xml:space="preserve">been to avoid the conferral of broad powers to deal with </w:t>
      </w:r>
      <w:r>
        <w:t xml:space="preserve">a range of </w:t>
      </w:r>
      <w:r w:rsidRPr="001F497A">
        <w:t xml:space="preserve">emergencies in a single Act, preferring instead a sectoral approach </w:t>
      </w:r>
      <w:r>
        <w:t>tailoring</w:t>
      </w:r>
      <w:r w:rsidRPr="001F497A">
        <w:t xml:space="preserve"> </w:t>
      </w:r>
      <w:r>
        <w:t xml:space="preserve">the powers required for </w:t>
      </w:r>
      <w:r w:rsidRPr="001F497A">
        <w:t>different kinds of emergencies</w:t>
      </w:r>
      <w:r>
        <w:t xml:space="preserve"> in </w:t>
      </w:r>
      <w:r w:rsidR="001C4CCD">
        <w:t xml:space="preserve">discrete </w:t>
      </w:r>
      <w:r>
        <w:t>legislation</w:t>
      </w:r>
      <w:r w:rsidRPr="001F497A">
        <w:t xml:space="preserve">. The decision to trigger the most extensive </w:t>
      </w:r>
      <w:r>
        <w:t xml:space="preserve">national </w:t>
      </w:r>
      <w:r w:rsidRPr="001F497A">
        <w:t>emergency powers</w:t>
      </w:r>
      <w:r>
        <w:t xml:space="preserve"> </w:t>
      </w:r>
      <w:r w:rsidRPr="001F497A">
        <w:t xml:space="preserve">is no longer left to the subjective assessment of the Prime Minister alone. Declarations of emergency are now subject to detailed rules about how they </w:t>
      </w:r>
      <w:r>
        <w:t>are</w:t>
      </w:r>
      <w:r w:rsidRPr="001F497A">
        <w:t xml:space="preserve"> triggered and </w:t>
      </w:r>
      <w:r>
        <w:t xml:space="preserve">by whom and are subject to the oversight of the </w:t>
      </w:r>
      <w:r w:rsidRPr="001F497A">
        <w:t>House of Representatives.</w:t>
      </w:r>
      <w:r w:rsidRPr="001F497A">
        <w:rPr>
          <w:rStyle w:val="FootnoteReference"/>
        </w:rPr>
        <w:footnoteReference w:id="10"/>
      </w:r>
      <w:r w:rsidRPr="001F497A">
        <w:t xml:space="preserve"> </w:t>
      </w:r>
      <w:r>
        <w:t>In each case</w:t>
      </w:r>
      <w:r w:rsidR="005459E0">
        <w:t>,</w:t>
      </w:r>
      <w:r>
        <w:t xml:space="preserve"> bespoke l</w:t>
      </w:r>
      <w:r w:rsidRPr="001F497A">
        <w:t xml:space="preserve">egislation enacted to deal with </w:t>
      </w:r>
      <w:proofErr w:type="gramStart"/>
      <w:r w:rsidRPr="001F497A">
        <w:t>particular emergencies</w:t>
      </w:r>
      <w:proofErr w:type="gramEnd"/>
      <w:r w:rsidRPr="001F497A">
        <w:t xml:space="preserve"> such as in response to the Canterbury and </w:t>
      </w:r>
      <w:proofErr w:type="spellStart"/>
      <w:r w:rsidRPr="001F497A">
        <w:t>Kaik</w:t>
      </w:r>
      <w:proofErr w:type="spellEnd"/>
      <w:r>
        <w:rPr>
          <w:lang w:val="en-CA"/>
        </w:rPr>
        <w:t>ō</w:t>
      </w:r>
      <w:proofErr w:type="spellStart"/>
      <w:r w:rsidRPr="001F497A">
        <w:t>ura</w:t>
      </w:r>
      <w:proofErr w:type="spellEnd"/>
      <w:r w:rsidRPr="001F497A">
        <w:t xml:space="preserve"> </w:t>
      </w:r>
      <w:r w:rsidR="005459E0">
        <w:t>e</w:t>
      </w:r>
      <w:r w:rsidRPr="001F497A">
        <w:t>arthquakes and the C</w:t>
      </w:r>
      <w:r w:rsidR="0061070F">
        <w:t>OVID</w:t>
      </w:r>
      <w:r w:rsidRPr="001F497A">
        <w:t>-19 pandemic has been set to expire within a stated timeframe.</w:t>
      </w:r>
      <w:r w:rsidRPr="001F497A">
        <w:rPr>
          <w:rStyle w:val="FootnoteReference"/>
        </w:rPr>
        <w:footnoteReference w:id="11"/>
      </w:r>
      <w:r w:rsidRPr="001F497A">
        <w:t xml:space="preserve"> </w:t>
      </w:r>
    </w:p>
    <w:p w14:paraId="13BE449B" w14:textId="43293FD5" w:rsidR="00484D86" w:rsidRDefault="00484D86" w:rsidP="00FB32D6">
      <w:pPr>
        <w:pStyle w:val="BodyTextnonum"/>
      </w:pPr>
      <w:r>
        <w:t xml:space="preserve">The 1991 Report identified enduring questions </w:t>
      </w:r>
      <w:r w:rsidR="005459E0">
        <w:t xml:space="preserve">that </w:t>
      </w:r>
      <w:r>
        <w:t>remain as relevant today as they were in 1991</w:t>
      </w:r>
      <w:r w:rsidRPr="001F497A">
        <w:t>:</w:t>
      </w:r>
    </w:p>
    <w:p w14:paraId="02B819C7" w14:textId="4EFAE3D6" w:rsidR="00484D86" w:rsidRPr="001F497A" w:rsidRDefault="00484D86">
      <w:pPr>
        <w:pStyle w:val="BodyTextalphalist"/>
      </w:pPr>
      <w:r w:rsidRPr="001F497A">
        <w:t xml:space="preserve">What executive powers are needed and justified to deal effectively with a national emergency in </w:t>
      </w:r>
      <w:r w:rsidR="00851AD6">
        <w:t>Aotearoa</w:t>
      </w:r>
      <w:r w:rsidR="00851AD6" w:rsidRPr="001F497A">
        <w:t xml:space="preserve"> </w:t>
      </w:r>
      <w:r w:rsidRPr="001F497A">
        <w:t>New Zealand and in a manner consistent with our basic constitutional system and traditions</w:t>
      </w:r>
      <w:r w:rsidR="005459E0">
        <w:t>?</w:t>
      </w:r>
    </w:p>
    <w:p w14:paraId="6BC1ABDA" w14:textId="0A035BC4" w:rsidR="00484D86" w:rsidRPr="001F497A" w:rsidRDefault="00484D86">
      <w:pPr>
        <w:pStyle w:val="BodyTextalphalist"/>
      </w:pPr>
      <w:r w:rsidRPr="001F497A">
        <w:t>What rights and freedoms ought to be derogated from in any national emergency</w:t>
      </w:r>
      <w:r w:rsidR="005459E0">
        <w:t>?</w:t>
      </w:r>
      <w:r w:rsidRPr="001F497A">
        <w:t xml:space="preserve"> </w:t>
      </w:r>
    </w:p>
    <w:p w14:paraId="7FEAABC0" w14:textId="3DE42B92" w:rsidR="00484D86" w:rsidRPr="001F497A" w:rsidRDefault="00484D86">
      <w:pPr>
        <w:pStyle w:val="BodyTextalphalist"/>
      </w:pPr>
      <w:r w:rsidRPr="001F497A">
        <w:t>What procedures are most appropriate for bringing emergency powers into effect</w:t>
      </w:r>
      <w:r w:rsidR="005459E0">
        <w:t>?</w:t>
      </w:r>
    </w:p>
    <w:p w14:paraId="68CBE8B2" w14:textId="756850CF" w:rsidR="00484D86" w:rsidRPr="001F497A" w:rsidRDefault="00484D86">
      <w:pPr>
        <w:pStyle w:val="BodyTextalphalist"/>
      </w:pPr>
      <w:r w:rsidRPr="001F497A">
        <w:t>What safeguards are needed to confine the exercise of emergency powers to a national emergency</w:t>
      </w:r>
      <w:r w:rsidR="005459E0">
        <w:t>?</w:t>
      </w:r>
      <w:r w:rsidRPr="001F497A">
        <w:t xml:space="preserve"> </w:t>
      </w:r>
    </w:p>
    <w:p w14:paraId="71AAEFEB" w14:textId="3DF10E0F" w:rsidR="00484D86" w:rsidRPr="001F497A" w:rsidRDefault="00484D86">
      <w:pPr>
        <w:pStyle w:val="BodyTextalphalist"/>
      </w:pPr>
      <w:r w:rsidRPr="001F497A">
        <w:t>What limits and controls should be placed on the exercise of emergency powers, and what remedies should there be for the abuse of these powers</w:t>
      </w:r>
      <w:r w:rsidR="005459E0">
        <w:t>?</w:t>
      </w:r>
    </w:p>
    <w:p w14:paraId="45C302DB" w14:textId="1CA7F61D" w:rsidR="00484D86" w:rsidRDefault="00484D86">
      <w:pPr>
        <w:pStyle w:val="BodyTextalphalist"/>
      </w:pPr>
      <w:r w:rsidRPr="001F497A">
        <w:t>What changes are needed in the existing law to achieve these objects?</w:t>
      </w:r>
    </w:p>
    <w:p w14:paraId="46FA6EC7" w14:textId="45E6458C" w:rsidR="00484D86" w:rsidRPr="001F497A" w:rsidRDefault="00484D86" w:rsidP="00FB32D6">
      <w:pPr>
        <w:pStyle w:val="BodyTextnonum"/>
      </w:pPr>
      <w:r w:rsidRPr="001F497A">
        <w:t>Even the wisest among us, however, are limited by our imaginations and experiences</w:t>
      </w:r>
      <w:r w:rsidR="005459E0">
        <w:t>,</w:t>
      </w:r>
      <w:r w:rsidRPr="001F497A">
        <w:t xml:space="preserve"> </w:t>
      </w:r>
      <w:r w:rsidR="005459E0">
        <w:t xml:space="preserve">which </w:t>
      </w:r>
      <w:r w:rsidRPr="001F497A">
        <w:t xml:space="preserve">is something we all need to keep uppermost in our minds when designing and recommending legal frameworks for emergencies (including </w:t>
      </w:r>
      <w:r>
        <w:t xml:space="preserve">in </w:t>
      </w:r>
      <w:r w:rsidRPr="001F497A">
        <w:t xml:space="preserve">this study itself). Despite its excellent and enduring qualities, the 1991 Report said very little about human diseases. </w:t>
      </w:r>
      <w:r>
        <w:t>It contained o</w:t>
      </w:r>
      <w:r w:rsidRPr="001F497A">
        <w:t>nly four paragraphs specifically devoted to the issue of epidemics and the related powers under the Health Act 1956. The experience</w:t>
      </w:r>
      <w:r>
        <w:t>s</w:t>
      </w:r>
      <w:r w:rsidRPr="001F497A">
        <w:t xml:space="preserve"> of the </w:t>
      </w:r>
      <w:r>
        <w:t>earlier SARs threat and of C</w:t>
      </w:r>
      <w:r w:rsidR="0061070F">
        <w:t>OVID</w:t>
      </w:r>
      <w:r>
        <w:t xml:space="preserve">-19 over the </w:t>
      </w:r>
      <w:r w:rsidRPr="001F497A">
        <w:t xml:space="preserve">last </w:t>
      </w:r>
      <w:r w:rsidR="001565F5">
        <w:t>3</w:t>
      </w:r>
      <w:r w:rsidR="001565F5" w:rsidRPr="001F497A">
        <w:t xml:space="preserve"> </w:t>
      </w:r>
      <w:r w:rsidRPr="001F497A">
        <w:t xml:space="preserve">years suggest that pandemic-type events have certain distinctive features </w:t>
      </w:r>
      <w:r w:rsidR="005459E0">
        <w:t>that</w:t>
      </w:r>
      <w:r w:rsidR="005459E0" w:rsidRPr="001F497A">
        <w:t xml:space="preserve"> </w:t>
      </w:r>
      <w:r w:rsidRPr="001F497A">
        <w:t xml:space="preserve">need to be considered in the design of any legal regime. </w:t>
      </w:r>
      <w:r>
        <w:t xml:space="preserve">Moreover, </w:t>
      </w:r>
      <w:proofErr w:type="gramStart"/>
      <w:r>
        <w:t>a</w:t>
      </w:r>
      <w:r w:rsidRPr="001F497A">
        <w:t xml:space="preserve"> number of</w:t>
      </w:r>
      <w:proofErr w:type="gramEnd"/>
      <w:r w:rsidRPr="001F497A">
        <w:t xml:space="preserve"> Aotearoa New Zealand’s background constitutional and legal norms and expectations have developed and changed since 1991 and are likely to continue to do so. </w:t>
      </w:r>
    </w:p>
    <w:p w14:paraId="7FC29A94" w14:textId="4B76F081" w:rsidR="00484D86" w:rsidRPr="00F9637E" w:rsidRDefault="00484D86" w:rsidP="00F9637E">
      <w:pPr>
        <w:pStyle w:val="Heading2"/>
      </w:pPr>
      <w:bookmarkStart w:id="30" w:name="_Toc116464809"/>
      <w:bookmarkStart w:id="31" w:name="_Toc117063095"/>
      <w:bookmarkStart w:id="32" w:name="_Toc118119287"/>
      <w:bookmarkStart w:id="33" w:name="_Hlk107814307"/>
      <w:r w:rsidRPr="00F9637E">
        <w:t>Changes since 1991: The development and recognition of legal and constitutional norms</w:t>
      </w:r>
      <w:bookmarkEnd w:id="30"/>
      <w:bookmarkEnd w:id="31"/>
      <w:bookmarkEnd w:id="32"/>
      <w:r w:rsidRPr="00F9637E">
        <w:t xml:space="preserve"> </w:t>
      </w:r>
    </w:p>
    <w:bookmarkEnd w:id="33"/>
    <w:p w14:paraId="67B12596" w14:textId="4FDF285A" w:rsidR="00484D86" w:rsidRDefault="00484D86" w:rsidP="00FB32D6">
      <w:pPr>
        <w:pStyle w:val="BodyTextnonum"/>
      </w:pPr>
      <w:r w:rsidRPr="001F497A">
        <w:t xml:space="preserve">I turn now to discuss in more detail some of the important legal </w:t>
      </w:r>
      <w:r>
        <w:t>norms</w:t>
      </w:r>
      <w:r w:rsidRPr="001F497A">
        <w:t xml:space="preserve"> </w:t>
      </w:r>
      <w:r w:rsidR="004C7B35">
        <w:t>that</w:t>
      </w:r>
      <w:r w:rsidRPr="001F497A">
        <w:t xml:space="preserve"> </w:t>
      </w:r>
      <w:r>
        <w:t>have been recogni</w:t>
      </w:r>
      <w:r w:rsidR="004C7B35">
        <w:t>s</w:t>
      </w:r>
      <w:r>
        <w:t xml:space="preserve">ed or developed since 1991 and </w:t>
      </w:r>
      <w:r w:rsidRPr="001F497A">
        <w:t>should inform a</w:t>
      </w:r>
      <w:r>
        <w:t>ny</w:t>
      </w:r>
      <w:r w:rsidRPr="001F497A">
        <w:t xml:space="preserve"> standing legislative regime to govern pandemics and other emergencies </w:t>
      </w:r>
      <w:r w:rsidR="004C7B35">
        <w:t>–</w:t>
      </w:r>
      <w:r w:rsidRPr="001F497A">
        <w:t xml:space="preserve"> conscious that these will </w:t>
      </w:r>
      <w:r>
        <w:t xml:space="preserve">continue to </w:t>
      </w:r>
      <w:r w:rsidRPr="001F497A">
        <w:t xml:space="preserve">develop over time. I begin each section with the constitutional expectations </w:t>
      </w:r>
      <w:r>
        <w:t>that</w:t>
      </w:r>
      <w:r w:rsidRPr="001F497A">
        <w:t xml:space="preserve"> operate in </w:t>
      </w:r>
      <w:r w:rsidRPr="001F497A">
        <w:lastRenderedPageBreak/>
        <w:t xml:space="preserve">ordinary times before turning to the question of </w:t>
      </w:r>
      <w:r>
        <w:t xml:space="preserve">whether or </w:t>
      </w:r>
      <w:r w:rsidRPr="001F497A">
        <w:t>how much they should be derogated from in an emergency.</w:t>
      </w:r>
      <w:r>
        <w:t xml:space="preserve"> </w:t>
      </w:r>
    </w:p>
    <w:p w14:paraId="11FBD538" w14:textId="77777777" w:rsidR="00484D86" w:rsidRPr="00B76D98" w:rsidRDefault="00484D86" w:rsidP="00C65001">
      <w:pPr>
        <w:pStyle w:val="Heading3"/>
      </w:pPr>
      <w:bookmarkStart w:id="34" w:name="_Toc116464810"/>
      <w:bookmarkStart w:id="35" w:name="_Toc117063096"/>
      <w:bookmarkStart w:id="36" w:name="_Toc118119288"/>
      <w:r>
        <w:t>Tikanga Māori</w:t>
      </w:r>
      <w:bookmarkEnd w:id="34"/>
      <w:bookmarkEnd w:id="35"/>
      <w:bookmarkEnd w:id="36"/>
      <w:r w:rsidRPr="00070D8A" w:rsidDel="003E413E">
        <w:t xml:space="preserve"> </w:t>
      </w:r>
    </w:p>
    <w:p w14:paraId="052F8423" w14:textId="4AF4B3C9" w:rsidR="00484D86" w:rsidRDefault="00484D86" w:rsidP="00FB32D6">
      <w:pPr>
        <w:pStyle w:val="BodyTextnonum"/>
        <w:rPr>
          <w:szCs w:val="20"/>
        </w:rPr>
      </w:pPr>
      <w:bookmarkStart w:id="37" w:name="_Toc108019225"/>
      <w:bookmarkStart w:id="38" w:name="_Toc108019262"/>
      <w:bookmarkStart w:id="39" w:name="_Toc108019385"/>
      <w:bookmarkEnd w:id="37"/>
      <w:bookmarkEnd w:id="38"/>
      <w:bookmarkEnd w:id="39"/>
      <w:r>
        <w:t>Tikanga Māori is constitutionally significant to Aotearoa New Zealand’s legal norms in four mutually reinforcing respects:</w:t>
      </w:r>
      <w:r>
        <w:rPr>
          <w:rFonts w:ascii="ZWAdobeF" w:hAnsi="ZWAdobeF"/>
          <w:sz w:val="2"/>
          <w:szCs w:val="2"/>
        </w:rPr>
        <w:t>228F</w:t>
      </w:r>
      <w:r w:rsidR="00213E80">
        <w:rPr>
          <w:rStyle w:val="FootnoteReference"/>
          <w:szCs w:val="20"/>
        </w:rPr>
        <w:footnoteReference w:id="12"/>
      </w:r>
    </w:p>
    <w:p w14:paraId="0AECEE70" w14:textId="58358922" w:rsidR="00484D86" w:rsidRPr="00943D48" w:rsidRDefault="00484D86">
      <w:pPr>
        <w:pStyle w:val="BodyTextalphalist"/>
      </w:pPr>
      <w:r w:rsidRPr="00943D48">
        <w:t xml:space="preserve">First, as an independent source of rights and obligations in </w:t>
      </w:r>
      <w:proofErr w:type="spellStart"/>
      <w:r w:rsidRPr="00943D48">
        <w:t>te</w:t>
      </w:r>
      <w:proofErr w:type="spellEnd"/>
      <w:r w:rsidRPr="00943D48">
        <w:t xml:space="preserve"> </w:t>
      </w:r>
      <w:proofErr w:type="spellStart"/>
      <w:r w:rsidRPr="00943D48">
        <w:t>ao</w:t>
      </w:r>
      <w:proofErr w:type="spellEnd"/>
      <w:r w:rsidRPr="00943D48">
        <w:t xml:space="preserve"> Māori and the first law of Aotearoa New Zealand.</w:t>
      </w:r>
      <w:r w:rsidR="005273B6">
        <w:rPr>
          <w:rStyle w:val="FootnoteReference"/>
        </w:rPr>
        <w:footnoteReference w:id="13"/>
      </w:r>
      <w:r w:rsidRPr="00943D48">
        <w:t xml:space="preserve"> </w:t>
      </w:r>
    </w:p>
    <w:p w14:paraId="3E83E93F" w14:textId="77777777" w:rsidR="00484D86" w:rsidRPr="00943D48" w:rsidRDefault="00484D86">
      <w:pPr>
        <w:pStyle w:val="BodyTextalphalist"/>
      </w:pPr>
      <w:r w:rsidRPr="00943D48">
        <w:t>Second, in terms of Treaty rights and obligations that pertain to tikanga.</w:t>
      </w:r>
    </w:p>
    <w:p w14:paraId="6597F651" w14:textId="5E163A10" w:rsidR="00484D86" w:rsidRPr="00943D48" w:rsidRDefault="00484D86">
      <w:pPr>
        <w:pStyle w:val="BodyTextalphalist"/>
      </w:pPr>
      <w:r w:rsidRPr="00943D48">
        <w:t>Third, where tikanga values comprise a source of the New Zealand common law</w:t>
      </w:r>
      <w:r w:rsidR="0015075F">
        <w:rPr>
          <w:rStyle w:val="FootnoteReference"/>
        </w:rPr>
        <w:footnoteReference w:id="14"/>
      </w:r>
      <w:r w:rsidRPr="00943D48">
        <w:t xml:space="preserve"> or have been integrated into state law by statutory reference.</w:t>
      </w:r>
      <w:r w:rsidR="0015075F">
        <w:rPr>
          <w:rStyle w:val="FootnoteReference"/>
        </w:rPr>
        <w:footnoteReference w:id="15"/>
      </w:r>
      <w:r w:rsidRPr="00943D48">
        <w:t xml:space="preserve"> </w:t>
      </w:r>
    </w:p>
    <w:p w14:paraId="11D178DD" w14:textId="3F1BF684" w:rsidR="00484D86" w:rsidRPr="00943D48" w:rsidRDefault="00484D86">
      <w:pPr>
        <w:pStyle w:val="BodyTextalphalist"/>
      </w:pPr>
      <w:r w:rsidRPr="00943D48">
        <w:t xml:space="preserve">Fourth, to give effect to Aotearoa New Zealand’s international obligations in relation to Māori as indigenous people, including under </w:t>
      </w:r>
      <w:proofErr w:type="spellStart"/>
      <w:r w:rsidRPr="00943D48">
        <w:t>Te</w:t>
      </w:r>
      <w:proofErr w:type="spellEnd"/>
      <w:r w:rsidRPr="00943D48">
        <w:t xml:space="preserve"> </w:t>
      </w:r>
      <w:proofErr w:type="spellStart"/>
      <w:r w:rsidRPr="00943D48">
        <w:t>Whakapuakitanga</w:t>
      </w:r>
      <w:proofErr w:type="spellEnd"/>
      <w:r w:rsidRPr="00943D48">
        <w:t xml:space="preserve"> o </w:t>
      </w:r>
      <w:proofErr w:type="spellStart"/>
      <w:r w:rsidRPr="00943D48">
        <w:t>te</w:t>
      </w:r>
      <w:proofErr w:type="spellEnd"/>
      <w:r w:rsidRPr="00943D48">
        <w:t xml:space="preserve"> </w:t>
      </w:r>
      <w:proofErr w:type="spellStart"/>
      <w:r w:rsidRPr="00943D48">
        <w:t>Rūnanga</w:t>
      </w:r>
      <w:proofErr w:type="spellEnd"/>
      <w:r w:rsidRPr="00943D48">
        <w:t xml:space="preserve"> </w:t>
      </w:r>
      <w:proofErr w:type="spellStart"/>
      <w:r w:rsidRPr="00943D48">
        <w:t>Whakakotahi</w:t>
      </w:r>
      <w:proofErr w:type="spellEnd"/>
      <w:r w:rsidRPr="00943D48">
        <w:t xml:space="preserve"> </w:t>
      </w:r>
      <w:proofErr w:type="spellStart"/>
      <w:r w:rsidRPr="00943D48">
        <w:t>i</w:t>
      </w:r>
      <w:proofErr w:type="spellEnd"/>
      <w:r w:rsidRPr="00943D48">
        <w:t xml:space="preserve"> ngā Iwi o </w:t>
      </w:r>
      <w:proofErr w:type="spellStart"/>
      <w:r w:rsidRPr="00943D48">
        <w:t>te</w:t>
      </w:r>
      <w:proofErr w:type="spellEnd"/>
      <w:r w:rsidRPr="00943D48">
        <w:t xml:space="preserve"> </w:t>
      </w:r>
      <w:proofErr w:type="spellStart"/>
      <w:r w:rsidRPr="00943D48">
        <w:t>Ao</w:t>
      </w:r>
      <w:proofErr w:type="spellEnd"/>
      <w:r w:rsidRPr="00943D48">
        <w:t xml:space="preserve"> </w:t>
      </w:r>
      <w:proofErr w:type="spellStart"/>
      <w:r w:rsidRPr="00943D48">
        <w:t>mō</w:t>
      </w:r>
      <w:proofErr w:type="spellEnd"/>
      <w:r w:rsidRPr="00943D48">
        <w:t xml:space="preserve"> ngā Tika o ngā Iwi </w:t>
      </w:r>
      <w:proofErr w:type="spellStart"/>
      <w:r w:rsidRPr="00943D48">
        <w:t>Taketake</w:t>
      </w:r>
      <w:proofErr w:type="spellEnd"/>
      <w:r w:rsidRPr="00943D48">
        <w:t xml:space="preserve"> | United Nations Declaration on the Rights of Indigenous Peoples.</w:t>
      </w:r>
      <w:r w:rsidR="0015075F">
        <w:rPr>
          <w:rStyle w:val="FootnoteReference"/>
        </w:rPr>
        <w:footnoteReference w:id="16"/>
      </w:r>
      <w:r w:rsidRPr="00943D48">
        <w:t xml:space="preserve"> </w:t>
      </w:r>
    </w:p>
    <w:p w14:paraId="2C167E4B" w14:textId="701A8153" w:rsidR="00484D86" w:rsidRDefault="00484D86" w:rsidP="00FB32D6">
      <w:pPr>
        <w:pStyle w:val="BodyTextnonum"/>
      </w:pPr>
      <w:r w:rsidRPr="00942E73">
        <w:t xml:space="preserve">Consistency of state law with tikanga (or </w:t>
      </w:r>
      <w:r w:rsidRPr="000F222D">
        <w:t>Māori</w:t>
      </w:r>
      <w:r w:rsidRPr="00E62298" w:rsidDel="001724B5">
        <w:t xml:space="preserve"> </w:t>
      </w:r>
      <w:r w:rsidRPr="00942E73">
        <w:t>customary law) is to be aimed for, if possible. Equally</w:t>
      </w:r>
      <w:r>
        <w:t>,</w:t>
      </w:r>
      <w:r w:rsidRPr="00942E73">
        <w:t xml:space="preserve"> there may be aspects of tikanga that state law cannot reach.</w:t>
      </w:r>
      <w:r>
        <w:t xml:space="preserve"> Tikanga may operate in cooperation with state law, which we witnessed in N</w:t>
      </w:r>
      <w:r w:rsidR="005620C7">
        <w:t xml:space="preserve">ew </w:t>
      </w:r>
      <w:r>
        <w:t>Z</w:t>
      </w:r>
      <w:r w:rsidR="005620C7">
        <w:t>ealand</w:t>
      </w:r>
      <w:r>
        <w:t xml:space="preserve"> Police </w:t>
      </w:r>
      <w:r>
        <w:lastRenderedPageBreak/>
        <w:t xml:space="preserve">and iwi-operated </w:t>
      </w:r>
      <w:proofErr w:type="gramStart"/>
      <w:r>
        <w:t>road blocks</w:t>
      </w:r>
      <w:proofErr w:type="gramEnd"/>
      <w:r>
        <w:t xml:space="preserve"> during the pandemic.</w:t>
      </w:r>
      <w:r>
        <w:rPr>
          <w:rStyle w:val="FootnoteReference"/>
        </w:rPr>
        <w:footnoteReference w:id="17"/>
      </w:r>
      <w:r>
        <w:t xml:space="preserve"> Alternatively, it may be adopted as part of state law, as we saw in the adoption of </w:t>
      </w:r>
      <w:proofErr w:type="spellStart"/>
      <w:r>
        <w:t>r</w:t>
      </w:r>
      <w:r w:rsidR="00C909A8">
        <w:t>ā</w:t>
      </w:r>
      <w:r>
        <w:t>hui</w:t>
      </w:r>
      <w:proofErr w:type="spellEnd"/>
      <w:r>
        <w:t xml:space="preserve"> after the W</w:t>
      </w:r>
      <w:r w:rsidR="00C909A8">
        <w:t>h</w:t>
      </w:r>
      <w:r>
        <w:t>akaari</w:t>
      </w:r>
      <w:r w:rsidR="00C909A8">
        <w:t>/White Island</w:t>
      </w:r>
      <w:r>
        <w:t xml:space="preserve"> eruption. Where there is agreement about tikanga or kawa (for certain iwi</w:t>
      </w:r>
      <w:r w:rsidR="00C909A8">
        <w:t>,</w:t>
      </w:r>
      <w:r>
        <w:t xml:space="preserve"> foundational principles are referred to as kawa) among M</w:t>
      </w:r>
      <w:r w:rsidRPr="001F497A">
        <w:t>ā</w:t>
      </w:r>
      <w:r>
        <w:t xml:space="preserve">ori, a tikanga- or kawa-consistent reading of state law should be applied to </w:t>
      </w:r>
      <w:r w:rsidRPr="001F497A">
        <w:t>Māori</w:t>
      </w:r>
      <w:r>
        <w:t xml:space="preserve"> where possible and for recognised purposes.</w:t>
      </w:r>
      <w:bookmarkStart w:id="40" w:name="_Ref105326477"/>
      <w:r>
        <w:rPr>
          <w:rStyle w:val="FootnoteReference"/>
        </w:rPr>
        <w:footnoteReference w:id="18"/>
      </w:r>
      <w:bookmarkEnd w:id="40"/>
      <w:r>
        <w:t xml:space="preserve"> Tikanga existing alongside and untouched by state law may itself be adjusted to accommodate emergencies (</w:t>
      </w:r>
      <w:r w:rsidR="00E05845">
        <w:t>for example,</w:t>
      </w:r>
      <w:r>
        <w:t xml:space="preserve"> adaptation of marae protocol to protect </w:t>
      </w:r>
      <w:proofErr w:type="spellStart"/>
      <w:r>
        <w:t>kaum</w:t>
      </w:r>
      <w:r w:rsidR="00E05845">
        <w:t>ā</w:t>
      </w:r>
      <w:r>
        <w:t>tua</w:t>
      </w:r>
      <w:proofErr w:type="spellEnd"/>
      <w:r>
        <w:t xml:space="preserve"> and kuia from C</w:t>
      </w:r>
      <w:r w:rsidR="0061070F">
        <w:t>OVID</w:t>
      </w:r>
      <w:r>
        <w:t xml:space="preserve">-19). </w:t>
      </w:r>
      <w:r w:rsidRPr="001F497A">
        <w:t xml:space="preserve">Given that emergencies tend to threaten people’s safety and wellbeing, state law and tikanga will </w:t>
      </w:r>
      <w:r>
        <w:t xml:space="preserve">inevitably </w:t>
      </w:r>
      <w:r w:rsidRPr="001F497A">
        <w:t>both have a role to play</w:t>
      </w:r>
      <w:r>
        <w:t xml:space="preserve">. </w:t>
      </w:r>
    </w:p>
    <w:p w14:paraId="3E5CE405" w14:textId="43E04C75" w:rsidR="00484D86" w:rsidRDefault="00484D86" w:rsidP="00FB32D6">
      <w:pPr>
        <w:pStyle w:val="BodyTextnonum"/>
      </w:pPr>
      <w:bookmarkStart w:id="41" w:name="_Hlk115374664"/>
      <w:r w:rsidRPr="001F497A">
        <w:t>An emergency, and perhaps especially an emergency sparked by a pandemic</w:t>
      </w:r>
      <w:r w:rsidRPr="00E05845">
        <w:t>,</w:t>
      </w:r>
      <w:r w:rsidRPr="001F497A">
        <w:rPr>
          <w:b/>
          <w:bCs/>
        </w:rPr>
        <w:t xml:space="preserve"> </w:t>
      </w:r>
      <w:r w:rsidRPr="001F497A">
        <w:t xml:space="preserve">raises in an acute way the issue of how authority is ordinarily distributed in any political system and of how much the need for swift and decisive action may require ordinary decision-making procedures to be set aside for a time. </w:t>
      </w:r>
      <w:r>
        <w:t xml:space="preserve">Where the survival of the people is at stake, </w:t>
      </w:r>
      <w:r w:rsidRPr="001F497A">
        <w:t xml:space="preserve">power </w:t>
      </w:r>
      <w:r>
        <w:t xml:space="preserve">may need </w:t>
      </w:r>
      <w:r w:rsidRPr="001F497A">
        <w:t>to be concentrated in a few hands for a time.</w:t>
      </w:r>
      <w:r>
        <w:t xml:space="preserve"> </w:t>
      </w:r>
      <w:r w:rsidRPr="001F497A">
        <w:t xml:space="preserve">This is true </w:t>
      </w:r>
      <w:r>
        <w:t>in</w:t>
      </w:r>
      <w:r w:rsidRPr="001F497A">
        <w:t xml:space="preserve"> both tikanga</w:t>
      </w:r>
      <w:r>
        <w:t xml:space="preserve"> and state law</w:t>
      </w:r>
      <w:r w:rsidRPr="001F497A">
        <w:t>. Sir Eddie Durie writes that</w:t>
      </w:r>
      <w:r w:rsidR="00A6058F">
        <w:t>,</w:t>
      </w:r>
      <w:r w:rsidRPr="001F497A">
        <w:t xml:space="preserve"> in times of peace</w:t>
      </w:r>
      <w:r w:rsidR="00A6058F">
        <w:t>,</w:t>
      </w:r>
      <w:r w:rsidRPr="001F497A">
        <w:t xml:space="preserve"> </w:t>
      </w:r>
      <w:proofErr w:type="gramStart"/>
      <w:r w:rsidRPr="001F497A">
        <w:t>more</w:t>
      </w:r>
      <w:r w:rsidR="00A6058F">
        <w:t>-</w:t>
      </w:r>
      <w:r w:rsidRPr="001F497A">
        <w:t>powerful</w:t>
      </w:r>
      <w:proofErr w:type="gramEnd"/>
      <w:r w:rsidRPr="001F497A">
        <w:t xml:space="preserve"> </w:t>
      </w:r>
      <w:proofErr w:type="spellStart"/>
      <w:r w:rsidRPr="001F497A">
        <w:t>rangatira</w:t>
      </w:r>
      <w:proofErr w:type="spellEnd"/>
      <w:r w:rsidRPr="001F497A">
        <w:t xml:space="preserve"> acted in concert with those of lesser influence</w:t>
      </w:r>
      <w:r>
        <w:t xml:space="preserve">, </w:t>
      </w:r>
      <w:r w:rsidRPr="001F497A">
        <w:t>but during or shortly after a war</w:t>
      </w:r>
      <w:r w:rsidR="00A6058F">
        <w:t>,</w:t>
      </w:r>
      <w:r w:rsidRPr="001F497A">
        <w:t xml:space="preserve"> the authority of a single </w:t>
      </w:r>
      <w:proofErr w:type="spellStart"/>
      <w:r w:rsidRPr="001F497A">
        <w:t>rangatira</w:t>
      </w:r>
      <w:proofErr w:type="spellEnd"/>
      <w:r w:rsidRPr="001F497A">
        <w:t xml:space="preserve"> could be absolute. In war, personal authority became more important than consensus.</w:t>
      </w:r>
      <w:r w:rsidRPr="001F497A">
        <w:rPr>
          <w:rStyle w:val="FootnoteReference"/>
        </w:rPr>
        <w:footnoteReference w:id="19"/>
      </w:r>
      <w:r w:rsidRPr="001F497A">
        <w:t xml:space="preserve"> Particular </w:t>
      </w:r>
      <w:proofErr w:type="spellStart"/>
      <w:r w:rsidRPr="001F497A">
        <w:t>rangatira</w:t>
      </w:r>
      <w:proofErr w:type="spellEnd"/>
      <w:r w:rsidRPr="001F497A">
        <w:t xml:space="preserve"> would sometimes lead the people </w:t>
      </w:r>
      <w:r>
        <w:t>on</w:t>
      </w:r>
      <w:r w:rsidRPr="001F497A">
        <w:t xml:space="preserve"> special projects, while other </w:t>
      </w:r>
      <w:proofErr w:type="spellStart"/>
      <w:r w:rsidRPr="001F497A">
        <w:t>rangatira</w:t>
      </w:r>
      <w:proofErr w:type="spellEnd"/>
      <w:r w:rsidRPr="001F497A">
        <w:t xml:space="preserve"> would lead more generally. Those who teach and advise leaders because of their special expertise, </w:t>
      </w:r>
      <w:proofErr w:type="gramStart"/>
      <w:r w:rsidRPr="001F497A">
        <w:t>knowledge</w:t>
      </w:r>
      <w:proofErr w:type="gramEnd"/>
      <w:r w:rsidRPr="001F497A">
        <w:t xml:space="preserve"> or skills (experts or tohunga) become especially important in an emergency in both systems too. According to tikanga, the quality of the leadership of </w:t>
      </w:r>
      <w:proofErr w:type="spellStart"/>
      <w:r w:rsidRPr="001F497A">
        <w:t>rangatira</w:t>
      </w:r>
      <w:proofErr w:type="spellEnd"/>
      <w:r w:rsidRPr="001F497A">
        <w:t xml:space="preserve"> will be judged after the fact by the people.</w:t>
      </w:r>
    </w:p>
    <w:p w14:paraId="1D377EE0" w14:textId="3D821ABE" w:rsidR="00484D86" w:rsidRDefault="00484D86" w:rsidP="00FB32D6">
      <w:pPr>
        <w:pStyle w:val="BodyTextnonum"/>
      </w:pPr>
      <w:proofErr w:type="spellStart"/>
      <w:r>
        <w:t>Te</w:t>
      </w:r>
      <w:proofErr w:type="spellEnd"/>
      <w:r>
        <w:t xml:space="preserve"> </w:t>
      </w:r>
      <w:proofErr w:type="spellStart"/>
      <w:r>
        <w:t>Puea</w:t>
      </w:r>
      <w:proofErr w:type="spellEnd"/>
      <w:r>
        <w:t xml:space="preserve"> was a prominent Māori leader who</w:t>
      </w:r>
      <w:r w:rsidR="00A6058F">
        <w:t>,</w:t>
      </w:r>
      <w:r>
        <w:t xml:space="preserve"> during the 1913 smallpox epidemic</w:t>
      </w:r>
      <w:r w:rsidR="00A6058F">
        <w:t>,</w:t>
      </w:r>
      <w:r>
        <w:t xml:space="preserve"> established almost single-handedly a makeshift shelter at </w:t>
      </w:r>
      <w:proofErr w:type="spellStart"/>
      <w:r>
        <w:t>Te</w:t>
      </w:r>
      <w:proofErr w:type="spellEnd"/>
      <w:r>
        <w:t xml:space="preserve"> </w:t>
      </w:r>
      <w:proofErr w:type="spellStart"/>
      <w:r>
        <w:t>Paina</w:t>
      </w:r>
      <w:proofErr w:type="spellEnd"/>
      <w:r>
        <w:t xml:space="preserve"> so that infected people could be isolated but without being removed from their home community. She was one of the first Māori leaders to accept and adopt Western medical treatment and practices for </w:t>
      </w:r>
      <w:proofErr w:type="spellStart"/>
      <w:r w:rsidR="00FC060D">
        <w:t>Pākehā</w:t>
      </w:r>
      <w:proofErr w:type="spellEnd"/>
      <w:r>
        <w:t xml:space="preserve"> diseases (about which many of her people were suspicious and afraid). At the same time</w:t>
      </w:r>
      <w:r w:rsidR="00C36F44">
        <w:t>,</w:t>
      </w:r>
      <w:r>
        <w:t xml:space="preserve"> she ensured nursing and other medical assistance was provided by Māori as much as was possible.</w:t>
      </w:r>
      <w:r>
        <w:rPr>
          <w:rStyle w:val="FootnoteReference"/>
        </w:rPr>
        <w:footnoteReference w:id="20"/>
      </w:r>
      <w:r>
        <w:t xml:space="preserve"> Tainui leadership carried on that tradition in King </w:t>
      </w:r>
      <w:proofErr w:type="spellStart"/>
      <w:r>
        <w:t>T</w:t>
      </w:r>
      <w:r w:rsidR="00C36F44">
        <w:t>ū</w:t>
      </w:r>
      <w:r>
        <w:t>heitia’s</w:t>
      </w:r>
      <w:proofErr w:type="spellEnd"/>
      <w:r>
        <w:t xml:space="preserve"> endorsement of the C</w:t>
      </w:r>
      <w:r w:rsidR="0061070F">
        <w:t>OVID</w:t>
      </w:r>
      <w:r>
        <w:t>-19 vaccine.</w:t>
      </w:r>
    </w:p>
    <w:bookmarkEnd w:id="41"/>
    <w:p w14:paraId="45C2C6D0" w14:textId="5F2FB8CC" w:rsidR="00484D86" w:rsidRDefault="00484D86" w:rsidP="00FB32D6">
      <w:pPr>
        <w:pStyle w:val="BodyTextnonum"/>
      </w:pPr>
      <w:r w:rsidRPr="001F497A">
        <w:t>Emergencies raise questions in both tikanga and state legal systems about how much ordinary political participation should be reduced</w:t>
      </w:r>
      <w:r>
        <w:t xml:space="preserve"> and in what circumstances. In specific instances defined by tikanga, ordinary expectations, even of consultation between the Crown and iwi, may yield to measures for the preservation of the people. Dr Carwyn Jones has given uncontradicted evidence of tikanga expectations in a pandemic (in the </w:t>
      </w:r>
      <w:r>
        <w:lastRenderedPageBreak/>
        <w:t xml:space="preserve">context of the requirements on the Crown to share </w:t>
      </w:r>
      <w:r w:rsidRPr="001F497A">
        <w:t>Māori</w:t>
      </w:r>
      <w:r>
        <w:t xml:space="preserve"> individual data with </w:t>
      </w:r>
      <w:proofErr w:type="spellStart"/>
      <w:r>
        <w:t>Wh</w:t>
      </w:r>
      <w:r w:rsidR="00E33A19">
        <w:t>ā</w:t>
      </w:r>
      <w:r>
        <w:t>nau</w:t>
      </w:r>
      <w:proofErr w:type="spellEnd"/>
      <w:r>
        <w:t xml:space="preserve"> Ora health providers) to this effect:</w:t>
      </w:r>
      <w:r>
        <w:rPr>
          <w:rStyle w:val="FootnoteReference"/>
        </w:rPr>
        <w:footnoteReference w:id="21"/>
      </w:r>
    </w:p>
    <w:p w14:paraId="4EFF0792" w14:textId="6C269BF5" w:rsidR="00484D86" w:rsidRDefault="00484D86">
      <w:pPr>
        <w:pStyle w:val="Quote"/>
      </w:pPr>
      <w:r>
        <w:t xml:space="preserve">Iwi by iwi consultation may be appropriate, and indeed necessary, to be consistent with tikanga and </w:t>
      </w:r>
      <w:proofErr w:type="spellStart"/>
      <w:r>
        <w:t>Te</w:t>
      </w:r>
      <w:proofErr w:type="spellEnd"/>
      <w:r>
        <w:t xml:space="preserve"> </w:t>
      </w:r>
      <w:proofErr w:type="spellStart"/>
      <w:r>
        <w:t>Tiriti</w:t>
      </w:r>
      <w:proofErr w:type="spellEnd"/>
      <w:r>
        <w:t xml:space="preserve"> in ordinary circumstances, but these are not ordinary circumstances … The primary objectives of </w:t>
      </w:r>
      <w:proofErr w:type="spellStart"/>
      <w:r>
        <w:t>tino</w:t>
      </w:r>
      <w:proofErr w:type="spellEnd"/>
      <w:r>
        <w:t xml:space="preserve"> rangatiratanga are to ensure that the community survives as a people, with both individuals and the collective thriving</w:t>
      </w:r>
      <w:r w:rsidR="00FC060D">
        <w:t xml:space="preserve"> </w:t>
      </w:r>
      <w:r>
        <w:t>…</w:t>
      </w:r>
      <w:r w:rsidR="00FC060D">
        <w:t xml:space="preserve"> </w:t>
      </w:r>
      <w:r>
        <w:t xml:space="preserve">it is not consistent with </w:t>
      </w:r>
      <w:proofErr w:type="spellStart"/>
      <w:r>
        <w:t>te</w:t>
      </w:r>
      <w:proofErr w:type="spellEnd"/>
      <w:r>
        <w:t xml:space="preserve"> </w:t>
      </w:r>
      <w:proofErr w:type="spellStart"/>
      <w:r>
        <w:t>tino</w:t>
      </w:r>
      <w:proofErr w:type="spellEnd"/>
      <w:r>
        <w:t xml:space="preserve"> rangatiratanga to frustrate those objectives.</w:t>
      </w:r>
    </w:p>
    <w:p w14:paraId="2905B56D" w14:textId="77777777" w:rsidR="00484D86" w:rsidDel="00871961" w:rsidRDefault="00484D86" w:rsidP="00FB32D6">
      <w:pPr>
        <w:pStyle w:val="BodyTextnonum"/>
      </w:pPr>
      <w:r>
        <w:t xml:space="preserve">Not </w:t>
      </w:r>
      <w:proofErr w:type="gramStart"/>
      <w:r>
        <w:t>all of</w:t>
      </w:r>
      <w:proofErr w:type="gramEnd"/>
      <w:r>
        <w:t xml:space="preserve"> the values and practices of tikanga will be able to be perfectly fulfilled when survival is at stake. </w:t>
      </w:r>
    </w:p>
    <w:p w14:paraId="3C94FAFD" w14:textId="77777777" w:rsidR="00484D86" w:rsidRDefault="00484D86" w:rsidP="00FB32D6">
      <w:pPr>
        <w:pStyle w:val="BodyTextnonum"/>
      </w:pPr>
      <w:r w:rsidRPr="001F497A">
        <w:t xml:space="preserve">The question of how much the two legal systems of Aotearoa New Zealand should operate in their separate streams or be woven together in state law in practice may be more pressing in an emergency than in ordinary times. How the two legal systems interrelate may </w:t>
      </w:r>
      <w:r>
        <w:t xml:space="preserve">also </w:t>
      </w:r>
      <w:r w:rsidRPr="001F497A">
        <w:t xml:space="preserve">depend on </w:t>
      </w:r>
      <w:r>
        <w:t xml:space="preserve">how acute the threat is </w:t>
      </w:r>
      <w:r w:rsidRPr="001F497A">
        <w:t>and the type of emergency</w:t>
      </w:r>
      <w:r>
        <w:t xml:space="preserve">. </w:t>
      </w:r>
      <w:r w:rsidRPr="001F497A">
        <w:t xml:space="preserve">Powers over and controls on international borders and security intelligence </w:t>
      </w:r>
      <w:r>
        <w:t xml:space="preserve">in response to a pandemic or terrorism threat </w:t>
      </w:r>
      <w:r w:rsidRPr="001F497A">
        <w:t xml:space="preserve">need to be the subject of a </w:t>
      </w:r>
      <w:r>
        <w:t xml:space="preserve">single </w:t>
      </w:r>
      <w:r w:rsidRPr="001F497A">
        <w:t>set of uniform rules</w:t>
      </w:r>
      <w:r>
        <w:t xml:space="preserve"> (though that </w:t>
      </w:r>
      <w:proofErr w:type="gramStart"/>
      <w:r>
        <w:t>in itself does</w:t>
      </w:r>
      <w:proofErr w:type="gramEnd"/>
      <w:r>
        <w:t xml:space="preserve"> not preclude participation by Māori)</w:t>
      </w:r>
      <w:r w:rsidRPr="001F497A">
        <w:t>.</w:t>
      </w:r>
      <w:r>
        <w:rPr>
          <w:rStyle w:val="FootnoteReference"/>
        </w:rPr>
        <w:footnoteReference w:id="22"/>
      </w:r>
      <w:r>
        <w:t xml:space="preserve"> Responses to natural disasters may be able to be more pluralistic.</w:t>
      </w:r>
    </w:p>
    <w:p w14:paraId="1C365765" w14:textId="7A724622" w:rsidR="00484D86" w:rsidRPr="00943D48" w:rsidRDefault="00484D86" w:rsidP="00FB32D6">
      <w:pPr>
        <w:pStyle w:val="BodyTextnonum"/>
        <w:rPr>
          <w:lang w:val="en-CA"/>
        </w:rPr>
      </w:pPr>
      <w:r w:rsidRPr="001F497A">
        <w:rPr>
          <w:lang w:val="en-CA"/>
        </w:rPr>
        <w:t xml:space="preserve">In the </w:t>
      </w:r>
      <w:r>
        <w:rPr>
          <w:lang w:val="en-CA"/>
        </w:rPr>
        <w:t xml:space="preserve">response and </w:t>
      </w:r>
      <w:r w:rsidRPr="001F497A">
        <w:rPr>
          <w:lang w:val="en-CA"/>
        </w:rPr>
        <w:t>re</w:t>
      </w:r>
      <w:r>
        <w:rPr>
          <w:lang w:val="en-CA"/>
        </w:rPr>
        <w:t>covery</w:t>
      </w:r>
      <w:r w:rsidRPr="001F497A">
        <w:rPr>
          <w:lang w:val="en-CA"/>
        </w:rPr>
        <w:t xml:space="preserve"> phase of an emergency</w:t>
      </w:r>
      <w:r w:rsidR="00C36F44">
        <w:rPr>
          <w:lang w:val="en-CA"/>
        </w:rPr>
        <w:t>,</w:t>
      </w:r>
      <w:r>
        <w:rPr>
          <w:lang w:val="en-CA"/>
        </w:rPr>
        <w:t xml:space="preserve"> it is likely that</w:t>
      </w:r>
      <w:r w:rsidRPr="001F497A">
        <w:rPr>
          <w:lang w:val="en-CA"/>
        </w:rPr>
        <w:t xml:space="preserve"> tikanga and state law will have separate and coordinating roles to play. </w:t>
      </w:r>
      <w:r w:rsidRPr="001F497A">
        <w:t xml:space="preserve">In the recent pandemic, we have witnessed the important role of tikanga in the protection of Māori. </w:t>
      </w:r>
      <w:r>
        <w:t>C</w:t>
      </w:r>
      <w:r w:rsidRPr="001F497A">
        <w:t xml:space="preserve">ultural memory of the suffering of Māori communities in response to the 1918 influenza epidemic helped inform the protective measures that were initially put in place by Māori in exercise of </w:t>
      </w:r>
      <w:proofErr w:type="spellStart"/>
      <w:r w:rsidRPr="001F497A">
        <w:t>te</w:t>
      </w:r>
      <w:proofErr w:type="spellEnd"/>
      <w:r w:rsidRPr="001F497A">
        <w:t xml:space="preserve"> </w:t>
      </w:r>
      <w:proofErr w:type="spellStart"/>
      <w:r w:rsidRPr="001F497A">
        <w:t>tino</w:t>
      </w:r>
      <w:proofErr w:type="spellEnd"/>
      <w:r w:rsidRPr="001F497A">
        <w:t xml:space="preserve"> rang</w:t>
      </w:r>
      <w:r w:rsidR="00613CE6">
        <w:t>a</w:t>
      </w:r>
      <w:r w:rsidRPr="001F497A">
        <w:t>tiratanga. Iwi were able and willing to exercise authority at a local level. Indeed, during the initial phase of the C</w:t>
      </w:r>
      <w:r w:rsidR="0061070F">
        <w:t>OVID</w:t>
      </w:r>
      <w:r w:rsidRPr="001F497A">
        <w:t xml:space="preserve">-19 outbreak, regulatory measures taken by mana whenua were sometimes more stringent than those adopted by state government. </w:t>
      </w:r>
      <w:proofErr w:type="gramStart"/>
      <w:r w:rsidRPr="001F497A">
        <w:t>In order to</w:t>
      </w:r>
      <w:proofErr w:type="gramEnd"/>
      <w:r w:rsidRPr="001F497A">
        <w:t xml:space="preserve"> protect vulnerable kuia and </w:t>
      </w:r>
      <w:proofErr w:type="spellStart"/>
      <w:r w:rsidRPr="001F497A">
        <w:t>kaum</w:t>
      </w:r>
      <w:r w:rsidR="005620C7">
        <w:t>ā</w:t>
      </w:r>
      <w:r w:rsidRPr="001F497A">
        <w:t>tua</w:t>
      </w:r>
      <w:proofErr w:type="spellEnd"/>
      <w:r w:rsidRPr="001F497A">
        <w:t xml:space="preserve">, some iwi and </w:t>
      </w:r>
      <w:proofErr w:type="spellStart"/>
      <w:r w:rsidRPr="001F497A">
        <w:t>hap</w:t>
      </w:r>
      <w:r w:rsidR="00E33A19">
        <w:t>ū</w:t>
      </w:r>
      <w:proofErr w:type="spellEnd"/>
      <w:r w:rsidRPr="001F497A">
        <w:t xml:space="preserve"> organised </w:t>
      </w:r>
      <w:proofErr w:type="spellStart"/>
      <w:r w:rsidRPr="001F497A">
        <w:t>r</w:t>
      </w:r>
      <w:r w:rsidR="005620C7">
        <w:t>ā</w:t>
      </w:r>
      <w:r w:rsidRPr="001F497A">
        <w:t>hui</w:t>
      </w:r>
      <w:proofErr w:type="spellEnd"/>
      <w:r w:rsidRPr="001F497A">
        <w:t xml:space="preserve">. </w:t>
      </w:r>
      <w:r>
        <w:t>Certain</w:t>
      </w:r>
      <w:r w:rsidRPr="001F497A">
        <w:t xml:space="preserve"> iwi </w:t>
      </w:r>
      <w:r>
        <w:t xml:space="preserve">and </w:t>
      </w:r>
      <w:proofErr w:type="spellStart"/>
      <w:r>
        <w:t>hap</w:t>
      </w:r>
      <w:r w:rsidR="00E33A19">
        <w:t>ū</w:t>
      </w:r>
      <w:proofErr w:type="spellEnd"/>
      <w:r>
        <w:t xml:space="preserve"> </w:t>
      </w:r>
      <w:r w:rsidRPr="001F497A">
        <w:t>worked together with N</w:t>
      </w:r>
      <w:r>
        <w:t xml:space="preserve">ew </w:t>
      </w:r>
      <w:r w:rsidRPr="001F497A">
        <w:t>Z</w:t>
      </w:r>
      <w:r>
        <w:t>ealand</w:t>
      </w:r>
      <w:r w:rsidRPr="001F497A">
        <w:t xml:space="preserve"> Police to enforce </w:t>
      </w:r>
      <w:r>
        <w:t>road blocks</w:t>
      </w:r>
      <w:r w:rsidRPr="001F497A">
        <w:t xml:space="preserve"> and other restrictions on movement within their </w:t>
      </w:r>
      <w:proofErr w:type="spellStart"/>
      <w:r w:rsidRPr="001F497A">
        <w:t>rohe</w:t>
      </w:r>
      <w:proofErr w:type="spellEnd"/>
      <w:r w:rsidRPr="001F497A">
        <w:t>.</w:t>
      </w:r>
      <w:r w:rsidRPr="001F497A">
        <w:rPr>
          <w:rStyle w:val="FootnoteReference"/>
        </w:rPr>
        <w:footnoteReference w:id="23"/>
      </w:r>
      <w:r w:rsidRPr="001F497A">
        <w:t xml:space="preserve"> Marae rapidly adapted their </w:t>
      </w:r>
      <w:r>
        <w:t xml:space="preserve">practices, for example, by modifying </w:t>
      </w:r>
      <w:r w:rsidRPr="001F497A">
        <w:t>the use of the hongi and the ways in which tangihanga were conducted</w:t>
      </w:r>
      <w:r w:rsidR="005620C7">
        <w:t>,</w:t>
      </w:r>
      <w:r w:rsidRPr="001F497A">
        <w:t xml:space="preserve"> </w:t>
      </w:r>
      <w:r w:rsidR="005620C7">
        <w:t>a</w:t>
      </w:r>
      <w:r w:rsidRPr="001F497A">
        <w:t xml:space="preserve">nd while marae, </w:t>
      </w:r>
      <w:r w:rsidR="005620C7">
        <w:t xml:space="preserve">which are </w:t>
      </w:r>
      <w:r w:rsidRPr="001F497A">
        <w:t>important centres for response in other kinds of emergencies, could not operate in the usual ways to give physical shelter and assistance, th</w:t>
      </w:r>
      <w:r>
        <w:t xml:space="preserve">ose who had received settlements with the Crown </w:t>
      </w:r>
      <w:r w:rsidRPr="001F497A">
        <w:t xml:space="preserve">were able rapidly to adapt to support </w:t>
      </w:r>
      <w:proofErr w:type="spellStart"/>
      <w:r w:rsidRPr="001F497A">
        <w:t>wh</w:t>
      </w:r>
      <w:r w:rsidR="00E33A19">
        <w:t>ā</w:t>
      </w:r>
      <w:r w:rsidRPr="001F497A">
        <w:t>nau</w:t>
      </w:r>
      <w:proofErr w:type="spellEnd"/>
      <w:r w:rsidRPr="001F497A">
        <w:t xml:space="preserve"> with food, laptops and other assistance in the early days of lockdown. </w:t>
      </w:r>
      <w:r w:rsidR="007049B1">
        <w:t>Marae</w:t>
      </w:r>
      <w:r w:rsidR="007049B1" w:rsidRPr="001F497A">
        <w:t xml:space="preserve"> </w:t>
      </w:r>
      <w:r w:rsidRPr="001F497A">
        <w:t xml:space="preserve">later proved to be an important site for information dissemination and leadership </w:t>
      </w:r>
      <w:r>
        <w:t xml:space="preserve">in the </w:t>
      </w:r>
      <w:r w:rsidRPr="001F497A">
        <w:t>roll-out of the vaccine.</w:t>
      </w:r>
      <w:r>
        <w:t xml:space="preserve"> </w:t>
      </w:r>
    </w:p>
    <w:p w14:paraId="08417B96" w14:textId="2172931C" w:rsidR="00484D86" w:rsidRPr="00943D48" w:rsidRDefault="0079644C" w:rsidP="000A062E">
      <w:pPr>
        <w:pStyle w:val="Heading3"/>
      </w:pPr>
      <w:bookmarkStart w:id="42" w:name="_Toc117063097"/>
      <w:bookmarkStart w:id="43" w:name="_Toc118119289"/>
      <w:proofErr w:type="spellStart"/>
      <w:r>
        <w:t>Te</w:t>
      </w:r>
      <w:proofErr w:type="spellEnd"/>
      <w:r>
        <w:t xml:space="preserve"> </w:t>
      </w:r>
      <w:proofErr w:type="spellStart"/>
      <w:r w:rsidR="00484D86" w:rsidRPr="00943D48">
        <w:t>Tiriti</w:t>
      </w:r>
      <w:proofErr w:type="spellEnd"/>
      <w:r w:rsidR="00484D86" w:rsidRPr="00943D48">
        <w:t xml:space="preserve"> o Waitangi</w:t>
      </w:r>
      <w:bookmarkEnd w:id="42"/>
      <w:bookmarkEnd w:id="43"/>
    </w:p>
    <w:p w14:paraId="532ED6BF" w14:textId="0CF9911F" w:rsidR="00484D86" w:rsidRDefault="00484D86" w:rsidP="00FB32D6">
      <w:pPr>
        <w:pStyle w:val="BodyTextnonum"/>
      </w:pPr>
      <w:r>
        <w:t xml:space="preserve">Understandings about </w:t>
      </w:r>
      <w:proofErr w:type="spellStart"/>
      <w:r>
        <w:t>te</w:t>
      </w:r>
      <w:proofErr w:type="spellEnd"/>
      <w:r>
        <w:t xml:space="preserve"> </w:t>
      </w:r>
      <w:proofErr w:type="spellStart"/>
      <w:r w:rsidRPr="00070D8A">
        <w:t>Tiriti</w:t>
      </w:r>
      <w:proofErr w:type="spellEnd"/>
      <w:r w:rsidRPr="00070D8A">
        <w:t xml:space="preserve"> o Waitangi an</w:t>
      </w:r>
      <w:r>
        <w:t>d of Crown-Māori relationships</w:t>
      </w:r>
      <w:r w:rsidRPr="00942E73">
        <w:t xml:space="preserve"> have changed and developed since the 1991 Report. </w:t>
      </w:r>
      <w:proofErr w:type="gramStart"/>
      <w:r w:rsidRPr="00942E73">
        <w:t>In particular, there</w:t>
      </w:r>
      <w:proofErr w:type="gramEnd"/>
      <w:r w:rsidRPr="00942E73">
        <w:t xml:space="preserve"> is a greater willingness to accept that </w:t>
      </w:r>
      <w:proofErr w:type="spellStart"/>
      <w:r>
        <w:t>kāwanatanga</w:t>
      </w:r>
      <w:proofErr w:type="spellEnd"/>
      <w:r w:rsidRPr="00942E73">
        <w:t xml:space="preserve"> assigned to the Crown under </w:t>
      </w:r>
      <w:proofErr w:type="spellStart"/>
      <w:r w:rsidR="00D601B1">
        <w:t>t</w:t>
      </w:r>
      <w:r w:rsidRPr="00942E73">
        <w:t>e</w:t>
      </w:r>
      <w:proofErr w:type="spellEnd"/>
      <w:r w:rsidRPr="00942E73">
        <w:t xml:space="preserve"> </w:t>
      </w:r>
      <w:proofErr w:type="spellStart"/>
      <w:r w:rsidRPr="00942E73">
        <w:t>Tiriti</w:t>
      </w:r>
      <w:proofErr w:type="spellEnd"/>
      <w:r w:rsidRPr="00942E73">
        <w:t xml:space="preserve"> o Waitangi is not absolute or unfettered. It is qualified by the guarantee to Māori of </w:t>
      </w:r>
      <w:proofErr w:type="spellStart"/>
      <w:r w:rsidRPr="00942E73">
        <w:t>tino</w:t>
      </w:r>
      <w:proofErr w:type="spellEnd"/>
      <w:r w:rsidRPr="00942E73">
        <w:t xml:space="preserve"> rangatiratanga and Māori control over taonga</w:t>
      </w:r>
      <w:r>
        <w:t>,</w:t>
      </w:r>
      <w:r w:rsidRPr="00942E73">
        <w:t xml:space="preserve"> or their own affairs</w:t>
      </w:r>
      <w:r>
        <w:t>,</w:t>
      </w:r>
      <w:r w:rsidRPr="00942E73">
        <w:t xml:space="preserve"> in a way that aligns with Māori customs and </w:t>
      </w:r>
      <w:r w:rsidRPr="00942E73">
        <w:lastRenderedPageBreak/>
        <w:t>values. Māori expect to participate in decisions affecting their interests. There is a</w:t>
      </w:r>
      <w:r>
        <w:t>n</w:t>
      </w:r>
      <w:r w:rsidRPr="00942E73">
        <w:t xml:space="preserve"> obligation on the Crown that</w:t>
      </w:r>
      <w:r w:rsidR="00A34C64">
        <w:t>,</w:t>
      </w:r>
      <w:r w:rsidRPr="00942E73">
        <w:t xml:space="preserve"> in its exercise of qualified </w:t>
      </w:r>
      <w:proofErr w:type="spellStart"/>
      <w:r>
        <w:t>kāwanatanga</w:t>
      </w:r>
      <w:proofErr w:type="spellEnd"/>
      <w:r w:rsidR="00A34C64">
        <w:t>,</w:t>
      </w:r>
      <w:r w:rsidRPr="00942E73">
        <w:t xml:space="preserve"> it will seek to understand and be informed about the nature of the Māori rights and interests engaged and to actively protect those interests. </w:t>
      </w:r>
      <w:r>
        <w:t xml:space="preserve">The exercise of </w:t>
      </w:r>
      <w:proofErr w:type="spellStart"/>
      <w:r>
        <w:t>kāwanatanga</w:t>
      </w:r>
      <w:proofErr w:type="spellEnd"/>
      <w:r>
        <w:t xml:space="preserve"> does not free government from its obligation to respect </w:t>
      </w:r>
      <w:proofErr w:type="spellStart"/>
      <w:r>
        <w:t>te</w:t>
      </w:r>
      <w:proofErr w:type="spellEnd"/>
      <w:r>
        <w:t xml:space="preserve"> </w:t>
      </w:r>
      <w:proofErr w:type="spellStart"/>
      <w:r>
        <w:t>tino</w:t>
      </w:r>
      <w:proofErr w:type="spellEnd"/>
      <w:r>
        <w:t xml:space="preserve"> rangatiratanga.</w:t>
      </w:r>
    </w:p>
    <w:p w14:paraId="32F6CEAB" w14:textId="5D411505" w:rsidR="00484D86" w:rsidRDefault="00484D86" w:rsidP="00FB32D6">
      <w:pPr>
        <w:pStyle w:val="BodyTextnonum"/>
      </w:pPr>
      <w:proofErr w:type="spellStart"/>
      <w:r w:rsidRPr="001F497A">
        <w:t>Te</w:t>
      </w:r>
      <w:proofErr w:type="spellEnd"/>
      <w:r w:rsidRPr="001F497A">
        <w:t xml:space="preserve"> </w:t>
      </w:r>
      <w:proofErr w:type="spellStart"/>
      <w:r w:rsidRPr="001F497A">
        <w:t>Tiriti</w:t>
      </w:r>
      <w:proofErr w:type="spellEnd"/>
      <w:r w:rsidRPr="001F497A">
        <w:t xml:space="preserve"> o Waitangi sets out a framework for the distribution of political authority in Aotearoa New Zealand.</w:t>
      </w:r>
      <w:r>
        <w:t xml:space="preserve"> </w:t>
      </w:r>
      <w:r w:rsidRPr="001F497A">
        <w:t xml:space="preserve">State organs exercise </w:t>
      </w:r>
      <w:proofErr w:type="spellStart"/>
      <w:r>
        <w:t>kāwanatanga</w:t>
      </w:r>
      <w:proofErr w:type="spellEnd"/>
      <w:r w:rsidRPr="001F497A">
        <w:t xml:space="preserve"> while rangatiratanga continues to vest in Māori authorities. How these two different </w:t>
      </w:r>
      <w:r>
        <w:t xml:space="preserve">sources of authority and </w:t>
      </w:r>
      <w:r w:rsidRPr="001F497A">
        <w:t xml:space="preserve">law interact is sometimes a difficult and unresolved question. The Commission has suggested that </w:t>
      </w:r>
      <w:r>
        <w:t xml:space="preserve">responsible </w:t>
      </w:r>
      <w:proofErr w:type="spellStart"/>
      <w:r>
        <w:t>kāwanatanga</w:t>
      </w:r>
      <w:proofErr w:type="spellEnd"/>
      <w:r w:rsidRPr="001F497A">
        <w:t xml:space="preserve"> requires </w:t>
      </w:r>
      <w:r>
        <w:t xml:space="preserve">state authorities to </w:t>
      </w:r>
      <w:r w:rsidRPr="001F497A">
        <w:t>facilitat</w:t>
      </w:r>
      <w:r>
        <w:t>e</w:t>
      </w:r>
      <w:r w:rsidRPr="001F497A">
        <w:t xml:space="preserve"> the exercise of </w:t>
      </w:r>
      <w:proofErr w:type="spellStart"/>
      <w:r w:rsidRPr="001F497A">
        <w:t>te</w:t>
      </w:r>
      <w:proofErr w:type="spellEnd"/>
      <w:r w:rsidRPr="001F497A">
        <w:t xml:space="preserve"> </w:t>
      </w:r>
      <w:proofErr w:type="spellStart"/>
      <w:r w:rsidRPr="001F497A">
        <w:t>tino</w:t>
      </w:r>
      <w:proofErr w:type="spellEnd"/>
      <w:r w:rsidRPr="001F497A">
        <w:t xml:space="preserve"> rangatiratanga by Māori</w:t>
      </w:r>
      <w:r>
        <w:t xml:space="preserve"> where appropriate</w:t>
      </w:r>
      <w:r w:rsidRPr="001F497A">
        <w:t>.</w:t>
      </w:r>
      <w:r w:rsidRPr="001F497A">
        <w:rPr>
          <w:rStyle w:val="FootnoteReference"/>
        </w:rPr>
        <w:footnoteReference w:id="24"/>
      </w:r>
      <w:r w:rsidRPr="001F497A">
        <w:t xml:space="preserve"> </w:t>
      </w:r>
      <w:proofErr w:type="spellStart"/>
      <w:r>
        <w:t>Kāwanatanga</w:t>
      </w:r>
      <w:proofErr w:type="spellEnd"/>
      <w:r>
        <w:t xml:space="preserve"> imposes an obligation </w:t>
      </w:r>
      <w:r w:rsidRPr="001F497A">
        <w:t xml:space="preserve">on state organs to attempt to understand </w:t>
      </w:r>
      <w:r>
        <w:t xml:space="preserve">the extent of </w:t>
      </w:r>
      <w:r w:rsidRPr="001F497A">
        <w:t xml:space="preserve">Māori rights and interests, to consult Māori about those rights and interests and to consider how they should best be represented in state law or otherwise. </w:t>
      </w:r>
    </w:p>
    <w:p w14:paraId="1958A98B" w14:textId="2C84E9A8" w:rsidR="00484D86" w:rsidRDefault="00484D86" w:rsidP="00FB32D6">
      <w:pPr>
        <w:pStyle w:val="BodyTextnonum"/>
      </w:pPr>
      <w:r w:rsidRPr="001F497A">
        <w:t xml:space="preserve">Because they are often used to justify </w:t>
      </w:r>
      <w:r w:rsidRPr="001F497A">
        <w:rPr>
          <w:i/>
          <w:iCs/>
        </w:rPr>
        <w:t>reduced</w:t>
      </w:r>
      <w:r w:rsidRPr="001F497A">
        <w:t xml:space="preserve"> public participation more generally, emergencies draw particular attention to the degree to which Māori interests and </w:t>
      </w:r>
      <w:proofErr w:type="spellStart"/>
      <w:r w:rsidRPr="001F497A">
        <w:t>te</w:t>
      </w:r>
      <w:proofErr w:type="spellEnd"/>
      <w:r w:rsidRPr="001F497A">
        <w:t xml:space="preserve"> </w:t>
      </w:r>
      <w:proofErr w:type="spellStart"/>
      <w:r w:rsidRPr="001F497A">
        <w:t>tino</w:t>
      </w:r>
      <w:proofErr w:type="spellEnd"/>
      <w:r w:rsidRPr="001F497A">
        <w:t xml:space="preserve"> rangatiratanga are </w:t>
      </w:r>
      <w:r w:rsidRPr="001F497A">
        <w:rPr>
          <w:i/>
          <w:iCs/>
        </w:rPr>
        <w:t>ordinarily</w:t>
      </w:r>
      <w:r w:rsidRPr="001F497A">
        <w:t xml:space="preserve"> recognised by the state legal system and its decision-making procedures. It is likely to be difficult to establish new relationships and decision-making procedures </w:t>
      </w:r>
      <w:r w:rsidRPr="001F497A">
        <w:rPr>
          <w:i/>
          <w:iCs/>
        </w:rPr>
        <w:t>during</w:t>
      </w:r>
      <w:r w:rsidRPr="001F497A">
        <w:t xml:space="preserve"> an emergency. As the Waitangi Tribunal’s </w:t>
      </w:r>
      <w:proofErr w:type="spellStart"/>
      <w:r w:rsidRPr="001F497A">
        <w:t>Haumaru</w:t>
      </w:r>
      <w:proofErr w:type="spellEnd"/>
      <w:r w:rsidRPr="001F497A">
        <w:t xml:space="preserve"> Report has shown,</w:t>
      </w:r>
      <w:r w:rsidRPr="001F497A">
        <w:rPr>
          <w:rStyle w:val="FootnoteReference"/>
        </w:rPr>
        <w:footnoteReference w:id="25"/>
      </w:r>
      <w:r w:rsidRPr="001F497A">
        <w:t xml:space="preserve"> many of the </w:t>
      </w:r>
      <w:r w:rsidRPr="00CC3ADC">
        <w:t>ad hoc</w:t>
      </w:r>
      <w:r w:rsidRPr="001F497A">
        <w:t xml:space="preserve"> measures to involve Māori advisory groups in the C</w:t>
      </w:r>
      <w:r w:rsidR="0061070F">
        <w:t>OVID</w:t>
      </w:r>
      <w:r w:rsidRPr="001F497A">
        <w:t xml:space="preserve">-19 pandemic have not been effective </w:t>
      </w:r>
      <w:r>
        <w:t xml:space="preserve">in ensuring </w:t>
      </w:r>
      <w:r w:rsidRPr="001F497A">
        <w:t>Māori interests</w:t>
      </w:r>
      <w:r>
        <w:t xml:space="preserve"> are reflected in government policies</w:t>
      </w:r>
      <w:r w:rsidRPr="001F497A">
        <w:t>. This raises larger questions about the fundamental constitutional relationships between Māori and state authorities and how they operate in ordinary times</w:t>
      </w:r>
      <w:r w:rsidR="004D6A7B">
        <w:t>,</w:t>
      </w:r>
      <w:r>
        <w:t xml:space="preserve"> which</w:t>
      </w:r>
      <w:r w:rsidRPr="001F497A">
        <w:t xml:space="preserve"> go well beyond this </w:t>
      </w:r>
      <w:r w:rsidR="00A27792">
        <w:t>S</w:t>
      </w:r>
      <w:r w:rsidRPr="001F497A">
        <w:t xml:space="preserve">tudy </w:t>
      </w:r>
      <w:r w:rsidR="00A27792">
        <w:t>P</w:t>
      </w:r>
      <w:r w:rsidRPr="001F497A">
        <w:t>aper.</w:t>
      </w:r>
      <w:r>
        <w:t xml:space="preserve"> It would clearly be an advance to establish standing </w:t>
      </w:r>
      <w:r w:rsidRPr="001F497A">
        <w:t>Māori</w:t>
      </w:r>
      <w:r>
        <w:t xml:space="preserve"> committees to plan and advise on emergencies. </w:t>
      </w:r>
    </w:p>
    <w:p w14:paraId="640DCFA4" w14:textId="77777777" w:rsidR="00484D86" w:rsidRPr="00383C2E" w:rsidRDefault="00484D86" w:rsidP="00A356EF">
      <w:pPr>
        <w:pStyle w:val="Heading4"/>
      </w:pPr>
      <w:bookmarkStart w:id="44" w:name="_Hlk107814365"/>
      <w:r w:rsidRPr="00383C2E">
        <w:t>The preparation phase of an emergency</w:t>
      </w:r>
    </w:p>
    <w:bookmarkEnd w:id="44"/>
    <w:p w14:paraId="00E3C549" w14:textId="5AB3A181" w:rsidR="00484D86" w:rsidRDefault="00484D86" w:rsidP="00FB32D6">
      <w:pPr>
        <w:pStyle w:val="BodyTextnonum"/>
      </w:pPr>
      <w:proofErr w:type="gramStart"/>
      <w:r w:rsidRPr="001F497A">
        <w:t>In order for</w:t>
      </w:r>
      <w:proofErr w:type="gramEnd"/>
      <w:r w:rsidRPr="001F497A">
        <w:t xml:space="preserve"> the state to be properly informed about Māori rights and interests, Māori need to be fully involved and explicitly engaged in the planning for emergencies. Much more could be done to establish better relationships and coordination between state institutions and Māori sources of authority. </w:t>
      </w:r>
      <w:r>
        <w:t>The current</w:t>
      </w:r>
      <w:r w:rsidRPr="00BB6C54">
        <w:t xml:space="preserve"> </w:t>
      </w:r>
      <w:r w:rsidRPr="001F497A">
        <w:t xml:space="preserve">Civil Defence Emergency Management </w:t>
      </w:r>
      <w:r>
        <w:t>Act 2002</w:t>
      </w:r>
      <w:r w:rsidR="006D13F6">
        <w:t xml:space="preserve"> (CDEM Act)</w:t>
      </w:r>
      <w:r>
        <w:t xml:space="preserve">, for example, does not mention </w:t>
      </w:r>
      <w:r w:rsidRPr="001F497A">
        <w:t>Māori</w:t>
      </w:r>
      <w:r w:rsidDel="00DC1BAF">
        <w:t xml:space="preserve"> </w:t>
      </w:r>
      <w:r>
        <w:t xml:space="preserve">authorities at all. The associated </w:t>
      </w:r>
      <w:r w:rsidR="004D6A7B">
        <w:t xml:space="preserve">National </w:t>
      </w:r>
      <w:r w:rsidRPr="001F497A">
        <w:t>Civil Defence Emergency Management Plan 2015</w:t>
      </w:r>
      <w:r>
        <w:t xml:space="preserve"> currently </w:t>
      </w:r>
      <w:r w:rsidRPr="001F497A">
        <w:t>only mention</w:t>
      </w:r>
      <w:r>
        <w:t>s</w:t>
      </w:r>
      <w:r w:rsidRPr="001F497A">
        <w:t xml:space="preserve"> Māori interests in relation to the “welfare cluster” for which </w:t>
      </w:r>
      <w:proofErr w:type="spellStart"/>
      <w:r w:rsidRPr="001F497A">
        <w:t>Te</w:t>
      </w:r>
      <w:proofErr w:type="spellEnd"/>
      <w:r w:rsidRPr="001F497A">
        <w:t xml:space="preserve"> Puni </w:t>
      </w:r>
      <w:proofErr w:type="spellStart"/>
      <w:r w:rsidRPr="001F497A">
        <w:t>Kōkiri</w:t>
      </w:r>
      <w:proofErr w:type="spellEnd"/>
      <w:r w:rsidRPr="001F497A">
        <w:t xml:space="preserve"> is given the role of facilitating and coordinating culturally relevant support</w:t>
      </w:r>
      <w:r>
        <w:t xml:space="preserve"> </w:t>
      </w:r>
      <w:r w:rsidRPr="001F497A">
        <w:t xml:space="preserve">for Māori and of creating links with marae for advice, shelter and </w:t>
      </w:r>
      <w:proofErr w:type="spellStart"/>
      <w:r w:rsidRPr="001F497A">
        <w:t>manaakitanga</w:t>
      </w:r>
      <w:proofErr w:type="spellEnd"/>
      <w:r w:rsidRPr="001F497A">
        <w:t xml:space="preserve">. </w:t>
      </w:r>
    </w:p>
    <w:p w14:paraId="4C250218" w14:textId="0B45F714" w:rsidR="00484D86" w:rsidRDefault="00484D86" w:rsidP="00FB32D6">
      <w:pPr>
        <w:pStyle w:val="BodyTextnonum"/>
      </w:pPr>
      <w:r>
        <w:t xml:space="preserve">The government </w:t>
      </w:r>
      <w:r w:rsidR="00074224">
        <w:t xml:space="preserve">is currently undertaking an </w:t>
      </w:r>
      <w:r>
        <w:t xml:space="preserve">extensive review of the </w:t>
      </w:r>
      <w:r w:rsidR="006D13F6">
        <w:t xml:space="preserve">CDEM </w:t>
      </w:r>
      <w:r>
        <w:t>Act</w:t>
      </w:r>
      <w:r w:rsidR="00074224">
        <w:t>.</w:t>
      </w:r>
      <w:r>
        <w:t xml:space="preserve"> Proactively released documents have signalled the Minister</w:t>
      </w:r>
      <w:r w:rsidR="005A29F3">
        <w:t xml:space="preserve"> for Emergency Management</w:t>
      </w:r>
      <w:r>
        <w:t xml:space="preserve">’s desire for greater recognition, understanding and integration of iwi/Māori perspectives and tikanga in emergency management as well as to support the role of </w:t>
      </w:r>
      <w:r>
        <w:lastRenderedPageBreak/>
        <w:t>marae, which look after people in an emergency.</w:t>
      </w:r>
      <w:r>
        <w:rPr>
          <w:rStyle w:val="FootnoteReference"/>
        </w:rPr>
        <w:footnoteReference w:id="26"/>
      </w:r>
      <w:r w:rsidRPr="001F497A">
        <w:t xml:space="preserve"> </w:t>
      </w:r>
      <w:r>
        <w:t xml:space="preserve">Increased opportunities for meaningful input by </w:t>
      </w:r>
      <w:r w:rsidRPr="001F497A">
        <w:t>Māori</w:t>
      </w:r>
      <w:r>
        <w:t xml:space="preserve"> into both primary and secondary emergency legislation are recommended in Parts Two and Three. </w:t>
      </w:r>
    </w:p>
    <w:p w14:paraId="796B08CF" w14:textId="77777777" w:rsidR="00484D86" w:rsidRPr="001F497A" w:rsidRDefault="00484D86" w:rsidP="00FB32D6">
      <w:pPr>
        <w:pStyle w:val="BodyTextnonum"/>
        <w:rPr>
          <w:lang w:val="en-CA"/>
        </w:rPr>
      </w:pPr>
      <w:r w:rsidRPr="001F497A">
        <w:rPr>
          <w:lang w:val="en-CA"/>
        </w:rPr>
        <w:t xml:space="preserve">One important aspect of </w:t>
      </w:r>
      <w:r>
        <w:rPr>
          <w:lang w:val="en-CA"/>
        </w:rPr>
        <w:t>preparation and active</w:t>
      </w:r>
      <w:r w:rsidRPr="001F497A">
        <w:rPr>
          <w:lang w:val="en-CA"/>
        </w:rPr>
        <w:t xml:space="preserve"> protection in the pandemic context was the </w:t>
      </w:r>
      <w:r>
        <w:rPr>
          <w:lang w:val="en-CA"/>
        </w:rPr>
        <w:t xml:space="preserve">Waitangi Tribunal’s finding that the Crown had an </w:t>
      </w:r>
      <w:r w:rsidRPr="001F497A">
        <w:rPr>
          <w:lang w:val="en-CA"/>
        </w:rPr>
        <w:t xml:space="preserve">obligation to share information with Māori authorities so that they could exercise their </w:t>
      </w:r>
      <w:proofErr w:type="spellStart"/>
      <w:r w:rsidRPr="001F497A">
        <w:rPr>
          <w:lang w:val="en-CA"/>
        </w:rPr>
        <w:t>tino</w:t>
      </w:r>
      <w:proofErr w:type="spellEnd"/>
      <w:r w:rsidRPr="001F497A">
        <w:rPr>
          <w:lang w:val="en-CA"/>
        </w:rPr>
        <w:t xml:space="preserve"> rangatiratanga</w:t>
      </w:r>
      <w:r>
        <w:rPr>
          <w:lang w:val="en-CA"/>
        </w:rPr>
        <w:t xml:space="preserve"> in treating and protecting their people</w:t>
      </w:r>
      <w:r w:rsidRPr="001F497A">
        <w:rPr>
          <w:lang w:val="en-CA"/>
        </w:rPr>
        <w:t xml:space="preserve">. </w:t>
      </w:r>
    </w:p>
    <w:p w14:paraId="5478DDC9" w14:textId="0508DC38" w:rsidR="00484D86" w:rsidRPr="001F497A" w:rsidRDefault="00484D86" w:rsidP="00FB32D6">
      <w:pPr>
        <w:pStyle w:val="BodyTextnonum"/>
        <w:rPr>
          <w:lang w:val="en-CA"/>
        </w:rPr>
      </w:pPr>
      <w:r w:rsidRPr="001F497A">
        <w:rPr>
          <w:lang w:val="en-CA"/>
        </w:rPr>
        <w:t>An aspect of the response to pandemic</w:t>
      </w:r>
      <w:r>
        <w:rPr>
          <w:lang w:val="en-CA"/>
        </w:rPr>
        <w:t>-</w:t>
      </w:r>
      <w:r w:rsidRPr="001F497A">
        <w:rPr>
          <w:lang w:val="en-CA"/>
        </w:rPr>
        <w:t xml:space="preserve">type emergencies </w:t>
      </w:r>
      <w:r>
        <w:rPr>
          <w:lang w:val="en-CA"/>
        </w:rPr>
        <w:t>(and perhaps other forms of emergency)</w:t>
      </w:r>
      <w:r w:rsidRPr="001F497A">
        <w:rPr>
          <w:lang w:val="en-CA"/>
        </w:rPr>
        <w:t xml:space="preserve"> is the availability of readily accessible data to identify groups who may be particularly vulnerable </w:t>
      </w:r>
      <w:proofErr w:type="gramStart"/>
      <w:r w:rsidRPr="001F497A">
        <w:rPr>
          <w:lang w:val="en-CA"/>
        </w:rPr>
        <w:t>in order to</w:t>
      </w:r>
      <w:proofErr w:type="gramEnd"/>
      <w:r w:rsidRPr="001F497A">
        <w:rPr>
          <w:lang w:val="en-CA"/>
        </w:rPr>
        <w:t xml:space="preserve"> enable Māori </w:t>
      </w:r>
      <w:r>
        <w:rPr>
          <w:lang w:val="en-CA"/>
        </w:rPr>
        <w:t>health providers</w:t>
      </w:r>
      <w:r w:rsidRPr="001F497A">
        <w:rPr>
          <w:lang w:val="en-CA"/>
        </w:rPr>
        <w:t xml:space="preserve"> to assist their people. The Waitangi Tribunal found </w:t>
      </w:r>
      <w:r w:rsidR="00EB0201">
        <w:rPr>
          <w:lang w:val="en-CA"/>
        </w:rPr>
        <w:t xml:space="preserve">that, </w:t>
      </w:r>
      <w:r w:rsidRPr="001F497A">
        <w:rPr>
          <w:lang w:val="en-CA"/>
        </w:rPr>
        <w:t>in relation to the current pandemic</w:t>
      </w:r>
      <w:r w:rsidR="00EB0201">
        <w:rPr>
          <w:lang w:val="en-CA"/>
        </w:rPr>
        <w:t>,</w:t>
      </w:r>
      <w:r w:rsidRPr="001F497A">
        <w:rPr>
          <w:lang w:val="en-CA"/>
        </w:rPr>
        <w:t xml:space="preserve"> the absence of data identifying t</w:t>
      </w:r>
      <w:r w:rsidRPr="001F497A">
        <w:t>ā</w:t>
      </w:r>
      <w:proofErr w:type="spellStart"/>
      <w:r w:rsidRPr="001F497A">
        <w:rPr>
          <w:lang w:val="en-CA"/>
        </w:rPr>
        <w:t>ngata</w:t>
      </w:r>
      <w:proofErr w:type="spellEnd"/>
      <w:r w:rsidRPr="001F497A">
        <w:rPr>
          <w:lang w:val="en-CA"/>
        </w:rPr>
        <w:t xml:space="preserve"> </w:t>
      </w:r>
      <w:proofErr w:type="spellStart"/>
      <w:r w:rsidRPr="001F497A">
        <w:rPr>
          <w:lang w:val="en-CA"/>
        </w:rPr>
        <w:t>whaikaha</w:t>
      </w:r>
      <w:proofErr w:type="spellEnd"/>
      <w:r w:rsidRPr="001F497A">
        <w:rPr>
          <w:lang w:val="en-CA"/>
        </w:rPr>
        <w:t xml:space="preserve"> (Māori with lived experience of disability) was in breach of the Treaty principles of active protection and equity.</w:t>
      </w:r>
      <w:r w:rsidRPr="001F497A">
        <w:rPr>
          <w:rStyle w:val="FootnoteReference"/>
          <w:lang w:val="en-CA"/>
        </w:rPr>
        <w:footnoteReference w:id="27"/>
      </w:r>
      <w:r w:rsidRPr="001F497A">
        <w:rPr>
          <w:lang w:val="en-CA"/>
        </w:rPr>
        <w:t xml:space="preserve"> </w:t>
      </w:r>
      <w:r>
        <w:rPr>
          <w:lang w:val="en-CA"/>
        </w:rPr>
        <w:t>T</w:t>
      </w:r>
      <w:r w:rsidRPr="001F497A">
        <w:rPr>
          <w:lang w:val="en-CA"/>
        </w:rPr>
        <w:t xml:space="preserve">here were similar difficulties </w:t>
      </w:r>
      <w:r>
        <w:rPr>
          <w:lang w:val="en-CA"/>
        </w:rPr>
        <w:t xml:space="preserve">in rapidly </w:t>
      </w:r>
      <w:r w:rsidRPr="001F497A">
        <w:rPr>
          <w:lang w:val="en-CA"/>
        </w:rPr>
        <w:t xml:space="preserve">identifying those whose co-morbidities placed them at the greatest risk </w:t>
      </w:r>
      <w:proofErr w:type="gramStart"/>
      <w:r w:rsidRPr="001F497A">
        <w:rPr>
          <w:lang w:val="en-CA"/>
        </w:rPr>
        <w:t>as a result of</w:t>
      </w:r>
      <w:proofErr w:type="gramEnd"/>
      <w:r w:rsidRPr="001F497A">
        <w:rPr>
          <w:lang w:val="en-CA"/>
        </w:rPr>
        <w:t xml:space="preserve"> a C</w:t>
      </w:r>
      <w:r w:rsidR="0061070F">
        <w:t>OVID</w:t>
      </w:r>
      <w:r w:rsidRPr="001F497A">
        <w:rPr>
          <w:lang w:val="en-CA"/>
        </w:rPr>
        <w:t xml:space="preserve">-19 infection in relation to the rest of the population. </w:t>
      </w:r>
    </w:p>
    <w:p w14:paraId="4CADFAD3" w14:textId="29BD38AD" w:rsidR="00484D86" w:rsidRPr="001F497A" w:rsidRDefault="00484D86" w:rsidP="00FB32D6">
      <w:pPr>
        <w:pStyle w:val="BodyTextnonum"/>
        <w:rPr>
          <w:lang w:val="en-CA"/>
        </w:rPr>
      </w:pPr>
      <w:r w:rsidRPr="001F497A">
        <w:rPr>
          <w:lang w:val="en-CA"/>
        </w:rPr>
        <w:t xml:space="preserve">The general point </w:t>
      </w:r>
      <w:r>
        <w:rPr>
          <w:lang w:val="en-CA"/>
        </w:rPr>
        <w:t>is</w:t>
      </w:r>
      <w:r w:rsidRPr="001F497A">
        <w:rPr>
          <w:lang w:val="en-CA"/>
        </w:rPr>
        <w:t xml:space="preserve"> that the </w:t>
      </w:r>
      <w:r>
        <w:rPr>
          <w:lang w:val="en-CA"/>
        </w:rPr>
        <w:t xml:space="preserve">proper </w:t>
      </w:r>
      <w:r w:rsidRPr="001F497A">
        <w:rPr>
          <w:lang w:val="en-CA"/>
        </w:rPr>
        <w:t xml:space="preserve">exercise of </w:t>
      </w:r>
      <w:proofErr w:type="spellStart"/>
      <w:r>
        <w:rPr>
          <w:lang w:val="en-CA"/>
        </w:rPr>
        <w:t>kāwanatanga</w:t>
      </w:r>
      <w:proofErr w:type="spellEnd"/>
      <w:r w:rsidRPr="001F497A">
        <w:rPr>
          <w:lang w:val="en-CA"/>
        </w:rPr>
        <w:t xml:space="preserve"> should enable Māori authorities to assist their people. It is worth noting</w:t>
      </w:r>
      <w:r>
        <w:rPr>
          <w:lang w:val="en-CA"/>
        </w:rPr>
        <w:t xml:space="preserve"> </w:t>
      </w:r>
      <w:r w:rsidRPr="001F497A">
        <w:rPr>
          <w:lang w:val="en-CA"/>
        </w:rPr>
        <w:t xml:space="preserve">that people with disabilities will not always be at the greatest risk in a pandemic. The 1918 “Spanish” influenza, for example, was most lethal for the young and fit and targeted those in their </w:t>
      </w:r>
      <w:r w:rsidR="00AB5216">
        <w:rPr>
          <w:lang w:val="en-CA"/>
        </w:rPr>
        <w:t>20s</w:t>
      </w:r>
      <w:r w:rsidR="00AB5216" w:rsidRPr="001F497A">
        <w:rPr>
          <w:lang w:val="en-CA"/>
        </w:rPr>
        <w:t xml:space="preserve"> </w:t>
      </w:r>
      <w:r w:rsidRPr="001F497A">
        <w:rPr>
          <w:lang w:val="en-CA"/>
        </w:rPr>
        <w:t xml:space="preserve">and </w:t>
      </w:r>
      <w:r w:rsidR="00AB5216">
        <w:rPr>
          <w:lang w:val="en-CA"/>
        </w:rPr>
        <w:t>30s</w:t>
      </w:r>
      <w:r w:rsidRPr="001F497A">
        <w:rPr>
          <w:lang w:val="en-CA"/>
        </w:rPr>
        <w:t xml:space="preserve">. </w:t>
      </w:r>
      <w:r>
        <w:rPr>
          <w:lang w:val="en-CA"/>
        </w:rPr>
        <w:t xml:space="preserve">Polio epidemics have targeted children. </w:t>
      </w:r>
      <w:r w:rsidRPr="001F497A">
        <w:rPr>
          <w:lang w:val="en-CA"/>
        </w:rPr>
        <w:t>The ability to identify those most at risk is likely to be very important in ensuring that the public health response is effective and equitable. Exactly who comprises th</w:t>
      </w:r>
      <w:r>
        <w:rPr>
          <w:lang w:val="en-CA"/>
        </w:rPr>
        <w:t>e most</w:t>
      </w:r>
      <w:r w:rsidR="00AB5216">
        <w:rPr>
          <w:lang w:val="en-CA"/>
        </w:rPr>
        <w:t>-</w:t>
      </w:r>
      <w:r>
        <w:rPr>
          <w:lang w:val="en-CA"/>
        </w:rPr>
        <w:t xml:space="preserve">vulnerable groups </w:t>
      </w:r>
      <w:r w:rsidRPr="001F497A">
        <w:rPr>
          <w:lang w:val="en-CA"/>
        </w:rPr>
        <w:t>will depend on the nature of the disease and the availability of vaccines or</w:t>
      </w:r>
      <w:r>
        <w:rPr>
          <w:lang w:val="en-CA"/>
        </w:rPr>
        <w:t xml:space="preserve"> </w:t>
      </w:r>
      <w:r w:rsidRPr="001F497A">
        <w:rPr>
          <w:lang w:val="en-CA"/>
        </w:rPr>
        <w:t>other protection measures.</w:t>
      </w:r>
    </w:p>
    <w:p w14:paraId="417BE759" w14:textId="577B2BA5" w:rsidR="00484D86" w:rsidRPr="001F497A" w:rsidRDefault="00484D86" w:rsidP="00FB32D6">
      <w:pPr>
        <w:pStyle w:val="BodyTextnonum"/>
      </w:pPr>
      <w:r>
        <w:rPr>
          <w:lang w:val="en-CA"/>
        </w:rPr>
        <w:t>T</w:t>
      </w:r>
      <w:r w:rsidRPr="001F497A">
        <w:rPr>
          <w:lang w:val="en-CA"/>
        </w:rPr>
        <w:t xml:space="preserve">he more </w:t>
      </w:r>
      <w:r>
        <w:rPr>
          <w:lang w:val="en-CA"/>
        </w:rPr>
        <w:t xml:space="preserve">that is </w:t>
      </w:r>
      <w:r w:rsidRPr="001F497A">
        <w:rPr>
          <w:lang w:val="en-CA"/>
        </w:rPr>
        <w:t xml:space="preserve">known about the characteristics of those likely to be most at risk, the greater the government’s obligation will be to allocate resources to protect people with such characteristics. In cases in which </w:t>
      </w:r>
      <w:r w:rsidRPr="001F497A">
        <w:rPr>
          <w:color w:val="444444"/>
        </w:rPr>
        <w:t xml:space="preserve">Māori </w:t>
      </w:r>
      <w:r w:rsidRPr="001F497A">
        <w:rPr>
          <w:lang w:val="en-CA"/>
        </w:rPr>
        <w:t>are disproportionally in the most vulnerable group or are at risk at a younger age than the general population</w:t>
      </w:r>
      <w:r>
        <w:rPr>
          <w:lang w:val="en-CA"/>
        </w:rPr>
        <w:t>,</w:t>
      </w:r>
      <w:r w:rsidRPr="001F497A">
        <w:rPr>
          <w:lang w:val="en-CA"/>
        </w:rPr>
        <w:t xml:space="preserve"> duties of active protection will arise</w:t>
      </w:r>
      <w:r>
        <w:rPr>
          <w:lang w:val="en-CA"/>
        </w:rPr>
        <w:t xml:space="preserve"> under </w:t>
      </w:r>
      <w:proofErr w:type="spellStart"/>
      <w:r w:rsidR="00FC060D">
        <w:rPr>
          <w:lang w:val="en-CA"/>
        </w:rPr>
        <w:t>t</w:t>
      </w:r>
      <w:r>
        <w:rPr>
          <w:lang w:val="en-CA"/>
        </w:rPr>
        <w:t>e</w:t>
      </w:r>
      <w:proofErr w:type="spellEnd"/>
      <w:r>
        <w:rPr>
          <w:lang w:val="en-CA"/>
        </w:rPr>
        <w:t xml:space="preserve"> </w:t>
      </w:r>
      <w:proofErr w:type="spellStart"/>
      <w:r>
        <w:rPr>
          <w:lang w:val="en-CA"/>
        </w:rPr>
        <w:t>Tiriti</w:t>
      </w:r>
      <w:proofErr w:type="spellEnd"/>
      <w:r>
        <w:rPr>
          <w:lang w:val="en-CA"/>
        </w:rPr>
        <w:t xml:space="preserve">. Significant </w:t>
      </w:r>
      <w:r w:rsidRPr="001F497A">
        <w:rPr>
          <w:lang w:val="en-CA"/>
        </w:rPr>
        <w:t>correlation</w:t>
      </w:r>
      <w:r>
        <w:rPr>
          <w:lang w:val="en-CA"/>
        </w:rPr>
        <w:t>s</w:t>
      </w:r>
      <w:r w:rsidRPr="001F497A">
        <w:rPr>
          <w:lang w:val="en-CA"/>
        </w:rPr>
        <w:t xml:space="preserve"> between age</w:t>
      </w:r>
      <w:r>
        <w:rPr>
          <w:lang w:val="en-CA"/>
        </w:rPr>
        <w:t>,</w:t>
      </w:r>
      <w:r w:rsidRPr="001F497A">
        <w:rPr>
          <w:lang w:val="en-CA"/>
        </w:rPr>
        <w:t xml:space="preserve"> </w:t>
      </w:r>
      <w:r>
        <w:rPr>
          <w:lang w:val="en-CA"/>
        </w:rPr>
        <w:t xml:space="preserve">race, </w:t>
      </w:r>
      <w:proofErr w:type="gramStart"/>
      <w:r>
        <w:rPr>
          <w:lang w:val="en-CA"/>
        </w:rPr>
        <w:t>gender</w:t>
      </w:r>
      <w:proofErr w:type="gramEnd"/>
      <w:r>
        <w:rPr>
          <w:lang w:val="en-CA"/>
        </w:rPr>
        <w:t xml:space="preserve"> and sexual orientation </w:t>
      </w:r>
      <w:r w:rsidRPr="001F497A">
        <w:rPr>
          <w:lang w:val="en-CA"/>
        </w:rPr>
        <w:t xml:space="preserve">with </w:t>
      </w:r>
      <w:r>
        <w:rPr>
          <w:lang w:val="en-CA"/>
        </w:rPr>
        <w:t xml:space="preserve">worse </w:t>
      </w:r>
      <w:r w:rsidRPr="001F497A">
        <w:rPr>
          <w:lang w:val="en-CA"/>
        </w:rPr>
        <w:t xml:space="preserve">disease outcomes </w:t>
      </w:r>
      <w:r>
        <w:rPr>
          <w:lang w:val="en-CA"/>
        </w:rPr>
        <w:t xml:space="preserve">can legally </w:t>
      </w:r>
      <w:r w:rsidRPr="001F497A">
        <w:rPr>
          <w:lang w:val="en-CA"/>
        </w:rPr>
        <w:t xml:space="preserve">justify </w:t>
      </w:r>
      <w:r>
        <w:rPr>
          <w:lang w:val="en-CA"/>
        </w:rPr>
        <w:t xml:space="preserve">the adoption of </w:t>
      </w:r>
      <w:r w:rsidRPr="001F497A">
        <w:rPr>
          <w:lang w:val="en-CA"/>
        </w:rPr>
        <w:t xml:space="preserve">special measures </w:t>
      </w:r>
      <w:r>
        <w:rPr>
          <w:lang w:val="en-CA"/>
        </w:rPr>
        <w:t xml:space="preserve">in relation to vulnerable groups </w:t>
      </w:r>
      <w:r w:rsidRPr="001F497A">
        <w:rPr>
          <w:lang w:val="en-CA"/>
        </w:rPr>
        <w:t>more generally.</w:t>
      </w:r>
      <w:r>
        <w:rPr>
          <w:lang w:val="en-CA"/>
        </w:rPr>
        <w:t xml:space="preserve"> Article </w:t>
      </w:r>
      <w:r w:rsidR="00E452C4">
        <w:rPr>
          <w:lang w:val="en-CA"/>
        </w:rPr>
        <w:t xml:space="preserve">3 </w:t>
      </w:r>
      <w:r>
        <w:rPr>
          <w:lang w:val="en-CA"/>
        </w:rPr>
        <w:t xml:space="preserve">of </w:t>
      </w:r>
      <w:proofErr w:type="spellStart"/>
      <w:r w:rsidR="00FC060D">
        <w:rPr>
          <w:lang w:val="en-CA"/>
        </w:rPr>
        <w:t>t</w:t>
      </w:r>
      <w:r>
        <w:rPr>
          <w:lang w:val="en-CA"/>
        </w:rPr>
        <w:t>e</w:t>
      </w:r>
      <w:proofErr w:type="spellEnd"/>
      <w:r>
        <w:rPr>
          <w:lang w:val="en-CA"/>
        </w:rPr>
        <w:t xml:space="preserve"> </w:t>
      </w:r>
      <w:proofErr w:type="spellStart"/>
      <w:r>
        <w:rPr>
          <w:lang w:val="en-CA"/>
        </w:rPr>
        <w:t>Tiriti</w:t>
      </w:r>
      <w:proofErr w:type="spellEnd"/>
      <w:r>
        <w:rPr>
          <w:lang w:val="en-CA"/>
        </w:rPr>
        <w:t xml:space="preserve"> and s 19 of the New Zealand Bill of Rights Act 1990 pull in the same direction to prohibit direct and indirect forms of discrimination and promote equity in the whole population. </w:t>
      </w:r>
    </w:p>
    <w:p w14:paraId="1525462A" w14:textId="77777777" w:rsidR="00484D86" w:rsidRDefault="00484D86" w:rsidP="007C6E7F">
      <w:pPr>
        <w:pStyle w:val="Heading4"/>
      </w:pPr>
      <w:bookmarkStart w:id="45" w:name="_Hlk107814422"/>
      <w:r w:rsidRPr="0092397C">
        <w:t xml:space="preserve">The acute </w:t>
      </w:r>
      <w:r>
        <w:t xml:space="preserve">response </w:t>
      </w:r>
      <w:r w:rsidRPr="0092397C">
        <w:t>phases of an emergency</w:t>
      </w:r>
    </w:p>
    <w:bookmarkEnd w:id="45"/>
    <w:p w14:paraId="1F4FF075" w14:textId="48E989BA" w:rsidR="00484D86" w:rsidRDefault="00484D86" w:rsidP="00FB32D6">
      <w:pPr>
        <w:pStyle w:val="BodyTextnonum"/>
      </w:pPr>
      <w:r w:rsidRPr="001F497A">
        <w:t xml:space="preserve">It is </w:t>
      </w:r>
      <w:r>
        <w:t>particularly</w:t>
      </w:r>
      <w:r w:rsidRPr="001F497A">
        <w:t xml:space="preserve"> during the m</w:t>
      </w:r>
      <w:r>
        <w:t>ost</w:t>
      </w:r>
      <w:r w:rsidRPr="001F497A">
        <w:t xml:space="preserve"> acute </w:t>
      </w:r>
      <w:r>
        <w:t xml:space="preserve">response </w:t>
      </w:r>
      <w:r w:rsidRPr="001F497A">
        <w:t>phase</w:t>
      </w:r>
      <w:r>
        <w:t>s</w:t>
      </w:r>
      <w:r w:rsidRPr="001F497A">
        <w:t xml:space="preserve"> of an emergency that ordinary processes of participation and dialogue may have to be </w:t>
      </w:r>
      <w:proofErr w:type="gramStart"/>
      <w:r w:rsidRPr="001F497A">
        <w:t>temporarily suspended</w:t>
      </w:r>
      <w:proofErr w:type="gramEnd"/>
      <w:r w:rsidRPr="001F497A">
        <w:t xml:space="preserve"> and power may have to be concentrated in </w:t>
      </w:r>
      <w:r>
        <w:t xml:space="preserve">the </w:t>
      </w:r>
      <w:r w:rsidRPr="001F497A">
        <w:t>hands</w:t>
      </w:r>
      <w:r>
        <w:t xml:space="preserve"> of a few</w:t>
      </w:r>
      <w:r w:rsidRPr="001F497A">
        <w:t xml:space="preserve">. The duration and degree to which suspension is justified will depend on the </w:t>
      </w:r>
      <w:r>
        <w:t xml:space="preserve">level of the threat to wellbeing and the </w:t>
      </w:r>
      <w:r w:rsidRPr="001F497A">
        <w:t>nature and geographical extent of the emergency. We have seen that</w:t>
      </w:r>
      <w:r w:rsidR="00AB5216">
        <w:t>,</w:t>
      </w:r>
      <w:r w:rsidRPr="001F497A">
        <w:t xml:space="preserve"> in a pandemic in particular, a country may go in and out of an acute emergency phase, and the assessment </w:t>
      </w:r>
      <w:r w:rsidRPr="001F497A">
        <w:lastRenderedPageBreak/>
        <w:t>of risk may be temporarily assigned to a few acting on expert advice. This is also likely to be the case in the event of a terrorist threat.</w:t>
      </w:r>
      <w:r>
        <w:t xml:space="preserve"> </w:t>
      </w:r>
      <w:r w:rsidR="005D76D2">
        <w:t>I</w:t>
      </w:r>
      <w:r>
        <w:t xml:space="preserve">t is also the case that some of that expert advice should take the form of advice about </w:t>
      </w:r>
      <w:r w:rsidRPr="001F497A">
        <w:t>Māori</w:t>
      </w:r>
      <w:r>
        <w:t xml:space="preserve"> interests where those are distinct from those of the rest of the population.</w:t>
      </w:r>
      <w:r w:rsidRPr="001F497A">
        <w:t xml:space="preserve"> </w:t>
      </w:r>
    </w:p>
    <w:p w14:paraId="1ECBCC5D" w14:textId="11F3A967" w:rsidR="00484D86" w:rsidRDefault="001A4653" w:rsidP="00FB32D6">
      <w:pPr>
        <w:pStyle w:val="BodyTextnonum"/>
      </w:pPr>
      <w:r>
        <w:t>The assessments</w:t>
      </w:r>
      <w:r w:rsidR="00484D86" w:rsidRPr="001F497A">
        <w:t xml:space="preserve"> of the pandemic threat </w:t>
      </w:r>
      <w:r w:rsidR="001D1C69">
        <w:t xml:space="preserve">in relation to COVID-19 </w:t>
      </w:r>
      <w:r w:rsidR="00484D86" w:rsidRPr="001F497A">
        <w:t>and decisions to close the borders and lock</w:t>
      </w:r>
      <w:r w:rsidR="005D76D2">
        <w:t xml:space="preserve"> </w:t>
      </w:r>
      <w:r w:rsidR="00484D86" w:rsidRPr="001F497A">
        <w:t xml:space="preserve">down the country were </w:t>
      </w:r>
      <w:r w:rsidR="00A454D2">
        <w:t xml:space="preserve">initially </w:t>
      </w:r>
      <w:r w:rsidR="00484D86" w:rsidRPr="001F497A">
        <w:t xml:space="preserve">taken by a </w:t>
      </w:r>
      <w:r w:rsidR="00484D86">
        <w:t>very small group</w:t>
      </w:r>
      <w:r w:rsidR="00484D86" w:rsidRPr="001F497A">
        <w:t xml:space="preserve"> and under extreme time pressure. Documents proactively released by the government show that</w:t>
      </w:r>
      <w:r w:rsidR="005D76D2">
        <w:t>,</w:t>
      </w:r>
      <w:r w:rsidR="00484D86" w:rsidRPr="001F497A">
        <w:t xml:space="preserve"> at the onset of the pandemic threat</w:t>
      </w:r>
      <w:r w:rsidR="005D76D2">
        <w:t>,</w:t>
      </w:r>
      <w:r w:rsidR="00484D86" w:rsidRPr="001F497A">
        <w:t xml:space="preserve"> access to the top table was limited to a very small number indeed.</w:t>
      </w:r>
      <w:r w:rsidR="00484D86" w:rsidRPr="001F497A">
        <w:rPr>
          <w:rStyle w:val="FootnoteReference"/>
        </w:rPr>
        <w:footnoteReference w:id="28"/>
      </w:r>
      <w:r w:rsidR="00484D86" w:rsidRPr="001F497A">
        <w:t xml:space="preserve"> Not all members of Cabinet were included in the decision</w:t>
      </w:r>
      <w:r w:rsidR="005D76D2">
        <w:t xml:space="preserve"> </w:t>
      </w:r>
      <w:r w:rsidR="00484D86" w:rsidRPr="001F497A">
        <w:t>making. Cabinet authorised the formation of a small ad hoc committee to respond to C</w:t>
      </w:r>
      <w:r w:rsidR="0061070F">
        <w:t>OVID</w:t>
      </w:r>
      <w:r w:rsidR="00484D86" w:rsidRPr="001F497A">
        <w:t>-19 and assembled a group of seven Ministers.</w:t>
      </w:r>
      <w:r w:rsidR="00484D86" w:rsidRPr="001F497A">
        <w:rPr>
          <w:rStyle w:val="FootnoteReference"/>
        </w:rPr>
        <w:footnoteReference w:id="29"/>
      </w:r>
      <w:r w:rsidR="00484D86" w:rsidRPr="001F497A">
        <w:t xml:space="preserve"> Decisions had to be made in a very short timeframe. The Director-General of Health gave affidavit evidence to the High Court in </w:t>
      </w:r>
      <w:r w:rsidR="00484D86" w:rsidRPr="001F497A">
        <w:rPr>
          <w:i/>
          <w:iCs/>
        </w:rPr>
        <w:t>Borrowdale v Director-General of Health</w:t>
      </w:r>
      <w:r w:rsidR="00484D86" w:rsidRPr="001F497A">
        <w:t xml:space="preserve"> </w:t>
      </w:r>
      <w:r w:rsidR="00484D86">
        <w:t xml:space="preserve">on </w:t>
      </w:r>
      <w:r w:rsidR="00484D86" w:rsidRPr="001F497A">
        <w:t>this point: “What we thought could be done in two weeks or two days had to happen now: it was literally now or never</w:t>
      </w:r>
      <w:r w:rsidR="005D76D2">
        <w:t>.</w:t>
      </w:r>
      <w:r w:rsidR="00484D86" w:rsidRPr="001F497A">
        <w:t>”</w:t>
      </w:r>
      <w:r w:rsidR="00484D86" w:rsidRPr="001F497A">
        <w:rPr>
          <w:rStyle w:val="FootnoteReference"/>
        </w:rPr>
        <w:footnoteReference w:id="30"/>
      </w:r>
      <w:r w:rsidR="00484D86">
        <w:t xml:space="preserve"> </w:t>
      </w:r>
      <w:r w:rsidR="00484D86" w:rsidRPr="001F497A">
        <w:t>Given the urgency of the decision</w:t>
      </w:r>
      <w:r w:rsidR="005D76D2">
        <w:t xml:space="preserve"> </w:t>
      </w:r>
      <w:r w:rsidR="00484D86" w:rsidRPr="001F497A">
        <w:t>making in the initial stages of a pandemic, it is hard to see how</w:t>
      </w:r>
      <w:r w:rsidR="00484D86">
        <w:t>, under current constitutional arrangements,</w:t>
      </w:r>
      <w:r w:rsidR="00484D86" w:rsidRPr="001F497A">
        <w:t xml:space="preserve"> more</w:t>
      </w:r>
      <w:r w:rsidR="00D91617">
        <w:t>-</w:t>
      </w:r>
      <w:r w:rsidR="00484D86" w:rsidRPr="001F497A">
        <w:t>extensive dialogue with national Māori authorities</w:t>
      </w:r>
      <w:r w:rsidR="00484D86" w:rsidRPr="001F497A">
        <w:rPr>
          <w:rStyle w:val="FootnoteReference"/>
        </w:rPr>
        <w:footnoteReference w:id="31"/>
      </w:r>
      <w:r w:rsidR="00484D86" w:rsidRPr="001F497A">
        <w:t xml:space="preserve"> (or, indeed, with the wider Cabinet or Parliament) could have been accommodated without potentially catastrophic delay. Nor is it easy to envisage how Māori decision-making bodies could have been given access to </w:t>
      </w:r>
      <w:r w:rsidR="00484D86">
        <w:t>expert</w:t>
      </w:r>
      <w:r w:rsidR="00484D86" w:rsidRPr="001F497A">
        <w:t xml:space="preserve"> advice within such a tight timeframe. The Waitangi Tribunal records there was “some tolerance among M</w:t>
      </w:r>
      <w:r w:rsidR="00EF3926">
        <w:t>ā</w:t>
      </w:r>
      <w:r w:rsidR="00484D86" w:rsidRPr="001F497A">
        <w:t>ori</w:t>
      </w:r>
      <w:r w:rsidR="004F2FCA">
        <w:t>”</w:t>
      </w:r>
      <w:r w:rsidR="00484D86" w:rsidRPr="001F497A">
        <w:t xml:space="preserve"> for the initial rapid move to Alert Level 4 when it was unclear what kind of disease was threatened.</w:t>
      </w:r>
      <w:r w:rsidR="00484D86" w:rsidRPr="001F497A">
        <w:rPr>
          <w:rStyle w:val="FootnoteReference"/>
        </w:rPr>
        <w:footnoteReference w:id="32"/>
      </w:r>
    </w:p>
    <w:p w14:paraId="40899405" w14:textId="68478E75" w:rsidR="00484D86" w:rsidRDefault="00484D86" w:rsidP="00FB32D6">
      <w:pPr>
        <w:pStyle w:val="BodyTextnonum"/>
        <w:rPr>
          <w:lang w:val="en-CA"/>
        </w:rPr>
      </w:pPr>
      <w:r w:rsidRPr="001F497A">
        <w:t xml:space="preserve">The genuinely “acute” </w:t>
      </w:r>
      <w:r>
        <w:t xml:space="preserve">response </w:t>
      </w:r>
      <w:r w:rsidRPr="001F497A">
        <w:t xml:space="preserve">phases of </w:t>
      </w:r>
      <w:r>
        <w:t xml:space="preserve">even a pandemic type of </w:t>
      </w:r>
      <w:r w:rsidRPr="001F497A">
        <w:t>emergency are</w:t>
      </w:r>
      <w:r>
        <w:t xml:space="preserve">, however, </w:t>
      </w:r>
      <w:r w:rsidRPr="001F497A">
        <w:t xml:space="preserve">likely to be few and relatively short. </w:t>
      </w:r>
      <w:r w:rsidRPr="001F497A">
        <w:rPr>
          <w:lang w:val="en-CA"/>
        </w:rPr>
        <w:t xml:space="preserve">There </w:t>
      </w:r>
      <w:r>
        <w:rPr>
          <w:lang w:val="en-CA"/>
        </w:rPr>
        <w:t>will</w:t>
      </w:r>
      <w:r w:rsidRPr="001F497A">
        <w:rPr>
          <w:lang w:val="en-CA"/>
        </w:rPr>
        <w:t xml:space="preserve"> be limited situations where the Crown must move </w:t>
      </w:r>
      <w:r>
        <w:rPr>
          <w:lang w:val="en-CA"/>
        </w:rPr>
        <w:t xml:space="preserve">quite so </w:t>
      </w:r>
      <w:r w:rsidRPr="001F497A">
        <w:rPr>
          <w:lang w:val="en-CA"/>
        </w:rPr>
        <w:t>urgently</w:t>
      </w:r>
      <w:r>
        <w:rPr>
          <w:lang w:val="en-CA"/>
        </w:rPr>
        <w:t>.</w:t>
      </w:r>
      <w:r w:rsidRPr="001F497A">
        <w:rPr>
          <w:lang w:val="en-CA"/>
        </w:rPr>
        <w:t xml:space="preserve"> </w:t>
      </w:r>
      <w:r>
        <w:t xml:space="preserve">It is hard to judge in advance what may be practically possible by way of consultation with </w:t>
      </w:r>
      <w:r w:rsidRPr="001F497A">
        <w:t>Māori</w:t>
      </w:r>
      <w:r>
        <w:t xml:space="preserve">. </w:t>
      </w:r>
      <w:r>
        <w:rPr>
          <w:lang w:val="en-CA"/>
        </w:rPr>
        <w:t>I</w:t>
      </w:r>
      <w:r w:rsidRPr="001F497A">
        <w:rPr>
          <w:lang w:val="en-CA"/>
        </w:rPr>
        <w:t>n th</w:t>
      </w:r>
      <w:r>
        <w:rPr>
          <w:lang w:val="en-CA"/>
        </w:rPr>
        <w:t>ose</w:t>
      </w:r>
      <w:r w:rsidRPr="001F497A">
        <w:rPr>
          <w:lang w:val="en-CA"/>
        </w:rPr>
        <w:t xml:space="preserve"> </w:t>
      </w:r>
      <w:r>
        <w:rPr>
          <w:lang w:val="en-CA"/>
        </w:rPr>
        <w:t xml:space="preserve">rare cases in which </w:t>
      </w:r>
      <w:r w:rsidRPr="001F497A">
        <w:rPr>
          <w:lang w:val="en-CA"/>
        </w:rPr>
        <w:t xml:space="preserve">state government is forced by circumstances to act without participation from Māori authorities, the duty of active protection </w:t>
      </w:r>
      <w:r>
        <w:rPr>
          <w:lang w:val="en-CA"/>
        </w:rPr>
        <w:t xml:space="preserve">of </w:t>
      </w:r>
      <w:r w:rsidRPr="001F497A">
        <w:t>Māori</w:t>
      </w:r>
      <w:r>
        <w:rPr>
          <w:lang w:val="en-CA"/>
        </w:rPr>
        <w:t xml:space="preserve"> </w:t>
      </w:r>
      <w:r w:rsidRPr="001F497A">
        <w:rPr>
          <w:lang w:val="en-CA"/>
        </w:rPr>
        <w:t xml:space="preserve">should weigh more heavily </w:t>
      </w:r>
      <w:r>
        <w:rPr>
          <w:lang w:val="en-CA"/>
        </w:rPr>
        <w:t xml:space="preserve">on the state authorities </w:t>
      </w:r>
      <w:r w:rsidRPr="001F497A">
        <w:rPr>
          <w:lang w:val="en-CA"/>
        </w:rPr>
        <w:t xml:space="preserve">than </w:t>
      </w:r>
      <w:r>
        <w:rPr>
          <w:lang w:val="en-CA"/>
        </w:rPr>
        <w:t>usual</w:t>
      </w:r>
      <w:r w:rsidRPr="001F497A">
        <w:rPr>
          <w:lang w:val="en-CA"/>
        </w:rPr>
        <w:t>. It is likely that</w:t>
      </w:r>
      <w:r w:rsidR="004F2FCA">
        <w:rPr>
          <w:lang w:val="en-CA"/>
        </w:rPr>
        <w:t>,</w:t>
      </w:r>
      <w:r w:rsidRPr="001F497A">
        <w:rPr>
          <w:lang w:val="en-CA"/>
        </w:rPr>
        <w:t xml:space="preserve"> in such situations</w:t>
      </w:r>
      <w:r w:rsidR="004F2FCA">
        <w:rPr>
          <w:lang w:val="en-CA"/>
        </w:rPr>
        <w:t>,</w:t>
      </w:r>
      <w:r w:rsidRPr="001F497A">
        <w:rPr>
          <w:lang w:val="en-CA"/>
        </w:rPr>
        <w:t xml:space="preserve"> </w:t>
      </w:r>
      <w:r w:rsidRPr="001F497A">
        <w:t>Māori</w:t>
      </w:r>
      <w:r w:rsidRPr="001F497A">
        <w:rPr>
          <w:lang w:val="en-CA"/>
        </w:rPr>
        <w:t xml:space="preserve"> interests will coincide with those of the rest of the population. </w:t>
      </w:r>
    </w:p>
    <w:p w14:paraId="1D43F125" w14:textId="77777777" w:rsidR="00484D86" w:rsidRPr="0092397C" w:rsidRDefault="00484D86" w:rsidP="009D7D08">
      <w:pPr>
        <w:pStyle w:val="Heading4"/>
      </w:pPr>
      <w:bookmarkStart w:id="46" w:name="_Hlk107814471"/>
      <w:r w:rsidRPr="0092397C">
        <w:t>The re</w:t>
      </w:r>
      <w:r>
        <w:t>covery</w:t>
      </w:r>
      <w:r w:rsidRPr="0092397C">
        <w:t xml:space="preserve"> </w:t>
      </w:r>
      <w:proofErr w:type="gramStart"/>
      <w:r w:rsidRPr="0092397C">
        <w:t>phase</w:t>
      </w:r>
      <w:proofErr w:type="gramEnd"/>
    </w:p>
    <w:bookmarkEnd w:id="46"/>
    <w:p w14:paraId="1D1250F4" w14:textId="09C1C561" w:rsidR="00484D86" w:rsidRPr="001F497A" w:rsidRDefault="00484D86" w:rsidP="00FB32D6">
      <w:pPr>
        <w:pStyle w:val="BodyTextnonum"/>
        <w:rPr>
          <w:lang w:val="en-CA"/>
        </w:rPr>
      </w:pPr>
      <w:r w:rsidRPr="001F497A">
        <w:rPr>
          <w:lang w:val="en-CA"/>
        </w:rPr>
        <w:t>As is the case in the preparation and acute phases of an emergency,</w:t>
      </w:r>
      <w:r w:rsidRPr="001F497A">
        <w:t xml:space="preserve"> </w:t>
      </w:r>
      <w:proofErr w:type="spellStart"/>
      <w:r w:rsidR="008463E3">
        <w:t>k</w:t>
      </w:r>
      <w:r>
        <w:t>āwanatanga</w:t>
      </w:r>
      <w:proofErr w:type="spellEnd"/>
      <w:r w:rsidRPr="001F497A">
        <w:t xml:space="preserve"> obliges the Crown to explore with Māori authorities what Māori interests are and how they can best be represented in the response stage of an emergency. </w:t>
      </w:r>
      <w:r w:rsidRPr="001F497A">
        <w:rPr>
          <w:lang w:val="en-CA"/>
        </w:rPr>
        <w:t>This includes exploring the coordination between state law and tikanga.</w:t>
      </w:r>
    </w:p>
    <w:p w14:paraId="55CD4591" w14:textId="64682957" w:rsidR="00484D86" w:rsidRPr="001F497A" w:rsidRDefault="00484D86" w:rsidP="00FB32D6">
      <w:pPr>
        <w:pStyle w:val="BodyTextnonum"/>
        <w:rPr>
          <w:lang w:val="en-CA"/>
        </w:rPr>
      </w:pPr>
      <w:r w:rsidRPr="001F497A">
        <w:rPr>
          <w:lang w:val="en-CA"/>
        </w:rPr>
        <w:t>The Waitangi Tribunal has recommended that</w:t>
      </w:r>
      <w:r w:rsidR="008463E3">
        <w:rPr>
          <w:lang w:val="en-CA"/>
        </w:rPr>
        <w:t>,</w:t>
      </w:r>
      <w:r w:rsidRPr="001F497A">
        <w:rPr>
          <w:lang w:val="en-CA"/>
        </w:rPr>
        <w:t xml:space="preserve"> to ensure fulfilment of </w:t>
      </w:r>
      <w:proofErr w:type="spellStart"/>
      <w:r w:rsidRPr="001F497A">
        <w:rPr>
          <w:lang w:val="en-CA"/>
        </w:rPr>
        <w:t>tino</w:t>
      </w:r>
      <w:proofErr w:type="spellEnd"/>
      <w:r w:rsidRPr="001F497A">
        <w:rPr>
          <w:lang w:val="en-CA"/>
        </w:rPr>
        <w:t xml:space="preserve"> rangatiratanga and active protection, representative M</w:t>
      </w:r>
      <w:r w:rsidRPr="001F497A">
        <w:t>ā</w:t>
      </w:r>
      <w:proofErr w:type="spellStart"/>
      <w:r w:rsidRPr="001F497A">
        <w:rPr>
          <w:lang w:val="en-CA"/>
        </w:rPr>
        <w:t>ori</w:t>
      </w:r>
      <w:proofErr w:type="spellEnd"/>
      <w:r w:rsidRPr="001F497A">
        <w:rPr>
          <w:lang w:val="en-CA"/>
        </w:rPr>
        <w:t xml:space="preserve"> should be able to speak </w:t>
      </w:r>
      <w:r w:rsidRPr="001F497A">
        <w:rPr>
          <w:i/>
          <w:iCs/>
          <w:lang w:val="en-CA"/>
        </w:rPr>
        <w:t>directly to Cabinet</w:t>
      </w:r>
      <w:r w:rsidRPr="001F497A">
        <w:rPr>
          <w:lang w:val="en-CA"/>
        </w:rPr>
        <w:t xml:space="preserve"> and contribute to the co-design of an emergency response</w:t>
      </w:r>
      <w:r>
        <w:rPr>
          <w:lang w:val="en-CA"/>
        </w:rPr>
        <w:t>,</w:t>
      </w:r>
      <w:r w:rsidRPr="001F497A">
        <w:rPr>
          <w:lang w:val="en-CA"/>
        </w:rPr>
        <w:t xml:space="preserve"> including in the longer </w:t>
      </w:r>
      <w:r w:rsidRPr="001F497A">
        <w:rPr>
          <w:lang w:val="en-CA"/>
        </w:rPr>
        <w:lastRenderedPageBreak/>
        <w:t>response phase of a pandemic.</w:t>
      </w:r>
      <w:r w:rsidRPr="001F497A">
        <w:rPr>
          <w:rStyle w:val="FootnoteReference"/>
          <w:lang w:val="en-CA"/>
        </w:rPr>
        <w:footnoteReference w:id="33"/>
      </w:r>
      <w:r w:rsidRPr="001F497A">
        <w:rPr>
          <w:lang w:val="en-CA"/>
        </w:rPr>
        <w:t xml:space="preserve"> It finds that</w:t>
      </w:r>
      <w:r w:rsidR="008463E3">
        <w:rPr>
          <w:lang w:val="en-CA"/>
        </w:rPr>
        <w:t>,</w:t>
      </w:r>
      <w:r w:rsidRPr="001F497A">
        <w:rPr>
          <w:lang w:val="en-CA"/>
        </w:rPr>
        <w:t xml:space="preserve"> while there were multiple sources of advice on the rights and interests of Māori generated by Māori advisory bodies and in the ordinary civil service policy streams, th</w:t>
      </w:r>
      <w:r>
        <w:rPr>
          <w:lang w:val="en-CA"/>
        </w:rPr>
        <w:t xml:space="preserve">is advice was not formally incorporated in the </w:t>
      </w:r>
      <w:r w:rsidRPr="001F497A">
        <w:rPr>
          <w:lang w:val="en-CA"/>
        </w:rPr>
        <w:t>Cabinet</w:t>
      </w:r>
      <w:r>
        <w:rPr>
          <w:lang w:val="en-CA"/>
        </w:rPr>
        <w:t xml:space="preserve"> documents</w:t>
      </w:r>
      <w:r w:rsidRPr="001F497A">
        <w:rPr>
          <w:lang w:val="en-CA"/>
        </w:rPr>
        <w:t xml:space="preserve">. </w:t>
      </w:r>
    </w:p>
    <w:p w14:paraId="00CCA7B6" w14:textId="30FCDD7E" w:rsidR="00484D86" w:rsidRDefault="00484D86" w:rsidP="00FB32D6">
      <w:pPr>
        <w:pStyle w:val="BodyTextnonum"/>
        <w:rPr>
          <w:lang w:val="en-CA"/>
        </w:rPr>
      </w:pPr>
      <w:r w:rsidRPr="001F497A">
        <w:rPr>
          <w:lang w:val="en-CA"/>
        </w:rPr>
        <w:t>Once again</w:t>
      </w:r>
      <w:r w:rsidR="008463E3">
        <w:rPr>
          <w:lang w:val="en-CA"/>
        </w:rPr>
        <w:t>,</w:t>
      </w:r>
      <w:r w:rsidRPr="001F497A">
        <w:rPr>
          <w:lang w:val="en-CA"/>
        </w:rPr>
        <w:t xml:space="preserve"> there are large constitutional questions about the different forms </w:t>
      </w:r>
      <w:r w:rsidR="008463E3">
        <w:rPr>
          <w:lang w:val="en-CA"/>
        </w:rPr>
        <w:t xml:space="preserve">that </w:t>
      </w:r>
      <w:r w:rsidRPr="001F497A">
        <w:rPr>
          <w:lang w:val="en-CA"/>
        </w:rPr>
        <w:t xml:space="preserve">government under </w:t>
      </w:r>
      <w:proofErr w:type="spellStart"/>
      <w:r w:rsidR="00D601B1">
        <w:rPr>
          <w:lang w:val="en-CA"/>
        </w:rPr>
        <w:t>te</w:t>
      </w:r>
      <w:proofErr w:type="spellEnd"/>
      <w:r w:rsidR="00D601B1">
        <w:rPr>
          <w:lang w:val="en-CA"/>
        </w:rPr>
        <w:t xml:space="preserve"> </w:t>
      </w:r>
      <w:proofErr w:type="spellStart"/>
      <w:r w:rsidRPr="001F497A">
        <w:rPr>
          <w:lang w:val="en-CA"/>
        </w:rPr>
        <w:t>Tiriti</w:t>
      </w:r>
      <w:proofErr w:type="spellEnd"/>
      <w:r w:rsidRPr="001F497A">
        <w:rPr>
          <w:lang w:val="en-CA"/>
        </w:rPr>
        <w:t xml:space="preserve"> o Waitangi may take</w:t>
      </w:r>
      <w:r>
        <w:rPr>
          <w:lang w:val="en-CA"/>
        </w:rPr>
        <w:t xml:space="preserve">, which are beyond the scope of this </w:t>
      </w:r>
      <w:r w:rsidR="00A27792">
        <w:rPr>
          <w:lang w:val="en-CA"/>
        </w:rPr>
        <w:t>S</w:t>
      </w:r>
      <w:r>
        <w:rPr>
          <w:lang w:val="en-CA"/>
        </w:rPr>
        <w:t xml:space="preserve">tudy </w:t>
      </w:r>
      <w:r w:rsidR="00A27792">
        <w:rPr>
          <w:lang w:val="en-CA"/>
        </w:rPr>
        <w:t>P</w:t>
      </w:r>
      <w:r>
        <w:rPr>
          <w:lang w:val="en-CA"/>
        </w:rPr>
        <w:t>aper</w:t>
      </w:r>
      <w:r w:rsidRPr="001F497A">
        <w:rPr>
          <w:lang w:val="en-CA"/>
        </w:rPr>
        <w:t xml:space="preserve">. </w:t>
      </w:r>
      <w:r>
        <w:rPr>
          <w:lang w:val="en-CA"/>
        </w:rPr>
        <w:t xml:space="preserve">Relationships established between the Crown and </w:t>
      </w:r>
      <w:r w:rsidRPr="001F497A">
        <w:rPr>
          <w:lang w:val="en-CA"/>
        </w:rPr>
        <w:t>Māori</w:t>
      </w:r>
      <w:r>
        <w:rPr>
          <w:lang w:val="en-CA"/>
        </w:rPr>
        <w:t xml:space="preserve"> during ordinary times are more likely to work well in an emergency. </w:t>
      </w:r>
    </w:p>
    <w:p w14:paraId="38822DED" w14:textId="2FD2DE3D" w:rsidR="00484D86" w:rsidRPr="00943D48" w:rsidRDefault="00484D86" w:rsidP="00C908FA">
      <w:pPr>
        <w:pStyle w:val="Heading3"/>
      </w:pPr>
      <w:bookmarkStart w:id="47" w:name="_Toc117063098"/>
      <w:bookmarkStart w:id="48" w:name="_Toc118119290"/>
      <w:bookmarkStart w:id="49" w:name="_Hlk107814668"/>
      <w:r w:rsidRPr="00943D48">
        <w:t xml:space="preserve">The </w:t>
      </w:r>
      <w:r w:rsidR="009B24C4">
        <w:t>e</w:t>
      </w:r>
      <w:r w:rsidRPr="00943D48">
        <w:t xml:space="preserve">xecutive </w:t>
      </w:r>
      <w:r w:rsidR="009B24C4">
        <w:t>g</w:t>
      </w:r>
      <w:r w:rsidRPr="00943D48">
        <w:t>overnment and its relationship to Parliament</w:t>
      </w:r>
      <w:bookmarkEnd w:id="47"/>
      <w:bookmarkEnd w:id="48"/>
    </w:p>
    <w:bookmarkEnd w:id="49"/>
    <w:p w14:paraId="36D67D29" w14:textId="2049AB92" w:rsidR="00484D86" w:rsidRDefault="00484D86" w:rsidP="00FB32D6">
      <w:pPr>
        <w:pStyle w:val="BodyTextnonum"/>
      </w:pPr>
      <w:r w:rsidRPr="001F497A">
        <w:t xml:space="preserve">Within the bounds of </w:t>
      </w:r>
      <w:proofErr w:type="spellStart"/>
      <w:r>
        <w:t>kāwanatanga</w:t>
      </w:r>
      <w:proofErr w:type="spellEnd"/>
      <w:r w:rsidRPr="001F497A">
        <w:t>, it has</w:t>
      </w:r>
      <w:r>
        <w:t xml:space="preserve"> </w:t>
      </w:r>
      <w:r w:rsidRPr="001F497A">
        <w:t xml:space="preserve">long </w:t>
      </w:r>
      <w:r>
        <w:t xml:space="preserve">been </w:t>
      </w:r>
      <w:r w:rsidRPr="001F497A">
        <w:t xml:space="preserve">understood that it is </w:t>
      </w:r>
      <w:r w:rsidRPr="001F497A">
        <w:rPr>
          <w:i/>
          <w:iCs/>
        </w:rPr>
        <w:t>Parliament</w:t>
      </w:r>
      <w:r w:rsidRPr="001F497A">
        <w:t xml:space="preserve"> </w:t>
      </w:r>
      <w:r>
        <w:t xml:space="preserve">that represents the electorate and </w:t>
      </w:r>
      <w:r w:rsidRPr="001F497A">
        <w:t xml:space="preserve">not the </w:t>
      </w:r>
      <w:r w:rsidRPr="001F497A">
        <w:rPr>
          <w:i/>
          <w:iCs/>
        </w:rPr>
        <w:t>executive</w:t>
      </w:r>
      <w:r w:rsidRPr="001F497A">
        <w:t xml:space="preserve"> </w:t>
      </w:r>
      <w:r w:rsidRPr="001F497A">
        <w:rPr>
          <w:i/>
          <w:iCs/>
        </w:rPr>
        <w:t>government</w:t>
      </w:r>
      <w:r w:rsidRPr="001F497A">
        <w:t>.</w:t>
      </w:r>
      <w:r w:rsidRPr="001F497A">
        <w:rPr>
          <w:rStyle w:val="FootnoteReference"/>
        </w:rPr>
        <w:footnoteReference w:id="34"/>
      </w:r>
      <w:r w:rsidRPr="001F497A">
        <w:t xml:space="preserve"> </w:t>
      </w:r>
      <w:r>
        <w:t>P</w:t>
      </w:r>
      <w:r w:rsidRPr="001F497A">
        <w:t xml:space="preserve">arliamentary processes, debate and scrutiny lend democratic legitimacy to the legality of </w:t>
      </w:r>
      <w:r w:rsidRPr="001F497A">
        <w:rPr>
          <w:i/>
          <w:iCs/>
        </w:rPr>
        <w:t>primary</w:t>
      </w:r>
      <w:r w:rsidRPr="001F497A">
        <w:t xml:space="preserve"> legislation – or legislation made by Parliament</w:t>
      </w:r>
      <w:r>
        <w:t xml:space="preserve"> </w:t>
      </w:r>
      <w:r w:rsidRPr="001F497A">
        <w:t>–</w:t>
      </w:r>
      <w:r>
        <w:t xml:space="preserve"> and tend to improve its content</w:t>
      </w:r>
      <w:r w:rsidRPr="001F497A">
        <w:t xml:space="preserve">. This is reflected in the fact that primary legislation </w:t>
      </w:r>
      <w:r>
        <w:t>usually prevails over secondary legislation and general policy made by the executive</w:t>
      </w:r>
      <w:r w:rsidRPr="001F497A">
        <w:t>.</w:t>
      </w:r>
      <w:r>
        <w:t xml:space="preserve"> The adoption of </w:t>
      </w:r>
      <w:r w:rsidR="008463E3">
        <w:t>m</w:t>
      </w:r>
      <w:r>
        <w:t>ixed</w:t>
      </w:r>
      <w:r w:rsidR="008463E3">
        <w:t>-m</w:t>
      </w:r>
      <w:r>
        <w:t xml:space="preserve">ember </w:t>
      </w:r>
      <w:r w:rsidR="008463E3">
        <w:t>p</w:t>
      </w:r>
      <w:r>
        <w:t>roportional representation in 1991 has further enhanced the role of Parliament in its supervision of the executive as well as increasing the representativeness of the House of Representatives itself.</w:t>
      </w:r>
    </w:p>
    <w:p w14:paraId="6E12AD5D" w14:textId="11E4C022" w:rsidR="00484D86" w:rsidRDefault="00484D86" w:rsidP="00FB32D6">
      <w:pPr>
        <w:pStyle w:val="BodyTextnonum"/>
      </w:pPr>
      <w:r w:rsidRPr="001F497A">
        <w:t xml:space="preserve">In </w:t>
      </w:r>
      <w:r w:rsidR="00851AD6">
        <w:t>Aotearoa</w:t>
      </w:r>
      <w:r w:rsidR="00851AD6" w:rsidRPr="001F497A">
        <w:t xml:space="preserve"> </w:t>
      </w:r>
      <w:r w:rsidRPr="001F497A">
        <w:t>New Zealand</w:t>
      </w:r>
      <w:r>
        <w:t>,</w:t>
      </w:r>
      <w:r w:rsidRPr="001F497A">
        <w:t xml:space="preserve"> the executive or Cabinet is part of Parliament and</w:t>
      </w:r>
      <w:r>
        <w:t>,</w:t>
      </w:r>
      <w:r w:rsidRPr="001F497A">
        <w:t xml:space="preserve"> by definition</w:t>
      </w:r>
      <w:r>
        <w:t>,</w:t>
      </w:r>
      <w:r w:rsidRPr="001F497A">
        <w:t xml:space="preserve"> enjoys the support of the </w:t>
      </w:r>
      <w:r>
        <w:t xml:space="preserve">House of Representatives </w:t>
      </w:r>
      <w:proofErr w:type="gramStart"/>
      <w:r w:rsidRPr="001F497A">
        <w:t>in order to</w:t>
      </w:r>
      <w:proofErr w:type="gramEnd"/>
      <w:r w:rsidRPr="001F497A">
        <w:t xml:space="preserve"> govern. Despite the necessary dominance of the executive o</w:t>
      </w:r>
      <w:r>
        <w:t>ver</w:t>
      </w:r>
      <w:r w:rsidRPr="001F497A">
        <w:t xml:space="preserve"> legislative and financial matters, the ordinary processes of legislation</w:t>
      </w:r>
      <w:r w:rsidR="00503E76">
        <w:t xml:space="preserve"> </w:t>
      </w:r>
      <w:r w:rsidRPr="001F497A">
        <w:t xml:space="preserve">making provide opportunities for members to </w:t>
      </w:r>
      <w:r>
        <w:t>initiate legislation</w:t>
      </w:r>
      <w:r w:rsidR="00503E76">
        <w:t xml:space="preserve"> and</w:t>
      </w:r>
      <w:r>
        <w:t xml:space="preserve"> </w:t>
      </w:r>
      <w:r w:rsidRPr="001F497A">
        <w:t xml:space="preserve">hear from the public directly and for the House of Representatives </w:t>
      </w:r>
      <w:proofErr w:type="gramStart"/>
      <w:r w:rsidRPr="001F497A">
        <w:t>as a whole to</w:t>
      </w:r>
      <w:proofErr w:type="gramEnd"/>
      <w:r w:rsidRPr="001F497A">
        <w:t xml:space="preserve"> contribute to legislation. For the most part</w:t>
      </w:r>
      <w:r>
        <w:t>,</w:t>
      </w:r>
      <w:r w:rsidRPr="001F497A">
        <w:t xml:space="preserve"> legislation is drafted by Parliamentary Counsel</w:t>
      </w:r>
      <w:r>
        <w:t xml:space="preserve">, who are </w:t>
      </w:r>
      <w:r w:rsidRPr="001F497A">
        <w:t xml:space="preserve">public servants with a wide knowledge of law and legal principle. Special legislative procedures require the Attorney-General to draw attention to any proposed legislation </w:t>
      </w:r>
      <w:r w:rsidR="00503E76">
        <w:t>that</w:t>
      </w:r>
      <w:r w:rsidR="00503E76" w:rsidRPr="001F497A">
        <w:t xml:space="preserve"> </w:t>
      </w:r>
      <w:r w:rsidRPr="001F497A">
        <w:t>potentially breaches rights protected by the New Zealand Bill of Rights Act upon the introduction of a Bill.</w:t>
      </w:r>
      <w:r w:rsidRPr="001F497A">
        <w:rPr>
          <w:rStyle w:val="FootnoteReference"/>
        </w:rPr>
        <w:footnoteReference w:id="35"/>
      </w:r>
    </w:p>
    <w:p w14:paraId="3AC77B74" w14:textId="43457402" w:rsidR="00484D86" w:rsidRDefault="00484D86" w:rsidP="00FB32D6">
      <w:pPr>
        <w:pStyle w:val="BodyTextnonum"/>
      </w:pPr>
      <w:r w:rsidRPr="001F497A">
        <w:t xml:space="preserve">Ideally, primary legislation sets out general rules and processes (as opposed to focusing on decisions </w:t>
      </w:r>
      <w:r>
        <w:t>that</w:t>
      </w:r>
      <w:r w:rsidRPr="001F497A">
        <w:t xml:space="preserve"> affect particular people), is prospective in its operation (as opposed to validating unlawful actions or penalising lawful actions </w:t>
      </w:r>
      <w:r w:rsidR="00503E76">
        <w:t>that</w:t>
      </w:r>
      <w:r w:rsidR="00503E76" w:rsidRPr="001F497A">
        <w:t xml:space="preserve"> </w:t>
      </w:r>
      <w:r w:rsidRPr="001F497A">
        <w:t>have happened in the past)</w:t>
      </w:r>
      <w:r>
        <w:t>,</w:t>
      </w:r>
      <w:r w:rsidRPr="001F497A">
        <w:t xml:space="preserve"> gives people a degree of certainty, is accessible, knowable in advance</w:t>
      </w:r>
      <w:r w:rsidR="00503E76">
        <w:t xml:space="preserve"> and</w:t>
      </w:r>
      <w:r w:rsidRPr="001F497A">
        <w:t xml:space="preserve"> consistent and is able to be obeyed. </w:t>
      </w:r>
      <w:r>
        <w:t>For the most part,</w:t>
      </w:r>
      <w:r w:rsidRPr="001F497A">
        <w:t xml:space="preserve"> this is also the case in practice. The </w:t>
      </w:r>
      <w:r>
        <w:t xml:space="preserve">very </w:t>
      </w:r>
      <w:r w:rsidRPr="001F497A">
        <w:t xml:space="preserve">operation of Parliament’s processes and the principles </w:t>
      </w:r>
      <w:r>
        <w:t>that</w:t>
      </w:r>
      <w:r w:rsidRPr="001F497A">
        <w:t xml:space="preserve"> inform them tend to have the effect of limiting power. </w:t>
      </w:r>
      <w:r>
        <w:t>Scrutiny contributes to good law.</w:t>
      </w:r>
    </w:p>
    <w:p w14:paraId="22FF9520" w14:textId="6A61B1F4" w:rsidR="00484D86" w:rsidRDefault="00484D86" w:rsidP="00FB32D6">
      <w:pPr>
        <w:pStyle w:val="BodyTextnonum"/>
      </w:pPr>
      <w:r w:rsidRPr="001F497A">
        <w:t xml:space="preserve">Even in ordinary times, primary legislation is sometimes passed </w:t>
      </w:r>
      <w:r>
        <w:t>under</w:t>
      </w:r>
      <w:r w:rsidRPr="001F497A">
        <w:t xml:space="preserve"> urgency </w:t>
      </w:r>
      <w:proofErr w:type="gramStart"/>
      <w:r w:rsidRPr="001F497A">
        <w:t xml:space="preserve">so </w:t>
      </w:r>
      <w:r>
        <w:t xml:space="preserve">as </w:t>
      </w:r>
      <w:r w:rsidRPr="001F497A">
        <w:t>to</w:t>
      </w:r>
      <w:proofErr w:type="gramEnd"/>
      <w:r w:rsidRPr="001F497A">
        <w:t xml:space="preserve"> avoid the delays and scrutiny associated with select committee processes. The uses and misuses of urgency are controversial and have been much discussed.</w:t>
      </w:r>
      <w:r w:rsidRPr="001F497A">
        <w:rPr>
          <w:rStyle w:val="FootnoteReference"/>
        </w:rPr>
        <w:footnoteReference w:id="36"/>
      </w:r>
      <w:r w:rsidRPr="001F497A">
        <w:t xml:space="preserve"> In ordinary times too, Parliament routinely delegates power to the executive to make more</w:t>
      </w:r>
      <w:r w:rsidR="00503E76">
        <w:t>-</w:t>
      </w:r>
      <w:r w:rsidRPr="001F497A">
        <w:t>detailed rules</w:t>
      </w:r>
      <w:r>
        <w:t xml:space="preserve"> </w:t>
      </w:r>
      <w:r w:rsidR="004C7B35">
        <w:t>–</w:t>
      </w:r>
      <w:r w:rsidRPr="001F497A">
        <w:t xml:space="preserve"> particularly when the rules are of a technical nature, change frequently or are too </w:t>
      </w:r>
      <w:r w:rsidRPr="001F497A">
        <w:lastRenderedPageBreak/>
        <w:t xml:space="preserve">detailed for </w:t>
      </w:r>
      <w:r w:rsidR="00FA7F6C">
        <w:t>p</w:t>
      </w:r>
      <w:r w:rsidRPr="001F497A">
        <w:t xml:space="preserve">arliamentary consideration. There are a variety of checks on the use of such powers. The Regulations Review Committee of the House, </w:t>
      </w:r>
      <w:r w:rsidR="00503E76">
        <w:t xml:space="preserve">which is </w:t>
      </w:r>
      <w:r w:rsidRPr="001F497A">
        <w:t>chaired by a member of the Opposition, has an important scrutiny function, and the Legislation Act 2019 contains a procedure by which regulations made by the executive can be invalidated by the House as a whole.</w:t>
      </w:r>
      <w:r w:rsidRPr="001F497A">
        <w:rPr>
          <w:rStyle w:val="FootnoteReference"/>
        </w:rPr>
        <w:footnoteReference w:id="37"/>
      </w:r>
      <w:r w:rsidRPr="001F497A">
        <w:t xml:space="preserve"> This is an important check on executive authority. The Opposition also plays an important supervisory role over executive </w:t>
      </w:r>
      <w:r>
        <w:t xml:space="preserve">action </w:t>
      </w:r>
      <w:r w:rsidR="004C7B35">
        <w:t>–</w:t>
      </w:r>
      <w:r w:rsidRPr="001F497A">
        <w:t xml:space="preserve"> primarily through asking questions of Ministers during Question </w:t>
      </w:r>
      <w:r>
        <w:t>T</w:t>
      </w:r>
      <w:r w:rsidRPr="001F497A">
        <w:t xml:space="preserve">ime. </w:t>
      </w:r>
      <w:r>
        <w:t>Parliamentary s</w:t>
      </w:r>
      <w:r w:rsidRPr="001F497A">
        <w:t xml:space="preserve">anctions follow if Ministers are found to have misled the House in their answers. </w:t>
      </w:r>
    </w:p>
    <w:p w14:paraId="630393CF" w14:textId="40F4D9CC" w:rsidR="00484D86" w:rsidRDefault="00484D86" w:rsidP="00FB32D6">
      <w:pPr>
        <w:pStyle w:val="BodyTextnonum"/>
      </w:pPr>
      <w:r w:rsidRPr="001F497A">
        <w:t xml:space="preserve">Finally, the ability of citizens to change a government and the members of </w:t>
      </w:r>
      <w:r w:rsidR="00FA7F6C">
        <w:t>P</w:t>
      </w:r>
      <w:r w:rsidRPr="001F497A">
        <w:t xml:space="preserve">arliament at election time is perhaps the most important safeguard on the exercise of </w:t>
      </w:r>
      <w:proofErr w:type="spellStart"/>
      <w:r>
        <w:t>kāwanatanga</w:t>
      </w:r>
      <w:proofErr w:type="spellEnd"/>
      <w:r w:rsidRPr="001F497A">
        <w:t xml:space="preserve">. </w:t>
      </w:r>
      <w:r>
        <w:t>I discuss elections in Part Three.</w:t>
      </w:r>
    </w:p>
    <w:p w14:paraId="0F3C3377" w14:textId="77777777" w:rsidR="00484D86" w:rsidRPr="0092397C" w:rsidRDefault="00484D86" w:rsidP="004B092E">
      <w:pPr>
        <w:pStyle w:val="Heading4"/>
      </w:pPr>
      <w:r w:rsidRPr="0092397C">
        <w:t>Parliament in an Emergency</w:t>
      </w:r>
    </w:p>
    <w:p w14:paraId="138F25AA" w14:textId="3B51C58C" w:rsidR="00484D86" w:rsidRDefault="00484D86" w:rsidP="00FB32D6">
      <w:pPr>
        <w:pStyle w:val="BodyTextnonum"/>
      </w:pPr>
      <w:r w:rsidRPr="001F497A">
        <w:t xml:space="preserve">The risk in an emergency is that power becomes more centralised in the executive branch of government, </w:t>
      </w:r>
      <w:r>
        <w:t>P</w:t>
      </w:r>
      <w:r w:rsidRPr="001F497A">
        <w:t xml:space="preserve">arliament’s role is </w:t>
      </w:r>
      <w:proofErr w:type="gramStart"/>
      <w:r>
        <w:t>marginalised</w:t>
      </w:r>
      <w:proofErr w:type="gramEnd"/>
      <w:r w:rsidRPr="001F497A">
        <w:t xml:space="preserve"> and the ordinary processes of political debate and accountability are diminished. The opportunities for </w:t>
      </w:r>
      <w:r w:rsidR="009517E2">
        <w:t>o</w:t>
      </w:r>
      <w:r w:rsidRPr="001F497A">
        <w:t>pposition parties to scrutinise publicly the activities of the executive may also be reduced. The use of delegated powers to make rules by the executive branch of government is likely to become more frequent and to be used in novel and potentially far-reaching ways. In some instances</w:t>
      </w:r>
      <w:r>
        <w:t>,</w:t>
      </w:r>
      <w:r w:rsidRPr="001F497A">
        <w:t xml:space="preserve"> there will be a temptation to use regulations when primary legislation would be more appropriate.</w:t>
      </w:r>
      <w:r w:rsidRPr="001F497A">
        <w:rPr>
          <w:rStyle w:val="FootnoteReference"/>
        </w:rPr>
        <w:footnoteReference w:id="38"/>
      </w:r>
      <w:r>
        <w:t xml:space="preserve"> </w:t>
      </w:r>
      <w:r w:rsidRPr="001F497A">
        <w:t xml:space="preserve">Some of these changes in process and scrutiny may be inevitable given the rapid responses required and </w:t>
      </w:r>
      <w:r>
        <w:t xml:space="preserve">as new </w:t>
      </w:r>
      <w:r w:rsidRPr="001F497A">
        <w:t xml:space="preserve">information </w:t>
      </w:r>
      <w:r>
        <w:t xml:space="preserve">emerges </w:t>
      </w:r>
      <w:r w:rsidRPr="001F497A">
        <w:t xml:space="preserve">during both the initial or acute phase of an emergency and during the extended period of </w:t>
      </w:r>
      <w:r>
        <w:t xml:space="preserve">a </w:t>
      </w:r>
      <w:r w:rsidRPr="001F497A">
        <w:t>pandemic response</w:t>
      </w:r>
      <w:r w:rsidR="006D7E55">
        <w:t>,</w:t>
      </w:r>
      <w:r w:rsidRPr="001F497A">
        <w:t xml:space="preserve"> </w:t>
      </w:r>
      <w:r w:rsidR="006D7E55">
        <w:t>b</w:t>
      </w:r>
      <w:r w:rsidRPr="001F497A">
        <w:t>ut there is always the concern that exceptional practices will continue beyond when they are necessary and become normalised. The principle still stands that it is Parliament</w:t>
      </w:r>
      <w:r w:rsidR="00BB1AB7">
        <w:t>,</w:t>
      </w:r>
      <w:r w:rsidRPr="001F497A">
        <w:t xml:space="preserve"> not the executive</w:t>
      </w:r>
      <w:r w:rsidR="00BB1AB7">
        <w:t>,</w:t>
      </w:r>
      <w:r w:rsidRPr="001F497A">
        <w:t xml:space="preserve"> </w:t>
      </w:r>
      <w:r w:rsidR="006D7E55">
        <w:t>that</w:t>
      </w:r>
      <w:r w:rsidR="006D7E55" w:rsidRPr="001F497A">
        <w:t xml:space="preserve"> </w:t>
      </w:r>
      <w:r>
        <w:t xml:space="preserve">holds the greater power </w:t>
      </w:r>
      <w:r w:rsidRPr="001F497A">
        <w:t xml:space="preserve">within a </w:t>
      </w:r>
      <w:proofErr w:type="spellStart"/>
      <w:r>
        <w:t>kāwanatanga</w:t>
      </w:r>
      <w:proofErr w:type="spellEnd"/>
      <w:r w:rsidRPr="001F497A">
        <w:t xml:space="preserve"> framework. Wherever possible</w:t>
      </w:r>
      <w:r>
        <w:t xml:space="preserve">, </w:t>
      </w:r>
      <w:r w:rsidRPr="001F497A">
        <w:t>Parliament</w:t>
      </w:r>
      <w:r>
        <w:t>,</w:t>
      </w:r>
      <w:r w:rsidRPr="001F497A">
        <w:t xml:space="preserve"> not the executive</w:t>
      </w:r>
      <w:r>
        <w:t>,</w:t>
      </w:r>
      <w:r w:rsidRPr="001F497A">
        <w:t xml:space="preserve"> should be engaged in creating the legislative infrastructure </w:t>
      </w:r>
      <w:r w:rsidR="00BB1AB7">
        <w:t>that</w:t>
      </w:r>
      <w:r w:rsidR="00BB1AB7" w:rsidRPr="001F497A">
        <w:t xml:space="preserve"> </w:t>
      </w:r>
      <w:r w:rsidRPr="001F497A">
        <w:t>operates in an emergency</w:t>
      </w:r>
      <w:r>
        <w:t>.</w:t>
      </w:r>
      <w:r w:rsidRPr="001F497A">
        <w:t xml:space="preserve"> </w:t>
      </w:r>
      <w:r>
        <w:t>E</w:t>
      </w:r>
      <w:r w:rsidRPr="001F497A">
        <w:t xml:space="preserve">very effort should be made to ensure </w:t>
      </w:r>
      <w:r>
        <w:t>Parliament</w:t>
      </w:r>
      <w:r w:rsidRPr="001F497A">
        <w:t xml:space="preserve"> retains its scrutiny and supervisory functions. </w:t>
      </w:r>
    </w:p>
    <w:p w14:paraId="4762B4F4" w14:textId="4528212F" w:rsidR="00484D86" w:rsidRDefault="00484D86" w:rsidP="00FB32D6">
      <w:pPr>
        <w:pStyle w:val="BodyTextnonum"/>
      </w:pPr>
      <w:r>
        <w:t xml:space="preserve">Statute </w:t>
      </w:r>
      <w:r w:rsidRPr="001F497A">
        <w:t>require</w:t>
      </w:r>
      <w:r>
        <w:t>s Parliament</w:t>
      </w:r>
      <w:r w:rsidRPr="001F497A">
        <w:t xml:space="preserve"> to meet within </w:t>
      </w:r>
      <w:r w:rsidR="001565F5">
        <w:t>7</w:t>
      </w:r>
      <w:r w:rsidR="001565F5" w:rsidRPr="001F497A">
        <w:t xml:space="preserve"> </w:t>
      </w:r>
      <w:r w:rsidRPr="001F497A">
        <w:t xml:space="preserve">days of a declaration of a state of emergency, </w:t>
      </w:r>
      <w:r>
        <w:t xml:space="preserve">which ensures that, </w:t>
      </w:r>
      <w:proofErr w:type="gramStart"/>
      <w:r>
        <w:t>more often than not</w:t>
      </w:r>
      <w:proofErr w:type="gramEnd"/>
      <w:r>
        <w:t xml:space="preserve">, </w:t>
      </w:r>
      <w:r w:rsidRPr="001F497A">
        <w:t>there is some political oversight at the outset of an emergency.</w:t>
      </w:r>
      <w:r w:rsidRPr="001F497A">
        <w:rPr>
          <w:rStyle w:val="FootnoteReference"/>
        </w:rPr>
        <w:footnoteReference w:id="39"/>
      </w:r>
      <w:r w:rsidRPr="001F497A">
        <w:t xml:space="preserve"> If Parliament has </w:t>
      </w:r>
      <w:r>
        <w:t xml:space="preserve">already </w:t>
      </w:r>
      <w:r w:rsidRPr="001F497A">
        <w:t>been dissolved</w:t>
      </w:r>
      <w:r>
        <w:t>,</w:t>
      </w:r>
      <w:r w:rsidRPr="001F497A">
        <w:t xml:space="preserve"> triggering the processes for an election, it must meet </w:t>
      </w:r>
      <w:r w:rsidR="001565F5">
        <w:t>7</w:t>
      </w:r>
      <w:r w:rsidR="001565F5" w:rsidRPr="001F497A">
        <w:t xml:space="preserve"> </w:t>
      </w:r>
      <w:r w:rsidRPr="001F497A">
        <w:t>days after the date for the return of the writ.</w:t>
      </w:r>
      <w:r w:rsidRPr="001F497A">
        <w:rPr>
          <w:rStyle w:val="FootnoteReference"/>
        </w:rPr>
        <w:footnoteReference w:id="40"/>
      </w:r>
      <w:r w:rsidRPr="001F497A">
        <w:t xml:space="preserve"> </w:t>
      </w:r>
    </w:p>
    <w:p w14:paraId="06AE3354" w14:textId="2F8DEBA8" w:rsidR="00484D86" w:rsidRDefault="00484D86" w:rsidP="00FB32D6">
      <w:pPr>
        <w:pStyle w:val="BodyTextnonum"/>
      </w:pPr>
      <w:r w:rsidRPr="0092397C">
        <w:t>In the immediate response to C</w:t>
      </w:r>
      <w:r w:rsidR="0061070F">
        <w:t>OVID</w:t>
      </w:r>
      <w:r w:rsidRPr="0092397C">
        <w:t>-19, the House adjusted its own rules to empower the Business Committee to meet and make determinations by electronic</w:t>
      </w:r>
      <w:r w:rsidRPr="0092397C">
        <w:rPr>
          <w:rFonts w:ascii="Calibri" w:hAnsi="Calibri" w:cs="Calibri"/>
        </w:rPr>
        <w:t> </w:t>
      </w:r>
      <w:r w:rsidRPr="0092397C">
        <w:t xml:space="preserve">means, allow remote </w:t>
      </w:r>
      <w:proofErr w:type="gramStart"/>
      <w:r w:rsidRPr="0092397C">
        <w:t>participation</w:t>
      </w:r>
      <w:proofErr w:type="gramEnd"/>
      <w:r w:rsidRPr="0092397C">
        <w:t xml:space="preserve"> and remove the 25 per cent limit on proxy votes that may be cast by a party during a party vote. The rules also empowered the Speaker to approve special arrangements for select committees to meet and conduct business.</w:t>
      </w:r>
    </w:p>
    <w:p w14:paraId="1BF02E96" w14:textId="77777777" w:rsidR="00484D86" w:rsidRDefault="00484D86" w:rsidP="00FB32D6">
      <w:pPr>
        <w:pStyle w:val="BodyTextnonum"/>
      </w:pPr>
      <w:r w:rsidRPr="001F497A">
        <w:lastRenderedPageBreak/>
        <w:t xml:space="preserve">Depending on the kind of emergency at issue, the inability of the House to meet physically may be able to be circumvented </w:t>
      </w:r>
      <w:proofErr w:type="gramStart"/>
      <w:r w:rsidRPr="001F497A">
        <w:t>by the use of</w:t>
      </w:r>
      <w:proofErr w:type="gramEnd"/>
      <w:r w:rsidRPr="001F497A">
        <w:t xml:space="preserve"> technology. Section 18(1) of the Constitution Act 1986 allows the Governor-General to designate where Parliament should meet and to change the “place” it meets “</w:t>
      </w:r>
      <w:r w:rsidRPr="001F497A">
        <w:rPr>
          <w:color w:val="000000"/>
        </w:rPr>
        <w:t>if that place is unsafe or uninhabitable”</w:t>
      </w:r>
      <w:r w:rsidRPr="001F497A">
        <w:t>.</w:t>
      </w:r>
      <w:r>
        <w:rPr>
          <w:rStyle w:val="FootnoteReference"/>
        </w:rPr>
        <w:footnoteReference w:id="41"/>
      </w:r>
      <w:r w:rsidRPr="001F497A">
        <w:t xml:space="preserve"> That </w:t>
      </w:r>
      <w:r>
        <w:t xml:space="preserve">provision presumably confers </w:t>
      </w:r>
      <w:r w:rsidRPr="001F497A">
        <w:t xml:space="preserve">sufficient power to allow the Governor-General to designate a particular “mode” of meeting via the internet. The provision could be amended to add “mode of meeting” to make </w:t>
      </w:r>
      <w:r>
        <w:t xml:space="preserve">it </w:t>
      </w:r>
      <w:r w:rsidRPr="001F497A">
        <w:t>clearer that technical alternatives are also envisaged.</w:t>
      </w:r>
      <w:r>
        <w:t xml:space="preserve"> Once Parliament has been convened, the House itself can decide where and how to conduct its business. </w:t>
      </w:r>
    </w:p>
    <w:p w14:paraId="4450E5D5" w14:textId="0FD13928" w:rsidR="00484D86" w:rsidRDefault="00484D86" w:rsidP="004B092E">
      <w:pPr>
        <w:pStyle w:val="Heading4"/>
      </w:pPr>
      <w:bookmarkStart w:id="50" w:name="_Hlk107814754"/>
      <w:r w:rsidRPr="0092397C">
        <w:t xml:space="preserve">Continued </w:t>
      </w:r>
      <w:r>
        <w:t>s</w:t>
      </w:r>
      <w:r w:rsidRPr="0092397C">
        <w:t xml:space="preserve">crutiny function while the House is </w:t>
      </w:r>
      <w:r>
        <w:t>s</w:t>
      </w:r>
      <w:r w:rsidRPr="0092397C">
        <w:t>uspended</w:t>
      </w:r>
      <w:r>
        <w:t xml:space="preserve"> or adjourned </w:t>
      </w:r>
    </w:p>
    <w:bookmarkEnd w:id="50"/>
    <w:p w14:paraId="5895C3B8" w14:textId="75102F9A" w:rsidR="00484D86" w:rsidRDefault="00484D86" w:rsidP="00FB32D6">
      <w:pPr>
        <w:pStyle w:val="BodyTextnonum"/>
        <w:rPr>
          <w:color w:val="000000"/>
        </w:rPr>
      </w:pPr>
      <w:r>
        <w:t xml:space="preserve">There may still be circumstances in which </w:t>
      </w:r>
      <w:r w:rsidRPr="001F497A">
        <w:t xml:space="preserve">Parliament </w:t>
      </w:r>
      <w:r>
        <w:t xml:space="preserve">is adjourned or </w:t>
      </w:r>
      <w:r w:rsidRPr="001F497A">
        <w:t>suspended for a time</w:t>
      </w:r>
      <w:r>
        <w:t xml:space="preserve"> – perhaps because of casualties or death or simply because Ministers are too busy managing the emergency to take part in the usual business of the House. A constitutional innovation was tried while Parliament was suspended in relation to the C</w:t>
      </w:r>
      <w:r w:rsidR="0061070F">
        <w:t>OVID</w:t>
      </w:r>
      <w:r>
        <w:t xml:space="preserve">-19 pandemic. </w:t>
      </w:r>
      <w:r w:rsidRPr="001F497A">
        <w:t xml:space="preserve">To enable </w:t>
      </w:r>
      <w:r w:rsidR="00FA7F6C">
        <w:t>p</w:t>
      </w:r>
      <w:r w:rsidRPr="001F497A">
        <w:t xml:space="preserve">arliamentary scrutiny to be sustained at least to some degree during </w:t>
      </w:r>
      <w:r>
        <w:t xml:space="preserve">the </w:t>
      </w:r>
      <w:r w:rsidRPr="001F497A">
        <w:t xml:space="preserve">lockdown, </w:t>
      </w:r>
      <w:r>
        <w:t xml:space="preserve">the House </w:t>
      </w:r>
      <w:r w:rsidRPr="001F497A">
        <w:t>voted to establish a cross</w:t>
      </w:r>
      <w:r>
        <w:t>-</w:t>
      </w:r>
      <w:r w:rsidRPr="001F497A">
        <w:t xml:space="preserve">party Epidemic Response Committee chaired by the Leader of the Opposition </w:t>
      </w:r>
      <w:r w:rsidRPr="001F497A">
        <w:rPr>
          <w:color w:val="000000"/>
        </w:rPr>
        <w:t>to consider and report to the House on matters relating to the Government’s management of the C</w:t>
      </w:r>
      <w:r w:rsidR="0061070F">
        <w:t>OVID</w:t>
      </w:r>
      <w:r w:rsidRPr="001F497A">
        <w:rPr>
          <w:color w:val="000000"/>
        </w:rPr>
        <w:t>-19 epidemic</w:t>
      </w:r>
      <w:r>
        <w:rPr>
          <w:color w:val="000000"/>
        </w:rPr>
        <w:t>.</w:t>
      </w:r>
      <w:r>
        <w:rPr>
          <w:rStyle w:val="FootnoteReference"/>
          <w:color w:val="000000"/>
        </w:rPr>
        <w:footnoteReference w:id="42"/>
      </w:r>
    </w:p>
    <w:p w14:paraId="1706443F" w14:textId="08FF2295" w:rsidR="00484D86" w:rsidRDefault="00484D86" w:rsidP="00FB32D6">
      <w:pPr>
        <w:pStyle w:val="BodyTextnonum"/>
      </w:pPr>
      <w:r>
        <w:t xml:space="preserve">In the performance of the Committee’s </w:t>
      </w:r>
      <w:proofErr w:type="gramStart"/>
      <w:r>
        <w:t>functions</w:t>
      </w:r>
      <w:proofErr w:type="gramEnd"/>
      <w:r>
        <w:t xml:space="preserve"> it summonsed the Solicitor-General, the Police Commissioner and the Director-General of Health to provide information relating to the legal basis of the initial lockdown. The Director-General and Commissioner of Police informed the Committee of the existence, timing and sources of the relevant legal advice but were not prepared to disclose its substance. The established view is that legal advice belongs to the recipient of it. The Attorney-General objected to disclosure of that advice and refused to waive legal professional privilege. </w:t>
      </w:r>
      <w:r w:rsidRPr="001F497A">
        <w:t xml:space="preserve">The House agreed to disestablish the Epidemic Response Committee on 26 May 2020. </w:t>
      </w:r>
    </w:p>
    <w:p w14:paraId="2BFEF510" w14:textId="3EDE5684" w:rsidR="00484D86" w:rsidRDefault="00484D86" w:rsidP="00FB32D6">
      <w:pPr>
        <w:pStyle w:val="BodyTextnonum"/>
      </w:pPr>
      <w:r>
        <w:t>The experience of the Epidemic Response Committee raises questions about whether and when it may be appropriate for officials directly to be able to advise members of the House about the substance of legal advice in an emergency.</w:t>
      </w:r>
      <w:r w:rsidRPr="001F497A">
        <w:rPr>
          <w:rStyle w:val="FootnoteReference"/>
          <w:color w:val="000000"/>
        </w:rPr>
        <w:footnoteReference w:id="43"/>
      </w:r>
      <w:r w:rsidRPr="001F497A">
        <w:t xml:space="preserve"> </w:t>
      </w:r>
      <w:r>
        <w:t>This was a case in which advice evidently existed. Redacted advice was also made available. A confidential briefing from the Solicitor-General was offered to the chair of the Committee (as is possible under the House’s rules), but the offer was declined. Potentially</w:t>
      </w:r>
      <w:r w:rsidR="009517E2">
        <w:t>,</w:t>
      </w:r>
      <w:r>
        <w:t xml:space="preserve"> the Committee could have held the officials in contempt for failing to obey the summons </w:t>
      </w:r>
      <w:proofErr w:type="gramStart"/>
      <w:r>
        <w:t>in an attempt to</w:t>
      </w:r>
      <w:proofErr w:type="gramEnd"/>
      <w:r>
        <w:t xml:space="preserve"> force the Attorney-General’s hand to waive privilege. Meanwhile, the government proactively released a great deal of other material relating to the measures taken, including a review of the government response</w:t>
      </w:r>
      <w:r w:rsidRPr="001F497A">
        <w:t>.</w:t>
      </w:r>
    </w:p>
    <w:p w14:paraId="4047C450" w14:textId="72A9DC1E" w:rsidR="00484D86" w:rsidRDefault="00484D86" w:rsidP="00FB32D6">
      <w:pPr>
        <w:pStyle w:val="BodyTextnonum"/>
      </w:pPr>
      <w:r>
        <w:t>The Cabinet Manual currently sets out very limited circumstances under which opposition parties have access to government advis</w:t>
      </w:r>
      <w:r w:rsidR="00C0429D">
        <w:t>o</w:t>
      </w:r>
      <w:r>
        <w:t>rs (with the consent of the Prime Minister).</w:t>
      </w:r>
      <w:r>
        <w:rPr>
          <w:rStyle w:val="FootnoteReference"/>
          <w:color w:val="000000"/>
        </w:rPr>
        <w:footnoteReference w:id="44"/>
      </w:r>
      <w:r>
        <w:t xml:space="preserve"> </w:t>
      </w:r>
      <w:r>
        <w:lastRenderedPageBreak/>
        <w:t xml:space="preserve">Further consideration should be given to whether the House should have greater access to advice, especially in the event of an existential threat to the life of the nation. </w:t>
      </w:r>
    </w:p>
    <w:p w14:paraId="503D31A9" w14:textId="06CBB870" w:rsidR="00484D86" w:rsidRDefault="00484D86" w:rsidP="00FB32D6">
      <w:pPr>
        <w:pStyle w:val="BodyTextnonum"/>
      </w:pPr>
      <w:r w:rsidRPr="001F497A">
        <w:t xml:space="preserve">Other solutions to the problem of executive scrutiny that have been mooted include </w:t>
      </w:r>
      <w:r>
        <w:t xml:space="preserve">providing for Parliament to continue to meet throughout the emergency in some form at least. </w:t>
      </w:r>
      <w:r w:rsidRPr="001F497A">
        <w:t>The debates in the House in relation to the Epidemic Preparedness Act 2006 had suggested that</w:t>
      </w:r>
      <w:r w:rsidR="009517E2">
        <w:t>,</w:t>
      </w:r>
      <w:r w:rsidRPr="001F497A">
        <w:t xml:space="preserve"> in certain circumstances, it might be desirable to convene a wartime cabinet drawn from both the government and the opposition (now opposition parties) to manage a pandemic</w:t>
      </w:r>
      <w:r>
        <w:t xml:space="preserve"> so that different perspectives could be taken into account – though the overall effect of that proposal is likely to reduce scrutiny</w:t>
      </w:r>
      <w:r w:rsidRPr="001F497A">
        <w:t>.</w:t>
      </w:r>
      <w:r w:rsidRPr="001F497A">
        <w:rPr>
          <w:rStyle w:val="FootnoteReference"/>
          <w:color w:val="000000"/>
        </w:rPr>
        <w:footnoteReference w:id="45"/>
      </w:r>
      <w:r w:rsidRPr="001F497A">
        <w:t xml:space="preserve"> Matters such as these should be left to political resolution rather than be governed by legislation set out in advance.</w:t>
      </w:r>
      <w:r w:rsidRPr="001F497A">
        <w:rPr>
          <w:rStyle w:val="FootnoteReference"/>
          <w:color w:val="000000"/>
        </w:rPr>
        <w:footnoteReference w:id="46"/>
      </w:r>
      <w:r w:rsidRPr="001F497A">
        <w:t xml:space="preserve"> A willingness to consider such practices demonstrates an important constitutional commitment to parliamentary government. </w:t>
      </w:r>
    </w:p>
    <w:p w14:paraId="627837D3" w14:textId="45F41859" w:rsidR="00484D86" w:rsidRDefault="00484D86" w:rsidP="000B1749">
      <w:pPr>
        <w:pStyle w:val="Heading4"/>
      </w:pPr>
      <w:bookmarkStart w:id="51" w:name="_Hlk107814788"/>
      <w:r w:rsidRPr="0092397C">
        <w:t>Legislation in an emergency</w:t>
      </w:r>
    </w:p>
    <w:bookmarkEnd w:id="51"/>
    <w:p w14:paraId="305FE010" w14:textId="053E1507" w:rsidR="00484D86" w:rsidRDefault="00484D86" w:rsidP="00FB32D6">
      <w:pPr>
        <w:pStyle w:val="BodyTextnonum"/>
      </w:pPr>
      <w:r>
        <w:t>Given the need for a rapid response and the fact that we cannot anticipate everything in advance, it</w:t>
      </w:r>
      <w:r w:rsidRPr="001F497A">
        <w:t xml:space="preserve"> will often be necessary for government to govern </w:t>
      </w:r>
      <w:r>
        <w:t xml:space="preserve">in part </w:t>
      </w:r>
      <w:r w:rsidRPr="001F497A">
        <w:t>by secondary legislation rather than to act under the authority of primary legislation during an emergency. That</w:t>
      </w:r>
      <w:proofErr w:type="gramStart"/>
      <w:r>
        <w:t>,</w:t>
      </w:r>
      <w:r w:rsidRPr="001F497A">
        <w:t xml:space="preserve"> in itself</w:t>
      </w:r>
      <w:r>
        <w:t>,</w:t>
      </w:r>
      <w:r w:rsidRPr="001F497A">
        <w:t xml:space="preserve"> is</w:t>
      </w:r>
      <w:proofErr w:type="gramEnd"/>
      <w:r w:rsidRPr="001F497A">
        <w:t xml:space="preserve"> not necessarily a cause for concern, but the use of delegated rule</w:t>
      </w:r>
      <w:r>
        <w:t>-</w:t>
      </w:r>
      <w:r w:rsidRPr="001F497A">
        <w:t xml:space="preserve">making power needs to be subject to ordinary controls and </w:t>
      </w:r>
      <w:r>
        <w:t xml:space="preserve">be </w:t>
      </w:r>
      <w:r w:rsidRPr="001F497A">
        <w:t>properly authorised by statute. When circumstances are changing rapidly, there may often also be a temptation to overuse discretionary powers to decide matters on a case</w:t>
      </w:r>
      <w:r>
        <w:t>-</w:t>
      </w:r>
      <w:r w:rsidRPr="001F497A">
        <w:t>by</w:t>
      </w:r>
      <w:r>
        <w:t>-</w:t>
      </w:r>
      <w:r w:rsidRPr="001F497A">
        <w:t>case basis. The risk of too much discretion is that it does not allow people to plan their actions, often renders rules inaccessible (especially in condition</w:t>
      </w:r>
      <w:r>
        <w:t>s</w:t>
      </w:r>
      <w:r w:rsidRPr="001F497A">
        <w:t xml:space="preserve"> of emergency) and may be exercised </w:t>
      </w:r>
      <w:r>
        <w:t xml:space="preserve">or appear to be exercised </w:t>
      </w:r>
      <w:r w:rsidRPr="001F497A">
        <w:t xml:space="preserve">in arbitrary or discriminatory ways. Getting the balance of rules as opposed to discretion right is an important and difficult task that requires thought and deliberation. In the </w:t>
      </w:r>
      <w:r>
        <w:t>C</w:t>
      </w:r>
      <w:r w:rsidR="0061070F">
        <w:t>OVID</w:t>
      </w:r>
      <w:r>
        <w:t xml:space="preserve">-19 </w:t>
      </w:r>
      <w:r w:rsidRPr="001F497A">
        <w:t xml:space="preserve">pandemic, for example, a list of “essential” </w:t>
      </w:r>
      <w:r>
        <w:t>services</w:t>
      </w:r>
      <w:r w:rsidRPr="001F497A">
        <w:t xml:space="preserve"> </w:t>
      </w:r>
      <w:r w:rsidR="00A20274">
        <w:t>that</w:t>
      </w:r>
      <w:r w:rsidR="00A20274" w:rsidRPr="001F497A">
        <w:t xml:space="preserve"> </w:t>
      </w:r>
      <w:r w:rsidRPr="001F497A">
        <w:t>could remain open in “</w:t>
      </w:r>
      <w:r w:rsidR="00A20274">
        <w:t>Alert L</w:t>
      </w:r>
      <w:r w:rsidRPr="001F497A">
        <w:t xml:space="preserve">evel </w:t>
      </w:r>
      <w:r w:rsidR="00A20274">
        <w:t>4</w:t>
      </w:r>
      <w:r w:rsidRPr="001F497A">
        <w:t>”</w:t>
      </w:r>
      <w:r w:rsidRPr="001F497A">
        <w:rPr>
          <w:rStyle w:val="FootnoteReference"/>
        </w:rPr>
        <w:footnoteReference w:id="47"/>
      </w:r>
      <w:r w:rsidRPr="001F497A">
        <w:t xml:space="preserve"> was created</w:t>
      </w:r>
      <w:r>
        <w:t xml:space="preserve"> but without</w:t>
      </w:r>
      <w:r w:rsidRPr="001F497A">
        <w:t xml:space="preserve"> general criteria set out in advance for establishing what </w:t>
      </w:r>
      <w:r w:rsidRPr="001F497A">
        <w:rPr>
          <w:i/>
          <w:iCs/>
        </w:rPr>
        <w:t xml:space="preserve">kinds </w:t>
      </w:r>
      <w:r w:rsidRPr="001F497A">
        <w:t xml:space="preserve">of businesses or activities were considered “essential”. </w:t>
      </w:r>
      <w:r>
        <w:t xml:space="preserve">This made it very difficult for people with businesses to plan. What is “essential”, however, is likely to change depending on the virulence of a disease and how it is transmitted </w:t>
      </w:r>
      <w:r w:rsidR="00A20274">
        <w:t>–</w:t>
      </w:r>
      <w:r>
        <w:t xml:space="preserve"> both of which may change as new information and variants emerge. </w:t>
      </w:r>
      <w:r w:rsidRPr="001F497A">
        <w:t>With the benefit of hindsight</w:t>
      </w:r>
      <w:r w:rsidR="00A20274">
        <w:t>,</w:t>
      </w:r>
      <w:r w:rsidRPr="001F497A">
        <w:t xml:space="preserve"> we are now in a better position to anticipate the kinds of rules that may be needed to control a respiratory virus</w:t>
      </w:r>
      <w:r>
        <w:t xml:space="preserve"> </w:t>
      </w:r>
      <w:proofErr w:type="gramStart"/>
      <w:r>
        <w:t>similar to</w:t>
      </w:r>
      <w:proofErr w:type="gramEnd"/>
      <w:r>
        <w:t xml:space="preserve"> C</w:t>
      </w:r>
      <w:r w:rsidR="0061070F">
        <w:t>OVID</w:t>
      </w:r>
      <w:r>
        <w:t xml:space="preserve">-19. Even then, such rules may not be appropriate in relation to a range of other </w:t>
      </w:r>
      <w:r w:rsidR="001B5AB7">
        <w:t>diseases</w:t>
      </w:r>
      <w:r>
        <w:t xml:space="preserve">. </w:t>
      </w:r>
    </w:p>
    <w:p w14:paraId="171DD66E" w14:textId="74A0876D" w:rsidR="00484D86" w:rsidRPr="001F497A" w:rsidRDefault="00484D86" w:rsidP="00FB32D6">
      <w:pPr>
        <w:pStyle w:val="BodyTextnonum"/>
      </w:pPr>
      <w:r>
        <w:t>T</w:t>
      </w:r>
      <w:r w:rsidRPr="001F497A">
        <w:t xml:space="preserve">he Commission’s 1991 Report assumed that government would use regulation-making powers during an emergency. </w:t>
      </w:r>
      <w:r>
        <w:t>For various reasons, t</w:t>
      </w:r>
      <w:r w:rsidRPr="001F497A">
        <w:t xml:space="preserve">he regulation-making powers </w:t>
      </w:r>
      <w:r>
        <w:t xml:space="preserve">conferred by s 117 of </w:t>
      </w:r>
      <w:r w:rsidRPr="001F497A">
        <w:t>the Health Act were not used in the initial response to the C</w:t>
      </w:r>
      <w:r w:rsidR="0061070F">
        <w:t>OVID</w:t>
      </w:r>
      <w:r w:rsidRPr="001F497A">
        <w:t>-19 pandemic</w:t>
      </w:r>
      <w:r>
        <w:t>.</w:t>
      </w:r>
      <w:r w:rsidRPr="001F497A">
        <w:t xml:space="preserve"> Instead, the initial response was </w:t>
      </w:r>
      <w:proofErr w:type="gramStart"/>
      <w:r w:rsidRPr="001F497A">
        <w:t>effected</w:t>
      </w:r>
      <w:proofErr w:type="gramEnd"/>
      <w:r w:rsidRPr="001F497A">
        <w:t xml:space="preserve"> by </w:t>
      </w:r>
      <w:r>
        <w:t>orders made by the Director-General of Health, who is a</w:t>
      </w:r>
      <w:r w:rsidRPr="001F497A">
        <w:t xml:space="preserve"> </w:t>
      </w:r>
      <w:r w:rsidR="00843000">
        <w:t>m</w:t>
      </w:r>
      <w:r>
        <w:t xml:space="preserve">edical </w:t>
      </w:r>
      <w:r w:rsidR="00843000">
        <w:t>o</w:t>
      </w:r>
      <w:r>
        <w:t xml:space="preserve">fficer of </w:t>
      </w:r>
      <w:r w:rsidR="00843000">
        <w:t>h</w:t>
      </w:r>
      <w:r>
        <w:t>ealth, under</w:t>
      </w:r>
      <w:r w:rsidRPr="001F497A">
        <w:t xml:space="preserve"> s</w:t>
      </w:r>
      <w:r w:rsidR="00E2704F">
        <w:t xml:space="preserve"> </w:t>
      </w:r>
      <w:r w:rsidRPr="001F497A">
        <w:t>70 of the Health Act</w:t>
      </w:r>
      <w:r>
        <w:t xml:space="preserve">. Such orders did not </w:t>
      </w:r>
      <w:r w:rsidRPr="001F497A">
        <w:t xml:space="preserve">at the time have the status of statutory instruments. The Director-General’s powers to make orders were initially used to make general rules for the entire population as well as to direct </w:t>
      </w:r>
      <w:proofErr w:type="gramStart"/>
      <w:r w:rsidRPr="001F497A">
        <w:t>particular persons</w:t>
      </w:r>
      <w:proofErr w:type="gramEnd"/>
      <w:r w:rsidRPr="001F497A">
        <w:t xml:space="preserve"> or businesses to do certain things. A</w:t>
      </w:r>
      <w:r>
        <w:t xml:space="preserve"> subsequent </w:t>
      </w:r>
      <w:r w:rsidRPr="001F497A">
        <w:lastRenderedPageBreak/>
        <w:t xml:space="preserve">amendment to </w:t>
      </w:r>
      <w:r>
        <w:t xml:space="preserve">s 70 of </w:t>
      </w:r>
      <w:r w:rsidRPr="001F497A">
        <w:t>the Health Act</w:t>
      </w:r>
      <w:r>
        <w:rPr>
          <w:rStyle w:val="FootnoteReference"/>
        </w:rPr>
        <w:footnoteReference w:id="48"/>
      </w:r>
      <w:r w:rsidRPr="001F497A">
        <w:t xml:space="preserve"> has significantly improved the legal framework. Orders made by a </w:t>
      </w:r>
      <w:r w:rsidR="00843000">
        <w:t>m</w:t>
      </w:r>
      <w:r w:rsidRPr="001F497A">
        <w:t xml:space="preserve">edical </w:t>
      </w:r>
      <w:r w:rsidR="00843000">
        <w:t>o</w:t>
      </w:r>
      <w:r w:rsidRPr="001F497A">
        <w:t xml:space="preserve">fficer of </w:t>
      </w:r>
      <w:r w:rsidR="00843000">
        <w:t>h</w:t>
      </w:r>
      <w:r w:rsidRPr="001F497A">
        <w:t>ealth applying to the general population (as opposed to orders applying to one or more named persons) now have the status of secondary legislation and are subject to publication requirements and parliamentary scrutiny under regulatory disallowance procedures.</w:t>
      </w:r>
      <w:r w:rsidRPr="001F497A">
        <w:rPr>
          <w:rStyle w:val="FootnoteReference"/>
        </w:rPr>
        <w:footnoteReference w:id="49"/>
      </w:r>
      <w:r>
        <w:t xml:space="preserve"> </w:t>
      </w:r>
      <w:r w:rsidRPr="001F497A">
        <w:t>There is still room for improvement</w:t>
      </w:r>
      <w:r>
        <w:t>,</w:t>
      </w:r>
      <w:r w:rsidRPr="001F497A">
        <w:t xml:space="preserve"> as will be discussed in Part </w:t>
      </w:r>
      <w:r>
        <w:t>Three.</w:t>
      </w:r>
    </w:p>
    <w:p w14:paraId="37E5CF36" w14:textId="633C9F40" w:rsidR="00484D86" w:rsidRPr="001F497A" w:rsidRDefault="00484D86" w:rsidP="00FB32D6">
      <w:pPr>
        <w:pStyle w:val="BodyTextnonum"/>
      </w:pPr>
      <w:r w:rsidRPr="001F497A">
        <w:t>The temptation to pass laws under urgency is likely to be even greater than usual in an emergency.</w:t>
      </w:r>
      <w:r w:rsidRPr="001F497A">
        <w:rPr>
          <w:rStyle w:val="FootnoteReference"/>
        </w:rPr>
        <w:footnoteReference w:id="50"/>
      </w:r>
      <w:r w:rsidRPr="001F497A">
        <w:t xml:space="preserve"> The </w:t>
      </w:r>
      <w:r w:rsidR="00851AD6">
        <w:t>Aotearoa</w:t>
      </w:r>
      <w:r w:rsidR="00851AD6" w:rsidRPr="001F497A">
        <w:t xml:space="preserve"> </w:t>
      </w:r>
      <w:r w:rsidRPr="001F497A">
        <w:t xml:space="preserve">New Zealand practice of recent years has been to pass specific </w:t>
      </w:r>
      <w:r>
        <w:t xml:space="preserve">bespoke </w:t>
      </w:r>
      <w:r w:rsidRPr="001F497A">
        <w:t>legislation under urgency to deal with a particular disaster event. From that experience</w:t>
      </w:r>
      <w:r>
        <w:t>,</w:t>
      </w:r>
      <w:r w:rsidRPr="001F497A">
        <w:t xml:space="preserve"> there are </w:t>
      </w:r>
      <w:proofErr w:type="gramStart"/>
      <w:r w:rsidRPr="001F497A">
        <w:t>a number of</w:t>
      </w:r>
      <w:proofErr w:type="gramEnd"/>
      <w:r w:rsidRPr="001F497A">
        <w:t xml:space="preserve"> lessons to be learn</w:t>
      </w:r>
      <w:r w:rsidR="008E19A9">
        <w:t>ed</w:t>
      </w:r>
      <w:r w:rsidRPr="001F497A">
        <w:t xml:space="preserve"> that this report hopes to capture. One set of lessons goes to the adequacy of the standing legal framework for different kinds of emergencies</w:t>
      </w:r>
      <w:r w:rsidR="008E19A9">
        <w:t>,</w:t>
      </w:r>
      <w:r>
        <w:t xml:space="preserve"> discussed in Part </w:t>
      </w:r>
      <w:r w:rsidR="008E19A9">
        <w:t>Three</w:t>
      </w:r>
      <w:r w:rsidRPr="001F497A">
        <w:t xml:space="preserve">. The other lessons take the form of principles of legislative best practice for </w:t>
      </w:r>
      <w:r>
        <w:t>all</w:t>
      </w:r>
      <w:r w:rsidRPr="001F497A">
        <w:t xml:space="preserve"> emergency legislation</w:t>
      </w:r>
      <w:r w:rsidR="008E19A9">
        <w:t>,</w:t>
      </w:r>
      <w:r>
        <w:t xml:space="preserve"> discussed in Part </w:t>
      </w:r>
      <w:r w:rsidR="008E19A9">
        <w:t>Two</w:t>
      </w:r>
      <w:r w:rsidRPr="001F497A">
        <w:t xml:space="preserve">. </w:t>
      </w:r>
    </w:p>
    <w:p w14:paraId="358D1A97" w14:textId="1C5CE5E2" w:rsidR="00484D86" w:rsidRPr="000B1749" w:rsidRDefault="00484D86" w:rsidP="000B1749">
      <w:pPr>
        <w:pStyle w:val="Heading3"/>
      </w:pPr>
      <w:bookmarkStart w:id="52" w:name="_Toc108017561"/>
      <w:bookmarkStart w:id="53" w:name="_Toc108017838"/>
      <w:bookmarkStart w:id="54" w:name="_Toc108018008"/>
      <w:bookmarkStart w:id="55" w:name="_Toc108018169"/>
      <w:bookmarkStart w:id="56" w:name="_Toc108018981"/>
      <w:bookmarkStart w:id="57" w:name="_Toc108019051"/>
      <w:bookmarkStart w:id="58" w:name="_Toc108019108"/>
      <w:bookmarkStart w:id="59" w:name="_Toc108019155"/>
      <w:bookmarkStart w:id="60" w:name="_Toc108019228"/>
      <w:bookmarkStart w:id="61" w:name="_Toc108019265"/>
      <w:bookmarkStart w:id="62" w:name="_Toc108019388"/>
      <w:bookmarkStart w:id="63" w:name="_Toc116464811"/>
      <w:bookmarkStart w:id="64" w:name="_Toc117063099"/>
      <w:bookmarkStart w:id="65" w:name="_Toc118119291"/>
      <w:bookmarkEnd w:id="52"/>
      <w:bookmarkEnd w:id="53"/>
      <w:bookmarkEnd w:id="54"/>
      <w:bookmarkEnd w:id="55"/>
      <w:bookmarkEnd w:id="56"/>
      <w:bookmarkEnd w:id="57"/>
      <w:bookmarkEnd w:id="58"/>
      <w:bookmarkEnd w:id="59"/>
      <w:bookmarkEnd w:id="60"/>
      <w:bookmarkEnd w:id="61"/>
      <w:bookmarkEnd w:id="62"/>
      <w:r w:rsidRPr="000B1749">
        <w:t>A rights framework for emergencies</w:t>
      </w:r>
      <w:bookmarkEnd w:id="63"/>
      <w:bookmarkEnd w:id="64"/>
      <w:bookmarkEnd w:id="65"/>
    </w:p>
    <w:p w14:paraId="0141DF83" w14:textId="3150BCE7" w:rsidR="00484D86" w:rsidRDefault="00851AD6" w:rsidP="00FB32D6">
      <w:pPr>
        <w:pStyle w:val="BodyTextnonum"/>
      </w:pPr>
      <w:r>
        <w:t>Aotearoa</w:t>
      </w:r>
      <w:r w:rsidRPr="001F497A">
        <w:t xml:space="preserve"> </w:t>
      </w:r>
      <w:r w:rsidR="00484D86" w:rsidRPr="001F497A">
        <w:t xml:space="preserve">New Zealand has a more individual rights-conscious culture than existed in 1991, in part </w:t>
      </w:r>
      <w:proofErr w:type="gramStart"/>
      <w:r w:rsidR="00484D86" w:rsidRPr="001F497A">
        <w:t>as a result of</w:t>
      </w:r>
      <w:proofErr w:type="gramEnd"/>
      <w:r w:rsidR="00484D86" w:rsidRPr="001F497A">
        <w:t xml:space="preserve"> the </w:t>
      </w:r>
      <w:r w:rsidR="00484D86">
        <w:t xml:space="preserve">experience of the </w:t>
      </w:r>
      <w:r w:rsidR="00484D86" w:rsidRPr="001F497A">
        <w:t xml:space="preserve">operation of the New Zealand Bill of Rights Act. Even when the objective is as important as the preservation of public health, New Zealanders have a greater expectation than formerly that their rights will be protected and that erosions of their rights should be </w:t>
      </w:r>
      <w:r w:rsidR="00484D86">
        <w:t xml:space="preserve">prescribed, </w:t>
      </w:r>
      <w:proofErr w:type="gramStart"/>
      <w:r w:rsidR="00484D86" w:rsidRPr="001F497A">
        <w:t>limited</w:t>
      </w:r>
      <w:proofErr w:type="gramEnd"/>
      <w:r w:rsidR="00484D86" w:rsidRPr="001F497A">
        <w:t xml:space="preserve"> and justified. Where large discretionary powers are conferred in legislation</w:t>
      </w:r>
      <w:r w:rsidR="009345BD">
        <w:t>,</w:t>
      </w:r>
      <w:r w:rsidR="00484D86" w:rsidRPr="001F497A">
        <w:t xml:space="preserve"> there is an expectation that they should not be used to limit rights more than is necessary </w:t>
      </w:r>
      <w:r w:rsidR="00484D86">
        <w:t xml:space="preserve">to </w:t>
      </w:r>
      <w:r w:rsidR="00484D86" w:rsidRPr="001F497A">
        <w:t>achiev</w:t>
      </w:r>
      <w:r w:rsidR="00484D86">
        <w:t xml:space="preserve">e </w:t>
      </w:r>
      <w:r w:rsidR="00484D86" w:rsidRPr="001F497A">
        <w:t>their purpose (</w:t>
      </w:r>
      <w:r w:rsidR="00484D86" w:rsidRPr="001F497A">
        <w:rPr>
          <w:lang w:val="en-CA"/>
        </w:rPr>
        <w:t xml:space="preserve">an expectation </w:t>
      </w:r>
      <w:r w:rsidR="009345BD">
        <w:rPr>
          <w:lang w:val="en-CA"/>
        </w:rPr>
        <w:t>that</w:t>
      </w:r>
      <w:r w:rsidR="009345BD" w:rsidRPr="001F497A">
        <w:rPr>
          <w:lang w:val="en-CA"/>
        </w:rPr>
        <w:t xml:space="preserve"> </w:t>
      </w:r>
      <w:r w:rsidR="00484D86" w:rsidRPr="001F497A">
        <w:rPr>
          <w:lang w:val="en-CA"/>
        </w:rPr>
        <w:t xml:space="preserve">arises from s 5 of the </w:t>
      </w:r>
      <w:r w:rsidR="002E7709" w:rsidRPr="001F497A">
        <w:t>New Zealand Bill of Rights Act</w:t>
      </w:r>
      <w:r w:rsidR="00484D86" w:rsidRPr="001F497A">
        <w:t>).</w:t>
      </w:r>
      <w:r w:rsidR="00484D86">
        <w:t xml:space="preserve"> </w:t>
      </w:r>
      <w:r w:rsidR="00484D86" w:rsidRPr="001F497A">
        <w:t>Public expectations about data and health information privacy have also grown with the enactment of the Privacy Act 1993 and its successor</w:t>
      </w:r>
      <w:r w:rsidR="009345BD">
        <w:t>,</w:t>
      </w:r>
      <w:r w:rsidR="00484D86" w:rsidRPr="001F497A">
        <w:t xml:space="preserve"> the Privacy Act 2020.</w:t>
      </w:r>
    </w:p>
    <w:p w14:paraId="40BC01E0" w14:textId="77777777" w:rsidR="00484D86" w:rsidRDefault="00484D86" w:rsidP="000B1749">
      <w:pPr>
        <w:pStyle w:val="Heading4"/>
      </w:pPr>
      <w:r>
        <w:t xml:space="preserve">Limits on rights to be prescribed by law </w:t>
      </w:r>
    </w:p>
    <w:p w14:paraId="07A0D2DC" w14:textId="2B3E2C58" w:rsidR="00484D86" w:rsidRDefault="00484D86" w:rsidP="00FB32D6">
      <w:pPr>
        <w:pStyle w:val="BodyTextnonum"/>
        <w:rPr>
          <w:color w:val="202124"/>
        </w:rPr>
      </w:pPr>
      <w:r>
        <w:t xml:space="preserve">Section 1 of the Bill of Rights 1688 and s 5 of the New Zealand Bill of Rights Act each require that limits on rights and freedoms should be prescribed by law. Alongside these statutes, the common law principle of legality </w:t>
      </w:r>
      <w:r>
        <w:rPr>
          <w:color w:val="202124"/>
        </w:rPr>
        <w:t>operates</w:t>
      </w:r>
      <w:r w:rsidRPr="001F497A">
        <w:rPr>
          <w:color w:val="202124"/>
        </w:rPr>
        <w:t xml:space="preserve"> </w:t>
      </w:r>
      <w:r>
        <w:rPr>
          <w:color w:val="202124"/>
        </w:rPr>
        <w:t xml:space="preserve">as </w:t>
      </w:r>
      <w:r w:rsidRPr="001F497A">
        <w:rPr>
          <w:color w:val="202124"/>
        </w:rPr>
        <w:t xml:space="preserve">an interpretative presumption that </w:t>
      </w:r>
      <w:r>
        <w:rPr>
          <w:color w:val="202124"/>
        </w:rPr>
        <w:t xml:space="preserve">common law </w:t>
      </w:r>
      <w:r w:rsidRPr="001F497A">
        <w:rPr>
          <w:color w:val="202124"/>
        </w:rPr>
        <w:t>rights</w:t>
      </w:r>
      <w:r>
        <w:rPr>
          <w:color w:val="202124"/>
        </w:rPr>
        <w:t xml:space="preserve"> </w:t>
      </w:r>
      <w:r w:rsidRPr="001F497A">
        <w:rPr>
          <w:color w:val="202124"/>
        </w:rPr>
        <w:t>will not be presumed to have been</w:t>
      </w:r>
      <w:r>
        <w:rPr>
          <w:color w:val="202124"/>
        </w:rPr>
        <w:t xml:space="preserve"> </w:t>
      </w:r>
      <w:r w:rsidRPr="001F497A">
        <w:rPr>
          <w:color w:val="202124"/>
        </w:rPr>
        <w:t xml:space="preserve">restricted unless the statute is irresistibly </w:t>
      </w:r>
      <w:r>
        <w:rPr>
          <w:color w:val="202124"/>
        </w:rPr>
        <w:t xml:space="preserve">clear in its authorisation of such limits. This presumption can be satisfied either by </w:t>
      </w:r>
      <w:r w:rsidRPr="001F497A">
        <w:rPr>
          <w:color w:val="202124"/>
        </w:rPr>
        <w:t>express terms or by necessary implication.</w:t>
      </w:r>
      <w:r w:rsidRPr="00454059">
        <w:rPr>
          <w:rStyle w:val="FootnoteReference"/>
          <w:color w:val="202124"/>
        </w:rPr>
        <w:footnoteReference w:id="51"/>
      </w:r>
      <w:r>
        <w:rPr>
          <w:color w:val="202124"/>
        </w:rPr>
        <w:t xml:space="preserve"> Together</w:t>
      </w:r>
      <w:r w:rsidR="00B37A02">
        <w:rPr>
          <w:color w:val="202124"/>
        </w:rPr>
        <w:t>,</w:t>
      </w:r>
      <w:r>
        <w:rPr>
          <w:color w:val="202124"/>
        </w:rPr>
        <w:t xml:space="preserve"> the statutes and </w:t>
      </w:r>
      <w:r>
        <w:rPr>
          <w:color w:val="202124"/>
        </w:rPr>
        <w:lastRenderedPageBreak/>
        <w:t xml:space="preserve">common law doctrine require Parliament to be clear when enacting legislation </w:t>
      </w:r>
      <w:r w:rsidR="00B37A02">
        <w:rPr>
          <w:color w:val="202124"/>
        </w:rPr>
        <w:t xml:space="preserve">that </w:t>
      </w:r>
      <w:r>
        <w:rPr>
          <w:color w:val="202124"/>
        </w:rPr>
        <w:t>restricts protected rights.</w:t>
      </w:r>
    </w:p>
    <w:p w14:paraId="25FA1789" w14:textId="5433B580" w:rsidR="00484D86" w:rsidRDefault="00484D86" w:rsidP="00FB32D6">
      <w:pPr>
        <w:pStyle w:val="BodyTextnonum"/>
      </w:pPr>
      <w:r>
        <w:t xml:space="preserve">It follows that </w:t>
      </w:r>
      <w:r w:rsidRPr="00942E73">
        <w:rPr>
          <w:bCs/>
        </w:rPr>
        <w:t xml:space="preserve">there is </w:t>
      </w:r>
      <w:r>
        <w:rPr>
          <w:bCs/>
        </w:rPr>
        <w:t xml:space="preserve">now a </w:t>
      </w:r>
      <w:r w:rsidRPr="00942E73">
        <w:rPr>
          <w:bCs/>
        </w:rPr>
        <w:t xml:space="preserve">decreased tolerance for the </w:t>
      </w:r>
      <w:r>
        <w:t xml:space="preserve">common law </w:t>
      </w:r>
      <w:r w:rsidRPr="00942E73">
        <w:rPr>
          <w:bCs/>
        </w:rPr>
        <w:t>doctrine of necessity</w:t>
      </w:r>
      <w:r>
        <w:t xml:space="preserve"> than there was in 1991. </w:t>
      </w:r>
      <w:r w:rsidRPr="00942E73">
        <w:t xml:space="preserve">The </w:t>
      </w:r>
      <w:r>
        <w:t>Commission</w:t>
      </w:r>
      <w:r w:rsidR="00025547">
        <w:t>’s 1991</w:t>
      </w:r>
      <w:r>
        <w:t xml:space="preserve"> </w:t>
      </w:r>
      <w:r w:rsidRPr="00942E73">
        <w:t>Report recognise</w:t>
      </w:r>
      <w:r>
        <w:t>d</w:t>
      </w:r>
      <w:r w:rsidRPr="00942E73">
        <w:t xml:space="preserve"> that the doctrine of necessity may be available to a government seeking a legal basis for the exercise of powers necessary for the common good in the absence of authorising legislation. In the current era, the doctrine of necessity is increasingly viewed as an argument of the very last resort</w:t>
      </w:r>
      <w:r>
        <w:t>, and indeed, many public lawyers doubt its very existence</w:t>
      </w:r>
      <w:r w:rsidRPr="00942E73">
        <w:t xml:space="preserve">. It is notable that the Solicitor-General </w:t>
      </w:r>
      <w:r>
        <w:t xml:space="preserve">did not </w:t>
      </w:r>
      <w:r w:rsidRPr="00942E73">
        <w:t xml:space="preserve">invoke </w:t>
      </w:r>
      <w:r>
        <w:t xml:space="preserve">it </w:t>
      </w:r>
      <w:r w:rsidRPr="00942E73">
        <w:t xml:space="preserve">as a possible legal basis </w:t>
      </w:r>
      <w:r>
        <w:t xml:space="preserve">for the existence of </w:t>
      </w:r>
      <w:r w:rsidRPr="00942E73">
        <w:t xml:space="preserve">powers to </w:t>
      </w:r>
      <w:r>
        <w:t>enforce the admonition to self-isolate</w:t>
      </w:r>
      <w:r w:rsidRPr="00942E73">
        <w:t xml:space="preserve"> in the first </w:t>
      </w:r>
      <w:r w:rsidR="001565F5">
        <w:t>9</w:t>
      </w:r>
      <w:r w:rsidR="001565F5" w:rsidRPr="00942E73">
        <w:t xml:space="preserve"> </w:t>
      </w:r>
      <w:r w:rsidRPr="00942E73">
        <w:t>days of the initial lockdown in March 2020.</w:t>
      </w:r>
      <w:bookmarkStart w:id="66" w:name="_Ref101603583"/>
      <w:r w:rsidRPr="00942E73">
        <w:rPr>
          <w:rStyle w:val="FootnoteReference"/>
          <w:iCs/>
        </w:rPr>
        <w:footnoteReference w:id="52"/>
      </w:r>
      <w:bookmarkEnd w:id="66"/>
      <w:r w:rsidRPr="00942E73">
        <w:t xml:space="preserve"> This is evidence of a strong presumption within government that legal powers used to affect and limit people’s rights should have a basis in legislation.</w:t>
      </w:r>
      <w:r w:rsidRPr="00942E73">
        <w:rPr>
          <w:rStyle w:val="FootnoteReference"/>
          <w:iCs/>
        </w:rPr>
        <w:footnoteReference w:id="53"/>
      </w:r>
      <w:r w:rsidRPr="00942E73">
        <w:t xml:space="preserve"> </w:t>
      </w:r>
      <w:r>
        <w:t xml:space="preserve">The questionable legal basis of the </w:t>
      </w:r>
      <w:r w:rsidRPr="00942E73">
        <w:t>doctrine of necessity makes it all the more important to ensure that the standing legal frameworks are sufficiently power</w:t>
      </w:r>
      <w:r w:rsidR="00B37A02">
        <w:t xml:space="preserve"> </w:t>
      </w:r>
      <w:r w:rsidRPr="00942E73">
        <w:t xml:space="preserve">conferring and with appropriate controls. </w:t>
      </w:r>
    </w:p>
    <w:p w14:paraId="02BD5B00" w14:textId="77777777" w:rsidR="00484D86" w:rsidRPr="0018301E" w:rsidRDefault="00484D86" w:rsidP="00827224">
      <w:pPr>
        <w:pStyle w:val="Heading4"/>
      </w:pPr>
      <w:r>
        <w:t xml:space="preserve">Overlapping </w:t>
      </w:r>
      <w:r w:rsidRPr="00B84981">
        <w:t>rights frameworks</w:t>
      </w:r>
    </w:p>
    <w:p w14:paraId="3558D0A3" w14:textId="5D91E701" w:rsidR="00484D86" w:rsidRDefault="00484D86" w:rsidP="00FB32D6">
      <w:pPr>
        <w:pStyle w:val="BodyTextnonum"/>
      </w:pPr>
      <w:r w:rsidRPr="001F497A">
        <w:t xml:space="preserve">The valuing of persons is or should be at the heart of the legal system of Aotearoa New Zealand. Aotearoa New Zealand’s ordinary constitutional norms include rights frameworks </w:t>
      </w:r>
      <w:r w:rsidR="00B37A02">
        <w:t>that</w:t>
      </w:r>
      <w:r w:rsidR="00B37A02" w:rsidRPr="001F497A">
        <w:t xml:space="preserve"> </w:t>
      </w:r>
      <w:r w:rsidRPr="001F497A">
        <w:t xml:space="preserve">are recognised in both international and domestic law. </w:t>
      </w:r>
      <w:r w:rsidR="00686C9A">
        <w:t>Aotearoa</w:t>
      </w:r>
      <w:r w:rsidR="00686C9A" w:rsidRPr="001F497A">
        <w:t xml:space="preserve"> </w:t>
      </w:r>
      <w:r w:rsidRPr="001F497A">
        <w:t xml:space="preserve">New Zealand </w:t>
      </w:r>
      <w:r>
        <w:t xml:space="preserve">is committed </w:t>
      </w:r>
      <w:r w:rsidRPr="001F497A">
        <w:t xml:space="preserve">to numerous </w:t>
      </w:r>
      <w:r>
        <w:t xml:space="preserve">international </w:t>
      </w:r>
      <w:r w:rsidRPr="001F497A">
        <w:t xml:space="preserve">human rights </w:t>
      </w:r>
      <w:r>
        <w:t>instruments</w:t>
      </w:r>
      <w:r w:rsidRPr="001F497A">
        <w:t xml:space="preserve"> including the International Covenant on Civil and Political Rights</w:t>
      </w:r>
      <w:r w:rsidR="00E8163D">
        <w:t xml:space="preserve"> (ICCPR)</w:t>
      </w:r>
      <w:r w:rsidRPr="001F497A">
        <w:t xml:space="preserve">, </w:t>
      </w:r>
      <w:r w:rsidR="00B37A02">
        <w:t xml:space="preserve">the </w:t>
      </w:r>
      <w:r w:rsidRPr="001F497A">
        <w:t>International Covenant on Economic</w:t>
      </w:r>
      <w:r w:rsidR="00B37A02">
        <w:t>,</w:t>
      </w:r>
      <w:r w:rsidRPr="001F497A">
        <w:t xml:space="preserve"> Social </w:t>
      </w:r>
      <w:r w:rsidR="00B37A02">
        <w:t xml:space="preserve">and Cultural </w:t>
      </w:r>
      <w:r w:rsidRPr="001F497A">
        <w:t>Rights</w:t>
      </w:r>
      <w:r w:rsidR="00DA1352">
        <w:t xml:space="preserve"> (</w:t>
      </w:r>
      <w:bookmarkStart w:id="67" w:name="_Hlk117603565"/>
      <w:r w:rsidR="00DA1352">
        <w:t>ICESCR</w:t>
      </w:r>
      <w:bookmarkEnd w:id="67"/>
      <w:r w:rsidR="00DA1352">
        <w:t>)</w:t>
      </w:r>
      <w:r w:rsidRPr="001F497A">
        <w:t xml:space="preserve">, </w:t>
      </w:r>
      <w:r w:rsidR="00E452C4">
        <w:t xml:space="preserve">the </w:t>
      </w:r>
      <w:r w:rsidRPr="001F497A">
        <w:t xml:space="preserve">Declaration </w:t>
      </w:r>
      <w:r w:rsidR="00E452C4">
        <w:t>on</w:t>
      </w:r>
      <w:r w:rsidR="00E452C4" w:rsidRPr="001F497A">
        <w:t xml:space="preserve"> </w:t>
      </w:r>
      <w:r w:rsidRPr="001F497A">
        <w:t>the Rights of Indigenous People</w:t>
      </w:r>
      <w:r w:rsidR="00E452C4">
        <w:t>s</w:t>
      </w:r>
      <w:r>
        <w:t xml:space="preserve">, </w:t>
      </w:r>
      <w:r w:rsidRPr="001F497A">
        <w:t>the World Health Organi</w:t>
      </w:r>
      <w:r w:rsidR="00E452C4">
        <w:t>z</w:t>
      </w:r>
      <w:r w:rsidRPr="001F497A">
        <w:t xml:space="preserve">ation International Health </w:t>
      </w:r>
      <w:proofErr w:type="gramStart"/>
      <w:r w:rsidRPr="001F497A">
        <w:t>Regulations</w:t>
      </w:r>
      <w:proofErr w:type="gramEnd"/>
      <w:r>
        <w:t xml:space="preserve"> and the Convention on the Rights of Persons with Disabilities</w:t>
      </w:r>
      <w:r w:rsidRPr="001F497A">
        <w:t xml:space="preserve">. Domestic law reflects such frameworks in </w:t>
      </w:r>
      <w:proofErr w:type="spellStart"/>
      <w:r w:rsidR="00D601B1">
        <w:t>t</w:t>
      </w:r>
      <w:r w:rsidRPr="001F497A">
        <w:t>e</w:t>
      </w:r>
      <w:proofErr w:type="spellEnd"/>
      <w:r w:rsidRPr="001F497A">
        <w:t xml:space="preserve"> </w:t>
      </w:r>
      <w:proofErr w:type="spellStart"/>
      <w:r w:rsidRPr="001F497A">
        <w:t>Tiriti</w:t>
      </w:r>
      <w:proofErr w:type="spellEnd"/>
      <w:r w:rsidRPr="001F497A">
        <w:t xml:space="preserve"> o Waitangi (especially </w:t>
      </w:r>
      <w:r w:rsidR="00C219CC">
        <w:t>A</w:t>
      </w:r>
      <w:r w:rsidRPr="001F497A">
        <w:t>rticle 3</w:t>
      </w:r>
      <w:r w:rsidR="00C219CC">
        <w:t>,</w:t>
      </w:r>
      <w:r w:rsidRPr="001F497A">
        <w:t xml:space="preserve"> which guarantees to Māori the rights afforded other citizens without discrimination), the New Zealand Bill of Rights Act and the Human Rights Act 1993, the Privacy Act 2020 and various other legislative instruments </w:t>
      </w:r>
      <w:r w:rsidR="00C219CC">
        <w:t>that</w:t>
      </w:r>
      <w:r w:rsidR="00C219CC" w:rsidRPr="001F497A">
        <w:t xml:space="preserve"> </w:t>
      </w:r>
      <w:r w:rsidRPr="001F497A">
        <w:t xml:space="preserve">give effect </w:t>
      </w:r>
      <w:r w:rsidR="00C219CC">
        <w:t xml:space="preserve">to </w:t>
      </w:r>
      <w:r w:rsidRPr="001F497A">
        <w:t xml:space="preserve">the state’s obligations to its citizens. </w:t>
      </w:r>
    </w:p>
    <w:p w14:paraId="251B9501" w14:textId="50678E66" w:rsidR="00484D86" w:rsidRDefault="00484D86" w:rsidP="00FB32D6">
      <w:pPr>
        <w:pStyle w:val="BodyTextnonum"/>
      </w:pPr>
      <w:r w:rsidRPr="001F497A">
        <w:t xml:space="preserve">The </w:t>
      </w:r>
      <w:r>
        <w:t xml:space="preserve">New Zealand </w:t>
      </w:r>
      <w:r w:rsidR="00686C9A">
        <w:t>G</w:t>
      </w:r>
      <w:r>
        <w:t>overnment</w:t>
      </w:r>
      <w:r w:rsidRPr="001F497A">
        <w:t xml:space="preserve"> has committed itself under the </w:t>
      </w:r>
      <w:r w:rsidR="00DA1352">
        <w:t>ICESCR</w:t>
      </w:r>
      <w:r w:rsidR="00DA1352" w:rsidRPr="001F497A" w:rsidDel="00DA1352">
        <w:t xml:space="preserve"> </w:t>
      </w:r>
      <w:r w:rsidRPr="001F497A">
        <w:t xml:space="preserve">to take all necessary steps to </w:t>
      </w:r>
      <w:r>
        <w:t xml:space="preserve">the maximum of its available resources to </w:t>
      </w:r>
      <w:r w:rsidRPr="001F497A">
        <w:t xml:space="preserve">ensure </w:t>
      </w:r>
      <w:r>
        <w:t xml:space="preserve">progressively </w:t>
      </w:r>
      <w:r w:rsidRPr="001F497A">
        <w:t>the prevention, treatment and control of epidemic diseases</w:t>
      </w:r>
      <w:r w:rsidR="00C219CC">
        <w:t>,</w:t>
      </w:r>
      <w:r w:rsidRPr="001F497A">
        <w:rPr>
          <w:rStyle w:val="FootnoteReference"/>
        </w:rPr>
        <w:footnoteReference w:id="54"/>
      </w:r>
      <w:r w:rsidRPr="001F497A">
        <w:t xml:space="preserve"> safe and healthy working conditions</w:t>
      </w:r>
      <w:r w:rsidRPr="001F497A">
        <w:rPr>
          <w:rStyle w:val="FootnoteReference"/>
        </w:rPr>
        <w:footnoteReference w:id="55"/>
      </w:r>
      <w:r w:rsidRPr="001F497A">
        <w:t xml:space="preserve"> and conditions </w:t>
      </w:r>
      <w:r w:rsidR="00C219CC">
        <w:t>that</w:t>
      </w:r>
      <w:r w:rsidR="00C219CC" w:rsidRPr="001F497A">
        <w:t xml:space="preserve"> </w:t>
      </w:r>
      <w:r w:rsidRPr="001F497A">
        <w:t>would allow everyone access to medical treatment in the event of sickness.</w:t>
      </w:r>
      <w:r w:rsidRPr="001F497A">
        <w:rPr>
          <w:rStyle w:val="FootnoteReference"/>
        </w:rPr>
        <w:footnoteReference w:id="56"/>
      </w:r>
      <w:r w:rsidRPr="001F497A">
        <w:t xml:space="preserve"> </w:t>
      </w:r>
      <w:r>
        <w:t>Numerous legal sources impose</w:t>
      </w:r>
      <w:r w:rsidRPr="001F497A">
        <w:t xml:space="preserve"> obligations on the government to take positive action to protect its citizens and</w:t>
      </w:r>
      <w:r w:rsidR="00C219CC">
        <w:t>,</w:t>
      </w:r>
      <w:r w:rsidRPr="001F497A">
        <w:t xml:space="preserve"> if necessary</w:t>
      </w:r>
      <w:r w:rsidR="00C219CC">
        <w:t>,</w:t>
      </w:r>
      <w:r w:rsidRPr="001F497A">
        <w:t xml:space="preserve"> to protect its citizens from each other. </w:t>
      </w:r>
    </w:p>
    <w:p w14:paraId="037A277A" w14:textId="3B3C3B9E" w:rsidR="00484D86" w:rsidRPr="001F497A" w:rsidRDefault="00484D86" w:rsidP="00FB32D6">
      <w:pPr>
        <w:pStyle w:val="BodyTextnonum"/>
      </w:pPr>
      <w:r w:rsidRPr="001F497A">
        <w:lastRenderedPageBreak/>
        <w:t xml:space="preserve">Other international and domestic instruments are calculated to place limits on state powers and actions where these would unreasonably intrude upon rights. The instances in which enumerated rights are guaranteed in absolute terms are rare in ordinary times and are allowed to be more limited during an emergency. The guarantee of </w:t>
      </w:r>
      <w:r>
        <w:t xml:space="preserve">the manifestation of </w:t>
      </w:r>
      <w:r w:rsidRPr="001F497A">
        <w:t xml:space="preserve">freedom of thought, </w:t>
      </w:r>
      <w:proofErr w:type="gramStart"/>
      <w:r w:rsidRPr="001F497A">
        <w:t>conscience</w:t>
      </w:r>
      <w:proofErr w:type="gramEnd"/>
      <w:r w:rsidRPr="001F497A">
        <w:t xml:space="preserve"> and religion in </w:t>
      </w:r>
      <w:r w:rsidR="00C219CC">
        <w:t>A</w:t>
      </w:r>
      <w:r w:rsidRPr="001F497A">
        <w:t xml:space="preserve">rticle 18 </w:t>
      </w:r>
      <w:r>
        <w:t xml:space="preserve">(3) </w:t>
      </w:r>
      <w:r w:rsidRPr="001F497A">
        <w:t xml:space="preserve">of the </w:t>
      </w:r>
      <w:r w:rsidR="00372172">
        <w:t>ICCPR</w:t>
      </w:r>
      <w:r w:rsidRPr="001F497A">
        <w:t xml:space="preserve"> is, for example, subject to “limitations </w:t>
      </w:r>
      <w:r w:rsidR="00E8163D">
        <w:t xml:space="preserve">as are </w:t>
      </w:r>
      <w:r w:rsidRPr="001F497A">
        <w:t>prescribed by law</w:t>
      </w:r>
      <w:r w:rsidR="00E8163D">
        <w:t xml:space="preserve"> and are </w:t>
      </w:r>
      <w:r w:rsidRPr="001F497A">
        <w:t>necessary to protect public safety, order, health or morals or the fundamental</w:t>
      </w:r>
      <w:r w:rsidR="00E8163D">
        <w:t xml:space="preserve"> rights and</w:t>
      </w:r>
      <w:r w:rsidRPr="001F497A">
        <w:t xml:space="preserve"> freedoms of others”</w:t>
      </w:r>
      <w:r w:rsidR="00E8163D">
        <w:t>.</w:t>
      </w:r>
      <w:r w:rsidRPr="001F497A">
        <w:t xml:space="preserve"> In addition, the </w:t>
      </w:r>
      <w:r w:rsidR="00372172">
        <w:t>ICCPR</w:t>
      </w:r>
      <w:r w:rsidRPr="001F497A">
        <w:t xml:space="preserve"> explicitly allows states to place limits on certain (but not all) rights in an emergency in Article 3:</w:t>
      </w:r>
    </w:p>
    <w:p w14:paraId="121749A3" w14:textId="77777777" w:rsidR="00484D86" w:rsidRPr="001F497A" w:rsidRDefault="00484D86">
      <w:pPr>
        <w:pStyle w:val="Quote"/>
      </w:pPr>
      <w:r w:rsidRPr="001F497A">
        <w:t xml:space="preserve">In time of public emergency which threatens the life of the nation and the existence of which is officially proclaimed, the States Parties to the present Covenant may take measures derogating from their obligations under the present Covenant to the extent strictly required by the exigencies of the situation, provided that such measures are not inconsistent with their other obligations under international law and do not involve discrimination solely on the ground of race, colour, sex, language, religion or social origin. </w:t>
      </w:r>
    </w:p>
    <w:p w14:paraId="57D628BA" w14:textId="1D129B0F" w:rsidR="00484D86" w:rsidRDefault="00484D86" w:rsidP="00FB32D6">
      <w:pPr>
        <w:pStyle w:val="BodyTextnonum"/>
      </w:pPr>
      <w:r>
        <w:t>The test is whether the emergency “threatens the life of the nation”. To put that in perspective</w:t>
      </w:r>
      <w:r w:rsidR="00372172">
        <w:t>,</w:t>
      </w:r>
      <w:r>
        <w:t xml:space="preserve"> the 2005 UK terrorist bombings of the London Underground, buses and Glasgow Airport were not considered by the UK House of Lords to meet that threshold.</w:t>
      </w:r>
      <w:r>
        <w:rPr>
          <w:rStyle w:val="FootnoteReference"/>
        </w:rPr>
        <w:footnoteReference w:id="57"/>
      </w:r>
      <w:r>
        <w:t xml:space="preserve"> </w:t>
      </w:r>
      <w:r w:rsidRPr="001F497A">
        <w:t xml:space="preserve">The </w:t>
      </w:r>
      <w:r w:rsidR="00372172">
        <w:t>ICCPR</w:t>
      </w:r>
      <w:r w:rsidR="00372172" w:rsidRPr="001F497A">
        <w:t xml:space="preserve"> </w:t>
      </w:r>
      <w:r w:rsidRPr="001F497A">
        <w:t xml:space="preserve">requires </w:t>
      </w:r>
      <w:r>
        <w:t>the o</w:t>
      </w:r>
      <w:r w:rsidRPr="001F497A">
        <w:t>fficial proclamation of an emergency (a declaration of emergency) and formal notification of the treaty bodies before any such derogations can be made. Some rights, however, cannot be derogated from, even in an emergency. Those rights protect against the arbitrary deprivation of life (Art</w:t>
      </w:r>
      <w:r w:rsidR="00372172">
        <w:t>icle</w:t>
      </w:r>
      <w:r w:rsidRPr="001F497A">
        <w:t xml:space="preserve"> 6)</w:t>
      </w:r>
      <w:r w:rsidR="00372172">
        <w:t>,</w:t>
      </w:r>
      <w:r w:rsidRPr="001F497A">
        <w:t xml:space="preserve"> torture or inhumane treatment (</w:t>
      </w:r>
      <w:r w:rsidR="000E35F2">
        <w:t>A</w:t>
      </w:r>
      <w:r w:rsidRPr="001F497A">
        <w:t>rt</w:t>
      </w:r>
      <w:r w:rsidR="000E35F2">
        <w:t>icle</w:t>
      </w:r>
      <w:r w:rsidRPr="001F497A">
        <w:t xml:space="preserve"> 7)</w:t>
      </w:r>
      <w:r w:rsidR="000E35F2">
        <w:t>,</w:t>
      </w:r>
      <w:r w:rsidRPr="001F497A">
        <w:t xml:space="preserve"> slavery or servitude (</w:t>
      </w:r>
      <w:r w:rsidR="000E35F2">
        <w:t>A</w:t>
      </w:r>
      <w:r w:rsidRPr="001F497A">
        <w:t>rt</w:t>
      </w:r>
      <w:r w:rsidR="000E35F2">
        <w:t>icle</w:t>
      </w:r>
      <w:r w:rsidRPr="001F497A">
        <w:t xml:space="preserve"> 8), imprisonment for breach of contractual obligations (</w:t>
      </w:r>
      <w:r w:rsidR="000E35F2">
        <w:t>A</w:t>
      </w:r>
      <w:r w:rsidRPr="001F497A">
        <w:t>rt</w:t>
      </w:r>
      <w:r w:rsidR="000E35F2">
        <w:t>icle</w:t>
      </w:r>
      <w:r w:rsidRPr="001F497A">
        <w:t xml:space="preserve"> 11)</w:t>
      </w:r>
      <w:r w:rsidR="000E35F2">
        <w:t>,</w:t>
      </w:r>
      <w:r w:rsidRPr="001F497A">
        <w:t xml:space="preserve"> the imposition of retrospective criminal penalties (</w:t>
      </w:r>
      <w:r w:rsidR="000E35F2">
        <w:t>A</w:t>
      </w:r>
      <w:r w:rsidRPr="001F497A">
        <w:t>rt</w:t>
      </w:r>
      <w:r w:rsidR="000E35F2">
        <w:t>icle</w:t>
      </w:r>
      <w:r w:rsidRPr="001F497A">
        <w:t xml:space="preserve"> 15), </w:t>
      </w:r>
      <w:r>
        <w:t>recognition before the law (</w:t>
      </w:r>
      <w:r w:rsidR="000E35F2">
        <w:t>A</w:t>
      </w:r>
      <w:r>
        <w:t>rt</w:t>
      </w:r>
      <w:r w:rsidR="000E35F2">
        <w:t>icle</w:t>
      </w:r>
      <w:r>
        <w:t xml:space="preserve"> 16) </w:t>
      </w:r>
      <w:r w:rsidRPr="001F497A">
        <w:t xml:space="preserve">and freedom of </w:t>
      </w:r>
      <w:r>
        <w:t xml:space="preserve">thought, </w:t>
      </w:r>
      <w:proofErr w:type="gramStart"/>
      <w:r w:rsidRPr="001F497A">
        <w:t>conscience</w:t>
      </w:r>
      <w:proofErr w:type="gramEnd"/>
      <w:r>
        <w:t xml:space="preserve"> and religion </w:t>
      </w:r>
      <w:r w:rsidRPr="001F497A">
        <w:t>(</w:t>
      </w:r>
      <w:r w:rsidR="000E35F2">
        <w:t>A</w:t>
      </w:r>
      <w:r w:rsidRPr="001F497A">
        <w:t>rt</w:t>
      </w:r>
      <w:r w:rsidR="000E35F2">
        <w:t>icle</w:t>
      </w:r>
      <w:r w:rsidRPr="001F497A">
        <w:t xml:space="preserve"> 18). </w:t>
      </w:r>
    </w:p>
    <w:p w14:paraId="6EA3AF78" w14:textId="3387AA9B" w:rsidR="00484D86" w:rsidRDefault="00484D86" w:rsidP="00FB32D6">
      <w:pPr>
        <w:pStyle w:val="BodyTextnonum"/>
      </w:pPr>
      <w:r w:rsidRPr="001F497A">
        <w:t xml:space="preserve">The New Zealand Bill of Rights Act is intended to give effect to the </w:t>
      </w:r>
      <w:r w:rsidR="00372172">
        <w:t>ICCPR</w:t>
      </w:r>
      <w:r w:rsidRPr="001F497A">
        <w:t xml:space="preserve"> in domestic law. On its face</w:t>
      </w:r>
      <w:r w:rsidR="000E35F2">
        <w:t>,</w:t>
      </w:r>
      <w:r w:rsidRPr="001F497A">
        <w:t xml:space="preserve"> s</w:t>
      </w:r>
      <w:r w:rsidR="00AD35A2">
        <w:t xml:space="preserve"> </w:t>
      </w:r>
      <w:r w:rsidRPr="001F497A">
        <w:t xml:space="preserve">5 appears to adopt the approach that </w:t>
      </w:r>
      <w:r w:rsidRPr="001F497A">
        <w:rPr>
          <w:i/>
          <w:iCs/>
        </w:rPr>
        <w:t>all</w:t>
      </w:r>
      <w:r w:rsidRPr="001F497A">
        <w:t xml:space="preserve"> rights may be subjected to reasonable limits. It enumerates protected rights and makes them subject to a requirement that the government justify any limitation on the rights in these terms:</w:t>
      </w:r>
    </w:p>
    <w:p w14:paraId="5591436D" w14:textId="77777777" w:rsidR="00484D86" w:rsidRDefault="00484D86">
      <w:pPr>
        <w:pStyle w:val="Quote"/>
      </w:pPr>
      <w:r w:rsidRPr="001F497A">
        <w:t xml:space="preserve">[T]he </w:t>
      </w:r>
      <w:proofErr w:type="gramStart"/>
      <w:r w:rsidRPr="001F497A">
        <w:t>rights</w:t>
      </w:r>
      <w:proofErr w:type="gramEnd"/>
      <w:r w:rsidRPr="001F497A">
        <w:t xml:space="preserve"> and freedoms contained in this Bill of Rights may be subject only to such reasonable limits prescribed by law as can be demonstrably justified in a free and democratic society. </w:t>
      </w:r>
    </w:p>
    <w:p w14:paraId="34E5A079" w14:textId="0382510D" w:rsidR="00484D86" w:rsidRDefault="00484D86" w:rsidP="00FB32D6">
      <w:pPr>
        <w:pStyle w:val="BodyTextnonum"/>
      </w:pPr>
      <w:r w:rsidRPr="001F497A">
        <w:t xml:space="preserve">In practice, however, </w:t>
      </w:r>
      <w:r w:rsidR="00686C9A">
        <w:t xml:space="preserve">Aotearoa </w:t>
      </w:r>
      <w:r>
        <w:t xml:space="preserve">New Zealand’s appellate </w:t>
      </w:r>
      <w:r w:rsidRPr="001F497A">
        <w:t xml:space="preserve">judges have </w:t>
      </w:r>
      <w:r>
        <w:t xml:space="preserve">recognised that </w:t>
      </w:r>
      <w:proofErr w:type="gramStart"/>
      <w:r>
        <w:t>a number of</w:t>
      </w:r>
      <w:proofErr w:type="gramEnd"/>
      <w:r>
        <w:t xml:space="preserve"> rights can never be subject to s 5 limits and not only those </w:t>
      </w:r>
      <w:r w:rsidR="000E35F2">
        <w:t xml:space="preserve">that </w:t>
      </w:r>
      <w:r>
        <w:t>are non-</w:t>
      </w:r>
      <w:proofErr w:type="spellStart"/>
      <w:r>
        <w:t>derogable</w:t>
      </w:r>
      <w:proofErr w:type="spellEnd"/>
      <w:r>
        <w:t xml:space="preserve"> according to international human rights instruments (</w:t>
      </w:r>
      <w:r w:rsidR="000E35F2">
        <w:t>for example,</w:t>
      </w:r>
      <w:r>
        <w:t xml:space="preserve"> rights against arbitrary detention and unfair trial).</w:t>
      </w:r>
      <w:r w:rsidRPr="001F497A">
        <w:rPr>
          <w:rStyle w:val="FootnoteReference"/>
        </w:rPr>
        <w:footnoteReference w:id="58"/>
      </w:r>
    </w:p>
    <w:p w14:paraId="7ADA7827" w14:textId="2B7B903E" w:rsidR="00484D86" w:rsidRDefault="00484D86" w:rsidP="00FB32D6">
      <w:pPr>
        <w:pStyle w:val="BodyTextnonum"/>
      </w:pPr>
      <w:r w:rsidRPr="001F497A">
        <w:t>The N</w:t>
      </w:r>
      <w:r w:rsidR="002E7709">
        <w:t xml:space="preserve">ew </w:t>
      </w:r>
      <w:r w:rsidRPr="001F497A">
        <w:t>Z</w:t>
      </w:r>
      <w:r w:rsidR="002E7709">
        <w:t>ealand</w:t>
      </w:r>
      <w:r w:rsidRPr="001F497A">
        <w:t xml:space="preserve"> Bill of Rights Act framework incorporates a statutory interpretation presumption in ss</w:t>
      </w:r>
      <w:r w:rsidR="00EE4C3E">
        <w:t> </w:t>
      </w:r>
      <w:r w:rsidRPr="001F497A">
        <w:t xml:space="preserve">5 and 6 that individual rights should </w:t>
      </w:r>
      <w:r>
        <w:t xml:space="preserve">not be limited unjustifiably </w:t>
      </w:r>
      <w:r w:rsidRPr="001F497A">
        <w:t xml:space="preserve">unless legislation clearly overrides them and operates to require the state to be able to justify restrictions on protected rights (including when public officials exercise wide powers and discretions). Only then should individual rights have to yield to the rights of others. There </w:t>
      </w:r>
      <w:r w:rsidRPr="001F497A">
        <w:lastRenderedPageBreak/>
        <w:t xml:space="preserve">are opportunities for members of </w:t>
      </w:r>
      <w:r>
        <w:t>P</w:t>
      </w:r>
      <w:r w:rsidRPr="001F497A">
        <w:t xml:space="preserve">arliament to debate the justification for limiting rights prior to the enactment of primary legislation and </w:t>
      </w:r>
      <w:r>
        <w:t xml:space="preserve">(since 2022) </w:t>
      </w:r>
      <w:r w:rsidRPr="001F497A">
        <w:t xml:space="preserve">to revisit those judgements if a </w:t>
      </w:r>
      <w:r w:rsidR="00EE4C3E">
        <w:t>c</w:t>
      </w:r>
      <w:r w:rsidRPr="001F497A">
        <w:t>ourt subsequently finds that legislation wanting.</w:t>
      </w:r>
      <w:r>
        <w:rPr>
          <w:rStyle w:val="FootnoteReference"/>
        </w:rPr>
        <w:footnoteReference w:id="59"/>
      </w:r>
      <w:r w:rsidRPr="001F497A">
        <w:t xml:space="preserve"> The </w:t>
      </w:r>
      <w:r w:rsidR="009D20E6" w:rsidRPr="001F497A">
        <w:t>N</w:t>
      </w:r>
      <w:r w:rsidR="009D20E6">
        <w:t xml:space="preserve">ew </w:t>
      </w:r>
      <w:r w:rsidR="009D20E6" w:rsidRPr="001F497A">
        <w:t>Z</w:t>
      </w:r>
      <w:r w:rsidR="009D20E6">
        <w:t>ealand</w:t>
      </w:r>
      <w:r w:rsidR="009D20E6" w:rsidRPr="001F497A">
        <w:t xml:space="preserve"> Bill of Rights Act</w:t>
      </w:r>
      <w:r w:rsidRPr="001F497A">
        <w:t xml:space="preserve">, as it has been interpreted by the courts, requires that restrictions on rights should only be for an important objective and </w:t>
      </w:r>
      <w:r w:rsidR="00EE4C3E">
        <w:t xml:space="preserve">be </w:t>
      </w:r>
      <w:r w:rsidRPr="001F497A">
        <w:t>reasonabl</w:t>
      </w:r>
      <w:r>
        <w:t>e.</w:t>
      </w:r>
      <w:r w:rsidRPr="001F497A">
        <w:t xml:space="preserve"> </w:t>
      </w:r>
    </w:p>
    <w:p w14:paraId="19F0F29C" w14:textId="3218E648" w:rsidR="00484D86" w:rsidRDefault="00484D86" w:rsidP="00FB32D6">
      <w:pPr>
        <w:pStyle w:val="BodyTextnonum"/>
      </w:pPr>
      <w:r w:rsidRPr="001F497A">
        <w:t>What the rights instruments require is that limitations on rights need to be for good reason, to be reasonable and justified. Sometimes</w:t>
      </w:r>
      <w:r w:rsidR="00EE4C3E">
        <w:t>,</w:t>
      </w:r>
      <w:r w:rsidRPr="001F497A">
        <w:t xml:space="preserve"> the texts and the judges use the language of proportionality to describe th</w:t>
      </w:r>
      <w:r>
        <w:t>at</w:t>
      </w:r>
      <w:r w:rsidRPr="001F497A">
        <w:t xml:space="preserve"> calculation. Good reasons supplied by Aotearoa New Zealand’s various international commitments include to ensure public health, to ensure the health of others and to control epidemic diseases. </w:t>
      </w:r>
      <w:r>
        <w:t xml:space="preserve">That will depend on evidence of justification that the government is able to produce in the specific case. </w:t>
      </w:r>
    </w:p>
    <w:p w14:paraId="20349288" w14:textId="697B9511" w:rsidR="00484D86" w:rsidRDefault="00484D86" w:rsidP="00FB32D6">
      <w:pPr>
        <w:pStyle w:val="BodyTextnonum"/>
        <w:rPr>
          <w:color w:val="202124"/>
        </w:rPr>
      </w:pPr>
      <w:r w:rsidRPr="001F497A">
        <w:t>Especially in the early stages of a pandemic or at the point at which a new strain of a virus emerges, the eviden</w:t>
      </w:r>
      <w:r>
        <w:t>tial basis of the justification</w:t>
      </w:r>
      <w:r w:rsidRPr="001F497A">
        <w:t xml:space="preserve"> may contain a large number of unknowns, be based on prediction, mathematical modelling and wors</w:t>
      </w:r>
      <w:r w:rsidR="007111FD">
        <w:t>t-</w:t>
      </w:r>
      <w:r w:rsidRPr="001F497A">
        <w:t xml:space="preserve">case scenarios and take account of the </w:t>
      </w:r>
      <w:proofErr w:type="gramStart"/>
      <w:r w:rsidRPr="001F497A">
        <w:t>sometimes limited</w:t>
      </w:r>
      <w:proofErr w:type="gramEnd"/>
      <w:r w:rsidRPr="001F497A">
        <w:t xml:space="preserve"> ability of the state to enforce widespread restrictions. </w:t>
      </w:r>
      <w:r>
        <w:t>When the science is uncertain and/or still emerging, a</w:t>
      </w:r>
      <w:r w:rsidRPr="001F497A">
        <w:t>nother principle is likely to be engaged in both the rights calculus and general decision</w:t>
      </w:r>
      <w:r w:rsidR="005D76D2">
        <w:t xml:space="preserve"> </w:t>
      </w:r>
      <w:r w:rsidRPr="001F497A">
        <w:t>making</w:t>
      </w:r>
      <w:r>
        <w:t xml:space="preserve">. This is the </w:t>
      </w:r>
      <w:r w:rsidRPr="001F497A">
        <w:t>“precautionary principle</w:t>
      </w:r>
      <w:r>
        <w:t>”</w:t>
      </w:r>
      <w:r w:rsidR="007111FD">
        <w:t>,</w:t>
      </w:r>
      <w:r w:rsidRPr="001F497A">
        <w:t xml:space="preserve"> which is a notion borrowed from ecology. </w:t>
      </w:r>
      <w:r>
        <w:rPr>
          <w:color w:val="202124"/>
        </w:rPr>
        <w:t>When the precautionary principle is activated</w:t>
      </w:r>
      <w:r w:rsidR="005179AD">
        <w:rPr>
          <w:color w:val="202124"/>
        </w:rPr>
        <w:t>,</w:t>
      </w:r>
      <w:r>
        <w:rPr>
          <w:color w:val="202124"/>
        </w:rPr>
        <w:t xml:space="preserve"> </w:t>
      </w:r>
      <w:r w:rsidRPr="001F497A">
        <w:rPr>
          <w:color w:val="202124"/>
        </w:rPr>
        <w:t>decision</w:t>
      </w:r>
      <w:r>
        <w:rPr>
          <w:color w:val="202124"/>
        </w:rPr>
        <w:t xml:space="preserve">s go beyond </w:t>
      </w:r>
      <w:r w:rsidRPr="001F497A">
        <w:rPr>
          <w:color w:val="202124"/>
        </w:rPr>
        <w:t>a simple cost</w:t>
      </w:r>
      <w:r w:rsidR="005179AD">
        <w:rPr>
          <w:color w:val="202124"/>
        </w:rPr>
        <w:t>-</w:t>
      </w:r>
      <w:r w:rsidRPr="001F497A">
        <w:rPr>
          <w:color w:val="202124"/>
        </w:rPr>
        <w:t xml:space="preserve">benefit analysis </w:t>
      </w:r>
      <w:r>
        <w:rPr>
          <w:color w:val="202124"/>
        </w:rPr>
        <w:t xml:space="preserve">or </w:t>
      </w:r>
      <w:r w:rsidRPr="001F497A">
        <w:rPr>
          <w:color w:val="202124"/>
        </w:rPr>
        <w:t xml:space="preserve">probability calculus. </w:t>
      </w:r>
      <w:r>
        <w:rPr>
          <w:color w:val="202124"/>
        </w:rPr>
        <w:t>T</w:t>
      </w:r>
      <w:r w:rsidRPr="001F497A">
        <w:rPr>
          <w:color w:val="202124"/>
        </w:rPr>
        <w:t>he</w:t>
      </w:r>
      <w:r w:rsidRPr="001F497A">
        <w:rPr>
          <w:rFonts w:ascii="Calibri" w:hAnsi="Calibri" w:cs="Calibri"/>
          <w:color w:val="202124"/>
        </w:rPr>
        <w:t> </w:t>
      </w:r>
      <w:r w:rsidRPr="001F497A">
        <w:rPr>
          <w:color w:val="202124"/>
        </w:rPr>
        <w:t>precautionary principle</w:t>
      </w:r>
      <w:r w:rsidRPr="001F497A">
        <w:rPr>
          <w:rFonts w:ascii="Calibri" w:hAnsi="Calibri" w:cs="Calibri"/>
          <w:color w:val="202124"/>
        </w:rPr>
        <w:t> </w:t>
      </w:r>
      <w:r w:rsidRPr="001F497A">
        <w:rPr>
          <w:color w:val="202124"/>
        </w:rPr>
        <w:t>gives special weight in decision</w:t>
      </w:r>
      <w:r w:rsidR="005D76D2">
        <w:rPr>
          <w:color w:val="202124"/>
        </w:rPr>
        <w:t xml:space="preserve"> </w:t>
      </w:r>
      <w:r w:rsidRPr="001F497A">
        <w:rPr>
          <w:color w:val="202124"/>
        </w:rPr>
        <w:t xml:space="preserve">making to the potentially </w:t>
      </w:r>
      <w:r w:rsidRPr="001F497A">
        <w:rPr>
          <w:i/>
          <w:iCs/>
          <w:color w:val="202124"/>
        </w:rPr>
        <w:t>catastrophic</w:t>
      </w:r>
      <w:r w:rsidRPr="001F497A">
        <w:rPr>
          <w:color w:val="202124"/>
        </w:rPr>
        <w:t xml:space="preserve"> consequences of a particular course of action or failure to embark on a particular course of action.</w:t>
      </w:r>
      <w:r>
        <w:rPr>
          <w:rStyle w:val="FootnoteReference"/>
          <w:color w:val="202124"/>
        </w:rPr>
        <w:footnoteReference w:id="60"/>
      </w:r>
      <w:r>
        <w:rPr>
          <w:color w:val="202124"/>
        </w:rPr>
        <w:t xml:space="preserve"> </w:t>
      </w:r>
    </w:p>
    <w:p w14:paraId="6926F426" w14:textId="78CBB152" w:rsidR="00484D86" w:rsidRDefault="00484D86" w:rsidP="00FB32D6">
      <w:pPr>
        <w:pStyle w:val="BodyTextnonum"/>
      </w:pPr>
      <w:bookmarkStart w:id="68" w:name="_Hlk103768748"/>
      <w:r>
        <w:t xml:space="preserve">The New Zealand Bill of Rights Act allows that individual rights may sometimes have to be limited for the wellbeing or survival of the collective. </w:t>
      </w:r>
      <w:r w:rsidRPr="001F497A">
        <w:t xml:space="preserve">The idea that we, as individuals, have obligations to the group </w:t>
      </w:r>
      <w:proofErr w:type="gramStart"/>
      <w:r w:rsidRPr="001F497A">
        <w:t>as a whole is</w:t>
      </w:r>
      <w:proofErr w:type="gramEnd"/>
      <w:r w:rsidRPr="001F497A">
        <w:t xml:space="preserve"> something on which regulatory frameworks for pandemics rely. </w:t>
      </w:r>
      <w:proofErr w:type="gramStart"/>
      <w:r w:rsidRPr="001F497A">
        <w:t>In order to</w:t>
      </w:r>
      <w:proofErr w:type="gramEnd"/>
      <w:r w:rsidRPr="001F497A">
        <w:t xml:space="preserve"> work, they assume a necessary underlying degree of social cohesion. They also require skilled leadership to persuade others of the right course of action</w:t>
      </w:r>
      <w:r w:rsidRPr="00400BF3">
        <w:t>.</w:t>
      </w:r>
      <w:bookmarkStart w:id="69" w:name="_Ref107517025"/>
      <w:r w:rsidRPr="00400BF3">
        <w:rPr>
          <w:rStyle w:val="FootnoteReference"/>
        </w:rPr>
        <w:footnoteReference w:id="61"/>
      </w:r>
      <w:bookmarkEnd w:id="69"/>
      <w:r>
        <w:t xml:space="preserve"> </w:t>
      </w:r>
    </w:p>
    <w:p w14:paraId="0F93DABD" w14:textId="6553BAB2" w:rsidR="00484D86" w:rsidRPr="001F497A" w:rsidRDefault="00484D86" w:rsidP="00FB32D6">
      <w:pPr>
        <w:pStyle w:val="BodyTextnonum"/>
      </w:pPr>
      <w:r w:rsidRPr="001F497A">
        <w:t xml:space="preserve">The concept of an individual’s obligations to the collective is </w:t>
      </w:r>
      <w:r>
        <w:t>even more</w:t>
      </w:r>
      <w:r w:rsidRPr="001F497A">
        <w:t xml:space="preserve"> clear in tikanga. In </w:t>
      </w:r>
      <w:proofErr w:type="spellStart"/>
      <w:r w:rsidRPr="001F497A">
        <w:t>te</w:t>
      </w:r>
      <w:proofErr w:type="spellEnd"/>
      <w:r w:rsidRPr="001F497A">
        <w:t xml:space="preserve"> </w:t>
      </w:r>
      <w:proofErr w:type="spellStart"/>
      <w:r w:rsidRPr="001F497A">
        <w:t>ao</w:t>
      </w:r>
      <w:proofErr w:type="spellEnd"/>
      <w:r w:rsidRPr="001F497A">
        <w:t xml:space="preserve"> Māori, the concept of </w:t>
      </w:r>
      <w:proofErr w:type="spellStart"/>
      <w:r w:rsidRPr="001F497A">
        <w:t>tapu</w:t>
      </w:r>
      <w:proofErr w:type="spellEnd"/>
      <w:r w:rsidRPr="001F497A">
        <w:t xml:space="preserve"> refers to a state of ritual restriction (which includes illness). If individuals breach </w:t>
      </w:r>
      <w:proofErr w:type="spellStart"/>
      <w:r w:rsidRPr="001F497A">
        <w:t>tapu</w:t>
      </w:r>
      <w:proofErr w:type="spellEnd"/>
      <w:r w:rsidRPr="001F497A">
        <w:t xml:space="preserve"> and or undermine the mana of others, there are grounds for corrective action. “Together</w:t>
      </w:r>
      <w:r>
        <w:t>,</w:t>
      </w:r>
      <w:r w:rsidRPr="001F497A">
        <w:t xml:space="preserve"> mana and </w:t>
      </w:r>
      <w:proofErr w:type="spellStart"/>
      <w:r w:rsidRPr="001F497A">
        <w:t>tapu</w:t>
      </w:r>
      <w:proofErr w:type="spellEnd"/>
      <w:r w:rsidRPr="001F497A">
        <w:t xml:space="preserve"> [prescribe] the space within which the individual [can] operate</w:t>
      </w:r>
      <w:r>
        <w:t>,</w:t>
      </w:r>
      <w:r w:rsidRPr="001F497A">
        <w:t xml:space="preserve"> as long as he or she [does] not interfere unnecessarily with others</w:t>
      </w:r>
      <w:r>
        <w:t>,</w:t>
      </w:r>
      <w:r w:rsidRPr="001F497A">
        <w:t xml:space="preserve"> and continue[s] to uphold his or her obligations to the group as a corporate </w:t>
      </w:r>
      <w:r>
        <w:t>body</w:t>
      </w:r>
      <w:r w:rsidRPr="001F497A">
        <w:t>”.</w:t>
      </w:r>
      <w:r w:rsidRPr="001F497A">
        <w:rPr>
          <w:rStyle w:val="FootnoteReference"/>
        </w:rPr>
        <w:footnoteReference w:id="62"/>
      </w:r>
      <w:r w:rsidRPr="001F497A">
        <w:t xml:space="preserve"> </w:t>
      </w:r>
      <w:r w:rsidR="005179AD">
        <w:t>P</w:t>
      </w:r>
      <w:r w:rsidRPr="00400BF3">
        <w:t>ublic health</w:t>
      </w:r>
      <w:r>
        <w:t xml:space="preserve"> medicine </w:t>
      </w:r>
      <w:r w:rsidRPr="00400BF3">
        <w:t xml:space="preserve">specialist </w:t>
      </w:r>
      <w:bookmarkStart w:id="70" w:name="_Hlk103766802"/>
      <w:r>
        <w:t xml:space="preserve">Professor </w:t>
      </w:r>
      <w:proofErr w:type="spellStart"/>
      <w:r w:rsidRPr="001F497A">
        <w:t>Papa</w:t>
      </w:r>
      <w:r>
        <w:t>a</w:t>
      </w:r>
      <w:r w:rsidRPr="001F497A">
        <w:t>rangi</w:t>
      </w:r>
      <w:proofErr w:type="spellEnd"/>
      <w:r w:rsidRPr="001F497A">
        <w:t xml:space="preserve"> Reid</w:t>
      </w:r>
      <w:r>
        <w:t xml:space="preserve"> has said in relation </w:t>
      </w:r>
      <w:r>
        <w:lastRenderedPageBreak/>
        <w:t>to the C</w:t>
      </w:r>
      <w:r w:rsidR="0061070F">
        <w:t>OVID</w:t>
      </w:r>
      <w:r>
        <w:t>-19 pandemic</w:t>
      </w:r>
      <w:r w:rsidR="005179AD">
        <w:t xml:space="preserve"> that</w:t>
      </w:r>
      <w:r w:rsidRPr="001F497A">
        <w:t xml:space="preserve"> </w:t>
      </w:r>
      <w:r>
        <w:t>“</w:t>
      </w:r>
      <w:r w:rsidRPr="001F497A">
        <w:t xml:space="preserve">part of </w:t>
      </w:r>
      <w:proofErr w:type="spellStart"/>
      <w:r w:rsidRPr="001F497A">
        <w:t>te</w:t>
      </w:r>
      <w:proofErr w:type="spellEnd"/>
      <w:r w:rsidRPr="001F497A">
        <w:t xml:space="preserve"> </w:t>
      </w:r>
      <w:proofErr w:type="spellStart"/>
      <w:r w:rsidRPr="001F497A">
        <w:t>tino</w:t>
      </w:r>
      <w:proofErr w:type="spellEnd"/>
      <w:r w:rsidRPr="001F497A">
        <w:t xml:space="preserve"> rangatiratanga is collective responsibility </w:t>
      </w:r>
      <w:r w:rsidR="00025547">
        <w:t>–</w:t>
      </w:r>
      <w:r>
        <w:t xml:space="preserve"> it is </w:t>
      </w:r>
      <w:r w:rsidRPr="001F497A">
        <w:t xml:space="preserve">not a breach of </w:t>
      </w:r>
      <w:proofErr w:type="spellStart"/>
      <w:r w:rsidRPr="001F497A">
        <w:t>te</w:t>
      </w:r>
      <w:proofErr w:type="spellEnd"/>
      <w:r w:rsidRPr="001F497A">
        <w:t xml:space="preserve"> </w:t>
      </w:r>
      <w:proofErr w:type="spellStart"/>
      <w:r w:rsidRPr="001F497A">
        <w:t>tino</w:t>
      </w:r>
      <w:proofErr w:type="spellEnd"/>
      <w:r w:rsidRPr="001F497A">
        <w:t xml:space="preserve"> rangatiratanga to </w:t>
      </w:r>
      <w:r>
        <w:t xml:space="preserve">choose to </w:t>
      </w:r>
      <w:r w:rsidRPr="001F497A">
        <w:t>be vaccinated but an exercise of it</w:t>
      </w:r>
      <w:r>
        <w:t>”</w:t>
      </w:r>
      <w:r w:rsidRPr="001F497A">
        <w:t>.</w:t>
      </w:r>
      <w:r>
        <w:rPr>
          <w:rStyle w:val="FootnoteReference"/>
        </w:rPr>
        <w:footnoteReference w:id="63"/>
      </w:r>
      <w:bookmarkEnd w:id="70"/>
    </w:p>
    <w:bookmarkEnd w:id="68"/>
    <w:p w14:paraId="178C77E9" w14:textId="59DB3C38" w:rsidR="00484D86" w:rsidRDefault="00484D86" w:rsidP="00FB32D6">
      <w:pPr>
        <w:pStyle w:val="BodyTextnonum"/>
      </w:pPr>
      <w:r w:rsidRPr="001F497A">
        <w:t xml:space="preserve">It is tempting to think of the regulatory controls that we might anticipate being required in response to a pandemic </w:t>
      </w:r>
      <w:proofErr w:type="gramStart"/>
      <w:r w:rsidRPr="001F497A">
        <w:t>in particular as</w:t>
      </w:r>
      <w:proofErr w:type="gramEnd"/>
      <w:r w:rsidRPr="001F497A">
        <w:t xml:space="preserve"> straightforward restrictions of individual rights and freedoms. It would be a mistake, however, to view the issue </w:t>
      </w:r>
      <w:r w:rsidRPr="001F497A">
        <w:rPr>
          <w:i/>
          <w:iCs/>
        </w:rPr>
        <w:t>always</w:t>
      </w:r>
      <w:r w:rsidRPr="001F497A">
        <w:t xml:space="preserve"> as a simple clash between individual rights and the collective good. </w:t>
      </w:r>
      <w:r>
        <w:t xml:space="preserve">Health is also considered to be a human right. </w:t>
      </w:r>
      <w:r w:rsidRPr="001F497A">
        <w:t>Some restrictions will allow people to protect themselves and their families as they wish to without the risk of breaching employment or other contracts or the general law</w:t>
      </w:r>
      <w:r>
        <w:t>. T</w:t>
      </w:r>
      <w:r w:rsidRPr="001F497A">
        <w:t xml:space="preserve">hey </w:t>
      </w:r>
      <w:r>
        <w:t xml:space="preserve">may </w:t>
      </w:r>
      <w:r w:rsidRPr="001F497A">
        <w:t xml:space="preserve">allow people to do what they already want to do. </w:t>
      </w:r>
    </w:p>
    <w:p w14:paraId="064413F5" w14:textId="1574FEE9" w:rsidR="00484D86" w:rsidRDefault="00484D86" w:rsidP="00FB32D6">
      <w:pPr>
        <w:pStyle w:val="BodyTextnonum"/>
      </w:pPr>
      <w:r w:rsidRPr="001F497A">
        <w:t xml:space="preserve">More problematically and coercively, </w:t>
      </w:r>
      <w:proofErr w:type="gramStart"/>
      <w:r w:rsidRPr="001F497A">
        <w:t>in order to</w:t>
      </w:r>
      <w:proofErr w:type="gramEnd"/>
      <w:r w:rsidRPr="001F497A">
        <w:t xml:space="preserve"> protect the </w:t>
      </w:r>
      <w:r>
        <w:t>collectiv</w:t>
      </w:r>
      <w:r w:rsidRPr="001F497A">
        <w:t xml:space="preserve">e, some individuals may have to be forced to forego some of their individual liberties. These restrictions, calculated </w:t>
      </w:r>
      <w:proofErr w:type="gramStart"/>
      <w:r w:rsidRPr="001F497A">
        <w:t>in order to</w:t>
      </w:r>
      <w:proofErr w:type="gramEnd"/>
      <w:r w:rsidRPr="001F497A">
        <w:t xml:space="preserve"> protect individuals from themselves and from others, will fall harder on some individuals than others. These include individuals who </w:t>
      </w:r>
      <w:r>
        <w:t xml:space="preserve">assess risk differently, </w:t>
      </w:r>
      <w:r w:rsidR="00C46C78">
        <w:t xml:space="preserve">those who </w:t>
      </w:r>
      <w:r w:rsidRPr="001F497A">
        <w:t xml:space="preserve">are more willing to take risks for themselves </w:t>
      </w:r>
      <w:r>
        <w:t>while</w:t>
      </w:r>
      <w:r w:rsidRPr="001F497A">
        <w:t xml:space="preserve"> simultaneously pos</w:t>
      </w:r>
      <w:r>
        <w:t>ing</w:t>
      </w:r>
      <w:r w:rsidRPr="001F497A">
        <w:t xml:space="preserve"> risks for others, those whose livelihoods are at stake and those who may be separated from loved ones. Some possible restrictions that impact on people</w:t>
      </w:r>
      <w:r w:rsidR="00C46C78">
        <w:t>’</w:t>
      </w:r>
      <w:r w:rsidRPr="001F497A">
        <w:t>s access to elective surgery and other medical procedures will pose particularly difficult calculations for decision</w:t>
      </w:r>
      <w:r w:rsidR="005D76D2">
        <w:t xml:space="preserve"> </w:t>
      </w:r>
      <w:r w:rsidRPr="001F497A">
        <w:t xml:space="preserve">makers about the balance of health risk. </w:t>
      </w:r>
    </w:p>
    <w:p w14:paraId="7CBE43FE" w14:textId="4463DECD" w:rsidR="00484D86" w:rsidRDefault="00484D86" w:rsidP="00FB32D6">
      <w:pPr>
        <w:pStyle w:val="BodyTextnonum"/>
      </w:pPr>
      <w:r w:rsidRPr="001F497A">
        <w:t xml:space="preserve">Some of the most vulnerable members of society – including those </w:t>
      </w:r>
      <w:r>
        <w:t xml:space="preserve">with serious disabilities, </w:t>
      </w:r>
      <w:r w:rsidR="00480F01">
        <w:t xml:space="preserve">with </w:t>
      </w:r>
      <w:r w:rsidRPr="001F497A">
        <w:t xml:space="preserve">drug dependency, </w:t>
      </w:r>
      <w:r>
        <w:t xml:space="preserve">who </w:t>
      </w:r>
      <w:r w:rsidRPr="001F497A">
        <w:t xml:space="preserve">are homeless, </w:t>
      </w:r>
      <w:r w:rsidR="00480F01">
        <w:t xml:space="preserve">who </w:t>
      </w:r>
      <w:r w:rsidRPr="001F497A">
        <w:t xml:space="preserve">fear violence in their homes or </w:t>
      </w:r>
      <w:r w:rsidR="00480F01">
        <w:t xml:space="preserve">who </w:t>
      </w:r>
      <w:r w:rsidRPr="001F497A">
        <w:t>are detained by the state against their will</w:t>
      </w:r>
      <w:r w:rsidR="009E3B04">
        <w:t xml:space="preserve"> </w:t>
      </w:r>
      <w:r w:rsidRPr="001F497A">
        <w:t xml:space="preserve">– are likely to be disproportionally affected. </w:t>
      </w:r>
    </w:p>
    <w:p w14:paraId="751EFD7C" w14:textId="00472DFB" w:rsidR="00484D86" w:rsidRPr="001F497A" w:rsidRDefault="00484D86" w:rsidP="00FB32D6">
      <w:pPr>
        <w:pStyle w:val="BodyTextnonum"/>
        <w:rPr>
          <w:b/>
          <w:bCs/>
        </w:rPr>
      </w:pPr>
      <w:r w:rsidRPr="001F497A">
        <w:t xml:space="preserve">Many restrictions such as the mandatory wearing of masks, </w:t>
      </w:r>
      <w:r>
        <w:t xml:space="preserve">vaccine mandates, </w:t>
      </w:r>
      <w:r w:rsidRPr="001F497A">
        <w:t>use of tracer apps and sharing of health information may be calculated to avoid more</w:t>
      </w:r>
      <w:r w:rsidR="00480F01">
        <w:t>-</w:t>
      </w:r>
      <w:r w:rsidRPr="001F497A">
        <w:t xml:space="preserve">draconian limitations on freedoms. Such restrictions also ought to be carefully deliberated, </w:t>
      </w:r>
      <w:proofErr w:type="gramStart"/>
      <w:r w:rsidRPr="001F497A">
        <w:t>proportionate</w:t>
      </w:r>
      <w:proofErr w:type="gramEnd"/>
      <w:r w:rsidRPr="001F497A">
        <w:t xml:space="preserve"> and justified. </w:t>
      </w:r>
    </w:p>
    <w:p w14:paraId="3F4C891A" w14:textId="3497F0E8" w:rsidR="00484D86" w:rsidRDefault="00484D86" w:rsidP="00FB32D6">
      <w:pPr>
        <w:pStyle w:val="BodyTextnonum"/>
      </w:pPr>
      <w:r w:rsidRPr="001F497A">
        <w:t xml:space="preserve">Taken together, </w:t>
      </w:r>
      <w:r w:rsidR="00686C9A">
        <w:t>Aotearoa</w:t>
      </w:r>
      <w:r w:rsidR="00686C9A" w:rsidRPr="001F497A">
        <w:t xml:space="preserve"> </w:t>
      </w:r>
      <w:r w:rsidRPr="001F497A">
        <w:t>New Zealand’s existing rights frameworks have the flexibility to recognise these subtleties</w:t>
      </w:r>
      <w:r>
        <w:t xml:space="preserve"> and are mutually supportive</w:t>
      </w:r>
      <w:r w:rsidRPr="001F497A">
        <w:t xml:space="preserve">. </w:t>
      </w:r>
      <w:r>
        <w:t xml:space="preserve">The Court of Appeal’s suggestion in </w:t>
      </w:r>
      <w:r w:rsidRPr="001F497A">
        <w:rPr>
          <w:i/>
          <w:iCs/>
        </w:rPr>
        <w:t>Borrowdale</w:t>
      </w:r>
      <w:r w:rsidRPr="001F497A">
        <w:t xml:space="preserve"> that the N</w:t>
      </w:r>
      <w:r w:rsidR="002E7709">
        <w:t xml:space="preserve">ew </w:t>
      </w:r>
      <w:r w:rsidRPr="001F497A">
        <w:t>Z</w:t>
      </w:r>
      <w:r w:rsidR="002E7709">
        <w:t>ealand</w:t>
      </w:r>
      <w:r w:rsidRPr="001F497A">
        <w:t xml:space="preserve"> Bill of Rights Act is </w:t>
      </w:r>
      <w:r>
        <w:t xml:space="preserve">domestically </w:t>
      </w:r>
      <w:r w:rsidRPr="001F497A">
        <w:t xml:space="preserve">enforceable while the </w:t>
      </w:r>
      <w:r w:rsidR="00DA1352">
        <w:t>ICESCR</w:t>
      </w:r>
      <w:r w:rsidRPr="001F497A">
        <w:t xml:space="preserve"> is not</w:t>
      </w:r>
      <w:r>
        <w:t>, is only superficially true</w:t>
      </w:r>
      <w:r w:rsidRPr="0058745B">
        <w:t>.</w:t>
      </w:r>
      <w:r w:rsidRPr="001F497A">
        <w:rPr>
          <w:rStyle w:val="FootnoteReference"/>
        </w:rPr>
        <w:footnoteReference w:id="64"/>
      </w:r>
      <w:r w:rsidRPr="001F497A">
        <w:t xml:space="preserve"> The </w:t>
      </w:r>
      <w:r>
        <w:t xml:space="preserve">commitment that </w:t>
      </w:r>
      <w:r w:rsidR="00686C9A">
        <w:t xml:space="preserve">Aotearoa </w:t>
      </w:r>
      <w:r>
        <w:t xml:space="preserve">New Zealand has made to the prevention of the spread of epidemic diseases and to safe and healthy working conditions under the </w:t>
      </w:r>
      <w:r w:rsidR="00DA1352">
        <w:t>ICESCR</w:t>
      </w:r>
      <w:r>
        <w:t xml:space="preserve">, for example, </w:t>
      </w:r>
      <w:r w:rsidRPr="001F497A">
        <w:t>can support and justif</w:t>
      </w:r>
      <w:r>
        <w:t xml:space="preserve">y </w:t>
      </w:r>
      <w:r w:rsidRPr="001F497A">
        <w:t xml:space="preserve">the </w:t>
      </w:r>
      <w:r>
        <w:t xml:space="preserve">proportionate </w:t>
      </w:r>
      <w:r w:rsidRPr="001F497A">
        <w:t xml:space="preserve">limitation of </w:t>
      </w:r>
      <w:r>
        <w:t xml:space="preserve">certain </w:t>
      </w:r>
      <w:r w:rsidRPr="001F497A">
        <w:t>civil rights</w:t>
      </w:r>
      <w:r>
        <w:t>, with appropriate evidence</w:t>
      </w:r>
      <w:r w:rsidRPr="001F497A">
        <w:t xml:space="preserve">. </w:t>
      </w:r>
    </w:p>
    <w:p w14:paraId="11EBFCA1" w14:textId="77777777" w:rsidR="00484D86" w:rsidRPr="0092397C" w:rsidRDefault="00484D86" w:rsidP="004A0E3E">
      <w:pPr>
        <w:pStyle w:val="Heading4"/>
      </w:pPr>
      <w:r w:rsidRPr="0092397C">
        <w:t>How are rights enforced?</w:t>
      </w:r>
    </w:p>
    <w:p w14:paraId="254778EB" w14:textId="66B20A91" w:rsidR="00484D86" w:rsidRDefault="00484D86" w:rsidP="00FB32D6">
      <w:pPr>
        <w:pStyle w:val="BodyTextnonum"/>
      </w:pPr>
      <w:r w:rsidRPr="001F497A">
        <w:t xml:space="preserve">There are various ways to </w:t>
      </w:r>
      <w:r>
        <w:t>ensure that limitations on protected rights are justified. T</w:t>
      </w:r>
      <w:r w:rsidRPr="001F497A">
        <w:t xml:space="preserve">he Attorney-General has a duty to draw attention to a </w:t>
      </w:r>
      <w:r>
        <w:t>Bill</w:t>
      </w:r>
      <w:r w:rsidRPr="001F497A">
        <w:t xml:space="preserve"> </w:t>
      </w:r>
      <w:r w:rsidR="00DA1352">
        <w:t>that</w:t>
      </w:r>
      <w:r w:rsidR="00DA1352" w:rsidRPr="001F497A">
        <w:t xml:space="preserve"> </w:t>
      </w:r>
      <w:r w:rsidRPr="001F497A">
        <w:t>unreasonably limit</w:t>
      </w:r>
      <w:r>
        <w:t xml:space="preserve">s </w:t>
      </w:r>
      <w:r w:rsidRPr="001F497A">
        <w:t xml:space="preserve">rights, </w:t>
      </w:r>
      <w:r>
        <w:t xml:space="preserve">upon its introduction to the House, </w:t>
      </w:r>
      <w:r w:rsidRPr="001F497A">
        <w:t>so that the members are aware of what is at stake.</w:t>
      </w:r>
      <w:r w:rsidRPr="001F497A">
        <w:rPr>
          <w:rStyle w:val="FootnoteReference"/>
        </w:rPr>
        <w:footnoteReference w:id="65"/>
      </w:r>
      <w:r w:rsidRPr="001F497A">
        <w:t xml:space="preserve"> Despite this, if the Bill is subsequently passed without change, it is still valid law enforceable by the courts.</w:t>
      </w:r>
      <w:r>
        <w:t xml:space="preserve"> The </w:t>
      </w:r>
      <w:r w:rsidR="00DA1352">
        <w:t>c</w:t>
      </w:r>
      <w:r>
        <w:t xml:space="preserve">ourts </w:t>
      </w:r>
      <w:proofErr w:type="gramStart"/>
      <w:r>
        <w:t>are able to</w:t>
      </w:r>
      <w:proofErr w:type="gramEnd"/>
      <w:r>
        <w:t xml:space="preserve"> declare that a statute is inconsistent </w:t>
      </w:r>
      <w:r>
        <w:lastRenderedPageBreak/>
        <w:t>with the N</w:t>
      </w:r>
      <w:r w:rsidR="002E7709">
        <w:t xml:space="preserve">ew </w:t>
      </w:r>
      <w:r>
        <w:t>Z</w:t>
      </w:r>
      <w:r w:rsidR="002E7709">
        <w:t>ealand</w:t>
      </w:r>
      <w:r>
        <w:t xml:space="preserve"> Bill of Rights Act</w:t>
      </w:r>
      <w:r w:rsidR="00DA1352">
        <w:t>,</w:t>
      </w:r>
      <w:r>
        <w:t xml:space="preserve"> and there is now a procedure by which the inconsistency can be brought to the renewed attention of the House.</w:t>
      </w:r>
    </w:p>
    <w:p w14:paraId="2A98FE66" w14:textId="574C4580" w:rsidR="00484D86" w:rsidRDefault="00484D86" w:rsidP="00FB32D6">
      <w:pPr>
        <w:pStyle w:val="BodyTextnonum"/>
      </w:pPr>
      <w:r w:rsidRPr="001F497A">
        <w:t>By contrast</w:t>
      </w:r>
      <w:r w:rsidR="002E7CA2">
        <w:t>,</w:t>
      </w:r>
      <w:r w:rsidRPr="001F497A">
        <w:t xml:space="preserve"> secondary legislation made by the executive may be invalidated if it unreasonably breaches rights by the </w:t>
      </w:r>
      <w:proofErr w:type="gramStart"/>
      <w:r w:rsidRPr="001F497A">
        <w:t>regulations</w:t>
      </w:r>
      <w:proofErr w:type="gramEnd"/>
      <w:r w:rsidRPr="001F497A">
        <w:t xml:space="preserve"> disallowance procedure in the House of Representatives and by judicial review.</w:t>
      </w:r>
      <w:r>
        <w:rPr>
          <w:rStyle w:val="FootnoteReference"/>
        </w:rPr>
        <w:footnoteReference w:id="66"/>
      </w:r>
    </w:p>
    <w:p w14:paraId="08CE2E3B" w14:textId="24131DC3" w:rsidR="00484D86" w:rsidRDefault="00484D86" w:rsidP="00FB32D6">
      <w:pPr>
        <w:pStyle w:val="BodyTextnonum"/>
      </w:pPr>
      <w:r w:rsidRPr="001F497A">
        <w:t xml:space="preserve">Judicial review can also be used to challenge the use of a broad discretion or power in a manner </w:t>
      </w:r>
      <w:r w:rsidR="002E7CA2">
        <w:t>that</w:t>
      </w:r>
      <w:r w:rsidR="002E7CA2" w:rsidRPr="001F497A">
        <w:t xml:space="preserve"> </w:t>
      </w:r>
      <w:r w:rsidRPr="001F497A">
        <w:t>unreasonably breaches rights.</w:t>
      </w:r>
      <w:r w:rsidRPr="001F497A">
        <w:rPr>
          <w:rStyle w:val="FootnoteReference"/>
        </w:rPr>
        <w:footnoteReference w:id="67"/>
      </w:r>
    </w:p>
    <w:p w14:paraId="17150ACE" w14:textId="77777777" w:rsidR="00484D86" w:rsidRPr="0092397C" w:rsidRDefault="00484D86" w:rsidP="00250546">
      <w:pPr>
        <w:pStyle w:val="Heading4"/>
        <w:rPr>
          <w:shd w:val="clear" w:color="auto" w:fill="FFFFFF"/>
        </w:rPr>
      </w:pPr>
      <w:r w:rsidRPr="0092397C">
        <w:rPr>
          <w:shd w:val="clear" w:color="auto" w:fill="FFFFFF"/>
        </w:rPr>
        <w:t xml:space="preserve">Privacy protections </w:t>
      </w:r>
    </w:p>
    <w:p w14:paraId="1D4C3510" w14:textId="5B76C976" w:rsidR="00484D86" w:rsidRDefault="00484D86" w:rsidP="00FB32D6">
      <w:pPr>
        <w:pStyle w:val="BodyTextnonum"/>
      </w:pPr>
      <w:r>
        <w:t xml:space="preserve">Obligations on governments to protect privacy are also recognised in international instruments to which </w:t>
      </w:r>
      <w:r w:rsidR="00686C9A">
        <w:t xml:space="preserve">Aotearoa </w:t>
      </w:r>
      <w:r>
        <w:t>New Zealand is bound.</w:t>
      </w:r>
      <w:r>
        <w:rPr>
          <w:rStyle w:val="FootnoteReference"/>
          <w:color w:val="202124"/>
        </w:rPr>
        <w:footnoteReference w:id="68"/>
      </w:r>
      <w:r>
        <w:t xml:space="preserve"> </w:t>
      </w:r>
      <w:r w:rsidRPr="001F497A">
        <w:t>Privacy principles and data protection rules have evolved</w:t>
      </w:r>
      <w:r>
        <w:t xml:space="preserve"> since 1991 </w:t>
      </w:r>
      <w:r w:rsidRPr="001F497A">
        <w:t>to protect the collection and use of personal information and to restrict information sharing</w:t>
      </w:r>
      <w:r w:rsidR="002E7CA2">
        <w:t>,</w:t>
      </w:r>
      <w:r w:rsidRPr="001F497A">
        <w:t xml:space="preserve"> including between government agencies. In stating these principles, the Privacy Act 2020, </w:t>
      </w:r>
      <w:r>
        <w:t xml:space="preserve">its predecessor </w:t>
      </w:r>
      <w:r w:rsidR="002E7CA2">
        <w:t xml:space="preserve">the </w:t>
      </w:r>
      <w:r>
        <w:t xml:space="preserve">Privacy Act 1993 and the associated Health Information Privacy Code 1994 </w:t>
      </w:r>
      <w:r w:rsidRPr="001F497A">
        <w:t>allow exceptions for public health. The</w:t>
      </w:r>
      <w:r>
        <w:t xml:space="preserve"> </w:t>
      </w:r>
      <w:r w:rsidRPr="001F497A">
        <w:t>general principle (</w:t>
      </w:r>
      <w:r w:rsidR="005F31FD">
        <w:t>i</w:t>
      </w:r>
      <w:r w:rsidRPr="001F497A">
        <w:t xml:space="preserve">nformation </w:t>
      </w:r>
      <w:r w:rsidR="005F31FD">
        <w:t>p</w:t>
      </w:r>
      <w:r w:rsidRPr="001F497A">
        <w:t xml:space="preserve">rivacy </w:t>
      </w:r>
      <w:r w:rsidR="005F31FD">
        <w:t>p</w:t>
      </w:r>
      <w:r w:rsidRPr="001F497A">
        <w:t>rinciple 2) that personal information ought only to be collected from the individual concerned can be breached to “prevent or lessen a serious threat to the life or health of the individual concerned or any other individual”.</w:t>
      </w:r>
      <w:r w:rsidRPr="001F497A">
        <w:rPr>
          <w:rStyle w:val="FootnoteReference"/>
          <w:color w:val="202124"/>
        </w:rPr>
        <w:footnoteReference w:id="69"/>
      </w:r>
      <w:r w:rsidRPr="001F497A">
        <w:t xml:space="preserve"> The general principle (</w:t>
      </w:r>
      <w:r w:rsidR="005F31FD">
        <w:t>i</w:t>
      </w:r>
      <w:r w:rsidRPr="001F497A">
        <w:t xml:space="preserve">nformation </w:t>
      </w:r>
      <w:r w:rsidR="005F31FD">
        <w:t>p</w:t>
      </w:r>
      <w:r w:rsidRPr="001F497A">
        <w:t xml:space="preserve">rivacy </w:t>
      </w:r>
      <w:r w:rsidR="005F31FD">
        <w:t>p</w:t>
      </w:r>
      <w:r w:rsidRPr="001F497A">
        <w:t>rinciple 10) that public sector agencies should only use information for the purpose for which it was collected can be breached if it is “necessary to prevent or lessen serious threats to public health and safety”.</w:t>
      </w:r>
      <w:r w:rsidRPr="001F497A">
        <w:rPr>
          <w:rStyle w:val="FootnoteReference"/>
          <w:color w:val="202124"/>
        </w:rPr>
        <w:footnoteReference w:id="70"/>
      </w:r>
      <w:r w:rsidRPr="001F497A">
        <w:t xml:space="preserve"> Additionally, the Privacy Commissioner has the power to authorise the collection, use, storage or disclosure of personal information otherwise in breach of certain of the </w:t>
      </w:r>
      <w:r w:rsidR="005F31FD">
        <w:t>i</w:t>
      </w:r>
      <w:r w:rsidRPr="001F497A">
        <w:t xml:space="preserve">nformation </w:t>
      </w:r>
      <w:r w:rsidR="005F31FD">
        <w:t>p</w:t>
      </w:r>
      <w:r w:rsidRPr="001F497A">
        <w:t xml:space="preserve">rivacy </w:t>
      </w:r>
      <w:r w:rsidR="005F31FD">
        <w:t>p</w:t>
      </w:r>
      <w:r w:rsidRPr="001F497A">
        <w:t>rinciples</w:t>
      </w:r>
      <w:r>
        <w:t xml:space="preserve"> </w:t>
      </w:r>
      <w:r w:rsidRPr="001F497A">
        <w:t>if the public interest outweighs the privacy interests at stake.</w:t>
      </w:r>
      <w:r w:rsidRPr="001F497A">
        <w:rPr>
          <w:rStyle w:val="FootnoteReference"/>
          <w:color w:val="202124"/>
        </w:rPr>
        <w:footnoteReference w:id="71"/>
      </w:r>
    </w:p>
    <w:p w14:paraId="7FB8D297" w14:textId="02687134" w:rsidR="00484D86" w:rsidRDefault="00484D86" w:rsidP="00FB32D6">
      <w:pPr>
        <w:pStyle w:val="BodyTextnonum"/>
      </w:pPr>
      <w:r>
        <w:t>These provisions were relied on for the sharing by the Ministry of Health of C</w:t>
      </w:r>
      <w:r w:rsidR="0061070F">
        <w:t>OVID</w:t>
      </w:r>
      <w:r>
        <w:t>-19</w:t>
      </w:r>
      <w:r w:rsidR="00FB2AF6">
        <w:t>-</w:t>
      </w:r>
      <w:r>
        <w:t xml:space="preserve">related information with </w:t>
      </w:r>
      <w:r w:rsidR="00FB2AF6">
        <w:t>P</w:t>
      </w:r>
      <w:r>
        <w:t xml:space="preserve">olice and emergency services for the benefit of first responders </w:t>
      </w:r>
      <w:proofErr w:type="gramStart"/>
      <w:r>
        <w:t>and also</w:t>
      </w:r>
      <w:proofErr w:type="gramEnd"/>
      <w:r>
        <w:t xml:space="preserve"> with agencies involved in </w:t>
      </w:r>
      <w:r w:rsidR="00FB2AF6">
        <w:t>m</w:t>
      </w:r>
      <w:r>
        <w:t xml:space="preserve">anaged </w:t>
      </w:r>
      <w:r w:rsidR="00FB2AF6">
        <w:t>i</w:t>
      </w:r>
      <w:r>
        <w:t xml:space="preserve">solation and </w:t>
      </w:r>
      <w:r w:rsidR="00FB2AF6">
        <w:t>q</w:t>
      </w:r>
      <w:r>
        <w:t xml:space="preserve">uarantine </w:t>
      </w:r>
      <w:r w:rsidR="00FB2AF6">
        <w:t>f</w:t>
      </w:r>
      <w:r>
        <w:t>acilities.</w:t>
      </w:r>
      <w:r>
        <w:rPr>
          <w:rStyle w:val="FootnoteReference"/>
          <w:color w:val="202124"/>
        </w:rPr>
        <w:footnoteReference w:id="72"/>
      </w:r>
      <w:r>
        <w:t xml:space="preserve"> </w:t>
      </w:r>
    </w:p>
    <w:p w14:paraId="28DF9DDA" w14:textId="77777777" w:rsidR="00484D86" w:rsidRDefault="00484D86" w:rsidP="00FB32D6">
      <w:pPr>
        <w:pStyle w:val="BodyTextnonum"/>
      </w:pPr>
      <w:r>
        <w:t>Additionally, the Civil Defence National Emergencies (Information Sharing) Code 2013 allows information sharing not otherwise permissible while a state of emergency is in force.</w:t>
      </w:r>
      <w:r>
        <w:rPr>
          <w:rStyle w:val="FootnoteReference"/>
          <w:color w:val="202124"/>
        </w:rPr>
        <w:footnoteReference w:id="73"/>
      </w:r>
      <w:r>
        <w:t xml:space="preserve"> </w:t>
      </w:r>
    </w:p>
    <w:p w14:paraId="0BB45942" w14:textId="7BCB82E5" w:rsidR="00484D86" w:rsidRPr="0092397C" w:rsidRDefault="00484D86" w:rsidP="00250546">
      <w:pPr>
        <w:pStyle w:val="Heading4"/>
      </w:pPr>
      <w:r w:rsidRPr="0092397C">
        <w:lastRenderedPageBreak/>
        <w:t xml:space="preserve">Contract </w:t>
      </w:r>
      <w:r w:rsidR="00FB2AF6">
        <w:t>t</w:t>
      </w:r>
      <w:r w:rsidRPr="0092397C">
        <w:t xml:space="preserve">racing and privacy </w:t>
      </w:r>
    </w:p>
    <w:p w14:paraId="20D0F37F" w14:textId="6F0C4D08" w:rsidR="00484D86" w:rsidRDefault="00484D86" w:rsidP="00FB32D6">
      <w:pPr>
        <w:pStyle w:val="BodyTextnonum"/>
      </w:pPr>
      <w:r w:rsidRPr="001F497A">
        <w:t xml:space="preserve">The Privacy Commissioner endorsed the </w:t>
      </w:r>
      <w:r w:rsidR="005F31FD">
        <w:t xml:space="preserve">NZ </w:t>
      </w:r>
      <w:r w:rsidRPr="001F497A">
        <w:t>COVID</w:t>
      </w:r>
      <w:r w:rsidR="005F31FD">
        <w:t xml:space="preserve"> T</w:t>
      </w:r>
      <w:r w:rsidRPr="001F497A">
        <w:t xml:space="preserve">racer </w:t>
      </w:r>
      <w:r w:rsidR="005F31FD">
        <w:t>a</w:t>
      </w:r>
      <w:r w:rsidRPr="001F497A">
        <w:t>pp on the basis that it met “</w:t>
      </w:r>
      <w:r w:rsidR="005F31FD">
        <w:t>p</w:t>
      </w:r>
      <w:r w:rsidRPr="001F497A">
        <w:t xml:space="preserve">rivacy by </w:t>
      </w:r>
      <w:r w:rsidR="005F31FD">
        <w:t>d</w:t>
      </w:r>
      <w:r w:rsidRPr="001F497A">
        <w:t>esign” principles and passed a privacy impact assessment.</w:t>
      </w:r>
      <w:r w:rsidRPr="001F497A">
        <w:rPr>
          <w:rStyle w:val="FootnoteReference"/>
          <w:color w:val="202124"/>
        </w:rPr>
        <w:footnoteReference w:id="74"/>
      </w:r>
      <w:r w:rsidRPr="001F497A">
        <w:t xml:space="preserve"> There remain, however, questions about whether the legislative and technological framework </w:t>
      </w:r>
      <w:r>
        <w:t xml:space="preserve">worked as well as it could have and </w:t>
      </w:r>
      <w:r w:rsidRPr="001F497A">
        <w:t xml:space="preserve">is </w:t>
      </w:r>
      <w:r>
        <w:t xml:space="preserve">sufficiently </w:t>
      </w:r>
      <w:r w:rsidRPr="001F497A">
        <w:t xml:space="preserve">ready for the next pandemic threat. There are </w:t>
      </w:r>
      <w:r>
        <w:t xml:space="preserve">additional </w:t>
      </w:r>
      <w:r w:rsidRPr="001F497A">
        <w:t xml:space="preserve">issues, for example, </w:t>
      </w:r>
      <w:r>
        <w:t xml:space="preserve">about </w:t>
      </w:r>
      <w:r w:rsidRPr="001F497A">
        <w:t xml:space="preserve">whether there is sufficient </w:t>
      </w:r>
      <w:r>
        <w:t xml:space="preserve">technical </w:t>
      </w:r>
      <w:r w:rsidRPr="001F497A">
        <w:t xml:space="preserve">capacity for information sharing between primary health providers and officials involved in </w:t>
      </w:r>
      <w:r>
        <w:t>a</w:t>
      </w:r>
      <w:r w:rsidRPr="001F497A">
        <w:t xml:space="preserve"> vaccine roll</w:t>
      </w:r>
      <w:r w:rsidR="007049B1">
        <w:t>-</w:t>
      </w:r>
      <w:r w:rsidRPr="001F497A">
        <w:t xml:space="preserve">out </w:t>
      </w:r>
      <w:proofErr w:type="gramStart"/>
      <w:r w:rsidRPr="001F497A">
        <w:t>in order to</w:t>
      </w:r>
      <w:proofErr w:type="gramEnd"/>
      <w:r w:rsidRPr="001F497A">
        <w:t xml:space="preserve"> identify and notify patients for inoculation in order of health priority. </w:t>
      </w:r>
    </w:p>
    <w:p w14:paraId="04D6B9AE" w14:textId="51DFC0F1" w:rsidR="00484D86" w:rsidRPr="001F497A" w:rsidRDefault="00484D86" w:rsidP="00FB32D6">
      <w:pPr>
        <w:pStyle w:val="BodyTextnonum"/>
      </w:pPr>
      <w:r w:rsidRPr="001F497A">
        <w:t xml:space="preserve">There does not seem to be provision for the expedited authorisation of exemptions to the health information codes or privacy principles in a situation of public health emergency. That may well be the correct approach. It would be desirable, however, for ongoing work to be undertaken, with the involvement of the Privacy Commissioner, into alternatives to lockdowns and quarantines </w:t>
      </w:r>
      <w:r w:rsidR="005F31FD">
        <w:t>that</w:t>
      </w:r>
      <w:r w:rsidRPr="001F497A">
        <w:t xml:space="preserve"> use phone surveillance as a measure of both disease surveillance and enforcement as has been used with some success in Taiwan.</w:t>
      </w:r>
      <w:r w:rsidRPr="001F497A">
        <w:rPr>
          <w:rStyle w:val="FootnoteReference"/>
          <w:color w:val="202124"/>
        </w:rPr>
        <w:footnoteReference w:id="75"/>
      </w:r>
      <w:r w:rsidRPr="001F497A">
        <w:t xml:space="preserve"> The current legislative test </w:t>
      </w:r>
      <w:r w:rsidR="001A7059">
        <w:t xml:space="preserve">in </w:t>
      </w:r>
      <w:r w:rsidRPr="001F497A">
        <w:t>s 30</w:t>
      </w:r>
      <w:r w:rsidR="001A7059">
        <w:t xml:space="preserve"> of the </w:t>
      </w:r>
      <w:r w:rsidR="001A7059" w:rsidRPr="001F497A">
        <w:t>Privacy Act 2020</w:t>
      </w:r>
      <w:r w:rsidRPr="001F497A">
        <w:t xml:space="preserve"> weighs privacy against the public interest</w:t>
      </w:r>
      <w:r>
        <w:t>. In</w:t>
      </w:r>
      <w:r w:rsidRPr="001F497A">
        <w:t xml:space="preserve"> a pandemic</w:t>
      </w:r>
      <w:r>
        <w:t>,</w:t>
      </w:r>
      <w:r w:rsidRPr="001F497A">
        <w:t xml:space="preserve"> </w:t>
      </w:r>
      <w:r>
        <w:t xml:space="preserve">however, </w:t>
      </w:r>
      <w:r w:rsidRPr="001F497A">
        <w:t xml:space="preserve">privacy rights may have to be weighed against other freedoms. In other words, we may need to consider whether to forego privacy </w:t>
      </w:r>
      <w:r>
        <w:t xml:space="preserve">(with protections) </w:t>
      </w:r>
      <w:proofErr w:type="gramStart"/>
      <w:r w:rsidRPr="001F497A">
        <w:t>in order to</w:t>
      </w:r>
      <w:proofErr w:type="gramEnd"/>
      <w:r w:rsidRPr="001F497A">
        <w:t xml:space="preserve"> maintain other liberties. More</w:t>
      </w:r>
      <w:r w:rsidR="001A7059">
        <w:t>-</w:t>
      </w:r>
      <w:r w:rsidRPr="001F497A">
        <w:t>intrusive tracing rules may be the lesser of several evils. As O’Connor et al</w:t>
      </w:r>
      <w:r w:rsidR="001A7059">
        <w:t>.</w:t>
      </w:r>
      <w:r w:rsidRPr="001F497A">
        <w:t xml:space="preserve"> have noted</w:t>
      </w:r>
      <w:r w:rsidR="001A7059">
        <w:t>,</w:t>
      </w:r>
      <w:r w:rsidRPr="001F497A">
        <w:t xml:space="preserve"> “individuals are quite willing to share vast amounts of personal data with global corporations (who use it for profit) for access to convenient services, without a second thought”</w:t>
      </w:r>
      <w:r w:rsidR="001A7059">
        <w:t>.</w:t>
      </w:r>
      <w:r w:rsidRPr="001F497A">
        <w:rPr>
          <w:rStyle w:val="FootnoteReference"/>
          <w:color w:val="202124"/>
        </w:rPr>
        <w:footnoteReference w:id="76"/>
      </w:r>
    </w:p>
    <w:p w14:paraId="0770C0B8" w14:textId="0C3CE2DD" w:rsidR="00EA0327" w:rsidRPr="00AC4577" w:rsidRDefault="00484D86" w:rsidP="00FB32D6">
      <w:pPr>
        <w:pStyle w:val="BodyTextnonum"/>
        <w:rPr>
          <w:rFonts w:eastAsia="Metropolis Light"/>
        </w:rPr>
      </w:pPr>
      <w:r>
        <w:t xml:space="preserve">In this </w:t>
      </w:r>
      <w:r w:rsidR="001A7059">
        <w:t>p</w:t>
      </w:r>
      <w:r>
        <w:t xml:space="preserve">art, I have sought to identify underlying constitutional principles </w:t>
      </w:r>
      <w:r w:rsidR="001A7059">
        <w:t xml:space="preserve">that </w:t>
      </w:r>
      <w:r>
        <w:t>have evolved since the Commission</w:t>
      </w:r>
      <w:r w:rsidR="00025547">
        <w:t>’s 1991</w:t>
      </w:r>
      <w:r>
        <w:t xml:space="preserve"> Report. Together</w:t>
      </w:r>
      <w:r w:rsidR="001A7059">
        <w:t>,</w:t>
      </w:r>
      <w:r>
        <w:t xml:space="preserve"> they constitute background norms </w:t>
      </w:r>
      <w:r w:rsidR="001A7059">
        <w:t xml:space="preserve">that </w:t>
      </w:r>
      <w:r>
        <w:t>inform the interpretation of primary and secondary legislation designed to regulate emergencies. I turn now to consider emergency legislation in more detail.</w:t>
      </w:r>
    </w:p>
    <w:p w14:paraId="37B1182B" w14:textId="77777777" w:rsidR="00AC4577" w:rsidRDefault="00AC4577" w:rsidP="00CC3ADC">
      <w:pPr>
        <w:pStyle w:val="BodyText"/>
        <w:numPr>
          <w:ilvl w:val="0"/>
          <w:numId w:val="0"/>
        </w:numPr>
        <w:ind w:left="709"/>
        <w:rPr>
          <w:rFonts w:eastAsia="Metropolis Light"/>
        </w:rPr>
      </w:pPr>
    </w:p>
    <w:p w14:paraId="1FF905DC" w14:textId="6E7ED30A" w:rsidR="00AC4577" w:rsidRDefault="008611BC" w:rsidP="00CC3ADC">
      <w:pPr>
        <w:pStyle w:val="BodyText"/>
        <w:numPr>
          <w:ilvl w:val="0"/>
          <w:numId w:val="0"/>
        </w:numPr>
        <w:ind w:left="709"/>
        <w:rPr>
          <w:rFonts w:eastAsia="Metropolis Light"/>
        </w:rPr>
      </w:pPr>
      <w:r>
        <w:rPr>
          <w:noProof/>
        </w:rPr>
        <mc:AlternateContent>
          <mc:Choice Requires="wpg">
            <w:drawing>
              <wp:anchor distT="0" distB="0" distL="114300" distR="114300" simplePos="0" relativeHeight="251658250" behindDoc="1" locked="0" layoutInCell="1" allowOverlap="1" wp14:anchorId="64162265" wp14:editId="6740784F">
                <wp:simplePos x="0" y="0"/>
                <wp:positionH relativeFrom="page">
                  <wp:posOffset>1067435</wp:posOffset>
                </wp:positionH>
                <wp:positionV relativeFrom="paragraph">
                  <wp:posOffset>216725</wp:posOffset>
                </wp:positionV>
                <wp:extent cx="1439545" cy="1270"/>
                <wp:effectExtent l="0" t="19050" r="27305" b="17780"/>
                <wp:wrapNone/>
                <wp:docPr id="17"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9545" cy="1270"/>
                          <a:chOff x="1417" y="-260"/>
                          <a:chExt cx="2098" cy="2"/>
                        </a:xfrm>
                      </wpg:grpSpPr>
                      <wps:wsp>
                        <wps:cNvPr id="18" name="Freeform 122"/>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35E79" id="Group 121" o:spid="_x0000_s1026" style="position:absolute;margin-left:84.05pt;margin-top:17.05pt;width:113.35pt;height:.1pt;z-index:-25165823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">
                <v:shape id="Freeform 122"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" path="m,l2098,e" filled="f" strokecolor="#c96d61" strokeweight="3pt">
                  <v:path arrowok="t" o:connecttype="custom" o:connectlocs="0,0;2098,0" o:connectangles="0,0"/>
                </v:shape>
                <w10:wrap anchorx="page"/>
              </v:group>
            </w:pict>
          </mc:Fallback>
        </mc:AlternateContent>
      </w:r>
    </w:p>
    <w:p w14:paraId="2F629367" w14:textId="204ABE9A" w:rsidR="00AC4577" w:rsidRDefault="00AC4577" w:rsidP="00CC3ADC">
      <w:pPr>
        <w:pStyle w:val="BodyText"/>
        <w:numPr>
          <w:ilvl w:val="0"/>
          <w:numId w:val="0"/>
        </w:numPr>
        <w:ind w:left="709"/>
        <w:rPr>
          <w:rFonts w:eastAsia="Metropolis Light"/>
        </w:rPr>
      </w:pPr>
    </w:p>
    <w:p w14:paraId="73BD9F05" w14:textId="77777777" w:rsidR="00AC4577" w:rsidRDefault="00AC4577" w:rsidP="00CC3ADC">
      <w:pPr>
        <w:pStyle w:val="BodyText"/>
        <w:numPr>
          <w:ilvl w:val="0"/>
          <w:numId w:val="0"/>
        </w:numPr>
        <w:ind w:left="709"/>
        <w:rPr>
          <w:rFonts w:eastAsia="Metropolis Light"/>
        </w:rPr>
        <w:sectPr w:rsidR="00AC4577" w:rsidSect="00D50ACF">
          <w:headerReference w:type="default" r:id="rId29"/>
          <w:footnotePr>
            <w:numRestart w:val="eachSect"/>
          </w:footnotePr>
          <w:pgSz w:w="11920" w:h="16840"/>
          <w:pgMar w:top="1134" w:right="1134" w:bottom="1134" w:left="1701" w:header="499" w:footer="46" w:gutter="0"/>
          <w:cols w:space="720"/>
        </w:sectPr>
      </w:pPr>
    </w:p>
    <w:p w14:paraId="4C8A8365" w14:textId="77777777" w:rsidR="00AC4577" w:rsidRPr="00650E87" w:rsidRDefault="00AC4577" w:rsidP="00AC4577">
      <w:pPr>
        <w:spacing w:after="0" w:line="200" w:lineRule="exact"/>
        <w:rPr>
          <w:szCs w:val="20"/>
        </w:rPr>
      </w:pPr>
    </w:p>
    <w:p w14:paraId="78DF87D7" w14:textId="020CF1BB" w:rsidR="00AC4577" w:rsidRDefault="00AC4577" w:rsidP="00AC4577">
      <w:pPr>
        <w:spacing w:before="55" w:after="0" w:line="240" w:lineRule="auto"/>
        <w:ind w:left="114" w:right="-20" w:hanging="114"/>
        <w:rPr>
          <w:rFonts w:ascii="Metropolis" w:eastAsia="Metropolis" w:hAnsi="Metropolis" w:cs="Metropolis"/>
          <w:sz w:val="21"/>
          <w:szCs w:val="21"/>
        </w:rPr>
      </w:pPr>
      <w:r>
        <w:rPr>
          <w:rFonts w:ascii="Metropolis" w:eastAsia="Metropolis" w:hAnsi="Metropolis" w:cs="Metropolis"/>
          <w:b/>
          <w:bCs/>
          <w:color w:val="C96D61"/>
          <w:sz w:val="21"/>
          <w:szCs w:val="21"/>
        </w:rPr>
        <w:t>PART TWO</w:t>
      </w:r>
    </w:p>
    <w:p w14:paraId="326B2E41" w14:textId="77777777" w:rsidR="00AC4577" w:rsidRDefault="00AC4577" w:rsidP="00AC4577">
      <w:pPr>
        <w:spacing w:after="0" w:line="200" w:lineRule="exact"/>
        <w:rPr>
          <w:szCs w:val="20"/>
        </w:rPr>
      </w:pPr>
      <w:r>
        <w:rPr>
          <w:noProof/>
        </w:rPr>
        <mc:AlternateContent>
          <mc:Choice Requires="wpg">
            <w:drawing>
              <wp:anchor distT="0" distB="0" distL="114300" distR="114300" simplePos="0" relativeHeight="251658252" behindDoc="1" locked="0" layoutInCell="1" allowOverlap="1" wp14:anchorId="693F2DC5" wp14:editId="60FCEA19">
                <wp:simplePos x="0" y="0"/>
                <wp:positionH relativeFrom="page">
                  <wp:posOffset>1057910</wp:posOffset>
                </wp:positionH>
                <wp:positionV relativeFrom="paragraph">
                  <wp:posOffset>171450</wp:posOffset>
                </wp:positionV>
                <wp:extent cx="1332230" cy="1270"/>
                <wp:effectExtent l="0" t="19050" r="20320" b="17780"/>
                <wp:wrapNone/>
                <wp:docPr id="1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535"/>
                          <a:chExt cx="2098" cy="2"/>
                        </a:xfrm>
                      </wpg:grpSpPr>
                      <wps:wsp>
                        <wps:cNvPr id="20" name="Freeform 9"/>
                        <wps:cNvSpPr>
                          <a:spLocks/>
                        </wps:cNvSpPr>
                        <wps:spPr bwMode="auto">
                          <a:xfrm>
                            <a:off x="1134" y="535"/>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F0E9A" id="Group 8" o:spid="_x0000_s1026" style="position:absolute;margin-left:83.3pt;margin-top:13.5pt;width:104.9pt;height:.1pt;z-index:-251658228;mso-position-horizontal-relative:page" coordorigin="1134,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">
                <v:shape id="Freeform 9" o:spid="_x0000_s1027" style="position:absolute;left:1134;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" path="m,l2097,e" filled="f" strokecolor="#c96d61" strokeweight="3pt">
                  <v:path arrowok="t" o:connecttype="custom" o:connectlocs="0,0;2097,0" o:connectangles="0,0"/>
                </v:shape>
                <w10:wrap anchorx="page"/>
              </v:group>
            </w:pict>
          </mc:Fallback>
        </mc:AlternateContent>
      </w:r>
    </w:p>
    <w:p w14:paraId="546A3D5E" w14:textId="77777777" w:rsidR="00AC4577" w:rsidRPr="00650E87" w:rsidRDefault="00AC4577" w:rsidP="00AC4577">
      <w:pPr>
        <w:spacing w:before="3" w:after="0" w:line="220" w:lineRule="exact"/>
        <w:rPr>
          <w:szCs w:val="20"/>
        </w:rPr>
      </w:pPr>
    </w:p>
    <w:p w14:paraId="0AC10EF3" w14:textId="718234AB" w:rsidR="00AC4577" w:rsidRDefault="001F1576" w:rsidP="00516ADB">
      <w:pPr>
        <w:pStyle w:val="Heading1"/>
        <w:spacing w:line="283" w:lineRule="auto"/>
      </w:pPr>
      <w:bookmarkStart w:id="71" w:name="_Toc117063100"/>
      <w:bookmarkStart w:id="72" w:name="_Toc118119292"/>
      <w:r w:rsidRPr="009D2AA1">
        <w:t xml:space="preserve">Principles </w:t>
      </w:r>
      <w:r w:rsidR="00C3414B" w:rsidRPr="009D2AA1">
        <w:t>governing emergency legislation</w:t>
      </w:r>
      <w:bookmarkEnd w:id="71"/>
      <w:bookmarkEnd w:id="72"/>
    </w:p>
    <w:p w14:paraId="2B6744EA" w14:textId="77777777" w:rsidR="00AC4577" w:rsidRDefault="00AC4577" w:rsidP="00AC4577">
      <w:pPr>
        <w:spacing w:after="0" w:line="200" w:lineRule="exact"/>
        <w:rPr>
          <w:szCs w:val="20"/>
        </w:rPr>
      </w:pPr>
    </w:p>
    <w:p w14:paraId="33CB872C" w14:textId="77777777" w:rsidR="00AC4577" w:rsidRDefault="00AC4577" w:rsidP="00AC4577">
      <w:pPr>
        <w:spacing w:after="0" w:line="200" w:lineRule="exact"/>
        <w:rPr>
          <w:szCs w:val="20"/>
        </w:rPr>
      </w:pPr>
      <w:r>
        <w:rPr>
          <w:noProof/>
        </w:rPr>
        <mc:AlternateContent>
          <mc:Choice Requires="wpg">
            <w:drawing>
              <wp:anchor distT="0" distB="0" distL="114300" distR="114300" simplePos="0" relativeHeight="251658251" behindDoc="1" locked="0" layoutInCell="1" allowOverlap="1" wp14:anchorId="213CB39D" wp14:editId="5D7BD1A1">
                <wp:simplePos x="0" y="0"/>
                <wp:positionH relativeFrom="page">
                  <wp:posOffset>1057910</wp:posOffset>
                </wp:positionH>
                <wp:positionV relativeFrom="paragraph">
                  <wp:posOffset>152400</wp:posOffset>
                </wp:positionV>
                <wp:extent cx="1332230" cy="1270"/>
                <wp:effectExtent l="0" t="19050" r="20320" b="17780"/>
                <wp:wrapNone/>
                <wp:docPr id="2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260"/>
                          <a:chExt cx="2098" cy="2"/>
                        </a:xfrm>
                      </wpg:grpSpPr>
                      <wps:wsp>
                        <wps:cNvPr id="26" name="Freeform 7"/>
                        <wps:cNvSpPr>
                          <a:spLocks/>
                        </wps:cNvSpPr>
                        <wps:spPr bwMode="auto">
                          <a:xfrm>
                            <a:off x="1134" y="-26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27603" id="Group 6" o:spid="_x0000_s1026" style="position:absolute;margin-left:83.3pt;margin-top:12pt;width:104.9pt;height:.1pt;z-index:-251658229;mso-position-horizontal-relative:page" coordorigin="1134,-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">
                <v:shape id="Freeform 7" o:spid="_x0000_s1027" style="position:absolute;left:1134;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" path="m,l2097,e" filled="f" strokecolor="#c96d61" strokeweight="3pt">
                  <v:path arrowok="t" o:connecttype="custom" o:connectlocs="0,0;2097,0" o:connectangles="0,0"/>
                </v:shape>
                <w10:wrap anchorx="page"/>
              </v:group>
            </w:pict>
          </mc:Fallback>
        </mc:AlternateContent>
      </w:r>
    </w:p>
    <w:p w14:paraId="220D655F" w14:textId="77777777" w:rsidR="00AC4577" w:rsidRDefault="00AC4577" w:rsidP="00AC4577">
      <w:pPr>
        <w:spacing w:after="0" w:line="200" w:lineRule="exact"/>
        <w:rPr>
          <w:szCs w:val="20"/>
        </w:rPr>
      </w:pPr>
    </w:p>
    <w:p w14:paraId="47907441" w14:textId="77777777" w:rsidR="00AC4577" w:rsidRPr="005B7B25" w:rsidRDefault="00AC4577" w:rsidP="00C25088">
      <w:pPr>
        <w:pStyle w:val="ListParagraph"/>
        <w:ind w:left="360"/>
        <w:contextualSpacing w:val="0"/>
        <w:jc w:val="both"/>
        <w:rPr>
          <w:rFonts w:eastAsia="Metropolis Light" w:cs="Times New Roman"/>
          <w:vanish/>
          <w:sz w:val="20"/>
          <w:szCs w:val="24"/>
          <w:lang w:eastAsia="en-AU"/>
        </w:rPr>
      </w:pPr>
    </w:p>
    <w:p w14:paraId="6576448B" w14:textId="77777777" w:rsidR="001F1576" w:rsidRDefault="001F1576" w:rsidP="001F1576">
      <w:pPr>
        <w:pStyle w:val="Heading2"/>
        <w:rPr>
          <w:shd w:val="clear" w:color="auto" w:fill="FFFFFF"/>
        </w:rPr>
      </w:pPr>
      <w:bookmarkStart w:id="73" w:name="_Toc116464813"/>
      <w:bookmarkStart w:id="74" w:name="_Toc117063101"/>
      <w:bookmarkStart w:id="75" w:name="_Toc118119293"/>
      <w:r w:rsidRPr="00304CAC">
        <w:rPr>
          <w:shd w:val="clear" w:color="auto" w:fill="FFFFFF"/>
        </w:rPr>
        <w:t>Introduction</w:t>
      </w:r>
      <w:bookmarkEnd w:id="73"/>
      <w:bookmarkEnd w:id="74"/>
      <w:bookmarkEnd w:id="75"/>
    </w:p>
    <w:p w14:paraId="45E33643" w14:textId="77777777" w:rsidR="00EF3926" w:rsidRPr="00EF3926" w:rsidRDefault="00EF3926" w:rsidP="00EF3926">
      <w:pPr>
        <w:pStyle w:val="ListParagraph"/>
        <w:numPr>
          <w:ilvl w:val="0"/>
          <w:numId w:val="8"/>
        </w:numPr>
        <w:contextualSpacing w:val="0"/>
        <w:jc w:val="both"/>
        <w:rPr>
          <w:rFonts w:eastAsia="Times New Roman" w:cs="Times New Roman"/>
          <w:vanish/>
          <w:sz w:val="20"/>
          <w:szCs w:val="24"/>
          <w:lang w:eastAsia="en-AU"/>
        </w:rPr>
      </w:pPr>
    </w:p>
    <w:p w14:paraId="64005282" w14:textId="6C959A09" w:rsidR="009D2AA1" w:rsidRDefault="009D2AA1" w:rsidP="00CF0984">
      <w:pPr>
        <w:pStyle w:val="BodyText"/>
        <w:rPr>
          <w:rFonts w:eastAsia="Calibri"/>
        </w:rPr>
      </w:pPr>
      <w:r>
        <w:t xml:space="preserve">In this </w:t>
      </w:r>
      <w:r w:rsidR="003E6F16">
        <w:t>p</w:t>
      </w:r>
      <w:r>
        <w:t xml:space="preserve">art, I </w:t>
      </w:r>
      <w:r>
        <w:rPr>
          <w:shd w:val="clear" w:color="auto" w:fill="FFFFFF"/>
        </w:rPr>
        <w:t xml:space="preserve">draw together </w:t>
      </w:r>
      <w:r w:rsidRPr="00F21F36">
        <w:rPr>
          <w:shd w:val="clear" w:color="auto" w:fill="FFFFFF"/>
        </w:rPr>
        <w:t xml:space="preserve">some </w:t>
      </w:r>
      <w:r>
        <w:rPr>
          <w:shd w:val="clear" w:color="auto" w:fill="FFFFFF"/>
        </w:rPr>
        <w:t xml:space="preserve">of the valuable work undertaken by </w:t>
      </w:r>
      <w:r w:rsidR="00FA7F6C">
        <w:rPr>
          <w:shd w:val="clear" w:color="auto" w:fill="FFFFFF"/>
        </w:rPr>
        <w:t>p</w:t>
      </w:r>
      <w:r>
        <w:rPr>
          <w:shd w:val="clear" w:color="auto" w:fill="FFFFFF"/>
        </w:rPr>
        <w:t xml:space="preserve">arliamentary </w:t>
      </w:r>
      <w:r w:rsidR="00FA7F6C">
        <w:rPr>
          <w:shd w:val="clear" w:color="auto" w:fill="FFFFFF"/>
        </w:rPr>
        <w:t>s</w:t>
      </w:r>
      <w:r>
        <w:rPr>
          <w:shd w:val="clear" w:color="auto" w:fill="FFFFFF"/>
        </w:rPr>
        <w:t xml:space="preserve">elect </w:t>
      </w:r>
      <w:r w:rsidR="00FA7F6C">
        <w:rPr>
          <w:shd w:val="clear" w:color="auto" w:fill="FFFFFF"/>
        </w:rPr>
        <w:t>c</w:t>
      </w:r>
      <w:r>
        <w:rPr>
          <w:shd w:val="clear" w:color="auto" w:fill="FFFFFF"/>
        </w:rPr>
        <w:t xml:space="preserve">ommittees cataloguing the </w:t>
      </w:r>
      <w:r w:rsidRPr="00F21F36">
        <w:rPr>
          <w:shd w:val="clear" w:color="auto" w:fill="FFFFFF"/>
        </w:rPr>
        <w:t xml:space="preserve">general principles </w:t>
      </w:r>
      <w:r w:rsidR="003E6F16">
        <w:rPr>
          <w:shd w:val="clear" w:color="auto" w:fill="FFFFFF"/>
        </w:rPr>
        <w:t>that</w:t>
      </w:r>
      <w:r w:rsidR="003E6F16" w:rsidRPr="00F21F36">
        <w:rPr>
          <w:shd w:val="clear" w:color="auto" w:fill="FFFFFF"/>
        </w:rPr>
        <w:t xml:space="preserve"> </w:t>
      </w:r>
      <w:r w:rsidRPr="00F21F36">
        <w:rPr>
          <w:shd w:val="clear" w:color="auto" w:fill="FFFFFF"/>
        </w:rPr>
        <w:t xml:space="preserve">should govern </w:t>
      </w:r>
      <w:r>
        <w:rPr>
          <w:shd w:val="clear" w:color="auto" w:fill="FFFFFF"/>
        </w:rPr>
        <w:t xml:space="preserve">emergency legislation. </w:t>
      </w:r>
      <w:proofErr w:type="gramStart"/>
      <w:r>
        <w:rPr>
          <w:shd w:val="clear" w:color="auto" w:fill="FFFFFF"/>
        </w:rPr>
        <w:t>In particular, I</w:t>
      </w:r>
      <w:proofErr w:type="gramEnd"/>
      <w:r>
        <w:rPr>
          <w:shd w:val="clear" w:color="auto" w:fill="FFFFFF"/>
        </w:rPr>
        <w:t xml:space="preserve"> draw on </w:t>
      </w:r>
      <w:r w:rsidRPr="00F21F36">
        <w:rPr>
          <w:shd w:val="clear" w:color="auto" w:fill="FFFFFF"/>
        </w:rPr>
        <w:t>the Regulation</w:t>
      </w:r>
      <w:r w:rsidR="006B7FC3">
        <w:rPr>
          <w:shd w:val="clear" w:color="auto" w:fill="FFFFFF"/>
        </w:rPr>
        <w:t>s</w:t>
      </w:r>
      <w:r w:rsidRPr="00F21F36">
        <w:rPr>
          <w:shd w:val="clear" w:color="auto" w:fill="FFFFFF"/>
        </w:rPr>
        <w:t xml:space="preserve"> Review Committee</w:t>
      </w:r>
      <w:r w:rsidR="000A20EE">
        <w:rPr>
          <w:shd w:val="clear" w:color="auto" w:fill="FFFFFF"/>
        </w:rPr>
        <w:t xml:space="preserve"> (RRC)</w:t>
      </w:r>
      <w:r w:rsidRPr="00F21F36">
        <w:rPr>
          <w:shd w:val="clear" w:color="auto" w:fill="FFFFFF"/>
        </w:rPr>
        <w:t xml:space="preserve">’s 2016 </w:t>
      </w:r>
      <w:r w:rsidRPr="00F21F36">
        <w:rPr>
          <w:i/>
          <w:iCs/>
        </w:rPr>
        <w:t>Inquiry into Parliament’s legislative response to future national emergencies</w:t>
      </w:r>
      <w:r w:rsidRPr="00F21F36">
        <w:t xml:space="preserve"> (</w:t>
      </w:r>
      <w:r w:rsidRPr="00CC3ADC">
        <w:t>2016 Report</w:t>
      </w:r>
      <w:r w:rsidRPr="00F21F36">
        <w:t>)</w:t>
      </w:r>
      <w:r w:rsidRPr="00F21F36">
        <w:rPr>
          <w:rStyle w:val="FootnoteReference"/>
        </w:rPr>
        <w:footnoteReference w:id="77"/>
      </w:r>
      <w:r w:rsidRPr="00F21F36">
        <w:t xml:space="preserve"> </w:t>
      </w:r>
      <w:r w:rsidRPr="00F21F36">
        <w:rPr>
          <w:shd w:val="clear" w:color="auto" w:fill="FFFFFF"/>
        </w:rPr>
        <w:t xml:space="preserve">and </w:t>
      </w:r>
      <w:r>
        <w:rPr>
          <w:shd w:val="clear" w:color="auto" w:fill="FFFFFF"/>
        </w:rPr>
        <w:t xml:space="preserve">its </w:t>
      </w:r>
      <w:r w:rsidRPr="00F21F36">
        <w:rPr>
          <w:shd w:val="clear" w:color="auto" w:fill="FFFFFF"/>
        </w:rPr>
        <w:t xml:space="preserve">2020 </w:t>
      </w:r>
      <w:r w:rsidRPr="00F21F36">
        <w:rPr>
          <w:i/>
          <w:iCs/>
        </w:rPr>
        <w:t xml:space="preserve">Briefing to review secondary legislation made in response to COVID-19 </w:t>
      </w:r>
      <w:r w:rsidRPr="00F21F36">
        <w:rPr>
          <w:rFonts w:eastAsia="Calibri"/>
        </w:rPr>
        <w:t>(</w:t>
      </w:r>
      <w:r w:rsidRPr="00CC3ADC">
        <w:rPr>
          <w:rFonts w:eastAsia="Calibri"/>
        </w:rPr>
        <w:t>2020 Report</w:t>
      </w:r>
      <w:r w:rsidRPr="00F21F36">
        <w:rPr>
          <w:rFonts w:eastAsia="Calibri"/>
        </w:rPr>
        <w:t>).</w:t>
      </w:r>
      <w:r w:rsidRPr="00F21F36">
        <w:rPr>
          <w:rStyle w:val="FootnoteReference"/>
          <w:rFonts w:eastAsia="Calibri"/>
          <w:color w:val="000000" w:themeColor="text1"/>
        </w:rPr>
        <w:footnoteReference w:id="78"/>
      </w:r>
      <w:r w:rsidRPr="00F21F36">
        <w:rPr>
          <w:rFonts w:eastAsia="Calibri"/>
        </w:rPr>
        <w:t xml:space="preserve"> </w:t>
      </w:r>
      <w:r>
        <w:rPr>
          <w:rFonts w:eastAsia="Calibri"/>
        </w:rPr>
        <w:t xml:space="preserve">I evaluate how well the principles have been upheld in recent legislation and suggest additional practices to control emergency powers </w:t>
      </w:r>
      <w:r w:rsidR="003E6F16">
        <w:rPr>
          <w:rFonts w:eastAsia="Calibri"/>
        </w:rPr>
        <w:t xml:space="preserve">that </w:t>
      </w:r>
      <w:r>
        <w:rPr>
          <w:rFonts w:eastAsia="Calibri"/>
        </w:rPr>
        <w:t xml:space="preserve">could be considered. </w:t>
      </w:r>
    </w:p>
    <w:p w14:paraId="3438FE30" w14:textId="398EB768" w:rsidR="009D2AA1" w:rsidRPr="00A50F5C" w:rsidRDefault="009D2AA1" w:rsidP="00FB32D6">
      <w:pPr>
        <w:pStyle w:val="BodyTextnonum"/>
      </w:pPr>
      <w:r>
        <w:t>I begin, however, with a general comment. T</w:t>
      </w:r>
      <w:r w:rsidRPr="00A50F5C">
        <w:t xml:space="preserve">he </w:t>
      </w:r>
      <w:r w:rsidR="00686C9A">
        <w:t xml:space="preserve">Aotearoa </w:t>
      </w:r>
      <w:r>
        <w:t xml:space="preserve">New Zealand </w:t>
      </w:r>
      <w:r w:rsidRPr="00A50F5C">
        <w:t xml:space="preserve">practice over the past 12 years has been to use the standing rules to deal with the immediate response to an emergency as it arises and to follow up with </w:t>
      </w:r>
      <w:r>
        <w:t xml:space="preserve">time-limited </w:t>
      </w:r>
      <w:r w:rsidRPr="00A50F5C">
        <w:t xml:space="preserve">bespoke legislation designed for the specific event shortly thereafter. </w:t>
      </w:r>
    </w:p>
    <w:p w14:paraId="0271D505" w14:textId="7644660A" w:rsidR="009D2AA1" w:rsidRDefault="009D2AA1" w:rsidP="00FB32D6">
      <w:pPr>
        <w:pStyle w:val="BodyTextnonum"/>
      </w:pPr>
      <w:r>
        <w:t xml:space="preserve">The current balance between standing rules and bespoke legislation appears to have been accepted uncritically by politicians in </w:t>
      </w:r>
      <w:r w:rsidR="00686C9A">
        <w:t xml:space="preserve">Aotearoa </w:t>
      </w:r>
      <w:r>
        <w:t>New Zealand in recent years. There has been an understandable reluctance to confer broad powers in advance of an actual emergency. The downside is that specific bespoke legislation, passed after an emergency has arisen, invariably receives little by way of public input or indeed the input of officials who have dealt with past emergency events. It is dangerous to assume that Parliament will necessarily be able to meet (whether in person or electronically) to enact bespoke legislation in response to every kind of emergency.</w:t>
      </w:r>
      <w:r>
        <w:rPr>
          <w:rStyle w:val="FootnoteReference"/>
        </w:rPr>
        <w:footnoteReference w:id="79"/>
      </w:r>
      <w:r>
        <w:t xml:space="preserve"> It would be both possible and desirable to enact more emergency rules in primary legislation, with full public input, subject to well-calibrated protections and legal tests to ensure they are triggered by a </w:t>
      </w:r>
      <w:r>
        <w:lastRenderedPageBreak/>
        <w:t xml:space="preserve">genuine emergency and that they become dormant again once the emergency </w:t>
      </w:r>
      <w:r w:rsidR="000A20EE">
        <w:t xml:space="preserve">has </w:t>
      </w:r>
      <w:r>
        <w:t>passed. It is likely that bespoke legislation will likely still be needed, but given Aotearoa New Zealand’s recent experience of C</w:t>
      </w:r>
      <w:r w:rsidR="0061070F">
        <w:t>OVID</w:t>
      </w:r>
      <w:r>
        <w:t>-19 and a succession of earthquakes, now may be a particularly appropriate time to add to the standing rules provisions likely to be necessary and desirable in advance of the next emergency</w:t>
      </w:r>
    </w:p>
    <w:p w14:paraId="4D9FDF14" w14:textId="390B8E49" w:rsidR="009D2AA1" w:rsidRPr="00943D48" w:rsidRDefault="009D2AA1" w:rsidP="007E0644">
      <w:pPr>
        <w:pStyle w:val="Heading2"/>
        <w:rPr>
          <w:shd w:val="clear" w:color="auto" w:fill="FFFFFF"/>
        </w:rPr>
      </w:pPr>
      <w:bookmarkStart w:id="76" w:name="_Toc117063102"/>
      <w:bookmarkStart w:id="77" w:name="_Toc118119294"/>
      <w:bookmarkStart w:id="78" w:name="_Hlk107814991"/>
      <w:r w:rsidRPr="00943D48">
        <w:rPr>
          <w:shd w:val="clear" w:color="auto" w:fill="FFFFFF"/>
        </w:rPr>
        <w:t>Time</w:t>
      </w:r>
      <w:r w:rsidR="0039021E">
        <w:rPr>
          <w:shd w:val="clear" w:color="auto" w:fill="FFFFFF"/>
        </w:rPr>
        <w:t>-</w:t>
      </w:r>
      <w:r w:rsidRPr="00943D48">
        <w:rPr>
          <w:shd w:val="clear" w:color="auto" w:fill="FFFFFF"/>
        </w:rPr>
        <w:t>limited emergency legislation</w:t>
      </w:r>
      <w:bookmarkEnd w:id="76"/>
      <w:bookmarkEnd w:id="77"/>
    </w:p>
    <w:bookmarkEnd w:id="78"/>
    <w:p w14:paraId="093DD00B" w14:textId="0D9A03F6" w:rsidR="009D2AA1" w:rsidRPr="009305C3" w:rsidRDefault="009D2AA1" w:rsidP="00FB32D6">
      <w:pPr>
        <w:pStyle w:val="BodyTextnonum"/>
      </w:pPr>
      <w:r w:rsidRPr="009305C3">
        <w:t xml:space="preserve">The RRC has endorsed the high-level principle </w:t>
      </w:r>
      <w:r w:rsidRPr="00F47EB5">
        <w:t xml:space="preserve">that </w:t>
      </w:r>
      <w:r w:rsidRPr="00CC3ADC">
        <w:t>“emergency powers should be in force no longer than is reasonably necessary to manage the consequences of the emergency”</w:t>
      </w:r>
      <w:r w:rsidRPr="00F47EB5">
        <w:t>, giving</w:t>
      </w:r>
      <w:r w:rsidRPr="009305C3">
        <w:t xml:space="preserve"> two historical examples </w:t>
      </w:r>
      <w:r w:rsidR="00F47EB5">
        <w:t>that</w:t>
      </w:r>
      <w:r w:rsidR="00F47EB5" w:rsidRPr="009305C3">
        <w:t xml:space="preserve"> </w:t>
      </w:r>
      <w:r w:rsidRPr="009305C3">
        <w:t>demonstrate the risk of emergency laws becoming normalised.</w:t>
      </w:r>
      <w:r w:rsidRPr="009305C3">
        <w:rPr>
          <w:rStyle w:val="FootnoteReference"/>
        </w:rPr>
        <w:footnoteReference w:id="80"/>
      </w:r>
      <w:r w:rsidRPr="009305C3">
        <w:t xml:space="preserve"> It recommended that, in general: </w:t>
      </w:r>
    </w:p>
    <w:p w14:paraId="27C2B4AE" w14:textId="1500FAEB" w:rsidR="009D2AA1" w:rsidRPr="009305C3" w:rsidRDefault="009D2AA1">
      <w:pPr>
        <w:pStyle w:val="Quote"/>
      </w:pPr>
      <w:r w:rsidRPr="009305C3">
        <w:t xml:space="preserve">… </w:t>
      </w:r>
      <w:r w:rsidRPr="00943D48">
        <w:t xml:space="preserve">there </w:t>
      </w:r>
      <w:r w:rsidRPr="007E0644">
        <w:t>should</w:t>
      </w:r>
      <w:r w:rsidRPr="00943D48">
        <w:t xml:space="preserve"> be renewal of the parliamentary mandate for extraordinary emergency powers at least every three years, in line with the length of the parliamentary term.</w:t>
      </w:r>
      <w:r w:rsidR="00511D02">
        <w:rPr>
          <w:rStyle w:val="FootnoteReference"/>
        </w:rPr>
        <w:footnoteReference w:id="81"/>
      </w:r>
    </w:p>
    <w:p w14:paraId="7D1C6B54" w14:textId="0C022466" w:rsidR="009D2AA1" w:rsidRDefault="009D2AA1" w:rsidP="00FB32D6">
      <w:pPr>
        <w:pStyle w:val="BodyTextnonum"/>
      </w:pPr>
      <w:r>
        <w:t xml:space="preserve">It is not immediately clear what the </w:t>
      </w:r>
      <w:r w:rsidR="00F47EB5">
        <w:t xml:space="preserve">RRC </w:t>
      </w:r>
      <w:r>
        <w:t>envisaged by this recommendation or whether such a review is necessary. I am not aware of any such review ever taking place. The consistent application of the Declaration of Emergency framework currently set out in the Civil Defence Emergenc</w:t>
      </w:r>
      <w:r w:rsidR="00277EE7">
        <w:t>y</w:t>
      </w:r>
      <w:r>
        <w:t xml:space="preserve"> Management Act </w:t>
      </w:r>
      <w:r w:rsidR="00277EE7">
        <w:t xml:space="preserve">2002 </w:t>
      </w:r>
      <w:r>
        <w:t xml:space="preserve">and of other time-limited emergency powers overseen by Parliament should achieve the same goal. </w:t>
      </w:r>
    </w:p>
    <w:p w14:paraId="4BB35DD5" w14:textId="4CE86C66" w:rsidR="009D2AA1" w:rsidRPr="009305C3" w:rsidRDefault="009D2AA1" w:rsidP="00FB32D6">
      <w:pPr>
        <w:pStyle w:val="BodyTextnonum"/>
      </w:pPr>
      <w:r>
        <w:t xml:space="preserve">It is, perhaps, an unarticulated premise of the </w:t>
      </w:r>
      <w:r w:rsidR="00277EE7">
        <w:t xml:space="preserve">RRC </w:t>
      </w:r>
      <w:r>
        <w:t xml:space="preserve">that standing law conferring emergency powers is more dangerous than bespoke law. </w:t>
      </w:r>
      <w:r w:rsidRPr="009305C3">
        <w:t xml:space="preserve">The idea behind bespoke legislation is that it removes the necessity for, and avoids the risks attached to, </w:t>
      </w:r>
      <w:r>
        <w:t xml:space="preserve">the enactment of </w:t>
      </w:r>
      <w:r w:rsidRPr="009305C3">
        <w:t xml:space="preserve">excessively broad powers </w:t>
      </w:r>
      <w:r w:rsidR="00277EE7">
        <w:t>that</w:t>
      </w:r>
      <w:r w:rsidR="00277EE7" w:rsidRPr="009305C3">
        <w:t xml:space="preserve"> </w:t>
      </w:r>
      <w:r w:rsidRPr="001E6604">
        <w:rPr>
          <w:i/>
          <w:iCs/>
        </w:rPr>
        <w:t>remain</w:t>
      </w:r>
      <w:r w:rsidRPr="009305C3">
        <w:t xml:space="preserve"> on the statute book. The </w:t>
      </w:r>
      <w:r w:rsidR="000A20EE">
        <w:t xml:space="preserve">RRC’s </w:t>
      </w:r>
      <w:r w:rsidRPr="009305C3">
        <w:t xml:space="preserve">2016 </w:t>
      </w:r>
      <w:r w:rsidR="000A20EE">
        <w:t>R</w:t>
      </w:r>
      <w:r w:rsidRPr="009305C3">
        <w:t>eport recommended that:</w:t>
      </w:r>
    </w:p>
    <w:p w14:paraId="3B2383A7" w14:textId="2DBAFF3D" w:rsidR="009D2AA1" w:rsidRPr="00F21F36" w:rsidRDefault="009D2AA1">
      <w:pPr>
        <w:pStyle w:val="Quote"/>
        <w:rPr>
          <w:rFonts w:eastAsia="Calibri"/>
        </w:rPr>
      </w:pPr>
      <w:r w:rsidRPr="00943D48">
        <w:rPr>
          <w:rFonts w:eastAsia="Calibri"/>
        </w:rPr>
        <w:t xml:space="preserve">Bespoke emergency powers should be in force only for as long as is reasonably </w:t>
      </w:r>
      <w:proofErr w:type="gramStart"/>
      <w:r w:rsidRPr="00943D48">
        <w:rPr>
          <w:rFonts w:eastAsia="Calibri"/>
        </w:rPr>
        <w:t>necessary, and</w:t>
      </w:r>
      <w:proofErr w:type="gramEnd"/>
      <w:r w:rsidRPr="00943D48">
        <w:rPr>
          <w:rFonts w:eastAsia="Calibri"/>
        </w:rPr>
        <w:t xml:space="preserve"> should have built-in sunset provisions</w:t>
      </w:r>
      <w:r w:rsidR="00277EE7">
        <w:rPr>
          <w:rFonts w:eastAsia="Calibri"/>
        </w:rPr>
        <w:t>.</w:t>
      </w:r>
      <w:r w:rsidRPr="00F21F36">
        <w:rPr>
          <w:rStyle w:val="FootnoteReference"/>
          <w:rFonts w:eastAsia="Calibri"/>
          <w:color w:val="000000" w:themeColor="text1"/>
        </w:rPr>
        <w:footnoteReference w:id="82"/>
      </w:r>
      <w:r w:rsidRPr="00F21F36">
        <w:rPr>
          <w:rFonts w:eastAsia="Calibri"/>
        </w:rPr>
        <w:t xml:space="preserve"> </w:t>
      </w:r>
    </w:p>
    <w:p w14:paraId="7BBE3C41" w14:textId="32384FAA" w:rsidR="009D2AA1" w:rsidRDefault="009D2AA1" w:rsidP="00FB32D6">
      <w:pPr>
        <w:pStyle w:val="BodyTextnonum"/>
      </w:pPr>
      <w:r w:rsidRPr="00F21F36">
        <w:rPr>
          <w:rFonts w:eastAsia="Calibri"/>
          <w:color w:val="000000" w:themeColor="text1"/>
        </w:rPr>
        <w:t xml:space="preserve">This recommendation </w:t>
      </w:r>
      <w:r w:rsidRPr="001E6604">
        <w:rPr>
          <w:rFonts w:eastAsia="Calibri"/>
          <w:i/>
          <w:iCs/>
          <w:color w:val="000000" w:themeColor="text1"/>
        </w:rPr>
        <w:t>has</w:t>
      </w:r>
      <w:r w:rsidRPr="00F21F36">
        <w:rPr>
          <w:rFonts w:eastAsia="Calibri"/>
          <w:color w:val="000000" w:themeColor="text1"/>
        </w:rPr>
        <w:t xml:space="preserve"> been followed in practice.</w:t>
      </w:r>
      <w:r>
        <w:rPr>
          <w:rFonts w:eastAsia="Calibri"/>
          <w:color w:val="000000" w:themeColor="text1"/>
        </w:rPr>
        <w:t xml:space="preserve"> </w:t>
      </w:r>
      <w:r w:rsidRPr="00F21F36">
        <w:t xml:space="preserve">Specific legislation enacted for </w:t>
      </w:r>
      <w:proofErr w:type="gramStart"/>
      <w:r w:rsidRPr="00F21F36">
        <w:t>particular emergencies</w:t>
      </w:r>
      <w:proofErr w:type="gramEnd"/>
      <w:r w:rsidRPr="00F21F36">
        <w:t xml:space="preserve"> has in recent years been time-limited</w:t>
      </w:r>
      <w:r>
        <w:t>,</w:t>
      </w:r>
      <w:r w:rsidR="00DD419F">
        <w:t xml:space="preserve"> </w:t>
      </w:r>
      <w:r>
        <w:t xml:space="preserve">requiring intermittent renewal by the House </w:t>
      </w:r>
      <w:r w:rsidRPr="00F21F36">
        <w:t xml:space="preserve">and set to expire after a </w:t>
      </w:r>
      <w:r>
        <w:t>given</w:t>
      </w:r>
      <w:r w:rsidRPr="00F21F36">
        <w:t xml:space="preserve"> period of time.</w:t>
      </w:r>
    </w:p>
    <w:p w14:paraId="32FD5377" w14:textId="6A5DCAFE" w:rsidR="009D2AA1" w:rsidRPr="001517BC" w:rsidRDefault="009D2AA1" w:rsidP="00FB32D6">
      <w:pPr>
        <w:pStyle w:val="BodyTextnonum"/>
      </w:pPr>
      <w:r>
        <w:t xml:space="preserve">Time-limited states of emergency would, however, achieve a similar effect. Not </w:t>
      </w:r>
      <w:proofErr w:type="gramStart"/>
      <w:r>
        <w:t>all of</w:t>
      </w:r>
      <w:proofErr w:type="gramEnd"/>
      <w:r>
        <w:t xml:space="preserve"> the current legislative frameworks ensure such an end point</w:t>
      </w:r>
      <w:r w:rsidR="00277EE7">
        <w:t>,</w:t>
      </w:r>
      <w:r>
        <w:t xml:space="preserve"> and this may help to explain the current preference for temporary bespoke legislation. The standing regime for emergencies should be designed to be time</w:t>
      </w:r>
      <w:r w:rsidR="0039021E">
        <w:t>-</w:t>
      </w:r>
      <w:r>
        <w:t xml:space="preserve">limited so that emergency powers cease when a state of emergency (and its transition period) ends (discussed further in Part </w:t>
      </w:r>
      <w:r w:rsidR="008E19A9">
        <w:t>Three</w:t>
      </w:r>
      <w:r>
        <w:t xml:space="preserve">). </w:t>
      </w:r>
    </w:p>
    <w:p w14:paraId="7CC9FFD3" w14:textId="77777777" w:rsidR="009D2AA1" w:rsidRPr="00C7530C" w:rsidRDefault="009D2AA1" w:rsidP="00D4092A">
      <w:pPr>
        <w:pStyle w:val="Heading2"/>
        <w:rPr>
          <w:shd w:val="clear" w:color="auto" w:fill="FFFFFF"/>
        </w:rPr>
      </w:pPr>
      <w:bookmarkStart w:id="79" w:name="_Toc116464814"/>
      <w:bookmarkStart w:id="80" w:name="_Toc117063103"/>
      <w:bookmarkStart w:id="81" w:name="_Toc118119295"/>
      <w:bookmarkStart w:id="82" w:name="_Hlk107815045"/>
      <w:r w:rsidRPr="00C7530C">
        <w:rPr>
          <w:shd w:val="clear" w:color="auto" w:fill="FFFFFF"/>
        </w:rPr>
        <w:lastRenderedPageBreak/>
        <w:t>Consideration of emergency legislation</w:t>
      </w:r>
      <w:bookmarkEnd w:id="79"/>
      <w:bookmarkEnd w:id="80"/>
      <w:bookmarkEnd w:id="81"/>
    </w:p>
    <w:bookmarkEnd w:id="82"/>
    <w:p w14:paraId="6C68320B" w14:textId="148AEBC8" w:rsidR="009D2AA1" w:rsidRDefault="009D2AA1" w:rsidP="00FB32D6">
      <w:pPr>
        <w:pStyle w:val="BodyTextnonum"/>
      </w:pPr>
      <w:r w:rsidRPr="00F21F36">
        <w:t xml:space="preserve">The </w:t>
      </w:r>
      <w:r w:rsidR="00FA7F6C">
        <w:t>p</w:t>
      </w:r>
      <w:r w:rsidRPr="00F21F36">
        <w:t xml:space="preserve">arliamentary record on the level of deliberation about and public input into emergency </w:t>
      </w:r>
      <w:r>
        <w:t xml:space="preserve">legislation </w:t>
      </w:r>
      <w:r w:rsidRPr="00F21F36">
        <w:t xml:space="preserve">has been </w:t>
      </w:r>
      <w:r>
        <w:t>much more uneven</w:t>
      </w:r>
      <w:r w:rsidRPr="00F21F36">
        <w:t xml:space="preserve">. </w:t>
      </w:r>
      <w:r>
        <w:t xml:space="preserve">The Epidemic Preparedness Act </w:t>
      </w:r>
      <w:r w:rsidR="00C07E51">
        <w:t xml:space="preserve">2006 </w:t>
      </w:r>
      <w:r>
        <w:t xml:space="preserve">was given much more thorough consideration than any recent bespoke emergency legislation and was passed unanimously. Bespoke emergency legislation, by contrast, has </w:t>
      </w:r>
      <w:r>
        <w:rPr>
          <w:rFonts w:eastAsia="Calibri"/>
        </w:rPr>
        <w:t xml:space="preserve">without exception been passed under urgency and with limited input from the </w:t>
      </w:r>
      <w:proofErr w:type="gramStart"/>
      <w:r>
        <w:rPr>
          <w:rFonts w:eastAsia="Calibri"/>
        </w:rPr>
        <w:t>general public</w:t>
      </w:r>
      <w:proofErr w:type="gramEnd"/>
      <w:r>
        <w:rPr>
          <w:rFonts w:eastAsia="Calibri"/>
        </w:rPr>
        <w:t xml:space="preserve">. </w:t>
      </w:r>
    </w:p>
    <w:p w14:paraId="71AAA9F7" w14:textId="564136CA" w:rsidR="009D2AA1" w:rsidRPr="001E6604" w:rsidRDefault="009D2AA1" w:rsidP="00FB32D6">
      <w:pPr>
        <w:pStyle w:val="BodyTextnonum"/>
        <w:rPr>
          <w:rFonts w:eastAsia="Calibri"/>
        </w:rPr>
      </w:pPr>
      <w:r w:rsidRPr="001D3F45">
        <w:t xml:space="preserve">The </w:t>
      </w:r>
      <w:r w:rsidR="00896F09">
        <w:t xml:space="preserve">RRC’s </w:t>
      </w:r>
      <w:r w:rsidRPr="001D3F45">
        <w:t xml:space="preserve">2016 Report criticised the passing of bespoke emergency legislation under urgency. It recommended </w:t>
      </w:r>
      <w:r w:rsidR="00896F09">
        <w:t>the following</w:t>
      </w:r>
      <w:r w:rsidRPr="001D3F45">
        <w:t>:</w:t>
      </w:r>
    </w:p>
    <w:p w14:paraId="3B47620A" w14:textId="1EDFB728" w:rsidR="009D2AA1" w:rsidRPr="00896F09" w:rsidRDefault="009D2AA1">
      <w:pPr>
        <w:pStyle w:val="BodyTextalphalist"/>
        <w:rPr>
          <w:rFonts w:eastAsia="Calibri"/>
        </w:rPr>
      </w:pPr>
      <w:r w:rsidRPr="00943D48">
        <w:rPr>
          <w:rFonts w:eastAsia="Calibri"/>
        </w:rPr>
        <w:t xml:space="preserve">As much time as possible in the circumstances should be allowed for select committee consideration of emergency </w:t>
      </w:r>
      <w:r w:rsidRPr="00896F09">
        <w:rPr>
          <w:rFonts w:eastAsia="Calibri"/>
        </w:rPr>
        <w:t>legislation</w:t>
      </w:r>
      <w:r w:rsidR="00896F09" w:rsidRPr="00896F09">
        <w:rPr>
          <w:rFonts w:eastAsia="Calibri"/>
        </w:rPr>
        <w:t>.</w:t>
      </w:r>
      <w:r w:rsidRPr="00CC3ADC">
        <w:rPr>
          <w:rStyle w:val="FootnoteReference"/>
          <w:rFonts w:eastAsia="Calibri"/>
        </w:rPr>
        <w:footnoteReference w:id="83"/>
      </w:r>
      <w:r w:rsidRPr="00896F09">
        <w:rPr>
          <w:rFonts w:eastAsia="Calibri"/>
        </w:rPr>
        <w:t xml:space="preserve"> </w:t>
      </w:r>
    </w:p>
    <w:p w14:paraId="3C88F678" w14:textId="2872B27C" w:rsidR="009D2AA1" w:rsidRPr="00896F09" w:rsidRDefault="009D2AA1">
      <w:pPr>
        <w:pStyle w:val="BodyTextalphalist"/>
        <w:rPr>
          <w:rFonts w:eastAsia="Calibri"/>
        </w:rPr>
      </w:pPr>
      <w:r w:rsidRPr="00896F09">
        <w:rPr>
          <w:rFonts w:eastAsia="Calibri"/>
        </w:rPr>
        <w:t>Existing select committees should consider emergency legislation</w:t>
      </w:r>
      <w:r w:rsidR="00896F09">
        <w:rPr>
          <w:rFonts w:eastAsia="Calibri"/>
        </w:rPr>
        <w:t>.</w:t>
      </w:r>
      <w:r w:rsidRPr="00CC3ADC">
        <w:rPr>
          <w:rStyle w:val="FootnoteReference"/>
          <w:rFonts w:eastAsia="Calibri"/>
        </w:rPr>
        <w:footnoteReference w:id="84"/>
      </w:r>
      <w:r w:rsidRPr="00896F09">
        <w:rPr>
          <w:rFonts w:eastAsia="Calibri"/>
        </w:rPr>
        <w:t xml:space="preserve"> </w:t>
      </w:r>
    </w:p>
    <w:p w14:paraId="6D643574" w14:textId="77777777" w:rsidR="009D2AA1" w:rsidRPr="00896F09" w:rsidRDefault="009D2AA1">
      <w:pPr>
        <w:pStyle w:val="BodyTextalphalist"/>
        <w:rPr>
          <w:shd w:val="clear" w:color="auto" w:fill="FFFFFF"/>
        </w:rPr>
      </w:pPr>
      <w:r w:rsidRPr="00896F09">
        <w:rPr>
          <w:rFonts w:eastAsia="Calibri"/>
        </w:rPr>
        <w:t>Emergency legislation should take the form of primary legislation wherever reasonably possible, rather than relying on broad powers to make delegated legislation.</w:t>
      </w:r>
      <w:r w:rsidRPr="00CC3ADC">
        <w:rPr>
          <w:rStyle w:val="FootnoteReference"/>
          <w:rFonts w:eastAsia="Calibri"/>
        </w:rPr>
        <w:footnoteReference w:id="85"/>
      </w:r>
      <w:r w:rsidRPr="00896F09">
        <w:rPr>
          <w:rFonts w:eastAsia="Calibri"/>
        </w:rPr>
        <w:t xml:space="preserve"> </w:t>
      </w:r>
    </w:p>
    <w:p w14:paraId="5FB80D26" w14:textId="6ED6D35A" w:rsidR="009D2AA1" w:rsidRDefault="009D2AA1" w:rsidP="00FB32D6">
      <w:pPr>
        <w:pStyle w:val="BodyTextnonum"/>
      </w:pPr>
      <w:r w:rsidRPr="00F21F36">
        <w:t xml:space="preserve">No </w:t>
      </w:r>
      <w:r>
        <w:t xml:space="preserve">Parliament </w:t>
      </w:r>
      <w:r w:rsidRPr="00F21F36">
        <w:t xml:space="preserve">has fully followed that advice. The Canterbury Earthquake Response and Recovery Act 2010 passed </w:t>
      </w:r>
      <w:proofErr w:type="gramStart"/>
      <w:r w:rsidRPr="00F21F36">
        <w:t>all of</w:t>
      </w:r>
      <w:proofErr w:type="gramEnd"/>
      <w:r w:rsidRPr="00F21F36">
        <w:t xml:space="preserve"> its stages in a single day and was not considered by a select committee at all. The Canterbury Earthquake Recovery Act 2011 was referred to a select committee</w:t>
      </w:r>
      <w:r w:rsidR="005D090E">
        <w:t>,</w:t>
      </w:r>
      <w:r w:rsidRPr="00F21F36">
        <w:t xml:space="preserve"> but that committee was not able to recommend amendments. Selected submitters were given 24 hours to prepare and present submissions</w:t>
      </w:r>
      <w:r w:rsidR="005D090E">
        <w:t>,</w:t>
      </w:r>
      <w:r w:rsidRPr="00F21F36">
        <w:t xml:space="preserve"> and there was no general </w:t>
      </w:r>
      <w:r>
        <w:t xml:space="preserve">call for </w:t>
      </w:r>
      <w:r w:rsidRPr="00F21F36">
        <w:t>public input.</w:t>
      </w:r>
      <w:r>
        <w:t xml:space="preserve"> </w:t>
      </w:r>
      <w:r w:rsidRPr="00F21F36">
        <w:t>The public was effectively only given a day to make submissions on the Hurunui/</w:t>
      </w:r>
      <w:proofErr w:type="spellStart"/>
      <w:r w:rsidRPr="00F21F36">
        <w:t>Kaik</w:t>
      </w:r>
      <w:r w:rsidR="00294AEE">
        <w:t>ō</w:t>
      </w:r>
      <w:r w:rsidRPr="00F21F36">
        <w:t>ura</w:t>
      </w:r>
      <w:proofErr w:type="spellEnd"/>
      <w:r w:rsidRPr="00F21F36">
        <w:t xml:space="preserve"> Earthquake</w:t>
      </w:r>
      <w:r>
        <w:t>s</w:t>
      </w:r>
      <w:r w:rsidRPr="00F21F36">
        <w:t xml:space="preserve"> Recovery Act 2016. The COVID-19 Public Health Response Act </w:t>
      </w:r>
      <w:r>
        <w:t xml:space="preserve">2020 </w:t>
      </w:r>
      <w:r w:rsidRPr="00F21F36">
        <w:t xml:space="preserve">was also passed under urgency despite time between the first </w:t>
      </w:r>
      <w:r>
        <w:t xml:space="preserve">national </w:t>
      </w:r>
      <w:r w:rsidRPr="00F21F36">
        <w:t xml:space="preserve">lockdown and its subsequent enactment. In an unusual </w:t>
      </w:r>
      <w:r>
        <w:t>compromise,</w:t>
      </w:r>
      <w:r w:rsidRPr="00F21F36">
        <w:t xml:space="preserve"> it was subject to limited submissions on an exposure draft</w:t>
      </w:r>
      <w:r w:rsidR="005D090E">
        <w:t>,</w:t>
      </w:r>
      <w:r w:rsidRPr="00F21F36">
        <w:t xml:space="preserve"> but </w:t>
      </w:r>
      <w:r>
        <w:t xml:space="preserve">full </w:t>
      </w:r>
      <w:r w:rsidRPr="00F21F36">
        <w:t xml:space="preserve">select committee consideration was </w:t>
      </w:r>
      <w:r>
        <w:t xml:space="preserve">only </w:t>
      </w:r>
      <w:r w:rsidRPr="00F21F36">
        <w:t xml:space="preserve">given </w:t>
      </w:r>
      <w:r w:rsidRPr="00F21F36">
        <w:rPr>
          <w:i/>
          <w:iCs/>
        </w:rPr>
        <w:t>after</w:t>
      </w:r>
      <w:r w:rsidRPr="00F21F36">
        <w:t xml:space="preserve"> it had been enacted. It was not considered by the Health </w:t>
      </w:r>
      <w:r w:rsidR="00FC4361">
        <w:t>C</w:t>
      </w:r>
      <w:r w:rsidRPr="00F21F36">
        <w:t xml:space="preserve">ommittee </w:t>
      </w:r>
      <w:r>
        <w:t xml:space="preserve">or the Epidemic Response Committee (which had by then been dissolved) </w:t>
      </w:r>
      <w:r w:rsidRPr="00F21F36">
        <w:t>but rather by the Finance and Expenditure Committee</w:t>
      </w:r>
      <w:r w:rsidR="00FC4361">
        <w:t>,</w:t>
      </w:r>
      <w:r>
        <w:t xml:space="preserve"> and even then</w:t>
      </w:r>
      <w:r w:rsidR="00FC4361">
        <w:t>,</w:t>
      </w:r>
      <w:r>
        <w:t xml:space="preserve"> its recommendations were not intended to result in changes to the legislation</w:t>
      </w:r>
      <w:r w:rsidRPr="00F21F36">
        <w:t xml:space="preserve">. </w:t>
      </w:r>
    </w:p>
    <w:p w14:paraId="6E71162C" w14:textId="6B39934F" w:rsidR="009D2AA1" w:rsidRDefault="009D2AA1" w:rsidP="00FB32D6">
      <w:pPr>
        <w:pStyle w:val="BodyTextnonum"/>
      </w:pPr>
      <w:r w:rsidRPr="001D3F45">
        <w:t xml:space="preserve">Given that attitudes to the use of </w:t>
      </w:r>
      <w:r w:rsidR="00452339">
        <w:t>p</w:t>
      </w:r>
      <w:r w:rsidRPr="001D3F45">
        <w:t xml:space="preserve">arliamentary urgency processes are unlikely to change in the foreseeable future, </w:t>
      </w:r>
      <w:r>
        <w:t xml:space="preserve">consideration should be given to augmenting </w:t>
      </w:r>
      <w:r w:rsidRPr="001D3F45">
        <w:t xml:space="preserve">standing rules containing </w:t>
      </w:r>
      <w:r w:rsidRPr="001D3F45">
        <w:rPr>
          <w:i/>
          <w:iCs/>
        </w:rPr>
        <w:t xml:space="preserve">dormant </w:t>
      </w:r>
      <w:r w:rsidRPr="001D3F45">
        <w:t xml:space="preserve">emergency powers for specific kinds of emergencies (to be triggered by a declaration of emergency or </w:t>
      </w:r>
      <w:r>
        <w:t xml:space="preserve">additional triggering event such as an </w:t>
      </w:r>
      <w:r w:rsidRPr="001D3F45">
        <w:t xml:space="preserve">epidemic notice). Standing rules are </w:t>
      </w:r>
      <w:r>
        <w:t xml:space="preserve">much more likely to be </w:t>
      </w:r>
      <w:r w:rsidRPr="001D3F45">
        <w:t xml:space="preserve">enacted following full </w:t>
      </w:r>
      <w:r w:rsidR="00452339">
        <w:t>p</w:t>
      </w:r>
      <w:r w:rsidRPr="001D3F45">
        <w:t xml:space="preserve">arliamentary consideration and public input in advance of emergencies, whereas bespoke legislation typically confers broad powers on the executive without public input. Present arrangements and practices have had the effect of precluding much by way of public </w:t>
      </w:r>
      <w:r w:rsidRPr="001D3F45">
        <w:lastRenderedPageBreak/>
        <w:t xml:space="preserve">input, let alone input by the Crown’s Treaty partner, at both the immediate response and recovery stages. </w:t>
      </w:r>
    </w:p>
    <w:p w14:paraId="72E259C6" w14:textId="18A39876" w:rsidR="009D2AA1" w:rsidRDefault="009D2AA1" w:rsidP="00FB32D6">
      <w:pPr>
        <w:pStyle w:val="BodyTextnonum"/>
      </w:pPr>
      <w:r w:rsidRPr="001D3F45">
        <w:t xml:space="preserve">Enabling </w:t>
      </w:r>
      <w:r>
        <w:t>Māori</w:t>
      </w:r>
      <w:r w:rsidRPr="001D3F45">
        <w:t xml:space="preserve"> to participate</w:t>
      </w:r>
      <w:r w:rsidR="008B0181">
        <w:t xml:space="preserve"> fully</w:t>
      </w:r>
      <w:r w:rsidRPr="001D3F45">
        <w:t xml:space="preserve"> in planning for emergencies, </w:t>
      </w:r>
      <w:r>
        <w:t xml:space="preserve">in </w:t>
      </w:r>
      <w:r w:rsidRPr="001D3F45">
        <w:t xml:space="preserve">coordinating state and iwi </w:t>
      </w:r>
      <w:r>
        <w:t>bodies</w:t>
      </w:r>
      <w:r w:rsidRPr="001D3F45">
        <w:t xml:space="preserve"> </w:t>
      </w:r>
      <w:r>
        <w:t xml:space="preserve">for their respective roles </w:t>
      </w:r>
      <w:r w:rsidRPr="001D3F45">
        <w:t xml:space="preserve">in emergencies and in considering the potential for broad coercive powers </w:t>
      </w:r>
      <w:r>
        <w:t xml:space="preserve">to be applied </w:t>
      </w:r>
      <w:r w:rsidRPr="001D3F45">
        <w:t xml:space="preserve">in ways </w:t>
      </w:r>
      <w:r w:rsidR="008B0181">
        <w:t>that</w:t>
      </w:r>
      <w:r w:rsidR="008B0181" w:rsidRPr="001D3F45">
        <w:t xml:space="preserve"> </w:t>
      </w:r>
      <w:r w:rsidRPr="001D3F45">
        <w:t>are consistent with tikanga</w:t>
      </w:r>
      <w:r>
        <w:t xml:space="preserve"> (for example</w:t>
      </w:r>
      <w:r w:rsidR="008B0181">
        <w:t>,</w:t>
      </w:r>
      <w:r w:rsidRPr="001D3F45">
        <w:t xml:space="preserve"> </w:t>
      </w:r>
      <w:r>
        <w:t xml:space="preserve">legislative </w:t>
      </w:r>
      <w:r w:rsidRPr="001D3F45">
        <w:t>encroachments on activities on the marae</w:t>
      </w:r>
      <w:r>
        <w:t>)</w:t>
      </w:r>
      <w:r w:rsidRPr="001D3F45">
        <w:t xml:space="preserve"> is obviously constitutionally important.</w:t>
      </w:r>
    </w:p>
    <w:p w14:paraId="017995DD" w14:textId="77777777" w:rsidR="009D2AA1" w:rsidRPr="001D3F45" w:rsidRDefault="009D2AA1" w:rsidP="00FB32D6">
      <w:pPr>
        <w:pStyle w:val="BodyTextnonum"/>
      </w:pPr>
      <w:r w:rsidRPr="001D3F45">
        <w:t xml:space="preserve">Present settings also have the effect that there is no opportunity for valuable input from experienced officials and citizens about which powers have proved necessary in the past and of the priorities of people on the ground in different types of </w:t>
      </w:r>
      <w:proofErr w:type="gramStart"/>
      <w:r w:rsidRPr="001D3F45">
        <w:t>emergency</w:t>
      </w:r>
      <w:proofErr w:type="gramEnd"/>
      <w:r w:rsidRPr="001D3F45">
        <w:t xml:space="preserve">. </w:t>
      </w:r>
    </w:p>
    <w:p w14:paraId="5F0F6BB8" w14:textId="65B30EDD" w:rsidR="009D2AA1" w:rsidRPr="001D3F45" w:rsidRDefault="009D2AA1" w:rsidP="00FB32D6">
      <w:pPr>
        <w:pStyle w:val="BodyTextnonum"/>
      </w:pPr>
      <w:r w:rsidRPr="001D3F45">
        <w:t xml:space="preserve">Of course, it will not be possible to legislate for everything in advance of an emergency. Bespoke legislation is still likely to be needed. </w:t>
      </w:r>
      <w:r>
        <w:t>When bespoke legislation is considered necessary, a</w:t>
      </w:r>
      <w:r w:rsidRPr="001D3F45">
        <w:t xml:space="preserve">s much as possible should be included in primary legislation, properly considered, including where possible the controversial provisions </w:t>
      </w:r>
      <w:r w:rsidR="008B0181">
        <w:t>that</w:t>
      </w:r>
      <w:r w:rsidR="008B0181" w:rsidRPr="001D3F45">
        <w:t xml:space="preserve"> </w:t>
      </w:r>
      <w:r>
        <w:t xml:space="preserve">most </w:t>
      </w:r>
      <w:r w:rsidRPr="001D3F45">
        <w:t>significantly impact on people’s lives. During the C</w:t>
      </w:r>
      <w:r w:rsidR="0061070F">
        <w:t>OVID</w:t>
      </w:r>
      <w:r w:rsidRPr="001D3F45">
        <w:t xml:space="preserve">-19 pandemic, for example, Cooke J recommended that the adoption of vaccine mandates </w:t>
      </w:r>
      <w:r>
        <w:t xml:space="preserve">for domestic use </w:t>
      </w:r>
      <w:r w:rsidRPr="001D3F45">
        <w:t xml:space="preserve">was a </w:t>
      </w:r>
      <w:r>
        <w:t xml:space="preserve">proper </w:t>
      </w:r>
      <w:r w:rsidRPr="001D3F45">
        <w:t>matter for primary rather than secondary legislation</w:t>
      </w:r>
      <w:r>
        <w:t>.</w:t>
      </w:r>
      <w:r w:rsidRPr="001D3F45">
        <w:rPr>
          <w:rStyle w:val="FootnoteReference"/>
        </w:rPr>
        <w:footnoteReference w:id="86"/>
      </w:r>
      <w:r>
        <w:t xml:space="preserve"> Given that the desirability of a vaccine mandate is so contingent on the nature of a particular disease and the availability of an effective and safe vaccine, this is the kind of matter that needs to be addressed</w:t>
      </w:r>
      <w:r w:rsidR="007913F5">
        <w:t>, if at all,</w:t>
      </w:r>
      <w:r>
        <w:t xml:space="preserve"> in bespoke legislation. </w:t>
      </w:r>
    </w:p>
    <w:p w14:paraId="70F01823" w14:textId="77777777" w:rsidR="009D2AA1" w:rsidRPr="00F21F36" w:rsidRDefault="009D2AA1" w:rsidP="00056D6C">
      <w:pPr>
        <w:pStyle w:val="Heading2"/>
        <w:rPr>
          <w:shd w:val="clear" w:color="auto" w:fill="FFFFFF"/>
        </w:rPr>
      </w:pPr>
      <w:bookmarkStart w:id="83" w:name="_Toc116464815"/>
      <w:bookmarkStart w:id="84" w:name="_Toc117063104"/>
      <w:bookmarkStart w:id="85" w:name="_Toc118119296"/>
      <w:bookmarkStart w:id="86" w:name="_Hlk107815075"/>
      <w:r w:rsidRPr="00F21F36">
        <w:rPr>
          <w:shd w:val="clear" w:color="auto" w:fill="FFFFFF"/>
        </w:rPr>
        <w:t xml:space="preserve">Powers to </w:t>
      </w:r>
      <w:r w:rsidRPr="00056D6C">
        <w:t>make</w:t>
      </w:r>
      <w:r w:rsidRPr="00F21F36">
        <w:rPr>
          <w:shd w:val="clear" w:color="auto" w:fill="FFFFFF"/>
        </w:rPr>
        <w:t xml:space="preserve"> orders in emergency legislation</w:t>
      </w:r>
      <w:bookmarkEnd w:id="83"/>
      <w:bookmarkEnd w:id="84"/>
      <w:bookmarkEnd w:id="85"/>
    </w:p>
    <w:bookmarkEnd w:id="86"/>
    <w:p w14:paraId="45DAF93D" w14:textId="23C62F81" w:rsidR="009D2AA1" w:rsidRPr="00F21F36" w:rsidRDefault="009D2AA1" w:rsidP="00FB32D6">
      <w:pPr>
        <w:pStyle w:val="BodyTextnonum"/>
      </w:pPr>
      <w:r w:rsidRPr="00F21F36">
        <w:t xml:space="preserve">Orders made under delegated power conferred </w:t>
      </w:r>
      <w:r>
        <w:t xml:space="preserve">on the executive </w:t>
      </w:r>
      <w:r w:rsidRPr="00F21F36">
        <w:t xml:space="preserve">in emergency legislation should have the status of secondary legislation and </w:t>
      </w:r>
      <w:r>
        <w:t xml:space="preserve">as a minimum should </w:t>
      </w:r>
      <w:r w:rsidRPr="00F21F36">
        <w:t xml:space="preserve">be subject to the same requirements and </w:t>
      </w:r>
      <w:r>
        <w:t xml:space="preserve">scrutiny </w:t>
      </w:r>
      <w:r w:rsidRPr="00F21F36">
        <w:t>as secondary legislation more generally (such as publication requirements and the availability of regulatory disallowance procedures)</w:t>
      </w:r>
      <w:r>
        <w:t>.</w:t>
      </w:r>
      <w:r w:rsidRPr="00F21F36">
        <w:rPr>
          <w:rStyle w:val="FootnoteReference"/>
          <w:color w:val="202124"/>
        </w:rPr>
        <w:footnoteReference w:id="87"/>
      </w:r>
      <w:r w:rsidRPr="00F21F36">
        <w:t xml:space="preserve"> </w:t>
      </w:r>
      <w:r>
        <w:t>A</w:t>
      </w:r>
      <w:r w:rsidRPr="00F21F36">
        <w:t>t times</w:t>
      </w:r>
      <w:r w:rsidR="00B83581">
        <w:t>,</w:t>
      </w:r>
      <w:r w:rsidRPr="00F21F36">
        <w:t xml:space="preserve"> such orders may have to take effect before publication. </w:t>
      </w:r>
      <w:r>
        <w:t>Secondary legislation</w:t>
      </w:r>
      <w:r w:rsidRPr="00F21F36">
        <w:t xml:space="preserve"> should</w:t>
      </w:r>
      <w:r>
        <w:t>,</w:t>
      </w:r>
      <w:r w:rsidRPr="00F21F36">
        <w:t xml:space="preserve"> without exception</w:t>
      </w:r>
      <w:r>
        <w:t>,</w:t>
      </w:r>
      <w:r w:rsidRPr="00F21F36">
        <w:t xml:space="preserve"> be subject to challenge by judicial review. </w:t>
      </w:r>
    </w:p>
    <w:p w14:paraId="01ED7CBE" w14:textId="303A7EC5" w:rsidR="009D2AA1" w:rsidRDefault="009D2AA1" w:rsidP="00FB32D6">
      <w:pPr>
        <w:pStyle w:val="BodyTextnonum"/>
      </w:pPr>
      <w:r w:rsidRPr="00F21F36">
        <w:t xml:space="preserve">The </w:t>
      </w:r>
      <w:r w:rsidR="000A20EE">
        <w:t xml:space="preserve">RRC’s </w:t>
      </w:r>
      <w:r w:rsidR="00B83581">
        <w:t>2020</w:t>
      </w:r>
      <w:r w:rsidR="00B83581" w:rsidRPr="00F21F36">
        <w:t xml:space="preserve"> </w:t>
      </w:r>
      <w:r w:rsidRPr="00F21F36">
        <w:t>Report recommended that:</w:t>
      </w:r>
    </w:p>
    <w:p w14:paraId="7068E624" w14:textId="01DFFC44" w:rsidR="009D2AA1" w:rsidRPr="00943D48" w:rsidRDefault="009D2AA1">
      <w:pPr>
        <w:pStyle w:val="Quote"/>
        <w:rPr>
          <w:rFonts w:eastAsia="Calibri"/>
        </w:rPr>
      </w:pPr>
      <w:r w:rsidRPr="00943D48">
        <w:rPr>
          <w:rFonts w:eastAsia="Calibri"/>
        </w:rPr>
        <w:t xml:space="preserve">the </w:t>
      </w:r>
      <w:r w:rsidRPr="00056D6C">
        <w:rPr>
          <w:rFonts w:eastAsia="Calibri"/>
        </w:rPr>
        <w:t>Government</w:t>
      </w:r>
      <w:r w:rsidRPr="00943D48">
        <w:rPr>
          <w:rFonts w:eastAsia="Calibri"/>
        </w:rPr>
        <w:t xml:space="preserve"> should make greater use of Standing Order 318(2) to refer draft secondary legislation to the Regulations Review Committee for consideration.</w:t>
      </w:r>
      <w:r w:rsidR="0055345A">
        <w:rPr>
          <w:rStyle w:val="FootnoteReference"/>
          <w:rFonts w:eastAsia="Calibri"/>
        </w:rPr>
        <w:footnoteReference w:id="88"/>
      </w:r>
    </w:p>
    <w:p w14:paraId="7545F87F" w14:textId="1B4FBCAC" w:rsidR="009D2AA1" w:rsidRDefault="009D2AA1" w:rsidP="00FB32D6">
      <w:pPr>
        <w:pStyle w:val="BodyTextnonum"/>
      </w:pPr>
      <w:r w:rsidRPr="0081665F">
        <w:rPr>
          <w:rFonts w:eastAsia="Calibri"/>
        </w:rPr>
        <w:t>The operation of referrals under its own rules is</w:t>
      </w:r>
      <w:r>
        <w:rPr>
          <w:rFonts w:eastAsia="Calibri"/>
        </w:rPr>
        <w:t xml:space="preserve"> usually </w:t>
      </w:r>
      <w:r w:rsidRPr="0081665F">
        <w:rPr>
          <w:rFonts w:eastAsia="Calibri"/>
        </w:rPr>
        <w:t>for the House to decide. The Hurunui</w:t>
      </w:r>
      <w:r w:rsidR="002C17E6">
        <w:rPr>
          <w:rFonts w:eastAsia="Calibri"/>
        </w:rPr>
        <w:t>/</w:t>
      </w:r>
      <w:proofErr w:type="spellStart"/>
      <w:r w:rsidRPr="0081665F">
        <w:rPr>
          <w:rFonts w:eastAsia="Calibri"/>
        </w:rPr>
        <w:t>Kaik</w:t>
      </w:r>
      <w:r w:rsidR="002C17E6">
        <w:rPr>
          <w:rFonts w:eastAsia="Calibri"/>
        </w:rPr>
        <w:t>ō</w:t>
      </w:r>
      <w:r w:rsidRPr="0081665F">
        <w:rPr>
          <w:rFonts w:eastAsia="Calibri"/>
        </w:rPr>
        <w:t>ura</w:t>
      </w:r>
      <w:proofErr w:type="spellEnd"/>
      <w:r w:rsidRPr="0081665F">
        <w:rPr>
          <w:rFonts w:eastAsia="Calibri"/>
        </w:rPr>
        <w:t xml:space="preserve"> earthquake</w:t>
      </w:r>
      <w:r>
        <w:rPr>
          <w:rFonts w:eastAsia="Calibri"/>
        </w:rPr>
        <w:t>s</w:t>
      </w:r>
      <w:r w:rsidRPr="0081665F">
        <w:rPr>
          <w:rFonts w:eastAsia="Calibri"/>
        </w:rPr>
        <w:t xml:space="preserve"> legislation went further to </w:t>
      </w:r>
      <w:r w:rsidRPr="00943D48">
        <w:rPr>
          <w:rFonts w:eastAsia="Calibri"/>
          <w:i/>
          <w:iCs/>
        </w:rPr>
        <w:t xml:space="preserve">require </w:t>
      </w:r>
      <w:r w:rsidRPr="0081665F">
        <w:rPr>
          <w:rFonts w:eastAsia="Calibri"/>
        </w:rPr>
        <w:t xml:space="preserve">the Minister to engage with the </w:t>
      </w:r>
      <w:r w:rsidR="006B7FC3">
        <w:rPr>
          <w:rFonts w:eastAsia="Calibri"/>
        </w:rPr>
        <w:t>RRC</w:t>
      </w:r>
      <w:r w:rsidRPr="0081665F">
        <w:rPr>
          <w:rFonts w:eastAsia="Calibri"/>
        </w:rPr>
        <w:t xml:space="preserve"> on the content of draft orders.</w:t>
      </w:r>
      <w:r w:rsidRPr="0081665F">
        <w:rPr>
          <w:rStyle w:val="FootnoteReference"/>
          <w:rFonts w:eastAsia="Calibri"/>
        </w:rPr>
        <w:footnoteReference w:id="89"/>
      </w:r>
      <w:r w:rsidRPr="0081665F">
        <w:rPr>
          <w:rFonts w:eastAsia="Calibri"/>
        </w:rPr>
        <w:t xml:space="preserve"> </w:t>
      </w:r>
      <w:r>
        <w:rPr>
          <w:rFonts w:eastAsia="Calibri"/>
        </w:rPr>
        <w:t>That provision, however, has not yet become the norm in emergency legislation. T</w:t>
      </w:r>
      <w:r w:rsidRPr="00F21F36">
        <w:t>he C</w:t>
      </w:r>
      <w:r w:rsidR="00AB2337">
        <w:t>OVID</w:t>
      </w:r>
      <w:r w:rsidRPr="00F21F36">
        <w:t xml:space="preserve">-19 </w:t>
      </w:r>
      <w:r w:rsidR="00E62952" w:rsidRPr="00E62952">
        <w:t xml:space="preserve">Public Health Response </w:t>
      </w:r>
      <w:r w:rsidRPr="00F21F36">
        <w:t>Act</w:t>
      </w:r>
      <w:r>
        <w:t>, for example,</w:t>
      </w:r>
      <w:r w:rsidRPr="00F21F36">
        <w:t xml:space="preserve"> does not provide for C</w:t>
      </w:r>
      <w:r w:rsidR="0061070F">
        <w:t>OVID</w:t>
      </w:r>
      <w:r w:rsidRPr="00F21F36">
        <w:t xml:space="preserve">-19 </w:t>
      </w:r>
      <w:r w:rsidR="000A5318">
        <w:t>o</w:t>
      </w:r>
      <w:r w:rsidRPr="00F21F36">
        <w:t>rders to be scrutini</w:t>
      </w:r>
      <w:r>
        <w:t>s</w:t>
      </w:r>
      <w:r w:rsidRPr="00F21F36">
        <w:t xml:space="preserve">ed before they are </w:t>
      </w:r>
      <w:r w:rsidRPr="00F21F36">
        <w:lastRenderedPageBreak/>
        <w:t>made</w:t>
      </w:r>
      <w:r>
        <w:t xml:space="preserve">. The Minister has </w:t>
      </w:r>
      <w:r w:rsidRPr="00F21F36">
        <w:t>made no use of the provision in the Standing Orders</w:t>
      </w:r>
      <w:r w:rsidRPr="00F21F36">
        <w:rPr>
          <w:rStyle w:val="FootnoteReference"/>
        </w:rPr>
        <w:footnoteReference w:id="90"/>
      </w:r>
      <w:r w:rsidRPr="00F21F36">
        <w:t xml:space="preserve"> to refer draft C</w:t>
      </w:r>
      <w:r w:rsidR="0061070F">
        <w:t>OVID</w:t>
      </w:r>
      <w:r w:rsidRPr="00F21F36">
        <w:t xml:space="preserve">-19 </w:t>
      </w:r>
      <w:r w:rsidR="000A5318">
        <w:t>o</w:t>
      </w:r>
      <w:r w:rsidRPr="00F21F36">
        <w:t xml:space="preserve">rders to the </w:t>
      </w:r>
      <w:r w:rsidR="00613CE6">
        <w:t xml:space="preserve">RRC </w:t>
      </w:r>
      <w:r>
        <w:t>either</w:t>
      </w:r>
      <w:r w:rsidRPr="00F21F36">
        <w:t>.</w:t>
      </w:r>
      <w:r>
        <w:t xml:space="preserve"> </w:t>
      </w:r>
    </w:p>
    <w:p w14:paraId="78794EEF" w14:textId="6D53F90D" w:rsidR="009D2AA1" w:rsidRPr="00F21F36" w:rsidRDefault="009D2AA1" w:rsidP="00FB32D6">
      <w:pPr>
        <w:pStyle w:val="BodyTextnonum"/>
      </w:pPr>
      <w:r w:rsidRPr="00F21F36">
        <w:t xml:space="preserve">The </w:t>
      </w:r>
      <w:r>
        <w:t>RRC</w:t>
      </w:r>
      <w:r w:rsidR="004B1227">
        <w:t>’s 2020 Report</w:t>
      </w:r>
      <w:r>
        <w:t xml:space="preserve"> sought to reassure Ministers that</w:t>
      </w:r>
      <w:r w:rsidRPr="00F21F36">
        <w:t xml:space="preserve">: </w:t>
      </w:r>
    </w:p>
    <w:p w14:paraId="10C3FED1" w14:textId="08027774" w:rsidR="009D2AA1" w:rsidRPr="00943D48" w:rsidRDefault="009D2AA1">
      <w:pPr>
        <w:pStyle w:val="Quote"/>
      </w:pPr>
      <w:r w:rsidRPr="00943D48">
        <w:t>We understand that some instruments were made under tight timeframes. However, we can consider instruments promptly and provide feedback that may assist departments to avoid later problems.</w:t>
      </w:r>
      <w:r w:rsidR="00481F32" w:rsidRPr="00F21F36">
        <w:rPr>
          <w:rStyle w:val="FootnoteReference"/>
        </w:rPr>
        <w:footnoteReference w:id="91"/>
      </w:r>
    </w:p>
    <w:p w14:paraId="60D624E0" w14:textId="780A0366" w:rsidR="009D2AA1" w:rsidRPr="003E0F9A" w:rsidRDefault="009D2AA1" w:rsidP="00FB32D6">
      <w:pPr>
        <w:pStyle w:val="BodyTextnonum"/>
        <w:rPr>
          <w:rFonts w:eastAsia="Calibri"/>
        </w:rPr>
      </w:pPr>
      <w:r w:rsidRPr="001D3F45">
        <w:t>Given that there will often be genuine urgency in promulgating regulations in an emergency, consideration has been given to other ways to improve the quality of orders. The RRC</w:t>
      </w:r>
      <w:r w:rsidR="000A20EE">
        <w:t>’s</w:t>
      </w:r>
      <w:r w:rsidRPr="001D3F45">
        <w:t xml:space="preserve"> 2020 Report recommended that </w:t>
      </w:r>
      <w:r w:rsidRPr="003E0F9A">
        <w:rPr>
          <w:rFonts w:eastAsia="Calibri"/>
        </w:rPr>
        <w:t xml:space="preserve">all departments with responsibility for secondary legislation should involve experts in legislative drafting when writing secondary legislation. This </w:t>
      </w:r>
      <w:r>
        <w:rPr>
          <w:rFonts w:eastAsia="Calibri"/>
        </w:rPr>
        <w:t xml:space="preserve">recommendation </w:t>
      </w:r>
      <w:r w:rsidRPr="003E0F9A">
        <w:rPr>
          <w:rFonts w:eastAsia="Calibri"/>
        </w:rPr>
        <w:t xml:space="preserve">is likely to bring real improvements given that Parliamentary Counsel have deep knowledge about the general law and the constitutional principles underpinning legislation. </w:t>
      </w:r>
    </w:p>
    <w:p w14:paraId="5B53951C" w14:textId="7C0EEFFD" w:rsidR="009D2AA1" w:rsidRDefault="009D2AA1" w:rsidP="00FB32D6">
      <w:pPr>
        <w:pStyle w:val="BodyTextnonum"/>
      </w:pPr>
      <w:r w:rsidRPr="001D3F45">
        <w:t xml:space="preserve">Most important and controlling are the statutory statements of the principles </w:t>
      </w:r>
      <w:r w:rsidR="00C13DD5">
        <w:t>that</w:t>
      </w:r>
      <w:r w:rsidR="00C13DD5" w:rsidRPr="001D3F45">
        <w:t xml:space="preserve"> </w:t>
      </w:r>
      <w:r w:rsidRPr="001D3F45">
        <w:t xml:space="preserve">govern the making of regulations and </w:t>
      </w:r>
      <w:r>
        <w:t xml:space="preserve">set out the </w:t>
      </w:r>
      <w:r w:rsidRPr="001D3F45">
        <w:t xml:space="preserve">purposes for which regulations are made. Some principles such as those contained in international standards, </w:t>
      </w:r>
      <w:proofErr w:type="spellStart"/>
      <w:r w:rsidR="00A32F9F">
        <w:t>te</w:t>
      </w:r>
      <w:proofErr w:type="spellEnd"/>
      <w:r w:rsidR="00A32F9F">
        <w:t xml:space="preserve"> </w:t>
      </w:r>
      <w:proofErr w:type="spellStart"/>
      <w:r w:rsidR="00A32F9F">
        <w:t>Tiriti</w:t>
      </w:r>
      <w:proofErr w:type="spellEnd"/>
      <w:r w:rsidR="00A32F9F">
        <w:t xml:space="preserve"> o Waitangi</w:t>
      </w:r>
      <w:r w:rsidRPr="001D3F45">
        <w:t>, aspects of tikanga and the N</w:t>
      </w:r>
      <w:r w:rsidR="002E7709">
        <w:t xml:space="preserve">ew </w:t>
      </w:r>
      <w:r w:rsidRPr="001D3F45">
        <w:t>Z</w:t>
      </w:r>
      <w:r w:rsidR="002E7709">
        <w:t>ealand</w:t>
      </w:r>
      <w:r w:rsidRPr="001D3F45">
        <w:t xml:space="preserve"> Bill of Rights Act </w:t>
      </w:r>
      <w:r w:rsidR="002E7709">
        <w:t xml:space="preserve">1990 </w:t>
      </w:r>
      <w:r w:rsidRPr="001D3F45">
        <w:t xml:space="preserve">operate as a matter of law </w:t>
      </w:r>
      <w:proofErr w:type="gramStart"/>
      <w:r w:rsidRPr="001D3F45">
        <w:t>whether or not</w:t>
      </w:r>
      <w:proofErr w:type="gramEnd"/>
      <w:r w:rsidRPr="001D3F45">
        <w:t xml:space="preserve"> they are </w:t>
      </w:r>
      <w:r>
        <w:t>expressly referred to</w:t>
      </w:r>
      <w:r w:rsidRPr="001D3F45">
        <w:t xml:space="preserve"> in the primary legislation. Even so, it may </w:t>
      </w:r>
      <w:r>
        <w:t xml:space="preserve">sometimes </w:t>
      </w:r>
      <w:r w:rsidRPr="001D3F45">
        <w:t>be helpful to restate these in the statute itself to remind decision</w:t>
      </w:r>
      <w:r w:rsidR="005D76D2">
        <w:t xml:space="preserve"> </w:t>
      </w:r>
      <w:r w:rsidRPr="001D3F45">
        <w:t xml:space="preserve">makers of the factors they need to </w:t>
      </w:r>
      <w:proofErr w:type="gramStart"/>
      <w:r w:rsidRPr="001D3F45">
        <w:t>take into account</w:t>
      </w:r>
      <w:proofErr w:type="gramEnd"/>
      <w:r w:rsidRPr="001D3F45">
        <w:t>.</w:t>
      </w:r>
    </w:p>
    <w:p w14:paraId="0CD2BBD3" w14:textId="6419BDEF" w:rsidR="009D2AA1" w:rsidRDefault="009D2AA1" w:rsidP="00FB32D6">
      <w:pPr>
        <w:pStyle w:val="BodyTextnonum"/>
      </w:pPr>
      <w:r w:rsidRPr="001D3F45">
        <w:t xml:space="preserve">Precautionary principles and </w:t>
      </w:r>
      <w:r w:rsidRPr="001E6604">
        <w:rPr>
          <w:i/>
          <w:iCs/>
        </w:rPr>
        <w:t>general</w:t>
      </w:r>
      <w:r w:rsidRPr="001D3F45">
        <w:t xml:space="preserve"> principles of proportionality </w:t>
      </w:r>
      <w:r>
        <w:t xml:space="preserve">(as opposed to the proportionality test incorporated in s 5 of the </w:t>
      </w:r>
      <w:r w:rsidR="009D20E6" w:rsidRPr="001F497A">
        <w:t>N</w:t>
      </w:r>
      <w:r w:rsidR="009D20E6">
        <w:t xml:space="preserve">ew </w:t>
      </w:r>
      <w:r w:rsidR="009D20E6" w:rsidRPr="001F497A">
        <w:t>Z</w:t>
      </w:r>
      <w:r w:rsidR="009D20E6">
        <w:t>ealand</w:t>
      </w:r>
      <w:r w:rsidR="009D20E6" w:rsidRPr="001F497A">
        <w:t xml:space="preserve"> Bill of Rights Act</w:t>
      </w:r>
      <w:r>
        <w:t xml:space="preserve">) may </w:t>
      </w:r>
      <w:r w:rsidRPr="001D3F45">
        <w:t xml:space="preserve">need to be stated expressly </w:t>
      </w:r>
      <w:proofErr w:type="gramStart"/>
      <w:r w:rsidRPr="001D3F45">
        <w:t>in order to</w:t>
      </w:r>
      <w:proofErr w:type="gramEnd"/>
      <w:r w:rsidRPr="001D3F45">
        <w:t xml:space="preserve"> be taken into account. Their applicability may depend on the type of emergency or threat. If a general proportionality test is included</w:t>
      </w:r>
      <w:r w:rsidR="00C13DD5">
        <w:t>,</w:t>
      </w:r>
      <w:r w:rsidRPr="001D3F45">
        <w:t xml:space="preserve"> it should state clearly which matters are to be weighed. </w:t>
      </w:r>
    </w:p>
    <w:p w14:paraId="3B0627B3" w14:textId="64C1721E" w:rsidR="009D2AA1" w:rsidRDefault="009D2AA1" w:rsidP="00FB32D6">
      <w:pPr>
        <w:pStyle w:val="BodyTextnonum"/>
        <w:rPr>
          <w:color w:val="202124"/>
        </w:rPr>
      </w:pPr>
      <w:r>
        <w:rPr>
          <w:rFonts w:eastAsia="Calibri"/>
        </w:rPr>
        <w:t>There are additional ways to focus decision</w:t>
      </w:r>
      <w:r w:rsidR="005D76D2">
        <w:rPr>
          <w:rFonts w:eastAsia="Calibri"/>
        </w:rPr>
        <w:t xml:space="preserve"> </w:t>
      </w:r>
      <w:r>
        <w:rPr>
          <w:rFonts w:eastAsia="Calibri"/>
        </w:rPr>
        <w:t xml:space="preserve">makers’ minds on general principles. </w:t>
      </w:r>
      <w:r w:rsidRPr="00F21F36">
        <w:rPr>
          <w:rFonts w:eastAsia="Calibri"/>
        </w:rPr>
        <w:t xml:space="preserve">In </w:t>
      </w:r>
      <w:r>
        <w:rPr>
          <w:rFonts w:eastAsia="Calibri"/>
        </w:rPr>
        <w:t xml:space="preserve">the Part </w:t>
      </w:r>
      <w:r w:rsidR="00C13DD5">
        <w:rPr>
          <w:rFonts w:eastAsia="Calibri"/>
        </w:rPr>
        <w:t xml:space="preserve">Three, </w:t>
      </w:r>
      <w:r w:rsidRPr="00F21F36">
        <w:rPr>
          <w:rFonts w:eastAsia="Calibri"/>
        </w:rPr>
        <w:t xml:space="preserve">I recommend that </w:t>
      </w:r>
      <w:r w:rsidR="00686C9A">
        <w:t>Aotearoa</w:t>
      </w:r>
      <w:r w:rsidR="00686C9A" w:rsidRPr="00F21F36">
        <w:rPr>
          <w:rFonts w:eastAsia="Calibri"/>
        </w:rPr>
        <w:t xml:space="preserve"> </w:t>
      </w:r>
      <w:r w:rsidRPr="00F21F36">
        <w:rPr>
          <w:rFonts w:eastAsia="Calibri"/>
        </w:rPr>
        <w:t>New Zealand should consider whether to adopt and adapt the requirement enacted in the Victorian</w:t>
      </w:r>
      <w:r w:rsidRPr="005F524A">
        <w:rPr>
          <w:color w:val="202124"/>
        </w:rPr>
        <w:t xml:space="preserve"> </w:t>
      </w:r>
      <w:r>
        <w:rPr>
          <w:color w:val="202124"/>
        </w:rPr>
        <w:t xml:space="preserve">Public Health and Wellbeing </w:t>
      </w:r>
      <w:r w:rsidR="00C13DD5">
        <w:rPr>
          <w:color w:val="202124"/>
        </w:rPr>
        <w:t xml:space="preserve">Amendment </w:t>
      </w:r>
      <w:r>
        <w:rPr>
          <w:color w:val="202124"/>
        </w:rPr>
        <w:t xml:space="preserve">(Pandemic Management) Act 2021 </w:t>
      </w:r>
      <w:r w:rsidRPr="001C7261">
        <w:rPr>
          <w:color w:val="202124"/>
        </w:rPr>
        <w:t xml:space="preserve">that government publish a justification of why an order is necessary, its effect on protected rights (in </w:t>
      </w:r>
      <w:r w:rsidR="00686C9A">
        <w:t>Aotearoa</w:t>
      </w:r>
      <w:r w:rsidR="00686C9A" w:rsidRPr="001C7261">
        <w:rPr>
          <w:color w:val="202124"/>
        </w:rPr>
        <w:t xml:space="preserve"> </w:t>
      </w:r>
      <w:r w:rsidRPr="001C7261">
        <w:rPr>
          <w:color w:val="202124"/>
        </w:rPr>
        <w:t>New Zealand</w:t>
      </w:r>
      <w:r w:rsidR="00C13DD5">
        <w:rPr>
          <w:color w:val="202124"/>
        </w:rPr>
        <w:t>,</w:t>
      </w:r>
      <w:r w:rsidRPr="001C7261">
        <w:rPr>
          <w:color w:val="202124"/>
        </w:rPr>
        <w:t xml:space="preserve"> rights protected under the N</w:t>
      </w:r>
      <w:r w:rsidR="002E7709">
        <w:rPr>
          <w:color w:val="202124"/>
        </w:rPr>
        <w:t xml:space="preserve">ew </w:t>
      </w:r>
      <w:r w:rsidRPr="001C7261">
        <w:rPr>
          <w:color w:val="202124"/>
        </w:rPr>
        <w:t>Z</w:t>
      </w:r>
      <w:r w:rsidR="002E7709">
        <w:rPr>
          <w:color w:val="202124"/>
        </w:rPr>
        <w:t>ealand</w:t>
      </w:r>
      <w:r w:rsidRPr="001C7261">
        <w:rPr>
          <w:color w:val="202124"/>
        </w:rPr>
        <w:t xml:space="preserve"> Bill of Rights Act) and to disclose the advice on which the Minister relied within 7 days of its making. In the </w:t>
      </w:r>
      <w:r w:rsidR="00686C9A">
        <w:t>Aotearoa</w:t>
      </w:r>
      <w:r w:rsidR="00686C9A" w:rsidRPr="001C7261">
        <w:rPr>
          <w:color w:val="202124"/>
        </w:rPr>
        <w:t xml:space="preserve"> </w:t>
      </w:r>
      <w:r w:rsidRPr="001C7261">
        <w:rPr>
          <w:color w:val="202124"/>
        </w:rPr>
        <w:t>New Zealand context</w:t>
      </w:r>
      <w:r w:rsidR="00C13DD5">
        <w:rPr>
          <w:color w:val="202124"/>
        </w:rPr>
        <w:t>,</w:t>
      </w:r>
      <w:r w:rsidRPr="001C7261">
        <w:rPr>
          <w:color w:val="202124"/>
        </w:rPr>
        <w:t xml:space="preserve"> such a device could also be used to ensure that obligations under </w:t>
      </w:r>
      <w:proofErr w:type="spellStart"/>
      <w:r w:rsidR="00FC060D">
        <w:rPr>
          <w:color w:val="202124"/>
        </w:rPr>
        <w:t>t</w:t>
      </w:r>
      <w:r w:rsidRPr="001C7261">
        <w:rPr>
          <w:color w:val="202124"/>
        </w:rPr>
        <w:t>e</w:t>
      </w:r>
      <w:proofErr w:type="spellEnd"/>
      <w:r w:rsidRPr="001C7261">
        <w:rPr>
          <w:color w:val="202124"/>
        </w:rPr>
        <w:t xml:space="preserve"> </w:t>
      </w:r>
      <w:proofErr w:type="spellStart"/>
      <w:r w:rsidRPr="001C7261">
        <w:rPr>
          <w:color w:val="202124"/>
        </w:rPr>
        <w:t>Tiriti</w:t>
      </w:r>
      <w:proofErr w:type="spellEnd"/>
      <w:r w:rsidRPr="001C7261">
        <w:rPr>
          <w:color w:val="202124"/>
        </w:rPr>
        <w:t xml:space="preserve"> were ascertained and considered. This would go beyond what has previously been provided for in </w:t>
      </w:r>
      <w:r w:rsidR="00506796">
        <w:rPr>
          <w:color w:val="202124"/>
        </w:rPr>
        <w:t xml:space="preserve">Aotearoa </w:t>
      </w:r>
      <w:r w:rsidRPr="001C7261">
        <w:rPr>
          <w:color w:val="202124"/>
        </w:rPr>
        <w:t>N</w:t>
      </w:r>
      <w:r w:rsidR="00506796">
        <w:rPr>
          <w:color w:val="202124"/>
        </w:rPr>
        <w:t xml:space="preserve">ew </w:t>
      </w:r>
      <w:r w:rsidRPr="001C7261">
        <w:rPr>
          <w:color w:val="202124"/>
        </w:rPr>
        <w:t>Z</w:t>
      </w:r>
      <w:r w:rsidR="00506796">
        <w:rPr>
          <w:color w:val="202124"/>
        </w:rPr>
        <w:t>ealand</w:t>
      </w:r>
      <w:r w:rsidRPr="001C7261">
        <w:rPr>
          <w:color w:val="202124"/>
        </w:rPr>
        <w:t xml:space="preserve"> bespoke emergency legislation. </w:t>
      </w:r>
      <w:r>
        <w:rPr>
          <w:color w:val="202124"/>
        </w:rPr>
        <w:t xml:space="preserve">Though the </w:t>
      </w:r>
      <w:r w:rsidRPr="001C7261">
        <w:rPr>
          <w:color w:val="202124"/>
        </w:rPr>
        <w:t>Hurunui</w:t>
      </w:r>
      <w:r w:rsidR="002C17E6">
        <w:rPr>
          <w:color w:val="202124"/>
        </w:rPr>
        <w:t>/</w:t>
      </w:r>
      <w:proofErr w:type="spellStart"/>
      <w:r w:rsidRPr="001C7261">
        <w:rPr>
          <w:color w:val="202124"/>
        </w:rPr>
        <w:t>Kaik</w:t>
      </w:r>
      <w:r w:rsidR="002C17E6">
        <w:rPr>
          <w:color w:val="202124"/>
        </w:rPr>
        <w:t>ō</w:t>
      </w:r>
      <w:r w:rsidRPr="001C7261">
        <w:rPr>
          <w:color w:val="202124"/>
        </w:rPr>
        <w:t>ura</w:t>
      </w:r>
      <w:proofErr w:type="spellEnd"/>
      <w:r w:rsidRPr="001C7261">
        <w:rPr>
          <w:color w:val="202124"/>
        </w:rPr>
        <w:t xml:space="preserve"> Earthquake</w:t>
      </w:r>
      <w:r>
        <w:rPr>
          <w:color w:val="202124"/>
        </w:rPr>
        <w:t>s</w:t>
      </w:r>
      <w:r w:rsidRPr="001C7261">
        <w:rPr>
          <w:color w:val="202124"/>
        </w:rPr>
        <w:t xml:space="preserve"> </w:t>
      </w:r>
      <w:r>
        <w:rPr>
          <w:color w:val="202124"/>
        </w:rPr>
        <w:t xml:space="preserve">Recovery Act </w:t>
      </w:r>
      <w:r w:rsidRPr="001C7261">
        <w:rPr>
          <w:color w:val="202124"/>
        </w:rPr>
        <w:t>require</w:t>
      </w:r>
      <w:r>
        <w:rPr>
          <w:color w:val="202124"/>
        </w:rPr>
        <w:t>d</w:t>
      </w:r>
      <w:r w:rsidRPr="001C7261">
        <w:rPr>
          <w:color w:val="202124"/>
        </w:rPr>
        <w:t xml:space="preserve"> </w:t>
      </w:r>
      <w:r>
        <w:rPr>
          <w:color w:val="202124"/>
        </w:rPr>
        <w:t xml:space="preserve">a contemporaneous statement of </w:t>
      </w:r>
      <w:r w:rsidRPr="001C7261">
        <w:rPr>
          <w:color w:val="202124"/>
        </w:rPr>
        <w:t xml:space="preserve">reasons to be given by </w:t>
      </w:r>
      <w:r>
        <w:rPr>
          <w:color w:val="202124"/>
        </w:rPr>
        <w:t xml:space="preserve">the </w:t>
      </w:r>
      <w:r w:rsidRPr="001C7261">
        <w:rPr>
          <w:color w:val="202124"/>
        </w:rPr>
        <w:t>Ministers</w:t>
      </w:r>
      <w:r>
        <w:rPr>
          <w:color w:val="202124"/>
        </w:rPr>
        <w:t xml:space="preserve"> when </w:t>
      </w:r>
      <w:r w:rsidRPr="001C7261">
        <w:rPr>
          <w:color w:val="202124"/>
        </w:rPr>
        <w:t>recommendi</w:t>
      </w:r>
      <w:r>
        <w:rPr>
          <w:color w:val="202124"/>
        </w:rPr>
        <w:t xml:space="preserve">ng certain orders to be made, the content of the reasons required was much more </w:t>
      </w:r>
      <w:r w:rsidRPr="001C7261">
        <w:rPr>
          <w:color w:val="202124"/>
        </w:rPr>
        <w:t>open</w:t>
      </w:r>
      <w:r w:rsidR="00506796">
        <w:rPr>
          <w:color w:val="202124"/>
        </w:rPr>
        <w:t xml:space="preserve"> </w:t>
      </w:r>
      <w:r w:rsidRPr="001C7261">
        <w:rPr>
          <w:color w:val="202124"/>
        </w:rPr>
        <w:t>ended</w:t>
      </w:r>
      <w:r>
        <w:rPr>
          <w:color w:val="202124"/>
        </w:rPr>
        <w:t>.</w:t>
      </w:r>
      <w:r w:rsidRPr="001C7261">
        <w:rPr>
          <w:color w:val="202124"/>
        </w:rPr>
        <w:t xml:space="preserve"> </w:t>
      </w:r>
    </w:p>
    <w:p w14:paraId="5937C061" w14:textId="6C43DAAD" w:rsidR="009D2AA1" w:rsidRDefault="009D2AA1" w:rsidP="00FB32D6">
      <w:pPr>
        <w:pStyle w:val="BodyTextnonum"/>
      </w:pPr>
      <w:r w:rsidRPr="001D3F45">
        <w:t xml:space="preserve">I also </w:t>
      </w:r>
      <w:r>
        <w:t xml:space="preserve">recommend that </w:t>
      </w:r>
      <w:r w:rsidR="00686C9A">
        <w:t>Aotearoa</w:t>
      </w:r>
      <w:r w:rsidR="00686C9A" w:rsidRPr="001D3F45">
        <w:t xml:space="preserve"> </w:t>
      </w:r>
      <w:r w:rsidRPr="001D3F45">
        <w:t xml:space="preserve">New Zealand should consider whether to establish </w:t>
      </w:r>
      <w:r>
        <w:t xml:space="preserve">standing </w:t>
      </w:r>
      <w:r w:rsidRPr="001D3F45">
        <w:t>expert committees to advise on the content of orders in relation to pandemics</w:t>
      </w:r>
      <w:r>
        <w:t xml:space="preserve"> and other emergency events</w:t>
      </w:r>
      <w:r w:rsidRPr="001D3F45">
        <w:t xml:space="preserve">. New Zealand legislation has already provided for </w:t>
      </w:r>
      <w:r w:rsidRPr="001D3F45">
        <w:lastRenderedPageBreak/>
        <w:t xml:space="preserve">committees external to the House to review orders made under the earthquake response legislation of the past 12 years. How best </w:t>
      </w:r>
      <w:r>
        <w:t xml:space="preserve">to ensure greater input by the </w:t>
      </w:r>
      <w:proofErr w:type="gramStart"/>
      <w:r w:rsidRPr="001D3F45">
        <w:t>general public</w:t>
      </w:r>
      <w:proofErr w:type="gramEnd"/>
      <w:r w:rsidRPr="001D3F45">
        <w:t xml:space="preserve"> will depend on the emergency</w:t>
      </w:r>
      <w:r>
        <w:t xml:space="preserve"> (whether it is local or national</w:t>
      </w:r>
      <w:r w:rsidR="00506796">
        <w:t xml:space="preserve"> a</w:t>
      </w:r>
      <w:r w:rsidR="00506796">
        <w:rPr>
          <w:rFonts w:eastAsia="Calibri"/>
        </w:rPr>
        <w:t>nd so on</w:t>
      </w:r>
      <w:r>
        <w:t>)</w:t>
      </w:r>
      <w:r w:rsidRPr="001D3F45">
        <w:t xml:space="preserve">. </w:t>
      </w:r>
    </w:p>
    <w:p w14:paraId="79C1CD5E" w14:textId="0229050E" w:rsidR="009D2AA1" w:rsidRDefault="009D2AA1" w:rsidP="00FB32D6">
      <w:pPr>
        <w:pStyle w:val="BodyTextnonum"/>
      </w:pPr>
      <w:r w:rsidRPr="001D3F45">
        <w:t>The COVID-19 Public Health Response Act enhances the ability of the House of Representatives to scrutinise secondary legislation beyond the standard disallowance procedures. It provides that certain kinds of orders (made by the Director-General of Health) automatically expire after a month</w:t>
      </w:r>
      <w:r w:rsidRPr="001D3F45">
        <w:rPr>
          <w:rStyle w:val="FootnoteReference"/>
        </w:rPr>
        <w:footnoteReference w:id="92"/>
      </w:r>
      <w:r w:rsidRPr="001D3F45">
        <w:t xml:space="preserve"> and requires that an order made by the Minister expires after a designated </w:t>
      </w:r>
      <w:proofErr w:type="gramStart"/>
      <w:r w:rsidRPr="001D3F45">
        <w:t>period of time</w:t>
      </w:r>
      <w:proofErr w:type="gramEnd"/>
      <w:r w:rsidRPr="001D3F45">
        <w:t xml:space="preserve"> </w:t>
      </w:r>
      <w:r w:rsidRPr="001D3F45">
        <w:rPr>
          <w:i/>
          <w:iCs/>
        </w:rPr>
        <w:t>unless</w:t>
      </w:r>
      <w:r w:rsidRPr="001D3F45">
        <w:t xml:space="preserve"> the House of Representatives positively affirms the order.</w:t>
      </w:r>
      <w:r w:rsidRPr="001D3F45">
        <w:rPr>
          <w:rStyle w:val="FootnoteReference"/>
        </w:rPr>
        <w:footnoteReference w:id="93"/>
      </w:r>
    </w:p>
    <w:p w14:paraId="16D8628D" w14:textId="77777777" w:rsidR="009D2AA1" w:rsidRDefault="009D2AA1" w:rsidP="00FB32D6">
      <w:pPr>
        <w:pStyle w:val="BodyTextnonum"/>
      </w:pPr>
      <w:r w:rsidRPr="001D3F45">
        <w:t xml:space="preserve">There is also a practice of requiring the relevant Minister periodically to report to the House about the use of exceptional powers and the general response to an emergency. </w:t>
      </w:r>
    </w:p>
    <w:p w14:paraId="4E028E57" w14:textId="022BF5D5" w:rsidR="009D2AA1" w:rsidRPr="001D3F45" w:rsidRDefault="009D2AA1" w:rsidP="00FB32D6">
      <w:pPr>
        <w:pStyle w:val="BodyTextnonum"/>
      </w:pPr>
      <w:r w:rsidRPr="001D3F45">
        <w:t xml:space="preserve">These levels of protection go beyond what is ordinarily expected or necessary in relation to </w:t>
      </w:r>
      <w:r w:rsidR="00596DCD">
        <w:t>O</w:t>
      </w:r>
      <w:r w:rsidRPr="001D3F45">
        <w:t xml:space="preserve">rders in </w:t>
      </w:r>
      <w:r w:rsidR="00596DCD">
        <w:t>C</w:t>
      </w:r>
      <w:r w:rsidRPr="001D3F45">
        <w:t xml:space="preserve">ouncil made by the executive. The necessity for these additional levels of supervision and transparency needs to be calibrated according to factors </w:t>
      </w:r>
      <w:r w:rsidR="00596DCD">
        <w:t>that</w:t>
      </w:r>
      <w:r w:rsidR="00596DCD" w:rsidRPr="001D3F45">
        <w:t xml:space="preserve"> </w:t>
      </w:r>
      <w:r w:rsidRPr="001D3F45">
        <w:t>include:</w:t>
      </w:r>
    </w:p>
    <w:p w14:paraId="531B7EEA" w14:textId="6B82A95E" w:rsidR="009D2AA1" w:rsidRDefault="00596DCD">
      <w:pPr>
        <w:pStyle w:val="BodyTextalphalist"/>
        <w:rPr>
          <w:shd w:val="clear" w:color="auto" w:fill="FFFFFF"/>
        </w:rPr>
      </w:pPr>
      <w:r>
        <w:rPr>
          <w:shd w:val="clear" w:color="auto" w:fill="FFFFFF"/>
        </w:rPr>
        <w:t>h</w:t>
      </w:r>
      <w:r w:rsidR="009D2AA1">
        <w:rPr>
          <w:shd w:val="clear" w:color="auto" w:fill="FFFFFF"/>
        </w:rPr>
        <w:t>ow much negative impact the orders are likely to have on the daily life and businesses of the population as a whole (including the extent to which they are likely to restrict protected rights and liberties</w:t>
      </w:r>
      <w:proofErr w:type="gramStart"/>
      <w:r w:rsidR="009D2AA1">
        <w:rPr>
          <w:shd w:val="clear" w:color="auto" w:fill="FFFFFF"/>
        </w:rPr>
        <w:t>);</w:t>
      </w:r>
      <w:proofErr w:type="gramEnd"/>
    </w:p>
    <w:p w14:paraId="60E0B2A5" w14:textId="0EA875D0" w:rsidR="009D2AA1" w:rsidRDefault="00596DCD">
      <w:pPr>
        <w:pStyle w:val="BodyTextalphalist"/>
        <w:rPr>
          <w:shd w:val="clear" w:color="auto" w:fill="FFFFFF"/>
        </w:rPr>
      </w:pPr>
      <w:r>
        <w:rPr>
          <w:shd w:val="clear" w:color="auto" w:fill="FFFFFF"/>
        </w:rPr>
        <w:t>h</w:t>
      </w:r>
      <w:r w:rsidR="009D2AA1">
        <w:rPr>
          <w:shd w:val="clear" w:color="auto" w:fill="FFFFFF"/>
        </w:rPr>
        <w:t xml:space="preserve">ow much negative impact the orders are likely to have on particular sectors of the </w:t>
      </w:r>
      <w:proofErr w:type="gramStart"/>
      <w:r w:rsidR="009D2AA1">
        <w:rPr>
          <w:shd w:val="clear" w:color="auto" w:fill="FFFFFF"/>
        </w:rPr>
        <w:t>population;</w:t>
      </w:r>
      <w:proofErr w:type="gramEnd"/>
    </w:p>
    <w:p w14:paraId="27324367" w14:textId="6FBC5DF0" w:rsidR="009D2AA1" w:rsidRDefault="00596DCD">
      <w:pPr>
        <w:pStyle w:val="BodyTextalphalist"/>
        <w:rPr>
          <w:shd w:val="clear" w:color="auto" w:fill="FFFFFF"/>
        </w:rPr>
      </w:pPr>
      <w:r>
        <w:rPr>
          <w:shd w:val="clear" w:color="auto" w:fill="FFFFFF"/>
        </w:rPr>
        <w:t>h</w:t>
      </w:r>
      <w:r w:rsidR="009D2AA1">
        <w:rPr>
          <w:shd w:val="clear" w:color="auto" w:fill="FFFFFF"/>
        </w:rPr>
        <w:t xml:space="preserve">ow much negative impact the orders are likely to have on </w:t>
      </w:r>
      <w:proofErr w:type="gramStart"/>
      <w:r w:rsidR="009D2AA1">
        <w:rPr>
          <w:shd w:val="clear" w:color="auto" w:fill="FFFFFF"/>
        </w:rPr>
        <w:t>Māori;</w:t>
      </w:r>
      <w:proofErr w:type="gramEnd"/>
    </w:p>
    <w:p w14:paraId="4E5089A1" w14:textId="286CB4ED" w:rsidR="009D2AA1" w:rsidRDefault="00596DCD">
      <w:pPr>
        <w:pStyle w:val="BodyTextalphalist"/>
        <w:rPr>
          <w:shd w:val="clear" w:color="auto" w:fill="FFFFFF"/>
        </w:rPr>
      </w:pPr>
      <w:r>
        <w:rPr>
          <w:shd w:val="clear" w:color="auto" w:fill="FFFFFF"/>
        </w:rPr>
        <w:t>h</w:t>
      </w:r>
      <w:r w:rsidR="009D2AA1">
        <w:rPr>
          <w:shd w:val="clear" w:color="auto" w:fill="FFFFFF"/>
        </w:rPr>
        <w:t xml:space="preserve">ow much public input has been possible into the making of the primary legislation under which the orders have been </w:t>
      </w:r>
      <w:proofErr w:type="gramStart"/>
      <w:r w:rsidR="009D2AA1">
        <w:rPr>
          <w:shd w:val="clear" w:color="auto" w:fill="FFFFFF"/>
        </w:rPr>
        <w:t>made;</w:t>
      </w:r>
      <w:proofErr w:type="gramEnd"/>
    </w:p>
    <w:p w14:paraId="02BCBCB5" w14:textId="73CDE5DB" w:rsidR="009D2AA1" w:rsidRDefault="00596DCD">
      <w:pPr>
        <w:pStyle w:val="BodyTextalphalist"/>
        <w:rPr>
          <w:shd w:val="clear" w:color="auto" w:fill="FFFFFF"/>
        </w:rPr>
      </w:pPr>
      <w:r>
        <w:rPr>
          <w:shd w:val="clear" w:color="auto" w:fill="FFFFFF"/>
        </w:rPr>
        <w:t>h</w:t>
      </w:r>
      <w:r w:rsidR="009D2AA1">
        <w:rPr>
          <w:shd w:val="clear" w:color="auto" w:fill="FFFFFF"/>
        </w:rPr>
        <w:t xml:space="preserve">ow much </w:t>
      </w:r>
      <w:r w:rsidR="00452339">
        <w:rPr>
          <w:shd w:val="clear" w:color="auto" w:fill="FFFFFF"/>
        </w:rPr>
        <w:t>p</w:t>
      </w:r>
      <w:r w:rsidR="009D2AA1">
        <w:rPr>
          <w:shd w:val="clear" w:color="auto" w:fill="FFFFFF"/>
        </w:rPr>
        <w:t xml:space="preserve">arliamentary input has been possible into the making of the primary legislation under which the orders have been made and into the draft </w:t>
      </w:r>
      <w:proofErr w:type="gramStart"/>
      <w:r w:rsidR="009D2AA1">
        <w:rPr>
          <w:shd w:val="clear" w:color="auto" w:fill="FFFFFF"/>
        </w:rPr>
        <w:t>orders;</w:t>
      </w:r>
      <w:proofErr w:type="gramEnd"/>
    </w:p>
    <w:p w14:paraId="1DA02FB7" w14:textId="3CF80276" w:rsidR="009D2AA1" w:rsidRDefault="007E720E">
      <w:pPr>
        <w:pStyle w:val="BodyTextalphalist"/>
        <w:rPr>
          <w:shd w:val="clear" w:color="auto" w:fill="FFFFFF"/>
        </w:rPr>
      </w:pPr>
      <w:r>
        <w:rPr>
          <w:shd w:val="clear" w:color="auto" w:fill="FFFFFF"/>
        </w:rPr>
        <w:t>t</w:t>
      </w:r>
      <w:r w:rsidR="009D2AA1">
        <w:rPr>
          <w:shd w:val="clear" w:color="auto" w:fill="FFFFFF"/>
        </w:rPr>
        <w:t>he likely duration of the emergency;</w:t>
      </w:r>
      <w:r>
        <w:rPr>
          <w:shd w:val="clear" w:color="auto" w:fill="FFFFFF"/>
        </w:rPr>
        <w:t xml:space="preserve"> and</w:t>
      </w:r>
    </w:p>
    <w:p w14:paraId="25534FA8" w14:textId="1F30316A" w:rsidR="009D2AA1" w:rsidRDefault="00596DCD">
      <w:pPr>
        <w:pStyle w:val="BodyTextalphalist"/>
        <w:rPr>
          <w:shd w:val="clear" w:color="auto" w:fill="FFFFFF"/>
        </w:rPr>
      </w:pPr>
      <w:r>
        <w:rPr>
          <w:shd w:val="clear" w:color="auto" w:fill="FFFFFF"/>
        </w:rPr>
        <w:t>w</w:t>
      </w:r>
      <w:r w:rsidR="009D2AA1">
        <w:rPr>
          <w:shd w:val="clear" w:color="auto" w:fill="FFFFFF"/>
        </w:rPr>
        <w:t xml:space="preserve">hether the orders modify statutes passed by Parliament (see the discussion </w:t>
      </w:r>
      <w:r w:rsidR="007E720E">
        <w:rPr>
          <w:shd w:val="clear" w:color="auto" w:fill="FFFFFF"/>
        </w:rPr>
        <w:t>th</w:t>
      </w:r>
      <w:r w:rsidR="00662AFF">
        <w:rPr>
          <w:shd w:val="clear" w:color="auto" w:fill="FFFFFF"/>
        </w:rPr>
        <w:t>at</w:t>
      </w:r>
      <w:r w:rsidR="007E720E">
        <w:rPr>
          <w:shd w:val="clear" w:color="auto" w:fill="FFFFFF"/>
        </w:rPr>
        <w:t xml:space="preserve"> </w:t>
      </w:r>
      <w:r w:rsidR="009D2AA1">
        <w:rPr>
          <w:shd w:val="clear" w:color="auto" w:fill="FFFFFF"/>
        </w:rPr>
        <w:t>follows).</w:t>
      </w:r>
    </w:p>
    <w:p w14:paraId="5D5C54A8" w14:textId="77777777" w:rsidR="009D2AA1" w:rsidRPr="00F21F36" w:rsidRDefault="009D2AA1" w:rsidP="008C24D4">
      <w:pPr>
        <w:pStyle w:val="Heading2"/>
        <w:rPr>
          <w:shd w:val="clear" w:color="auto" w:fill="FFFFFF"/>
        </w:rPr>
      </w:pPr>
      <w:bookmarkStart w:id="87" w:name="_Toc116464816"/>
      <w:bookmarkStart w:id="88" w:name="_Toc117063105"/>
      <w:bookmarkStart w:id="89" w:name="_Toc118119297"/>
      <w:bookmarkStart w:id="90" w:name="_Hlk107815174"/>
      <w:r>
        <w:rPr>
          <w:shd w:val="clear" w:color="auto" w:fill="FFFFFF"/>
        </w:rPr>
        <w:t>Orders</w:t>
      </w:r>
      <w:r w:rsidRPr="00F21F36">
        <w:rPr>
          <w:shd w:val="clear" w:color="auto" w:fill="FFFFFF"/>
        </w:rPr>
        <w:t xml:space="preserve"> </w:t>
      </w:r>
      <w:r w:rsidRPr="008C24D4">
        <w:t>modifying</w:t>
      </w:r>
      <w:r w:rsidRPr="00F21F36">
        <w:rPr>
          <w:shd w:val="clear" w:color="auto" w:fill="FFFFFF"/>
        </w:rPr>
        <w:t xml:space="preserve"> statutes</w:t>
      </w:r>
      <w:bookmarkEnd w:id="87"/>
      <w:bookmarkEnd w:id="88"/>
      <w:bookmarkEnd w:id="89"/>
    </w:p>
    <w:bookmarkEnd w:id="90"/>
    <w:p w14:paraId="3A289C7B" w14:textId="39926326" w:rsidR="009D2AA1" w:rsidRPr="008C24D4" w:rsidRDefault="009D2AA1">
      <w:pPr>
        <w:pStyle w:val="BodyText"/>
        <w:rPr>
          <w:shd w:val="clear" w:color="auto" w:fill="FFFFFF"/>
        </w:rPr>
      </w:pPr>
      <w:r w:rsidRPr="008C24D4">
        <w:rPr>
          <w:shd w:val="clear" w:color="auto" w:fill="FFFFFF"/>
        </w:rPr>
        <w:t xml:space="preserve">It has </w:t>
      </w:r>
      <w:r w:rsidRPr="008C24D4">
        <w:t>become</w:t>
      </w:r>
      <w:r w:rsidRPr="008C24D4">
        <w:rPr>
          <w:shd w:val="clear" w:color="auto" w:fill="FFFFFF"/>
        </w:rPr>
        <w:t xml:space="preserve"> a common practice in </w:t>
      </w:r>
      <w:r w:rsidR="00686C9A">
        <w:t>Aotearoa</w:t>
      </w:r>
      <w:r w:rsidR="00686C9A" w:rsidRPr="008C24D4">
        <w:rPr>
          <w:shd w:val="clear" w:color="auto" w:fill="FFFFFF"/>
        </w:rPr>
        <w:t xml:space="preserve"> </w:t>
      </w:r>
      <w:r w:rsidRPr="008C24D4">
        <w:rPr>
          <w:shd w:val="clear" w:color="auto" w:fill="FFFFFF"/>
        </w:rPr>
        <w:t>New Zealand to confer exceptional powers in emergency legislation allowing statutes made by Parliament to be modified by regulations made by the executive (sometimes called Henry VIII clauses).</w:t>
      </w:r>
      <w:r>
        <w:rPr>
          <w:rStyle w:val="FootnoteReference"/>
          <w:color w:val="202124"/>
          <w:shd w:val="clear" w:color="auto" w:fill="FFFFFF"/>
        </w:rPr>
        <w:footnoteReference w:id="94"/>
      </w:r>
      <w:r w:rsidRPr="008C24D4">
        <w:rPr>
          <w:shd w:val="clear" w:color="auto" w:fill="FFFFFF"/>
        </w:rPr>
        <w:t xml:space="preserve"> Such exceptional powers, which invert the usual assumption that statutes prevail over regulations, are also conferred in the Epidemic Preparedness Act</w:t>
      </w:r>
      <w:r w:rsidR="007E720E">
        <w:rPr>
          <w:shd w:val="clear" w:color="auto" w:fill="FFFFFF"/>
        </w:rPr>
        <w:t>,</w:t>
      </w:r>
      <w:r w:rsidRPr="008C24D4">
        <w:rPr>
          <w:shd w:val="clear" w:color="auto" w:fill="FFFFFF"/>
        </w:rPr>
        <w:t xml:space="preserve"> discussed below. They are exceptional and need to be subject to exceptional </w:t>
      </w:r>
      <w:r w:rsidR="00452339">
        <w:rPr>
          <w:shd w:val="clear" w:color="auto" w:fill="FFFFFF"/>
        </w:rPr>
        <w:t>p</w:t>
      </w:r>
      <w:r w:rsidRPr="008C24D4">
        <w:rPr>
          <w:shd w:val="clear" w:color="auto" w:fill="FFFFFF"/>
        </w:rPr>
        <w:t>arliamentary and other oversight beyond that ordinarily available for secondary legislation.</w:t>
      </w:r>
    </w:p>
    <w:p w14:paraId="20346D46" w14:textId="53BE4332" w:rsidR="009D2AA1" w:rsidRPr="00943D48" w:rsidRDefault="009D2AA1" w:rsidP="00FB32D6">
      <w:pPr>
        <w:pStyle w:val="BodyTextnonum"/>
      </w:pPr>
      <w:r w:rsidRPr="00F21F36">
        <w:t xml:space="preserve">The </w:t>
      </w:r>
      <w:r w:rsidR="000A20EE" w:rsidRPr="00F21F36">
        <w:t>RRC</w:t>
      </w:r>
      <w:r w:rsidR="000A20EE">
        <w:t>’s</w:t>
      </w:r>
      <w:r w:rsidR="000A20EE" w:rsidRPr="00F21F36">
        <w:t xml:space="preserve"> </w:t>
      </w:r>
      <w:r w:rsidRPr="00F21F36">
        <w:t>20</w:t>
      </w:r>
      <w:r>
        <w:t>1</w:t>
      </w:r>
      <w:r w:rsidRPr="00F21F36">
        <w:t xml:space="preserve">6 </w:t>
      </w:r>
      <w:r w:rsidR="00025547">
        <w:t>R</w:t>
      </w:r>
      <w:r w:rsidRPr="00F21F36">
        <w:t xml:space="preserve">eport recommended that powers </w:t>
      </w:r>
      <w:r>
        <w:t xml:space="preserve">in regulations to amend statutes should </w:t>
      </w:r>
      <w:r w:rsidRPr="00F21F36">
        <w:t xml:space="preserve">be used sparingly and that the statutes </w:t>
      </w:r>
      <w:r w:rsidR="007E720E">
        <w:t>that</w:t>
      </w:r>
      <w:r w:rsidR="007E720E" w:rsidRPr="00F21F36">
        <w:t xml:space="preserve"> </w:t>
      </w:r>
      <w:r>
        <w:t>are</w:t>
      </w:r>
      <w:r w:rsidRPr="00F21F36">
        <w:t xml:space="preserve"> subject to modification should be </w:t>
      </w:r>
      <w:r w:rsidRPr="00F21F36">
        <w:lastRenderedPageBreak/>
        <w:t xml:space="preserve">positively listed in the statute. That is, it recommended that emergency legislation should specifically mention which Acts (and even which secondary legislation) </w:t>
      </w:r>
      <w:r>
        <w:t xml:space="preserve">it </w:t>
      </w:r>
      <w:r w:rsidRPr="00F21F36">
        <w:rPr>
          <w:i/>
          <w:iCs/>
        </w:rPr>
        <w:t xml:space="preserve">can </w:t>
      </w:r>
      <w:r w:rsidRPr="00F21F36">
        <w:t>modif</w:t>
      </w:r>
      <w:r>
        <w:t>y by order</w:t>
      </w:r>
      <w:r w:rsidRPr="00F21F36">
        <w:t>.</w:t>
      </w:r>
      <w:r w:rsidRPr="00F21F36">
        <w:rPr>
          <w:rStyle w:val="FootnoteReference"/>
        </w:rPr>
        <w:footnoteReference w:id="95"/>
      </w:r>
      <w:r w:rsidRPr="00F21F36">
        <w:t xml:space="preserve"> The </w:t>
      </w:r>
      <w:r w:rsidR="00DE3BE1">
        <w:t>RRC</w:t>
      </w:r>
      <w:r w:rsidR="00DE3BE1" w:rsidRPr="00F21F36">
        <w:t xml:space="preserve"> </w:t>
      </w:r>
      <w:r w:rsidRPr="00F21F36">
        <w:t xml:space="preserve">said it could not predict which enactments should be on the list as that will depend on the nature of the emergency. </w:t>
      </w:r>
    </w:p>
    <w:p w14:paraId="34531B79" w14:textId="2A12D9C8" w:rsidR="009D2AA1" w:rsidRPr="00F21F36" w:rsidRDefault="009D2AA1" w:rsidP="00FB32D6">
      <w:pPr>
        <w:pStyle w:val="BodyTextnonum"/>
      </w:pPr>
      <w:r w:rsidRPr="00F21F36">
        <w:t xml:space="preserve">The </w:t>
      </w:r>
      <w:r w:rsidR="005F4362">
        <w:t>RRC</w:t>
      </w:r>
      <w:r w:rsidR="005F4362" w:rsidRPr="00F21F36">
        <w:t xml:space="preserve"> </w:t>
      </w:r>
      <w:r w:rsidRPr="00F21F36">
        <w:t xml:space="preserve">did not go </w:t>
      </w:r>
      <w:r>
        <w:t>as</w:t>
      </w:r>
      <w:r w:rsidRPr="00F21F36">
        <w:t xml:space="preserve"> far</w:t>
      </w:r>
      <w:r>
        <w:t xml:space="preserve"> as to set out positive lists for different kinds of emergencies</w:t>
      </w:r>
      <w:r w:rsidRPr="00F21F36">
        <w:t xml:space="preserve"> but rather suggested a best practice process, namely that the list be: </w:t>
      </w:r>
    </w:p>
    <w:p w14:paraId="20852C53" w14:textId="00F99449" w:rsidR="009D2AA1" w:rsidRPr="00943D48" w:rsidRDefault="009D2AA1">
      <w:pPr>
        <w:pStyle w:val="Quote"/>
      </w:pPr>
      <w:r w:rsidRPr="00943D48">
        <w:t xml:space="preserve">… developed under the supervision of the Attorney-General, with select committee consideration, </w:t>
      </w:r>
      <w:r w:rsidRPr="008C24D4">
        <w:t>informed</w:t>
      </w:r>
      <w:r w:rsidRPr="00943D48">
        <w:t xml:space="preserve"> by submissions, during the preparation of bespoke legislation following a national emergency.</w:t>
      </w:r>
      <w:r w:rsidR="006777D3">
        <w:rPr>
          <w:rStyle w:val="FootnoteReference"/>
        </w:rPr>
        <w:footnoteReference w:id="96"/>
      </w:r>
      <w:r w:rsidRPr="00943D48">
        <w:t xml:space="preserve"> </w:t>
      </w:r>
    </w:p>
    <w:p w14:paraId="5C843529" w14:textId="77777777" w:rsidR="009D2AA1" w:rsidRDefault="009D2AA1" w:rsidP="00FB32D6">
      <w:pPr>
        <w:pStyle w:val="BodyTextnonum"/>
      </w:pPr>
      <w:r w:rsidRPr="00F21F36">
        <w:t>While the suggestion is admirable, it again depends on there being select committee consideration.</w:t>
      </w:r>
    </w:p>
    <w:p w14:paraId="0CA0A1C0" w14:textId="3587628C" w:rsidR="009D2AA1" w:rsidRDefault="009D2AA1" w:rsidP="00FB32D6">
      <w:pPr>
        <w:pStyle w:val="BodyTextnonum"/>
      </w:pPr>
      <w:r>
        <w:t xml:space="preserve">The </w:t>
      </w:r>
      <w:proofErr w:type="gramStart"/>
      <w:r>
        <w:t>much criticised</w:t>
      </w:r>
      <w:proofErr w:type="gramEnd"/>
      <w:r>
        <w:t xml:space="preserve"> Canterbury Earthquake </w:t>
      </w:r>
      <w:r w:rsidR="005D090E">
        <w:t xml:space="preserve">Response and </w:t>
      </w:r>
      <w:r>
        <w:t xml:space="preserve">Recovery Act 2010 and Canterbury Earthquake Recovery Act s 71(3) both contained non-exhaustive lists of statutes </w:t>
      </w:r>
      <w:r w:rsidR="005F4362">
        <w:t xml:space="preserve">that </w:t>
      </w:r>
      <w:r>
        <w:t>could be modified. Many of the named statutes were never actually modified (as the RRC</w:t>
      </w:r>
      <w:r w:rsidR="005F4362">
        <w:t>’s</w:t>
      </w:r>
      <w:r>
        <w:t xml:space="preserve"> 2016 </w:t>
      </w:r>
      <w:r w:rsidR="005F4362">
        <w:t xml:space="preserve">Report </w:t>
      </w:r>
      <w:r>
        <w:t>records). The more recent Hurunui/</w:t>
      </w:r>
      <w:proofErr w:type="spellStart"/>
      <w:r>
        <w:t>Kaik</w:t>
      </w:r>
      <w:r w:rsidR="002C17E6">
        <w:t>ō</w:t>
      </w:r>
      <w:r>
        <w:t>ura</w:t>
      </w:r>
      <w:proofErr w:type="spellEnd"/>
      <w:r>
        <w:t xml:space="preserve"> Earthquakes Recovery Act contained an indicative list of statutes </w:t>
      </w:r>
      <w:r w:rsidR="008A274F">
        <w:t xml:space="preserve">that </w:t>
      </w:r>
      <w:r>
        <w:t>could be modified or exempted and enabled the Minister to recommend further statutes to be added by Order in Council “if necessary and desirable for the purposes of the Act”.</w:t>
      </w:r>
      <w:r>
        <w:rPr>
          <w:rStyle w:val="FootnoteReference"/>
        </w:rPr>
        <w:footnoteReference w:id="97"/>
      </w:r>
      <w:r>
        <w:t xml:space="preserve"> The Minister was required to give contemporaneous reasons for the recommendation. </w:t>
      </w:r>
    </w:p>
    <w:p w14:paraId="3EFB790E" w14:textId="140E4086" w:rsidR="009D2AA1" w:rsidRDefault="009D2AA1" w:rsidP="00FB32D6">
      <w:pPr>
        <w:pStyle w:val="BodyTextnonum"/>
      </w:pPr>
      <w:r>
        <w:t>Consideration should be given to whether it would be appropriate to embed in standing rules (to be triggered by a declaration of emergency or epidemic notice) any of the modifications to statutes by regulations found to be necessary in response to past earthquakes and during the C</w:t>
      </w:r>
      <w:r w:rsidR="0061070F">
        <w:t>OVID</w:t>
      </w:r>
      <w:r>
        <w:t xml:space="preserve">-19 pandemic. </w:t>
      </w:r>
    </w:p>
    <w:p w14:paraId="0B5F749E" w14:textId="571623F8" w:rsidR="009D2AA1" w:rsidRDefault="009D2AA1" w:rsidP="00FB32D6">
      <w:pPr>
        <w:pStyle w:val="BodyTextnonum"/>
      </w:pPr>
      <w:r>
        <w:t xml:space="preserve">Where necessary, bespoke legislation should include a non-exhaustive positive list of statutes that can be modified by regulation </w:t>
      </w:r>
      <w:r w:rsidR="008A274F">
        <w:t xml:space="preserve">that </w:t>
      </w:r>
      <w:r>
        <w:t>could be added to “if necessary” together with a statement of reasons modelled on s 18 of the Hurunui/</w:t>
      </w:r>
      <w:proofErr w:type="spellStart"/>
      <w:r>
        <w:t>Kaik</w:t>
      </w:r>
      <w:r w:rsidR="002C17E6">
        <w:t>ō</w:t>
      </w:r>
      <w:r>
        <w:t>ura</w:t>
      </w:r>
      <w:proofErr w:type="spellEnd"/>
      <w:r>
        <w:t xml:space="preserve"> Earthquakes Recovery Act. A</w:t>
      </w:r>
      <w:r w:rsidRPr="00F21F36">
        <w:t xml:space="preserve"> major earthquake </w:t>
      </w:r>
      <w:r>
        <w:t xml:space="preserve">occurring </w:t>
      </w:r>
      <w:r w:rsidRPr="00F21F36">
        <w:t>in Wellington</w:t>
      </w:r>
      <w:r>
        <w:t>, for example,</w:t>
      </w:r>
      <w:r w:rsidRPr="00F21F36">
        <w:t xml:space="preserve"> </w:t>
      </w:r>
      <w:r>
        <w:t>may</w:t>
      </w:r>
      <w:r w:rsidRPr="00F21F36">
        <w:t xml:space="preserve"> be more likely </w:t>
      </w:r>
      <w:r>
        <w:t xml:space="preserve">to </w:t>
      </w:r>
      <w:r w:rsidRPr="00F21F36">
        <w:t>disrupt</w:t>
      </w:r>
      <w:r>
        <w:t xml:space="preserve"> </w:t>
      </w:r>
      <w:r w:rsidRPr="00F21F36">
        <w:t>normal government operations</w:t>
      </w:r>
      <w:r>
        <w:t xml:space="preserve"> requiring more statutes to be modified.</w:t>
      </w:r>
    </w:p>
    <w:p w14:paraId="702016DE" w14:textId="3C90884D" w:rsidR="009D2AA1" w:rsidRDefault="009D2AA1" w:rsidP="00FB32D6">
      <w:pPr>
        <w:pStyle w:val="BodyTextnonum"/>
      </w:pPr>
      <w:r>
        <w:t>Ideally</w:t>
      </w:r>
      <w:r w:rsidR="008A274F">
        <w:t>,</w:t>
      </w:r>
      <w:r>
        <w:t xml:space="preserve"> modifications should only be able to </w:t>
      </w:r>
      <w:proofErr w:type="gramStart"/>
      <w:r>
        <w:t>made</w:t>
      </w:r>
      <w:proofErr w:type="gramEnd"/>
      <w:r>
        <w:t xml:space="preserve"> to statutes by regulation if they are “likely to be necessary” (rather than if “necessary or desirable”</w:t>
      </w:r>
      <w:r w:rsidRPr="00F33006">
        <w:rPr>
          <w:rStyle w:val="FootnoteReference"/>
        </w:rPr>
        <w:t xml:space="preserve"> </w:t>
      </w:r>
      <w:r>
        <w:rPr>
          <w:rStyle w:val="FootnoteReference"/>
        </w:rPr>
        <w:footnoteReference w:id="98"/>
      </w:r>
      <w:r>
        <w:t xml:space="preserve"> or </w:t>
      </w:r>
      <w:r w:rsidR="008A274F">
        <w:t>“</w:t>
      </w:r>
      <w:r>
        <w:t>necessary and expedient”</w:t>
      </w:r>
      <w:r>
        <w:rPr>
          <w:rStyle w:val="FootnoteReference"/>
        </w:rPr>
        <w:footnoteReference w:id="99"/>
      </w:r>
      <w:r>
        <w:t>). In any event</w:t>
      </w:r>
      <w:r w:rsidR="008A274F">
        <w:t>,</w:t>
      </w:r>
      <w:r>
        <w:t xml:space="preserve"> the statute should spell out the purposes for which modifications can be made and </w:t>
      </w:r>
      <w:r w:rsidR="008A274F">
        <w:t>(</w:t>
      </w:r>
      <w:r>
        <w:t xml:space="preserve">if the reference to “desirability” is retained) </w:t>
      </w:r>
      <w:r w:rsidR="00675161">
        <w:t>give an indication of the</w:t>
      </w:r>
      <w:r>
        <w:t xml:space="preserve"> kinds of reasons </w:t>
      </w:r>
      <w:r w:rsidR="0064091A">
        <w:t xml:space="preserve">that </w:t>
      </w:r>
      <w:r>
        <w:t xml:space="preserve">would render them “desirable”. Modifications of legislative requirements </w:t>
      </w:r>
      <w:r w:rsidR="008A274F">
        <w:t xml:space="preserve">that </w:t>
      </w:r>
      <w:r>
        <w:t xml:space="preserve">have as their object to ensure that individuals </w:t>
      </w:r>
      <w:proofErr w:type="gramStart"/>
      <w:r>
        <w:t>are able to</w:t>
      </w:r>
      <w:proofErr w:type="gramEnd"/>
      <w:r>
        <w:t xml:space="preserve"> obey the law when they would otherwise have no option but to be in breach because of an emergency actually support the rule of law. Other reasons for the modification of statutes by regulations</w:t>
      </w:r>
      <w:r w:rsidR="00DE3BE1">
        <w:t>,</w:t>
      </w:r>
      <w:r>
        <w:t xml:space="preserve"> </w:t>
      </w:r>
      <w:r w:rsidR="00DE3BE1">
        <w:t xml:space="preserve">for example, </w:t>
      </w:r>
      <w:r>
        <w:t xml:space="preserve">for the purposes of administrative convenience or </w:t>
      </w:r>
      <w:r>
        <w:lastRenderedPageBreak/>
        <w:t>redeployment of personnel</w:t>
      </w:r>
      <w:r w:rsidR="00DE3BE1">
        <w:t>,</w:t>
      </w:r>
      <w:r>
        <w:t xml:space="preserve"> should require much more by way of justification and supervision. Such modifications will be especially difficult to justify if Parliament is still able fully to meet.</w:t>
      </w:r>
    </w:p>
    <w:p w14:paraId="05A1D59F" w14:textId="2941B811" w:rsidR="009D2AA1" w:rsidRPr="005C6D76" w:rsidRDefault="009D2AA1" w:rsidP="00FB32D6">
      <w:pPr>
        <w:pStyle w:val="BodyTextnonum"/>
      </w:pPr>
      <w:r w:rsidRPr="005C6D76">
        <w:t>A</w:t>
      </w:r>
      <w:r>
        <w:t>n</w:t>
      </w:r>
      <w:r w:rsidRPr="005C6D76">
        <w:t xml:space="preserve"> alternative formulation </w:t>
      </w:r>
      <w:r>
        <w:t xml:space="preserve">in current legislation typically </w:t>
      </w:r>
      <w:r w:rsidRPr="005C6D76">
        <w:t>gives power to the executive to modify a requirement or restriction in primary legislation by substituting “a discretionary power for the requirement or restriction”.</w:t>
      </w:r>
      <w:r w:rsidRPr="005C6D76">
        <w:rPr>
          <w:rStyle w:val="FootnoteReference"/>
          <w:color w:val="000000"/>
        </w:rPr>
        <w:footnoteReference w:id="100"/>
      </w:r>
      <w:r w:rsidRPr="005C6D76">
        <w:t xml:space="preserve"> The risk is that the law ceases to be general, specified individuals rather than classes of people are held to different standards and there is a failure to provide equal protection of the law.</w:t>
      </w:r>
      <w:r>
        <w:t xml:space="preserve"> </w:t>
      </w:r>
      <w:r w:rsidRPr="005C6D76">
        <w:t xml:space="preserve">It may sometimes be better to allow the option of modifying the law by replacing it </w:t>
      </w:r>
      <w:r>
        <w:t xml:space="preserve">temporarily </w:t>
      </w:r>
      <w:r w:rsidRPr="005C6D76">
        <w:t xml:space="preserve">with a new set of criteria </w:t>
      </w:r>
      <w:r>
        <w:t>either by statutory amendment or</w:t>
      </w:r>
      <w:r w:rsidR="00DE3BE1">
        <w:t>,</w:t>
      </w:r>
      <w:r>
        <w:t xml:space="preserve"> if necessary</w:t>
      </w:r>
      <w:r w:rsidR="00DE3BE1">
        <w:t>,</w:t>
      </w:r>
      <w:r w:rsidRPr="005C6D76">
        <w:t xml:space="preserve"> with the requirement that the new criteria be positively affirmed by the House of Representatives. </w:t>
      </w:r>
    </w:p>
    <w:p w14:paraId="37511FD4" w14:textId="593F1DB8" w:rsidR="009D2AA1" w:rsidRDefault="009D2AA1" w:rsidP="00FB32D6">
      <w:pPr>
        <w:pStyle w:val="BodyTextnonum"/>
      </w:pPr>
      <w:r w:rsidRPr="00F21F36">
        <w:t xml:space="preserve">Modifications of </w:t>
      </w:r>
      <w:r w:rsidRPr="00E743BB">
        <w:rPr>
          <w:i/>
          <w:iCs/>
        </w:rPr>
        <w:t>government</w:t>
      </w:r>
      <w:r w:rsidRPr="00F21F36">
        <w:t xml:space="preserve"> duties to provide services </w:t>
      </w:r>
      <w:proofErr w:type="gramStart"/>
      <w:r w:rsidRPr="00F21F36">
        <w:t>to,</w:t>
      </w:r>
      <w:proofErr w:type="gramEnd"/>
      <w:r w:rsidRPr="00F21F36">
        <w:t xml:space="preserve"> respond to or make decisions </w:t>
      </w:r>
      <w:r>
        <w:t>about</w:t>
      </w:r>
      <w:r w:rsidRPr="00F21F36">
        <w:t xml:space="preserve"> </w:t>
      </w:r>
      <w:r>
        <w:t>i</w:t>
      </w:r>
      <w:r w:rsidRPr="00F21F36">
        <w:t xml:space="preserve">ts citizens (because of a need to prioritise resources) </w:t>
      </w:r>
      <w:r>
        <w:t xml:space="preserve">may sometimes be </w:t>
      </w:r>
      <w:r w:rsidRPr="00F21F36">
        <w:t>problematic</w:t>
      </w:r>
      <w:r w:rsidR="00DE3BE1">
        <w:t>.</w:t>
      </w:r>
      <w:r>
        <w:t xml:space="preserve"> Assessments need to be made of the potential to </w:t>
      </w:r>
      <w:r w:rsidRPr="00F21F36">
        <w:t>create rea</w:t>
      </w:r>
      <w:r>
        <w:t>l</w:t>
      </w:r>
      <w:r w:rsidRPr="00F21F36">
        <w:t xml:space="preserve"> hardship for individuals. </w:t>
      </w:r>
    </w:p>
    <w:p w14:paraId="10B1A11C" w14:textId="689EF3ED" w:rsidR="009D2AA1" w:rsidRPr="002556FC" w:rsidRDefault="009D2AA1" w:rsidP="00FB32D6">
      <w:pPr>
        <w:pStyle w:val="BodyTextnonum"/>
      </w:pPr>
      <w:r>
        <w:t xml:space="preserve">In addition to the positive lists of statutes </w:t>
      </w:r>
      <w:r w:rsidR="00DE3BE1">
        <w:t xml:space="preserve">that </w:t>
      </w:r>
      <w:proofErr w:type="gramStart"/>
      <w:r>
        <w:t>are able to</w:t>
      </w:r>
      <w:proofErr w:type="gramEnd"/>
      <w:r>
        <w:t xml:space="preserve"> be modified, the Canterbury </w:t>
      </w:r>
      <w:r w:rsidR="00DE3BE1">
        <w:t>e</w:t>
      </w:r>
      <w:r>
        <w:t xml:space="preserve">arthquake legislation listed five constitutional statutes </w:t>
      </w:r>
      <w:r w:rsidR="00DE3BE1">
        <w:t xml:space="preserve">that </w:t>
      </w:r>
      <w:r>
        <w:t xml:space="preserve">could </w:t>
      </w:r>
      <w:r w:rsidRPr="00443E0C">
        <w:rPr>
          <w:i/>
          <w:iCs/>
        </w:rPr>
        <w:t>not</w:t>
      </w:r>
      <w:r>
        <w:t xml:space="preserve"> be modified by order. The Judicature Amendment Act 1972 and the Judicial Review Procedure Act 2016 are now typically added to that list.</w:t>
      </w:r>
    </w:p>
    <w:p w14:paraId="50C66A09" w14:textId="77777777" w:rsidR="009D2AA1" w:rsidRPr="00443E0C" w:rsidRDefault="009D2AA1" w:rsidP="00FB32D6">
      <w:pPr>
        <w:pStyle w:val="BodyTextnonum"/>
      </w:pPr>
      <w:r w:rsidRPr="00F21F36">
        <w:t xml:space="preserve">The standard list of exclusions from modification by order </w:t>
      </w:r>
      <w:r>
        <w:t xml:space="preserve">has now been expanded to </w:t>
      </w:r>
      <w:r w:rsidRPr="00F21F36">
        <w:t>include the following:</w:t>
      </w:r>
      <w:r>
        <w:t xml:space="preserve"> </w:t>
      </w:r>
    </w:p>
    <w:p w14:paraId="66DEC391" w14:textId="0D9EA5E7" w:rsidR="009D2AA1" w:rsidRPr="004F1894" w:rsidRDefault="009D2AA1" w:rsidP="00FB32D6">
      <w:pPr>
        <w:pStyle w:val="BodyTextnonum"/>
        <w:numPr>
          <w:ilvl w:val="0"/>
          <w:numId w:val="0"/>
        </w:numPr>
        <w:ind w:left="1418"/>
      </w:pPr>
      <w:r w:rsidRPr="004F1894">
        <w:t>Section 11 Hurunui</w:t>
      </w:r>
      <w:r w:rsidR="002C17E6">
        <w:t>/</w:t>
      </w:r>
      <w:proofErr w:type="spellStart"/>
      <w:r w:rsidRPr="004F1894">
        <w:t>Kaik</w:t>
      </w:r>
      <w:r w:rsidR="002C17E6">
        <w:t>ō</w:t>
      </w:r>
      <w:r w:rsidRPr="004F1894">
        <w:t>ura</w:t>
      </w:r>
      <w:proofErr w:type="spellEnd"/>
      <w:r w:rsidRPr="004F1894">
        <w:t xml:space="preserve"> Earthquakes Recovery Act 2016 </w:t>
      </w:r>
    </w:p>
    <w:p w14:paraId="0B018BE3" w14:textId="18C95765" w:rsidR="009D2AA1" w:rsidRPr="00617F58" w:rsidRDefault="009D2AA1" w:rsidP="00137BF0">
      <w:pPr>
        <w:autoSpaceDE w:val="0"/>
        <w:autoSpaceDN w:val="0"/>
        <w:adjustRightInd w:val="0"/>
        <w:ind w:left="1985" w:hanging="567"/>
        <w:rPr>
          <w:sz w:val="18"/>
          <w:szCs w:val="18"/>
        </w:rPr>
      </w:pPr>
      <w:r w:rsidRPr="00617F58">
        <w:rPr>
          <w:sz w:val="18"/>
          <w:szCs w:val="18"/>
        </w:rPr>
        <w:t xml:space="preserve">(1) </w:t>
      </w:r>
      <w:r w:rsidR="001905DD" w:rsidRPr="00617F58">
        <w:rPr>
          <w:sz w:val="18"/>
          <w:szCs w:val="18"/>
        </w:rPr>
        <w:tab/>
      </w:r>
      <w:r w:rsidRPr="00617F58">
        <w:rPr>
          <w:sz w:val="18"/>
          <w:szCs w:val="18"/>
        </w:rPr>
        <w:t>Despite anything else in this Act, an order must not—</w:t>
      </w:r>
    </w:p>
    <w:p w14:paraId="556040C1" w14:textId="551BBD69" w:rsidR="009D2AA1" w:rsidRPr="00617F58" w:rsidRDefault="009D2AA1" w:rsidP="00137BF0">
      <w:pPr>
        <w:autoSpaceDE w:val="0"/>
        <w:autoSpaceDN w:val="0"/>
        <w:adjustRightInd w:val="0"/>
        <w:ind w:left="2552" w:hanging="567"/>
        <w:rPr>
          <w:sz w:val="18"/>
          <w:szCs w:val="18"/>
        </w:rPr>
      </w:pPr>
      <w:r w:rsidRPr="00617F58">
        <w:rPr>
          <w:sz w:val="18"/>
          <w:szCs w:val="18"/>
        </w:rPr>
        <w:t xml:space="preserve">(a) </w:t>
      </w:r>
      <w:r w:rsidR="001905DD" w:rsidRPr="00617F58">
        <w:rPr>
          <w:sz w:val="18"/>
          <w:szCs w:val="18"/>
        </w:rPr>
        <w:tab/>
      </w:r>
      <w:r w:rsidRPr="00617F58">
        <w:rPr>
          <w:sz w:val="18"/>
          <w:szCs w:val="18"/>
        </w:rPr>
        <w:t>grant an exemption from or modify a requirement to—</w:t>
      </w:r>
    </w:p>
    <w:p w14:paraId="68A11C47" w14:textId="259F0D7D" w:rsidR="009D2AA1" w:rsidRPr="00617F58" w:rsidRDefault="009D2AA1" w:rsidP="00137BF0">
      <w:pPr>
        <w:autoSpaceDE w:val="0"/>
        <w:autoSpaceDN w:val="0"/>
        <w:adjustRightInd w:val="0"/>
        <w:ind w:left="3119" w:hanging="567"/>
        <w:rPr>
          <w:sz w:val="18"/>
          <w:szCs w:val="18"/>
        </w:rPr>
      </w:pPr>
      <w:r w:rsidRPr="00617F58">
        <w:rPr>
          <w:sz w:val="18"/>
          <w:szCs w:val="18"/>
        </w:rPr>
        <w:t>(</w:t>
      </w:r>
      <w:proofErr w:type="spellStart"/>
      <w:r w:rsidRPr="00617F58">
        <w:rPr>
          <w:sz w:val="18"/>
          <w:szCs w:val="18"/>
        </w:rPr>
        <w:t>i</w:t>
      </w:r>
      <w:proofErr w:type="spellEnd"/>
      <w:r w:rsidRPr="00617F58">
        <w:rPr>
          <w:sz w:val="18"/>
          <w:szCs w:val="18"/>
        </w:rPr>
        <w:t xml:space="preserve">) </w:t>
      </w:r>
      <w:r w:rsidR="001905DD" w:rsidRPr="00617F58">
        <w:rPr>
          <w:sz w:val="18"/>
          <w:szCs w:val="18"/>
        </w:rPr>
        <w:tab/>
      </w:r>
      <w:r w:rsidRPr="00617F58">
        <w:rPr>
          <w:sz w:val="18"/>
          <w:szCs w:val="18"/>
        </w:rPr>
        <w:t>release a person from custody or detention; or</w:t>
      </w:r>
    </w:p>
    <w:p w14:paraId="70AAA0DE" w14:textId="3B088BE8" w:rsidR="009D2AA1" w:rsidRPr="00617F58" w:rsidRDefault="009D2AA1" w:rsidP="00137BF0">
      <w:pPr>
        <w:autoSpaceDE w:val="0"/>
        <w:autoSpaceDN w:val="0"/>
        <w:adjustRightInd w:val="0"/>
        <w:ind w:left="3119" w:hanging="567"/>
        <w:rPr>
          <w:sz w:val="18"/>
          <w:szCs w:val="18"/>
        </w:rPr>
      </w:pPr>
      <w:r w:rsidRPr="00617F58">
        <w:rPr>
          <w:sz w:val="18"/>
          <w:szCs w:val="18"/>
        </w:rPr>
        <w:t>(ii)</w:t>
      </w:r>
      <w:r w:rsidR="001905DD" w:rsidRPr="00617F58">
        <w:rPr>
          <w:sz w:val="18"/>
          <w:szCs w:val="18"/>
        </w:rPr>
        <w:tab/>
      </w:r>
      <w:r w:rsidRPr="00617F58">
        <w:rPr>
          <w:sz w:val="18"/>
          <w:szCs w:val="18"/>
        </w:rPr>
        <w:t>have any person’s detention reviewed by a court, Judge, or</w:t>
      </w:r>
      <w:r w:rsidR="00D86AEE" w:rsidRPr="00617F58">
        <w:rPr>
          <w:sz w:val="18"/>
          <w:szCs w:val="18"/>
        </w:rPr>
        <w:t xml:space="preserve"> </w:t>
      </w:r>
      <w:r w:rsidRPr="00617F58">
        <w:rPr>
          <w:sz w:val="18"/>
          <w:szCs w:val="18"/>
        </w:rPr>
        <w:t>Registrar; or</w:t>
      </w:r>
    </w:p>
    <w:p w14:paraId="24EA0B03" w14:textId="39F7A4D6" w:rsidR="009D2AA1" w:rsidRPr="00617F58" w:rsidRDefault="009D2AA1" w:rsidP="00137BF0">
      <w:pPr>
        <w:autoSpaceDE w:val="0"/>
        <w:autoSpaceDN w:val="0"/>
        <w:adjustRightInd w:val="0"/>
        <w:ind w:left="2552" w:hanging="567"/>
        <w:rPr>
          <w:sz w:val="18"/>
          <w:szCs w:val="18"/>
        </w:rPr>
      </w:pPr>
      <w:r w:rsidRPr="00617F58">
        <w:rPr>
          <w:sz w:val="18"/>
          <w:szCs w:val="18"/>
        </w:rPr>
        <w:t xml:space="preserve">(b) </w:t>
      </w:r>
      <w:r w:rsidR="001905DD" w:rsidRPr="00617F58">
        <w:rPr>
          <w:sz w:val="18"/>
          <w:szCs w:val="18"/>
        </w:rPr>
        <w:tab/>
      </w:r>
      <w:r w:rsidRPr="00617F58">
        <w:rPr>
          <w:sz w:val="18"/>
          <w:szCs w:val="18"/>
        </w:rPr>
        <w:t>grant an exemption from or modify a restriction on keeping a person in</w:t>
      </w:r>
      <w:r w:rsidR="00D86AEE" w:rsidRPr="00617F58">
        <w:rPr>
          <w:sz w:val="18"/>
          <w:szCs w:val="18"/>
        </w:rPr>
        <w:t xml:space="preserve"> </w:t>
      </w:r>
      <w:r w:rsidRPr="00617F58">
        <w:rPr>
          <w:sz w:val="18"/>
          <w:szCs w:val="18"/>
        </w:rPr>
        <w:t>custody or detention; or</w:t>
      </w:r>
    </w:p>
    <w:p w14:paraId="3B6BA84D" w14:textId="7BA6FF79" w:rsidR="009D2AA1" w:rsidRPr="00617F58" w:rsidRDefault="009D2AA1" w:rsidP="00137BF0">
      <w:pPr>
        <w:autoSpaceDE w:val="0"/>
        <w:autoSpaceDN w:val="0"/>
        <w:adjustRightInd w:val="0"/>
        <w:ind w:left="2552" w:hanging="567"/>
        <w:rPr>
          <w:sz w:val="18"/>
          <w:szCs w:val="18"/>
        </w:rPr>
      </w:pPr>
      <w:r w:rsidRPr="00617F58">
        <w:rPr>
          <w:sz w:val="18"/>
          <w:szCs w:val="18"/>
        </w:rPr>
        <w:t xml:space="preserve">(c) </w:t>
      </w:r>
      <w:r w:rsidR="00D86AEE" w:rsidRPr="00617F58">
        <w:rPr>
          <w:sz w:val="18"/>
          <w:szCs w:val="18"/>
        </w:rPr>
        <w:tab/>
      </w:r>
      <w:r w:rsidRPr="00617F58">
        <w:rPr>
          <w:sz w:val="18"/>
          <w:szCs w:val="18"/>
        </w:rPr>
        <w:t>grant an exemption from or modify a requirement or restriction imposed</w:t>
      </w:r>
      <w:r w:rsidR="00D86AEE" w:rsidRPr="00617F58">
        <w:rPr>
          <w:sz w:val="18"/>
          <w:szCs w:val="18"/>
        </w:rPr>
        <w:t xml:space="preserve"> </w:t>
      </w:r>
      <w:r w:rsidRPr="00617F58">
        <w:rPr>
          <w:sz w:val="18"/>
          <w:szCs w:val="18"/>
        </w:rPr>
        <w:t>by the Bill of Rights 1688, the Constitution Act 1986, the Electoral Act</w:t>
      </w:r>
      <w:r w:rsidR="00D86AEE" w:rsidRPr="00617F58">
        <w:rPr>
          <w:sz w:val="18"/>
          <w:szCs w:val="18"/>
        </w:rPr>
        <w:t xml:space="preserve"> </w:t>
      </w:r>
      <w:r w:rsidRPr="00617F58">
        <w:rPr>
          <w:sz w:val="18"/>
          <w:szCs w:val="18"/>
        </w:rPr>
        <w:t>1993, the Judicature Amendment Act 1972, the Judicial Review Procedure</w:t>
      </w:r>
      <w:r w:rsidR="00D86AEE" w:rsidRPr="00617F58">
        <w:rPr>
          <w:sz w:val="18"/>
          <w:szCs w:val="18"/>
        </w:rPr>
        <w:t xml:space="preserve"> </w:t>
      </w:r>
      <w:r w:rsidRPr="00617F58">
        <w:rPr>
          <w:sz w:val="18"/>
          <w:szCs w:val="18"/>
        </w:rPr>
        <w:t>Act 2016, the New Zealand Bill of Rights Act 1990, or the Parliamentary</w:t>
      </w:r>
      <w:r w:rsidR="00D86AEE" w:rsidRPr="00617F58">
        <w:rPr>
          <w:sz w:val="18"/>
          <w:szCs w:val="18"/>
        </w:rPr>
        <w:t xml:space="preserve"> </w:t>
      </w:r>
      <w:r w:rsidRPr="00617F58">
        <w:rPr>
          <w:sz w:val="18"/>
          <w:szCs w:val="18"/>
        </w:rPr>
        <w:t>Privilege Act 2014; or</w:t>
      </w:r>
    </w:p>
    <w:p w14:paraId="0D850E03" w14:textId="6ADA61AD" w:rsidR="009D2AA1" w:rsidRPr="00617F58" w:rsidRDefault="009D2AA1" w:rsidP="00137BF0">
      <w:pPr>
        <w:autoSpaceDE w:val="0"/>
        <w:autoSpaceDN w:val="0"/>
        <w:adjustRightInd w:val="0"/>
        <w:ind w:left="2552" w:hanging="567"/>
        <w:rPr>
          <w:sz w:val="18"/>
          <w:szCs w:val="18"/>
        </w:rPr>
      </w:pPr>
      <w:r w:rsidRPr="00617F58">
        <w:rPr>
          <w:sz w:val="18"/>
          <w:szCs w:val="18"/>
        </w:rPr>
        <w:t xml:space="preserve">(d) </w:t>
      </w:r>
      <w:r w:rsidR="00D86AEE" w:rsidRPr="00617F58">
        <w:rPr>
          <w:sz w:val="18"/>
          <w:szCs w:val="18"/>
        </w:rPr>
        <w:tab/>
      </w:r>
      <w:r w:rsidRPr="00617F58">
        <w:rPr>
          <w:sz w:val="18"/>
          <w:szCs w:val="18"/>
        </w:rPr>
        <w:t>contain any provision that has the effect of amending a provision of this</w:t>
      </w:r>
      <w:r w:rsidR="00D86AEE" w:rsidRPr="00617F58">
        <w:rPr>
          <w:sz w:val="18"/>
          <w:szCs w:val="18"/>
        </w:rPr>
        <w:t xml:space="preserve"> </w:t>
      </w:r>
      <w:r w:rsidRPr="00617F58">
        <w:rPr>
          <w:sz w:val="18"/>
          <w:szCs w:val="18"/>
        </w:rPr>
        <w:t>Act.</w:t>
      </w:r>
    </w:p>
    <w:p w14:paraId="44774329" w14:textId="3500AA08" w:rsidR="009D2AA1" w:rsidRDefault="009D2AA1" w:rsidP="00FB32D6">
      <w:pPr>
        <w:pStyle w:val="BodyTextnonum"/>
      </w:pPr>
      <w:r w:rsidRPr="00F21F36">
        <w:t>The practice of listing the Act containing the amending power itself in the list</w:t>
      </w:r>
      <w:r>
        <w:t xml:space="preserve"> of statutes </w:t>
      </w:r>
      <w:r w:rsidR="00741C11">
        <w:t xml:space="preserve">that </w:t>
      </w:r>
      <w:r>
        <w:t>cannot be modified</w:t>
      </w:r>
      <w:r w:rsidRPr="00F21F36">
        <w:t xml:space="preserve"> </w:t>
      </w:r>
      <w:r>
        <w:t>(s 11(1)(d)</w:t>
      </w:r>
      <w:r w:rsidR="00F010DD">
        <w:t>)</w:t>
      </w:r>
      <w:r>
        <w:t xml:space="preserve"> </w:t>
      </w:r>
      <w:r w:rsidRPr="00F21F36">
        <w:t>has been uneven.</w:t>
      </w:r>
      <w:r>
        <w:t xml:space="preserve"> </w:t>
      </w:r>
    </w:p>
    <w:p w14:paraId="0C8D8E1A" w14:textId="72214226" w:rsidR="009D2AA1" w:rsidRDefault="009D2AA1" w:rsidP="00FB32D6">
      <w:pPr>
        <w:pStyle w:val="BodyTextnonum"/>
      </w:pPr>
      <w:r>
        <w:t xml:space="preserve">Again, such a list is at least likely to provide a starting point, though undoubtedly there are further statutes </w:t>
      </w:r>
      <w:r w:rsidR="004176D8">
        <w:t xml:space="preserve">that </w:t>
      </w:r>
      <w:r>
        <w:t xml:space="preserve">may broadly </w:t>
      </w:r>
      <w:proofErr w:type="gramStart"/>
      <w:r>
        <w:t>be considered to be</w:t>
      </w:r>
      <w:proofErr w:type="gramEnd"/>
      <w:r>
        <w:t xml:space="preserve"> fundamental.</w:t>
      </w:r>
      <w:r>
        <w:rPr>
          <w:rStyle w:val="FootnoteReference"/>
        </w:rPr>
        <w:footnoteReference w:id="101"/>
      </w:r>
      <w:r>
        <w:t xml:space="preserve"> Even so, certain </w:t>
      </w:r>
      <w:r>
        <w:lastRenderedPageBreak/>
        <w:t>of these constitutional statutes may sometimes need to be modified in an emergency (</w:t>
      </w:r>
      <w:r w:rsidR="004176D8">
        <w:t xml:space="preserve">for example, </w:t>
      </w:r>
      <w:r>
        <w:t xml:space="preserve">see the discussion in Part Three about elections disrupted by emergencies </w:t>
      </w:r>
      <w:r w:rsidR="004176D8">
        <w:t xml:space="preserve">that </w:t>
      </w:r>
      <w:r>
        <w:t xml:space="preserve">may require amendments to the Constitution Act 1986). That makes it </w:t>
      </w:r>
      <w:proofErr w:type="gramStart"/>
      <w:r>
        <w:t>all the more</w:t>
      </w:r>
      <w:proofErr w:type="gramEnd"/>
      <w:r>
        <w:t xml:space="preserve"> necessary to get the settings right in advance and to maintain a certain degree of flexibility. </w:t>
      </w:r>
    </w:p>
    <w:p w14:paraId="2EEE8303" w14:textId="20D0FB38" w:rsidR="009D2AA1" w:rsidRPr="00F21F36" w:rsidRDefault="009D2AA1" w:rsidP="00FB32D6">
      <w:pPr>
        <w:pStyle w:val="BodyTextnonum"/>
      </w:pPr>
      <w:r>
        <w:t>T</w:t>
      </w:r>
      <w:r w:rsidRPr="00F21F36">
        <w:t xml:space="preserve">he 2020 Report of the Finance and Expenditure Committee on the COVID-19 </w:t>
      </w:r>
      <w:r>
        <w:t>Public Health R</w:t>
      </w:r>
      <w:r w:rsidRPr="00F21F36">
        <w:t xml:space="preserve">esponse Act contains little </w:t>
      </w:r>
      <w:r>
        <w:t xml:space="preserve">by way of </w:t>
      </w:r>
      <w:r w:rsidRPr="00F21F36">
        <w:t xml:space="preserve">discussion </w:t>
      </w:r>
      <w:r>
        <w:t>of the powers to modify primary legislation by order</w:t>
      </w:r>
      <w:r w:rsidRPr="00F21F36">
        <w:t>.</w:t>
      </w:r>
      <w:r w:rsidRPr="004E11D0">
        <w:rPr>
          <w:rStyle w:val="FootnoteReference"/>
        </w:rPr>
        <w:t xml:space="preserve"> </w:t>
      </w:r>
      <w:r w:rsidRPr="00F21F36">
        <w:t>It does, however, comment that the C</w:t>
      </w:r>
      <w:r>
        <w:t>OVID</w:t>
      </w:r>
      <w:r w:rsidRPr="00F21F36">
        <w:t xml:space="preserve">-19 </w:t>
      </w:r>
      <w:r w:rsidR="00F03B47" w:rsidRPr="00E62952">
        <w:t xml:space="preserve">Public Health Response </w:t>
      </w:r>
      <w:r w:rsidRPr="00F21F36">
        <w:t xml:space="preserve">Act: </w:t>
      </w:r>
    </w:p>
    <w:p w14:paraId="124C5589" w14:textId="6AAC4039" w:rsidR="009D2AA1" w:rsidRPr="00943D48" w:rsidRDefault="009D2AA1">
      <w:pPr>
        <w:pStyle w:val="Quote"/>
      </w:pPr>
      <w:r w:rsidRPr="00943D48">
        <w:t>… unlike the legislation responding to the Christchurch earthquakes … did not provide powers to override other enactments.</w:t>
      </w:r>
      <w:r w:rsidR="007D1352">
        <w:rPr>
          <w:rStyle w:val="FootnoteReference"/>
        </w:rPr>
        <w:footnoteReference w:id="102"/>
      </w:r>
    </w:p>
    <w:p w14:paraId="0BD64951" w14:textId="1CA7F6AB" w:rsidR="009D2AA1" w:rsidRPr="00F21F36" w:rsidRDefault="009D2AA1" w:rsidP="00FB32D6">
      <w:pPr>
        <w:pStyle w:val="BodyTextnonum"/>
      </w:pPr>
      <w:r>
        <w:t>While strictly that is the case, t</w:t>
      </w:r>
      <w:r w:rsidRPr="00F21F36">
        <w:t xml:space="preserve">he actual situation is a little more complicated. The COVID-19 Public Health Response Act does not contain a negative list </w:t>
      </w:r>
      <w:proofErr w:type="gramStart"/>
      <w:r w:rsidRPr="00F21F36">
        <w:t>similar to</w:t>
      </w:r>
      <w:proofErr w:type="gramEnd"/>
      <w:r w:rsidRPr="00F21F36">
        <w:t xml:space="preserve"> those used in earlier bespoke legislation</w:t>
      </w:r>
      <w:r>
        <w:t xml:space="preserve"> exempting named statutes from</w:t>
      </w:r>
      <w:r w:rsidRPr="00F21F36">
        <w:t xml:space="preserve"> modifi</w:t>
      </w:r>
      <w:r>
        <w:t>cation</w:t>
      </w:r>
      <w:r w:rsidRPr="00F21F36">
        <w:t xml:space="preserve"> by order</w:t>
      </w:r>
      <w:r>
        <w:t>.</w:t>
      </w:r>
      <w:r w:rsidRPr="00F21F36">
        <w:t xml:space="preserve"> </w:t>
      </w:r>
      <w:r>
        <w:t>There is less need for it to do so</w:t>
      </w:r>
      <w:r w:rsidRPr="00F21F36">
        <w:t xml:space="preserve"> given that the Epidemic Preparedness Act already performs some of this work. </w:t>
      </w:r>
      <w:r>
        <w:t xml:space="preserve">Significantly, however, </w:t>
      </w:r>
      <w:r w:rsidRPr="00F21F36">
        <w:t xml:space="preserve">s 13(1) of the </w:t>
      </w:r>
      <w:r w:rsidR="003C28AA" w:rsidRPr="00F21F36">
        <w:t xml:space="preserve">COVID-19 Public Health Response </w:t>
      </w:r>
      <w:r w:rsidRPr="00F21F36">
        <w:t>Act provides that a C</w:t>
      </w:r>
      <w:r w:rsidR="0061070F">
        <w:t>OVID</w:t>
      </w:r>
      <w:r w:rsidRPr="00F21F36">
        <w:t xml:space="preserve">-19 </w:t>
      </w:r>
      <w:r w:rsidR="000A5318">
        <w:t>o</w:t>
      </w:r>
      <w:r w:rsidRPr="00F21F36">
        <w:t xml:space="preserve">rder cannot be held invalid simply because: </w:t>
      </w:r>
    </w:p>
    <w:p w14:paraId="19683B3B" w14:textId="536E671A" w:rsidR="009D2AA1" w:rsidRPr="00536131" w:rsidRDefault="009D2AA1">
      <w:pPr>
        <w:pStyle w:val="BodyTextalphalist"/>
      </w:pPr>
      <w:r w:rsidRPr="00F21F36">
        <w:t>it is, or authorises any act or omission that is, inconsistent with the</w:t>
      </w:r>
      <w:r w:rsidRPr="00F21F36">
        <w:rPr>
          <w:rFonts w:ascii="Calibri" w:hAnsi="Calibri" w:cs="Calibri"/>
        </w:rPr>
        <w:t> </w:t>
      </w:r>
      <w:r w:rsidR="003C28AA" w:rsidRPr="00F21F36">
        <w:t>Health Act 1956</w:t>
      </w:r>
      <w:r w:rsidRPr="00F21F36">
        <w:rPr>
          <w:rFonts w:ascii="Calibri" w:hAnsi="Calibri" w:cs="Calibri"/>
        </w:rPr>
        <w:t> </w:t>
      </w:r>
      <w:r w:rsidRPr="00F21F36">
        <w:t>or any other enactment relevant to the subject matter of the order; or</w:t>
      </w:r>
    </w:p>
    <w:p w14:paraId="4EB50167" w14:textId="77777777" w:rsidR="009D2AA1" w:rsidRPr="00F21F36" w:rsidRDefault="009D2AA1">
      <w:pPr>
        <w:pStyle w:val="BodyTextalphalist"/>
      </w:pPr>
      <w:r w:rsidRPr="00F21F36">
        <w:t>it confers any discretion on, or allows any matter to be determined, approved, or exempted by any person.</w:t>
      </w:r>
    </w:p>
    <w:p w14:paraId="53C626E1" w14:textId="34E686BB" w:rsidR="009D2AA1" w:rsidRDefault="009D2AA1" w:rsidP="00FB32D6">
      <w:pPr>
        <w:pStyle w:val="BodyTextnonum"/>
      </w:pPr>
      <w:r>
        <w:t>Whatever the intention may have been, in certain circumstances</w:t>
      </w:r>
      <w:r w:rsidR="003C28AA">
        <w:t>,</w:t>
      </w:r>
      <w:r>
        <w:t xml:space="preserve"> s</w:t>
      </w:r>
      <w:r w:rsidRPr="00F21F36">
        <w:t xml:space="preserve">ection 13(1) </w:t>
      </w:r>
      <w:r>
        <w:t xml:space="preserve">appears to </w:t>
      </w:r>
      <w:r w:rsidRPr="00F21F36">
        <w:t xml:space="preserve">achieve a similar effect to that of </w:t>
      </w:r>
      <w:r>
        <w:t>a</w:t>
      </w:r>
      <w:r w:rsidRPr="00F21F36">
        <w:t xml:space="preserve"> </w:t>
      </w:r>
      <w:r>
        <w:t xml:space="preserve">Henry VIII </w:t>
      </w:r>
      <w:r w:rsidRPr="00F21F36">
        <w:t xml:space="preserve">clause. </w:t>
      </w:r>
      <w:r>
        <w:t xml:space="preserve">As discussed in Part Three, it effectively allowed the deployment of New Zealand Defence Force personnel by an order made by the Director-General of Health and thus circumvented the controlling criteria in the Defence Act 1990. </w:t>
      </w:r>
    </w:p>
    <w:p w14:paraId="531535D2" w14:textId="02C6B05B" w:rsidR="009D2AA1" w:rsidRPr="00F21F36" w:rsidRDefault="009D2AA1" w:rsidP="00FB32D6">
      <w:pPr>
        <w:pStyle w:val="BodyTextnonum"/>
      </w:pPr>
      <w:r w:rsidRPr="00F21F36">
        <w:t>While C</w:t>
      </w:r>
      <w:r w:rsidR="0061070F">
        <w:t>OVID</w:t>
      </w:r>
      <w:r w:rsidRPr="00F21F36">
        <w:t xml:space="preserve">-19 </w:t>
      </w:r>
      <w:r w:rsidR="000A5318">
        <w:t>o</w:t>
      </w:r>
      <w:r w:rsidRPr="00F21F36">
        <w:t xml:space="preserve">rders apply even if contradicted by primary legislation (under s 13(1)), the </w:t>
      </w:r>
      <w:r w:rsidR="003C28AA" w:rsidRPr="00F21F36">
        <w:t xml:space="preserve">COVID-19 Public Health Response </w:t>
      </w:r>
      <w:r w:rsidRPr="00F21F36">
        <w:t xml:space="preserve">Act does not </w:t>
      </w:r>
      <w:r>
        <w:t xml:space="preserve">otherwise </w:t>
      </w:r>
      <w:r w:rsidRPr="00F21F36">
        <w:t xml:space="preserve">elevate </w:t>
      </w:r>
      <w:r w:rsidR="003C28AA">
        <w:t>o</w:t>
      </w:r>
      <w:r w:rsidRPr="00F21F36">
        <w:t xml:space="preserve">rders to the status of primary legislation. Section 13(3) is emphatic: </w:t>
      </w:r>
    </w:p>
    <w:p w14:paraId="7CB7AF50" w14:textId="7AD30FDB" w:rsidR="009D2AA1" w:rsidRPr="00943D48" w:rsidRDefault="009D2AA1">
      <w:pPr>
        <w:pStyle w:val="Quote"/>
      </w:pPr>
      <w:r w:rsidRPr="00943D48">
        <w:t xml:space="preserve">To avoid doubt, nothing in </w:t>
      </w:r>
      <w:r w:rsidRPr="0001045F">
        <w:t>this</w:t>
      </w:r>
      <w:r w:rsidRPr="00943D48">
        <w:t xml:space="preserve"> Act prevents the filing, hearing, or determination of any legal proceedings in respect of the making or terms of any</w:t>
      </w:r>
      <w:r w:rsidR="00F402FA">
        <w:rPr>
          <w:rFonts w:ascii="Calibri" w:hAnsi="Calibri" w:cs="Calibri"/>
        </w:rPr>
        <w:t xml:space="preserve"> </w:t>
      </w:r>
      <w:r w:rsidRPr="00943D48">
        <w:rPr>
          <w:rStyle w:val="insertwords"/>
          <w:i/>
          <w:iCs/>
        </w:rPr>
        <w:t>COVID-19 order</w:t>
      </w:r>
      <w:r w:rsidRPr="00943D48">
        <w:t>.</w:t>
      </w:r>
    </w:p>
    <w:p w14:paraId="41555BC3" w14:textId="77777777" w:rsidR="009D2AA1" w:rsidRPr="00943D48" w:rsidRDefault="009D2AA1" w:rsidP="00FB32D6">
      <w:pPr>
        <w:pStyle w:val="BodyTextnonum"/>
      </w:pPr>
      <w:r w:rsidRPr="00943D48">
        <w:t xml:space="preserve">This, at least, allows a degree of judicial oversight of these questions. </w:t>
      </w:r>
    </w:p>
    <w:p w14:paraId="6AC22FD9" w14:textId="77777777" w:rsidR="009D2AA1" w:rsidRPr="00F21F36" w:rsidRDefault="009D2AA1" w:rsidP="0001045F">
      <w:pPr>
        <w:pStyle w:val="Heading2"/>
        <w:rPr>
          <w:shd w:val="clear" w:color="auto" w:fill="FFFFFF"/>
        </w:rPr>
      </w:pPr>
      <w:bookmarkStart w:id="91" w:name="_Toc116464817"/>
      <w:bookmarkStart w:id="92" w:name="_Toc117063106"/>
      <w:bookmarkStart w:id="93" w:name="_Toc118119298"/>
      <w:bookmarkStart w:id="94" w:name="_Hlk107815224"/>
      <w:r w:rsidRPr="0001045F">
        <w:t>Controls</w:t>
      </w:r>
      <w:r>
        <w:rPr>
          <w:shd w:val="clear" w:color="auto" w:fill="FFFFFF"/>
        </w:rPr>
        <w:t xml:space="preserve"> on implementation</w:t>
      </w:r>
      <w:bookmarkEnd w:id="91"/>
      <w:bookmarkEnd w:id="92"/>
      <w:bookmarkEnd w:id="93"/>
      <w:r>
        <w:rPr>
          <w:shd w:val="clear" w:color="auto" w:fill="FFFFFF"/>
        </w:rPr>
        <w:t xml:space="preserve"> </w:t>
      </w:r>
    </w:p>
    <w:bookmarkEnd w:id="94"/>
    <w:p w14:paraId="36B29124" w14:textId="31FCE050" w:rsidR="009D2AA1" w:rsidRDefault="009D2AA1" w:rsidP="00FB32D6">
      <w:pPr>
        <w:pStyle w:val="BodyTextnonum"/>
        <w:rPr>
          <w:rFonts w:eastAsia="Calibri"/>
        </w:rPr>
      </w:pPr>
      <w:r w:rsidRPr="0009309E">
        <w:rPr>
          <w:color w:val="202124"/>
        </w:rPr>
        <w:t xml:space="preserve">The </w:t>
      </w:r>
      <w:r w:rsidRPr="00CC3ADC">
        <w:rPr>
          <w:color w:val="000000" w:themeColor="text1"/>
        </w:rPr>
        <w:t>RRC</w:t>
      </w:r>
      <w:r w:rsidRPr="0009309E">
        <w:rPr>
          <w:color w:val="000000" w:themeColor="text1"/>
        </w:rPr>
        <w:t xml:space="preserve"> reports also </w:t>
      </w:r>
      <w:r w:rsidRPr="0009309E">
        <w:rPr>
          <w:rFonts w:eastAsia="Calibri"/>
        </w:rPr>
        <w:t xml:space="preserve">identify the need for </w:t>
      </w:r>
      <w:r w:rsidRPr="0009309E">
        <w:rPr>
          <w:rFonts w:eastAsia="Calibri"/>
          <w:i/>
          <w:iCs/>
        </w:rPr>
        <w:t>ongoing</w:t>
      </w:r>
      <w:r w:rsidRPr="0009309E">
        <w:rPr>
          <w:rFonts w:eastAsia="Calibri"/>
        </w:rPr>
        <w:t xml:space="preserve">, robust scrutiny around the </w:t>
      </w:r>
      <w:r w:rsidRPr="0009309E">
        <w:rPr>
          <w:rFonts w:eastAsia="Calibri"/>
          <w:i/>
          <w:iCs/>
        </w:rPr>
        <w:t xml:space="preserve">implementation </w:t>
      </w:r>
      <w:r w:rsidRPr="0009309E">
        <w:rPr>
          <w:rFonts w:eastAsia="Calibri"/>
        </w:rPr>
        <w:t xml:space="preserve">of emergency laws. </w:t>
      </w:r>
      <w:r>
        <w:rPr>
          <w:rFonts w:eastAsia="Calibri"/>
        </w:rPr>
        <w:t>The RRC</w:t>
      </w:r>
      <w:r w:rsidR="006B7FC3">
        <w:rPr>
          <w:rFonts w:eastAsia="Calibri"/>
        </w:rPr>
        <w:t>’s 2016 Report</w:t>
      </w:r>
      <w:r>
        <w:rPr>
          <w:rFonts w:eastAsia="Calibri"/>
        </w:rPr>
        <w:t xml:space="preserve"> recommends that:</w:t>
      </w:r>
    </w:p>
    <w:p w14:paraId="1CB58300" w14:textId="1D61856D" w:rsidR="009D2AA1" w:rsidRPr="00943D48" w:rsidRDefault="009D2AA1">
      <w:pPr>
        <w:pStyle w:val="Quote"/>
        <w:rPr>
          <w:rFonts w:eastAsia="Calibri"/>
        </w:rPr>
      </w:pPr>
      <w:r w:rsidRPr="00943D48">
        <w:rPr>
          <w:rFonts w:eastAsia="Calibri"/>
        </w:rPr>
        <w:t>The responsible Minister should formally report, annually, to the House on the exercise of powers under the emergency legislation and on progress with the recovery effort.</w:t>
      </w:r>
      <w:r w:rsidR="007D1352">
        <w:rPr>
          <w:rStyle w:val="FootnoteReference"/>
          <w:rFonts w:eastAsia="Calibri"/>
        </w:rPr>
        <w:footnoteReference w:id="103"/>
      </w:r>
    </w:p>
    <w:p w14:paraId="1F2386F9" w14:textId="4D363CF8" w:rsidR="009D2AA1" w:rsidRPr="00F21F36" w:rsidRDefault="009D2AA1" w:rsidP="00FB32D6">
      <w:pPr>
        <w:pStyle w:val="BodyTextnonum"/>
      </w:pPr>
      <w:r w:rsidRPr="00F21F36">
        <w:lastRenderedPageBreak/>
        <w:t xml:space="preserve">The </w:t>
      </w:r>
      <w:r w:rsidR="007D4054">
        <w:t>R</w:t>
      </w:r>
      <w:r w:rsidR="007D4054">
        <w:rPr>
          <w:color w:val="202124"/>
        </w:rPr>
        <w:t xml:space="preserve">RC’s </w:t>
      </w:r>
      <w:r w:rsidRPr="00F21F36">
        <w:t xml:space="preserve">2016 Report picks up on a couple of provisions in the Canterbury </w:t>
      </w:r>
      <w:r w:rsidR="007D4054">
        <w:t xml:space="preserve">Earthquake Recovery </w:t>
      </w:r>
      <w:r w:rsidRPr="00F21F36">
        <w:t xml:space="preserve">Act, which contain reporting obligations to the House. Section 88 stipulated: </w:t>
      </w:r>
    </w:p>
    <w:p w14:paraId="0F4F731F" w14:textId="77777777" w:rsidR="009D2AA1" w:rsidRPr="001D3F45" w:rsidRDefault="009D2AA1" w:rsidP="00137BF0">
      <w:pPr>
        <w:pStyle w:val="Quote"/>
        <w:ind w:left="1985" w:hanging="567"/>
        <w:rPr>
          <w:b/>
          <w:bCs/>
          <w:szCs w:val="22"/>
        </w:rPr>
      </w:pPr>
      <w:r w:rsidRPr="001D3F45">
        <w:rPr>
          <w:b/>
          <w:bCs/>
          <w:szCs w:val="22"/>
        </w:rPr>
        <w:t>88</w:t>
      </w:r>
      <w:r w:rsidRPr="001D3F45">
        <w:rPr>
          <w:b/>
          <w:bCs/>
          <w:szCs w:val="22"/>
        </w:rPr>
        <w:tab/>
        <w:t>Quarterly report on operation of this Act</w:t>
      </w:r>
    </w:p>
    <w:p w14:paraId="7DC8A796" w14:textId="77777777" w:rsidR="009D2AA1" w:rsidRPr="001D3F45" w:rsidRDefault="009D2AA1" w:rsidP="00556B28">
      <w:pPr>
        <w:pStyle w:val="Quote"/>
        <w:numPr>
          <w:ilvl w:val="0"/>
          <w:numId w:val="14"/>
        </w:numPr>
        <w:spacing w:before="120" w:after="120"/>
        <w:ind w:left="1985" w:right="567" w:hanging="567"/>
        <w:rPr>
          <w:szCs w:val="22"/>
        </w:rPr>
      </w:pPr>
      <w:r w:rsidRPr="00C75CC9">
        <w:rPr>
          <w:szCs w:val="22"/>
        </w:rPr>
        <w:t>The Minister must prepare and present to the House of Representatives quarterly reports on the operation of this Act.</w:t>
      </w:r>
    </w:p>
    <w:p w14:paraId="15D22D7D" w14:textId="77777777" w:rsidR="009D2AA1" w:rsidRPr="001D3F45" w:rsidRDefault="009D2AA1" w:rsidP="00556B28">
      <w:pPr>
        <w:pStyle w:val="Quote"/>
        <w:numPr>
          <w:ilvl w:val="0"/>
          <w:numId w:val="14"/>
        </w:numPr>
        <w:spacing w:before="120" w:after="120"/>
        <w:ind w:left="1985" w:right="567" w:hanging="567"/>
        <w:rPr>
          <w:szCs w:val="22"/>
        </w:rPr>
      </w:pPr>
      <w:r w:rsidRPr="001D3F45">
        <w:rPr>
          <w:szCs w:val="22"/>
        </w:rPr>
        <w:t>Each report must include a description of powers exercised by or on behalf of the Minister or the chief executive under this Act during the period reported on.</w:t>
      </w:r>
    </w:p>
    <w:p w14:paraId="04147423" w14:textId="77777777" w:rsidR="009D2AA1" w:rsidRPr="00F21F36" w:rsidRDefault="009D2AA1" w:rsidP="00FB32D6">
      <w:pPr>
        <w:pStyle w:val="BodyTextnonum"/>
      </w:pPr>
      <w:r w:rsidRPr="00F21F36">
        <w:t>In addition, the Minister for Canterbury Earthquake Recovery was also obliged to carry out a more comprehensive annual review under s 92</w:t>
      </w:r>
      <w:r>
        <w:t>.</w:t>
      </w:r>
      <w:r w:rsidRPr="00F21F36">
        <w:t xml:space="preserve"> </w:t>
      </w:r>
    </w:p>
    <w:p w14:paraId="71F38198" w14:textId="34CDE31E" w:rsidR="009D2AA1" w:rsidRDefault="009D2AA1" w:rsidP="00FB32D6">
      <w:pPr>
        <w:pStyle w:val="BodyTextnonum"/>
        <w:rPr>
          <w:rFonts w:eastAsia="Calibri"/>
        </w:rPr>
      </w:pPr>
      <w:r w:rsidRPr="002C0392">
        <w:rPr>
          <w:rFonts w:eastAsia="Calibri"/>
        </w:rPr>
        <w:t xml:space="preserve">Much will depend on the level of detail of those reports. The report on the uses of extraordinary powers could include, for example, data by which to ascertain whether warrantless searches have more frequently been used against certain </w:t>
      </w:r>
      <w:r w:rsidR="001C4CCD">
        <w:t xml:space="preserve">discrete </w:t>
      </w:r>
      <w:r w:rsidRPr="002C0392">
        <w:rPr>
          <w:rFonts w:eastAsia="Calibri"/>
        </w:rPr>
        <w:t xml:space="preserve">sectors of the population. </w:t>
      </w:r>
    </w:p>
    <w:p w14:paraId="4247A9AC" w14:textId="598EB463" w:rsidR="009D2AA1" w:rsidRPr="002C0392" w:rsidRDefault="009D2AA1" w:rsidP="00FB32D6">
      <w:pPr>
        <w:pStyle w:val="BodyTextnonum"/>
        <w:rPr>
          <w:rFonts w:eastAsia="Calibri"/>
        </w:rPr>
      </w:pPr>
      <w:r w:rsidRPr="002C0392">
        <w:rPr>
          <w:rFonts w:eastAsia="Calibri"/>
        </w:rPr>
        <w:t>Such measures</w:t>
      </w:r>
      <w:r>
        <w:rPr>
          <w:rFonts w:eastAsia="Calibri"/>
        </w:rPr>
        <w:t>, however,</w:t>
      </w:r>
      <w:r w:rsidRPr="002C0392">
        <w:rPr>
          <w:rFonts w:eastAsia="Calibri"/>
        </w:rPr>
        <w:t xml:space="preserve"> </w:t>
      </w:r>
      <w:r>
        <w:rPr>
          <w:rFonts w:eastAsia="Calibri"/>
        </w:rPr>
        <w:t xml:space="preserve">tend to be </w:t>
      </w:r>
      <w:proofErr w:type="gramStart"/>
      <w:r w:rsidRPr="002C0392">
        <w:rPr>
          <w:rFonts w:eastAsia="Calibri"/>
        </w:rPr>
        <w:t>fairly blunt</w:t>
      </w:r>
      <w:proofErr w:type="gramEnd"/>
      <w:r w:rsidRPr="002C0392">
        <w:rPr>
          <w:rFonts w:eastAsia="Calibri"/>
        </w:rPr>
        <w:t xml:space="preserve"> and after the fact. They render more pressing the need for continuing judicial supervision. Notoriously, </w:t>
      </w:r>
      <w:r w:rsidRPr="002C0392">
        <w:rPr>
          <w:color w:val="000000" w:themeColor="text1"/>
        </w:rPr>
        <w:t>the Canterbury Earthquake Response and Recovery Act s 6(3)</w:t>
      </w:r>
      <w:r>
        <w:rPr>
          <w:color w:val="000000" w:themeColor="text1"/>
        </w:rPr>
        <w:t xml:space="preserve"> </w:t>
      </w:r>
      <w:r w:rsidRPr="002C0392">
        <w:rPr>
          <w:color w:val="000000" w:themeColor="text1"/>
        </w:rPr>
        <w:t>effectively disbarred one significant avenue for judicial review. It read:</w:t>
      </w:r>
    </w:p>
    <w:p w14:paraId="3EF81B28" w14:textId="77777777" w:rsidR="009D2AA1" w:rsidRPr="001D3F45" w:rsidRDefault="009D2AA1">
      <w:pPr>
        <w:pStyle w:val="Quote"/>
      </w:pPr>
      <w:r w:rsidRPr="001D3F45">
        <w:t xml:space="preserve">The </w:t>
      </w:r>
      <w:r w:rsidRPr="000F72CC">
        <w:t>recommendation</w:t>
      </w:r>
      <w:r w:rsidRPr="001D3F45">
        <w:t xml:space="preserve"> of the relevant Minister may not be challenged, reviewed, quashed, or called into question in any court.</w:t>
      </w:r>
    </w:p>
    <w:p w14:paraId="00A58355" w14:textId="77777777" w:rsidR="009D2AA1" w:rsidRPr="00F21F36" w:rsidRDefault="009D2AA1" w:rsidP="000F72CC">
      <w:pPr>
        <w:ind w:firstLine="720"/>
        <w:rPr>
          <w:color w:val="000000" w:themeColor="text1"/>
        </w:rPr>
      </w:pPr>
      <w:r w:rsidRPr="00F21F36">
        <w:rPr>
          <w:color w:val="000000" w:themeColor="text1"/>
        </w:rPr>
        <w:t>Of equal concern was s 7(1):</w:t>
      </w:r>
    </w:p>
    <w:p w14:paraId="29AEAABA" w14:textId="77777777" w:rsidR="009D2AA1" w:rsidRPr="001D3F45" w:rsidRDefault="009D2AA1">
      <w:pPr>
        <w:pStyle w:val="Quote"/>
      </w:pPr>
      <w:r w:rsidRPr="001D3F45">
        <w:t xml:space="preserve">While </w:t>
      </w:r>
      <w:r w:rsidRPr="000F72CC">
        <w:t>it</w:t>
      </w:r>
      <w:r w:rsidRPr="001D3F45">
        <w:t xml:space="preserve"> remains in force, every Order in Council made under</w:t>
      </w:r>
      <w:r w:rsidRPr="001D3F45">
        <w:rPr>
          <w:rFonts w:ascii="Calibri" w:hAnsi="Calibri" w:cs="Calibri"/>
        </w:rPr>
        <w:t> </w:t>
      </w:r>
      <w:hyperlink r:id="rId30" w:anchor="DLM3233036" w:history="1">
        <w:r w:rsidRPr="001D3F45">
          <w:t>section 6</w:t>
        </w:r>
      </w:hyperlink>
      <w:r w:rsidRPr="001D3F45">
        <w:rPr>
          <w:rFonts w:ascii="Calibri" w:hAnsi="Calibri" w:cs="Calibri"/>
        </w:rPr>
        <w:t> </w:t>
      </w:r>
      <w:r w:rsidRPr="001D3F45">
        <w:t>has the force of law as if it were enacted as a provision of this Act.</w:t>
      </w:r>
    </w:p>
    <w:p w14:paraId="04AAA35C" w14:textId="093B9849" w:rsidR="009D2AA1" w:rsidRDefault="009D2AA1" w:rsidP="00FB32D6">
      <w:pPr>
        <w:pStyle w:val="BodyTextnonum"/>
      </w:pPr>
      <w:r w:rsidRPr="00F21F36">
        <w:t xml:space="preserve">The effect of this provision was to preclude the judicial review of these Orders in </w:t>
      </w:r>
      <w:proofErr w:type="gramStart"/>
      <w:r w:rsidRPr="00F21F36">
        <w:t>Council, since</w:t>
      </w:r>
      <w:proofErr w:type="gramEnd"/>
      <w:r w:rsidRPr="00F21F36">
        <w:t xml:space="preserve"> primary legislation cannot be reviewed by the </w:t>
      </w:r>
      <w:r w:rsidR="009F3283">
        <w:t>c</w:t>
      </w:r>
      <w:r w:rsidRPr="00F21F36">
        <w:t xml:space="preserve">ourts. </w:t>
      </w:r>
      <w:r w:rsidR="009F3283">
        <w:t xml:space="preserve">The </w:t>
      </w:r>
      <w:r>
        <w:t>RRC</w:t>
      </w:r>
      <w:r w:rsidR="009F3283">
        <w:t>’</w:t>
      </w:r>
      <w:r w:rsidR="006B7FC3">
        <w:t>s</w:t>
      </w:r>
      <w:r>
        <w:t xml:space="preserve"> </w:t>
      </w:r>
      <w:r w:rsidR="009F3283">
        <w:t xml:space="preserve">2016 Report and 2020 Report both </w:t>
      </w:r>
      <w:r>
        <w:t>recommend that judicial review should continue in an emergency.</w:t>
      </w:r>
    </w:p>
    <w:p w14:paraId="2387503B" w14:textId="4E4DE151" w:rsidR="009D2AA1" w:rsidRPr="002C0392" w:rsidRDefault="009D2AA1" w:rsidP="00FB32D6">
      <w:pPr>
        <w:pStyle w:val="BodyTextnonum"/>
      </w:pPr>
      <w:r w:rsidRPr="002C0392">
        <w:t xml:space="preserve">Access to judicial review is unlikely to be </w:t>
      </w:r>
      <w:r>
        <w:t xml:space="preserve">sufficient </w:t>
      </w:r>
      <w:r w:rsidRPr="002C0392">
        <w:t xml:space="preserve">in the event of a major emergency. The Law Society </w:t>
      </w:r>
      <w:r w:rsidR="00614748">
        <w:t>s</w:t>
      </w:r>
      <w:r w:rsidRPr="002C0392">
        <w:t>ubmission to the 2016 RRC, endorsed by the 2020 RRC</w:t>
      </w:r>
      <w:r w:rsidR="00614748">
        <w:t>,</w:t>
      </w:r>
      <w:r w:rsidRPr="002C0392">
        <w:t xml:space="preserve"> recommended that:</w:t>
      </w:r>
    </w:p>
    <w:p w14:paraId="1FBB6F18" w14:textId="77777777" w:rsidR="009D2AA1" w:rsidRDefault="009D2AA1" w:rsidP="00B95E9B">
      <w:pPr>
        <w:pStyle w:val="Quote"/>
      </w:pPr>
      <w:r w:rsidRPr="00943D48">
        <w:t xml:space="preserve">there </w:t>
      </w:r>
      <w:r w:rsidRPr="00B95E9B">
        <w:t>should</w:t>
      </w:r>
      <w:r w:rsidRPr="00943D48">
        <w:t xml:space="preserve"> </w:t>
      </w:r>
      <w:r w:rsidRPr="000F72CC">
        <w:t>be</w:t>
      </w:r>
      <w:r w:rsidRPr="00943D48">
        <w:t xml:space="preserve"> greater community input in the operation of emergency legislation and reviews of powers exercised under it, together with access to an ombudsman or statutory complaints officer who can receive and determine complaints from members of affected communities.</w:t>
      </w:r>
    </w:p>
    <w:p w14:paraId="7B0868EE" w14:textId="77777777" w:rsidR="009D2AA1" w:rsidRPr="002C0392" w:rsidRDefault="009D2AA1" w:rsidP="000F72CC">
      <w:pPr>
        <w:pStyle w:val="Heading2"/>
        <w:rPr>
          <w:color w:val="000000" w:themeColor="text1"/>
        </w:rPr>
      </w:pPr>
      <w:bookmarkStart w:id="95" w:name="_Toc116464818"/>
      <w:bookmarkStart w:id="96" w:name="_Toc117063107"/>
      <w:bookmarkStart w:id="97" w:name="_Toc118119299"/>
      <w:bookmarkStart w:id="98" w:name="_Hlk107815256"/>
      <w:r w:rsidRPr="000F72CC">
        <w:t>International</w:t>
      </w:r>
      <w:r w:rsidRPr="002C0392">
        <w:t xml:space="preserve"> norms and benchmarks</w:t>
      </w:r>
      <w:bookmarkEnd w:id="95"/>
      <w:bookmarkEnd w:id="96"/>
      <w:bookmarkEnd w:id="97"/>
    </w:p>
    <w:bookmarkEnd w:id="98"/>
    <w:p w14:paraId="0CAE79DC" w14:textId="0029E954" w:rsidR="009D2AA1" w:rsidRDefault="009D2AA1" w:rsidP="00FB32D6">
      <w:pPr>
        <w:pStyle w:val="BodyTextnonum"/>
        <w:rPr>
          <w:rFonts w:eastAsia="Calibri"/>
        </w:rPr>
      </w:pPr>
      <w:r w:rsidRPr="002C0392">
        <w:rPr>
          <w:rFonts w:eastAsia="Calibri"/>
        </w:rPr>
        <w:t>The RRC</w:t>
      </w:r>
      <w:r w:rsidR="006B7FC3">
        <w:rPr>
          <w:rFonts w:eastAsia="Calibri"/>
        </w:rPr>
        <w:t>’s</w:t>
      </w:r>
      <w:r w:rsidRPr="002C0392">
        <w:rPr>
          <w:rFonts w:eastAsia="Calibri"/>
        </w:rPr>
        <w:t xml:space="preserve"> </w:t>
      </w:r>
      <w:r w:rsidR="006B7FC3">
        <w:rPr>
          <w:rFonts w:eastAsia="Calibri"/>
        </w:rPr>
        <w:t>2016 R</w:t>
      </w:r>
      <w:r w:rsidRPr="002C0392">
        <w:rPr>
          <w:rFonts w:eastAsia="Calibri"/>
        </w:rPr>
        <w:t>eport recommended that:</w:t>
      </w:r>
    </w:p>
    <w:p w14:paraId="4EB4ABB9" w14:textId="27517AE6" w:rsidR="009D2AA1" w:rsidRPr="00943D48" w:rsidRDefault="009D2AA1">
      <w:pPr>
        <w:pStyle w:val="Quote"/>
        <w:rPr>
          <w:rFonts w:eastAsia="Calibri"/>
        </w:rPr>
      </w:pPr>
      <w:r w:rsidRPr="000F72CC">
        <w:rPr>
          <w:rFonts w:eastAsia="Calibri"/>
        </w:rPr>
        <w:t>Legislation</w:t>
      </w:r>
      <w:r w:rsidRPr="00943D48">
        <w:rPr>
          <w:rFonts w:eastAsia="Calibri"/>
        </w:rPr>
        <w:t xml:space="preserve"> for national emergencies should have regard to international norms and benchmarks</w:t>
      </w:r>
      <w:r>
        <w:rPr>
          <w:rFonts w:eastAsia="Calibri"/>
        </w:rPr>
        <w:t>.</w:t>
      </w:r>
      <w:r w:rsidR="00481F32" w:rsidRPr="002C0392">
        <w:rPr>
          <w:rStyle w:val="FootnoteReference"/>
          <w:rFonts w:eastAsia="Calibri"/>
          <w:color w:val="000000" w:themeColor="text1"/>
        </w:rPr>
        <w:footnoteReference w:id="104"/>
      </w:r>
    </w:p>
    <w:p w14:paraId="44BF651D" w14:textId="62E8FDFA" w:rsidR="009D2AA1" w:rsidRPr="00F21F36" w:rsidRDefault="009D2AA1" w:rsidP="00FB32D6">
      <w:pPr>
        <w:pStyle w:val="BodyTextnonum"/>
        <w:rPr>
          <w:rFonts w:eastAsia="Calibri"/>
        </w:rPr>
      </w:pPr>
      <w:r w:rsidRPr="00F21F36">
        <w:rPr>
          <w:rFonts w:eastAsia="Calibri"/>
        </w:rPr>
        <w:t xml:space="preserve">The 2016 Report specifically mentions a few international norms, such as the </w:t>
      </w:r>
      <w:r w:rsidRPr="00F21F36">
        <w:t xml:space="preserve">Sendai Framework for Disaster Risk Reduction 2015-2030, the </w:t>
      </w:r>
      <w:r w:rsidRPr="00F21F36">
        <w:rPr>
          <w:rFonts w:eastAsia="Calibri"/>
        </w:rPr>
        <w:t xml:space="preserve">IASC Operational Guidelines on </w:t>
      </w:r>
      <w:r w:rsidRPr="00F21F36">
        <w:rPr>
          <w:rFonts w:eastAsia="Calibri"/>
        </w:rPr>
        <w:lastRenderedPageBreak/>
        <w:t xml:space="preserve">the Protection of Persons in Situations of Natural Disasters (2011) and the United Nations Principles on Housing and Property Restitution for Refugees and Displaced Persons (the Pinheiro Principles). </w:t>
      </w:r>
      <w:r>
        <w:rPr>
          <w:rFonts w:eastAsia="Calibri"/>
        </w:rPr>
        <w:t>The W</w:t>
      </w:r>
      <w:r w:rsidR="00614748">
        <w:rPr>
          <w:rFonts w:eastAsia="Calibri"/>
        </w:rPr>
        <w:t xml:space="preserve">orld </w:t>
      </w:r>
      <w:r>
        <w:rPr>
          <w:rFonts w:eastAsia="Calibri"/>
        </w:rPr>
        <w:t>H</w:t>
      </w:r>
      <w:r w:rsidR="00614748">
        <w:rPr>
          <w:rFonts w:eastAsia="Calibri"/>
        </w:rPr>
        <w:t xml:space="preserve">ealth </w:t>
      </w:r>
      <w:r>
        <w:rPr>
          <w:rFonts w:eastAsia="Calibri"/>
        </w:rPr>
        <w:t>O</w:t>
      </w:r>
      <w:r w:rsidR="00614748">
        <w:rPr>
          <w:rFonts w:eastAsia="Calibri"/>
        </w:rPr>
        <w:t>r</w:t>
      </w:r>
      <w:r w:rsidR="00613CE6">
        <w:rPr>
          <w:rFonts w:eastAsia="Calibri"/>
        </w:rPr>
        <w:t>g</w:t>
      </w:r>
      <w:r w:rsidR="00614748">
        <w:rPr>
          <w:rFonts w:eastAsia="Calibri"/>
        </w:rPr>
        <w:t>anization</w:t>
      </w:r>
      <w:r>
        <w:rPr>
          <w:rFonts w:eastAsia="Calibri"/>
        </w:rPr>
        <w:t xml:space="preserve"> International Health Regulations and international human rights frameworks should also be included in that list.</w:t>
      </w:r>
      <w:r>
        <w:rPr>
          <w:rStyle w:val="FootnoteReference"/>
          <w:rFonts w:eastAsia="Calibri"/>
        </w:rPr>
        <w:footnoteReference w:id="105"/>
      </w:r>
      <w:r>
        <w:rPr>
          <w:rFonts w:eastAsia="Calibri"/>
        </w:rPr>
        <w:t xml:space="preserve"> </w:t>
      </w:r>
    </w:p>
    <w:p w14:paraId="7D96E2C5" w14:textId="77777777" w:rsidR="009D2AA1" w:rsidRPr="00DE3499" w:rsidRDefault="009D2AA1" w:rsidP="000F72CC">
      <w:pPr>
        <w:pStyle w:val="Heading2"/>
      </w:pPr>
      <w:bookmarkStart w:id="99" w:name="_Toc116464819"/>
      <w:bookmarkStart w:id="100" w:name="_Toc117063108"/>
      <w:bookmarkStart w:id="101" w:name="_Toc118119300"/>
      <w:bookmarkStart w:id="102" w:name="_Hlk107815287"/>
      <w:r w:rsidRPr="000F72CC">
        <w:rPr>
          <w:rFonts w:eastAsia="Calibri"/>
        </w:rPr>
        <w:t>Recovery</w:t>
      </w:r>
      <w:r w:rsidRPr="00DE3499">
        <w:rPr>
          <w:rFonts w:eastAsia="Calibri"/>
        </w:rPr>
        <w:t xml:space="preserve"> from the emergency begins on day one</w:t>
      </w:r>
      <w:bookmarkEnd w:id="99"/>
      <w:bookmarkEnd w:id="100"/>
      <w:bookmarkEnd w:id="101"/>
      <w:r w:rsidRPr="00DE3499">
        <w:rPr>
          <w:rFonts w:eastAsia="Calibri"/>
        </w:rPr>
        <w:t xml:space="preserve"> </w:t>
      </w:r>
    </w:p>
    <w:bookmarkEnd w:id="102"/>
    <w:p w14:paraId="2086AC95" w14:textId="63AE80D2" w:rsidR="009D2AA1" w:rsidRDefault="009D2AA1" w:rsidP="00FB32D6">
      <w:pPr>
        <w:pStyle w:val="BodyTextnonum"/>
      </w:pPr>
      <w:r>
        <w:t xml:space="preserve">Another recommendation </w:t>
      </w:r>
      <w:r w:rsidR="003761EB">
        <w:t xml:space="preserve">in </w:t>
      </w:r>
      <w:r>
        <w:t>the RRC</w:t>
      </w:r>
      <w:r w:rsidR="006B7FC3">
        <w:t>’s</w:t>
      </w:r>
      <w:r>
        <w:t xml:space="preserve"> </w:t>
      </w:r>
      <w:r w:rsidR="003761EB">
        <w:t xml:space="preserve">2016 Report </w:t>
      </w:r>
      <w:r>
        <w:t>is that:</w:t>
      </w:r>
    </w:p>
    <w:p w14:paraId="7985EA97" w14:textId="077AAC03" w:rsidR="009D2AA1" w:rsidRPr="00943D48" w:rsidRDefault="009D2AA1">
      <w:pPr>
        <w:pStyle w:val="Quote"/>
        <w:rPr>
          <w:rFonts w:eastAsia="Calibri"/>
        </w:rPr>
      </w:pPr>
      <w:r w:rsidRPr="00943D48">
        <w:rPr>
          <w:rFonts w:eastAsia="Calibri"/>
        </w:rPr>
        <w:t>any legislative response to a national emergency should be designed to ensure that recovery from the emergency begins on day one.</w:t>
      </w:r>
      <w:r w:rsidR="001D10A4">
        <w:rPr>
          <w:rStyle w:val="FootnoteReference"/>
          <w:rFonts w:eastAsia="Calibri"/>
        </w:rPr>
        <w:footnoteReference w:id="106"/>
      </w:r>
      <w:r w:rsidRPr="00943D48">
        <w:rPr>
          <w:rFonts w:eastAsia="Calibri"/>
        </w:rPr>
        <w:t xml:space="preserve"> </w:t>
      </w:r>
    </w:p>
    <w:p w14:paraId="1FAD7E1C" w14:textId="3890E649" w:rsidR="009D2AA1" w:rsidRPr="00F21F36" w:rsidRDefault="009D2AA1" w:rsidP="00FB32D6">
      <w:pPr>
        <w:pStyle w:val="BodyTextnonum"/>
      </w:pPr>
      <w:r w:rsidRPr="00F21F36">
        <w:t xml:space="preserve">As the </w:t>
      </w:r>
      <w:r w:rsidR="00DE3BE1">
        <w:t>RRC</w:t>
      </w:r>
      <w:r w:rsidR="00DE3BE1" w:rsidRPr="00F21F36">
        <w:t xml:space="preserve"> </w:t>
      </w:r>
      <w:r w:rsidRPr="00F21F36">
        <w:t xml:space="preserve">notes, this principle is largely operational, yet it still includes a legislative component. Specifically, legislation should ensure it: </w:t>
      </w:r>
    </w:p>
    <w:p w14:paraId="6E10FC99" w14:textId="77777777" w:rsidR="009D2AA1" w:rsidRPr="00943D48" w:rsidRDefault="009D2AA1">
      <w:pPr>
        <w:pStyle w:val="BodyTextalphalist"/>
      </w:pPr>
      <w:r w:rsidRPr="00943D48">
        <w:t xml:space="preserve">facilitates the return to normality of laws and institutions as soon as reasonably possible by ensuring that recovery becomes a primary goal from day one of the </w:t>
      </w:r>
      <w:proofErr w:type="gramStart"/>
      <w:r w:rsidRPr="00943D48">
        <w:t>emergency;</w:t>
      </w:r>
      <w:proofErr w:type="gramEnd"/>
    </w:p>
    <w:p w14:paraId="1CB765EE" w14:textId="76482A5F" w:rsidR="009D2AA1" w:rsidRPr="00943D48" w:rsidRDefault="009D2AA1">
      <w:pPr>
        <w:pStyle w:val="BodyTextalphalist"/>
      </w:pPr>
      <w:r w:rsidRPr="00943D48">
        <w:t>enables community input into decision</w:t>
      </w:r>
      <w:r w:rsidR="005D76D2">
        <w:t xml:space="preserve"> </w:t>
      </w:r>
      <w:r w:rsidRPr="00943D48">
        <w:t>making, the exercise of powers and the regeneration of communities; and</w:t>
      </w:r>
    </w:p>
    <w:p w14:paraId="42CE281D" w14:textId="76BD70F9" w:rsidR="009D2AA1" w:rsidRPr="00943D48" w:rsidRDefault="009D2AA1">
      <w:pPr>
        <w:pStyle w:val="BodyTextalphalist"/>
      </w:pPr>
      <w:r w:rsidRPr="00943D48">
        <w:t xml:space="preserve">adequately recognises local leadership and existing processes and tools in recovery from, and regeneration following, a national emergency while recognising that local capacity may be impaired </w:t>
      </w:r>
      <w:proofErr w:type="gramStart"/>
      <w:r w:rsidRPr="00943D48">
        <w:t>as a result of</w:t>
      </w:r>
      <w:proofErr w:type="gramEnd"/>
      <w:r w:rsidRPr="00943D48">
        <w:t xml:space="preserve"> such a national emergency.</w:t>
      </w:r>
    </w:p>
    <w:p w14:paraId="7C207292" w14:textId="77777777" w:rsidR="009D2AA1" w:rsidRPr="00865EC0" w:rsidRDefault="009D2AA1" w:rsidP="00FB32D6">
      <w:pPr>
        <w:pStyle w:val="BodyTextnonum"/>
      </w:pPr>
      <w:r>
        <w:rPr>
          <w:rFonts w:eastAsia="Calibri"/>
        </w:rPr>
        <w:t xml:space="preserve">That cannot be achieved by a single provision. The restoration of normal procedures, liberties and politics, and ordinary life needs to be kept in focus as the </w:t>
      </w:r>
      <w:proofErr w:type="gramStart"/>
      <w:r>
        <w:rPr>
          <w:rFonts w:eastAsia="Calibri"/>
        </w:rPr>
        <w:t>ultimate goal</w:t>
      </w:r>
      <w:proofErr w:type="gramEnd"/>
      <w:r>
        <w:rPr>
          <w:rFonts w:eastAsia="Calibri"/>
        </w:rPr>
        <w:t xml:space="preserve">. </w:t>
      </w:r>
    </w:p>
    <w:p w14:paraId="1BAE9C91" w14:textId="12A2B58B" w:rsidR="009D2AA1" w:rsidRDefault="009D2AA1" w:rsidP="00FB32D6">
      <w:pPr>
        <w:pStyle w:val="BodyTextnonum"/>
      </w:pPr>
      <w:r>
        <w:t>T</w:t>
      </w:r>
      <w:r w:rsidRPr="00F21F36">
        <w:t xml:space="preserve">he </w:t>
      </w:r>
      <w:r w:rsidR="00A828AD">
        <w:t xml:space="preserve">RRC’s </w:t>
      </w:r>
      <w:r w:rsidRPr="00F21F36">
        <w:t xml:space="preserve">2016 Report </w:t>
      </w:r>
      <w:r>
        <w:t xml:space="preserve">was </w:t>
      </w:r>
      <w:r w:rsidRPr="00F21F36">
        <w:t xml:space="preserve">concerned with how legislation should address the transition out of a state of emergency and back into normality. </w:t>
      </w:r>
      <w:r>
        <w:t>It endorses the</w:t>
      </w:r>
      <w:r w:rsidRPr="00F21F36">
        <w:t xml:space="preserve"> Four R</w:t>
      </w:r>
      <w:r w:rsidR="00882951">
        <w:t>s</w:t>
      </w:r>
      <w:r w:rsidRPr="00F21F36">
        <w:t>: Reduction, Readiness, Response, Recovery.</w:t>
      </w:r>
      <w:r w:rsidRPr="00F21F36">
        <w:rPr>
          <w:rStyle w:val="FootnoteReference"/>
        </w:rPr>
        <w:footnoteReference w:id="107"/>
      </w:r>
      <w:r w:rsidRPr="00F21F36">
        <w:t xml:space="preserve"> </w:t>
      </w:r>
      <w:r>
        <w:t>T</w:t>
      </w:r>
      <w:r w:rsidRPr="00F21F36">
        <w:t xml:space="preserve">his language of </w:t>
      </w:r>
      <w:r w:rsidR="00882951">
        <w:t>“</w:t>
      </w:r>
      <w:r w:rsidRPr="00F21F36">
        <w:t>emergency</w:t>
      </w:r>
      <w:r w:rsidR="00A828AD">
        <w:t xml:space="preserve"> </w:t>
      </w:r>
      <w:r w:rsidRPr="00F21F36">
        <w:t>then</w:t>
      </w:r>
      <w:r w:rsidR="00A828AD">
        <w:t xml:space="preserve"> </w:t>
      </w:r>
      <w:r w:rsidRPr="00F21F36">
        <w:t>recovery</w:t>
      </w:r>
      <w:r w:rsidR="00882951">
        <w:t>”</w:t>
      </w:r>
      <w:r w:rsidRPr="00F21F36">
        <w:t xml:space="preserve"> does not easily map onto epidemics like C</w:t>
      </w:r>
      <w:r w:rsidR="0061070F">
        <w:t>OVID</w:t>
      </w:r>
      <w:r w:rsidRPr="00F21F36">
        <w:t>-19</w:t>
      </w:r>
      <w:r w:rsidR="00A828AD">
        <w:t>,</w:t>
      </w:r>
      <w:r>
        <w:t xml:space="preserve"> and alternative frameworks (initially the </w:t>
      </w:r>
      <w:r w:rsidR="00A828AD">
        <w:t>four-</w:t>
      </w:r>
      <w:r>
        <w:t>level system and then the traffic light system) were created</w:t>
      </w:r>
      <w:r w:rsidRPr="00F21F36">
        <w:t xml:space="preserve">. More thought needs to go into appropriate high-level frameworks. </w:t>
      </w:r>
      <w:r>
        <w:t xml:space="preserve">Further consideration also needs to be given to those who have the greatest health vulnerabilities as “normal life” resumes for the rest of the population after the major surges of a pandemic. </w:t>
      </w:r>
    </w:p>
    <w:p w14:paraId="14B92385" w14:textId="77777777" w:rsidR="009D2AA1" w:rsidRDefault="009D2AA1" w:rsidP="000F72CC">
      <w:pPr>
        <w:pStyle w:val="Heading2"/>
      </w:pPr>
      <w:bookmarkStart w:id="103" w:name="_Toc116464820"/>
      <w:bookmarkStart w:id="104" w:name="_Toc117063109"/>
      <w:bookmarkStart w:id="105" w:name="_Toc118119301"/>
      <w:bookmarkStart w:id="106" w:name="_Hlk107815324"/>
      <w:r>
        <w:t xml:space="preserve">Reviewing </w:t>
      </w:r>
      <w:r w:rsidRPr="000F72CC">
        <w:t>previous</w:t>
      </w:r>
      <w:r>
        <w:t xml:space="preserve"> experience</w:t>
      </w:r>
      <w:bookmarkEnd w:id="103"/>
      <w:bookmarkEnd w:id="104"/>
      <w:bookmarkEnd w:id="105"/>
    </w:p>
    <w:bookmarkEnd w:id="106"/>
    <w:p w14:paraId="1D946BAD" w14:textId="24D6AABA" w:rsidR="009D2AA1" w:rsidRPr="00F21F36" w:rsidRDefault="009D2AA1" w:rsidP="00FB32D6">
      <w:pPr>
        <w:pStyle w:val="BodyTextnonum"/>
        <w:rPr>
          <w:rFonts w:eastAsia="Calibri"/>
        </w:rPr>
      </w:pPr>
      <w:r w:rsidRPr="00F21F36">
        <w:rPr>
          <w:rFonts w:eastAsia="Calibri"/>
        </w:rPr>
        <w:t>M</w:t>
      </w:r>
      <w:r>
        <w:rPr>
          <w:rFonts w:eastAsia="Calibri"/>
        </w:rPr>
        <w:t>uch</w:t>
      </w:r>
      <w:r w:rsidRPr="00F21F36">
        <w:rPr>
          <w:rFonts w:eastAsia="Calibri"/>
        </w:rPr>
        <w:t xml:space="preserve"> of the </w:t>
      </w:r>
      <w:r w:rsidR="00A828AD">
        <w:rPr>
          <w:rFonts w:eastAsia="Calibri"/>
        </w:rPr>
        <w:t xml:space="preserve">RRC’s </w:t>
      </w:r>
      <w:r w:rsidRPr="00F21F36">
        <w:rPr>
          <w:rFonts w:eastAsia="Calibri"/>
        </w:rPr>
        <w:t>2020 Report is concerned with reviewing or summarising previous reviews of various C</w:t>
      </w:r>
      <w:r w:rsidR="0061070F">
        <w:t>OVID</w:t>
      </w:r>
      <w:r w:rsidRPr="00F21F36">
        <w:rPr>
          <w:rFonts w:eastAsia="Calibri"/>
        </w:rPr>
        <w:t xml:space="preserve">-19 </w:t>
      </w:r>
      <w:r w:rsidR="00A828AD">
        <w:rPr>
          <w:rFonts w:eastAsia="Calibri"/>
        </w:rPr>
        <w:t>o</w:t>
      </w:r>
      <w:r w:rsidRPr="00F21F36">
        <w:rPr>
          <w:rFonts w:eastAsia="Calibri"/>
        </w:rPr>
        <w:t>rders (</w:t>
      </w:r>
      <w:r w:rsidR="00A828AD">
        <w:rPr>
          <w:rFonts w:eastAsia="Calibri"/>
        </w:rPr>
        <w:t>i</w:t>
      </w:r>
      <w:r w:rsidRPr="00F21F36">
        <w:rPr>
          <w:rFonts w:eastAsia="Calibri"/>
        </w:rPr>
        <w:t>ncluding a very comprehensive summary of C</w:t>
      </w:r>
      <w:r w:rsidR="0061070F">
        <w:t>OVID</w:t>
      </w:r>
      <w:r w:rsidRPr="00F21F36">
        <w:rPr>
          <w:rFonts w:eastAsia="Calibri"/>
        </w:rPr>
        <w:t xml:space="preserve">-19 secondary legislation in Appendix B.) </w:t>
      </w:r>
      <w:r>
        <w:rPr>
          <w:rFonts w:eastAsia="Calibri"/>
        </w:rPr>
        <w:t xml:space="preserve">The </w:t>
      </w:r>
      <w:r w:rsidR="00DE3BE1">
        <w:rPr>
          <w:rFonts w:eastAsia="Calibri"/>
        </w:rPr>
        <w:t xml:space="preserve">RRC </w:t>
      </w:r>
      <w:r>
        <w:rPr>
          <w:rFonts w:eastAsia="Calibri"/>
        </w:rPr>
        <w:t>recommends that</w:t>
      </w:r>
      <w:r w:rsidRPr="00F21F36">
        <w:rPr>
          <w:rFonts w:eastAsia="Calibri"/>
        </w:rPr>
        <w:t>:</w:t>
      </w:r>
    </w:p>
    <w:p w14:paraId="58A15FB5" w14:textId="5D2FFB3D" w:rsidR="009D2AA1" w:rsidRPr="00943D48" w:rsidRDefault="009D2AA1">
      <w:pPr>
        <w:pStyle w:val="Quote"/>
        <w:rPr>
          <w:rFonts w:eastAsia="Calibri"/>
        </w:rPr>
      </w:pPr>
      <w:r w:rsidRPr="00943D48">
        <w:rPr>
          <w:rFonts w:eastAsia="Calibri"/>
        </w:rPr>
        <w:lastRenderedPageBreak/>
        <w:t>the Government should facilitate an all-of-government examination of COVID-19 secondary legislation (and powers to make that legislation) to seek ways of improving the quality of secondary legislation in future emergencies.</w:t>
      </w:r>
      <w:r w:rsidR="00481F32" w:rsidRPr="00F21F36">
        <w:rPr>
          <w:rStyle w:val="FootnoteReference"/>
          <w:rFonts w:eastAsia="Calibri"/>
          <w:color w:val="000000" w:themeColor="text1"/>
        </w:rPr>
        <w:footnoteReference w:id="108"/>
      </w:r>
    </w:p>
    <w:p w14:paraId="71C1ED14" w14:textId="23442138" w:rsidR="00AC4577" w:rsidRDefault="009D2AA1" w:rsidP="00FB32D6">
      <w:pPr>
        <w:pStyle w:val="BodyTextnonum"/>
        <w:rPr>
          <w:rFonts w:eastAsia="Metropolis Light"/>
        </w:rPr>
      </w:pPr>
      <w:r w:rsidRPr="00943D48">
        <w:rPr>
          <w:rFonts w:eastAsia="Calibri"/>
        </w:rPr>
        <w:t>Because of C</w:t>
      </w:r>
      <w:r w:rsidR="0061070F">
        <w:t>OVID</w:t>
      </w:r>
      <w:r w:rsidRPr="00943D48">
        <w:rPr>
          <w:rFonts w:eastAsia="Calibri"/>
        </w:rPr>
        <w:t>-19 fatigue</w:t>
      </w:r>
      <w:r w:rsidR="00A828AD">
        <w:rPr>
          <w:rFonts w:eastAsia="Calibri"/>
        </w:rPr>
        <w:t>,</w:t>
      </w:r>
      <w:r w:rsidRPr="00943D48">
        <w:rPr>
          <w:rFonts w:eastAsia="Calibri"/>
        </w:rPr>
        <w:t xml:space="preserve"> </w:t>
      </w:r>
      <w:r w:rsidRPr="002411AE">
        <w:rPr>
          <w:rFonts w:eastAsia="Calibri"/>
        </w:rPr>
        <w:t>there</w:t>
      </w:r>
      <w:r w:rsidRPr="00943D48">
        <w:rPr>
          <w:rFonts w:eastAsia="Calibri"/>
        </w:rPr>
        <w:t xml:space="preserve"> will be understandable resistance to revisiting wh</w:t>
      </w:r>
      <w:r>
        <w:rPr>
          <w:rFonts w:eastAsia="Calibri"/>
        </w:rPr>
        <w:t xml:space="preserve">ich measures </w:t>
      </w:r>
      <w:r w:rsidRPr="00943D48">
        <w:rPr>
          <w:rFonts w:eastAsia="Calibri"/>
        </w:rPr>
        <w:t>ha</w:t>
      </w:r>
      <w:r>
        <w:rPr>
          <w:rFonts w:eastAsia="Calibri"/>
        </w:rPr>
        <w:t>ve</w:t>
      </w:r>
      <w:r w:rsidRPr="00943D48">
        <w:rPr>
          <w:rFonts w:eastAsia="Calibri"/>
        </w:rPr>
        <w:t xml:space="preserve"> worked well and not so well once the acute threat of the pandemic is over. There will never be a better time to do so. </w:t>
      </w:r>
      <w:r>
        <w:rPr>
          <w:rFonts w:eastAsia="Calibri"/>
        </w:rPr>
        <w:t xml:space="preserve">This </w:t>
      </w:r>
      <w:r w:rsidR="00C07249">
        <w:rPr>
          <w:rFonts w:eastAsia="Calibri"/>
        </w:rPr>
        <w:t>may well be</w:t>
      </w:r>
      <w:r>
        <w:rPr>
          <w:rFonts w:eastAsia="Calibri"/>
        </w:rPr>
        <w:t xml:space="preserve"> the “golden hour” to consider what powers should be conferred in general legislation to be unlocked in an emergency.</w:t>
      </w:r>
    </w:p>
    <w:p w14:paraId="1D019A5D" w14:textId="77777777" w:rsidR="00AC4577" w:rsidRDefault="00AC4577" w:rsidP="00BA0416">
      <w:pPr>
        <w:pStyle w:val="BodyText"/>
        <w:numPr>
          <w:ilvl w:val="0"/>
          <w:numId w:val="0"/>
        </w:numPr>
        <w:ind w:left="709" w:hanging="709"/>
        <w:rPr>
          <w:rFonts w:eastAsia="Metropolis Light"/>
        </w:rPr>
      </w:pPr>
      <w:r>
        <w:rPr>
          <w:noProof/>
        </w:rPr>
        <mc:AlternateContent>
          <mc:Choice Requires="wpg">
            <w:drawing>
              <wp:anchor distT="0" distB="0" distL="114300" distR="114300" simplePos="0" relativeHeight="251658253" behindDoc="1" locked="0" layoutInCell="1" allowOverlap="1" wp14:anchorId="434BF8B4" wp14:editId="1359B874">
                <wp:simplePos x="0" y="0"/>
                <wp:positionH relativeFrom="page">
                  <wp:posOffset>1095820</wp:posOffset>
                </wp:positionH>
                <wp:positionV relativeFrom="paragraph">
                  <wp:posOffset>402590</wp:posOffset>
                </wp:positionV>
                <wp:extent cx="1440000" cy="1270"/>
                <wp:effectExtent l="0" t="19050" r="27305" b="17780"/>
                <wp:wrapNone/>
                <wp:docPr id="27"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000" cy="1270"/>
                          <a:chOff x="1417" y="-260"/>
                          <a:chExt cx="2098" cy="2"/>
                        </a:xfrm>
                      </wpg:grpSpPr>
                      <wps:wsp>
                        <wps:cNvPr id="28" name="Freeform 122"/>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86862" id="Group 121" o:spid="_x0000_s1026" style="position:absolute;margin-left:86.3pt;margin-top:31.7pt;width:113.4pt;height:.1pt;z-index:-251658227;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">
                <v:shape id="Freeform 122"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" path="m,l2098,e" filled="f" strokecolor="#c96d61" strokeweight="3pt">
                  <v:path arrowok="t" o:connecttype="custom" o:connectlocs="0,0;2098,0" o:connectangles="0,0"/>
                </v:shape>
                <w10:wrap anchorx="page"/>
              </v:group>
            </w:pict>
          </mc:Fallback>
        </mc:AlternateContent>
      </w:r>
    </w:p>
    <w:p w14:paraId="44069035" w14:textId="77777777" w:rsidR="00AC4577" w:rsidRDefault="00AC4577" w:rsidP="00547A0C">
      <w:pPr>
        <w:pStyle w:val="BodyText"/>
        <w:ind w:left="0" w:firstLine="0"/>
        <w:rPr>
          <w:rFonts w:eastAsia="Metropolis Light"/>
        </w:rPr>
        <w:sectPr w:rsidR="00AC4577" w:rsidSect="00D50ACF">
          <w:headerReference w:type="default" r:id="rId31"/>
          <w:footnotePr>
            <w:numRestart w:val="eachSect"/>
          </w:footnotePr>
          <w:pgSz w:w="11920" w:h="16840"/>
          <w:pgMar w:top="1134" w:right="1134" w:bottom="1134" w:left="1701" w:header="499" w:footer="46" w:gutter="0"/>
          <w:cols w:space="720"/>
        </w:sectPr>
      </w:pPr>
    </w:p>
    <w:p w14:paraId="4AD728A8" w14:textId="77777777" w:rsidR="00AC4577" w:rsidRPr="00650E87" w:rsidRDefault="00AC4577" w:rsidP="00AC4577">
      <w:pPr>
        <w:spacing w:after="0" w:line="200" w:lineRule="exact"/>
        <w:rPr>
          <w:szCs w:val="20"/>
        </w:rPr>
      </w:pPr>
    </w:p>
    <w:p w14:paraId="3B3F81FC" w14:textId="0F294BBE" w:rsidR="00AC4577" w:rsidRDefault="00AC4577" w:rsidP="00AC4577">
      <w:pPr>
        <w:spacing w:before="55" w:after="0" w:line="240" w:lineRule="auto"/>
        <w:ind w:left="114" w:right="-20" w:hanging="114"/>
        <w:rPr>
          <w:rFonts w:ascii="Metropolis" w:eastAsia="Metropolis" w:hAnsi="Metropolis" w:cs="Metropolis"/>
          <w:sz w:val="21"/>
          <w:szCs w:val="21"/>
        </w:rPr>
      </w:pPr>
      <w:r>
        <w:rPr>
          <w:rFonts w:ascii="Metropolis" w:eastAsia="Metropolis" w:hAnsi="Metropolis" w:cs="Metropolis"/>
          <w:b/>
          <w:bCs/>
          <w:color w:val="C96D61"/>
          <w:sz w:val="21"/>
          <w:szCs w:val="21"/>
        </w:rPr>
        <w:t xml:space="preserve">PART </w:t>
      </w:r>
      <w:r w:rsidR="006F06D3">
        <w:rPr>
          <w:rFonts w:ascii="Metropolis" w:eastAsia="Metropolis" w:hAnsi="Metropolis" w:cs="Metropolis"/>
          <w:b/>
          <w:bCs/>
          <w:color w:val="C96D61"/>
          <w:sz w:val="21"/>
          <w:szCs w:val="21"/>
        </w:rPr>
        <w:t>THREE</w:t>
      </w:r>
    </w:p>
    <w:p w14:paraId="0E6A68EE" w14:textId="77777777" w:rsidR="00AC4577" w:rsidRDefault="00AC4577" w:rsidP="00AC4577">
      <w:pPr>
        <w:spacing w:after="0" w:line="200" w:lineRule="exact"/>
        <w:rPr>
          <w:szCs w:val="20"/>
        </w:rPr>
      </w:pPr>
      <w:r>
        <w:rPr>
          <w:noProof/>
        </w:rPr>
        <mc:AlternateContent>
          <mc:Choice Requires="wpg">
            <w:drawing>
              <wp:anchor distT="0" distB="0" distL="114300" distR="114300" simplePos="0" relativeHeight="251658255" behindDoc="1" locked="0" layoutInCell="1" allowOverlap="1" wp14:anchorId="55B43294" wp14:editId="4940D003">
                <wp:simplePos x="0" y="0"/>
                <wp:positionH relativeFrom="page">
                  <wp:posOffset>1057910</wp:posOffset>
                </wp:positionH>
                <wp:positionV relativeFrom="paragraph">
                  <wp:posOffset>171450</wp:posOffset>
                </wp:positionV>
                <wp:extent cx="1332230" cy="1270"/>
                <wp:effectExtent l="0" t="19050" r="20320" b="17780"/>
                <wp:wrapNone/>
                <wp:docPr id="2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535"/>
                          <a:chExt cx="2098" cy="2"/>
                        </a:xfrm>
                      </wpg:grpSpPr>
                      <wps:wsp>
                        <wps:cNvPr id="107" name="Freeform 9"/>
                        <wps:cNvSpPr>
                          <a:spLocks/>
                        </wps:cNvSpPr>
                        <wps:spPr bwMode="auto">
                          <a:xfrm>
                            <a:off x="1134" y="535"/>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F63E7" id="Group 8" o:spid="_x0000_s1026" style="position:absolute;margin-left:83.3pt;margin-top:13.5pt;width:104.9pt;height:.1pt;z-index:-251658225;mso-position-horizontal-relative:page" coordorigin="1134,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">
                <v:shape id="Freeform 9" o:spid="_x0000_s1027" style="position:absolute;left:1134;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" path="m,l2097,e" filled="f" strokecolor="#c96d61" strokeweight="3pt">
                  <v:path arrowok="t" o:connecttype="custom" o:connectlocs="0,0;2097,0" o:connectangles="0,0"/>
                </v:shape>
                <w10:wrap anchorx="page"/>
              </v:group>
            </w:pict>
          </mc:Fallback>
        </mc:AlternateContent>
      </w:r>
    </w:p>
    <w:p w14:paraId="5102F84A" w14:textId="7CC536F5" w:rsidR="00AC4577" w:rsidRDefault="00006BBE" w:rsidP="00516ADB">
      <w:pPr>
        <w:pStyle w:val="Heading1"/>
        <w:spacing w:line="283" w:lineRule="auto"/>
      </w:pPr>
      <w:bookmarkStart w:id="108" w:name="_Toc117063110"/>
      <w:bookmarkStart w:id="109" w:name="_Toc118119302"/>
      <w:r>
        <w:t>U</w:t>
      </w:r>
      <w:r w:rsidRPr="006F06D3">
        <w:t>nderstanding and improving the current legislative framework for emergencies</w:t>
      </w:r>
      <w:bookmarkEnd w:id="108"/>
      <w:bookmarkEnd w:id="109"/>
    </w:p>
    <w:p w14:paraId="79FC098B" w14:textId="77777777" w:rsidR="00AC4577" w:rsidRDefault="00AC4577" w:rsidP="00AC4577">
      <w:pPr>
        <w:spacing w:after="0" w:line="200" w:lineRule="exact"/>
        <w:rPr>
          <w:szCs w:val="20"/>
        </w:rPr>
      </w:pPr>
    </w:p>
    <w:p w14:paraId="55071175" w14:textId="77777777" w:rsidR="00AC4577" w:rsidRDefault="00AC4577" w:rsidP="00AC4577">
      <w:pPr>
        <w:spacing w:after="0" w:line="200" w:lineRule="exact"/>
        <w:rPr>
          <w:szCs w:val="20"/>
        </w:rPr>
      </w:pPr>
      <w:r>
        <w:rPr>
          <w:noProof/>
        </w:rPr>
        <mc:AlternateContent>
          <mc:Choice Requires="wpg">
            <w:drawing>
              <wp:anchor distT="0" distB="0" distL="114300" distR="114300" simplePos="0" relativeHeight="251658254" behindDoc="1" locked="0" layoutInCell="1" allowOverlap="1" wp14:anchorId="4F438B54" wp14:editId="13163BFD">
                <wp:simplePos x="0" y="0"/>
                <wp:positionH relativeFrom="page">
                  <wp:posOffset>1076960</wp:posOffset>
                </wp:positionH>
                <wp:positionV relativeFrom="paragraph">
                  <wp:posOffset>133350</wp:posOffset>
                </wp:positionV>
                <wp:extent cx="1332230" cy="1270"/>
                <wp:effectExtent l="0" t="19050" r="20320" b="17780"/>
                <wp:wrapNone/>
                <wp:docPr id="10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260"/>
                          <a:chExt cx="2098" cy="2"/>
                        </a:xfrm>
                      </wpg:grpSpPr>
                      <wps:wsp>
                        <wps:cNvPr id="109" name="Freeform 7"/>
                        <wps:cNvSpPr>
                          <a:spLocks/>
                        </wps:cNvSpPr>
                        <wps:spPr bwMode="auto">
                          <a:xfrm>
                            <a:off x="1134" y="-26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062F2" id="Group 6" o:spid="_x0000_s1026" style="position:absolute;margin-left:84.8pt;margin-top:10.5pt;width:104.9pt;height:.1pt;z-index:-251658226;mso-position-horizontal-relative:page" coordorigin="1134,-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">
                <v:shape id="Freeform 7" o:spid="_x0000_s1027" style="position:absolute;left:1134;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" path="m,l2097,e" filled="f" strokecolor="#c96d61" strokeweight="3pt">
                  <v:path arrowok="t" o:connecttype="custom" o:connectlocs="0,0;2097,0" o:connectangles="0,0"/>
                </v:shape>
                <w10:wrap anchorx="page"/>
              </v:group>
            </w:pict>
          </mc:Fallback>
        </mc:AlternateContent>
      </w:r>
    </w:p>
    <w:p w14:paraId="0B358801" w14:textId="77777777" w:rsidR="00AC4577" w:rsidRDefault="00AC4577" w:rsidP="00AC4577">
      <w:pPr>
        <w:spacing w:after="0" w:line="200" w:lineRule="exact"/>
        <w:rPr>
          <w:szCs w:val="20"/>
        </w:rPr>
      </w:pPr>
    </w:p>
    <w:p w14:paraId="1FAF4151" w14:textId="77777777" w:rsidR="00AC4577" w:rsidRDefault="00AC4577" w:rsidP="00AC4577">
      <w:pPr>
        <w:spacing w:after="0" w:line="240" w:lineRule="auto"/>
        <w:ind w:left="114" w:right="-20" w:hanging="114"/>
        <w:rPr>
          <w:rFonts w:ascii="Metropolis" w:eastAsia="Metropolis" w:hAnsi="Metropolis" w:cs="Metropolis"/>
          <w:sz w:val="21"/>
          <w:szCs w:val="21"/>
        </w:rPr>
      </w:pPr>
    </w:p>
    <w:p w14:paraId="216987AF" w14:textId="77777777" w:rsidR="00AC4577" w:rsidRDefault="00AC4577" w:rsidP="00AC4577">
      <w:pPr>
        <w:spacing w:before="3" w:after="0" w:line="120" w:lineRule="exact"/>
        <w:rPr>
          <w:sz w:val="12"/>
          <w:szCs w:val="12"/>
        </w:rPr>
      </w:pPr>
    </w:p>
    <w:p w14:paraId="68871472" w14:textId="77777777" w:rsidR="00AC4577" w:rsidRPr="005B7B25" w:rsidRDefault="00AC4577" w:rsidP="00556B28">
      <w:pPr>
        <w:pStyle w:val="ListParagraph"/>
        <w:numPr>
          <w:ilvl w:val="0"/>
          <w:numId w:val="13"/>
        </w:numPr>
        <w:contextualSpacing w:val="0"/>
        <w:jc w:val="both"/>
        <w:rPr>
          <w:rFonts w:eastAsia="Metropolis Light" w:cs="Times New Roman"/>
          <w:vanish/>
          <w:sz w:val="20"/>
          <w:szCs w:val="24"/>
          <w:lang w:eastAsia="en-AU"/>
        </w:rPr>
      </w:pPr>
    </w:p>
    <w:p w14:paraId="2FF26048" w14:textId="3532FF83" w:rsidR="004D77DB" w:rsidRPr="00FB32D6" w:rsidRDefault="004D77DB" w:rsidP="00FB32D6">
      <w:pPr>
        <w:pStyle w:val="BodyTextnonum"/>
      </w:pPr>
      <w:bookmarkStart w:id="110" w:name="_Toc108444719"/>
      <w:r w:rsidRPr="00FB32D6">
        <w:t xml:space="preserve">In this </w:t>
      </w:r>
      <w:r w:rsidR="00034FA0" w:rsidRPr="00FB32D6">
        <w:t>p</w:t>
      </w:r>
      <w:r w:rsidRPr="00FB32D6">
        <w:t xml:space="preserve">art, the existing standing regime for pandemics and other kinds of emergencies is considered in more detail. I make specific recommendations for change and identify other matters for possible reform </w:t>
      </w:r>
      <w:r w:rsidR="00AD7713" w:rsidRPr="00FB32D6">
        <w:t xml:space="preserve">that </w:t>
      </w:r>
      <w:r w:rsidRPr="00FB32D6">
        <w:t xml:space="preserve">require further consideration. </w:t>
      </w:r>
    </w:p>
    <w:p w14:paraId="23DC29E0" w14:textId="72D58683" w:rsidR="004D77DB" w:rsidRDefault="004D77DB" w:rsidP="00FB32D6">
      <w:pPr>
        <w:pStyle w:val="BodyTextnonum"/>
      </w:pPr>
      <w:r w:rsidRPr="00501A0F">
        <w:t>The recent</w:t>
      </w:r>
      <w:r w:rsidR="00686C9A">
        <w:t xml:space="preserve"> Aotearoa</w:t>
      </w:r>
      <w:r w:rsidRPr="00501A0F">
        <w:t xml:space="preserve"> New Zealand practice has been to confer powers on Ministers and civil servants in specific legislation </w:t>
      </w:r>
      <w:r>
        <w:t>(for example</w:t>
      </w:r>
      <w:r w:rsidR="00AD7713">
        <w:t>,</w:t>
      </w:r>
      <w:r>
        <w:t xml:space="preserve"> the Health Act 1956, </w:t>
      </w:r>
      <w:r w:rsidRPr="005548BA">
        <w:t>Biosecurity Act</w:t>
      </w:r>
      <w:r>
        <w:t xml:space="preserve"> </w:t>
      </w:r>
      <w:proofErr w:type="gramStart"/>
      <w:r>
        <w:t>1993</w:t>
      </w:r>
      <w:proofErr w:type="gramEnd"/>
      <w:r>
        <w:t xml:space="preserve"> and Radiation </w:t>
      </w:r>
      <w:r w:rsidR="00AD7713">
        <w:t xml:space="preserve">Safety </w:t>
      </w:r>
      <w:r>
        <w:t xml:space="preserve">Act 2016) </w:t>
      </w:r>
      <w:r w:rsidRPr="00501A0F">
        <w:t xml:space="preserve">to deal with particular kinds of emergencies rather than to confer very broad powers in a generic </w:t>
      </w:r>
      <w:r>
        <w:t>e</w:t>
      </w:r>
      <w:r w:rsidRPr="00501A0F">
        <w:t xml:space="preserve">mergency </w:t>
      </w:r>
      <w:r>
        <w:t xml:space="preserve">statute. Other aspects of the current legislative regime could be improved by better linking the emergency powers in specific statutes with more standardised </w:t>
      </w:r>
      <w:r w:rsidRPr="00501A0F">
        <w:t>procedure</w:t>
      </w:r>
      <w:r>
        <w:t>s</w:t>
      </w:r>
      <w:r w:rsidRPr="00501A0F">
        <w:t xml:space="preserve"> for </w:t>
      </w:r>
      <w:r>
        <w:t>unlocking and controlling such powers</w:t>
      </w:r>
      <w:r w:rsidRPr="00501A0F">
        <w:t xml:space="preserve"> and </w:t>
      </w:r>
      <w:r>
        <w:t xml:space="preserve">ensuring that the powers </w:t>
      </w:r>
      <w:r w:rsidRPr="00501A0F">
        <w:t>become dormant again when the emergency has passed.</w:t>
      </w:r>
      <w:bookmarkEnd w:id="110"/>
      <w:r>
        <w:t xml:space="preserve"> </w:t>
      </w:r>
      <w:proofErr w:type="gramStart"/>
      <w:r>
        <w:t>Additionally</w:t>
      </w:r>
      <w:proofErr w:type="gramEnd"/>
      <w:r>
        <w:t xml:space="preserve"> or alternatively, powers to deal with different kinds and scales of emergencies could be better graduated.</w:t>
      </w:r>
    </w:p>
    <w:p w14:paraId="24ADC56B" w14:textId="5914A563" w:rsidR="004D77DB" w:rsidRDefault="004D77DB" w:rsidP="00FB32D6">
      <w:pPr>
        <w:pStyle w:val="BodyTextnonum"/>
      </w:pPr>
      <w:bookmarkStart w:id="111" w:name="_Toc108444720"/>
      <w:r>
        <w:t>As currently designed, sector-specific powers are almost always able to be triggered by the standardised procedures for declarations of emergency set up under the Civil Defence Emergency Management Act 2002</w:t>
      </w:r>
      <w:r w:rsidR="0039021E">
        <w:t xml:space="preserve"> (CDEM Act)</w:t>
      </w:r>
      <w:r>
        <w:t xml:space="preserve">. The </w:t>
      </w:r>
      <w:r w:rsidR="0039021E">
        <w:t xml:space="preserve">CDEM </w:t>
      </w:r>
      <w:r>
        <w:t xml:space="preserve">Act </w:t>
      </w:r>
      <w:proofErr w:type="gramStart"/>
      <w:r>
        <w:t>subjects</w:t>
      </w:r>
      <w:proofErr w:type="gramEnd"/>
      <w:r>
        <w:t xml:space="preserve"> emergency powers to political oversight and defined time limits</w:t>
      </w:r>
      <w:r w:rsidR="00F55E0A">
        <w:t>,</w:t>
      </w:r>
      <w:r>
        <w:t xml:space="preserve"> </w:t>
      </w:r>
      <w:r w:rsidR="00F55E0A">
        <w:t>b</w:t>
      </w:r>
      <w:r>
        <w:t xml:space="preserve">ut sector-specific statutes often allow emergency powers to be unlocked in </w:t>
      </w:r>
      <w:r w:rsidRPr="00501A0F">
        <w:t>additional ways</w:t>
      </w:r>
      <w:r>
        <w:t xml:space="preserve">. This has the effect of subjecting different emergency powers </w:t>
      </w:r>
      <w:r w:rsidRPr="00501A0F">
        <w:t xml:space="preserve">to different </w:t>
      </w:r>
      <w:r>
        <w:t xml:space="preserve">levels of political oversight and other </w:t>
      </w:r>
      <w:r w:rsidRPr="00501A0F">
        <w:t>protections</w:t>
      </w:r>
      <w:r>
        <w:t xml:space="preserve"> and of sometimes obscuring exactly when the emergency powers are activated and become dormant again</w:t>
      </w:r>
      <w:r w:rsidRPr="00501A0F">
        <w:t>.</w:t>
      </w:r>
      <w:bookmarkEnd w:id="111"/>
      <w:r w:rsidRPr="00501A0F">
        <w:t xml:space="preserve"> </w:t>
      </w:r>
    </w:p>
    <w:p w14:paraId="4C5E4977" w14:textId="40C22E68" w:rsidR="004D77DB" w:rsidRPr="00117774" w:rsidRDefault="004D77DB" w:rsidP="00FB32D6">
      <w:pPr>
        <w:pStyle w:val="BodyTextnonum"/>
      </w:pPr>
      <w:bookmarkStart w:id="112" w:name="_Toc108444721"/>
      <w:r w:rsidRPr="008331DD">
        <w:t xml:space="preserve">The current preference for enacting bespoke legislation to deal with emergencies after they have </w:t>
      </w:r>
      <w:r w:rsidRPr="00FB32D6">
        <w:t>emerged</w:t>
      </w:r>
      <w:r w:rsidRPr="008331DD">
        <w:t xml:space="preserve"> </w:t>
      </w:r>
      <w:r w:rsidRPr="00360B89">
        <w:t xml:space="preserve">is perhaps an indictment of the usefulness of </w:t>
      </w:r>
      <w:r>
        <w:t xml:space="preserve">the </w:t>
      </w:r>
      <w:r w:rsidRPr="00360B89">
        <w:t xml:space="preserve">existing standing rules or evidence of </w:t>
      </w:r>
      <w:r>
        <w:t xml:space="preserve">a </w:t>
      </w:r>
      <w:r w:rsidRPr="00360B89">
        <w:t>concern about their possible misuse</w:t>
      </w:r>
      <w:r>
        <w:t xml:space="preserve"> or both</w:t>
      </w:r>
      <w:r w:rsidRPr="00360B89">
        <w:t xml:space="preserve">. </w:t>
      </w:r>
      <w:r>
        <w:t xml:space="preserve">More needs to be done in standing legislation </w:t>
      </w:r>
      <w:proofErr w:type="gramStart"/>
      <w:r>
        <w:t>for the reason that</w:t>
      </w:r>
      <w:proofErr w:type="gramEnd"/>
      <w:r>
        <w:t xml:space="preserve"> it will not always be possible to enact bespoke legislation in time or with appropriate public input.</w:t>
      </w:r>
      <w:bookmarkEnd w:id="112"/>
      <w:r>
        <w:t xml:space="preserve"> </w:t>
      </w:r>
    </w:p>
    <w:p w14:paraId="10166085" w14:textId="77777777" w:rsidR="004D77DB" w:rsidRPr="00E831B6" w:rsidRDefault="004D77DB" w:rsidP="00053314">
      <w:pPr>
        <w:pStyle w:val="Heading2"/>
      </w:pPr>
      <w:bookmarkStart w:id="113" w:name="_Toc107520584"/>
      <w:bookmarkStart w:id="114" w:name="_Hlk107815570"/>
      <w:bookmarkStart w:id="115" w:name="_Toc116464822"/>
      <w:bookmarkStart w:id="116" w:name="_Toc117063111"/>
      <w:bookmarkStart w:id="117" w:name="_Toc118119303"/>
      <w:r w:rsidRPr="008331DD">
        <w:lastRenderedPageBreak/>
        <w:t xml:space="preserve">Civil Defence </w:t>
      </w:r>
      <w:r w:rsidRPr="00053314">
        <w:t>Emergency</w:t>
      </w:r>
      <w:r w:rsidRPr="008331DD">
        <w:t xml:space="preserve"> Management Act 2002</w:t>
      </w:r>
      <w:bookmarkEnd w:id="113"/>
      <w:bookmarkEnd w:id="114"/>
      <w:bookmarkEnd w:id="115"/>
      <w:bookmarkEnd w:id="116"/>
      <w:bookmarkEnd w:id="117"/>
    </w:p>
    <w:p w14:paraId="45817D5F" w14:textId="1BBB7118" w:rsidR="004D77DB" w:rsidRPr="00390071" w:rsidRDefault="004D77DB" w:rsidP="00FB32D6">
      <w:pPr>
        <w:pStyle w:val="BodyTextnonum"/>
        <w:rPr>
          <w:rFonts w:eastAsia="Calibri"/>
        </w:rPr>
      </w:pPr>
      <w:bookmarkStart w:id="118" w:name="_Toc108444722"/>
      <w:r w:rsidRPr="00041281">
        <w:t xml:space="preserve">The closest we have to a generic emergency statute in New Zealand is the CDEM Act. It empowers the </w:t>
      </w:r>
      <w:r w:rsidRPr="00AC3BD7">
        <w:t xml:space="preserve">responsible Minister to </w:t>
      </w:r>
      <w:r w:rsidRPr="00041281">
        <w:t xml:space="preserve">make </w:t>
      </w:r>
      <w:r>
        <w:t xml:space="preserve">a </w:t>
      </w:r>
      <w:r w:rsidRPr="00041281">
        <w:t>declaration of national emergency and certain identified officials to make declarations of</w:t>
      </w:r>
      <w:r>
        <w:t xml:space="preserve"> </w:t>
      </w:r>
      <w:r w:rsidRPr="00041281">
        <w:t>local emergency following the fulfilment</w:t>
      </w:r>
      <w:r>
        <w:t xml:space="preserve"> </w:t>
      </w:r>
      <w:r w:rsidRPr="00041281">
        <w:t xml:space="preserve">of </w:t>
      </w:r>
      <w:r w:rsidRPr="00AC3BD7">
        <w:t>a series of legal tests</w:t>
      </w:r>
      <w:r w:rsidRPr="00041281">
        <w:t>. Such declarations in turn activate special powers both in the CDEM Act itself and in a range of other enactments.</w:t>
      </w:r>
      <w:r w:rsidRPr="00C245A1">
        <w:t xml:space="preserve"> </w:t>
      </w:r>
      <w:r w:rsidRPr="00FF60A3">
        <w:rPr>
          <w:iCs/>
        </w:rPr>
        <w:t xml:space="preserve">It provides for </w:t>
      </w:r>
      <w:r w:rsidR="00452339" w:rsidRPr="00CC3ADC">
        <w:rPr>
          <w:i/>
        </w:rPr>
        <w:t>p</w:t>
      </w:r>
      <w:r w:rsidRPr="00CC3ADC">
        <w:rPr>
          <w:i/>
        </w:rPr>
        <w:t>arliamentary</w:t>
      </w:r>
      <w:r w:rsidRPr="00F55E0A">
        <w:rPr>
          <w:iCs/>
        </w:rPr>
        <w:t xml:space="preserve"> oversight and </w:t>
      </w:r>
      <w:r w:rsidRPr="00CC3ADC">
        <w:rPr>
          <w:i/>
        </w:rPr>
        <w:t>procedures</w:t>
      </w:r>
      <w:r w:rsidRPr="00C245A1">
        <w:t xml:space="preserve"> </w:t>
      </w:r>
      <w:r>
        <w:t xml:space="preserve">to ensure that declarations of emergency are </w:t>
      </w:r>
      <w:proofErr w:type="gramStart"/>
      <w:r>
        <w:t>time-limited</w:t>
      </w:r>
      <w:proofErr w:type="gramEnd"/>
      <w:r>
        <w:t>.</w:t>
      </w:r>
      <w:bookmarkEnd w:id="118"/>
      <w:r>
        <w:t xml:space="preserve"> </w:t>
      </w:r>
    </w:p>
    <w:p w14:paraId="13B3820D" w14:textId="5CA2B032" w:rsidR="004D77DB" w:rsidRDefault="004D77DB" w:rsidP="00053314">
      <w:pPr>
        <w:pStyle w:val="Heading2"/>
      </w:pPr>
      <w:bookmarkStart w:id="119" w:name="_Toc107520586"/>
      <w:bookmarkStart w:id="120" w:name="_Hlk107815782"/>
      <w:bookmarkStart w:id="121" w:name="_Toc108444723"/>
      <w:bookmarkStart w:id="122" w:name="_Toc116464823"/>
      <w:bookmarkStart w:id="123" w:name="_Toc117063112"/>
      <w:bookmarkStart w:id="124" w:name="_Toc118119304"/>
      <w:r w:rsidRPr="00522A7C">
        <w:t xml:space="preserve">What is </w:t>
      </w:r>
      <w:r w:rsidRPr="00053314">
        <w:t>an</w:t>
      </w:r>
      <w:r w:rsidRPr="00522A7C">
        <w:t xml:space="preserve"> </w:t>
      </w:r>
      <w:r w:rsidR="00882951">
        <w:t>“</w:t>
      </w:r>
      <w:r w:rsidRPr="00522A7C">
        <w:t>emergency</w:t>
      </w:r>
      <w:r w:rsidR="00882951">
        <w:t>”</w:t>
      </w:r>
      <w:r w:rsidRPr="00522A7C">
        <w:t xml:space="preserve"> under the CDEM</w:t>
      </w:r>
      <w:r>
        <w:t xml:space="preserve"> </w:t>
      </w:r>
      <w:r w:rsidRPr="00522A7C">
        <w:t>Act?</w:t>
      </w:r>
      <w:bookmarkEnd w:id="119"/>
      <w:bookmarkEnd w:id="120"/>
      <w:bookmarkEnd w:id="121"/>
      <w:bookmarkEnd w:id="122"/>
      <w:bookmarkEnd w:id="123"/>
      <w:bookmarkEnd w:id="124"/>
    </w:p>
    <w:p w14:paraId="6890ECB6" w14:textId="585CEDA1" w:rsidR="004D77DB" w:rsidRPr="00522A7C" w:rsidRDefault="004D77DB" w:rsidP="00FB32D6">
      <w:pPr>
        <w:pStyle w:val="BodyTextnonum"/>
        <w:rPr>
          <w:color w:val="000000" w:themeColor="text1"/>
        </w:rPr>
      </w:pPr>
      <w:r w:rsidRPr="00522A7C">
        <w:t xml:space="preserve">An “emergency” is defined broadly and non-exhaustively in s 4 of the </w:t>
      </w:r>
      <w:r w:rsidR="00F55E0A">
        <w:t xml:space="preserve">CDEM </w:t>
      </w:r>
      <w:r w:rsidRPr="00522A7C">
        <w:t>Act</w:t>
      </w:r>
      <w:r w:rsidRPr="00522A7C">
        <w:rPr>
          <w:color w:val="000000" w:themeColor="text1"/>
        </w:rPr>
        <w:t xml:space="preserve"> to mean a situation that</w:t>
      </w:r>
      <w:r w:rsidR="004C7B35">
        <w:rPr>
          <w:color w:val="000000" w:themeColor="text1"/>
        </w:rPr>
        <w:t>:</w:t>
      </w:r>
    </w:p>
    <w:p w14:paraId="1A164FA9" w14:textId="39128498" w:rsidR="004D77DB" w:rsidRPr="00522A7C" w:rsidRDefault="004D77DB">
      <w:pPr>
        <w:pStyle w:val="BodyTextalphalist"/>
      </w:pPr>
      <w:r w:rsidRPr="00522A7C">
        <w:t>is the result of any happening, whether natural or otherwise, including, without limitation, any explosion, earthquake, eruption, tsunami, land movement, flood, storm, tornado, cyclone, serious fire, leakage or spillage of any dangerous gas or substance, technological failure, infestation, plague, epidemic, failure of or disruption to an emergency service or a lifeline utility, or actual or imminent attack or warlike act; and</w:t>
      </w:r>
    </w:p>
    <w:p w14:paraId="039C5BF6" w14:textId="0EB3C676" w:rsidR="004D77DB" w:rsidRPr="00522A7C" w:rsidRDefault="004D77DB">
      <w:pPr>
        <w:pStyle w:val="BodyTextalphalist"/>
      </w:pPr>
      <w:r w:rsidRPr="00522A7C">
        <w:t>causes or may cause loss of life or injury or illness or distress or in any way endangers the safety of the public or property in New Zealand or any part of New Zealand; and</w:t>
      </w:r>
    </w:p>
    <w:p w14:paraId="012AB706" w14:textId="00150FBC" w:rsidR="004D77DB" w:rsidRPr="00522A7C" w:rsidRDefault="004D77DB">
      <w:pPr>
        <w:pStyle w:val="BodyTextalphalist"/>
      </w:pPr>
      <w:r w:rsidRPr="00522A7C">
        <w:t xml:space="preserve">cannot be dealt with by emergency services, or otherwise requires a significant and coordinated response under this Act. </w:t>
      </w:r>
    </w:p>
    <w:p w14:paraId="49CD846F" w14:textId="0D9D4026" w:rsidR="004D77DB" w:rsidRPr="00522A7C" w:rsidRDefault="004D77DB" w:rsidP="00FB32D6">
      <w:pPr>
        <w:pStyle w:val="BodyTextnonum"/>
      </w:pPr>
      <w:r w:rsidRPr="00522A7C">
        <w:t xml:space="preserve">Whatever the kind of emergency, the focus of the definition is that the emergency must be (a) endangering the safety of people or property to such an extent that it (b) goes beyond the capacities of ordinary emergency services to respond. </w:t>
      </w:r>
    </w:p>
    <w:p w14:paraId="0126A8B9" w14:textId="64B2A906" w:rsidR="004D77DB" w:rsidRPr="00522A7C" w:rsidRDefault="004D77DB" w:rsidP="004C4191">
      <w:pPr>
        <w:pStyle w:val="Heading3"/>
      </w:pPr>
      <w:bookmarkStart w:id="125" w:name="_Toc117063113"/>
      <w:bookmarkStart w:id="126" w:name="_Toc118119305"/>
      <w:r w:rsidRPr="00522A7C">
        <w:t xml:space="preserve">State of </w:t>
      </w:r>
      <w:r w:rsidR="00882951">
        <w:t>e</w:t>
      </w:r>
      <w:r w:rsidRPr="00522A7C">
        <w:t>mergency</w:t>
      </w:r>
      <w:bookmarkEnd w:id="125"/>
      <w:bookmarkEnd w:id="126"/>
      <w:r w:rsidRPr="00522A7C">
        <w:t xml:space="preserve"> </w:t>
      </w:r>
    </w:p>
    <w:p w14:paraId="43237163" w14:textId="71BA3BA2" w:rsidR="004D77DB" w:rsidRPr="00522A7C" w:rsidRDefault="004D77DB" w:rsidP="00FB32D6">
      <w:pPr>
        <w:pStyle w:val="BodyTextnonum"/>
      </w:pPr>
      <w:r w:rsidRPr="00522A7C">
        <w:t xml:space="preserve">A </w:t>
      </w:r>
      <w:r w:rsidR="00882951">
        <w:t>“</w:t>
      </w:r>
      <w:r w:rsidRPr="00522A7C">
        <w:t>state of emergency</w:t>
      </w:r>
      <w:r w:rsidR="00882951">
        <w:t>”</w:t>
      </w:r>
      <w:r w:rsidRPr="00522A7C">
        <w:t xml:space="preserve"> is defined in s 4 to mean either a state of national emergency or a state of local emergency. The CDEM</w:t>
      </w:r>
      <w:r w:rsidR="00882951">
        <w:t xml:space="preserve"> </w:t>
      </w:r>
      <w:r w:rsidRPr="00522A7C">
        <w:t>A</w:t>
      </w:r>
      <w:r w:rsidR="00882951">
        <w:t>ct</w:t>
      </w:r>
      <w:r w:rsidRPr="00522A7C">
        <w:t xml:space="preserve"> trigger may unlock three options: </w:t>
      </w:r>
    </w:p>
    <w:p w14:paraId="3F47358D" w14:textId="4C7B1963" w:rsidR="004D77DB" w:rsidRPr="00522A7C" w:rsidRDefault="006814B9">
      <w:pPr>
        <w:pStyle w:val="BodyTextalphalist"/>
      </w:pPr>
      <w:r>
        <w:t>A</w:t>
      </w:r>
      <w:r w:rsidR="004D77DB" w:rsidRPr="00522A7C">
        <w:t xml:space="preserve"> state of national emergency declared under s 66</w:t>
      </w:r>
      <w:r>
        <w:t>.</w:t>
      </w:r>
      <w:r w:rsidR="004D77DB" w:rsidRPr="00522A7C">
        <w:t xml:space="preserve"> </w:t>
      </w:r>
    </w:p>
    <w:p w14:paraId="4E093F9B" w14:textId="24DA09D0" w:rsidR="004D77DB" w:rsidRPr="00522A7C" w:rsidRDefault="006814B9">
      <w:pPr>
        <w:pStyle w:val="BodyTextalphalist"/>
      </w:pPr>
      <w:r>
        <w:t>A</w:t>
      </w:r>
      <w:r w:rsidR="004D77DB" w:rsidRPr="00522A7C">
        <w:t xml:space="preserve"> state of local emergency declared under s 68</w:t>
      </w:r>
      <w:r>
        <w:t>.</w:t>
      </w:r>
      <w:r w:rsidR="004D77DB" w:rsidRPr="00522A7C">
        <w:t xml:space="preserve"> </w:t>
      </w:r>
    </w:p>
    <w:p w14:paraId="6A924DFE" w14:textId="5BB73319" w:rsidR="004D77DB" w:rsidRPr="00522A7C" w:rsidRDefault="006814B9">
      <w:pPr>
        <w:pStyle w:val="BodyTextalphalist"/>
      </w:pPr>
      <w:r>
        <w:t>A</w:t>
      </w:r>
      <w:r w:rsidR="004D77DB" w:rsidRPr="00522A7C">
        <w:t xml:space="preserve"> transition period (whether out of a national or local emergency). </w:t>
      </w:r>
    </w:p>
    <w:p w14:paraId="34126A71" w14:textId="1E302B50" w:rsidR="004D77DB" w:rsidRDefault="004D77DB" w:rsidP="004C4191">
      <w:pPr>
        <w:pStyle w:val="Heading3"/>
      </w:pPr>
      <w:bookmarkStart w:id="127" w:name="_Toc117063114"/>
      <w:bookmarkStart w:id="128" w:name="_Toc118119306"/>
      <w:r w:rsidRPr="005B222E">
        <w:t xml:space="preserve">National </w:t>
      </w:r>
      <w:r w:rsidR="00882951">
        <w:t>e</w:t>
      </w:r>
      <w:r w:rsidRPr="005B222E">
        <w:t>mergency</w:t>
      </w:r>
      <w:bookmarkEnd w:id="127"/>
      <w:bookmarkEnd w:id="128"/>
    </w:p>
    <w:p w14:paraId="418A4E69" w14:textId="5149F41F" w:rsidR="004D77DB" w:rsidRPr="00522A7C" w:rsidRDefault="004D77DB" w:rsidP="00FB32D6">
      <w:pPr>
        <w:pStyle w:val="BodyTextnonum"/>
      </w:pPr>
      <w:r w:rsidRPr="00522A7C">
        <w:t xml:space="preserve">A state of national emergency can be declared under the </w:t>
      </w:r>
      <w:r w:rsidR="0075740A">
        <w:t>CDEM Act</w:t>
      </w:r>
      <w:r w:rsidRPr="00522A7C">
        <w:t xml:space="preserve"> by the responsible Minister (currently the Minister </w:t>
      </w:r>
      <w:r w:rsidR="00662AE0">
        <w:t>for Emergency Management</w:t>
      </w:r>
      <w:r w:rsidRPr="00522A7C">
        <w:t xml:space="preserve">). Section 66 reads: </w:t>
      </w:r>
    </w:p>
    <w:p w14:paraId="77BD1EBF" w14:textId="2F6ADC6F" w:rsidR="004D77DB" w:rsidRDefault="004D77DB" w:rsidP="00137BF0">
      <w:pPr>
        <w:pStyle w:val="Quote"/>
        <w:numPr>
          <w:ilvl w:val="0"/>
          <w:numId w:val="0"/>
        </w:numPr>
        <w:spacing w:before="0" w:after="120"/>
        <w:ind w:left="1985" w:hanging="567"/>
        <w:rPr>
          <w:b/>
          <w:bCs/>
          <w:color w:val="000000" w:themeColor="text1"/>
          <w:szCs w:val="22"/>
        </w:rPr>
      </w:pPr>
      <w:r w:rsidRPr="008331DD">
        <w:rPr>
          <w:rStyle w:val="label"/>
          <w:rFonts w:eastAsiaTheme="majorEastAsia"/>
          <w:b/>
          <w:bCs/>
          <w:color w:val="000000" w:themeColor="text1"/>
          <w:szCs w:val="22"/>
        </w:rPr>
        <w:t>66</w:t>
      </w:r>
      <w:r w:rsidRPr="008331DD">
        <w:rPr>
          <w:rStyle w:val="label"/>
          <w:rFonts w:eastAsiaTheme="majorEastAsia"/>
          <w:b/>
          <w:bCs/>
          <w:color w:val="000000" w:themeColor="text1"/>
          <w:szCs w:val="22"/>
        </w:rPr>
        <w:tab/>
      </w:r>
      <w:r w:rsidRPr="008331DD">
        <w:rPr>
          <w:b/>
          <w:bCs/>
          <w:color w:val="000000" w:themeColor="text1"/>
          <w:szCs w:val="22"/>
        </w:rPr>
        <w:t>Minister may declare state of national emergency</w:t>
      </w:r>
    </w:p>
    <w:p w14:paraId="2C64B942" w14:textId="77777777" w:rsidR="004D77DB" w:rsidRPr="008331DD" w:rsidRDefault="004D77DB" w:rsidP="00B95E9B">
      <w:pPr>
        <w:pStyle w:val="Quote"/>
        <w:ind w:left="1985" w:hanging="567"/>
        <w:jc w:val="left"/>
        <w:rPr>
          <w:color w:val="000000" w:themeColor="text1"/>
          <w:szCs w:val="22"/>
        </w:rPr>
      </w:pPr>
      <w:r w:rsidRPr="008331DD">
        <w:rPr>
          <w:rStyle w:val="label"/>
          <w:rFonts w:eastAsiaTheme="majorEastAsia"/>
          <w:color w:val="000000" w:themeColor="text1"/>
          <w:szCs w:val="22"/>
        </w:rPr>
        <w:t>(1)</w:t>
      </w:r>
      <w:r w:rsidRPr="008331DD">
        <w:rPr>
          <w:color w:val="000000" w:themeColor="text1"/>
          <w:szCs w:val="22"/>
        </w:rPr>
        <w:tab/>
        <w:t>The Minister may declare that a state of national emergency exists over the whole of New Zealand or any areas or districts if at any time it appears to the Minister that—</w:t>
      </w:r>
    </w:p>
    <w:p w14:paraId="0EB749AA" w14:textId="77777777" w:rsidR="004D77DB" w:rsidRPr="008331DD" w:rsidRDefault="004D77DB" w:rsidP="00B95E9B">
      <w:pPr>
        <w:pStyle w:val="Quote"/>
        <w:ind w:left="2552" w:hanging="567"/>
        <w:jc w:val="left"/>
        <w:rPr>
          <w:color w:val="000000" w:themeColor="text1"/>
          <w:szCs w:val="22"/>
        </w:rPr>
      </w:pPr>
      <w:r w:rsidRPr="008331DD">
        <w:rPr>
          <w:rStyle w:val="label"/>
          <w:rFonts w:eastAsiaTheme="majorEastAsia"/>
          <w:color w:val="000000" w:themeColor="text1"/>
          <w:szCs w:val="22"/>
        </w:rPr>
        <w:t>(a)</w:t>
      </w:r>
      <w:r w:rsidRPr="008331DD">
        <w:rPr>
          <w:color w:val="000000" w:themeColor="text1"/>
          <w:szCs w:val="22"/>
        </w:rPr>
        <w:tab/>
        <w:t>an emergency has occurred or may occur; and</w:t>
      </w:r>
    </w:p>
    <w:p w14:paraId="7A2745AE" w14:textId="77777777" w:rsidR="004D77DB" w:rsidRPr="008331DD" w:rsidRDefault="004D77DB" w:rsidP="00B95E9B">
      <w:pPr>
        <w:pStyle w:val="Quote"/>
        <w:ind w:left="2552" w:hanging="567"/>
        <w:jc w:val="left"/>
        <w:rPr>
          <w:color w:val="000000" w:themeColor="text1"/>
          <w:szCs w:val="22"/>
        </w:rPr>
      </w:pPr>
      <w:r w:rsidRPr="008331DD">
        <w:rPr>
          <w:rStyle w:val="label"/>
          <w:rFonts w:eastAsiaTheme="majorEastAsia"/>
          <w:color w:val="000000" w:themeColor="text1"/>
          <w:szCs w:val="22"/>
        </w:rPr>
        <w:t>(b)</w:t>
      </w:r>
      <w:r w:rsidRPr="008331DD">
        <w:rPr>
          <w:color w:val="000000" w:themeColor="text1"/>
          <w:szCs w:val="22"/>
        </w:rPr>
        <w:tab/>
        <w:t xml:space="preserve">the emergency is, or is likely to be, of such extent, magnitude, or severity that the civil defence emergency management necessary or desirable in respect of it is, or is likely to be, beyond the resources of the Civil Defence </w:t>
      </w:r>
      <w:r w:rsidRPr="008331DD">
        <w:rPr>
          <w:color w:val="000000" w:themeColor="text1"/>
          <w:szCs w:val="22"/>
        </w:rPr>
        <w:lastRenderedPageBreak/>
        <w:t>Emergency Management Groups whose areas may be affected by the emergency.</w:t>
      </w:r>
    </w:p>
    <w:p w14:paraId="245485F2" w14:textId="77777777" w:rsidR="004D77DB" w:rsidRPr="008331DD" w:rsidRDefault="004D77DB" w:rsidP="00B95E9B">
      <w:pPr>
        <w:pStyle w:val="Quote"/>
        <w:ind w:left="1985" w:hanging="567"/>
        <w:jc w:val="left"/>
        <w:rPr>
          <w:color w:val="000000" w:themeColor="text1"/>
          <w:szCs w:val="22"/>
        </w:rPr>
      </w:pPr>
      <w:r w:rsidRPr="008331DD">
        <w:rPr>
          <w:rStyle w:val="label"/>
          <w:rFonts w:eastAsiaTheme="majorEastAsia"/>
          <w:color w:val="000000" w:themeColor="text1"/>
          <w:szCs w:val="22"/>
        </w:rPr>
        <w:t>(2)</w:t>
      </w:r>
      <w:r w:rsidRPr="008331DD">
        <w:rPr>
          <w:color w:val="000000" w:themeColor="text1"/>
          <w:szCs w:val="22"/>
        </w:rPr>
        <w:tab/>
        <w:t>The Minister must advise the House of Representatives as soon as practicable where a state of national emergency has been declared or extended.</w:t>
      </w:r>
    </w:p>
    <w:p w14:paraId="6D94D704" w14:textId="77777777" w:rsidR="004D77DB" w:rsidRPr="008331DD" w:rsidRDefault="004D77DB" w:rsidP="00137BF0">
      <w:pPr>
        <w:pStyle w:val="Quote"/>
        <w:spacing w:after="120"/>
        <w:ind w:left="1985" w:hanging="567"/>
        <w:jc w:val="left"/>
        <w:rPr>
          <w:color w:val="000000" w:themeColor="text1"/>
          <w:szCs w:val="22"/>
        </w:rPr>
      </w:pPr>
      <w:r w:rsidRPr="008331DD">
        <w:rPr>
          <w:rStyle w:val="label"/>
          <w:rFonts w:eastAsiaTheme="majorEastAsia"/>
          <w:color w:val="000000" w:themeColor="text1"/>
          <w:szCs w:val="22"/>
        </w:rPr>
        <w:t>(3)</w:t>
      </w:r>
      <w:r w:rsidRPr="008331DD">
        <w:rPr>
          <w:color w:val="000000" w:themeColor="text1"/>
          <w:szCs w:val="22"/>
        </w:rPr>
        <w:tab/>
        <w:t>If a declaration of a state of national emergency is made, any other state of emergency then in force in the area to which the state of national emergency applies ceases to have effect.</w:t>
      </w:r>
    </w:p>
    <w:p w14:paraId="4784584D" w14:textId="77777777" w:rsidR="004D77DB" w:rsidRPr="00522A7C" w:rsidRDefault="004D77DB" w:rsidP="00FB32D6">
      <w:pPr>
        <w:pStyle w:val="BodyTextnonum"/>
      </w:pPr>
      <w:r w:rsidRPr="00522A7C">
        <w:t xml:space="preserve">The threshold test has two key components: </w:t>
      </w:r>
    </w:p>
    <w:p w14:paraId="1530C806" w14:textId="77777777" w:rsidR="004D77DB" w:rsidRPr="00522A7C" w:rsidRDefault="004D77DB">
      <w:pPr>
        <w:pStyle w:val="BodyTextalphalist"/>
      </w:pPr>
      <w:r>
        <w:t>F</w:t>
      </w:r>
      <w:r w:rsidRPr="00522A7C">
        <w:t>irst, it must appear that an emergency has occurred or may occur. “</w:t>
      </w:r>
      <w:r>
        <w:t>M</w:t>
      </w:r>
      <w:r w:rsidRPr="00522A7C">
        <w:t>ay</w:t>
      </w:r>
      <w:r>
        <w:t xml:space="preserve"> occur</w:t>
      </w:r>
      <w:r w:rsidRPr="00522A7C">
        <w:t>” incorporates the precautionary approach enacted in s 7</w:t>
      </w:r>
      <w:r>
        <w:t xml:space="preserve">, </w:t>
      </w:r>
      <w:r w:rsidRPr="00522A7C">
        <w:t>which mandates “caution in managing risks even if there is scientific and technical uncertainty” about the extent of those risks.</w:t>
      </w:r>
      <w:r>
        <w:t xml:space="preserve"> </w:t>
      </w:r>
    </w:p>
    <w:p w14:paraId="0B765D88" w14:textId="2B3DA20C" w:rsidR="004D77DB" w:rsidRPr="00522A7C" w:rsidRDefault="004D77DB">
      <w:pPr>
        <w:pStyle w:val="BodyTextalphalist"/>
      </w:pPr>
      <w:r>
        <w:t>S</w:t>
      </w:r>
      <w:r w:rsidRPr="00522A7C">
        <w:t>econd, the emergency must have exceeded or be likely to exceed the capacities of the relevant local Civil Defence Emergency Management Groups (</w:t>
      </w:r>
      <w:r w:rsidRPr="00CC3ADC">
        <w:t>CDEM Groups</w:t>
      </w:r>
      <w:r w:rsidRPr="00522A7C">
        <w:t xml:space="preserve">). These CDEM Groups are comprised of </w:t>
      </w:r>
      <w:r>
        <w:t xml:space="preserve">selected members of </w:t>
      </w:r>
      <w:r w:rsidRPr="00522A7C">
        <w:t>several regional councils and territorial authorities working together.</w:t>
      </w:r>
    </w:p>
    <w:p w14:paraId="26D1011C" w14:textId="688A0199" w:rsidR="004D77DB" w:rsidRDefault="004D77DB" w:rsidP="00FB32D6">
      <w:pPr>
        <w:pStyle w:val="BodyTextnonum"/>
      </w:pPr>
      <w:r w:rsidRPr="00522A7C">
        <w:t>According to s 67, once a declaration of national emergency has been made, Parliament must meet within the next 7 days. This is an important democratic protection to ensure the provisions are not overused</w:t>
      </w:r>
      <w:r>
        <w:t xml:space="preserve"> and to facilitate public scrutiny when they are used</w:t>
      </w:r>
      <w:r w:rsidRPr="00522A7C">
        <w:t>. That democratic protection cannot operate if the Parliament has been dissolved and the process has been started for a general election.</w:t>
      </w:r>
      <w:r>
        <w:t xml:space="preserve"> </w:t>
      </w:r>
      <w:r w:rsidRPr="00522A7C">
        <w:t>In that case</w:t>
      </w:r>
      <w:r w:rsidR="006814B9">
        <w:t>,</w:t>
      </w:r>
      <w:r w:rsidRPr="00522A7C">
        <w:t xml:space="preserve"> the new Parliament must be notified after the return of the electoral writs. </w:t>
      </w:r>
    </w:p>
    <w:p w14:paraId="7B03761E" w14:textId="77777777" w:rsidR="004D77DB" w:rsidRPr="00243AA3" w:rsidRDefault="004D77DB" w:rsidP="004C4191">
      <w:pPr>
        <w:pStyle w:val="Heading3"/>
      </w:pPr>
      <w:bookmarkStart w:id="129" w:name="_Toc117063115"/>
      <w:bookmarkStart w:id="130" w:name="_Toc118119307"/>
      <w:r w:rsidRPr="00522A7C">
        <w:t>Local emergency</w:t>
      </w:r>
      <w:bookmarkEnd w:id="129"/>
      <w:bookmarkEnd w:id="130"/>
    </w:p>
    <w:p w14:paraId="4ED756BB" w14:textId="767E7003" w:rsidR="004D77DB" w:rsidRPr="00522A7C" w:rsidRDefault="004D77DB" w:rsidP="00FB32D6">
      <w:pPr>
        <w:pStyle w:val="BodyTextnonum"/>
      </w:pPr>
      <w:r w:rsidRPr="00522A7C">
        <w:t xml:space="preserve">Declarations of local emergency can be made under s 68. They are made, in the first instance, by an appointed member of the relevant </w:t>
      </w:r>
      <w:r w:rsidR="000D337B">
        <w:t>CDEM</w:t>
      </w:r>
      <w:r w:rsidRPr="00522A7C">
        <w:t xml:space="preserve"> Group.</w:t>
      </w:r>
      <w:r w:rsidRPr="00522A7C">
        <w:rPr>
          <w:rStyle w:val="FootnoteReference"/>
          <w:color w:val="000000" w:themeColor="text1"/>
        </w:rPr>
        <w:footnoteReference w:id="109"/>
      </w:r>
      <w:r w:rsidRPr="00522A7C">
        <w:t xml:space="preserve"> Subsection (1) provides: </w:t>
      </w:r>
    </w:p>
    <w:p w14:paraId="17B36F53" w14:textId="18094F72" w:rsidR="004D77DB" w:rsidRPr="00522A7C" w:rsidRDefault="004D77DB">
      <w:pPr>
        <w:pStyle w:val="Quote"/>
      </w:pPr>
      <w:r w:rsidRPr="00522A7C">
        <w:t>A person appointed for the purpose under</w:t>
      </w:r>
      <w:r w:rsidR="00117774">
        <w:t xml:space="preserve"> </w:t>
      </w:r>
      <w:hyperlink r:id="rId32" w:anchor="DLM150719" w:history="1">
        <w:r w:rsidRPr="00117774">
          <w:t>section 25</w:t>
        </w:r>
      </w:hyperlink>
      <w:r w:rsidR="00117774">
        <w:t xml:space="preserve"> </w:t>
      </w:r>
      <w:r w:rsidRPr="00522A7C">
        <w:t>may declare that a state of local emergency exists in the area for which the person is appointed if at any time it appears to the person that an emergency has occurred or may occur within the area.</w:t>
      </w:r>
    </w:p>
    <w:p w14:paraId="180DE4F8" w14:textId="77777777" w:rsidR="004D77DB" w:rsidRPr="00522A7C" w:rsidRDefault="004D77DB" w:rsidP="00FB32D6">
      <w:pPr>
        <w:pStyle w:val="BodyTextnonum"/>
      </w:pPr>
      <w:r w:rsidRPr="00522A7C">
        <w:t xml:space="preserve">The core test remains the same: it must appear that an emergency has occurred or may occur. </w:t>
      </w:r>
    </w:p>
    <w:p w14:paraId="23EAF878" w14:textId="77777777" w:rsidR="004D77DB" w:rsidRPr="00522A7C" w:rsidRDefault="004D77DB" w:rsidP="00FB32D6">
      <w:pPr>
        <w:pStyle w:val="BodyTextnonum"/>
      </w:pPr>
      <w:r w:rsidRPr="00522A7C">
        <w:t xml:space="preserve">Declarations of emergency of either kind can be extended every 7 days </w:t>
      </w:r>
      <w:r>
        <w:t>by</w:t>
      </w:r>
      <w:r w:rsidRPr="00522A7C">
        <w:t xml:space="preserve"> processes set out in s 67.</w:t>
      </w:r>
    </w:p>
    <w:p w14:paraId="3D5B4ECF" w14:textId="77777777" w:rsidR="004D77DB" w:rsidRPr="00035125" w:rsidRDefault="004D77DB" w:rsidP="00857BC0">
      <w:pPr>
        <w:pStyle w:val="Heading3"/>
      </w:pPr>
      <w:bookmarkStart w:id="131" w:name="_Toc117063116"/>
      <w:bookmarkStart w:id="132" w:name="_Toc118119308"/>
      <w:r w:rsidRPr="00035125">
        <w:t>Transition period</w:t>
      </w:r>
      <w:bookmarkEnd w:id="131"/>
      <w:bookmarkEnd w:id="132"/>
      <w:r w:rsidRPr="00035125">
        <w:t xml:space="preserve"> </w:t>
      </w:r>
    </w:p>
    <w:p w14:paraId="72EB218E" w14:textId="6FE97948" w:rsidR="004D77DB" w:rsidRDefault="004D77DB" w:rsidP="00FB32D6">
      <w:pPr>
        <w:pStyle w:val="BodyTextnonum"/>
      </w:pPr>
      <w:r w:rsidRPr="00522A7C">
        <w:t>As a result of a 2018 amendment to the CDEM Act, certain powers (</w:t>
      </w:r>
      <w:r>
        <w:t>for example,</w:t>
      </w:r>
      <w:r w:rsidRPr="00522A7C">
        <w:t xml:space="preserve"> to request information</w:t>
      </w:r>
      <w:r w:rsidR="000D337B">
        <w:t xml:space="preserve"> or</w:t>
      </w:r>
      <w:r w:rsidRPr="00522A7C">
        <w:t xml:space="preserve"> </w:t>
      </w:r>
      <w:proofErr w:type="gramStart"/>
      <w:r w:rsidRPr="00522A7C">
        <w:t>enter into</w:t>
      </w:r>
      <w:proofErr w:type="gramEnd"/>
      <w:r w:rsidRPr="00522A7C">
        <w:t xml:space="preserve">, evaluate or close premises and roads) can now be activated during a so-called “transition” or recovery phase. The Minister is able to trigger special powers if </w:t>
      </w:r>
      <w:proofErr w:type="gramStart"/>
      <w:r w:rsidRPr="00522A7C">
        <w:t>necessary</w:t>
      </w:r>
      <w:proofErr w:type="gramEnd"/>
      <w:r w:rsidRPr="00522A7C">
        <w:t xml:space="preserve"> in the public interest </w:t>
      </w:r>
      <w:r w:rsidRPr="00522A7C">
        <w:rPr>
          <w:i/>
          <w:iCs/>
        </w:rPr>
        <w:t xml:space="preserve">and </w:t>
      </w:r>
      <w:r w:rsidRPr="00522A7C">
        <w:rPr>
          <w:color w:val="000000"/>
        </w:rPr>
        <w:t>when “necessary or desirable to ensure a timely and effective recovery” (s</w:t>
      </w:r>
      <w:r w:rsidR="000D337B">
        <w:rPr>
          <w:color w:val="000000"/>
        </w:rPr>
        <w:t xml:space="preserve"> </w:t>
      </w:r>
      <w:r w:rsidRPr="00522A7C">
        <w:rPr>
          <w:color w:val="000000"/>
        </w:rPr>
        <w:t>94A) either after the expiration or termination of a state of emergency or in circumstances when</w:t>
      </w:r>
      <w:r w:rsidRPr="00522A7C">
        <w:t xml:space="preserve"> the initial event did not trigger a state of emergency at all. There are procedural protections against the misuse of these powers </w:t>
      </w:r>
      <w:r w:rsidRPr="00522A7C">
        <w:lastRenderedPageBreak/>
        <w:t xml:space="preserve">(provisions for the notification of the House of Representatives </w:t>
      </w:r>
      <w:proofErr w:type="gramStart"/>
      <w:r w:rsidRPr="00522A7C">
        <w:t>similar to</w:t>
      </w:r>
      <w:proofErr w:type="gramEnd"/>
      <w:r w:rsidRPr="00522A7C">
        <w:t xml:space="preserve"> those </w:t>
      </w:r>
      <w:r w:rsidR="000D337B">
        <w:t>that</w:t>
      </w:r>
      <w:r w:rsidR="000D337B" w:rsidRPr="00522A7C">
        <w:t xml:space="preserve"> </w:t>
      </w:r>
      <w:r w:rsidRPr="00522A7C">
        <w:t>apply to declarations of emergenc</w:t>
      </w:r>
      <w:r w:rsidR="000D337B">
        <w:t>y</w:t>
      </w:r>
      <w:r w:rsidRPr="00522A7C">
        <w:t xml:space="preserve"> and requirements to report individual exercises of special powers). Even so, the usual expectation is that special emergency powers should be activated only for as long as is strictly necessary and that the reversion to normal powers should be as swift as possible. </w:t>
      </w:r>
    </w:p>
    <w:p w14:paraId="7B9C084D" w14:textId="2296C454" w:rsidR="004D77DB" w:rsidRPr="00522A7C" w:rsidRDefault="004D77DB" w:rsidP="00FB32D6">
      <w:pPr>
        <w:pStyle w:val="BodyTextnonum"/>
      </w:pPr>
      <w:r>
        <w:t xml:space="preserve">Given that it is not always possible to determine whether an emergency exists by way of a bright-line test, it is sensible for the legal regime to accommodate a transition to an emergency and back to ordinary powers. </w:t>
      </w:r>
      <w:r w:rsidRPr="00522A7C">
        <w:t xml:space="preserve">It is notable, </w:t>
      </w:r>
      <w:r>
        <w:t xml:space="preserve">however, that, </w:t>
      </w:r>
      <w:proofErr w:type="gramStart"/>
      <w:r>
        <w:t>with the exception of</w:t>
      </w:r>
      <w:proofErr w:type="gramEnd"/>
      <w:r>
        <w:t xml:space="preserve"> the COVID-19 Public Health Response Act</w:t>
      </w:r>
      <w:r w:rsidRPr="00522A7C">
        <w:t xml:space="preserve"> 2020</w:t>
      </w:r>
      <w:r w:rsidR="00BC3439">
        <w:t>,</w:t>
      </w:r>
      <w:r>
        <w:rPr>
          <w:rStyle w:val="FootnoteReference"/>
        </w:rPr>
        <w:footnoteReference w:id="110"/>
      </w:r>
      <w:r w:rsidRPr="00522A7C">
        <w:t xml:space="preserve"> there are no </w:t>
      </w:r>
      <w:r>
        <w:t xml:space="preserve">references to the transition phase in other statutes </w:t>
      </w:r>
      <w:r w:rsidR="00BC3439">
        <w:t xml:space="preserve">that </w:t>
      </w:r>
      <w:r>
        <w:t>rely on declarations of emergenc</w:t>
      </w:r>
      <w:r w:rsidR="00BC3439">
        <w:t>y</w:t>
      </w:r>
      <w:r>
        <w:t xml:space="preserve"> under the CDEM Act. Whether special powers are available in a transition phase and exactly which powers are available are questions that need to be addressed in the different sector-specific statutes dealing with different kinds of emergencies.</w:t>
      </w:r>
    </w:p>
    <w:p w14:paraId="119DD3BD" w14:textId="77777777" w:rsidR="004D77DB" w:rsidRPr="008331DD" w:rsidRDefault="004D77DB" w:rsidP="00857BC0">
      <w:pPr>
        <w:pStyle w:val="Heading2"/>
      </w:pPr>
      <w:bookmarkStart w:id="133" w:name="_Toc116464824"/>
      <w:bookmarkStart w:id="134" w:name="_Toc117063117"/>
      <w:bookmarkStart w:id="135" w:name="_Toc118119309"/>
      <w:bookmarkStart w:id="136" w:name="_Hlk107815717"/>
      <w:r w:rsidRPr="008331DD">
        <w:t>Relationship of CDEM Act with other statutes</w:t>
      </w:r>
      <w:bookmarkEnd w:id="133"/>
      <w:bookmarkEnd w:id="134"/>
      <w:bookmarkEnd w:id="135"/>
    </w:p>
    <w:bookmarkEnd w:id="136"/>
    <w:p w14:paraId="6ED0B094" w14:textId="77CA0965" w:rsidR="004D77DB" w:rsidRDefault="004D77DB" w:rsidP="00FB32D6">
      <w:pPr>
        <w:pStyle w:val="BodyTextnonum"/>
      </w:pPr>
      <w:r w:rsidRPr="00522A7C">
        <w:t>The relationship between the CDEM Act and the declaration of emergency process</w:t>
      </w:r>
      <w:r>
        <w:t>es</w:t>
      </w:r>
      <w:r w:rsidRPr="00522A7C">
        <w:t xml:space="preserve"> it sets out and emergency powers in separate statutes is </w:t>
      </w:r>
      <w:r>
        <w:t xml:space="preserve">varied and </w:t>
      </w:r>
      <w:r w:rsidRPr="00522A7C">
        <w:t>complicated</w:t>
      </w:r>
      <w:r>
        <w:t xml:space="preserve"> and needs further consideration. I discuss only a selection of emergency powers in this section. In the main, the powers in sector</w:t>
      </w:r>
      <w:r w:rsidR="00BC3439">
        <w:t>-</w:t>
      </w:r>
      <w:r>
        <w:t xml:space="preserve">specific statutes are activated for a time-limited period. The periods for which they can be exercised without political oversight vary, as do the thresholds for their use. A clearer sense of how the CDEM Act declaration provisions interact with the separate declaration of emergency regimes in sector-specific legislation would be helpful. </w:t>
      </w:r>
      <w:proofErr w:type="gramStart"/>
      <w:r>
        <w:t>Are</w:t>
      </w:r>
      <w:proofErr w:type="gramEnd"/>
      <w:r>
        <w:t xml:space="preserve"> the sector-specific declaration of emergency regimes intended to be used for ordinary or intermediate emergencies or are they intended to unlock powers in advance of serious emergencies being declared under the CDEM Act or both? </w:t>
      </w:r>
    </w:p>
    <w:p w14:paraId="14435B54" w14:textId="0FED202E" w:rsidR="004D77DB" w:rsidRDefault="004D77DB" w:rsidP="00FB32D6">
      <w:pPr>
        <w:pStyle w:val="BodyTextnonum"/>
      </w:pPr>
      <w:r w:rsidRPr="00522A7C">
        <w:t xml:space="preserve">The existence of a declaration of an emergency under the CDEM Act </w:t>
      </w:r>
      <w:r>
        <w:t xml:space="preserve">straightforwardly </w:t>
      </w:r>
      <w:r w:rsidRPr="00522A7C">
        <w:t>trigger</w:t>
      </w:r>
      <w:r>
        <w:t>s</w:t>
      </w:r>
      <w:r w:rsidRPr="00522A7C">
        <w:t xml:space="preserve"> a discretion in the Commissioner of Inland Revenue to exempt or mitigate tax reporting and other liabilities under the </w:t>
      </w:r>
      <w:r w:rsidRPr="00522A7C">
        <w:rPr>
          <w:color w:val="000000"/>
        </w:rPr>
        <w:t>Tax Administration Act 1994 s 91AA</w:t>
      </w:r>
      <w:r w:rsidR="002365EC">
        <w:rPr>
          <w:color w:val="000000"/>
        </w:rPr>
        <w:t>S</w:t>
      </w:r>
      <w:r>
        <w:rPr>
          <w:color w:val="000000"/>
        </w:rPr>
        <w:t xml:space="preserve"> and accordingly determines when the discretion is available to be exercised</w:t>
      </w:r>
      <w:r w:rsidRPr="00522A7C">
        <w:rPr>
          <w:color w:val="000000"/>
        </w:rPr>
        <w:t>.</w:t>
      </w:r>
      <w:r w:rsidRPr="00522A7C">
        <w:t xml:space="preserve"> </w:t>
      </w:r>
      <w:r>
        <w:t>By contrast</w:t>
      </w:r>
      <w:r w:rsidRPr="00522A7C">
        <w:t xml:space="preserve">, a declaration of emergency under the CDEM Act is </w:t>
      </w:r>
      <w:r>
        <w:t xml:space="preserve">only </w:t>
      </w:r>
      <w:r w:rsidRPr="00522A7C">
        <w:t>one of three ways to trigger emergency powers under s 70 of the Health Act</w:t>
      </w:r>
      <w:r>
        <w:t>. Two of these triggers are time-limited but one is not</w:t>
      </w:r>
      <w:r w:rsidRPr="00522A7C">
        <w:t xml:space="preserve"> (discussed in more detail below</w:t>
      </w:r>
      <w:r>
        <w:t xml:space="preserve"> </w:t>
      </w:r>
      <w:r w:rsidR="003C0831">
        <w:t>in relation to enforcement powers</w:t>
      </w:r>
      <w:r w:rsidRPr="00522A7C">
        <w:t>).</w:t>
      </w:r>
      <w:r>
        <w:t xml:space="preserve"> </w:t>
      </w:r>
    </w:p>
    <w:p w14:paraId="3D21703F" w14:textId="16F832B8" w:rsidR="004D77DB" w:rsidRDefault="004D77DB" w:rsidP="00FB32D6">
      <w:pPr>
        <w:pStyle w:val="BodyTextnonum"/>
      </w:pPr>
      <w:r>
        <w:t>Similarly, while a</w:t>
      </w:r>
      <w:r w:rsidRPr="00522A7C">
        <w:t xml:space="preserve"> </w:t>
      </w:r>
      <w:r>
        <w:t>d</w:t>
      </w:r>
      <w:r w:rsidRPr="00522A7C">
        <w:t xml:space="preserve">eclaration of </w:t>
      </w:r>
      <w:r>
        <w:t>e</w:t>
      </w:r>
      <w:r w:rsidRPr="00522A7C">
        <w:t xml:space="preserve">mergency under the CDEM Act may trigger special </w:t>
      </w:r>
      <w:r>
        <w:t>powers</w:t>
      </w:r>
      <w:r w:rsidR="002365EC">
        <w:t>,</w:t>
      </w:r>
      <w:r>
        <w:t xml:space="preserve"> including an </w:t>
      </w:r>
      <w:r w:rsidRPr="00522A7C">
        <w:t>expedited procedure for the importation and release of hazardous substances “necessary to deal with an emergency” under the Hazardous Substances and New Organisms Act 1996</w:t>
      </w:r>
      <w:r w:rsidR="003D049D">
        <w:t xml:space="preserve"> (HSNO Act)</w:t>
      </w:r>
      <w:r>
        <w:t xml:space="preserve">, there are a range of other triggers for such a procedure set out in s 46 </w:t>
      </w:r>
      <w:r w:rsidR="003D049D">
        <w:t>of the HSNO Act</w:t>
      </w:r>
      <w:r w:rsidR="003D049D" w:rsidDel="002365EC">
        <w:t xml:space="preserve"> </w:t>
      </w:r>
      <w:r w:rsidR="002365EC">
        <w:t xml:space="preserve">that </w:t>
      </w:r>
      <w:r>
        <w:t>do not necessar</w:t>
      </w:r>
      <w:r w:rsidR="002365EC">
        <w:t>il</w:t>
      </w:r>
      <w:r>
        <w:t xml:space="preserve">y meet the CDEM Act declaration of emergency threshold (such as an ordinary fire emergency). In addition, the responsible Minister is also able to declare a special emergency under s 49B for which the legal test is minimal, there is no requirement to have regard to specialist advice and the duration of the special emergency is left entirely to his or her discretion without any reference to the House of Representatives. </w:t>
      </w:r>
    </w:p>
    <w:p w14:paraId="7FCCC7A3" w14:textId="362E29D4" w:rsidR="004D77DB" w:rsidRDefault="004D77DB" w:rsidP="00FB32D6">
      <w:pPr>
        <w:pStyle w:val="BodyTextnonum"/>
      </w:pPr>
      <w:r>
        <w:lastRenderedPageBreak/>
        <w:t xml:space="preserve">The </w:t>
      </w:r>
      <w:r w:rsidR="003D049D">
        <w:t xml:space="preserve">HSNO </w:t>
      </w:r>
      <w:r>
        <w:t xml:space="preserve">Act s 136 allows </w:t>
      </w:r>
      <w:r w:rsidRPr="00522A7C">
        <w:t xml:space="preserve">for special emergency powers to be available to identified officials if certain tests are met </w:t>
      </w:r>
      <w:r>
        <w:t xml:space="preserve">even </w:t>
      </w:r>
      <w:r w:rsidRPr="008331DD">
        <w:rPr>
          <w:i/>
          <w:iCs/>
        </w:rPr>
        <w:t>in advance</w:t>
      </w:r>
      <w:r w:rsidRPr="00522A7C">
        <w:t xml:space="preserve"> of a declaration of emergency under the CDEM Act</w:t>
      </w:r>
      <w:r>
        <w:t xml:space="preserve"> but appropriately only for a very limited 48</w:t>
      </w:r>
      <w:r w:rsidR="003D049D">
        <w:t>-</w:t>
      </w:r>
      <w:r>
        <w:t>hour period</w:t>
      </w:r>
      <w:r w:rsidRPr="00522A7C">
        <w:t xml:space="preserve">. The intention seems to be to enable individual officials to act immediately for a short period upon the identification of a threat. </w:t>
      </w:r>
      <w:r>
        <w:t>The special powers can continue o</w:t>
      </w:r>
      <w:r w:rsidRPr="00522A7C">
        <w:t xml:space="preserve">nce a declaration of emergency is made under the CDEM Act or </w:t>
      </w:r>
      <w:r>
        <w:t xml:space="preserve">under </w:t>
      </w:r>
      <w:r w:rsidRPr="00522A7C">
        <w:t>certain other statutes</w:t>
      </w:r>
      <w:r>
        <w:t xml:space="preserve"> (including the Radiation Safety Act) but otherwise are appropriately </w:t>
      </w:r>
      <w:proofErr w:type="gramStart"/>
      <w:r>
        <w:t>time-limited</w:t>
      </w:r>
      <w:proofErr w:type="gramEnd"/>
      <w:r>
        <w:t xml:space="preserve">. </w:t>
      </w:r>
    </w:p>
    <w:p w14:paraId="0385CA6B" w14:textId="6A397AF2" w:rsidR="004D77DB" w:rsidRDefault="004D77DB" w:rsidP="00FB32D6">
      <w:pPr>
        <w:pStyle w:val="BodyTextnonum"/>
      </w:pPr>
      <w:r>
        <w:t xml:space="preserve">The Radiation Safety Act s 54(1)(b) sets out an alternative set of rules again for the declaration of a radiation emergency. In this case, the rules allow the Director </w:t>
      </w:r>
      <w:r w:rsidR="00EB0860">
        <w:t>for</w:t>
      </w:r>
      <w:r>
        <w:t xml:space="preserve"> </w:t>
      </w:r>
      <w:r w:rsidR="00EB0860">
        <w:t>R</w:t>
      </w:r>
      <w:r>
        <w:t xml:space="preserve">adiation </w:t>
      </w:r>
      <w:r w:rsidR="00EB0860">
        <w:t>S</w:t>
      </w:r>
      <w:r>
        <w:t xml:space="preserve">afety or an officer on site (s 55) to make a declaration of radiation safety but only if others have so far failed to act or in advance of others acting including to declare a state of emergency under the CDEM Act. The declaration is time-limited (though the 10-day renewable time limit is much longer than under the </w:t>
      </w:r>
      <w:r w:rsidR="00EB0860">
        <w:t>HSNO</w:t>
      </w:r>
      <w:r>
        <w:t xml:space="preserve"> Act or the CDEM</w:t>
      </w:r>
      <w:r w:rsidR="00EB0860">
        <w:t xml:space="preserve"> Act</w:t>
      </w:r>
      <w:r>
        <w:t xml:space="preserve">) and is overridden by a declaration under the CDEM Act. </w:t>
      </w:r>
    </w:p>
    <w:p w14:paraId="78441224" w14:textId="3A2E803D" w:rsidR="004D77DB" w:rsidRDefault="004D77DB" w:rsidP="00FB32D6">
      <w:pPr>
        <w:pStyle w:val="BodyTextnonum"/>
      </w:pPr>
      <w:r>
        <w:t xml:space="preserve">This is a complicated patchwork of provisions </w:t>
      </w:r>
      <w:r w:rsidR="00EB0860">
        <w:t xml:space="preserve">that </w:t>
      </w:r>
      <w:r>
        <w:t>should be standardised where that is possible and appropriate.</w:t>
      </w:r>
    </w:p>
    <w:p w14:paraId="453354ED" w14:textId="24FA7456" w:rsidR="004D77DB" w:rsidRPr="0079700F" w:rsidRDefault="004D77DB" w:rsidP="00FB32D6">
      <w:pPr>
        <w:pStyle w:val="BodyTextnonum"/>
        <w:rPr>
          <w:rStyle w:val="Heading2Char"/>
          <w:rFonts w:eastAsiaTheme="minorHAnsi"/>
          <w:color w:val="auto"/>
        </w:rPr>
      </w:pPr>
      <w:r w:rsidRPr="00522A7C">
        <w:t xml:space="preserve">Other statutes grant powers to declare emergencies </w:t>
      </w:r>
      <w:r>
        <w:t xml:space="preserve">completely </w:t>
      </w:r>
      <w:r w:rsidRPr="00522A7C">
        <w:t>independently of the CDEM Act regime</w:t>
      </w:r>
      <w:r w:rsidR="00EB0860">
        <w:t>,</w:t>
      </w:r>
      <w:r w:rsidRPr="00522A7C">
        <w:t xml:space="preserve"> and their relationship with it is unclear.</w:t>
      </w:r>
      <w:r>
        <w:t xml:space="preserve"> </w:t>
      </w:r>
      <w:r w:rsidRPr="00522A7C">
        <w:t xml:space="preserve">One of these instances is the power to declare an emergency under </w:t>
      </w:r>
      <w:r w:rsidRPr="00522A7C">
        <w:rPr>
          <w:color w:val="000000"/>
        </w:rPr>
        <w:t>the Biosecurity Act s 144. Such a declaration of emergency</w:t>
      </w:r>
      <w:r>
        <w:rPr>
          <w:color w:val="000000"/>
        </w:rPr>
        <w:t xml:space="preserve"> </w:t>
      </w:r>
      <w:r w:rsidRPr="00522A7C">
        <w:rPr>
          <w:color w:val="000000"/>
        </w:rPr>
        <w:t xml:space="preserve">does not require </w:t>
      </w:r>
      <w:r>
        <w:rPr>
          <w:color w:val="000000"/>
        </w:rPr>
        <w:t xml:space="preserve">Ministers to act on </w:t>
      </w:r>
      <w:r w:rsidRPr="00522A7C">
        <w:rPr>
          <w:color w:val="000000"/>
        </w:rPr>
        <w:t xml:space="preserve">expert advice. It also triggers very broad powers </w:t>
      </w:r>
      <w:r>
        <w:rPr>
          <w:color w:val="000000"/>
        </w:rPr>
        <w:t xml:space="preserve">indeed </w:t>
      </w:r>
      <w:r w:rsidRPr="00522A7C">
        <w:rPr>
          <w:color w:val="000000"/>
        </w:rPr>
        <w:t>in s 145</w:t>
      </w:r>
      <w:r w:rsidRPr="0079700F">
        <w:t>:</w:t>
      </w:r>
      <w:r w:rsidRPr="0079700F">
        <w:rPr>
          <w:rStyle w:val="Heading2Char"/>
          <w:color w:val="auto"/>
          <w:bdr w:val="none" w:sz="0" w:space="0" w:color="auto" w:frame="1"/>
        </w:rPr>
        <w:t xml:space="preserve"> </w:t>
      </w:r>
    </w:p>
    <w:p w14:paraId="0E747649" w14:textId="77777777" w:rsidR="004D77DB" w:rsidRPr="00C75CC9" w:rsidRDefault="004D77DB" w:rsidP="00137BF0">
      <w:pPr>
        <w:pStyle w:val="Quote"/>
        <w:spacing w:after="120"/>
      </w:pPr>
      <w:r w:rsidRPr="008331DD">
        <w:rPr>
          <w:b/>
          <w:bCs/>
        </w:rPr>
        <w:t>Emergency powers</w:t>
      </w:r>
    </w:p>
    <w:p w14:paraId="24EA9A33" w14:textId="356B623C" w:rsidR="004D77DB" w:rsidRPr="00522A7C" w:rsidRDefault="004D77DB" w:rsidP="00041568">
      <w:pPr>
        <w:pStyle w:val="Quote"/>
        <w:numPr>
          <w:ilvl w:val="0"/>
          <w:numId w:val="19"/>
        </w:numPr>
        <w:spacing w:before="0" w:after="160"/>
        <w:ind w:left="1985" w:right="567" w:hanging="567"/>
      </w:pPr>
      <w:r w:rsidRPr="00522A7C">
        <w:t>The Minister may, in the area or areas in which a declaration of biosecurity emergency is in force</w:t>
      </w:r>
      <w:r w:rsidR="00E76422">
        <w:t xml:space="preserve"> </w:t>
      </w:r>
      <w:r w:rsidRPr="00522A7C">
        <w:rPr>
          <w:rStyle w:val="insertwords"/>
          <w:color w:val="000000"/>
          <w:bdr w:val="none" w:sz="0" w:space="0" w:color="auto" w:frame="1"/>
        </w:rPr>
        <w:t>by notice,</w:t>
      </w:r>
      <w:r w:rsidR="00E76422">
        <w:t xml:space="preserve"> </w:t>
      </w:r>
      <w:r w:rsidRPr="00522A7C">
        <w:t>take such measures, and do all such acts and things and give all such directions, and require all such acts to be done or not to be done, as the Minister believes on reasonable grounds to be necessary or desirable for the purpose of</w:t>
      </w:r>
      <w:r w:rsidR="00E76422">
        <w:t xml:space="preserve"> </w:t>
      </w:r>
      <w:r w:rsidRPr="00522A7C">
        <w:rPr>
          <w:rStyle w:val="insertwords"/>
          <w:color w:val="000000"/>
          <w:bdr w:val="none" w:sz="0" w:space="0" w:color="auto" w:frame="1"/>
        </w:rPr>
        <w:t>eradicating or managing</w:t>
      </w:r>
      <w:r w:rsidR="00E76422">
        <w:t xml:space="preserve"> </w:t>
      </w:r>
      <w:r w:rsidRPr="00522A7C">
        <w:t>the organism in respect of which the emergency has been declared.</w:t>
      </w:r>
    </w:p>
    <w:p w14:paraId="0F067BC7" w14:textId="072BA1F6" w:rsidR="004D77DB" w:rsidRDefault="004D77DB" w:rsidP="00FB32D6">
      <w:pPr>
        <w:pStyle w:val="BodyTextnonum"/>
      </w:pPr>
      <w:r>
        <w:t>This power is, however, time-limited, and the House of Representatives is required to be notified.</w:t>
      </w:r>
      <w:r>
        <w:rPr>
          <w:rStyle w:val="FootnoteReference"/>
          <w:color w:val="000000"/>
        </w:rPr>
        <w:footnoteReference w:id="111"/>
      </w:r>
      <w:r>
        <w:t xml:space="preserve"> </w:t>
      </w:r>
    </w:p>
    <w:p w14:paraId="2265C512" w14:textId="009D718C" w:rsidR="004D77DB" w:rsidRDefault="004D77DB" w:rsidP="00FB32D6">
      <w:pPr>
        <w:pStyle w:val="BodyTextnonum"/>
      </w:pPr>
      <w:r w:rsidRPr="00522A7C">
        <w:t xml:space="preserve">The International Terrorism </w:t>
      </w:r>
      <w:r w:rsidR="00005B38">
        <w:t>(</w:t>
      </w:r>
      <w:r w:rsidRPr="00522A7C">
        <w:t>Emergency Powers</w:t>
      </w:r>
      <w:r w:rsidR="00005B38">
        <w:t>)</w:t>
      </w:r>
      <w:r w:rsidRPr="00522A7C">
        <w:t xml:space="preserve"> Act 1987 sets out separate processes in ss 6</w:t>
      </w:r>
      <w:r>
        <w:t xml:space="preserve"> </w:t>
      </w:r>
      <w:r w:rsidRPr="00522A7C">
        <w:t>and 7 for the authorisation of the exercise of emergency powers in a terrorist emergency on the advice of the Commissioner of Police together with requirements to notify Parliament and time limits.</w:t>
      </w:r>
    </w:p>
    <w:p w14:paraId="59025C09" w14:textId="7D66896A" w:rsidR="004D77DB" w:rsidRDefault="004D77DB" w:rsidP="00FB32D6">
      <w:pPr>
        <w:pStyle w:val="BodyTextnonum"/>
      </w:pPr>
      <w:r w:rsidRPr="00522A7C">
        <w:t xml:space="preserve">The International Energy Agreement Act 1976 sets out a different procedure again for the </w:t>
      </w:r>
      <w:r w:rsidR="00AC02B2">
        <w:t>p</w:t>
      </w:r>
      <w:r w:rsidRPr="00522A7C">
        <w:t xml:space="preserve">roclamation of a </w:t>
      </w:r>
      <w:r w:rsidR="00AC02B2">
        <w:t>p</w:t>
      </w:r>
      <w:r w:rsidRPr="00522A7C">
        <w:t xml:space="preserve">etroleum </w:t>
      </w:r>
      <w:r w:rsidR="00AC02B2">
        <w:t>e</w:t>
      </w:r>
      <w:r w:rsidRPr="00522A7C">
        <w:t>mergency. The obligation</w:t>
      </w:r>
      <w:r>
        <w:t xml:space="preserve"> on New Zealand Ministers to make such a declaration and to take domestic measures</w:t>
      </w:r>
      <w:r w:rsidRPr="00522A7C">
        <w:t xml:space="preserve"> derive</w:t>
      </w:r>
      <w:r>
        <w:t xml:space="preserve">s </w:t>
      </w:r>
      <w:r w:rsidRPr="00522A7C">
        <w:t>from the International Energy Agreement</w:t>
      </w:r>
      <w:r>
        <w:t>. In practice</w:t>
      </w:r>
      <w:r w:rsidR="00AC02B2">
        <w:t>,</w:t>
      </w:r>
      <w:r>
        <w:t xml:space="preserve"> it is the advice of the Secretariat and decisions of the Commission under the International </w:t>
      </w:r>
      <w:r w:rsidR="00664F9B">
        <w:t xml:space="preserve">Energy </w:t>
      </w:r>
      <w:r>
        <w:t xml:space="preserve">Agreement </w:t>
      </w:r>
      <w:r w:rsidRPr="00522A7C">
        <w:t xml:space="preserve">that triggers the proclamation and the use of measures </w:t>
      </w:r>
      <w:r>
        <w:t xml:space="preserve">by </w:t>
      </w:r>
      <w:r w:rsidRPr="00522A7C">
        <w:t>the signatory states.</w:t>
      </w:r>
      <w:r>
        <w:t xml:space="preserve"> According to the New Zealand statute, s</w:t>
      </w:r>
      <w:r w:rsidRPr="00522A7C">
        <w:t xml:space="preserve">uch a proclamation triggers the making of regulations restricting the distribution, </w:t>
      </w:r>
      <w:proofErr w:type="gramStart"/>
      <w:r w:rsidRPr="00522A7C">
        <w:t>supply</w:t>
      </w:r>
      <w:proofErr w:type="gramEnd"/>
      <w:r w:rsidRPr="00522A7C">
        <w:t xml:space="preserve"> and use of petroleum. There is no requirement for </w:t>
      </w:r>
      <w:r>
        <w:t xml:space="preserve">direct </w:t>
      </w:r>
      <w:r w:rsidRPr="00522A7C">
        <w:t xml:space="preserve">notification of Parliament but rather the proclamation itself is treated as if it were secondary legislation. There is nothing in the </w:t>
      </w:r>
      <w:r w:rsidR="005A5E1E">
        <w:lastRenderedPageBreak/>
        <w:t xml:space="preserve">International Energy Agreement </w:t>
      </w:r>
      <w:r w:rsidRPr="00522A7C">
        <w:t xml:space="preserve">itself </w:t>
      </w:r>
      <w:r w:rsidR="00664F9B">
        <w:t>that</w:t>
      </w:r>
      <w:r w:rsidRPr="00522A7C">
        <w:t xml:space="preserve"> would prevent the notification of the proclamation to Parliament</w:t>
      </w:r>
      <w:r w:rsidR="00664F9B">
        <w:t>,</w:t>
      </w:r>
      <w:r>
        <w:t xml:space="preserve"> and that would be a desirable amendment to the Act</w:t>
      </w:r>
      <w:r w:rsidRPr="00522A7C">
        <w:t>.</w:t>
      </w:r>
    </w:p>
    <w:p w14:paraId="4A91B67C" w14:textId="0FB2329B" w:rsidR="004D77DB" w:rsidRPr="00694106" w:rsidRDefault="004D77DB" w:rsidP="001C7069">
      <w:pPr>
        <w:pStyle w:val="Heading2"/>
      </w:pPr>
      <w:bookmarkStart w:id="137" w:name="_Toc116464825"/>
      <w:bookmarkStart w:id="138" w:name="_Toc117063118"/>
      <w:bookmarkStart w:id="139" w:name="_Toc118119310"/>
      <w:bookmarkStart w:id="140" w:name="_Hlk107815898"/>
      <w:r w:rsidRPr="008331DD">
        <w:t xml:space="preserve">CDEM </w:t>
      </w:r>
      <w:r w:rsidRPr="001C7069">
        <w:t>Act</w:t>
      </w:r>
      <w:r w:rsidRPr="008331DD">
        <w:t xml:space="preserve"> </w:t>
      </w:r>
      <w:r w:rsidR="00664F9B">
        <w:t>f</w:t>
      </w:r>
      <w:r w:rsidRPr="008331DD">
        <w:t>itness for purpose?</w:t>
      </w:r>
      <w:bookmarkEnd w:id="137"/>
      <w:bookmarkEnd w:id="138"/>
      <w:bookmarkEnd w:id="139"/>
    </w:p>
    <w:bookmarkEnd w:id="140"/>
    <w:p w14:paraId="53129E7E" w14:textId="35BE992E" w:rsidR="004D77DB" w:rsidRDefault="004D77DB" w:rsidP="00FB32D6">
      <w:pPr>
        <w:pStyle w:val="BodyTextnonum"/>
      </w:pPr>
      <w:r>
        <w:t>T</w:t>
      </w:r>
      <w:r w:rsidRPr="00CC134C">
        <w:t>he</w:t>
      </w:r>
      <w:r w:rsidRPr="00522A7C">
        <w:t xml:space="preserve"> CDEM Act purports to apply to a broad range of emergencies. It provides an important framework for emergency planning and creates institutions and mechanisms for the coordination of a range of essential public service functions </w:t>
      </w:r>
      <w:r w:rsidR="00291156">
        <w:t>that</w:t>
      </w:r>
      <w:r w:rsidR="00291156" w:rsidRPr="00522A7C">
        <w:t xml:space="preserve"> </w:t>
      </w:r>
      <w:r w:rsidRPr="00522A7C">
        <w:t>are likely to be necessary in response to a wide range of (though not necessarily all) emergencies (</w:t>
      </w:r>
      <w:r>
        <w:t>for example</w:t>
      </w:r>
      <w:r w:rsidR="00291156">
        <w:t>,</w:t>
      </w:r>
      <w:r w:rsidRPr="00522A7C">
        <w:t xml:space="preserve"> the supply of food, removal of bodies, life</w:t>
      </w:r>
      <w:r w:rsidR="00291156">
        <w:t xml:space="preserve"> </w:t>
      </w:r>
      <w:r w:rsidRPr="00522A7C">
        <w:t>support and information dissemination.) It</w:t>
      </w:r>
      <w:r>
        <w:t xml:space="preserve">s main provisions </w:t>
      </w:r>
      <w:r w:rsidRPr="00522A7C">
        <w:t xml:space="preserve">appear to have been designed with small or medium “territorial’ emergencies </w:t>
      </w:r>
      <w:r>
        <w:t xml:space="preserve">caused by earthquakes, flooding, </w:t>
      </w:r>
      <w:proofErr w:type="gramStart"/>
      <w:r>
        <w:t>tsunamis</w:t>
      </w:r>
      <w:proofErr w:type="gramEnd"/>
      <w:r>
        <w:t xml:space="preserve"> and fire </w:t>
      </w:r>
      <w:r w:rsidRPr="00522A7C">
        <w:t xml:space="preserve">primarily in mind. </w:t>
      </w:r>
      <w:r w:rsidRPr="00CC134C">
        <w:t xml:space="preserve">The institutions it creates are not so </w:t>
      </w:r>
      <w:r>
        <w:t>well</w:t>
      </w:r>
      <w:r w:rsidR="00291156">
        <w:t xml:space="preserve"> </w:t>
      </w:r>
      <w:r w:rsidRPr="00CC134C">
        <w:t>designed for</w:t>
      </w:r>
      <w:r>
        <w:t xml:space="preserve"> other kinds of emergencies</w:t>
      </w:r>
      <w:r w:rsidRPr="00CC134C">
        <w:t xml:space="preserve">, </w:t>
      </w:r>
      <w:r>
        <w:t>like</w:t>
      </w:r>
      <w:r w:rsidRPr="00CC134C">
        <w:t xml:space="preserve"> technological failures, and do not adequately enable</w:t>
      </w:r>
      <w:r>
        <w:t xml:space="preserve"> </w:t>
      </w:r>
      <w:r w:rsidRPr="00CC134C">
        <w:t xml:space="preserve">iwi input. </w:t>
      </w:r>
      <w:r>
        <w:t>T</w:t>
      </w:r>
      <w:r w:rsidRPr="00CC134C">
        <w:t xml:space="preserve">he </w:t>
      </w:r>
      <w:r w:rsidR="0075740A">
        <w:t xml:space="preserve">CDEM </w:t>
      </w:r>
      <w:r w:rsidRPr="00CC134C">
        <w:t>Act is currently being reviewed</w:t>
      </w:r>
      <w:r w:rsidR="00291156">
        <w:t>,</w:t>
      </w:r>
      <w:r w:rsidRPr="00CC134C">
        <w:t xml:space="preserve"> and new legislation is expected. </w:t>
      </w:r>
      <w:r>
        <w:t>This will provide an opportunity to better align the various regimes.</w:t>
      </w:r>
    </w:p>
    <w:p w14:paraId="0868F66A" w14:textId="2D3B392D" w:rsidR="004D77DB" w:rsidRDefault="004D77DB" w:rsidP="00FB32D6">
      <w:pPr>
        <w:pStyle w:val="BodyTextnonum"/>
      </w:pPr>
      <w:r>
        <w:t xml:space="preserve">The relationship between the CDEM Act and other statutes </w:t>
      </w:r>
      <w:r w:rsidR="00291156">
        <w:t xml:space="preserve">that </w:t>
      </w:r>
      <w:r>
        <w:t xml:space="preserve">trigger emergency powers needs to be part of that review to ensure as much consistency as possible, that the exercise of emergency powers in other sector-specific legislation is also subject to supervision by the House and is necessarily time-limited and that the length of the time limits are appropriate to the kind of emergency being regulated. </w:t>
      </w:r>
    </w:p>
    <w:p w14:paraId="54AE5CBC" w14:textId="77777777" w:rsidR="004D77DB" w:rsidRPr="00B46BEB" w:rsidRDefault="004D77DB" w:rsidP="00FB32D6">
      <w:pPr>
        <w:pStyle w:val="BodyTextnonum"/>
      </w:pPr>
      <w:r w:rsidRPr="00B46BEB">
        <w:t xml:space="preserve">A table illustrating a selection of the current rules for when an emergency can be triggered and for what purposes emergency powers can be exercised is included in </w:t>
      </w:r>
      <w:r>
        <w:t>A</w:t>
      </w:r>
      <w:r w:rsidRPr="00B46BEB">
        <w:t xml:space="preserve">ppendix </w:t>
      </w:r>
      <w:r>
        <w:t>O</w:t>
      </w:r>
      <w:r w:rsidRPr="00B46BEB">
        <w:t xml:space="preserve">ne. </w:t>
      </w:r>
    </w:p>
    <w:p w14:paraId="4028822C" w14:textId="540D4551" w:rsidR="004D77DB" w:rsidRPr="00E831B6" w:rsidRDefault="004D77DB" w:rsidP="001C7069">
      <w:pPr>
        <w:pStyle w:val="Heading2"/>
      </w:pPr>
      <w:bookmarkStart w:id="141" w:name="_Toc107520587"/>
      <w:bookmarkStart w:id="142" w:name="_Toc108444724"/>
      <w:bookmarkStart w:id="143" w:name="_Toc116464826"/>
      <w:bookmarkStart w:id="144" w:name="_Toc117063119"/>
      <w:bookmarkStart w:id="145" w:name="_Toc118119311"/>
      <w:r w:rsidRPr="001C7069">
        <w:t>Pandemic</w:t>
      </w:r>
      <w:r w:rsidRPr="00E831B6">
        <w:t xml:space="preserve"> </w:t>
      </w:r>
      <w:r w:rsidR="00313A29">
        <w:t>e</w:t>
      </w:r>
      <w:r w:rsidRPr="00E831B6">
        <w:t>mergencies</w:t>
      </w:r>
      <w:bookmarkEnd w:id="141"/>
      <w:bookmarkEnd w:id="142"/>
      <w:bookmarkEnd w:id="143"/>
      <w:bookmarkEnd w:id="144"/>
      <w:bookmarkEnd w:id="145"/>
    </w:p>
    <w:p w14:paraId="6D169EB5" w14:textId="77B3EF80" w:rsidR="004D77DB" w:rsidRDefault="008E4549" w:rsidP="00FB32D6">
      <w:pPr>
        <w:pStyle w:val="BodyTextnonum"/>
      </w:pPr>
      <w:proofErr w:type="spellStart"/>
      <w:r w:rsidRPr="00090596">
        <w:rPr>
          <w:rFonts w:eastAsia="Metropolis Light" w:cs="Metropolis Light"/>
          <w:szCs w:val="20"/>
        </w:rPr>
        <w:t>Te</w:t>
      </w:r>
      <w:proofErr w:type="spellEnd"/>
      <w:r w:rsidRPr="00090596">
        <w:rPr>
          <w:rFonts w:eastAsia="Metropolis Light" w:cs="Metropolis Light"/>
          <w:szCs w:val="20"/>
        </w:rPr>
        <w:t xml:space="preserve"> Aka Matua o </w:t>
      </w:r>
      <w:proofErr w:type="spellStart"/>
      <w:r w:rsidRPr="00090596">
        <w:rPr>
          <w:rFonts w:eastAsia="Metropolis Light" w:cs="Metropolis Light"/>
          <w:szCs w:val="20"/>
        </w:rPr>
        <w:t>te</w:t>
      </w:r>
      <w:proofErr w:type="spellEnd"/>
      <w:r w:rsidRPr="00090596">
        <w:rPr>
          <w:rFonts w:eastAsia="Metropolis Light" w:cs="Metropolis Light"/>
          <w:szCs w:val="20"/>
        </w:rPr>
        <w:t xml:space="preserve"> Ture | </w:t>
      </w:r>
      <w:r w:rsidR="004D77DB">
        <w:t>Law Commission</w:t>
      </w:r>
      <w:r w:rsidR="009C0EC0">
        <w:t xml:space="preserve"> (Commission)</w:t>
      </w:r>
      <w:r w:rsidR="00C0429D">
        <w:t>’s 1991</w:t>
      </w:r>
      <w:r w:rsidR="004D77DB">
        <w:t xml:space="preserve"> </w:t>
      </w:r>
      <w:r w:rsidR="00C0429D" w:rsidRPr="00CC3ADC">
        <w:rPr>
          <w:i/>
          <w:iCs/>
        </w:rPr>
        <w:t xml:space="preserve">Final </w:t>
      </w:r>
      <w:r w:rsidR="004D77DB" w:rsidRPr="00CC3ADC">
        <w:rPr>
          <w:i/>
          <w:iCs/>
        </w:rPr>
        <w:t>Report on Emergencies</w:t>
      </w:r>
      <w:r w:rsidR="004D77DB">
        <w:t xml:space="preserve"> </w:t>
      </w:r>
      <w:r w:rsidR="004D77DB" w:rsidRPr="00522A7C">
        <w:t>only mention</w:t>
      </w:r>
      <w:r w:rsidR="004D77DB">
        <w:t>ed</w:t>
      </w:r>
      <w:r w:rsidR="004D77DB" w:rsidRPr="00522A7C">
        <w:t xml:space="preserve"> the Health Act at paragraphs 3.68 to 3.69 and </w:t>
      </w:r>
      <w:r w:rsidR="004D77DB">
        <w:t xml:space="preserve">then only </w:t>
      </w:r>
      <w:r w:rsidR="004D77DB" w:rsidRPr="00522A7C">
        <w:t>refer</w:t>
      </w:r>
      <w:r w:rsidR="004D77DB">
        <w:t>red</w:t>
      </w:r>
      <w:r w:rsidR="004D77DB" w:rsidRPr="00522A7C">
        <w:t xml:space="preserve"> to the </w:t>
      </w:r>
      <w:r w:rsidR="004D77DB">
        <w:t xml:space="preserve">potentially sweeping </w:t>
      </w:r>
      <w:r w:rsidR="004D77DB" w:rsidRPr="00522A7C">
        <w:t>regulation</w:t>
      </w:r>
      <w:r w:rsidR="004D77DB">
        <w:t>-</w:t>
      </w:r>
      <w:r w:rsidR="004D77DB" w:rsidRPr="00522A7C">
        <w:t>making power</w:t>
      </w:r>
      <w:r w:rsidR="004D77DB">
        <w:t>s</w:t>
      </w:r>
      <w:r w:rsidR="004D77DB" w:rsidRPr="00522A7C">
        <w:t xml:space="preserve"> </w:t>
      </w:r>
      <w:r w:rsidR="004D77DB">
        <w:t xml:space="preserve">in </w:t>
      </w:r>
      <w:r w:rsidR="004D77DB" w:rsidRPr="00522A7C">
        <w:t>s 117.</w:t>
      </w:r>
      <w:r w:rsidR="004D77DB">
        <w:t xml:space="preserve"> There is a broad consensus that the Health Act provisions for pandemics need to be </w:t>
      </w:r>
      <w:r w:rsidR="004D77DB" w:rsidRPr="00CC134C">
        <w:t xml:space="preserve">updated </w:t>
      </w:r>
      <w:proofErr w:type="gramStart"/>
      <w:r w:rsidR="004D77DB" w:rsidRPr="00CC134C">
        <w:t>in light of</w:t>
      </w:r>
      <w:proofErr w:type="gramEnd"/>
      <w:r w:rsidR="004D77DB" w:rsidRPr="00CC134C">
        <w:t xml:space="preserve"> recent experience.</w:t>
      </w:r>
      <w:r w:rsidR="004D77DB">
        <w:t xml:space="preserve"> Given the ongoing C</w:t>
      </w:r>
      <w:r w:rsidR="0061070F">
        <w:t>OVID</w:t>
      </w:r>
      <w:r w:rsidR="004D77DB">
        <w:t>-19 pandemic, I devote considerably more attention to pandemic-type emergencies in this Study Paper.</w:t>
      </w:r>
    </w:p>
    <w:p w14:paraId="28C6D9C1" w14:textId="19821B4B" w:rsidR="004D77DB" w:rsidRPr="00522A7C" w:rsidRDefault="004D77DB" w:rsidP="00FB32D6">
      <w:pPr>
        <w:pStyle w:val="BodyTextnonum"/>
        <w:rPr>
          <w:color w:val="000000" w:themeColor="text1"/>
        </w:rPr>
      </w:pPr>
      <w:r w:rsidRPr="00522A7C">
        <w:t xml:space="preserve">The principal legal instruments for the regulation of pandemic emergencies comprise the </w:t>
      </w:r>
      <w:r>
        <w:t>World Health Organi</w:t>
      </w:r>
      <w:r w:rsidR="00614748">
        <w:t>z</w:t>
      </w:r>
      <w:r>
        <w:t xml:space="preserve">ation </w:t>
      </w:r>
      <w:r w:rsidRPr="00522A7C">
        <w:t xml:space="preserve">International Health Regulations 2005 to which </w:t>
      </w:r>
      <w:r w:rsidR="00686C9A">
        <w:t>Aotearoa</w:t>
      </w:r>
      <w:r w:rsidR="00686C9A" w:rsidRPr="00522A7C">
        <w:t xml:space="preserve"> </w:t>
      </w:r>
      <w:r w:rsidRPr="00522A7C">
        <w:t xml:space="preserve">New Zealand is bound, the Health Act, the Epidemic Preparedness Act 2006 and the more generic </w:t>
      </w:r>
      <w:r w:rsidR="0075740A">
        <w:t>CDEM</w:t>
      </w:r>
      <w:r w:rsidRPr="00522A7C">
        <w:t xml:space="preserve"> Act. </w:t>
      </w:r>
      <w:r>
        <w:t>In the current pandemic</w:t>
      </w:r>
      <w:r w:rsidR="006101F5">
        <w:t>,</w:t>
      </w:r>
      <w:r>
        <w:t xml:space="preserve"> a range of bespoke legislation was also required to be enacted. This included the COVID-19 Public Health Response Act and the </w:t>
      </w:r>
      <w:r w:rsidR="006101F5">
        <w:t xml:space="preserve">Immigration </w:t>
      </w:r>
      <w:r>
        <w:t>(COVID-19 Response</w:t>
      </w:r>
      <w:r w:rsidR="006101F5">
        <w:t>)</w:t>
      </w:r>
      <w:r>
        <w:t xml:space="preserve"> Amendment Act 2020. </w:t>
      </w:r>
    </w:p>
    <w:p w14:paraId="612BAB46" w14:textId="579DEC47" w:rsidR="004D77DB" w:rsidRPr="00522A7C" w:rsidRDefault="004D77DB" w:rsidP="007D3C53">
      <w:pPr>
        <w:pStyle w:val="Heading3"/>
      </w:pPr>
      <w:bookmarkStart w:id="146" w:name="_Toc116464827"/>
      <w:bookmarkStart w:id="147" w:name="_Toc117063120"/>
      <w:bookmarkStart w:id="148" w:name="_Toc118119312"/>
      <w:r w:rsidRPr="008331DD">
        <w:t>W</w:t>
      </w:r>
      <w:r w:rsidR="003761EB">
        <w:t xml:space="preserve">orld </w:t>
      </w:r>
      <w:r w:rsidRPr="008331DD">
        <w:t>H</w:t>
      </w:r>
      <w:r w:rsidR="003761EB">
        <w:t xml:space="preserve">ealth </w:t>
      </w:r>
      <w:r w:rsidRPr="008331DD">
        <w:t>O</w:t>
      </w:r>
      <w:r w:rsidR="003761EB">
        <w:t>rganization</w:t>
      </w:r>
      <w:r w:rsidRPr="008331DD">
        <w:t xml:space="preserve"> </w:t>
      </w:r>
      <w:r w:rsidRPr="007D3C53">
        <w:t>International</w:t>
      </w:r>
      <w:r w:rsidRPr="008331DD">
        <w:t xml:space="preserve"> Health Regulations 2005</w:t>
      </w:r>
      <w:bookmarkEnd w:id="146"/>
      <w:bookmarkEnd w:id="147"/>
      <w:bookmarkEnd w:id="148"/>
    </w:p>
    <w:p w14:paraId="63568EFE" w14:textId="698B349D" w:rsidR="004D77DB" w:rsidRDefault="004D77DB" w:rsidP="00FB32D6">
      <w:pPr>
        <w:pStyle w:val="BodyTextnonum"/>
      </w:pPr>
      <w:r w:rsidRPr="00522A7C">
        <w:t>The World Health Organi</w:t>
      </w:r>
      <w:r w:rsidR="003761EB">
        <w:t>z</w:t>
      </w:r>
      <w:r w:rsidRPr="00522A7C">
        <w:t xml:space="preserve">ation International Health Regulations, which are binding on </w:t>
      </w:r>
      <w:r w:rsidR="00686C9A">
        <w:t>Aotearoa</w:t>
      </w:r>
      <w:r w:rsidR="00686C9A" w:rsidRPr="00522A7C">
        <w:t xml:space="preserve"> </w:t>
      </w:r>
      <w:r w:rsidRPr="00522A7C">
        <w:t xml:space="preserve">New Zealand, are a crucial part of the regulatory framework for international health emergencies. They require states to </w:t>
      </w:r>
      <w:r w:rsidR="002A1F8E">
        <w:t>fulfil</w:t>
      </w:r>
      <w:r w:rsidRPr="00522A7C">
        <w:t xml:space="preserve"> core capa</w:t>
      </w:r>
      <w:r>
        <w:t>city</w:t>
      </w:r>
      <w:r w:rsidRPr="00522A7C">
        <w:t xml:space="preserve"> measures for the regulation of borders and </w:t>
      </w:r>
      <w:r>
        <w:t xml:space="preserve">for </w:t>
      </w:r>
      <w:r w:rsidRPr="00522A7C">
        <w:t>the</w:t>
      </w:r>
      <w:r>
        <w:t xml:space="preserve"> regulation, monitoring and prevention of the </w:t>
      </w:r>
      <w:r w:rsidRPr="00522A7C">
        <w:t xml:space="preserve">international transmission of diseases by persons, </w:t>
      </w:r>
      <w:proofErr w:type="gramStart"/>
      <w:r w:rsidRPr="00522A7C">
        <w:t>cargo</w:t>
      </w:r>
      <w:proofErr w:type="gramEnd"/>
      <w:r w:rsidRPr="00522A7C">
        <w:t xml:space="preserve"> and carriage in preparation for an international health emergency.</w:t>
      </w:r>
      <w:r>
        <w:t xml:space="preserve"> </w:t>
      </w:r>
    </w:p>
    <w:p w14:paraId="6747D9F7" w14:textId="5679884C" w:rsidR="004D77DB" w:rsidRDefault="004D77DB" w:rsidP="00FB32D6">
      <w:pPr>
        <w:pStyle w:val="BodyTextnonum"/>
      </w:pPr>
      <w:r w:rsidRPr="00522A7C">
        <w:lastRenderedPageBreak/>
        <w:t>The World Health Organi</w:t>
      </w:r>
      <w:r w:rsidR="003761EB">
        <w:t>z</w:t>
      </w:r>
      <w:r w:rsidRPr="00522A7C">
        <w:t xml:space="preserve">ation is a key source of technical and scientific advice and information </w:t>
      </w:r>
      <w:r>
        <w:t>for</w:t>
      </w:r>
      <w:r w:rsidRPr="00522A7C">
        <w:t xml:space="preserve"> domestic governments in an international health emergency.</w:t>
      </w:r>
      <w:r>
        <w:t xml:space="preserve"> </w:t>
      </w:r>
      <w:r w:rsidRPr="00522A7C">
        <w:t>In particular, the regulations mandate information</w:t>
      </w:r>
      <w:r w:rsidR="006101F5">
        <w:t xml:space="preserve"> </w:t>
      </w:r>
      <w:r w:rsidRPr="00522A7C">
        <w:t xml:space="preserve">sharing between states about diseases </w:t>
      </w:r>
      <w:r w:rsidR="006101F5">
        <w:t>that</w:t>
      </w:r>
      <w:r w:rsidR="006101F5" w:rsidRPr="00522A7C">
        <w:t xml:space="preserve"> </w:t>
      </w:r>
      <w:r w:rsidRPr="00522A7C">
        <w:t xml:space="preserve">may present an international risk. The </w:t>
      </w:r>
      <w:r w:rsidR="006101F5" w:rsidRPr="00522A7C">
        <w:t>World Health Organi</w:t>
      </w:r>
      <w:r w:rsidR="006101F5">
        <w:t>z</w:t>
      </w:r>
      <w:r w:rsidR="006101F5" w:rsidRPr="00522A7C">
        <w:t xml:space="preserve">ation </w:t>
      </w:r>
      <w:r>
        <w:t xml:space="preserve">plays </w:t>
      </w:r>
      <w:r w:rsidRPr="00522A7C">
        <w:t>a</w:t>
      </w:r>
      <w:r>
        <w:t xml:space="preserve"> </w:t>
      </w:r>
      <w:r w:rsidRPr="00522A7C">
        <w:t xml:space="preserve">critical role in collecting, </w:t>
      </w:r>
      <w:proofErr w:type="gramStart"/>
      <w:r w:rsidRPr="00522A7C">
        <w:t>verifying</w:t>
      </w:r>
      <w:proofErr w:type="gramEnd"/>
      <w:r w:rsidRPr="00522A7C">
        <w:t xml:space="preserve"> and sharing information about the risks of the international transmission of disease and in providing scientific expertise.</w:t>
      </w:r>
      <w:r w:rsidRPr="00522A7C">
        <w:rPr>
          <w:rStyle w:val="FootnoteReference"/>
          <w:color w:val="000000" w:themeColor="text1"/>
        </w:rPr>
        <w:footnoteReference w:id="112"/>
      </w:r>
      <w:r w:rsidRPr="00522A7C">
        <w:t xml:space="preserve"> The Director-General of the </w:t>
      </w:r>
      <w:r w:rsidR="006101F5" w:rsidRPr="00522A7C">
        <w:t>World Health Organi</w:t>
      </w:r>
      <w:r w:rsidR="006101F5">
        <w:t>z</w:t>
      </w:r>
      <w:r w:rsidR="006101F5" w:rsidRPr="00522A7C">
        <w:t xml:space="preserve">ation </w:t>
      </w:r>
      <w:r w:rsidRPr="00522A7C">
        <w:t>has the power to determine whether an event constitutes a public health emergency of international concern according to prescribed criteria and procedures.</w:t>
      </w:r>
      <w:r w:rsidRPr="00522A7C">
        <w:rPr>
          <w:rStyle w:val="FootnoteReference"/>
          <w:color w:val="000000" w:themeColor="text1"/>
        </w:rPr>
        <w:footnoteReference w:id="113"/>
      </w:r>
      <w:r w:rsidRPr="00522A7C">
        <w:t xml:space="preserve"> </w:t>
      </w:r>
    </w:p>
    <w:p w14:paraId="71F63FCC" w14:textId="2482EACB" w:rsidR="004D77DB" w:rsidRPr="00E831B6" w:rsidRDefault="004D77DB" w:rsidP="00FB32D6">
      <w:pPr>
        <w:pStyle w:val="BodyTextnonum"/>
      </w:pPr>
      <w:r>
        <w:t xml:space="preserve">Notably, the </w:t>
      </w:r>
      <w:r w:rsidR="003761EB" w:rsidRPr="00522A7C">
        <w:t>World Health Organi</w:t>
      </w:r>
      <w:r w:rsidR="003761EB">
        <w:t>z</w:t>
      </w:r>
      <w:r w:rsidR="003761EB" w:rsidRPr="00522A7C">
        <w:t xml:space="preserve">ation </w:t>
      </w:r>
      <w:r>
        <w:t xml:space="preserve">International Health Regulations also prohibit charging </w:t>
      </w:r>
      <w:r w:rsidRPr="00672BA6">
        <w:rPr>
          <w:i/>
          <w:iCs/>
        </w:rPr>
        <w:t xml:space="preserve">citizens </w:t>
      </w:r>
      <w:r>
        <w:t xml:space="preserve">who have been travelling (as opposed to those seeking temporary or permanent residence) for isolation or quarantine requirements (Article 40) or for vaccines and set out other rules to be applied to travellers (including vaccine certificates). </w:t>
      </w:r>
    </w:p>
    <w:p w14:paraId="0EFA5E03" w14:textId="5771F786" w:rsidR="004D77DB" w:rsidRPr="006A3FBD" w:rsidRDefault="004D77DB" w:rsidP="007D3C53">
      <w:pPr>
        <w:pStyle w:val="Heading3"/>
        <w:rPr>
          <w:color w:val="202124"/>
          <w:shd w:val="clear" w:color="auto" w:fill="FFFFFF"/>
        </w:rPr>
      </w:pPr>
      <w:bookmarkStart w:id="149" w:name="_Toc118119313"/>
      <w:bookmarkStart w:id="150" w:name="_Toc116464828"/>
      <w:bookmarkStart w:id="151" w:name="_Toc117063121"/>
      <w:r>
        <w:t xml:space="preserve">Triggering the </w:t>
      </w:r>
      <w:r w:rsidRPr="007D3C53">
        <w:t>Health</w:t>
      </w:r>
      <w:r w:rsidRPr="006A3FBD">
        <w:t xml:space="preserve"> Act</w:t>
      </w:r>
      <w:bookmarkEnd w:id="149"/>
      <w:r w:rsidRPr="006A3FBD">
        <w:t xml:space="preserve"> </w:t>
      </w:r>
      <w:bookmarkEnd w:id="150"/>
      <w:bookmarkEnd w:id="151"/>
    </w:p>
    <w:p w14:paraId="35F557F5" w14:textId="71B39D48" w:rsidR="004D77DB" w:rsidRPr="00522A7C" w:rsidRDefault="004D77DB" w:rsidP="00FB32D6">
      <w:pPr>
        <w:pStyle w:val="BodyTextnonum"/>
        <w:rPr>
          <w:color w:val="202124"/>
        </w:rPr>
      </w:pPr>
      <w:r w:rsidRPr="00522A7C">
        <w:t xml:space="preserve">The decision framework </w:t>
      </w:r>
      <w:r w:rsidR="00197F12">
        <w:t>that</w:t>
      </w:r>
      <w:r w:rsidR="00197F12" w:rsidRPr="00522A7C">
        <w:t xml:space="preserve"> </w:t>
      </w:r>
      <w:r w:rsidRPr="00522A7C">
        <w:t xml:space="preserve">unlocks the dormant emergency powers in s 70 of the Health Act is to be found in the beginning part of that provision: </w:t>
      </w:r>
    </w:p>
    <w:p w14:paraId="3BF2971A" w14:textId="09636CB4" w:rsidR="004D77DB" w:rsidRPr="002E200B" w:rsidRDefault="004D77DB">
      <w:pPr>
        <w:pStyle w:val="Quote"/>
      </w:pPr>
      <w:r w:rsidRPr="002E200B">
        <w:t>… the medical officer of health may from time to time, if authorised to do so by the Minister</w:t>
      </w:r>
      <w:r w:rsidR="005D78C1">
        <w:rPr>
          <w:rFonts w:ascii="Calibri" w:hAnsi="Calibri" w:cs="Calibri"/>
        </w:rPr>
        <w:t xml:space="preserve"> </w:t>
      </w:r>
      <w:r w:rsidRPr="002E200B">
        <w:rPr>
          <w:rStyle w:val="insertwords"/>
        </w:rPr>
        <w:t>or if</w:t>
      </w:r>
      <w:r w:rsidR="005D78C1">
        <w:rPr>
          <w:rStyle w:val="insertwords"/>
          <w:rFonts w:ascii="Calibri" w:hAnsi="Calibri" w:cs="Calibri"/>
        </w:rPr>
        <w:t xml:space="preserve"> </w:t>
      </w:r>
      <w:r w:rsidRPr="002E200B">
        <w:rPr>
          <w:rStyle w:val="insertwords"/>
        </w:rPr>
        <w:t>a state of emergency has been declared under the</w:t>
      </w:r>
      <w:r w:rsidR="005D78C1">
        <w:rPr>
          <w:rStyle w:val="insertwords"/>
          <w:rFonts w:ascii="Calibri" w:hAnsi="Calibri" w:cs="Calibri"/>
        </w:rPr>
        <w:t xml:space="preserve"> </w:t>
      </w:r>
      <w:hyperlink r:id="rId33" w:history="1">
        <w:r w:rsidRPr="005D78C1">
          <w:rPr>
            <w:rStyle w:val="insertwords"/>
          </w:rPr>
          <w:t>Civil Defence Emergency Management Act 2002</w:t>
        </w:r>
      </w:hyperlink>
      <w:r w:rsidR="005D78C1" w:rsidRPr="005D78C1">
        <w:rPr>
          <w:rStyle w:val="insertwords"/>
        </w:rPr>
        <w:t xml:space="preserve"> </w:t>
      </w:r>
      <w:r w:rsidRPr="002E200B">
        <w:rPr>
          <w:rStyle w:val="insertwords"/>
        </w:rPr>
        <w:t>or while an epidemic notice is in force</w:t>
      </w:r>
    </w:p>
    <w:p w14:paraId="4186082A" w14:textId="095781EA" w:rsidR="004D77DB" w:rsidRPr="00522A7C" w:rsidRDefault="004D77DB" w:rsidP="00FB32D6">
      <w:pPr>
        <w:pStyle w:val="BodyTextnonum"/>
      </w:pPr>
      <w:r w:rsidRPr="00522A7C">
        <w:t>While all three triggering conditions had been fulfilled in unlocking the s 70 powers in March 2020, they are available as alternatives. There can be (a) authorisation by the Minister of Health</w:t>
      </w:r>
      <w:r w:rsidR="00197F12">
        <w:t>,</w:t>
      </w:r>
      <w:r w:rsidRPr="00522A7C">
        <w:t xml:space="preserve"> (b) an epidemic notice under s 5 of the Epidemic Preparedness Act (made by the Prime Minister) or (c) a declaration of a state of emergency under the </w:t>
      </w:r>
      <w:r w:rsidR="0075740A">
        <w:t xml:space="preserve">CDEM </w:t>
      </w:r>
      <w:r w:rsidRPr="00522A7C">
        <w:t xml:space="preserve">Act (made by the Minister </w:t>
      </w:r>
      <w:r w:rsidR="002A1F8E">
        <w:t>for Emergency Management</w:t>
      </w:r>
      <w:r w:rsidRPr="00522A7C">
        <w:t xml:space="preserve">). Of the three alternatives, only the first </w:t>
      </w:r>
      <w:r w:rsidR="004C7B35">
        <w:t>–</w:t>
      </w:r>
      <w:r w:rsidRPr="00522A7C">
        <w:t xml:space="preserve"> authorisation by the Minister of Health </w:t>
      </w:r>
      <w:r w:rsidR="004C7B35">
        <w:t>–</w:t>
      </w:r>
      <w:r w:rsidRPr="00522A7C">
        <w:t xml:space="preserve"> is a stand</w:t>
      </w:r>
      <w:r w:rsidR="00197F12">
        <w:t>-</w:t>
      </w:r>
      <w:r w:rsidRPr="00522A7C">
        <w:t xml:space="preserve">alone provision in the Health Act. </w:t>
      </w:r>
      <w:r>
        <w:t>Should these unlocking powers be alternative or cumulative?</w:t>
      </w:r>
      <w:r w:rsidR="007D3C53">
        <w:t xml:space="preserve"> </w:t>
      </w:r>
      <w:r>
        <w:t>A</w:t>
      </w:r>
      <w:r w:rsidRPr="00522A7C">
        <w:t>re the appropriate actors involved?</w:t>
      </w:r>
    </w:p>
    <w:p w14:paraId="0C7EE09E" w14:textId="0149F791" w:rsidR="004D77DB" w:rsidRDefault="004D77DB" w:rsidP="00FB32D6">
      <w:pPr>
        <w:pStyle w:val="BodyTextnonum"/>
      </w:pPr>
      <w:r w:rsidRPr="00522A7C">
        <w:t>The usual assumption is that the executive part of government will too readily avail itself of emergency powers</w:t>
      </w:r>
      <w:r w:rsidR="00197F12">
        <w:t>,</w:t>
      </w:r>
      <w:r w:rsidRPr="00522A7C">
        <w:t xml:space="preserve"> which may lead to the conclusion that the triggering events should be cumulative rather than alternative. </w:t>
      </w:r>
      <w:r>
        <w:t xml:space="preserve">This would have the advantage </w:t>
      </w:r>
      <w:r w:rsidR="00197F12">
        <w:t xml:space="preserve">of </w:t>
      </w:r>
      <w:r>
        <w:t xml:space="preserve">preventing the overuse of such powers and ensure that the time limits </w:t>
      </w:r>
      <w:r w:rsidR="00197F12">
        <w:t xml:space="preserve">that </w:t>
      </w:r>
      <w:r>
        <w:t>apply under the CDEM Act or Epidemic Preparedness Act would determine the period over which the extraordinary powers</w:t>
      </w:r>
      <w:r w:rsidRPr="00522A7C">
        <w:t xml:space="preserve"> </w:t>
      </w:r>
      <w:r>
        <w:t xml:space="preserve">would be activated. Realistically, </w:t>
      </w:r>
      <w:r w:rsidRPr="00522A7C">
        <w:t xml:space="preserve">it is unlikely that </w:t>
      </w:r>
      <w:r w:rsidRPr="00522A7C">
        <w:rPr>
          <w:i/>
          <w:iCs/>
        </w:rPr>
        <w:t>national</w:t>
      </w:r>
      <w:r w:rsidRPr="00522A7C">
        <w:t xml:space="preserve"> powers of </w:t>
      </w:r>
      <w:r>
        <w:t xml:space="preserve">potentially </w:t>
      </w:r>
      <w:r w:rsidRPr="00522A7C">
        <w:t>the most draconian kind would ever be triggered without the knowledge and approval of the Prime Minister.</w:t>
      </w:r>
    </w:p>
    <w:p w14:paraId="76D737BC" w14:textId="0DAB1DB1" w:rsidR="004D77DB" w:rsidRDefault="004D77DB" w:rsidP="00FB32D6">
      <w:pPr>
        <w:pStyle w:val="BodyTextnonum"/>
      </w:pPr>
      <w:r>
        <w:t xml:space="preserve"> On the other hand, there may be an advantage to having alternative triggering powers. T</w:t>
      </w:r>
      <w:r w:rsidRPr="00522A7C">
        <w:t xml:space="preserve">he international experience of the </w:t>
      </w:r>
      <w:r>
        <w:t>current</w:t>
      </w:r>
      <w:r w:rsidRPr="00522A7C">
        <w:t xml:space="preserve"> pandemic demonstrates that many governments fatally delayed their response until the disease had taken hold in their communities. Having several alternative sites of power to trigger emergency measures </w:t>
      </w:r>
      <w:r>
        <w:t xml:space="preserve">over local or national populations </w:t>
      </w:r>
      <w:r w:rsidRPr="00522A7C">
        <w:t xml:space="preserve">may help to mitigate </w:t>
      </w:r>
      <w:r>
        <w:t xml:space="preserve">the temptation to </w:t>
      </w:r>
      <w:r w:rsidRPr="00522A7C">
        <w:t>delay.</w:t>
      </w:r>
      <w:r>
        <w:t xml:space="preserve"> </w:t>
      </w:r>
      <w:r w:rsidRPr="00522A7C">
        <w:t xml:space="preserve">Michael Lewis’s </w:t>
      </w:r>
      <w:r w:rsidR="0082113E">
        <w:rPr>
          <w:i/>
          <w:iCs/>
        </w:rPr>
        <w:t xml:space="preserve">The </w:t>
      </w:r>
      <w:r w:rsidRPr="00522A7C">
        <w:rPr>
          <w:i/>
          <w:iCs/>
        </w:rPr>
        <w:t>Premonition</w:t>
      </w:r>
      <w:r w:rsidRPr="00522A7C">
        <w:t xml:space="preserve"> describes the preparations for and response to C</w:t>
      </w:r>
      <w:r w:rsidR="0061070F">
        <w:t>OVID</w:t>
      </w:r>
      <w:r w:rsidRPr="00522A7C">
        <w:t xml:space="preserve">-19 in the United States of America. Lewis portrays rather graphically how brave public health </w:t>
      </w:r>
      <w:r w:rsidRPr="00522A7C">
        <w:lastRenderedPageBreak/>
        <w:t xml:space="preserve">officials </w:t>
      </w:r>
      <w:r>
        <w:t xml:space="preserve">and politicians </w:t>
      </w:r>
      <w:r w:rsidRPr="00522A7C">
        <w:t>sometimes have</w:t>
      </w:r>
      <w:r>
        <w:t xml:space="preserve"> </w:t>
      </w:r>
      <w:r w:rsidRPr="00522A7C">
        <w:t>to be in acting against significant epidemic threats.</w:t>
      </w:r>
      <w:r w:rsidRPr="00522A7C">
        <w:rPr>
          <w:rStyle w:val="FootnoteReference"/>
          <w:color w:val="000000" w:themeColor="text1"/>
        </w:rPr>
        <w:footnoteReference w:id="114"/>
      </w:r>
      <w:r w:rsidRPr="00522A7C">
        <w:t xml:space="preserve"> It is a potentially career</w:t>
      </w:r>
      <w:r>
        <w:t>-</w:t>
      </w:r>
      <w:r w:rsidRPr="00522A7C">
        <w:t xml:space="preserve">ending event if </w:t>
      </w:r>
      <w:r>
        <w:t xml:space="preserve">a politician or public servant </w:t>
      </w:r>
      <w:r w:rsidRPr="00522A7C">
        <w:t>“overreacts</w:t>
      </w:r>
      <w:proofErr w:type="gramStart"/>
      <w:r w:rsidRPr="00522A7C">
        <w:t>”</w:t>
      </w:r>
      <w:proofErr w:type="gramEnd"/>
      <w:r w:rsidRPr="00522A7C">
        <w:t xml:space="preserve"> and the threat does not come to anything. </w:t>
      </w:r>
      <w:r>
        <w:t>Equally, i</w:t>
      </w:r>
      <w:r w:rsidRPr="00522A7C">
        <w:t>f official</w:t>
      </w:r>
      <w:r>
        <w:t xml:space="preserve">s </w:t>
      </w:r>
      <w:r w:rsidRPr="00522A7C">
        <w:t>act early and effectively to successfully mitigate the threat, they may not be given any or sufficient credit for averting the danger to public health and th</w:t>
      </w:r>
      <w:r>
        <w:t xml:space="preserve">eir actions </w:t>
      </w:r>
      <w:r w:rsidRPr="00522A7C">
        <w:t>too may be characterised as an overreaction. Because politicians are subject to significant economic and social incentives not to act early or at all</w:t>
      </w:r>
      <w:r>
        <w:t xml:space="preserve"> in a pandemic situation</w:t>
      </w:r>
      <w:r w:rsidRPr="00522A7C">
        <w:t xml:space="preserve">, it </w:t>
      </w:r>
      <w:r>
        <w:t xml:space="preserve">may be </w:t>
      </w:r>
      <w:r w:rsidRPr="00522A7C">
        <w:t>appropriate that the decision to activate public health powers be distributed across several political officials</w:t>
      </w:r>
      <w:r>
        <w:t xml:space="preserve"> rather than cumulative</w:t>
      </w:r>
      <w:r w:rsidRPr="00522A7C">
        <w:t xml:space="preserve">. </w:t>
      </w:r>
    </w:p>
    <w:p w14:paraId="523A9F59" w14:textId="06B9460E" w:rsidR="004D77DB" w:rsidRDefault="004D77DB" w:rsidP="00FB32D6">
      <w:pPr>
        <w:pStyle w:val="BodyTextnonum"/>
      </w:pPr>
      <w:r>
        <w:t xml:space="preserve">The availability of separate ways to trigger s 70, as currently written, is also explained by the fact that it applies to </w:t>
      </w:r>
      <w:r w:rsidRPr="00522A7C">
        <w:t>local health emergencies</w:t>
      </w:r>
      <w:r w:rsidR="00197F12">
        <w:t>,</w:t>
      </w:r>
      <w:r>
        <w:t xml:space="preserve"> </w:t>
      </w:r>
      <w:r w:rsidRPr="00490D9F">
        <w:t>including those relating to contaminated water supply or food</w:t>
      </w:r>
      <w:r w:rsidRPr="00522A7C" w:rsidDel="00DF2E9F">
        <w:t xml:space="preserve"> </w:t>
      </w:r>
      <w:r>
        <w:t xml:space="preserve">as well as </w:t>
      </w:r>
      <w:r w:rsidRPr="00522A7C">
        <w:t>to national health emergencies</w:t>
      </w:r>
      <w:r w:rsidRPr="00490D9F">
        <w:t>.</w:t>
      </w:r>
      <w:r w:rsidRPr="00522A7C">
        <w:t xml:space="preserve"> It </w:t>
      </w:r>
      <w:r>
        <w:t xml:space="preserve">may, of course, be </w:t>
      </w:r>
      <w:r w:rsidRPr="00522A7C">
        <w:t xml:space="preserve">unnecessary to involve the Prime Minister and the Minister </w:t>
      </w:r>
      <w:r w:rsidR="00F71937">
        <w:t>for Emergency Management</w:t>
      </w:r>
      <w:r w:rsidRPr="00522A7C">
        <w:t xml:space="preserve"> in a local </w:t>
      </w:r>
      <w:r w:rsidR="0082113E" w:rsidRPr="00CC3ADC">
        <w:rPr>
          <w:i/>
          <w:iCs/>
        </w:rPr>
        <w:t>S</w:t>
      </w:r>
      <w:r w:rsidRPr="00CC3ADC">
        <w:rPr>
          <w:i/>
          <w:iCs/>
        </w:rPr>
        <w:t>almonella</w:t>
      </w:r>
      <w:r>
        <w:t xml:space="preserve"> outbreak</w:t>
      </w:r>
      <w:r w:rsidRPr="00522A7C">
        <w:t xml:space="preserve"> or </w:t>
      </w:r>
      <w:r>
        <w:t>small-scale disruption to water supply</w:t>
      </w:r>
      <w:r w:rsidRPr="00522A7C">
        <w:t>.</w:t>
      </w:r>
      <w:r>
        <w:t xml:space="preserve"> I suggest that the exercise of the powers relating to specified individuals and places should continue to be triggered by the Minister of Health on the advice of local </w:t>
      </w:r>
      <w:r w:rsidR="00843000">
        <w:t>m</w:t>
      </w:r>
      <w:r>
        <w:t xml:space="preserve">edical </w:t>
      </w:r>
      <w:r w:rsidR="00843000">
        <w:t>o</w:t>
      </w:r>
      <w:r>
        <w:t xml:space="preserve">fficers of </w:t>
      </w:r>
      <w:r w:rsidR="00843000">
        <w:t>h</w:t>
      </w:r>
      <w:r>
        <w:t xml:space="preserve">ealth. There should be a separate regime for health emergencies </w:t>
      </w:r>
      <w:r w:rsidR="0082113E">
        <w:t xml:space="preserve">that </w:t>
      </w:r>
      <w:r>
        <w:t xml:space="preserve">affect whole populations (whether local or national). Consideration should also be given to whether it </w:t>
      </w:r>
      <w:r w:rsidR="00F71937">
        <w:t>would</w:t>
      </w:r>
      <w:r>
        <w:t xml:space="preserve"> be appropriate to confer certain powers directly on medical officers of health to act immediately in relation to identified threats to public health. Other emergency statutes authori</w:t>
      </w:r>
      <w:r w:rsidR="0082113E">
        <w:t>s</w:t>
      </w:r>
      <w:r>
        <w:t xml:space="preserve">e officials to act immediately for a limited period in advance of powers being formally triggered. </w:t>
      </w:r>
    </w:p>
    <w:p w14:paraId="50C73DA5" w14:textId="68AD75E7" w:rsidR="004D77DB" w:rsidRDefault="004D77DB" w:rsidP="00FB32D6">
      <w:pPr>
        <w:pStyle w:val="BodyTextnonum"/>
      </w:pPr>
      <w:r>
        <w:t xml:space="preserve">I recommend that the more exceptional powers that affect whole populations or significant parts of populations should be triggered by the issue of an epidemic notice by the Prime Minister acting in consultation with the Minister of Health and on public health advice and a declaration </w:t>
      </w:r>
      <w:r w:rsidR="0082113E">
        <w:t xml:space="preserve">of a </w:t>
      </w:r>
      <w:r>
        <w:t xml:space="preserve">state of emergency under the CDEM </w:t>
      </w:r>
      <w:r w:rsidR="0082113E">
        <w:t xml:space="preserve">Act </w:t>
      </w:r>
      <w:r>
        <w:t>(</w:t>
      </w:r>
      <w:proofErr w:type="gramStart"/>
      <w:r>
        <w:t>in order to</w:t>
      </w:r>
      <w:proofErr w:type="gramEnd"/>
      <w:r>
        <w:t xml:space="preserve"> activate its notification and time</w:t>
      </w:r>
      <w:r w:rsidR="0039021E">
        <w:t>-</w:t>
      </w:r>
      <w:r>
        <w:t>limited provisions). Specifying which Ministers must be consulted is not particularly controlling given that s 7 of the Constitution Act</w:t>
      </w:r>
      <w:r w:rsidR="00536DD4">
        <w:t xml:space="preserve"> 1986</w:t>
      </w:r>
      <w:r>
        <w:t xml:space="preserve"> allows members of the </w:t>
      </w:r>
      <w:r w:rsidR="00596DCD">
        <w:t>E</w:t>
      </w:r>
      <w:r>
        <w:t xml:space="preserve">xecutive </w:t>
      </w:r>
      <w:r w:rsidR="00596DCD">
        <w:t>C</w:t>
      </w:r>
      <w:r>
        <w:t>ouncil to act on each other’s behalf. The public health advice is therefore critical</w:t>
      </w:r>
      <w:r w:rsidR="00F5372F">
        <w:t>. Given that</w:t>
      </w:r>
      <w:r w:rsidR="00790AA9">
        <w:t>,</w:t>
      </w:r>
      <w:r w:rsidR="0082113E">
        <w:t xml:space="preserve"> </w:t>
      </w:r>
      <w:r>
        <w:t>in many cases</w:t>
      </w:r>
      <w:r w:rsidR="0082113E">
        <w:t>,</w:t>
      </w:r>
      <w:r>
        <w:t xml:space="preserve"> decisions will have to be taken in circumstances of scientific uncertainty, </w:t>
      </w:r>
      <w:r w:rsidR="00EF18FE">
        <w:t xml:space="preserve">and </w:t>
      </w:r>
      <w:r>
        <w:t>there should be a r</w:t>
      </w:r>
      <w:r w:rsidRPr="00522A7C">
        <w:t xml:space="preserve">eference in the </w:t>
      </w:r>
      <w:r>
        <w:t xml:space="preserve">Health Act and Epidemic Preparedness Act (and not just the CDEM Act) </w:t>
      </w:r>
      <w:r w:rsidRPr="00522A7C">
        <w:t xml:space="preserve">to </w:t>
      </w:r>
      <w:r>
        <w:t xml:space="preserve">the need to take </w:t>
      </w:r>
      <w:r w:rsidRPr="00522A7C">
        <w:t>a precautionary approach</w:t>
      </w:r>
      <w:r>
        <w:t>.</w:t>
      </w:r>
    </w:p>
    <w:p w14:paraId="143D6945" w14:textId="77777777" w:rsidR="004D77DB" w:rsidRDefault="004D77DB" w:rsidP="00174AD4">
      <w:pPr>
        <w:pStyle w:val="Heading4"/>
      </w:pPr>
      <w:r>
        <w:t>Triggering the COVID-19 Public Health Response Act 2020</w:t>
      </w:r>
    </w:p>
    <w:p w14:paraId="12FC34DD" w14:textId="534090C2" w:rsidR="004D77DB" w:rsidRPr="00522A7C" w:rsidRDefault="004D77DB" w:rsidP="00FB32D6">
      <w:pPr>
        <w:pStyle w:val="BodyTextnonum"/>
      </w:pPr>
      <w:r>
        <w:t>The Health Act is improved upon in the COVID-19 Public Health Response Act in that it deals with pandemics separately from more</w:t>
      </w:r>
      <w:r w:rsidR="00EF18FE">
        <w:t>-</w:t>
      </w:r>
      <w:r>
        <w:t xml:space="preserve">routine public health measures. </w:t>
      </w:r>
      <w:r w:rsidRPr="00522A7C">
        <w:t>For completeness</w:t>
      </w:r>
      <w:r w:rsidR="00EF18FE">
        <w:t>,</w:t>
      </w:r>
      <w:r w:rsidRPr="00522A7C">
        <w:t xml:space="preserve"> we </w:t>
      </w:r>
      <w:proofErr w:type="gramStart"/>
      <w:r w:rsidRPr="00522A7C">
        <w:t>compare and contrast</w:t>
      </w:r>
      <w:proofErr w:type="gramEnd"/>
      <w:r w:rsidRPr="00522A7C">
        <w:t xml:space="preserve"> </w:t>
      </w:r>
      <w:r>
        <w:t xml:space="preserve">the triggering provisions of </w:t>
      </w:r>
      <w:r w:rsidRPr="00522A7C">
        <w:t>these standing provisions with the bespoke and time</w:t>
      </w:r>
      <w:r>
        <w:t>-</w:t>
      </w:r>
      <w:r w:rsidRPr="00522A7C">
        <w:t xml:space="preserve">limited mechanisms in the </w:t>
      </w:r>
      <w:r>
        <w:t>COVID-19 Public Health Response Act</w:t>
      </w:r>
      <w:r w:rsidRPr="00522A7C">
        <w:t xml:space="preserve">. </w:t>
      </w:r>
    </w:p>
    <w:p w14:paraId="322BDE40" w14:textId="6EFE4F1F" w:rsidR="004D77DB" w:rsidRPr="00522A7C" w:rsidRDefault="004D77DB" w:rsidP="00FB32D6">
      <w:pPr>
        <w:pStyle w:val="BodyTextnonum"/>
      </w:pPr>
      <w:r w:rsidRPr="00522A7C">
        <w:t>The trigger mechanism in the C</w:t>
      </w:r>
      <w:r w:rsidR="00AB2337">
        <w:t>OVID</w:t>
      </w:r>
      <w:r w:rsidRPr="00522A7C">
        <w:t xml:space="preserve">-19 </w:t>
      </w:r>
      <w:r w:rsidR="00F03B47" w:rsidRPr="00E62952">
        <w:t xml:space="preserve">Public Health Response </w:t>
      </w:r>
      <w:r w:rsidRPr="00522A7C">
        <w:t xml:space="preserve">Act is contained in s 8, which reads: </w:t>
      </w:r>
    </w:p>
    <w:p w14:paraId="2CD3C761" w14:textId="4B617D24" w:rsidR="004D77DB" w:rsidRPr="008331DD" w:rsidRDefault="004D77DB">
      <w:pPr>
        <w:pStyle w:val="Quote"/>
        <w:rPr>
          <w:b/>
          <w:bCs/>
        </w:rPr>
      </w:pPr>
      <w:r w:rsidRPr="008331DD">
        <w:rPr>
          <w:b/>
          <w:bCs/>
        </w:rPr>
        <w:t>Prerequisites for all</w:t>
      </w:r>
      <w:r w:rsidR="005D78C1">
        <w:rPr>
          <w:b/>
          <w:bCs/>
        </w:rPr>
        <w:t xml:space="preserve"> </w:t>
      </w:r>
      <w:r w:rsidRPr="008331DD">
        <w:rPr>
          <w:rStyle w:val="insertwords"/>
          <w:b/>
          <w:bCs/>
        </w:rPr>
        <w:t>COVID-19 orders</w:t>
      </w:r>
    </w:p>
    <w:p w14:paraId="070CE7CA" w14:textId="4F2BB827" w:rsidR="004D77DB" w:rsidRPr="008331DD" w:rsidRDefault="004D77DB">
      <w:pPr>
        <w:pStyle w:val="Quote"/>
      </w:pPr>
      <w:r w:rsidRPr="008331DD">
        <w:lastRenderedPageBreak/>
        <w:t>A</w:t>
      </w:r>
      <w:r w:rsidR="00E14ED8">
        <w:t xml:space="preserve"> </w:t>
      </w:r>
      <w:r w:rsidRPr="008331DD">
        <w:rPr>
          <w:rStyle w:val="insertwords"/>
        </w:rPr>
        <w:t>COVID-19 order</w:t>
      </w:r>
      <w:r w:rsidR="00E14ED8">
        <w:t xml:space="preserve"> </w:t>
      </w:r>
      <w:r w:rsidRPr="008331DD">
        <w:t>may be made under this Act only—</w:t>
      </w:r>
    </w:p>
    <w:p w14:paraId="44D8AE7D" w14:textId="298F4026" w:rsidR="004D77DB" w:rsidRPr="008331DD" w:rsidRDefault="004D77DB">
      <w:pPr>
        <w:pStyle w:val="Quote"/>
        <w:ind w:left="1985" w:hanging="567"/>
        <w:jc w:val="left"/>
      </w:pPr>
      <w:r w:rsidRPr="008331DD">
        <w:rPr>
          <w:rStyle w:val="label"/>
          <w:rFonts w:eastAsiaTheme="majorEastAsia"/>
        </w:rPr>
        <w:t>(a)</w:t>
      </w:r>
      <w:r w:rsidRPr="008331DD">
        <w:t xml:space="preserve"> </w:t>
      </w:r>
      <w:r w:rsidRPr="008331DD">
        <w:tab/>
        <w:t>while an epidemic notice under</w:t>
      </w:r>
      <w:bookmarkStart w:id="152" w:name="DLM404483"/>
      <w:r w:rsidR="00E14ED8">
        <w:t xml:space="preserve"> </w:t>
      </w:r>
      <w:bookmarkEnd w:id="152"/>
      <w:r w:rsidR="00394F89">
        <w:fldChar w:fldCharType="begin"/>
      </w:r>
      <w:r w:rsidR="00394F89">
        <w:instrText xml:space="preserve"> HYPERLINK "https://www.legislation.govt.nz/act/public/2020/0012/latest/link.aspx?id=DLM404483" \l "DLM404483" </w:instrText>
      </w:r>
      <w:r w:rsidR="00394F89">
        <w:fldChar w:fldCharType="separate"/>
      </w:r>
      <w:r w:rsidRPr="008331DD">
        <w:rPr>
          <w:rStyle w:val="Hyperlink"/>
          <w:rFonts w:eastAsiaTheme="majorEastAsia"/>
        </w:rPr>
        <w:t>section 5</w:t>
      </w:r>
      <w:r w:rsidR="00394F89">
        <w:rPr>
          <w:rStyle w:val="Hyperlink"/>
          <w:rFonts w:eastAsiaTheme="majorEastAsia"/>
        </w:rPr>
        <w:fldChar w:fldCharType="end"/>
      </w:r>
      <w:r w:rsidR="00E14ED8">
        <w:t xml:space="preserve"> </w:t>
      </w:r>
      <w:r w:rsidRPr="008331DD">
        <w:t>of the Epidemic Preparedness Act 2006 is in force for COVID-19; or</w:t>
      </w:r>
    </w:p>
    <w:p w14:paraId="7DF96B48" w14:textId="5B85EFE3" w:rsidR="004D77DB" w:rsidRPr="008331DD" w:rsidRDefault="004D77DB">
      <w:pPr>
        <w:pStyle w:val="Quote"/>
        <w:ind w:left="1985" w:hanging="567"/>
        <w:jc w:val="left"/>
      </w:pPr>
      <w:r w:rsidRPr="008331DD">
        <w:rPr>
          <w:rStyle w:val="label"/>
          <w:rFonts w:eastAsiaTheme="majorEastAsia"/>
        </w:rPr>
        <w:t>(b)</w:t>
      </w:r>
      <w:r w:rsidRPr="008331DD">
        <w:t xml:space="preserve"> </w:t>
      </w:r>
      <w:r w:rsidRPr="008331DD">
        <w:tab/>
        <w:t>while a state of emergency or transition period in respect of COVID-19 under the</w:t>
      </w:r>
      <w:r w:rsidR="00E14ED8">
        <w:t xml:space="preserve"> </w:t>
      </w:r>
      <w:hyperlink r:id="rId34" w:history="1">
        <w:r w:rsidRPr="008331DD">
          <w:rPr>
            <w:rStyle w:val="Hyperlink"/>
            <w:rFonts w:eastAsiaTheme="majorEastAsia"/>
          </w:rPr>
          <w:t>Civil Defence Emergency Management Act 2002</w:t>
        </w:r>
      </w:hyperlink>
      <w:r w:rsidR="00E14ED8">
        <w:t xml:space="preserve"> </w:t>
      </w:r>
      <w:r w:rsidRPr="008331DD">
        <w:t>is in force; or</w:t>
      </w:r>
    </w:p>
    <w:p w14:paraId="5B4D0EA7" w14:textId="5D6EDB60" w:rsidR="004D77DB" w:rsidRPr="008331DD" w:rsidRDefault="004D77DB">
      <w:pPr>
        <w:pStyle w:val="Quote"/>
        <w:ind w:left="1985" w:hanging="567"/>
        <w:jc w:val="left"/>
      </w:pPr>
      <w:r w:rsidRPr="008331DD">
        <w:rPr>
          <w:rStyle w:val="label"/>
          <w:rFonts w:eastAsiaTheme="majorEastAsia"/>
        </w:rPr>
        <w:t>(c)</w:t>
      </w:r>
      <w:r w:rsidRPr="008331DD">
        <w:t xml:space="preserve"> </w:t>
      </w:r>
      <w:r w:rsidRPr="008331DD">
        <w:tab/>
        <w:t>if the Prime Minister, by notice in the </w:t>
      </w:r>
      <w:r w:rsidRPr="00FE010A">
        <w:rPr>
          <w:b/>
          <w:iCs/>
        </w:rPr>
        <w:t>Gazette</w:t>
      </w:r>
      <w:r w:rsidRPr="008331DD">
        <w:t>, after being satisfied that there is a risk of an outbreak or the spread of COVID-19, has authorised the use of</w:t>
      </w:r>
      <w:r w:rsidR="00E14ED8">
        <w:t xml:space="preserve"> </w:t>
      </w:r>
      <w:r w:rsidRPr="008331DD">
        <w:rPr>
          <w:rStyle w:val="insertwords"/>
        </w:rPr>
        <w:t>COVID-19 orders</w:t>
      </w:r>
      <w:r w:rsidR="00E14ED8">
        <w:t xml:space="preserve"> </w:t>
      </w:r>
      <w:r w:rsidRPr="008331DD">
        <w:t>(either generally or specifically) and the authorisation is in force.</w:t>
      </w:r>
    </w:p>
    <w:p w14:paraId="1D20BD95" w14:textId="23F35801" w:rsidR="004D77DB" w:rsidRPr="00522A7C" w:rsidRDefault="004D77DB" w:rsidP="00FB32D6">
      <w:pPr>
        <w:pStyle w:val="BodyTextnonum"/>
      </w:pPr>
      <w:r w:rsidRPr="00522A7C">
        <w:t xml:space="preserve">The trigger mechanism is </w:t>
      </w:r>
      <w:proofErr w:type="gramStart"/>
      <w:r w:rsidRPr="00522A7C">
        <w:t>similar to</w:t>
      </w:r>
      <w:proofErr w:type="gramEnd"/>
      <w:r w:rsidRPr="00522A7C">
        <w:t xml:space="preserve"> that contained in the Health Act </w:t>
      </w:r>
      <w:r>
        <w:t xml:space="preserve">but </w:t>
      </w:r>
      <w:r w:rsidRPr="00522A7C">
        <w:t>with these differences. The C</w:t>
      </w:r>
      <w:r>
        <w:t>OVID-</w:t>
      </w:r>
      <w:r w:rsidRPr="00522A7C">
        <w:t xml:space="preserve">19 </w:t>
      </w:r>
      <w:r w:rsidR="00F03B47" w:rsidRPr="00E62952">
        <w:t xml:space="preserve">Public Health Response </w:t>
      </w:r>
      <w:r w:rsidRPr="00522A7C">
        <w:t xml:space="preserve">Act powers can be unlocked </w:t>
      </w:r>
      <w:r>
        <w:t>during</w:t>
      </w:r>
      <w:r w:rsidRPr="00522A7C">
        <w:t xml:space="preserve"> </w:t>
      </w:r>
      <w:r>
        <w:t xml:space="preserve">a </w:t>
      </w:r>
      <w:r w:rsidRPr="00522A7C">
        <w:t>transition period under the CDEM</w:t>
      </w:r>
      <w:r>
        <w:t xml:space="preserve"> </w:t>
      </w:r>
      <w:r w:rsidRPr="00522A7C">
        <w:t>A</w:t>
      </w:r>
      <w:r>
        <w:t>ct</w:t>
      </w:r>
      <w:r w:rsidRPr="00522A7C">
        <w:t xml:space="preserve"> as well as during a state of emergency</w:t>
      </w:r>
      <w:r>
        <w:t xml:space="preserve"> in recognition of the fluctuating nature of pandemics</w:t>
      </w:r>
      <w:r w:rsidRPr="00522A7C">
        <w:t xml:space="preserve">. The triggering authority is given to the Prime Minister </w:t>
      </w:r>
      <w:r>
        <w:t xml:space="preserve">and Minister </w:t>
      </w:r>
      <w:r w:rsidR="00E14ED8">
        <w:t>for Emergency Management</w:t>
      </w:r>
      <w:r>
        <w:t xml:space="preserve"> </w:t>
      </w:r>
      <w:r w:rsidRPr="00522A7C">
        <w:t xml:space="preserve">rather than the Minister of Health. A threshold test is added: the Prime Minister must be “satisfied that there is a risk of an outbreak or the spread of COVID-19”. </w:t>
      </w:r>
      <w:r>
        <w:t>T</w:t>
      </w:r>
      <w:r w:rsidRPr="00522A7C">
        <w:t>his threshold is a precautionary one focused on the risk of outbreak, not the actual presence of C</w:t>
      </w:r>
      <w:r w:rsidR="0061070F">
        <w:t>OVID</w:t>
      </w:r>
      <w:r w:rsidRPr="00522A7C">
        <w:t xml:space="preserve">-19 or its effects. </w:t>
      </w:r>
    </w:p>
    <w:p w14:paraId="36B4E106" w14:textId="6272881A" w:rsidR="004D77DB" w:rsidRDefault="004D77DB" w:rsidP="00F36B51">
      <w:pPr>
        <w:pStyle w:val="Heading3"/>
        <w:rPr>
          <w:shd w:val="clear" w:color="auto" w:fill="FFFFFF"/>
        </w:rPr>
      </w:pPr>
      <w:bookmarkStart w:id="153" w:name="_Toc116464829"/>
      <w:bookmarkStart w:id="154" w:name="_Toc117063122"/>
      <w:bookmarkStart w:id="155" w:name="_Toc118119314"/>
      <w:r w:rsidRPr="00522A7C">
        <w:rPr>
          <w:shd w:val="clear" w:color="auto" w:fill="FFFFFF"/>
        </w:rPr>
        <w:t xml:space="preserve">The </w:t>
      </w:r>
      <w:r w:rsidRPr="00F36B51">
        <w:t>status</w:t>
      </w:r>
      <w:r w:rsidRPr="00522A7C">
        <w:rPr>
          <w:shd w:val="clear" w:color="auto" w:fill="FFFFFF"/>
        </w:rPr>
        <w:t xml:space="preserve"> of </w:t>
      </w:r>
      <w:r>
        <w:rPr>
          <w:shd w:val="clear" w:color="auto" w:fill="FFFFFF"/>
        </w:rPr>
        <w:t xml:space="preserve">regulations under s 117 and </w:t>
      </w:r>
      <w:r w:rsidRPr="00522A7C">
        <w:rPr>
          <w:shd w:val="clear" w:color="auto" w:fill="FFFFFF"/>
        </w:rPr>
        <w:t>orders under s 70</w:t>
      </w:r>
      <w:bookmarkEnd w:id="153"/>
      <w:bookmarkEnd w:id="154"/>
      <w:bookmarkEnd w:id="155"/>
    </w:p>
    <w:p w14:paraId="542983D6" w14:textId="3DB22B88" w:rsidR="004D77DB" w:rsidRPr="00522A7C" w:rsidRDefault="004D77DB" w:rsidP="00F36B51">
      <w:pPr>
        <w:pStyle w:val="Heading4"/>
      </w:pPr>
      <w:r>
        <w:t xml:space="preserve">Section 117 </w:t>
      </w:r>
      <w:r w:rsidR="003C597A">
        <w:t>r</w:t>
      </w:r>
      <w:r>
        <w:t>egulation-making powers</w:t>
      </w:r>
    </w:p>
    <w:p w14:paraId="57B38EB8" w14:textId="72F546EC" w:rsidR="004D77DB" w:rsidRDefault="004D77DB" w:rsidP="00FB32D6">
      <w:pPr>
        <w:pStyle w:val="BodyTextnonum"/>
      </w:pPr>
      <w:r>
        <w:t>The powers under s 70 remain dormant until triggered</w:t>
      </w:r>
      <w:r w:rsidR="003C597A">
        <w:t>,</w:t>
      </w:r>
      <w:r>
        <w:t xml:space="preserve"> </w:t>
      </w:r>
      <w:r w:rsidR="003C597A">
        <w:t>b</w:t>
      </w:r>
      <w:r>
        <w:t xml:space="preserve">ut there are no similar protections in relation to the extensive powers to make orders conferred in s 117. </w:t>
      </w:r>
    </w:p>
    <w:p w14:paraId="57E81726" w14:textId="36773A1D" w:rsidR="004D77DB" w:rsidRPr="00522A7C" w:rsidRDefault="004D77DB" w:rsidP="00FB32D6">
      <w:pPr>
        <w:pStyle w:val="BodyTextnonum"/>
      </w:pPr>
      <w:r w:rsidRPr="00522A7C">
        <w:t>Section 117 of the Health Act confers extensive powers on the executive branch of government (technically</w:t>
      </w:r>
      <w:r w:rsidR="003C597A">
        <w:t>,</w:t>
      </w:r>
      <w:r w:rsidRPr="00522A7C">
        <w:t xml:space="preserve"> the Governor-General in Council) to make regulations (or secondary legislation). The section empowers the promulgation </w:t>
      </w:r>
      <w:r>
        <w:t xml:space="preserve">orders </w:t>
      </w:r>
      <w:r w:rsidRPr="00522A7C">
        <w:t>for the purposes</w:t>
      </w:r>
      <w:r w:rsidR="003C597A">
        <w:t xml:space="preserve"> of</w:t>
      </w:r>
      <w:r w:rsidRPr="00522A7C">
        <w:t>:</w:t>
      </w:r>
    </w:p>
    <w:p w14:paraId="7DCCF15B" w14:textId="6D69F056" w:rsidR="004D77DB" w:rsidRPr="00306CBF" w:rsidRDefault="004D77DB" w:rsidP="009948AC">
      <w:pPr>
        <w:pStyle w:val="BodyTextalphalist"/>
        <w:tabs>
          <w:tab w:val="num" w:pos="1985"/>
        </w:tabs>
        <w:ind w:left="1985" w:hanging="567"/>
        <w:rPr>
          <w:sz w:val="18"/>
          <w:szCs w:val="18"/>
        </w:rPr>
      </w:pPr>
      <w:r w:rsidRPr="00306CBF">
        <w:rPr>
          <w:sz w:val="18"/>
          <w:szCs w:val="18"/>
        </w:rPr>
        <w:t>the improvement, promotion, and protection of public health:</w:t>
      </w:r>
    </w:p>
    <w:p w14:paraId="3A54271F" w14:textId="44FCFE6C" w:rsidR="004D77DB" w:rsidRPr="00306CBF" w:rsidRDefault="004D77DB" w:rsidP="009948AC">
      <w:pPr>
        <w:pStyle w:val="BodyTextalphalist"/>
        <w:tabs>
          <w:tab w:val="num" w:pos="1985"/>
        </w:tabs>
        <w:ind w:left="1985" w:hanging="567"/>
        <w:rPr>
          <w:sz w:val="18"/>
          <w:szCs w:val="18"/>
        </w:rPr>
      </w:pPr>
      <w:r w:rsidRPr="00306CBF">
        <w:rPr>
          <w:sz w:val="18"/>
          <w:szCs w:val="18"/>
        </w:rPr>
        <w:t>the inspection, cleansing, purifying, disinfection, fumigation, and isolation of ships, aircraft, houses, buildings, yards, conveyances, drains, sewers, and things:</w:t>
      </w:r>
    </w:p>
    <w:p w14:paraId="496D9BDD" w14:textId="4CC85EFD" w:rsidR="004D77DB" w:rsidRPr="00306CBF" w:rsidRDefault="004D77DB" w:rsidP="009948AC">
      <w:pPr>
        <w:pStyle w:val="BodyTextalphalist"/>
        <w:tabs>
          <w:tab w:val="num" w:pos="1985"/>
        </w:tabs>
        <w:ind w:left="1985" w:hanging="567"/>
        <w:rPr>
          <w:sz w:val="18"/>
          <w:szCs w:val="18"/>
        </w:rPr>
      </w:pPr>
      <w:r w:rsidRPr="00306CBF">
        <w:rPr>
          <w:sz w:val="18"/>
          <w:szCs w:val="18"/>
        </w:rPr>
        <w:t>the destruction of insanitary things:</w:t>
      </w:r>
    </w:p>
    <w:p w14:paraId="0D0151B1" w14:textId="6EE0E3E3" w:rsidR="004D77DB" w:rsidRPr="00306CBF" w:rsidRDefault="004D77DB" w:rsidP="009948AC">
      <w:pPr>
        <w:pStyle w:val="BodyTextalphalist"/>
        <w:tabs>
          <w:tab w:val="num" w:pos="1985"/>
        </w:tabs>
        <w:ind w:left="1985" w:hanging="567"/>
        <w:rPr>
          <w:sz w:val="18"/>
          <w:szCs w:val="18"/>
        </w:rPr>
      </w:pPr>
      <w:r w:rsidRPr="00306CBF">
        <w:rPr>
          <w:sz w:val="18"/>
          <w:szCs w:val="18"/>
        </w:rPr>
        <w:t>the vaccination of persons for the prevention of quarantinable diseases and other diseases, and the adoption of any other measures for the prevention and mitigation of disease:</w:t>
      </w:r>
    </w:p>
    <w:p w14:paraId="06A7B611" w14:textId="0A019C1F" w:rsidR="004D77DB" w:rsidRPr="00306CBF" w:rsidRDefault="004D77DB" w:rsidP="00306CBF">
      <w:pPr>
        <w:pStyle w:val="BodyTextalphalist"/>
        <w:numPr>
          <w:ilvl w:val="0"/>
          <w:numId w:val="0"/>
        </w:numPr>
        <w:tabs>
          <w:tab w:val="left" w:pos="1985"/>
        </w:tabs>
        <w:ind w:left="1985" w:hanging="567"/>
        <w:rPr>
          <w:sz w:val="18"/>
          <w:szCs w:val="18"/>
        </w:rPr>
      </w:pPr>
      <w:r w:rsidRPr="00306CBF">
        <w:rPr>
          <w:sz w:val="18"/>
          <w:szCs w:val="18"/>
        </w:rPr>
        <w:t xml:space="preserve">(da) </w:t>
      </w:r>
      <w:r w:rsidR="00306CBF" w:rsidRPr="00306CBF">
        <w:rPr>
          <w:sz w:val="18"/>
          <w:szCs w:val="18"/>
        </w:rPr>
        <w:tab/>
      </w:r>
      <w:r w:rsidRPr="00306CBF">
        <w:rPr>
          <w:sz w:val="18"/>
          <w:szCs w:val="18"/>
        </w:rPr>
        <w:t>the management of persons with, or suspected of having, infectious diseases, including persons subject to an urgent public health order or a court order under </w:t>
      </w:r>
      <w:bookmarkStart w:id="156" w:name="DLM307296"/>
      <w:r w:rsidRPr="00306CBF">
        <w:rPr>
          <w:sz w:val="18"/>
          <w:szCs w:val="18"/>
        </w:rPr>
        <w:fldChar w:fldCharType="begin"/>
      </w:r>
      <w:r w:rsidRPr="00306CBF">
        <w:rPr>
          <w:sz w:val="18"/>
          <w:szCs w:val="18"/>
        </w:rPr>
        <w:instrText xml:space="preserve"> HYPERLINK "https://www.legislation.govt.nz/act/public/1956/0065/latest/link.aspx?id=DLM307296" \l "DLM307296" </w:instrText>
      </w:r>
      <w:r w:rsidRPr="00306CBF">
        <w:rPr>
          <w:sz w:val="18"/>
          <w:szCs w:val="18"/>
        </w:rPr>
      </w:r>
      <w:r w:rsidRPr="00306CBF">
        <w:rPr>
          <w:sz w:val="18"/>
          <w:szCs w:val="18"/>
        </w:rPr>
        <w:fldChar w:fldCharType="separate"/>
      </w:r>
      <w:r w:rsidRPr="00306CBF">
        <w:rPr>
          <w:sz w:val="18"/>
          <w:szCs w:val="18"/>
        </w:rPr>
        <w:t>Part 3A</w:t>
      </w:r>
      <w:r w:rsidRPr="00306CBF">
        <w:rPr>
          <w:sz w:val="18"/>
          <w:szCs w:val="18"/>
        </w:rPr>
        <w:fldChar w:fldCharType="end"/>
      </w:r>
      <w:bookmarkEnd w:id="156"/>
      <w:r w:rsidRPr="00306CBF">
        <w:rPr>
          <w:sz w:val="18"/>
          <w:szCs w:val="18"/>
        </w:rPr>
        <w:t>, and their contacts:</w:t>
      </w:r>
    </w:p>
    <w:p w14:paraId="6B005794" w14:textId="4FFF3ADB" w:rsidR="004D77DB" w:rsidRPr="00306CBF" w:rsidRDefault="004D77DB" w:rsidP="009948AC">
      <w:pPr>
        <w:pStyle w:val="BodyTextalphalist"/>
        <w:tabs>
          <w:tab w:val="num" w:pos="1985"/>
        </w:tabs>
        <w:ind w:left="1985" w:hanging="567"/>
        <w:rPr>
          <w:sz w:val="18"/>
          <w:szCs w:val="18"/>
        </w:rPr>
      </w:pPr>
      <w:r w:rsidRPr="00306CBF">
        <w:rPr>
          <w:sz w:val="18"/>
          <w:szCs w:val="18"/>
        </w:rPr>
        <w:t>the provision of medical aid, transport, accommodation, and curative treatment for the sick:</w:t>
      </w:r>
    </w:p>
    <w:p w14:paraId="072CCBD2" w14:textId="0B03C235" w:rsidR="004D77DB" w:rsidRPr="00306CBF" w:rsidRDefault="004D77DB" w:rsidP="009948AC">
      <w:pPr>
        <w:pStyle w:val="BodyTextalphalist"/>
        <w:tabs>
          <w:tab w:val="num" w:pos="1985"/>
        </w:tabs>
        <w:ind w:left="1985" w:hanging="567"/>
        <w:rPr>
          <w:sz w:val="18"/>
          <w:szCs w:val="18"/>
        </w:rPr>
      </w:pPr>
      <w:r w:rsidRPr="00306CBF">
        <w:rPr>
          <w:sz w:val="18"/>
          <w:szCs w:val="18"/>
        </w:rPr>
        <w:t>the transportation and disposal of the dead:</w:t>
      </w:r>
    </w:p>
    <w:p w14:paraId="5C93DEED" w14:textId="7B749F89" w:rsidR="004D77DB" w:rsidRPr="00306CBF" w:rsidRDefault="004D77DB" w:rsidP="009948AC">
      <w:pPr>
        <w:pStyle w:val="BodyTextalphalist"/>
        <w:tabs>
          <w:tab w:val="num" w:pos="1985"/>
        </w:tabs>
        <w:ind w:left="1985" w:hanging="567"/>
        <w:rPr>
          <w:sz w:val="18"/>
          <w:szCs w:val="18"/>
        </w:rPr>
      </w:pPr>
      <w:r w:rsidRPr="00306CBF">
        <w:rPr>
          <w:sz w:val="18"/>
          <w:szCs w:val="18"/>
        </w:rPr>
        <w:t>the isolation, disinfection, and treatment of persons suffering from any infectious disease:</w:t>
      </w:r>
    </w:p>
    <w:p w14:paraId="2FDC074F" w14:textId="727A5690" w:rsidR="004D77DB" w:rsidRPr="00306CBF" w:rsidRDefault="004D77DB" w:rsidP="009948AC">
      <w:pPr>
        <w:pStyle w:val="BodyTextalphalist"/>
        <w:tabs>
          <w:tab w:val="num" w:pos="1985"/>
        </w:tabs>
        <w:ind w:left="1985" w:hanging="567"/>
        <w:rPr>
          <w:sz w:val="18"/>
          <w:szCs w:val="18"/>
        </w:rPr>
      </w:pPr>
      <w:r w:rsidRPr="00306CBF">
        <w:rPr>
          <w:sz w:val="18"/>
          <w:szCs w:val="18"/>
        </w:rPr>
        <w:t>the isolation or medical observation and surveillance of persons suspected to be suffering from any infectious disease, of persons in charge of or in attendance on persons suffering from any infectious disease, and of other persons who may have been exposed to the infection of any infectious disease:</w:t>
      </w:r>
    </w:p>
    <w:p w14:paraId="27113A0B" w14:textId="717275C7" w:rsidR="004D77DB" w:rsidRPr="00306CBF" w:rsidRDefault="004D77DB" w:rsidP="00306CBF">
      <w:pPr>
        <w:pStyle w:val="BodyTextalphalist"/>
        <w:numPr>
          <w:ilvl w:val="0"/>
          <w:numId w:val="0"/>
        </w:numPr>
        <w:ind w:left="1985" w:hanging="567"/>
        <w:rPr>
          <w:sz w:val="18"/>
          <w:szCs w:val="18"/>
        </w:rPr>
      </w:pPr>
      <w:r w:rsidRPr="00306CBF">
        <w:rPr>
          <w:sz w:val="18"/>
          <w:szCs w:val="18"/>
        </w:rPr>
        <w:lastRenderedPageBreak/>
        <w:t xml:space="preserve">(ha) </w:t>
      </w:r>
      <w:r w:rsidR="00306CBF" w:rsidRPr="00306CBF">
        <w:rPr>
          <w:sz w:val="18"/>
          <w:szCs w:val="18"/>
        </w:rPr>
        <w:tab/>
      </w:r>
      <w:r w:rsidRPr="00306CBF">
        <w:rPr>
          <w:sz w:val="18"/>
          <w:szCs w:val="18"/>
        </w:rPr>
        <w:t>the identification of, and communication with, contacts of persons with, or suspected of having, infectious diseases:</w:t>
      </w:r>
    </w:p>
    <w:p w14:paraId="5AEC7164" w14:textId="1823B650" w:rsidR="004D77DB" w:rsidRPr="00306CBF" w:rsidRDefault="004D77DB" w:rsidP="009948AC">
      <w:pPr>
        <w:pStyle w:val="BodyTextalphalist"/>
        <w:tabs>
          <w:tab w:val="num" w:pos="1985"/>
        </w:tabs>
        <w:ind w:left="1985" w:hanging="567"/>
        <w:rPr>
          <w:sz w:val="18"/>
          <w:szCs w:val="18"/>
        </w:rPr>
      </w:pPr>
      <w:r w:rsidRPr="00306CBF">
        <w:rPr>
          <w:sz w:val="18"/>
          <w:szCs w:val="18"/>
        </w:rPr>
        <w:t>the prevention of the spread of any infectious disease by persons who are contacts or carriers within the meaning of this Act, and the keeping of such persons under medical surveillance, and the restriction of the movements and the preventive treatment of such persons:</w:t>
      </w:r>
    </w:p>
    <w:p w14:paraId="3BC6E86A" w14:textId="1470B0DF" w:rsidR="004D77DB" w:rsidRPr="00306CBF" w:rsidRDefault="004D77DB" w:rsidP="009948AC">
      <w:pPr>
        <w:pStyle w:val="BodyTextalphalist"/>
        <w:tabs>
          <w:tab w:val="num" w:pos="1985"/>
        </w:tabs>
        <w:ind w:left="1985" w:hanging="567"/>
        <w:rPr>
          <w:sz w:val="18"/>
          <w:szCs w:val="18"/>
        </w:rPr>
      </w:pPr>
      <w:r w:rsidRPr="00306CBF">
        <w:rPr>
          <w:sz w:val="18"/>
          <w:szCs w:val="18"/>
        </w:rPr>
        <w:t>with respect to any infectious disease, prescribing the period which shall be deemed to be the period of incubation of that disease for the purposes of this Act:</w:t>
      </w:r>
    </w:p>
    <w:p w14:paraId="58CEF13D" w14:textId="433DA0C3" w:rsidR="004D77DB" w:rsidRPr="00306CBF" w:rsidRDefault="004D77DB" w:rsidP="009948AC">
      <w:pPr>
        <w:pStyle w:val="BodyTextalphalist"/>
        <w:tabs>
          <w:tab w:val="num" w:pos="1985"/>
        </w:tabs>
        <w:ind w:left="1985" w:hanging="567"/>
        <w:rPr>
          <w:sz w:val="18"/>
          <w:szCs w:val="18"/>
        </w:rPr>
      </w:pPr>
      <w:r w:rsidRPr="00306CBF">
        <w:rPr>
          <w:sz w:val="18"/>
          <w:szCs w:val="18"/>
        </w:rPr>
        <w:t xml:space="preserve">the clinical, chemical, bacteriological, and other </w:t>
      </w:r>
      <w:proofErr w:type="gramStart"/>
      <w:r w:rsidRPr="00306CBF">
        <w:rPr>
          <w:sz w:val="18"/>
          <w:szCs w:val="18"/>
        </w:rPr>
        <w:t>examinations</w:t>
      </w:r>
      <w:proofErr w:type="gramEnd"/>
      <w:r w:rsidRPr="00306CBF">
        <w:rPr>
          <w:sz w:val="18"/>
          <w:szCs w:val="18"/>
        </w:rPr>
        <w:t xml:space="preserve"> and investigations necessary to determine whether any person is suffering from disease or is a carrier of any infectious disease, and whether any person who has been suffering from any infectious disease has ceased to be likely to convey infection:</w:t>
      </w:r>
    </w:p>
    <w:p w14:paraId="16099CFC" w14:textId="6EEB90AA" w:rsidR="004D77DB" w:rsidRPr="00306CBF" w:rsidRDefault="004D77DB" w:rsidP="009948AC">
      <w:pPr>
        <w:pStyle w:val="BodyTextalphalist"/>
        <w:tabs>
          <w:tab w:val="num" w:pos="1985"/>
        </w:tabs>
        <w:ind w:left="1985" w:hanging="567"/>
        <w:rPr>
          <w:sz w:val="18"/>
          <w:szCs w:val="18"/>
        </w:rPr>
      </w:pPr>
      <w:r w:rsidRPr="00306CBF">
        <w:rPr>
          <w:sz w:val="18"/>
          <w:szCs w:val="18"/>
        </w:rPr>
        <w:t>the closing of schools or the regulation or restriction of school attendance to prevent or restrict the spread of any infectious disease:</w:t>
      </w:r>
    </w:p>
    <w:p w14:paraId="09D831A3" w14:textId="6CD662CC" w:rsidR="004D77DB" w:rsidRPr="00306CBF" w:rsidRDefault="004D77DB" w:rsidP="009948AC">
      <w:pPr>
        <w:pStyle w:val="BodyTextalphalist"/>
        <w:tabs>
          <w:tab w:val="num" w:pos="1985"/>
        </w:tabs>
        <w:ind w:left="1985" w:hanging="567"/>
        <w:rPr>
          <w:b/>
          <w:bCs/>
          <w:sz w:val="18"/>
          <w:szCs w:val="18"/>
        </w:rPr>
      </w:pPr>
      <w:r w:rsidRPr="00306CBF">
        <w:rPr>
          <w:sz w:val="18"/>
          <w:szCs w:val="18"/>
        </w:rPr>
        <w:t>prescribing the duties of parents or guardians of children who are suffering from, or have recently suffered from or been exposed to the infection of, any infectious disease, and the duties of persons in charge of schools in respect of any such children:</w:t>
      </w:r>
    </w:p>
    <w:p w14:paraId="45F4F5A2" w14:textId="1C72B274" w:rsidR="004D77DB" w:rsidRPr="00306CBF" w:rsidRDefault="004D77DB" w:rsidP="009948AC">
      <w:pPr>
        <w:pStyle w:val="BodyTextalphalist"/>
        <w:tabs>
          <w:tab w:val="num" w:pos="1985"/>
        </w:tabs>
        <w:ind w:left="1985" w:hanging="567"/>
        <w:rPr>
          <w:sz w:val="18"/>
          <w:szCs w:val="18"/>
        </w:rPr>
      </w:pPr>
      <w:r w:rsidRPr="00306CBF">
        <w:rPr>
          <w:sz w:val="18"/>
          <w:szCs w:val="18"/>
        </w:rPr>
        <w:t>prescribing the accommodation to be provided in connection with boarding schools, orphanages, or other like institutions for the reception of persons in attendance thereat or resident therein who may be suffering from any infectious disease or who may be contacts within the meaning of this Act:</w:t>
      </w:r>
    </w:p>
    <w:p w14:paraId="61802343" w14:textId="39E23104" w:rsidR="004D77DB" w:rsidRPr="00306CBF" w:rsidRDefault="004D77DB" w:rsidP="009948AC">
      <w:pPr>
        <w:pStyle w:val="BodyTextalphalist"/>
        <w:tabs>
          <w:tab w:val="num" w:pos="1985"/>
        </w:tabs>
        <w:ind w:left="1985" w:hanging="567"/>
        <w:rPr>
          <w:sz w:val="18"/>
          <w:szCs w:val="18"/>
        </w:rPr>
      </w:pPr>
      <w:r w:rsidRPr="00306CBF">
        <w:rPr>
          <w:sz w:val="18"/>
          <w:szCs w:val="18"/>
        </w:rPr>
        <w:t>the regulation or restriction of the attendance of the public, or of any section of the public, at any place of public recreation or amusement or concourse, or the closing of any such places for admission to the public:</w:t>
      </w:r>
    </w:p>
    <w:p w14:paraId="0BD5B243" w14:textId="64564750" w:rsidR="004D77DB" w:rsidRPr="00306CBF" w:rsidRDefault="004D77DB" w:rsidP="009948AC">
      <w:pPr>
        <w:pStyle w:val="BodyTextalphalist"/>
        <w:tabs>
          <w:tab w:val="num" w:pos="1985"/>
        </w:tabs>
        <w:ind w:left="1985" w:hanging="567"/>
        <w:rPr>
          <w:b/>
          <w:bCs/>
          <w:sz w:val="18"/>
          <w:szCs w:val="18"/>
        </w:rPr>
      </w:pPr>
      <w:r w:rsidRPr="00306CBF">
        <w:rPr>
          <w:sz w:val="18"/>
          <w:szCs w:val="18"/>
        </w:rPr>
        <w:t>the regulation, restriction, or prohibition of the convening, holding, or attending of any public gatherings:</w:t>
      </w:r>
    </w:p>
    <w:p w14:paraId="20245D8D" w14:textId="6D81C74E" w:rsidR="004D77DB" w:rsidRPr="00306CBF" w:rsidRDefault="004D77DB" w:rsidP="009948AC">
      <w:pPr>
        <w:pStyle w:val="BodyTextalphalist"/>
        <w:tabs>
          <w:tab w:val="num" w:pos="1985"/>
        </w:tabs>
        <w:ind w:left="1985" w:hanging="567"/>
        <w:rPr>
          <w:sz w:val="18"/>
          <w:szCs w:val="18"/>
        </w:rPr>
      </w:pPr>
      <w:r w:rsidRPr="00306CBF">
        <w:rPr>
          <w:sz w:val="18"/>
          <w:szCs w:val="18"/>
        </w:rPr>
        <w:t>the regulation or restriction of traffic and the movements of persons within or from any area in which an infectious disease is prevalent:</w:t>
      </w:r>
    </w:p>
    <w:p w14:paraId="2E25C051" w14:textId="48156F11" w:rsidR="004D77DB" w:rsidRPr="00306CBF" w:rsidRDefault="004D77DB" w:rsidP="009948AC">
      <w:pPr>
        <w:pStyle w:val="BodyTextalphalist"/>
        <w:tabs>
          <w:tab w:val="num" w:pos="1985"/>
        </w:tabs>
        <w:ind w:left="1985" w:hanging="567"/>
        <w:rPr>
          <w:b/>
          <w:bCs/>
          <w:sz w:val="18"/>
          <w:szCs w:val="18"/>
        </w:rPr>
      </w:pPr>
      <w:r w:rsidRPr="00306CBF">
        <w:rPr>
          <w:sz w:val="18"/>
          <w:szCs w:val="18"/>
        </w:rPr>
        <w:t>prescribing the form and content of the notifications with respect to disease by medical practitioners and other persons, and prescribing the fees payable to medical practitioners, veterinary surgeons</w:t>
      </w:r>
      <w:r w:rsidRPr="00306CBF">
        <w:rPr>
          <w:rStyle w:val="insertwords"/>
          <w:color w:val="000000"/>
          <w:sz w:val="18"/>
          <w:szCs w:val="18"/>
          <w:bdr w:val="none" w:sz="0" w:space="0" w:color="auto" w:frame="1"/>
        </w:rPr>
        <w:t>, or persons in charge of laboratories</w:t>
      </w:r>
      <w:r w:rsidRPr="00306CBF">
        <w:rPr>
          <w:rFonts w:ascii="Calibri" w:hAnsi="Calibri" w:cs="Calibri"/>
          <w:sz w:val="18"/>
          <w:szCs w:val="18"/>
        </w:rPr>
        <w:t> </w:t>
      </w:r>
      <w:r w:rsidRPr="00306CBF">
        <w:rPr>
          <w:sz w:val="18"/>
          <w:szCs w:val="18"/>
        </w:rPr>
        <w:t>in respect of such notifications:</w:t>
      </w:r>
    </w:p>
    <w:p w14:paraId="23A726BE" w14:textId="77777777" w:rsidR="00306CBF" w:rsidRDefault="004D77DB" w:rsidP="00306CBF">
      <w:pPr>
        <w:pStyle w:val="BodyTextalphalist"/>
        <w:numPr>
          <w:ilvl w:val="0"/>
          <w:numId w:val="0"/>
        </w:numPr>
        <w:ind w:left="1985" w:hanging="567"/>
        <w:rPr>
          <w:sz w:val="18"/>
          <w:szCs w:val="18"/>
        </w:rPr>
      </w:pPr>
      <w:r w:rsidRPr="00306CBF">
        <w:rPr>
          <w:sz w:val="18"/>
          <w:szCs w:val="18"/>
        </w:rPr>
        <w:t>(</w:t>
      </w:r>
      <w:proofErr w:type="spellStart"/>
      <w:r w:rsidRPr="00306CBF">
        <w:rPr>
          <w:sz w:val="18"/>
          <w:szCs w:val="18"/>
        </w:rPr>
        <w:t>ra</w:t>
      </w:r>
      <w:proofErr w:type="spellEnd"/>
      <w:r w:rsidRPr="00306CBF">
        <w:rPr>
          <w:sz w:val="18"/>
          <w:szCs w:val="18"/>
        </w:rPr>
        <w:t>)</w:t>
      </w:r>
      <w:r w:rsidR="009E3B04" w:rsidRPr="00306CBF">
        <w:rPr>
          <w:sz w:val="18"/>
          <w:szCs w:val="18"/>
        </w:rPr>
        <w:tab/>
      </w:r>
      <w:r w:rsidRPr="00306CBF">
        <w:rPr>
          <w:sz w:val="18"/>
          <w:szCs w:val="18"/>
        </w:rPr>
        <w:t>prescribing identifying information for the purpose of</w:t>
      </w:r>
      <w:r w:rsidR="000C4425" w:rsidRPr="00306CBF">
        <w:rPr>
          <w:sz w:val="18"/>
          <w:szCs w:val="18"/>
        </w:rPr>
        <w:t xml:space="preserve"> section 74(3</w:t>
      </w:r>
      <w:proofErr w:type="gramStart"/>
      <w:r w:rsidR="000C4425" w:rsidRPr="00306CBF">
        <w:rPr>
          <w:sz w:val="18"/>
          <w:szCs w:val="18"/>
        </w:rPr>
        <w:t>C)(</w:t>
      </w:r>
      <w:proofErr w:type="gramEnd"/>
      <w:r w:rsidR="00D023A6" w:rsidRPr="00306CBF">
        <w:rPr>
          <w:sz w:val="18"/>
          <w:szCs w:val="18"/>
        </w:rPr>
        <w:t>b)</w:t>
      </w:r>
      <w:r w:rsidRPr="00306CBF">
        <w:rPr>
          <w:sz w:val="18"/>
          <w:szCs w:val="18"/>
        </w:rPr>
        <w:t>.</w:t>
      </w:r>
      <w:r w:rsidR="00BB6B1C" w:rsidRPr="00306CBF">
        <w:rPr>
          <w:sz w:val="18"/>
          <w:szCs w:val="18"/>
        </w:rPr>
        <w:t xml:space="preserve"> </w:t>
      </w:r>
    </w:p>
    <w:p w14:paraId="016A9EE8" w14:textId="6EE35E57" w:rsidR="004D77DB" w:rsidRPr="00B27BED" w:rsidRDefault="004D77DB" w:rsidP="00F726BC">
      <w:pPr>
        <w:pStyle w:val="BodyTextnonum"/>
      </w:pPr>
      <w:r w:rsidRPr="00B27BED">
        <w:t xml:space="preserve">The provision also empowers the creation of penalties for breaching the rules. </w:t>
      </w:r>
    </w:p>
    <w:p w14:paraId="3DA49F2F" w14:textId="169C42AC" w:rsidR="004D77DB" w:rsidRDefault="004D77DB" w:rsidP="00FB32D6">
      <w:pPr>
        <w:pStyle w:val="BodyTextnonum"/>
      </w:pPr>
      <w:r>
        <w:t xml:space="preserve">Consideration needs to be given to </w:t>
      </w:r>
      <w:r w:rsidRPr="00522A7C">
        <w:t>whether the more extensive of th</w:t>
      </w:r>
      <w:r>
        <w:t xml:space="preserve">ose </w:t>
      </w:r>
      <w:r w:rsidRPr="00522A7C">
        <w:t xml:space="preserve">powers </w:t>
      </w:r>
      <w:r>
        <w:t xml:space="preserve">conferred </w:t>
      </w:r>
      <w:r w:rsidRPr="00522A7C">
        <w:t xml:space="preserve">in s 117 should be so readily available. It would be better to condition the exercise of certain powers such as to regulate public gatherings in (o) and (p) on the presence </w:t>
      </w:r>
      <w:r>
        <w:t>of a significant risk to health</w:t>
      </w:r>
      <w:r w:rsidRPr="00522A7C">
        <w:t>. If it is contemplated that religious</w:t>
      </w:r>
      <w:r>
        <w:t xml:space="preserve"> or </w:t>
      </w:r>
      <w:r w:rsidRPr="00522A7C">
        <w:t>cultural</w:t>
      </w:r>
      <w:r>
        <w:t xml:space="preserve"> gatherings </w:t>
      </w:r>
      <w:proofErr w:type="gramStart"/>
      <w:r w:rsidRPr="00522A7C">
        <w:t>are able to</w:t>
      </w:r>
      <w:proofErr w:type="gramEnd"/>
      <w:r w:rsidRPr="00522A7C">
        <w:t xml:space="preserve"> be regulated </w:t>
      </w:r>
      <w:r>
        <w:t>by s 117</w:t>
      </w:r>
      <w:r w:rsidR="002A7E55">
        <w:t>,</w:t>
      </w:r>
      <w:r>
        <w:t xml:space="preserve"> </w:t>
      </w:r>
      <w:r w:rsidRPr="00522A7C">
        <w:t xml:space="preserve">that </w:t>
      </w:r>
      <w:r>
        <w:t xml:space="preserve">ought to </w:t>
      </w:r>
      <w:r w:rsidRPr="00522A7C">
        <w:t>be spelled out</w:t>
      </w:r>
      <w:r>
        <w:t xml:space="preserve"> and subject to </w:t>
      </w:r>
      <w:r>
        <w:lastRenderedPageBreak/>
        <w:t>conditions</w:t>
      </w:r>
      <w:r w:rsidRPr="00522A7C">
        <w:t xml:space="preserve">. </w:t>
      </w:r>
      <w:r>
        <w:t>The mixed public and private nature of the marae needs to be specially considered and the creation of such rules subject to appropriate Māori input.</w:t>
      </w:r>
      <w:r>
        <w:rPr>
          <w:rStyle w:val="FootnoteReference"/>
          <w:color w:val="202124"/>
        </w:rPr>
        <w:footnoteReference w:id="115"/>
      </w:r>
      <w:r>
        <w:t xml:space="preserve"> </w:t>
      </w:r>
    </w:p>
    <w:p w14:paraId="7419A25E" w14:textId="77777777" w:rsidR="004D77DB" w:rsidRDefault="004D77DB" w:rsidP="00FB32D6">
      <w:pPr>
        <w:pStyle w:val="BodyTextnonum"/>
      </w:pPr>
      <w:r>
        <w:t xml:space="preserve">The </w:t>
      </w:r>
      <w:bookmarkStart w:id="157" w:name="_Hlk108519622"/>
      <w:r>
        <w:t>s 117 powers are written very broadly, with little by way of protection in terms of their purpose and without any requirement of a triggering event.</w:t>
      </w:r>
      <w:bookmarkEnd w:id="157"/>
      <w:r>
        <w:t xml:space="preserve"> On the other hand, and unlike the powers originally conferred under s 70 of the Health Act, once made, the regulations </w:t>
      </w:r>
      <w:r w:rsidRPr="00522A7C">
        <w:t xml:space="preserve">are subject to the </w:t>
      </w:r>
      <w:r>
        <w:t xml:space="preserve">normal </w:t>
      </w:r>
      <w:r w:rsidRPr="00522A7C">
        <w:t>political and legal oversight</w:t>
      </w:r>
      <w:r>
        <w:t>s</w:t>
      </w:r>
      <w:r w:rsidRPr="00522A7C">
        <w:t xml:space="preserve"> and controls on regulations such as requirements of publication, scrutiny by the Regulations Review Committee, the possibility of disallowance on the motion of the House of Representatives (Legislation Act 2019 </w:t>
      </w:r>
      <w:r>
        <w:t>Part 5 Subpart 2)</w:t>
      </w:r>
      <w:r w:rsidRPr="00522A7C">
        <w:t xml:space="preserve"> and challenge by way of judicial review in the courts.</w:t>
      </w:r>
    </w:p>
    <w:p w14:paraId="6CF7F28B" w14:textId="176536F2" w:rsidR="004D77DB" w:rsidRDefault="004D77DB" w:rsidP="00FB32D6">
      <w:pPr>
        <w:pStyle w:val="BodyTextnonum"/>
      </w:pPr>
      <w:r>
        <w:t>As is well</w:t>
      </w:r>
      <w:r w:rsidR="002A7E55">
        <w:t xml:space="preserve"> </w:t>
      </w:r>
      <w:r>
        <w:t>known, s</w:t>
      </w:r>
      <w:r w:rsidRPr="00522A7C">
        <w:t xml:space="preserve"> 117 was not </w:t>
      </w:r>
      <w:r>
        <w:t xml:space="preserve">used as </w:t>
      </w:r>
      <w:r w:rsidRPr="00522A7C">
        <w:t>the source of the powers to make general rules for the whole population in the early days of the latest pandemic</w:t>
      </w:r>
      <w:r>
        <w:t xml:space="preserve">. The rules were not made by the Governor-General in Council as required by s 117 but rather by the </w:t>
      </w:r>
      <w:r w:rsidRPr="00522A7C">
        <w:t>Director-General</w:t>
      </w:r>
      <w:r>
        <w:t xml:space="preserve"> of Health</w:t>
      </w:r>
      <w:r w:rsidRPr="00522A7C">
        <w:t xml:space="preserve">, who was a </w:t>
      </w:r>
      <w:r w:rsidR="00843000">
        <w:t>m</w:t>
      </w:r>
      <w:r w:rsidRPr="00522A7C">
        <w:t xml:space="preserve">edical </w:t>
      </w:r>
      <w:r w:rsidR="00843000">
        <w:t>o</w:t>
      </w:r>
      <w:r w:rsidRPr="00522A7C">
        <w:t xml:space="preserve">fficer of </w:t>
      </w:r>
      <w:r w:rsidR="00843000">
        <w:t>h</w:t>
      </w:r>
      <w:r w:rsidRPr="00522A7C">
        <w:t>ealth by virtue of being a qualified medical practitioner</w:t>
      </w:r>
      <w:r>
        <w:t xml:space="preserve">, and under powers conferred under s 70 of the Health Act. </w:t>
      </w:r>
      <w:bookmarkStart w:id="158" w:name="_Hlk108519442"/>
      <w:r w:rsidRPr="00522A7C">
        <w:t>While there are significant areas of overlap between the powers to make orders in s 70 and the powers to make regulations in s 117</w:t>
      </w:r>
      <w:r>
        <w:t xml:space="preserve"> (for example</w:t>
      </w:r>
      <w:r w:rsidR="002A7E55">
        <w:t>,</w:t>
      </w:r>
      <w:r>
        <w:t xml:space="preserve"> </w:t>
      </w:r>
      <w:r w:rsidRPr="00522A7C">
        <w:t>the powers to restrict public gatherings</w:t>
      </w:r>
      <w:r>
        <w:t xml:space="preserve"> and to isolate persons)</w:t>
      </w:r>
      <w:r w:rsidRPr="00522A7C">
        <w:t>, s 117 d</w:t>
      </w:r>
      <w:r>
        <w:t>oes</w:t>
      </w:r>
      <w:r w:rsidRPr="00522A7C">
        <w:t xml:space="preserve"> not go so far as to empower the making of rules requiring people to stay at home in their “bubbles”, limiting private gatherings or mandating the general closure of all but essential </w:t>
      </w:r>
      <w:r>
        <w:t>services</w:t>
      </w:r>
      <w:r w:rsidRPr="00522A7C">
        <w:t xml:space="preserve">. For these purposes, </w:t>
      </w:r>
      <w:r>
        <w:t xml:space="preserve">the Director-General </w:t>
      </w:r>
      <w:r w:rsidRPr="00522A7C">
        <w:t>relied on s 70(1)(f) and (m).</w:t>
      </w:r>
      <w:r w:rsidRPr="00522A7C">
        <w:rPr>
          <w:rStyle w:val="FootnoteReference"/>
          <w:color w:val="202124"/>
        </w:rPr>
        <w:footnoteReference w:id="116"/>
      </w:r>
      <w:r>
        <w:t xml:space="preserve"> It would be helpful to identify in the Health Act when ordinary regulation-making powers are contemplated and for which purposes rather than emergency orders or alternatively to align the two regimes as far as possible.</w:t>
      </w:r>
    </w:p>
    <w:bookmarkEnd w:id="158"/>
    <w:p w14:paraId="22277A0E" w14:textId="77777777" w:rsidR="004D77DB" w:rsidRPr="00E831B6" w:rsidRDefault="004D77DB" w:rsidP="007670A8">
      <w:pPr>
        <w:pStyle w:val="Heading4"/>
      </w:pPr>
      <w:r w:rsidRPr="00E831B6">
        <w:t>Status of orders under s 70</w:t>
      </w:r>
    </w:p>
    <w:p w14:paraId="5F823424" w14:textId="256331C5" w:rsidR="004D77DB" w:rsidRDefault="004D77DB" w:rsidP="00FB32D6">
      <w:pPr>
        <w:pStyle w:val="BodyTextnonum"/>
      </w:pPr>
      <w:r w:rsidRPr="00522A7C">
        <w:t xml:space="preserve">There are </w:t>
      </w:r>
      <w:r>
        <w:t>several</w:t>
      </w:r>
      <w:r w:rsidRPr="00522A7C">
        <w:t xml:space="preserve"> </w:t>
      </w:r>
      <w:r>
        <w:t xml:space="preserve">legal </w:t>
      </w:r>
      <w:r w:rsidRPr="00522A7C">
        <w:t xml:space="preserve">concerns </w:t>
      </w:r>
      <w:r>
        <w:t xml:space="preserve">relating to orders made under s 70. The version of s 70 in </w:t>
      </w:r>
      <w:r w:rsidRPr="00522A7C">
        <w:t>force during March 2020</w:t>
      </w:r>
      <w:r>
        <w:t>,</w:t>
      </w:r>
      <w:r w:rsidRPr="00522A7C">
        <w:t xml:space="preserve"> and </w:t>
      </w:r>
      <w:r>
        <w:t xml:space="preserve">as was subsequently </w:t>
      </w:r>
      <w:r w:rsidRPr="00522A7C">
        <w:t xml:space="preserve">interpreted by the High Court and Court of Appeal in </w:t>
      </w:r>
      <w:r w:rsidRPr="00522A7C">
        <w:rPr>
          <w:i/>
          <w:iCs/>
        </w:rPr>
        <w:t>Borrowdale v Director-General of Health</w:t>
      </w:r>
      <w:r>
        <w:t>,</w:t>
      </w:r>
      <w:r w:rsidRPr="00522A7C">
        <w:t xml:space="preserve"> </w:t>
      </w:r>
      <w:r>
        <w:t xml:space="preserve">was found to </w:t>
      </w:r>
      <w:r w:rsidRPr="00522A7C">
        <w:t xml:space="preserve">empower the </w:t>
      </w:r>
      <w:r>
        <w:t xml:space="preserve">Director-General to make </w:t>
      </w:r>
      <w:r w:rsidRPr="00522A7C">
        <w:t xml:space="preserve">orders both in relation to specific individuals and </w:t>
      </w:r>
      <w:r>
        <w:t xml:space="preserve">for </w:t>
      </w:r>
      <w:r w:rsidRPr="00522A7C">
        <w:t>the general population at large</w:t>
      </w:r>
      <w:r>
        <w:t xml:space="preserve"> (either nationally or locally</w:t>
      </w:r>
      <w:r w:rsidRPr="00B55273">
        <w:t>)</w:t>
      </w:r>
      <w:r w:rsidR="00812BC7">
        <w:t>.</w:t>
      </w:r>
      <w:bookmarkStart w:id="159" w:name="_Ref107517801"/>
      <w:r w:rsidRPr="00B55273">
        <w:rPr>
          <w:rStyle w:val="FootnoteReference"/>
          <w:color w:val="202124"/>
        </w:rPr>
        <w:footnoteReference w:id="117"/>
      </w:r>
      <w:bookmarkEnd w:id="159"/>
      <w:r w:rsidRPr="00B55273">
        <w:t xml:space="preserve"> </w:t>
      </w:r>
      <w:r w:rsidR="00812BC7">
        <w:t>Y</w:t>
      </w:r>
      <w:r w:rsidRPr="00522A7C">
        <w:t>et, with the exception of s 70(1)(m) (requiring public notifications relating to the closure of businesses)</w:t>
      </w:r>
      <w:r>
        <w:t>,</w:t>
      </w:r>
      <w:r w:rsidRPr="00522A7C">
        <w:t xml:space="preserve"> the section did not require </w:t>
      </w:r>
      <w:r>
        <w:t xml:space="preserve">the </w:t>
      </w:r>
      <w:r w:rsidRPr="00522A7C">
        <w:t xml:space="preserve">publication of </w:t>
      </w:r>
      <w:r>
        <w:t>such</w:t>
      </w:r>
      <w:r w:rsidRPr="00522A7C">
        <w:t xml:space="preserve"> orders. Neither did such orders have the status </w:t>
      </w:r>
      <w:r w:rsidRPr="00522A7C">
        <w:rPr>
          <w:i/>
          <w:iCs/>
        </w:rPr>
        <w:t>of secondary legislation for disallowance purposes</w:t>
      </w:r>
      <w:r w:rsidRPr="00522A7C">
        <w:t>.</w:t>
      </w:r>
      <w:r>
        <w:t xml:space="preserve"> </w:t>
      </w:r>
    </w:p>
    <w:p w14:paraId="1035FC73" w14:textId="5CE996F6" w:rsidR="004D77DB" w:rsidRDefault="004D77DB" w:rsidP="00FB32D6">
      <w:pPr>
        <w:pStyle w:val="BodyTextnonum"/>
      </w:pPr>
      <w:r w:rsidRPr="004015F3">
        <w:t>To some extent</w:t>
      </w:r>
      <w:r>
        <w:t>,</w:t>
      </w:r>
      <w:r w:rsidRPr="004015F3">
        <w:t xml:space="preserve"> this has now been remedied by the </w:t>
      </w:r>
      <w:proofErr w:type="spellStart"/>
      <w:r w:rsidRPr="004015F3">
        <w:t>new s</w:t>
      </w:r>
      <w:proofErr w:type="spellEnd"/>
      <w:r>
        <w:t xml:space="preserve"> </w:t>
      </w:r>
      <w:r w:rsidRPr="004015F3">
        <w:t>70(1C) of the Health Act (enacted on 28 October 2021)</w:t>
      </w:r>
      <w:r w:rsidR="00B55273">
        <w:t>,</w:t>
      </w:r>
      <w:r w:rsidRPr="004015F3">
        <w:t xml:space="preserve"> which confers the status of secondary legislation</w:t>
      </w:r>
      <w:r w:rsidRPr="004015F3">
        <w:rPr>
          <w:rStyle w:val="FootnoteReference"/>
          <w:color w:val="202124"/>
        </w:rPr>
        <w:footnoteReference w:id="118"/>
      </w:r>
      <w:r w:rsidRPr="004015F3">
        <w:t xml:space="preserve"> on orders made under s 70(1), unless the order only applies to </w:t>
      </w:r>
      <w:r w:rsidR="00B55273">
        <w:t>one</w:t>
      </w:r>
      <w:r w:rsidRPr="004015F3">
        <w:t xml:space="preserve"> or more named persons. The amendment allows the order to come into force when it is made, even if it is not yet published. As amended, the section </w:t>
      </w:r>
      <w:r>
        <w:t xml:space="preserve">requires the </w:t>
      </w:r>
      <w:r w:rsidRPr="004015F3">
        <w:t xml:space="preserve">publication </w:t>
      </w:r>
      <w:r>
        <w:t xml:space="preserve">of </w:t>
      </w:r>
      <w:r w:rsidRPr="004015F3">
        <w:t xml:space="preserve">all general orders, subjects </w:t>
      </w:r>
      <w:r w:rsidRPr="004015F3">
        <w:lastRenderedPageBreak/>
        <w:t xml:space="preserve">such orders to potential </w:t>
      </w:r>
      <w:r w:rsidR="00452339">
        <w:t>p</w:t>
      </w:r>
      <w:r w:rsidRPr="004015F3">
        <w:t xml:space="preserve">arliamentary scrutiny and involves Parliamentary Counsel in their drafting – all </w:t>
      </w:r>
      <w:r>
        <w:t xml:space="preserve">amendments </w:t>
      </w:r>
      <w:r w:rsidR="00B55273">
        <w:t xml:space="preserve">that </w:t>
      </w:r>
      <w:r w:rsidRPr="004015F3">
        <w:t xml:space="preserve">greatly </w:t>
      </w:r>
      <w:r>
        <w:t>improve the existing law</w:t>
      </w:r>
      <w:r w:rsidRPr="004015F3">
        <w:t>.</w:t>
      </w:r>
      <w:r>
        <w:t xml:space="preserve"> </w:t>
      </w:r>
    </w:p>
    <w:p w14:paraId="02CD7C89" w14:textId="77777777" w:rsidR="004D77DB" w:rsidRPr="00E831B6" w:rsidRDefault="004D77DB" w:rsidP="007670A8">
      <w:pPr>
        <w:pStyle w:val="Heading4"/>
      </w:pPr>
      <w:r w:rsidRPr="00E831B6">
        <w:t>Who should make orders?</w:t>
      </w:r>
    </w:p>
    <w:p w14:paraId="202F4560" w14:textId="3425FFBA" w:rsidR="004D77DB" w:rsidRPr="00522A7C" w:rsidRDefault="004D77DB" w:rsidP="00FB32D6">
      <w:pPr>
        <w:pStyle w:val="BodyTextnonum"/>
      </w:pPr>
      <w:r w:rsidRPr="00522A7C">
        <w:t>As presently written, once triggered</w:t>
      </w:r>
      <w:r>
        <w:t>,</w:t>
      </w:r>
      <w:r w:rsidRPr="00522A7C">
        <w:t xml:space="preserve"> s 70 confers powers on </w:t>
      </w:r>
      <w:r w:rsidR="00843000">
        <w:t>m</w:t>
      </w:r>
      <w:r w:rsidRPr="00522A7C">
        <w:t xml:space="preserve">edical </w:t>
      </w:r>
      <w:r w:rsidR="00843000">
        <w:t>o</w:t>
      </w:r>
      <w:r w:rsidRPr="00522A7C">
        <w:t xml:space="preserve">fficers of </w:t>
      </w:r>
      <w:r w:rsidR="00843000">
        <w:t>h</w:t>
      </w:r>
      <w:r w:rsidRPr="00522A7C">
        <w:t>ealth</w:t>
      </w:r>
      <w:r>
        <w:t xml:space="preserve"> to make orders. The reference to </w:t>
      </w:r>
      <w:r w:rsidR="00843000">
        <w:t>m</w:t>
      </w:r>
      <w:r>
        <w:t xml:space="preserve">edical </w:t>
      </w:r>
      <w:r w:rsidR="00843000">
        <w:t>o</w:t>
      </w:r>
      <w:r>
        <w:t xml:space="preserve">fficers of </w:t>
      </w:r>
      <w:r w:rsidR="00843000">
        <w:t>h</w:t>
      </w:r>
      <w:r>
        <w:t xml:space="preserve">ealth </w:t>
      </w:r>
      <w:r w:rsidRPr="00522A7C">
        <w:t>include</w:t>
      </w:r>
      <w:r>
        <w:t>s</w:t>
      </w:r>
      <w:r w:rsidRPr="00522A7C">
        <w:t xml:space="preserve"> the Director-General of Health </w:t>
      </w:r>
      <w:r>
        <w:t>when</w:t>
      </w:r>
      <w:r w:rsidRPr="00522A7C">
        <w:t xml:space="preserve"> he or she is also a medical practitioner. There is nothing in the Health Act to </w:t>
      </w:r>
      <w:r>
        <w:t xml:space="preserve">otherwise </w:t>
      </w:r>
      <w:r w:rsidRPr="00522A7C">
        <w:t xml:space="preserve">require the Director-General of Health to be an expert in public health or </w:t>
      </w:r>
      <w:r>
        <w:t xml:space="preserve">to be </w:t>
      </w:r>
      <w:r w:rsidRPr="00522A7C">
        <w:t>a qualified medical practitioner. Given the range of skills needed for the role of Director-General, it is not desirable to prescribe the qualifications of the Director-General in the legislation</w:t>
      </w:r>
      <w:r>
        <w:t xml:space="preserve">. The question remains of whether the Director-General of Health, a public servant, should be empowered to make such wide-ranging orders. </w:t>
      </w:r>
    </w:p>
    <w:p w14:paraId="241FF35D" w14:textId="72D07194" w:rsidR="004D77DB" w:rsidRDefault="004D77DB" w:rsidP="00FB32D6">
      <w:pPr>
        <w:pStyle w:val="BodyTextnonum"/>
      </w:pPr>
      <w:r w:rsidRPr="004015F3">
        <w:t xml:space="preserve">The COVID-19 Public Health Response Act </w:t>
      </w:r>
      <w:r>
        <w:t xml:space="preserve">again </w:t>
      </w:r>
      <w:r w:rsidRPr="004015F3">
        <w:t xml:space="preserve">improves on </w:t>
      </w:r>
      <w:r>
        <w:t>the current standing rules.</w:t>
      </w:r>
      <w:r w:rsidRPr="00581D64">
        <w:t xml:space="preserve"> </w:t>
      </w:r>
      <w:r w:rsidRPr="004015F3">
        <w:t>Consideration should be given to whether this general scheme</w:t>
      </w:r>
      <w:r>
        <w:t xml:space="preserve"> or something like it </w:t>
      </w:r>
      <w:r w:rsidRPr="004015F3">
        <w:t xml:space="preserve">should replace the current provisions in s 70 of the Health Act in terms of </w:t>
      </w:r>
      <w:r w:rsidRPr="00581D64">
        <w:rPr>
          <w:i/>
          <w:iCs/>
        </w:rPr>
        <w:t>who</w:t>
      </w:r>
      <w:r w:rsidRPr="004015F3">
        <w:t xml:space="preserve"> should decide which matters.</w:t>
      </w:r>
      <w:r>
        <w:t xml:space="preserve"> </w:t>
      </w:r>
      <w:r w:rsidRPr="004015F3">
        <w:t>Section 9</w:t>
      </w:r>
      <w:r>
        <w:t xml:space="preserve"> of the 2020 Act, for example, </w:t>
      </w:r>
      <w:r w:rsidRPr="004015F3">
        <w:t>confers the power to make orders on the Minister of Health, having regard to public health advice as well as other factors, and after consultation with named Ministers</w:t>
      </w:r>
      <w:r>
        <w:t>. The</w:t>
      </w:r>
      <w:r w:rsidRPr="004015F3">
        <w:t xml:space="preserve"> resulting orders </w:t>
      </w:r>
      <w:r>
        <w:t xml:space="preserve">are treated </w:t>
      </w:r>
      <w:r w:rsidRPr="004015F3">
        <w:t>as secondary legislation.</w:t>
      </w:r>
      <w:r w:rsidRPr="004015F3">
        <w:rPr>
          <w:rStyle w:val="FootnoteReference"/>
          <w:color w:val="202124"/>
        </w:rPr>
        <w:footnoteReference w:id="119"/>
      </w:r>
      <w:r w:rsidRPr="004015F3">
        <w:t xml:space="preserve"> </w:t>
      </w:r>
      <w:r>
        <w:t xml:space="preserve">The </w:t>
      </w:r>
      <w:r w:rsidR="00244E5A" w:rsidRPr="004015F3">
        <w:t xml:space="preserve">COVID-19 Public Health Response </w:t>
      </w:r>
      <w:r>
        <w:t xml:space="preserve">Act </w:t>
      </w:r>
      <w:r w:rsidRPr="004015F3">
        <w:t>also confers powers on the Director-General (s 10) to make more</w:t>
      </w:r>
      <w:r w:rsidR="00244E5A">
        <w:t>-</w:t>
      </w:r>
      <w:r w:rsidRPr="004015F3">
        <w:t>local geographically bounded orders (after considering the rights implications under the N</w:t>
      </w:r>
      <w:r w:rsidR="002E7709">
        <w:t xml:space="preserve">ew </w:t>
      </w:r>
      <w:r w:rsidRPr="004015F3">
        <w:t>Z</w:t>
      </w:r>
      <w:r w:rsidR="002E7709">
        <w:t>ealand</w:t>
      </w:r>
      <w:r w:rsidRPr="004015F3">
        <w:t xml:space="preserve"> Bill of Rights Act</w:t>
      </w:r>
      <w:r w:rsidR="002E7709">
        <w:t xml:space="preserve"> 1990</w:t>
      </w:r>
      <w:r w:rsidRPr="004015F3">
        <w:t>)</w:t>
      </w:r>
      <w:r w:rsidR="00244E5A">
        <w:t>,</w:t>
      </w:r>
      <w:r w:rsidRPr="004015F3">
        <w:t xml:space="preserve"> which also have the status of secondary legislation.</w:t>
      </w:r>
      <w:r>
        <w:t xml:space="preserve"> </w:t>
      </w:r>
    </w:p>
    <w:p w14:paraId="2DE4FF4A" w14:textId="45F718A6" w:rsidR="004D77DB" w:rsidRDefault="004D77DB" w:rsidP="00FB32D6">
      <w:pPr>
        <w:pStyle w:val="BodyTextnonum"/>
      </w:pPr>
      <w:r>
        <w:t xml:space="preserve">This could be further improved. The governing principle should be that the person vested with the power to make orders should correspond with the person or body </w:t>
      </w:r>
      <w:r w:rsidR="00244E5A">
        <w:t xml:space="preserve">that </w:t>
      </w:r>
      <w:r>
        <w:t xml:space="preserve">ultimately decides and holds political responsibility. </w:t>
      </w:r>
      <w:bookmarkStart w:id="160" w:name="_Hlk108519891"/>
      <w:r>
        <w:t xml:space="preserve">National orders should be made by the Prime Minister or Governor-General in Council </w:t>
      </w:r>
      <w:r w:rsidR="00C9304F">
        <w:t xml:space="preserve">(if s 117 powers are used) </w:t>
      </w:r>
      <w:r>
        <w:t>having regard to public health advice (indicat</w:t>
      </w:r>
      <w:r w:rsidR="00244E5A">
        <w:t>ing</w:t>
      </w:r>
      <w:r>
        <w:t xml:space="preserve"> that a range of other advice will be relevant but without specifying exactly which Ministers </w:t>
      </w:r>
      <w:proofErr w:type="gramStart"/>
      <w:r>
        <w:t>have to</w:t>
      </w:r>
      <w:proofErr w:type="gramEnd"/>
      <w:r>
        <w:t xml:space="preserve"> be involved</w:t>
      </w:r>
      <w:r w:rsidR="00244E5A">
        <w:t>,</w:t>
      </w:r>
      <w:r>
        <w:t xml:space="preserve"> which is likely to vary depending on the circumstances). Longer</w:t>
      </w:r>
      <w:r w:rsidR="00244E5A">
        <w:t>-</w:t>
      </w:r>
      <w:r>
        <w:t xml:space="preserve">term geographically bounded orders (which could include lockdowns of major cities) should not be conferred on a public servant but rather should be made by the politically responsible Minister of Health on public health advice. </w:t>
      </w:r>
      <w:bookmarkEnd w:id="160"/>
      <w:r>
        <w:t xml:space="preserve">To be clear, orders in relation to specific persons, places or things should continue to be made by </w:t>
      </w:r>
      <w:r w:rsidR="00843000">
        <w:t>m</w:t>
      </w:r>
      <w:r>
        <w:t xml:space="preserve">edical </w:t>
      </w:r>
      <w:r w:rsidR="00843000">
        <w:t>o</w:t>
      </w:r>
      <w:r>
        <w:t xml:space="preserve">fficers of </w:t>
      </w:r>
      <w:r w:rsidR="00843000">
        <w:t>h</w:t>
      </w:r>
      <w:r>
        <w:t xml:space="preserve">ealth or the Director-General. Consideration should be given to whether </w:t>
      </w:r>
      <w:r w:rsidR="00843000">
        <w:t>m</w:t>
      </w:r>
      <w:r>
        <w:t xml:space="preserve">edical </w:t>
      </w:r>
      <w:r w:rsidR="00843000">
        <w:t>o</w:t>
      </w:r>
      <w:r>
        <w:t xml:space="preserve">fficers of </w:t>
      </w:r>
      <w:r w:rsidR="00843000">
        <w:t>h</w:t>
      </w:r>
      <w:r>
        <w:t>ealth or the Director-General could make more</w:t>
      </w:r>
      <w:r w:rsidR="00244E5A">
        <w:t>-</w:t>
      </w:r>
      <w:r>
        <w:t xml:space="preserve">general orders for populations or parts of populations for very limited periods of time. </w:t>
      </w:r>
    </w:p>
    <w:p w14:paraId="59E8F91F" w14:textId="0BC9B7CF" w:rsidR="004D77DB" w:rsidRDefault="004D77DB" w:rsidP="00FB32D6">
      <w:pPr>
        <w:pStyle w:val="BodyTextnonum"/>
      </w:pPr>
      <w:r w:rsidRPr="004015F3">
        <w:t>Given the multifarious factors involved in deciding which businesses should close (including limiting</w:t>
      </w:r>
      <w:r>
        <w:t xml:space="preserve"> </w:t>
      </w:r>
      <w:r w:rsidRPr="004015F3">
        <w:t>disruptions to the food supply chain, ensuring fairness between competitors and so on)</w:t>
      </w:r>
      <w:r>
        <w:t>,</w:t>
      </w:r>
      <w:r w:rsidRPr="004015F3">
        <w:t xml:space="preserve"> it should not be the Director-General of Health or Minister of Health who makes </w:t>
      </w:r>
      <w:r w:rsidRPr="004015F3">
        <w:rPr>
          <w:i/>
          <w:iCs/>
        </w:rPr>
        <w:t>general</w:t>
      </w:r>
      <w:r w:rsidRPr="004015F3">
        <w:t xml:space="preserve"> rules in relation to business closures, even if such powers were found to have been lawfully delegated to the Ministry of Business</w:t>
      </w:r>
      <w:r w:rsidR="00AF220D">
        <w:t>,</w:t>
      </w:r>
      <w:r w:rsidRPr="004015F3">
        <w:t xml:space="preserve"> Innovation and </w:t>
      </w:r>
      <w:r w:rsidR="00AF220D">
        <w:t>Employment</w:t>
      </w:r>
      <w:r w:rsidR="00AF220D" w:rsidRPr="004015F3">
        <w:t xml:space="preserve"> </w:t>
      </w:r>
      <w:r>
        <w:t xml:space="preserve">by the Court of Appeal </w:t>
      </w:r>
      <w:r w:rsidRPr="004015F3">
        <w:t xml:space="preserve">in </w:t>
      </w:r>
      <w:r w:rsidRPr="004015F3">
        <w:rPr>
          <w:i/>
          <w:iCs/>
        </w:rPr>
        <w:t>Borrowdale</w:t>
      </w:r>
      <w:r w:rsidRPr="004015F3">
        <w:t>.</w:t>
      </w:r>
      <w:r w:rsidRPr="004015F3">
        <w:rPr>
          <w:rStyle w:val="FootnoteReference"/>
          <w:color w:val="202124"/>
        </w:rPr>
        <w:footnoteReference w:id="120"/>
      </w:r>
      <w:r w:rsidRPr="004015F3">
        <w:t xml:space="preserve"> </w:t>
      </w:r>
      <w:bookmarkStart w:id="161" w:name="_Hlk108519962"/>
      <w:r w:rsidRPr="004015F3">
        <w:t xml:space="preserve">Powers to regulate essential services and supply chains should be conferred on the Minister responsible for </w:t>
      </w:r>
      <w:r w:rsidR="00AF220D">
        <w:t>c</w:t>
      </w:r>
      <w:r w:rsidRPr="004015F3">
        <w:t xml:space="preserve">ommerce </w:t>
      </w:r>
      <w:r w:rsidRPr="004015F3">
        <w:lastRenderedPageBreak/>
        <w:t>having regard to public health</w:t>
      </w:r>
      <w:r>
        <w:t xml:space="preserve"> advice</w:t>
      </w:r>
      <w:r w:rsidRPr="004015F3">
        <w:t>.</w:t>
      </w:r>
      <w:r>
        <w:t xml:space="preserve"> </w:t>
      </w:r>
      <w:r w:rsidRPr="004015F3">
        <w:t>Wherever possible, essential services should be identified by general rules</w:t>
      </w:r>
      <w:r w:rsidR="00AF220D">
        <w:t>,</w:t>
      </w:r>
      <w:r>
        <w:t xml:space="preserve"> but once again</w:t>
      </w:r>
      <w:r w:rsidR="00AF220D">
        <w:t>,</w:t>
      </w:r>
      <w:r>
        <w:t xml:space="preserve"> that will depend on what is known at the time about how a disease is transmitted. </w:t>
      </w:r>
    </w:p>
    <w:bookmarkEnd w:id="161"/>
    <w:p w14:paraId="680C1ADB" w14:textId="571E44A8" w:rsidR="004D77DB" w:rsidRDefault="004D77DB" w:rsidP="00FB32D6">
      <w:pPr>
        <w:pStyle w:val="BodyTextnonum"/>
      </w:pPr>
      <w:r>
        <w:t xml:space="preserve">The Finance and Expenditure Committee Inquiry into the operation of the COVID-19 Public Health Response Act 2020 suggested that the Minister </w:t>
      </w:r>
      <w:r w:rsidR="00AF220D">
        <w:t xml:space="preserve">for </w:t>
      </w:r>
      <w:r>
        <w:t>Māori Development should be included among those consulted before certain orders were made. As already stated,</w:t>
      </w:r>
      <w:r w:rsidR="009E3B04">
        <w:t xml:space="preserve"> </w:t>
      </w:r>
      <w:r>
        <w:t>it is not significantly controlling to set out in statute which Ministers must be consulted</w:t>
      </w:r>
      <w:r w:rsidRPr="001928C1">
        <w:t xml:space="preserve"> </w:t>
      </w:r>
      <w:r>
        <w:t>because of s 7 of the Constitution Act. Orders with national implication should as much as possible be made collectively. The process of statutory amendment to the provisions of the Health Act will be an important opportunity to engage with Māori about the best way for Māori to have appropriate input in decision</w:t>
      </w:r>
      <w:r w:rsidR="005D76D2">
        <w:t xml:space="preserve"> </w:t>
      </w:r>
      <w:r>
        <w:t>making when time is of the essence. The new Māori Health Authority</w:t>
      </w:r>
      <w:r w:rsidR="00304AED">
        <w:t>,</w:t>
      </w:r>
      <w:r>
        <w:t xml:space="preserve"> </w:t>
      </w:r>
      <w:proofErr w:type="spellStart"/>
      <w:r w:rsidR="00CE4A00" w:rsidRPr="00CE4A00">
        <w:t>Te</w:t>
      </w:r>
      <w:proofErr w:type="spellEnd"/>
      <w:r w:rsidR="00CE4A00" w:rsidRPr="00CE4A00">
        <w:t xml:space="preserve"> Aka </w:t>
      </w:r>
      <w:proofErr w:type="spellStart"/>
      <w:r w:rsidR="00CE4A00" w:rsidRPr="00CE4A00">
        <w:t>Whai</w:t>
      </w:r>
      <w:proofErr w:type="spellEnd"/>
      <w:r w:rsidR="00CE4A00" w:rsidRPr="00CE4A00">
        <w:t xml:space="preserve"> Ora</w:t>
      </w:r>
      <w:r w:rsidR="00CE4A00" w:rsidDel="00CE4A00">
        <w:t xml:space="preserve"> </w:t>
      </w:r>
      <w:r>
        <w:t xml:space="preserve">is likely to have an important role in establishing </w:t>
      </w:r>
      <w:r w:rsidRPr="005644CF">
        <w:rPr>
          <w:i/>
          <w:iCs/>
        </w:rPr>
        <w:t xml:space="preserve">regular </w:t>
      </w:r>
      <w:r>
        <w:t>avenues for Māori health advice, including in emergencies.</w:t>
      </w:r>
    </w:p>
    <w:p w14:paraId="4D39F083" w14:textId="33B008BB" w:rsidR="004D77DB" w:rsidRDefault="004D77DB" w:rsidP="00FB32D6">
      <w:pPr>
        <w:pStyle w:val="BodyTextnonum"/>
      </w:pPr>
      <w:r>
        <w:t xml:space="preserve">There are other ways to ensure proper consultation and wider input into orders during a pandemic emergency </w:t>
      </w:r>
      <w:r w:rsidR="001C391F">
        <w:t xml:space="preserve">that </w:t>
      </w:r>
      <w:r>
        <w:t xml:space="preserve">should also be considered. The recent Victorian </w:t>
      </w:r>
      <w:bookmarkStart w:id="162" w:name="_Hlk106885085"/>
      <w:r>
        <w:t xml:space="preserve">Public Health and Wellbeing </w:t>
      </w:r>
      <w:r w:rsidR="00C13DD5">
        <w:t xml:space="preserve">Amendment </w:t>
      </w:r>
      <w:r>
        <w:t xml:space="preserve">(Pandemic Management) Act 2021 </w:t>
      </w:r>
      <w:bookmarkEnd w:id="162"/>
      <w:r>
        <w:t xml:space="preserve">is suggestive of some other possible innovations. It does not prescribe exactly who the Minister must consult when making </w:t>
      </w:r>
      <w:proofErr w:type="gramStart"/>
      <w:r>
        <w:t>orders</w:t>
      </w:r>
      <w:proofErr w:type="gramEnd"/>
      <w:r w:rsidR="001C391F">
        <w:t xml:space="preserve"> b</w:t>
      </w:r>
      <w:r>
        <w:t xml:space="preserve">ut it does provide in s 165CE for a </w:t>
      </w:r>
      <w:r w:rsidRPr="00652FC3">
        <w:rPr>
          <w:i/>
          <w:iCs/>
        </w:rPr>
        <w:t>statutory</w:t>
      </w:r>
      <w:r>
        <w:t xml:space="preserve"> standing Independent Pandemic Management Advisory Committee </w:t>
      </w:r>
      <w:r w:rsidR="001C391F">
        <w:t xml:space="preserve">that </w:t>
      </w:r>
      <w:r>
        <w:t>brings together a range of expertise including expertise in:</w:t>
      </w:r>
    </w:p>
    <w:p w14:paraId="3F6ABFCE" w14:textId="77777777" w:rsidR="007670A8" w:rsidRDefault="004D77DB">
      <w:pPr>
        <w:pStyle w:val="BodyTextalphalist"/>
      </w:pPr>
      <w:r>
        <w:t xml:space="preserve">public </w:t>
      </w:r>
      <w:proofErr w:type="gramStart"/>
      <w:r>
        <w:t>health;</w:t>
      </w:r>
      <w:proofErr w:type="gramEnd"/>
      <w:r>
        <w:t xml:space="preserve"> </w:t>
      </w:r>
    </w:p>
    <w:p w14:paraId="6FFA7CFC" w14:textId="77777777" w:rsidR="007670A8" w:rsidRDefault="004D77DB">
      <w:pPr>
        <w:pStyle w:val="BodyTextalphalist"/>
      </w:pPr>
      <w:r>
        <w:t xml:space="preserve">infectious </w:t>
      </w:r>
      <w:proofErr w:type="gramStart"/>
      <w:r>
        <w:t>diseases;</w:t>
      </w:r>
      <w:proofErr w:type="gramEnd"/>
      <w:r>
        <w:t xml:space="preserve"> </w:t>
      </w:r>
    </w:p>
    <w:p w14:paraId="5299D47F" w14:textId="77777777" w:rsidR="007670A8" w:rsidRDefault="004D77DB">
      <w:pPr>
        <w:pStyle w:val="BodyTextalphalist"/>
      </w:pPr>
      <w:r>
        <w:t xml:space="preserve">primary </w:t>
      </w:r>
      <w:proofErr w:type="gramStart"/>
      <w:r>
        <w:t>care;</w:t>
      </w:r>
      <w:proofErr w:type="gramEnd"/>
      <w:r>
        <w:t xml:space="preserve"> </w:t>
      </w:r>
    </w:p>
    <w:p w14:paraId="47E29E7D" w14:textId="77777777" w:rsidR="007670A8" w:rsidRDefault="004D77DB">
      <w:pPr>
        <w:pStyle w:val="BodyTextalphalist"/>
      </w:pPr>
      <w:r>
        <w:t xml:space="preserve">emergency </w:t>
      </w:r>
      <w:proofErr w:type="gramStart"/>
      <w:r>
        <w:t>care;</w:t>
      </w:r>
      <w:proofErr w:type="gramEnd"/>
      <w:r>
        <w:t xml:space="preserve"> </w:t>
      </w:r>
    </w:p>
    <w:p w14:paraId="2E7E031F" w14:textId="77777777" w:rsidR="007670A8" w:rsidRDefault="004D77DB">
      <w:pPr>
        <w:pStyle w:val="BodyTextalphalist"/>
      </w:pPr>
      <w:r>
        <w:t xml:space="preserve">critical </w:t>
      </w:r>
      <w:proofErr w:type="gramStart"/>
      <w:r>
        <w:t>care;</w:t>
      </w:r>
      <w:proofErr w:type="gramEnd"/>
      <w:r>
        <w:t xml:space="preserve"> </w:t>
      </w:r>
    </w:p>
    <w:p w14:paraId="05564070" w14:textId="77777777" w:rsidR="007670A8" w:rsidRDefault="004D77DB">
      <w:pPr>
        <w:pStyle w:val="BodyTextalphalist"/>
      </w:pPr>
      <w:proofErr w:type="gramStart"/>
      <w:r>
        <w:t>law;</w:t>
      </w:r>
      <w:proofErr w:type="gramEnd"/>
      <w:r>
        <w:t xml:space="preserve"> </w:t>
      </w:r>
    </w:p>
    <w:p w14:paraId="264FC824" w14:textId="77777777" w:rsidR="007670A8" w:rsidRDefault="004D77DB">
      <w:pPr>
        <w:pStyle w:val="BodyTextalphalist"/>
      </w:pPr>
      <w:r>
        <w:t xml:space="preserve">human </w:t>
      </w:r>
      <w:proofErr w:type="gramStart"/>
      <w:r>
        <w:t>rights;</w:t>
      </w:r>
      <w:proofErr w:type="gramEnd"/>
      <w:r>
        <w:t xml:space="preserve"> </w:t>
      </w:r>
    </w:p>
    <w:p w14:paraId="1C820B17" w14:textId="77777777" w:rsidR="00010453" w:rsidRDefault="004D77DB">
      <w:pPr>
        <w:pStyle w:val="BodyTextalphalist"/>
      </w:pPr>
      <w:r>
        <w:t xml:space="preserve">the interests and needs of traditional owners and Aboriginal Victorians; and </w:t>
      </w:r>
    </w:p>
    <w:p w14:paraId="436E8EE3" w14:textId="7452833F" w:rsidR="004D77DB" w:rsidRDefault="004D77DB">
      <w:pPr>
        <w:pStyle w:val="BodyTextalphalist"/>
      </w:pPr>
      <w:r>
        <w:t>the interests and needs of vulnerable communities.</w:t>
      </w:r>
    </w:p>
    <w:p w14:paraId="6BA7045F" w14:textId="08F499E1" w:rsidR="004D77DB" w:rsidRPr="00A95193" w:rsidRDefault="004D77DB" w:rsidP="00FB32D6">
      <w:pPr>
        <w:pStyle w:val="BodyTextnonum"/>
      </w:pPr>
      <w:bookmarkStart w:id="163" w:name="_Hlk106885014"/>
      <w:r w:rsidRPr="00A95193">
        <w:t>The Victorian legislation also requires the government to publish a justification of why the order was necessary, its effect on protected rights (in New Zealand rights protected under the N</w:t>
      </w:r>
      <w:r w:rsidR="002E7709">
        <w:t xml:space="preserve">ew </w:t>
      </w:r>
      <w:r w:rsidRPr="00A95193">
        <w:t>Z</w:t>
      </w:r>
      <w:r w:rsidR="002E7709">
        <w:t>ealand</w:t>
      </w:r>
      <w:r w:rsidRPr="00A95193">
        <w:t xml:space="preserve"> Bill of Rights Act) and to disclose the advice on which the Minister relied within 7 days of the making of the order. In the </w:t>
      </w:r>
      <w:r w:rsidR="00686C9A">
        <w:t>Aotearoa</w:t>
      </w:r>
      <w:r w:rsidR="00686C9A" w:rsidRPr="00A95193">
        <w:t xml:space="preserve"> </w:t>
      </w:r>
      <w:r w:rsidRPr="00A95193">
        <w:t>New Zealand context</w:t>
      </w:r>
      <w:r>
        <w:t>,</w:t>
      </w:r>
      <w:r w:rsidRPr="00A95193">
        <w:t xml:space="preserve"> such a measure could be adapted to ensure iwi input and that obligations under </w:t>
      </w:r>
      <w:proofErr w:type="spellStart"/>
      <w:r w:rsidR="00FC060D">
        <w:t>t</w:t>
      </w:r>
      <w:r w:rsidRPr="00A95193">
        <w:t>e</w:t>
      </w:r>
      <w:proofErr w:type="spellEnd"/>
      <w:r w:rsidRPr="00A95193">
        <w:t xml:space="preserve"> </w:t>
      </w:r>
      <w:proofErr w:type="spellStart"/>
      <w:r w:rsidRPr="00A95193">
        <w:t>Tiriti</w:t>
      </w:r>
      <w:proofErr w:type="spellEnd"/>
      <w:r w:rsidRPr="00A95193">
        <w:t xml:space="preserve"> are also ascertained and complied with. </w:t>
      </w:r>
      <w:bookmarkEnd w:id="163"/>
    </w:p>
    <w:p w14:paraId="015F8E67" w14:textId="77777777" w:rsidR="004D77DB" w:rsidRPr="00A95193" w:rsidRDefault="004D77DB" w:rsidP="00FB32D6">
      <w:pPr>
        <w:pStyle w:val="BodyTextnonum"/>
      </w:pPr>
      <w:proofErr w:type="gramStart"/>
      <w:r w:rsidRPr="00A95193">
        <w:t>All of</w:t>
      </w:r>
      <w:proofErr w:type="gramEnd"/>
      <w:r w:rsidRPr="00A95193">
        <w:t xml:space="preserve"> the orders</w:t>
      </w:r>
      <w:r>
        <w:t>,</w:t>
      </w:r>
      <w:r w:rsidRPr="00A95193">
        <w:t xml:space="preserve"> which are in the nature of general rules (rather than relating to specific persons)</w:t>
      </w:r>
      <w:r>
        <w:t>,</w:t>
      </w:r>
      <w:r w:rsidRPr="00A95193">
        <w:t xml:space="preserve"> should have the status of secondary legislation and should be subject to the regular supervision of the Regulations Review Committee of the House of Representatives and regulatory disallowance procedures. </w:t>
      </w:r>
    </w:p>
    <w:p w14:paraId="30FFD582" w14:textId="77777777" w:rsidR="004D77DB" w:rsidRPr="00E831B6" w:rsidRDefault="004D77DB" w:rsidP="00010453">
      <w:pPr>
        <w:pStyle w:val="Heading4"/>
      </w:pPr>
      <w:r w:rsidRPr="00E831B6">
        <w:t>Are the powers in s 70 properly framed?</w:t>
      </w:r>
    </w:p>
    <w:p w14:paraId="61AE9FA9" w14:textId="6D2D3A4D" w:rsidR="004D77DB" w:rsidRDefault="004D77DB" w:rsidP="00FB32D6">
      <w:pPr>
        <w:pStyle w:val="BodyTextnonum"/>
      </w:pPr>
      <w:r w:rsidRPr="008331DD">
        <w:t xml:space="preserve">Pandemics </w:t>
      </w:r>
      <w:r>
        <w:t xml:space="preserve">are likely to </w:t>
      </w:r>
      <w:r w:rsidRPr="008331DD">
        <w:t xml:space="preserve">vary enormously in terms of how infectious a disease is, how potentially fatal, how it is transmitted, whether and for how long infected individuals </w:t>
      </w:r>
      <w:r w:rsidRPr="008331DD">
        <w:lastRenderedPageBreak/>
        <w:t>remain asymptomatic and which populations are likely to be most at risk. Current epidemiological predictions suggest that respiratory diseases are likely to continue to be a threat, but we should not forget other diseases borne by, and illnesses caused by, water, food, animals, insects, tissue and blood</w:t>
      </w:r>
      <w:r>
        <w:t xml:space="preserve"> or radiation sickness</w:t>
      </w:r>
      <w:r w:rsidRPr="008331DD">
        <w:t xml:space="preserve">. </w:t>
      </w:r>
      <w:r>
        <w:t xml:space="preserve">Law reform efforts should begin by considering the different kinds of health hazards and the tools required to address them. </w:t>
      </w:r>
    </w:p>
    <w:p w14:paraId="63DD5FE9" w14:textId="780AF078" w:rsidR="004D77DB" w:rsidRPr="008331DD" w:rsidRDefault="004D77DB" w:rsidP="00FB32D6">
      <w:pPr>
        <w:pStyle w:val="BodyTextnonum"/>
      </w:pPr>
      <w:r w:rsidRPr="008331DD">
        <w:t xml:space="preserve">The usual approach to interpreting powers </w:t>
      </w:r>
      <w:r w:rsidR="003E62C4">
        <w:t>that</w:t>
      </w:r>
      <w:r w:rsidR="003E62C4" w:rsidRPr="008331DD">
        <w:t xml:space="preserve"> </w:t>
      </w:r>
      <w:r w:rsidRPr="008331DD">
        <w:t xml:space="preserve">potentially limit fundamental rights, </w:t>
      </w:r>
      <w:proofErr w:type="gramStart"/>
      <w:r w:rsidRPr="008331DD">
        <w:t>principles</w:t>
      </w:r>
      <w:proofErr w:type="gramEnd"/>
      <w:r w:rsidRPr="008331DD">
        <w:t xml:space="preserve"> or other constitutional expectations such as obligations under </w:t>
      </w:r>
      <w:proofErr w:type="spellStart"/>
      <w:r w:rsidR="007E4FF8">
        <w:t>t</w:t>
      </w:r>
      <w:r w:rsidRPr="008331DD">
        <w:t>e</w:t>
      </w:r>
      <w:proofErr w:type="spellEnd"/>
      <w:r w:rsidRPr="008331DD">
        <w:t xml:space="preserve"> </w:t>
      </w:r>
      <w:proofErr w:type="spellStart"/>
      <w:r w:rsidRPr="008331DD">
        <w:t>Tiriti</w:t>
      </w:r>
      <w:proofErr w:type="spellEnd"/>
      <w:r w:rsidRPr="008331DD">
        <w:t xml:space="preserve"> o Waitangi is to require that they should be conferred as specifically as possible. Such expectations do not fit easily with emergency powers to deal with pandemic emergencies</w:t>
      </w:r>
      <w:r>
        <w:t>,</w:t>
      </w:r>
      <w:r w:rsidRPr="008331DD">
        <w:t xml:space="preserve"> which need to be broadly framed. The way in which an emergency statute describes the purpose, principles to be addressed and necessary justification for the use of such powers can provide a check on the exercise of broad powers at the point at which th</w:t>
      </w:r>
      <w:r>
        <w:t>ey</w:t>
      </w:r>
      <w:r w:rsidRPr="008331DD">
        <w:t xml:space="preserve"> are implemented. </w:t>
      </w:r>
    </w:p>
    <w:p w14:paraId="4FFC5540" w14:textId="72CAF755" w:rsidR="004D77DB" w:rsidRPr="008331DD" w:rsidRDefault="004D77DB" w:rsidP="00FB32D6">
      <w:pPr>
        <w:pStyle w:val="BodyTextnonum"/>
      </w:pPr>
      <w:r w:rsidRPr="008331DD">
        <w:t xml:space="preserve">Once again, </w:t>
      </w:r>
      <w:bookmarkStart w:id="164" w:name="_Hlk108520182"/>
      <w:r w:rsidRPr="008331DD">
        <w:t xml:space="preserve">the COVID-19 Public Health Response Act is an improvement in relation to how the powers are </w:t>
      </w:r>
      <w:proofErr w:type="gramStart"/>
      <w:r w:rsidRPr="008331DD">
        <w:t>actually stated</w:t>
      </w:r>
      <w:proofErr w:type="gramEnd"/>
      <w:r w:rsidRPr="008331DD">
        <w:t xml:space="preserve"> and the purpose</w:t>
      </w:r>
      <w:r>
        <w:t>s for which health orders can be made</w:t>
      </w:r>
      <w:r w:rsidRPr="008331DD">
        <w:t xml:space="preserve">. However, some </w:t>
      </w:r>
      <w:proofErr w:type="gramStart"/>
      <w:r w:rsidRPr="008331DD">
        <w:t>particular matters</w:t>
      </w:r>
      <w:proofErr w:type="gramEnd"/>
      <w:r w:rsidRPr="008331DD">
        <w:t xml:space="preserve"> identified by the Finance and Expenditure Committee Inquiry into the operation of the COVID-19 Public Health Response Act 2020 need further consideration. These include the incorporation of </w:t>
      </w:r>
      <w:proofErr w:type="spellStart"/>
      <w:r w:rsidR="007E4FF8">
        <w:t>t</w:t>
      </w:r>
      <w:r w:rsidRPr="008331DD">
        <w:t>e</w:t>
      </w:r>
      <w:proofErr w:type="spellEnd"/>
      <w:r w:rsidRPr="008331DD">
        <w:t xml:space="preserve"> </w:t>
      </w:r>
      <w:proofErr w:type="spellStart"/>
      <w:r w:rsidRPr="008331DD">
        <w:t>Tiriti</w:t>
      </w:r>
      <w:proofErr w:type="spellEnd"/>
      <w:r w:rsidRPr="008331DD">
        <w:t xml:space="preserve"> o Waitangi and principles of tikanga </w:t>
      </w:r>
      <w:r>
        <w:t>Māori</w:t>
      </w:r>
      <w:r w:rsidR="003E62C4">
        <w:t>,</w:t>
      </w:r>
      <w:r w:rsidRPr="008331DD">
        <w:t xml:space="preserve"> ensuring that contact tracing rules comply with privacy principles and the authorisation of other officials to enforce orders made under the Health Act. </w:t>
      </w:r>
      <w:r>
        <w:t>Additional issues have been publicly raised such as the potential effect of pandemic regulation</w:t>
      </w:r>
      <w:r w:rsidRPr="00C6598A">
        <w:t xml:space="preserve"> </w:t>
      </w:r>
      <w:r>
        <w:t xml:space="preserve">on religious freedom. </w:t>
      </w:r>
      <w:bookmarkEnd w:id="164"/>
    </w:p>
    <w:p w14:paraId="49DA2E28" w14:textId="13F47AA5" w:rsidR="004D77DB" w:rsidRDefault="004D77DB" w:rsidP="00FB32D6">
      <w:pPr>
        <w:pStyle w:val="BodyTextnonum"/>
      </w:pPr>
      <w:r w:rsidRPr="008331DD">
        <w:t xml:space="preserve">A general </w:t>
      </w:r>
      <w:proofErr w:type="spellStart"/>
      <w:r w:rsidRPr="008331DD">
        <w:t>Tiriti</w:t>
      </w:r>
      <w:proofErr w:type="spellEnd"/>
      <w:r w:rsidRPr="008331DD">
        <w:t xml:space="preserve"> clause alone is unlikely to provide much protection for </w:t>
      </w:r>
      <w:proofErr w:type="gramStart"/>
      <w:r>
        <w:t>Māori</w:t>
      </w:r>
      <w:r w:rsidRPr="008331DD">
        <w:t>, but</w:t>
      </w:r>
      <w:proofErr w:type="gramEnd"/>
      <w:r w:rsidRPr="008331DD">
        <w:t xml:space="preserve"> requiring an order to be justified in relation to </w:t>
      </w:r>
      <w:proofErr w:type="spellStart"/>
      <w:r w:rsidR="00E14BC1">
        <w:t>t</w:t>
      </w:r>
      <w:r w:rsidRPr="008331DD">
        <w:t>e</w:t>
      </w:r>
      <w:proofErr w:type="spellEnd"/>
      <w:r w:rsidRPr="008331DD">
        <w:t xml:space="preserve"> </w:t>
      </w:r>
      <w:proofErr w:type="spellStart"/>
      <w:r w:rsidRPr="008331DD">
        <w:t>Tiriti</w:t>
      </w:r>
      <w:proofErr w:type="spellEnd"/>
      <w:r w:rsidRPr="008331DD">
        <w:t xml:space="preserve"> 7 days after it is made (discussed above) may certainly help to focus people’s minds. </w:t>
      </w:r>
      <w:r>
        <w:t xml:space="preserve">Pre-planning will also be key. </w:t>
      </w:r>
      <w:r w:rsidRPr="008331DD">
        <w:t xml:space="preserve">There needs to be further consideration of rules about the regulation of gatherings at marae (discussed above). Privacy principles in relation to contact tracing need to be further considered with the assistance of the Privacy Commissioner (see discussion in </w:t>
      </w:r>
      <w:r w:rsidR="003219BE">
        <w:t>P</w:t>
      </w:r>
      <w:r w:rsidRPr="008331DD">
        <w:t xml:space="preserve">art </w:t>
      </w:r>
      <w:r w:rsidR="003219BE">
        <w:t>O</w:t>
      </w:r>
      <w:r w:rsidRPr="008331DD">
        <w:t>ne). I address enforcement powers below</w:t>
      </w:r>
      <w:r w:rsidR="00F51EFA">
        <w:t>.</w:t>
      </w:r>
    </w:p>
    <w:p w14:paraId="1FD47DD9" w14:textId="4AFC1A0F" w:rsidR="004D77DB" w:rsidRPr="008331DD" w:rsidRDefault="004D77DB" w:rsidP="00FB32D6">
      <w:pPr>
        <w:pStyle w:val="BodyTextnonum"/>
      </w:pPr>
      <w:r w:rsidRPr="008331DD">
        <w:t xml:space="preserve">By way of reference </w:t>
      </w:r>
      <w:r>
        <w:t xml:space="preserve">and to create a historical record for the future, </w:t>
      </w:r>
      <w:r w:rsidRPr="008331DD">
        <w:t xml:space="preserve">Appendix </w:t>
      </w:r>
      <w:r>
        <w:t>Two</w:t>
      </w:r>
      <w:r w:rsidRPr="008331DD">
        <w:t xml:space="preserve"> sets out the orders made under the Health Act in the early days of the pandemic and before the enactment of the COVID-19 Public Health Response Act.</w:t>
      </w:r>
    </w:p>
    <w:p w14:paraId="561F9564" w14:textId="77777777" w:rsidR="004D77DB" w:rsidRPr="00694106" w:rsidRDefault="004D77DB" w:rsidP="005D55D7">
      <w:pPr>
        <w:pStyle w:val="Heading3"/>
      </w:pPr>
      <w:bookmarkStart w:id="165" w:name="_Toc107520588"/>
      <w:bookmarkStart w:id="166" w:name="_Toc108444725"/>
      <w:bookmarkStart w:id="167" w:name="_Toc116464830"/>
      <w:bookmarkStart w:id="168" w:name="_Toc117063123"/>
      <w:bookmarkStart w:id="169" w:name="_Toc118119315"/>
      <w:r w:rsidRPr="005D55D7">
        <w:t>Epidemic</w:t>
      </w:r>
      <w:r w:rsidRPr="00694106">
        <w:t xml:space="preserve"> Preparedness Act 2006</w:t>
      </w:r>
      <w:bookmarkEnd w:id="165"/>
      <w:bookmarkEnd w:id="166"/>
      <w:bookmarkEnd w:id="167"/>
      <w:bookmarkEnd w:id="168"/>
      <w:bookmarkEnd w:id="169"/>
      <w:r w:rsidRPr="00694106">
        <w:t xml:space="preserve"> </w:t>
      </w:r>
    </w:p>
    <w:p w14:paraId="14B2FC57" w14:textId="44808CF0" w:rsidR="004D77DB" w:rsidRPr="008331DD" w:rsidRDefault="004D77DB" w:rsidP="00FB32D6">
      <w:pPr>
        <w:pStyle w:val="BodyTextnonum"/>
      </w:pPr>
      <w:r w:rsidRPr="008331DD">
        <w:t xml:space="preserve">A second part of the domestic standing legal regime for epidemics is the inaptly named Epidemic Preparedness Act. It was passed by a unanimous House of Representatives </w:t>
      </w:r>
      <w:r>
        <w:t xml:space="preserve">after consideration over 6 months </w:t>
      </w:r>
      <w:r w:rsidRPr="008331DD">
        <w:t>as part of the preparation for a possible influenza epidemic</w:t>
      </w:r>
      <w:r>
        <w:t xml:space="preserve"> after the SARS scare</w:t>
      </w:r>
      <w:r w:rsidRPr="008331DD">
        <w:t>. The powers are triggered by the making of an epidemic notice by the Prime Minister</w:t>
      </w:r>
      <w:r>
        <w:t>, which is time-limited and subject to renewal procedures.</w:t>
      </w:r>
      <w:r w:rsidRPr="008331DD">
        <w:t xml:space="preserve"> </w:t>
      </w:r>
    </w:p>
    <w:p w14:paraId="2FE2E718" w14:textId="2FB2BC34" w:rsidR="004D77DB" w:rsidRPr="008331DD" w:rsidRDefault="004D77DB" w:rsidP="00FB32D6">
      <w:pPr>
        <w:pStyle w:val="BodyTextnonum"/>
      </w:pPr>
      <w:r w:rsidRPr="008331DD">
        <w:t xml:space="preserve">The </w:t>
      </w:r>
      <w:r w:rsidR="00A020A5" w:rsidRPr="003E0321">
        <w:t xml:space="preserve">Epidemic Preparedness </w:t>
      </w:r>
      <w:r w:rsidRPr="008331DD">
        <w:t>Act does three main things. It activates an epidemic notice</w:t>
      </w:r>
      <w:r w:rsidR="003219BE">
        <w:t>,</w:t>
      </w:r>
      <w:r w:rsidRPr="008331DD">
        <w:t xml:space="preserve"> which in turn brings into force certain emergency provisions</w:t>
      </w:r>
      <w:r w:rsidRPr="00EC600F">
        <w:t xml:space="preserve"> intended to deal with an outbreak of disease</w:t>
      </w:r>
      <w:r w:rsidRPr="008331DD">
        <w:t xml:space="preserve"> embedded in various statutes. These include the Electoral Act 199</w:t>
      </w:r>
      <w:r w:rsidR="003219BE">
        <w:t>3</w:t>
      </w:r>
      <w:r w:rsidRPr="008331DD">
        <w:t xml:space="preserve"> ss 195</w:t>
      </w:r>
      <w:r w:rsidR="003219BE">
        <w:t>–</w:t>
      </w:r>
      <w:r w:rsidRPr="008331DD">
        <w:t>195B, the Corrections Act</w:t>
      </w:r>
      <w:r w:rsidR="00230FC5">
        <w:t xml:space="preserve"> 2004</w:t>
      </w:r>
      <w:r w:rsidRPr="008331DD">
        <w:t xml:space="preserve"> ss 179C and 179E</w:t>
      </w:r>
      <w:r>
        <w:t>,</w:t>
      </w:r>
      <w:r w:rsidRPr="008331DD">
        <w:t xml:space="preserve"> the Health Act </w:t>
      </w:r>
      <w:r w:rsidR="00230FC5">
        <w:t xml:space="preserve">s 70 </w:t>
      </w:r>
      <w:r w:rsidRPr="008331DD">
        <w:t>(discussed above)</w:t>
      </w:r>
      <w:r w:rsidRPr="00EC600F">
        <w:t xml:space="preserve"> </w:t>
      </w:r>
      <w:r>
        <w:t xml:space="preserve">and </w:t>
      </w:r>
      <w:r w:rsidRPr="00EC600F">
        <w:t xml:space="preserve">provisions of the Criminal Procedure Act 2011, the Immigration Act 2009, the Parole Act 2002, the Sentencing Act </w:t>
      </w:r>
      <w:proofErr w:type="gramStart"/>
      <w:r w:rsidRPr="00EC600F">
        <w:t>2002</w:t>
      </w:r>
      <w:proofErr w:type="gramEnd"/>
      <w:r w:rsidRPr="00EC600F">
        <w:t xml:space="preserve"> and the Social Security Act 2018</w:t>
      </w:r>
      <w:r w:rsidRPr="008331DD">
        <w:t xml:space="preserve">. It separately </w:t>
      </w:r>
      <w:r w:rsidRPr="008331DD">
        <w:lastRenderedPageBreak/>
        <w:t xml:space="preserve">empowers the making of orders both immediately </w:t>
      </w:r>
      <w:r>
        <w:t xml:space="preserve">and prospectively </w:t>
      </w:r>
      <w:r w:rsidRPr="008331DD">
        <w:t xml:space="preserve">for modification of legislation administered by the Ministry of Health for the effective </w:t>
      </w:r>
      <w:r w:rsidRPr="008331DD">
        <w:rPr>
          <w:i/>
          <w:iCs/>
        </w:rPr>
        <w:t>management</w:t>
      </w:r>
      <w:r w:rsidRPr="008331DD">
        <w:t xml:space="preserve"> of an outbreak (ss 11</w:t>
      </w:r>
      <w:r>
        <w:t xml:space="preserve"> and </w:t>
      </w:r>
      <w:r w:rsidRPr="008331DD">
        <w:t>14) and the making of orders to enable compliance with restrictions and requirements during an epidemic (ss 12</w:t>
      </w:r>
      <w:r>
        <w:t xml:space="preserve"> and </w:t>
      </w:r>
      <w:r w:rsidRPr="008331DD">
        <w:t>15). It also empowers judges to adjust the conduct of trials and rules of court (ss 24</w:t>
      </w:r>
      <w:r>
        <w:t xml:space="preserve"> and </w:t>
      </w:r>
      <w:r w:rsidRPr="008331DD">
        <w:t xml:space="preserve">25). </w:t>
      </w:r>
    </w:p>
    <w:p w14:paraId="541C7243" w14:textId="77777777" w:rsidR="004D77DB" w:rsidRPr="00522A7C" w:rsidRDefault="004D77DB" w:rsidP="00FB32D6">
      <w:pPr>
        <w:pStyle w:val="BodyTextnonum"/>
      </w:pPr>
      <w:r w:rsidRPr="00522A7C">
        <w:t>The gateway provision to the Epidemic Preparedness Act’s powers is s 5(1). It provides:</w:t>
      </w:r>
      <w:r w:rsidRPr="00A95193">
        <w:rPr>
          <w:rStyle w:val="FootnoteReference"/>
        </w:rPr>
        <w:footnoteReference w:id="121"/>
      </w:r>
      <w:r w:rsidRPr="00522A7C">
        <w:t xml:space="preserve"> </w:t>
      </w:r>
    </w:p>
    <w:p w14:paraId="740EE619" w14:textId="1239520D" w:rsidR="004D77DB" w:rsidRPr="00A95193" w:rsidRDefault="004D77DB">
      <w:pPr>
        <w:pStyle w:val="Quote"/>
      </w:pPr>
      <w:r w:rsidRPr="00A95193">
        <w:t>With the agreement of the Minister of Health, the Prime Minister may, by notice in the</w:t>
      </w:r>
      <w:r w:rsidR="00B52CDD">
        <w:rPr>
          <w:rFonts w:ascii="Calibri" w:hAnsi="Calibri" w:cs="Calibri"/>
        </w:rPr>
        <w:t xml:space="preserve"> </w:t>
      </w:r>
      <w:r w:rsidRPr="00A95193">
        <w:t>Gazette, declare that he or she is satisfied that the effects of an outbreak of a stated quarantinable disease (within the meaning of the</w:t>
      </w:r>
      <w:r w:rsidRPr="00A95193">
        <w:rPr>
          <w:rFonts w:ascii="Calibri" w:hAnsi="Calibri" w:cs="Calibri"/>
        </w:rPr>
        <w:t> </w:t>
      </w:r>
      <w:bookmarkStart w:id="170" w:name="DLM305839"/>
      <w:r w:rsidRPr="00A95193">
        <w:fldChar w:fldCharType="begin"/>
      </w:r>
      <w:r w:rsidRPr="00A95193">
        <w:instrText xml:space="preserve"> HYPERLINK "https://legislation.govt.nz/act/public/2006/0085/latest/link.aspx?id=DLM305839" </w:instrText>
      </w:r>
      <w:r w:rsidRPr="00A95193">
        <w:fldChar w:fldCharType="separate"/>
      </w:r>
      <w:r w:rsidRPr="00A95193">
        <w:t>Health Act 1956</w:t>
      </w:r>
      <w:r w:rsidRPr="00A95193">
        <w:fldChar w:fldCharType="end"/>
      </w:r>
      <w:bookmarkEnd w:id="170"/>
      <w:r w:rsidRPr="00A95193">
        <w:t>) are likely to disrupt or continue to disrupt essential governmental and business activity in New Zealand (or stated parts of New Zealand) significantly.</w:t>
      </w:r>
    </w:p>
    <w:p w14:paraId="27216E98" w14:textId="2D8F6E34" w:rsidR="004D77DB" w:rsidRPr="00522A7C" w:rsidRDefault="004D77DB" w:rsidP="00FB32D6">
      <w:pPr>
        <w:pStyle w:val="BodyTextnonum"/>
      </w:pPr>
      <w:r w:rsidRPr="00BD4C91">
        <w:t xml:space="preserve">The </w:t>
      </w:r>
      <w:r w:rsidR="00470B51">
        <w:t>e</w:t>
      </w:r>
      <w:r>
        <w:t xml:space="preserve">pidemic </w:t>
      </w:r>
      <w:r w:rsidR="00470B51">
        <w:t>n</w:t>
      </w:r>
      <w:r>
        <w:t>otice is time-limited</w:t>
      </w:r>
      <w:r w:rsidR="00470B51">
        <w:t>,</w:t>
      </w:r>
      <w:r>
        <w:t xml:space="preserve"> and the </w:t>
      </w:r>
      <w:r w:rsidRPr="00BD4C91">
        <w:t>Prime Minister is</w:t>
      </w:r>
      <w:r>
        <w:t xml:space="preserve"> </w:t>
      </w:r>
      <w:r w:rsidRPr="00522A7C">
        <w:t xml:space="preserve">required promptly to revoke the epidemic notice if he or she is no longer satisfied these conditions are met (s 9(2)). </w:t>
      </w:r>
    </w:p>
    <w:p w14:paraId="3850C3A9" w14:textId="72838659" w:rsidR="004D77DB" w:rsidRPr="00522A7C" w:rsidRDefault="004D77DB" w:rsidP="00FB32D6">
      <w:pPr>
        <w:pStyle w:val="BodyTextnonum"/>
      </w:pPr>
      <w:r w:rsidRPr="00522A7C">
        <w:t>For this threshold to be met:</w:t>
      </w:r>
    </w:p>
    <w:p w14:paraId="0D6EF28E" w14:textId="29090324" w:rsidR="004D77DB" w:rsidRPr="00522A7C" w:rsidRDefault="00783164">
      <w:pPr>
        <w:pStyle w:val="BodyTextalphalist"/>
      </w:pPr>
      <w:r>
        <w:t xml:space="preserve">there must </w:t>
      </w:r>
      <w:r w:rsidR="004D77DB" w:rsidRPr="00522A7C">
        <w:t xml:space="preserve">already have been an outbreak of the relevant disease (although that outbreak may have occurred outside of </w:t>
      </w:r>
      <w:r w:rsidR="00AF692D">
        <w:t xml:space="preserve">Aotearoa </w:t>
      </w:r>
      <w:r w:rsidR="004D77DB" w:rsidRPr="00522A7C">
        <w:t>New Zealand</w:t>
      </w:r>
      <w:proofErr w:type="gramStart"/>
      <w:r w:rsidR="004D77DB" w:rsidRPr="00522A7C">
        <w:t>);</w:t>
      </w:r>
      <w:proofErr w:type="gramEnd"/>
      <w:r w:rsidR="004D77DB" w:rsidRPr="00522A7C">
        <w:t xml:space="preserve"> </w:t>
      </w:r>
    </w:p>
    <w:p w14:paraId="745BE1FD" w14:textId="236BF1C9" w:rsidR="004D77DB" w:rsidRDefault="00783164">
      <w:pPr>
        <w:pStyle w:val="BodyTextalphalist"/>
      </w:pPr>
      <w:r>
        <w:t xml:space="preserve">there must </w:t>
      </w:r>
      <w:r w:rsidR="004D77DB">
        <w:t>be</w:t>
      </w:r>
      <w:r w:rsidR="004D77DB" w:rsidRPr="00522A7C">
        <w:t xml:space="preserve"> agreement of both the Minister of Health and the Prime Minister</w:t>
      </w:r>
      <w:r>
        <w:t>;</w:t>
      </w:r>
      <w:r w:rsidR="004D77DB">
        <w:t xml:space="preserve"> and </w:t>
      </w:r>
    </w:p>
    <w:p w14:paraId="03F98DCA" w14:textId="3AC5ECC8" w:rsidR="004D77DB" w:rsidRDefault="00783164">
      <w:pPr>
        <w:pStyle w:val="BodyTextalphalist"/>
      </w:pPr>
      <w:r>
        <w:t>t</w:t>
      </w:r>
      <w:r w:rsidR="004D77DB">
        <w:t>he Prime Minister must not give the notice except on, and after considering, the written recommendation of the Director-General of Health.</w:t>
      </w:r>
    </w:p>
    <w:p w14:paraId="6BE73C78" w14:textId="1F8EDDC8" w:rsidR="004D77DB" w:rsidRPr="00DF274D" w:rsidRDefault="004D77DB" w:rsidP="00FB32D6">
      <w:pPr>
        <w:pStyle w:val="BodyTextnonum"/>
      </w:pPr>
      <w:r w:rsidRPr="00DF274D">
        <w:t>The focus is on the effects of that outbreak</w:t>
      </w:r>
      <w:r w:rsidR="00783164">
        <w:t>.</w:t>
      </w:r>
      <w:r w:rsidRPr="00DF274D">
        <w:t xml:space="preserve"> </w:t>
      </w:r>
      <w:r w:rsidR="00783164">
        <w:t>T</w:t>
      </w:r>
      <w:r w:rsidRPr="00DF274D">
        <w:t>his can be either an assessment of actual extant effects or a risk</w:t>
      </w:r>
      <w:r>
        <w:t xml:space="preserve"> </w:t>
      </w:r>
      <w:r w:rsidRPr="00DF274D">
        <w:t>analysis of “likely” effects</w:t>
      </w:r>
      <w:r>
        <w:t xml:space="preserve">. </w:t>
      </w:r>
    </w:p>
    <w:p w14:paraId="3E725DEE" w14:textId="76C1993B" w:rsidR="004D77DB" w:rsidRDefault="004D77DB" w:rsidP="00FB32D6">
      <w:pPr>
        <w:pStyle w:val="BodyTextnonum"/>
      </w:pPr>
      <w:r w:rsidRPr="00522A7C">
        <w:t xml:space="preserve">As with a state of emergency, Parliament is required to meet within 7 days of an </w:t>
      </w:r>
      <w:r w:rsidR="00470B51">
        <w:t>e</w:t>
      </w:r>
      <w:r w:rsidRPr="00522A7C">
        <w:t xml:space="preserve">pidemic </w:t>
      </w:r>
      <w:r w:rsidR="00470B51">
        <w:t>n</w:t>
      </w:r>
      <w:r w:rsidRPr="00522A7C">
        <w:t xml:space="preserve">otice having been issued to ensure that there is </w:t>
      </w:r>
      <w:r>
        <w:t xml:space="preserve">a degree of </w:t>
      </w:r>
      <w:r w:rsidRPr="00522A7C">
        <w:t xml:space="preserve">democratic </w:t>
      </w:r>
      <w:r>
        <w:t>oversight</w:t>
      </w:r>
      <w:r w:rsidRPr="00522A7C">
        <w:t>.</w:t>
      </w:r>
    </w:p>
    <w:p w14:paraId="0A53E2AC" w14:textId="7C205E79" w:rsidR="004D77DB" w:rsidRDefault="004D77DB" w:rsidP="00FB32D6">
      <w:pPr>
        <w:pStyle w:val="BodyTextnonum"/>
      </w:pPr>
      <w:r>
        <w:t xml:space="preserve">On its face, </w:t>
      </w:r>
      <w:bookmarkStart w:id="171" w:name="_Hlk108520725"/>
      <w:r>
        <w:t xml:space="preserve">the triggering test for issuing an epidemic notice is quite onerous. It refers to the directly disrupting effects of the disease itself and not to the indirect effects of measures taken by the government itself to mitigate the spread or outbreak of a disease. This should be clarified </w:t>
      </w:r>
      <w:r w:rsidRPr="006C4F9E">
        <w:t xml:space="preserve">by reference to both direct and indirect effects. </w:t>
      </w:r>
    </w:p>
    <w:bookmarkEnd w:id="171"/>
    <w:p w14:paraId="562B724A" w14:textId="63F167C7" w:rsidR="004D77DB" w:rsidRPr="008331DD" w:rsidRDefault="004D77DB" w:rsidP="00FB32D6">
      <w:pPr>
        <w:pStyle w:val="BodyTextnonum"/>
      </w:pPr>
      <w:r w:rsidRPr="008331DD">
        <w:t xml:space="preserve">The powers to change primary legislation </w:t>
      </w:r>
      <w:r>
        <w:t>(</w:t>
      </w:r>
      <w:r w:rsidRPr="008331DD">
        <w:t>enacted by Parliament</w:t>
      </w:r>
      <w:r>
        <w:t>)</w:t>
      </w:r>
      <w:r w:rsidRPr="008331DD">
        <w:t xml:space="preserve"> by regulation </w:t>
      </w:r>
      <w:r>
        <w:t>(</w:t>
      </w:r>
      <w:r w:rsidRPr="008331DD">
        <w:t>made by the executive</w:t>
      </w:r>
      <w:r>
        <w:t>)</w:t>
      </w:r>
      <w:r w:rsidRPr="008331DD">
        <w:t xml:space="preserve"> invert the usual constitutional hierarchy and hence are narrowly drawn. The </w:t>
      </w:r>
      <w:r w:rsidR="00A020A5" w:rsidRPr="003E0321">
        <w:t xml:space="preserve">Epidemic Preparedness </w:t>
      </w:r>
      <w:r w:rsidRPr="008331DD">
        <w:t xml:space="preserve">Act is written deliberately restrictively. It empowers the executive to “modify any requirement or restriction imposed by any enactment” by stating “alternative means of complying with the requirement or restriction or substituting a discretionary power for the requirement or restriction”. It does not allow new criteria to be set. It is primarily concerned about enabling interactions between people with government agencies that have or will be affected by a </w:t>
      </w:r>
      <w:r w:rsidR="00882951">
        <w:t>“</w:t>
      </w:r>
      <w:r w:rsidRPr="008331DD">
        <w:t>quarantinable disease</w:t>
      </w:r>
      <w:r w:rsidR="00882951">
        <w:t>”</w:t>
      </w:r>
      <w:r w:rsidRPr="008331DD">
        <w:t xml:space="preserve">. </w:t>
      </w:r>
    </w:p>
    <w:p w14:paraId="49066549" w14:textId="4DD0E48D" w:rsidR="004D77DB" w:rsidRPr="008331DD" w:rsidRDefault="004D77DB" w:rsidP="00FB32D6">
      <w:pPr>
        <w:pStyle w:val="BodyTextnonum"/>
      </w:pPr>
      <w:r w:rsidRPr="008331DD">
        <w:t xml:space="preserve">It subjects the modifications made to statutes by executive order to strict statutory tests, </w:t>
      </w:r>
      <w:r w:rsidRPr="003E0321">
        <w:t xml:space="preserve">internal departmental </w:t>
      </w:r>
      <w:proofErr w:type="gramStart"/>
      <w:r w:rsidRPr="003E0321">
        <w:t>review</w:t>
      </w:r>
      <w:proofErr w:type="gramEnd"/>
      <w:r w:rsidRPr="003E0321">
        <w:t xml:space="preserve"> and oversight by the House of Representatives through the regulatory disallowance procedure. Certain statutes having a constitutional character are protected from modification, </w:t>
      </w:r>
      <w:r w:rsidRPr="00B57708">
        <w:t xml:space="preserve">namely </w:t>
      </w:r>
      <w:bookmarkStart w:id="172" w:name="DLM10992"/>
      <w:r w:rsidRPr="00B57708">
        <w:t xml:space="preserve">the </w:t>
      </w:r>
      <w:r w:rsidRPr="00B57708">
        <w:rPr>
          <w:bdr w:val="none" w:sz="0" w:space="0" w:color="auto" w:frame="1"/>
        </w:rPr>
        <w:t>Bill of Rights 1688</w:t>
      </w:r>
      <w:bookmarkEnd w:id="172"/>
      <w:r w:rsidRPr="00B57708">
        <w:t>, the</w:t>
      </w:r>
      <w:bookmarkStart w:id="173" w:name="DLM94203"/>
      <w:r w:rsidR="00B52CDD" w:rsidRPr="00B57708">
        <w:t xml:space="preserve"> </w:t>
      </w:r>
      <w:r w:rsidRPr="00B57708">
        <w:rPr>
          <w:bdr w:val="none" w:sz="0" w:space="0" w:color="auto" w:frame="1"/>
        </w:rPr>
        <w:t>Constitution Act</w:t>
      </w:r>
      <w:bookmarkEnd w:id="173"/>
      <w:r w:rsidRPr="00B57708">
        <w:t>, the</w:t>
      </w:r>
      <w:bookmarkStart w:id="174" w:name="DLM307518"/>
      <w:r w:rsidR="00B57708">
        <w:t xml:space="preserve"> </w:t>
      </w:r>
      <w:r w:rsidRPr="00B57708">
        <w:rPr>
          <w:bdr w:val="none" w:sz="0" w:space="0" w:color="auto" w:frame="1"/>
        </w:rPr>
        <w:t>Electoral Act</w:t>
      </w:r>
      <w:bookmarkEnd w:id="174"/>
      <w:r w:rsidRPr="00B57708">
        <w:t>, the</w:t>
      </w:r>
      <w:bookmarkStart w:id="175" w:name="DLM6942104"/>
      <w:r w:rsidR="00B52CDD" w:rsidRPr="00B57708">
        <w:t xml:space="preserve"> </w:t>
      </w:r>
      <w:r w:rsidRPr="00B57708">
        <w:rPr>
          <w:rStyle w:val="insertwords"/>
          <w:bdr w:val="none" w:sz="0" w:space="0" w:color="auto" w:frame="1"/>
        </w:rPr>
        <w:t>Judicial Review Procedure Act 2016</w:t>
      </w:r>
      <w:bookmarkEnd w:id="175"/>
      <w:r w:rsidRPr="00B57708">
        <w:t>,</w:t>
      </w:r>
      <w:r w:rsidR="00B52CDD" w:rsidRPr="00B57708">
        <w:t xml:space="preserve"> </w:t>
      </w:r>
      <w:r w:rsidRPr="00B57708">
        <w:rPr>
          <w:rStyle w:val="insertwords"/>
          <w:bdr w:val="none" w:sz="0" w:space="0" w:color="auto" w:frame="1"/>
        </w:rPr>
        <w:t>the</w:t>
      </w:r>
      <w:bookmarkStart w:id="176" w:name="DLM224791"/>
      <w:r w:rsidR="00B52CDD" w:rsidRPr="00B57708">
        <w:rPr>
          <w:rStyle w:val="insertwords"/>
          <w:bdr w:val="none" w:sz="0" w:space="0" w:color="auto" w:frame="1"/>
        </w:rPr>
        <w:t xml:space="preserve"> </w:t>
      </w:r>
      <w:r w:rsidRPr="00B57708">
        <w:rPr>
          <w:rStyle w:val="insertwords"/>
          <w:bdr w:val="none" w:sz="0" w:space="0" w:color="auto" w:frame="1"/>
        </w:rPr>
        <w:t>New Zealand Bill of Rights Act</w:t>
      </w:r>
      <w:bookmarkEnd w:id="176"/>
      <w:r w:rsidRPr="00B57708">
        <w:rPr>
          <w:rStyle w:val="insertwords"/>
          <w:bdr w:val="none" w:sz="0" w:space="0" w:color="auto" w:frame="1"/>
        </w:rPr>
        <w:t>, the</w:t>
      </w:r>
      <w:bookmarkStart w:id="177" w:name="DLM6052000"/>
      <w:r w:rsidR="00B52CDD" w:rsidRPr="00B57708">
        <w:rPr>
          <w:rStyle w:val="insertwords"/>
          <w:bdr w:val="none" w:sz="0" w:space="0" w:color="auto" w:frame="1"/>
        </w:rPr>
        <w:t xml:space="preserve"> </w:t>
      </w:r>
      <w:r w:rsidRPr="00B57708">
        <w:rPr>
          <w:rStyle w:val="insertwords"/>
          <w:bdr w:val="none" w:sz="0" w:space="0" w:color="auto" w:frame="1"/>
        </w:rPr>
        <w:t>Parliamentary Privilege Act 2014</w:t>
      </w:r>
      <w:bookmarkEnd w:id="177"/>
      <w:r w:rsidR="00B52CDD">
        <w:rPr>
          <w:rStyle w:val="insertwords"/>
          <w:bdr w:val="none" w:sz="0" w:space="0" w:color="auto" w:frame="1"/>
        </w:rPr>
        <w:t xml:space="preserve"> </w:t>
      </w:r>
      <w:r w:rsidRPr="003E0321">
        <w:t xml:space="preserve">and the Epidemic Preparedness Act itself. </w:t>
      </w:r>
      <w:r w:rsidR="002B7CDE">
        <w:t xml:space="preserve">A </w:t>
      </w:r>
      <w:r w:rsidR="002B7CDE">
        <w:lastRenderedPageBreak/>
        <w:t>modification o</w:t>
      </w:r>
      <w:r w:rsidR="00625669">
        <w:t>r</w:t>
      </w:r>
      <w:r w:rsidR="002B7CDE">
        <w:t>der cannot be used to modify a requirement or restriction relating to an individual’s detention or release from custody.</w:t>
      </w:r>
      <w:r w:rsidRPr="008331DD">
        <w:t xml:space="preserve"> </w:t>
      </w:r>
    </w:p>
    <w:p w14:paraId="64262C08" w14:textId="084A1294" w:rsidR="004D77DB" w:rsidRDefault="004D77DB" w:rsidP="00FB32D6">
      <w:pPr>
        <w:pStyle w:val="BodyTextnonum"/>
        <w:rPr>
          <w:color w:val="000000" w:themeColor="text1"/>
        </w:rPr>
      </w:pPr>
      <w:r w:rsidRPr="00522A7C">
        <w:t xml:space="preserve">For the most part, the ways in which the modification orders were used </w:t>
      </w:r>
      <w:r>
        <w:t>in the C</w:t>
      </w:r>
      <w:r w:rsidR="0061070F">
        <w:t>OVID</w:t>
      </w:r>
      <w:r>
        <w:t xml:space="preserve">-19 pandemic </w:t>
      </w:r>
      <w:r w:rsidRPr="00522A7C">
        <w:t>w</w:t>
      </w:r>
      <w:r>
        <w:t>ere</w:t>
      </w:r>
      <w:r w:rsidRPr="00522A7C">
        <w:t xml:space="preserve"> relatively benign and reinforced the rule of law by </w:t>
      </w:r>
      <w:r>
        <w:t xml:space="preserve">clarifying legislative requirements and </w:t>
      </w:r>
      <w:r w:rsidRPr="00522A7C">
        <w:t xml:space="preserve">enabling people to comply with the law when it would otherwise be impracticable or impossible </w:t>
      </w:r>
      <w:r>
        <w:t xml:space="preserve">lawfully </w:t>
      </w:r>
      <w:r w:rsidRPr="00522A7C">
        <w:t>to do so.</w:t>
      </w:r>
      <w:r>
        <w:rPr>
          <w:rStyle w:val="FootnoteReference"/>
          <w:color w:val="202124"/>
        </w:rPr>
        <w:footnoteReference w:id="122"/>
      </w:r>
      <w:r w:rsidRPr="00522A7C">
        <w:t xml:space="preserve"> </w:t>
      </w:r>
      <w:r>
        <w:rPr>
          <w:color w:val="000000" w:themeColor="text1"/>
        </w:rPr>
        <w:t xml:space="preserve">The primary uses of the </w:t>
      </w:r>
      <w:r w:rsidR="00A020A5" w:rsidRPr="003E0321">
        <w:t xml:space="preserve">Epidemic Preparedness </w:t>
      </w:r>
      <w:r>
        <w:rPr>
          <w:color w:val="000000" w:themeColor="text1"/>
        </w:rPr>
        <w:t xml:space="preserve">Act can be </w:t>
      </w:r>
      <w:r w:rsidRPr="00522A7C">
        <w:rPr>
          <w:color w:val="000000" w:themeColor="text1"/>
        </w:rPr>
        <w:t xml:space="preserve">justified </w:t>
      </w:r>
      <w:r>
        <w:rPr>
          <w:color w:val="000000" w:themeColor="text1"/>
        </w:rPr>
        <w:t xml:space="preserve">on the basis that they made it possible for individuals and officials </w:t>
      </w:r>
      <w:r w:rsidRPr="00522A7C">
        <w:rPr>
          <w:color w:val="000000" w:themeColor="text1"/>
        </w:rPr>
        <w:t>to obey</w:t>
      </w:r>
      <w:r>
        <w:rPr>
          <w:color w:val="000000" w:themeColor="text1"/>
        </w:rPr>
        <w:t xml:space="preserve"> </w:t>
      </w:r>
      <w:r w:rsidRPr="00522A7C">
        <w:rPr>
          <w:color w:val="000000" w:themeColor="text1"/>
        </w:rPr>
        <w:t>law</w:t>
      </w:r>
      <w:r>
        <w:rPr>
          <w:color w:val="000000" w:themeColor="text1"/>
        </w:rPr>
        <w:t xml:space="preserve">s </w:t>
      </w:r>
      <w:r w:rsidR="00A020A5">
        <w:rPr>
          <w:color w:val="000000" w:themeColor="text1"/>
        </w:rPr>
        <w:t xml:space="preserve">that </w:t>
      </w:r>
      <w:r>
        <w:rPr>
          <w:color w:val="000000" w:themeColor="text1"/>
        </w:rPr>
        <w:t>would otherwise have conflicted or been uncertain</w:t>
      </w:r>
      <w:r w:rsidRPr="00522A7C">
        <w:rPr>
          <w:color w:val="000000" w:themeColor="text1"/>
        </w:rPr>
        <w:t xml:space="preserve"> </w:t>
      </w:r>
      <w:r>
        <w:rPr>
          <w:color w:val="000000" w:themeColor="text1"/>
        </w:rPr>
        <w:t>and ensured that people were not punished</w:t>
      </w:r>
      <w:r w:rsidRPr="00522A7C">
        <w:rPr>
          <w:color w:val="000000" w:themeColor="text1"/>
        </w:rPr>
        <w:t xml:space="preserve"> for disobeying laws </w:t>
      </w:r>
      <w:r w:rsidR="00A020A5">
        <w:rPr>
          <w:color w:val="000000" w:themeColor="text1"/>
        </w:rPr>
        <w:t>that</w:t>
      </w:r>
      <w:r w:rsidR="00A020A5" w:rsidRPr="00522A7C">
        <w:rPr>
          <w:color w:val="000000" w:themeColor="text1"/>
        </w:rPr>
        <w:t xml:space="preserve"> </w:t>
      </w:r>
      <w:r w:rsidRPr="00522A7C">
        <w:rPr>
          <w:color w:val="000000" w:themeColor="text1"/>
        </w:rPr>
        <w:t>they c</w:t>
      </w:r>
      <w:r>
        <w:rPr>
          <w:color w:val="000000" w:themeColor="text1"/>
        </w:rPr>
        <w:t>ould not</w:t>
      </w:r>
      <w:r w:rsidRPr="00522A7C">
        <w:rPr>
          <w:color w:val="000000" w:themeColor="text1"/>
        </w:rPr>
        <w:t xml:space="preserve"> lawfully obey. </w:t>
      </w:r>
    </w:p>
    <w:p w14:paraId="2CF2D15B" w14:textId="3DBA6025" w:rsidR="004D77DB" w:rsidRDefault="004D77DB" w:rsidP="00FB32D6">
      <w:pPr>
        <w:pStyle w:val="BodyTextnonum"/>
      </w:pPr>
      <w:r w:rsidRPr="00522A7C">
        <w:t xml:space="preserve">Section 15 immediate modification orders, for example, </w:t>
      </w:r>
      <w:r>
        <w:t>have been</w:t>
      </w:r>
      <w:r w:rsidRPr="00522A7C">
        <w:t xml:space="preserve"> used to do three things </w:t>
      </w:r>
      <w:r>
        <w:t>in the C</w:t>
      </w:r>
      <w:r w:rsidR="0061070F">
        <w:t>OVID</w:t>
      </w:r>
      <w:r>
        <w:t xml:space="preserve">-19 pandemic: </w:t>
      </w:r>
      <w:r w:rsidRPr="00522A7C">
        <w:t xml:space="preserve">to widen the social security safety net by </w:t>
      </w:r>
      <w:r>
        <w:t xml:space="preserve">granting subsidies to businesses </w:t>
      </w:r>
      <w:r w:rsidR="00A020A5">
        <w:t>that</w:t>
      </w:r>
      <w:r>
        <w:t xml:space="preserve"> had been forced to close; to relax</w:t>
      </w:r>
      <w:r w:rsidRPr="00522A7C">
        <w:t xml:space="preserve"> procedural </w:t>
      </w:r>
      <w:r>
        <w:t xml:space="preserve">rules requiring people to meet in person; and to </w:t>
      </w:r>
      <w:r w:rsidRPr="00522A7C">
        <w:t xml:space="preserve">extend timeframes </w:t>
      </w:r>
      <w:r w:rsidR="0089304B">
        <w:t>that</w:t>
      </w:r>
      <w:r w:rsidR="0089304B" w:rsidRPr="00522A7C">
        <w:t xml:space="preserve"> </w:t>
      </w:r>
      <w:r w:rsidRPr="00522A7C">
        <w:t xml:space="preserve">were otherwise </w:t>
      </w:r>
      <w:r>
        <w:t xml:space="preserve">difficult </w:t>
      </w:r>
      <w:r w:rsidRPr="00522A7C">
        <w:t>to be met during a pandemic</w:t>
      </w:r>
      <w:r>
        <w:t xml:space="preserve">. A snapshot of what the initial orders were used to do appears in Appendix Three. </w:t>
      </w:r>
    </w:p>
    <w:p w14:paraId="6037CD94" w14:textId="77777777" w:rsidR="004D77DB" w:rsidRPr="00694106" w:rsidRDefault="004D77DB" w:rsidP="005D55D7">
      <w:pPr>
        <w:pStyle w:val="Heading4"/>
        <w:rPr>
          <w:color w:val="202124"/>
          <w:shd w:val="clear" w:color="auto" w:fill="FFFFFF"/>
        </w:rPr>
      </w:pPr>
      <w:r w:rsidRPr="00D7439D">
        <w:t>Commentary</w:t>
      </w:r>
    </w:p>
    <w:p w14:paraId="57D691FD" w14:textId="32073386" w:rsidR="004D77DB" w:rsidRPr="00C803A7" w:rsidRDefault="004D77DB" w:rsidP="00FB32D6">
      <w:pPr>
        <w:pStyle w:val="BodyTextnonum"/>
      </w:pPr>
      <w:r w:rsidRPr="00C803A7">
        <w:t xml:space="preserve">With one exception, </w:t>
      </w:r>
      <w:proofErr w:type="gramStart"/>
      <w:r w:rsidRPr="00C803A7">
        <w:t xml:space="preserve">all </w:t>
      </w:r>
      <w:r>
        <w:t>of</w:t>
      </w:r>
      <w:proofErr w:type="gramEnd"/>
      <w:r>
        <w:t xml:space="preserve"> the listed </w:t>
      </w:r>
      <w:r w:rsidRPr="00C803A7">
        <w:t>s 15 immediate modification orders could be described as standard</w:t>
      </w:r>
      <w:r>
        <w:t>.</w:t>
      </w:r>
      <w:r w:rsidRPr="00C803A7">
        <w:t xml:space="preserve"> </w:t>
      </w:r>
      <w:r>
        <w:t>T</w:t>
      </w:r>
      <w:r w:rsidRPr="00C803A7">
        <w:t>hat is, they are likely applicable to any pandemic and not just C</w:t>
      </w:r>
      <w:r w:rsidR="0061070F">
        <w:t>OVID</w:t>
      </w:r>
      <w:r w:rsidRPr="00C803A7">
        <w:t>-19</w:t>
      </w:r>
      <w:r>
        <w:t>.</w:t>
      </w:r>
      <w:r w:rsidRPr="00C803A7">
        <w:t xml:space="preserve"> </w:t>
      </w:r>
      <w:r>
        <w:t>I</w:t>
      </w:r>
      <w:r w:rsidRPr="00C803A7">
        <w:t xml:space="preserve">ndeed, many would be applicable to a raft of </w:t>
      </w:r>
      <w:r>
        <w:t xml:space="preserve">other kinds of </w:t>
      </w:r>
      <w:r w:rsidRPr="00C803A7">
        <w:t>emergencies as well.</w:t>
      </w:r>
      <w:r>
        <w:rPr>
          <w:rStyle w:val="FootnoteReference"/>
        </w:rPr>
        <w:footnoteReference w:id="123"/>
      </w:r>
      <w:r w:rsidRPr="00C803A7">
        <w:t xml:space="preserve"> </w:t>
      </w:r>
    </w:p>
    <w:p w14:paraId="14A6EC36" w14:textId="77777777" w:rsidR="004D77DB" w:rsidRPr="00C803A7" w:rsidRDefault="004D77DB" w:rsidP="00FB32D6">
      <w:pPr>
        <w:pStyle w:val="BodyTextnonum"/>
      </w:pPr>
      <w:r>
        <w:t>T</w:t>
      </w:r>
      <w:r w:rsidRPr="00C803A7">
        <w:t xml:space="preserve">he orders fall into three categories: </w:t>
      </w:r>
    </w:p>
    <w:p w14:paraId="0ED4D7DA" w14:textId="4F3C741A" w:rsidR="004D77DB" w:rsidRPr="00C803A7" w:rsidRDefault="004D77DB">
      <w:pPr>
        <w:pStyle w:val="BodyTextalphalist"/>
      </w:pPr>
      <w:r w:rsidRPr="005D55D7">
        <w:rPr>
          <w:b/>
          <w:bCs/>
        </w:rPr>
        <w:t xml:space="preserve">Relaxing </w:t>
      </w:r>
      <w:r w:rsidR="0056325E">
        <w:rPr>
          <w:b/>
          <w:bCs/>
        </w:rPr>
        <w:t>s</w:t>
      </w:r>
      <w:r w:rsidRPr="005D55D7">
        <w:rPr>
          <w:b/>
          <w:bCs/>
        </w:rPr>
        <w:t xml:space="preserve">ocial </w:t>
      </w:r>
      <w:r w:rsidR="0056325E">
        <w:rPr>
          <w:b/>
          <w:bCs/>
        </w:rPr>
        <w:t>s</w:t>
      </w:r>
      <w:r w:rsidRPr="005D55D7">
        <w:rPr>
          <w:b/>
          <w:bCs/>
        </w:rPr>
        <w:t>ecurity requirements</w:t>
      </w:r>
      <w:r w:rsidRPr="00C803A7">
        <w:t xml:space="preserve"> </w:t>
      </w:r>
      <w:r w:rsidR="000E0D24">
        <w:t>–</w:t>
      </w:r>
      <w:r w:rsidRPr="00C803A7">
        <w:t xml:space="preserve"> order 1 is all about widening the safety net during a pandemic by relaxing a procedural requirement</w:t>
      </w:r>
      <w:r w:rsidR="0089304B">
        <w:t>.</w:t>
      </w:r>
    </w:p>
    <w:p w14:paraId="6798AB37" w14:textId="0170B670" w:rsidR="004D77DB" w:rsidRPr="00C803A7" w:rsidRDefault="004D77DB">
      <w:pPr>
        <w:pStyle w:val="BodyTextalphalist"/>
      </w:pPr>
      <w:r w:rsidRPr="00C803A7">
        <w:rPr>
          <w:b/>
          <w:bCs/>
        </w:rPr>
        <w:t xml:space="preserve">Extending timeframes </w:t>
      </w:r>
      <w:r w:rsidR="000E0D24">
        <w:t>–</w:t>
      </w:r>
      <w:r w:rsidRPr="00C803A7">
        <w:t xml:space="preserve"> orders 3, 5 and 8 essentially extend timeframes that became impractical to comply with during a pandemic</w:t>
      </w:r>
      <w:r w:rsidR="0089304B">
        <w:t>.</w:t>
      </w:r>
      <w:r w:rsidRPr="00C803A7">
        <w:t xml:space="preserve"> </w:t>
      </w:r>
    </w:p>
    <w:p w14:paraId="3787AF00" w14:textId="5C13A9F9" w:rsidR="004D77DB" w:rsidRPr="00C803A7" w:rsidRDefault="004D77DB">
      <w:pPr>
        <w:pStyle w:val="BodyTextalphalist"/>
      </w:pPr>
      <w:r w:rsidRPr="00C803A7">
        <w:rPr>
          <w:b/>
          <w:bCs/>
        </w:rPr>
        <w:t xml:space="preserve">Relaxing procedural requirements </w:t>
      </w:r>
      <w:r w:rsidR="000E0D24">
        <w:t>–</w:t>
      </w:r>
      <w:r w:rsidRPr="00C803A7">
        <w:t xml:space="preserve"> orders 2, 3, 4, 6 and 7 relax procedural requirements that are rendered impractical when people are unable to easily meet in person. </w:t>
      </w:r>
    </w:p>
    <w:p w14:paraId="2F41D4D6" w14:textId="0B902C22" w:rsidR="004D77DB" w:rsidRPr="00312B8C" w:rsidRDefault="004D77DB" w:rsidP="00FB32D6">
      <w:pPr>
        <w:pStyle w:val="BodyTextnonum"/>
      </w:pPr>
      <w:r w:rsidRPr="00312B8C">
        <w:t xml:space="preserve">What is striking is how similar this raft of orders under s 15 </w:t>
      </w:r>
      <w:r w:rsidR="009532AC">
        <w:t>is</w:t>
      </w:r>
      <w:r w:rsidRPr="00312B8C">
        <w:t xml:space="preserve"> to the provisions activated by the s 8 orders. In other words, all of them could, and perhaps should, be embedded into legislation in advance of an emergency, requiring only a s 8 notice for them to be activated. Many of the modification orders made under s 15 are likely to be uncontroversial and should be considered for embedding as dormant provisions in the statutes they modify (to be triggered by an epidemic notice)</w:t>
      </w:r>
      <w:r w:rsidR="0056325E">
        <w:t>.</w:t>
      </w:r>
      <w:r w:rsidRPr="00312B8C">
        <w:t xml:space="preserve"> That would also have the advantage of the requirement for a s 7 report under the N</w:t>
      </w:r>
      <w:r w:rsidR="009D20E6">
        <w:t xml:space="preserve">ew </w:t>
      </w:r>
      <w:r w:rsidRPr="00312B8C">
        <w:t>Z</w:t>
      </w:r>
      <w:r w:rsidR="009D20E6">
        <w:t>ealand</w:t>
      </w:r>
      <w:r w:rsidRPr="00312B8C">
        <w:t xml:space="preserve"> Bill of Rights Act justifying any </w:t>
      </w:r>
      <w:r>
        <w:t xml:space="preserve">possible </w:t>
      </w:r>
      <w:r w:rsidRPr="00312B8C">
        <w:t xml:space="preserve">restrictions on rights upon their introduction to the House. </w:t>
      </w:r>
    </w:p>
    <w:p w14:paraId="05113E3D" w14:textId="46242CE2" w:rsidR="004D77DB" w:rsidRDefault="004D77DB" w:rsidP="00FB32D6">
      <w:pPr>
        <w:pStyle w:val="BodyTextnonum"/>
      </w:pPr>
      <w:bookmarkStart w:id="178" w:name="_Hlk108520478"/>
      <w:r w:rsidRPr="00312B8C">
        <w:t xml:space="preserve">There remains a question of whether the Epidemic Preparedness Act was as useful as it could have been. The </w:t>
      </w:r>
      <w:r w:rsidR="0056325E" w:rsidRPr="003E0321">
        <w:t xml:space="preserve">Epidemic Preparedness </w:t>
      </w:r>
      <w:r w:rsidRPr="00312B8C">
        <w:t xml:space="preserve">Act only empowers the modification of any requirement or restriction imposed by any enactment by stating “alternative means of </w:t>
      </w:r>
      <w:r w:rsidRPr="00312B8C">
        <w:lastRenderedPageBreak/>
        <w:t xml:space="preserve">complying with the requirement </w:t>
      </w:r>
      <w:r w:rsidRPr="003E0321">
        <w:t>or restriction or substituting a discretionary power for the requirement or restriction”.</w:t>
      </w:r>
      <w:r w:rsidRPr="003E0321">
        <w:rPr>
          <w:rStyle w:val="FootnoteReference"/>
        </w:rPr>
        <w:footnoteReference w:id="124"/>
      </w:r>
      <w:r w:rsidRPr="003E0321">
        <w:t xml:space="preserve"> It does not allow new criteria to be set. Further legislation had to be enacted, for example, for private entities in the </w:t>
      </w:r>
      <w:r w:rsidRPr="00B57708">
        <w:rPr>
          <w:bdr w:val="none" w:sz="0" w:space="0" w:color="auto" w:frame="1"/>
        </w:rPr>
        <w:t xml:space="preserve">COVID-19 Response (Requirements </w:t>
      </w:r>
      <w:proofErr w:type="gramStart"/>
      <w:r w:rsidRPr="00B57708">
        <w:rPr>
          <w:bdr w:val="none" w:sz="0" w:space="0" w:color="auto" w:frame="1"/>
        </w:rPr>
        <w:t>For</w:t>
      </w:r>
      <w:proofErr w:type="gramEnd"/>
      <w:r w:rsidRPr="00B57708">
        <w:rPr>
          <w:bdr w:val="none" w:sz="0" w:space="0" w:color="auto" w:frame="1"/>
        </w:rPr>
        <w:t xml:space="preserve"> Entities—Modifications and Exemptions) Act 2020</w:t>
      </w:r>
      <w:r w:rsidRPr="00B57708">
        <w:rPr>
          <w:rStyle w:val="Hyperlink"/>
          <w:color w:val="auto"/>
          <w:u w:val="none"/>
          <w:bdr w:val="none" w:sz="0" w:space="0" w:color="auto" w:frame="1"/>
        </w:rPr>
        <w:t xml:space="preserve"> and for immigration purposes (discussed </w:t>
      </w:r>
      <w:r w:rsidR="000D0027">
        <w:rPr>
          <w:rStyle w:val="Hyperlink"/>
          <w:color w:val="auto"/>
          <w:u w:val="none"/>
          <w:bdr w:val="none" w:sz="0" w:space="0" w:color="auto" w:frame="1"/>
        </w:rPr>
        <w:t>next</w:t>
      </w:r>
      <w:r w:rsidRPr="00B57708">
        <w:rPr>
          <w:rStyle w:val="Hyperlink"/>
          <w:color w:val="auto"/>
          <w:u w:val="none"/>
          <w:bdr w:val="none" w:sz="0" w:space="0" w:color="auto" w:frame="1"/>
        </w:rPr>
        <w:t>)</w:t>
      </w:r>
      <w:r w:rsidRPr="00B57708">
        <w:t>. S</w:t>
      </w:r>
      <w:r w:rsidRPr="003E0321">
        <w:t>ome of the provisions in the C</w:t>
      </w:r>
      <w:r w:rsidR="0061070F">
        <w:t>OVID</w:t>
      </w:r>
      <w:r w:rsidRPr="003E0321">
        <w:t xml:space="preserve">-19 Response (Management Measures) </w:t>
      </w:r>
      <w:r w:rsidR="00A01DDB">
        <w:t xml:space="preserve">Legislation </w:t>
      </w:r>
      <w:r w:rsidRPr="003E0321">
        <w:t xml:space="preserve">Act 2021 were of a similar kind in that they extended statutory deadlines and allowed specified activities to be carried out remotely. There </w:t>
      </w:r>
      <w:r w:rsidRPr="00312B8C">
        <w:t xml:space="preserve">is an opportunity to consolidate this experience and to do more to provide for future pandemics </w:t>
      </w:r>
      <w:r>
        <w:t xml:space="preserve">(and other emergencies) </w:t>
      </w:r>
      <w:r w:rsidRPr="00312B8C">
        <w:t>in advance</w:t>
      </w:r>
      <w:r>
        <w:t xml:space="preserve"> in primary legislation. </w:t>
      </w:r>
    </w:p>
    <w:p w14:paraId="246E28FF" w14:textId="74DAC46C" w:rsidR="004D77DB" w:rsidRPr="008331DD" w:rsidRDefault="004D77DB" w:rsidP="005D55D7">
      <w:pPr>
        <w:pStyle w:val="Heading3"/>
      </w:pPr>
      <w:bookmarkStart w:id="179" w:name="_Toc116464831"/>
      <w:bookmarkStart w:id="180" w:name="_Toc117063124"/>
      <w:bookmarkStart w:id="181" w:name="_Toc118119316"/>
      <w:bookmarkEnd w:id="178"/>
      <w:r w:rsidRPr="008331DD">
        <w:t xml:space="preserve">Migration and </w:t>
      </w:r>
      <w:r w:rsidR="00244E5A">
        <w:t>b</w:t>
      </w:r>
      <w:r w:rsidRPr="008331DD">
        <w:t>orders</w:t>
      </w:r>
      <w:bookmarkEnd w:id="179"/>
      <w:bookmarkEnd w:id="180"/>
      <w:bookmarkEnd w:id="181"/>
    </w:p>
    <w:p w14:paraId="312784D9" w14:textId="30781547" w:rsidR="004D77DB" w:rsidRDefault="004D77DB" w:rsidP="00FB32D6">
      <w:pPr>
        <w:pStyle w:val="BodyTextnonum"/>
        <w:rPr>
          <w:rFonts w:eastAsia="Calibri"/>
          <w:color w:val="000000" w:themeColor="text1"/>
        </w:rPr>
      </w:pPr>
      <w:r>
        <w:t>At the onset of the C</w:t>
      </w:r>
      <w:r w:rsidR="0061070F">
        <w:t>OVID</w:t>
      </w:r>
      <w:r>
        <w:t xml:space="preserve">-19 pandemic, the borders were </w:t>
      </w:r>
      <w:proofErr w:type="gramStart"/>
      <w:r>
        <w:t>more or less closed</w:t>
      </w:r>
      <w:proofErr w:type="gramEnd"/>
      <w:r>
        <w:t xml:space="preserve"> to international travellers. This potentially detrimentally affected people already in </w:t>
      </w:r>
      <w:r w:rsidR="00AF692D">
        <w:t xml:space="preserve">Aotearoa </w:t>
      </w:r>
      <w:r>
        <w:t xml:space="preserve">New Zealand holding visas </w:t>
      </w:r>
      <w:r w:rsidR="00D30824">
        <w:t xml:space="preserve">that </w:t>
      </w:r>
      <w:r>
        <w:t>were due to expire. Existing legislation did not permit visa decisions to be made on a group or class basis. The emergency provisions triggered by the epidemic notice were not as helpful as had been anticipated given the numbers of people potentially affected and the difficulty of processing visa extensions in an emergency. This necessitated the passing of the Immigration (C</w:t>
      </w:r>
      <w:r w:rsidR="0061070F">
        <w:t>OVID</w:t>
      </w:r>
      <w:r>
        <w:t>-19</w:t>
      </w:r>
      <w:r>
        <w:rPr>
          <w:rFonts w:eastAsia="Calibri"/>
          <w:b/>
          <w:bCs/>
          <w:color w:val="000000" w:themeColor="text1"/>
        </w:rPr>
        <w:t xml:space="preserve"> </w:t>
      </w:r>
      <w:r w:rsidRPr="008331DD">
        <w:rPr>
          <w:rFonts w:eastAsia="Calibri"/>
          <w:color w:val="000000" w:themeColor="text1"/>
        </w:rPr>
        <w:t>Response</w:t>
      </w:r>
      <w:r w:rsidR="00487BAE">
        <w:rPr>
          <w:rFonts w:eastAsia="Calibri"/>
          <w:color w:val="000000" w:themeColor="text1"/>
        </w:rPr>
        <w:t>)</w:t>
      </w:r>
      <w:r w:rsidRPr="008331DD">
        <w:rPr>
          <w:rFonts w:eastAsia="Calibri"/>
          <w:color w:val="000000" w:themeColor="text1"/>
        </w:rPr>
        <w:t xml:space="preserve"> Amendment Act in March 2020</w:t>
      </w:r>
      <w:r>
        <w:rPr>
          <w:rFonts w:eastAsia="Calibri"/>
          <w:color w:val="000000" w:themeColor="text1"/>
        </w:rPr>
        <w:t>,</w:t>
      </w:r>
      <w:r w:rsidRPr="008331DD">
        <w:rPr>
          <w:rFonts w:eastAsia="Calibri"/>
          <w:color w:val="000000" w:themeColor="text1"/>
        </w:rPr>
        <w:t xml:space="preserve"> which conferred powers on the Minister to extend visas, vary visa conditions, confer visas without application</w:t>
      </w:r>
      <w:r>
        <w:rPr>
          <w:rFonts w:eastAsia="Calibri"/>
          <w:color w:val="000000" w:themeColor="text1"/>
        </w:rPr>
        <w:t xml:space="preserve"> and exempt people from various requirements on a class</w:t>
      </w:r>
      <w:r w:rsidR="00487BAE">
        <w:rPr>
          <w:rFonts w:eastAsia="Calibri"/>
          <w:color w:val="000000" w:themeColor="text1"/>
        </w:rPr>
        <w:t xml:space="preserve"> basis</w:t>
      </w:r>
      <w:r>
        <w:rPr>
          <w:rFonts w:eastAsia="Calibri"/>
          <w:color w:val="000000" w:themeColor="text1"/>
        </w:rPr>
        <w:t xml:space="preserve"> rather than </w:t>
      </w:r>
      <w:r w:rsidR="00487BAE">
        <w:rPr>
          <w:rFonts w:eastAsia="Calibri"/>
          <w:color w:val="000000" w:themeColor="text1"/>
        </w:rPr>
        <w:t xml:space="preserve">an </w:t>
      </w:r>
      <w:r>
        <w:rPr>
          <w:rFonts w:eastAsia="Calibri"/>
          <w:color w:val="000000" w:themeColor="text1"/>
        </w:rPr>
        <w:t>individual basis. It also stopped the processing of visa applications from individuals who were overseas. For the most part</w:t>
      </w:r>
      <w:r w:rsidR="00487BAE">
        <w:rPr>
          <w:rFonts w:eastAsia="Calibri"/>
          <w:color w:val="000000" w:themeColor="text1"/>
        </w:rPr>
        <w:t>,</w:t>
      </w:r>
      <w:r>
        <w:rPr>
          <w:rFonts w:eastAsia="Calibri"/>
          <w:color w:val="000000" w:themeColor="text1"/>
        </w:rPr>
        <w:t xml:space="preserve"> the powers were used to benefit existing visa holders</w:t>
      </w:r>
      <w:r w:rsidR="00287AC3">
        <w:rPr>
          <w:rFonts w:eastAsia="Calibri"/>
          <w:color w:val="000000" w:themeColor="text1"/>
        </w:rPr>
        <w:t xml:space="preserve"> and</w:t>
      </w:r>
      <w:r>
        <w:rPr>
          <w:rFonts w:eastAsia="Calibri"/>
          <w:color w:val="000000" w:themeColor="text1"/>
        </w:rPr>
        <w:t xml:space="preserve"> the powers were time-limited (the amendment was originally set to expire in a year and since has been extended until March 2023) and subject to appropriate oversight by the House of Representatives. It would now be possible to embed them in standing legislation (subject to discussion about the appropriate triggering provisions).</w:t>
      </w:r>
    </w:p>
    <w:p w14:paraId="742C3374" w14:textId="32602696" w:rsidR="004D77DB" w:rsidRDefault="004D77DB" w:rsidP="00FB32D6">
      <w:pPr>
        <w:pStyle w:val="BodyTextnonum"/>
        <w:rPr>
          <w:rFonts w:eastAsia="Calibri"/>
        </w:rPr>
      </w:pPr>
      <w:r>
        <w:rPr>
          <w:rFonts w:eastAsia="Calibri"/>
        </w:rPr>
        <w:t xml:space="preserve">Compulsory </w:t>
      </w:r>
      <w:r w:rsidR="00287AC3">
        <w:rPr>
          <w:rFonts w:eastAsia="Calibri"/>
        </w:rPr>
        <w:t>m</w:t>
      </w:r>
      <w:r>
        <w:rPr>
          <w:rFonts w:eastAsia="Calibri"/>
        </w:rPr>
        <w:t xml:space="preserve">anaged </w:t>
      </w:r>
      <w:r w:rsidR="00287AC3">
        <w:rPr>
          <w:rFonts w:eastAsia="Calibri"/>
        </w:rPr>
        <w:t>i</w:t>
      </w:r>
      <w:r>
        <w:rPr>
          <w:rFonts w:eastAsia="Calibri"/>
        </w:rPr>
        <w:t xml:space="preserve">solation and </w:t>
      </w:r>
      <w:r w:rsidR="00287AC3">
        <w:rPr>
          <w:rFonts w:eastAsia="Calibri"/>
        </w:rPr>
        <w:t>q</w:t>
      </w:r>
      <w:r>
        <w:rPr>
          <w:rFonts w:eastAsia="Calibri"/>
        </w:rPr>
        <w:t xml:space="preserve">uarantine (MIQ) facilities for those New Zealanders (and certain non-citizens) seeking to return to </w:t>
      </w:r>
      <w:r w:rsidR="00AF692D">
        <w:t>Aotearoa</w:t>
      </w:r>
      <w:r w:rsidR="00AF692D">
        <w:rPr>
          <w:rFonts w:eastAsia="Calibri"/>
        </w:rPr>
        <w:t xml:space="preserve"> </w:t>
      </w:r>
      <w:r>
        <w:rPr>
          <w:rFonts w:eastAsia="Calibri"/>
        </w:rPr>
        <w:t>New Zealand were a central part of the C</w:t>
      </w:r>
      <w:r w:rsidR="00AB2337">
        <w:t>OVID</w:t>
      </w:r>
      <w:r>
        <w:rPr>
          <w:rFonts w:eastAsia="Calibri"/>
        </w:rPr>
        <w:t xml:space="preserve">-19 virus elimination strategy (which was subsequently abandoned upon widespread community transmission of the more contagious </w:t>
      </w:r>
      <w:r w:rsidR="00287AC3">
        <w:rPr>
          <w:rFonts w:eastAsia="Calibri"/>
        </w:rPr>
        <w:t>O</w:t>
      </w:r>
      <w:r>
        <w:rPr>
          <w:rFonts w:eastAsia="Calibri"/>
        </w:rPr>
        <w:t xml:space="preserve">micron variant). Places in MIQ were in extremely high demand and for a period were regulated by an online system </w:t>
      </w:r>
      <w:r w:rsidR="00287AC3">
        <w:rPr>
          <w:rFonts w:eastAsia="Calibri"/>
        </w:rPr>
        <w:t xml:space="preserve">that </w:t>
      </w:r>
      <w:r>
        <w:rPr>
          <w:rFonts w:eastAsia="Calibri"/>
        </w:rPr>
        <w:t xml:space="preserve">operated as a kind of lottery and did not take account of how long people had been waiting to return home. There was a separate system for the emergency allocation of </w:t>
      </w:r>
      <w:proofErr w:type="gramStart"/>
      <w:r>
        <w:rPr>
          <w:rFonts w:eastAsia="Calibri"/>
        </w:rPr>
        <w:t>places</w:t>
      </w:r>
      <w:proofErr w:type="gramEnd"/>
      <w:r>
        <w:rPr>
          <w:rFonts w:eastAsia="Calibri"/>
        </w:rPr>
        <w:t xml:space="preserve"> but it was extremely limited and narrow. The system was successfully challenged as unreasonably restrictive of returning New Zealanders’ freedom of movement.</w:t>
      </w:r>
      <w:r>
        <w:rPr>
          <w:rStyle w:val="FootnoteReference"/>
          <w:rFonts w:eastAsia="Calibri"/>
          <w:color w:val="000000" w:themeColor="text1"/>
        </w:rPr>
        <w:footnoteReference w:id="125"/>
      </w:r>
      <w:r>
        <w:rPr>
          <w:rFonts w:eastAsia="Calibri"/>
        </w:rPr>
        <w:t xml:space="preserve"> </w:t>
      </w:r>
    </w:p>
    <w:p w14:paraId="5DE7FCAE" w14:textId="4FF33262" w:rsidR="004D77DB" w:rsidRDefault="004D77DB" w:rsidP="00FB32D6">
      <w:pPr>
        <w:pStyle w:val="BodyTextnonum"/>
        <w:rPr>
          <w:rFonts w:eastAsia="Calibri"/>
        </w:rPr>
      </w:pPr>
      <w:r>
        <w:rPr>
          <w:rFonts w:eastAsia="Calibri"/>
        </w:rPr>
        <w:t>In hindsight</w:t>
      </w:r>
      <w:r w:rsidR="00287AC3">
        <w:rPr>
          <w:rFonts w:eastAsia="Calibri"/>
        </w:rPr>
        <w:t>,</w:t>
      </w:r>
      <w:r>
        <w:rPr>
          <w:rFonts w:eastAsia="Calibri"/>
        </w:rPr>
        <w:t xml:space="preserve"> regulators may have underestimated the demand for return, the demand for emergency allocation and the importance of investing time in rule</w:t>
      </w:r>
      <w:r w:rsidR="00287AC3">
        <w:rPr>
          <w:rFonts w:eastAsia="Calibri"/>
        </w:rPr>
        <w:t xml:space="preserve"> </w:t>
      </w:r>
      <w:r>
        <w:rPr>
          <w:rFonts w:eastAsia="Calibri"/>
        </w:rPr>
        <w:t>making and criteria</w:t>
      </w:r>
      <w:r w:rsidR="00287AC3">
        <w:rPr>
          <w:rFonts w:eastAsia="Calibri"/>
        </w:rPr>
        <w:t xml:space="preserve"> </w:t>
      </w:r>
      <w:r>
        <w:rPr>
          <w:rFonts w:eastAsia="Calibri"/>
        </w:rPr>
        <w:t xml:space="preserve">setting when rights are at stake. </w:t>
      </w:r>
    </w:p>
    <w:p w14:paraId="5F73FEF4" w14:textId="77777777" w:rsidR="004D77DB" w:rsidRDefault="004D77DB" w:rsidP="007F0444">
      <w:pPr>
        <w:pStyle w:val="Heading2"/>
        <w:rPr>
          <w:shd w:val="clear" w:color="auto" w:fill="FFFFFF"/>
        </w:rPr>
      </w:pPr>
      <w:bookmarkStart w:id="182" w:name="_Toc116464832"/>
      <w:bookmarkStart w:id="183" w:name="_Toc117063125"/>
      <w:bookmarkStart w:id="184" w:name="_Toc118119317"/>
      <w:r w:rsidRPr="00C803A7">
        <w:rPr>
          <w:shd w:val="clear" w:color="auto" w:fill="FFFFFF"/>
        </w:rPr>
        <w:lastRenderedPageBreak/>
        <w:t>Enforcement powers in a pandemic</w:t>
      </w:r>
      <w:r>
        <w:rPr>
          <w:shd w:val="clear" w:color="auto" w:fill="FFFFFF"/>
        </w:rPr>
        <w:t xml:space="preserve"> and more generally</w:t>
      </w:r>
      <w:bookmarkEnd w:id="182"/>
      <w:bookmarkEnd w:id="183"/>
      <w:bookmarkEnd w:id="184"/>
    </w:p>
    <w:p w14:paraId="0008BB46" w14:textId="4892C776" w:rsidR="004D77DB" w:rsidRDefault="004D77DB" w:rsidP="00FB32D6">
      <w:pPr>
        <w:pStyle w:val="BodyTextnonum"/>
      </w:pPr>
      <w:r w:rsidRPr="005A231B">
        <w:t xml:space="preserve">Upon the outbreak of the recent pandemic, the key enforcement powers were </w:t>
      </w:r>
      <w:r>
        <w:t xml:space="preserve">generally </w:t>
      </w:r>
      <w:r w:rsidRPr="005A231B">
        <w:t>understood to be found in s 71A of the Health Act and in s 91 of the</w:t>
      </w:r>
      <w:r w:rsidRPr="00C803A7">
        <w:t xml:space="preserve"> </w:t>
      </w:r>
      <w:r w:rsidR="0075740A">
        <w:t xml:space="preserve">CDEM </w:t>
      </w:r>
      <w:r w:rsidRPr="00C803A7">
        <w:t xml:space="preserve">Act. </w:t>
      </w:r>
    </w:p>
    <w:p w14:paraId="61527CB4" w14:textId="41FACB50" w:rsidR="004D77DB" w:rsidRDefault="004D77DB" w:rsidP="00FB32D6">
      <w:pPr>
        <w:pStyle w:val="BodyTextnonum"/>
      </w:pPr>
      <w:r w:rsidRPr="009840CE">
        <w:t>Section 91 of the CDEM Act has sometimes been regarded as a residual, stand-alone or back</w:t>
      </w:r>
      <w:r w:rsidR="00287AC3">
        <w:t>-</w:t>
      </w:r>
      <w:r w:rsidRPr="009840CE">
        <w:t>up provision for the regulation of conduct in an emergency. It provides:</w:t>
      </w:r>
    </w:p>
    <w:p w14:paraId="37D22DB7" w14:textId="77777777" w:rsidR="004D77DB" w:rsidRPr="00E30992" w:rsidRDefault="004D77DB" w:rsidP="00C7088B">
      <w:pPr>
        <w:ind w:firstLine="720"/>
        <w:rPr>
          <w:sz w:val="18"/>
          <w:szCs w:val="18"/>
        </w:rPr>
      </w:pPr>
      <w:r w:rsidRPr="00E30992">
        <w:rPr>
          <w:sz w:val="18"/>
          <w:szCs w:val="18"/>
        </w:rPr>
        <w:t>Power to give directions</w:t>
      </w:r>
    </w:p>
    <w:p w14:paraId="15309582" w14:textId="77777777" w:rsidR="004D77DB" w:rsidRPr="00E30992" w:rsidRDefault="004D77DB" w:rsidP="00E6691B">
      <w:pPr>
        <w:pStyle w:val="subprov"/>
        <w:shd w:val="clear" w:color="auto" w:fill="FFFFFF"/>
        <w:spacing w:before="0" w:beforeAutospacing="0" w:after="0" w:afterAutospacing="0" w:line="288" w:lineRule="atLeast"/>
        <w:ind w:left="1418" w:hanging="567"/>
        <w:textAlignment w:val="baseline"/>
        <w:rPr>
          <w:rFonts w:ascii="Metropolis Light" w:hAnsi="Metropolis Light"/>
          <w:color w:val="000000"/>
          <w:sz w:val="18"/>
          <w:szCs w:val="18"/>
        </w:rPr>
      </w:pPr>
      <w:r w:rsidRPr="00E30992">
        <w:rPr>
          <w:rStyle w:val="label"/>
          <w:rFonts w:ascii="Metropolis Light" w:hAnsi="Metropolis Light"/>
          <w:color w:val="000000"/>
          <w:sz w:val="18"/>
          <w:szCs w:val="18"/>
          <w:bdr w:val="none" w:sz="0" w:space="0" w:color="auto" w:frame="1"/>
        </w:rPr>
        <w:t>(1)</w:t>
      </w:r>
      <w:r w:rsidRPr="00E30992">
        <w:rPr>
          <w:rStyle w:val="label"/>
          <w:rFonts w:ascii="Metropolis Light" w:hAnsi="Metropolis Light"/>
          <w:color w:val="000000"/>
          <w:sz w:val="18"/>
          <w:szCs w:val="18"/>
          <w:bdr w:val="none" w:sz="0" w:space="0" w:color="auto" w:frame="1"/>
        </w:rPr>
        <w:tab/>
      </w:r>
      <w:r w:rsidRPr="00E30992">
        <w:rPr>
          <w:rFonts w:ascii="Metropolis Light" w:hAnsi="Metropolis Light"/>
          <w:color w:val="000000"/>
          <w:sz w:val="18"/>
          <w:szCs w:val="18"/>
        </w:rPr>
        <w:t>While a state of emergency is in force, a Controller or a</w:t>
      </w:r>
      <w:r w:rsidRPr="00E30992">
        <w:rPr>
          <w:rFonts w:ascii="Calibri" w:hAnsi="Calibri" w:cs="Calibri"/>
          <w:color w:val="000000"/>
          <w:sz w:val="18"/>
          <w:szCs w:val="18"/>
        </w:rPr>
        <w:t> </w:t>
      </w:r>
      <w:r w:rsidRPr="00E30992">
        <w:rPr>
          <w:rStyle w:val="insertwords"/>
          <w:rFonts w:ascii="Metropolis Light" w:hAnsi="Metropolis Light"/>
          <w:color w:val="000000"/>
          <w:sz w:val="18"/>
          <w:szCs w:val="18"/>
          <w:bdr w:val="none" w:sz="0" w:space="0" w:color="auto" w:frame="1"/>
        </w:rPr>
        <w:t>constable</w:t>
      </w:r>
      <w:r w:rsidRPr="00E30992">
        <w:rPr>
          <w:rFonts w:ascii="Metropolis Light" w:hAnsi="Metropolis Light"/>
          <w:color w:val="000000"/>
          <w:sz w:val="18"/>
          <w:szCs w:val="18"/>
        </w:rPr>
        <w:t>, or any person acting under the authority of a Controller or</w:t>
      </w:r>
      <w:r w:rsidRPr="00E30992">
        <w:rPr>
          <w:rFonts w:ascii="Calibri" w:hAnsi="Calibri" w:cs="Calibri"/>
          <w:color w:val="000000"/>
          <w:sz w:val="18"/>
          <w:szCs w:val="18"/>
        </w:rPr>
        <w:t> </w:t>
      </w:r>
      <w:r w:rsidRPr="00E30992">
        <w:rPr>
          <w:rStyle w:val="insertwords"/>
          <w:rFonts w:ascii="Metropolis Light" w:hAnsi="Metropolis Light"/>
          <w:color w:val="000000"/>
          <w:sz w:val="18"/>
          <w:szCs w:val="18"/>
          <w:bdr w:val="none" w:sz="0" w:space="0" w:color="auto" w:frame="1"/>
        </w:rPr>
        <w:t>constable</w:t>
      </w:r>
      <w:r w:rsidRPr="00E30992">
        <w:rPr>
          <w:rFonts w:ascii="Metropolis Light" w:hAnsi="Metropolis Light"/>
          <w:color w:val="000000"/>
          <w:sz w:val="18"/>
          <w:szCs w:val="18"/>
        </w:rPr>
        <w:t>, may—</w:t>
      </w:r>
    </w:p>
    <w:p w14:paraId="03E44F68" w14:textId="40ECFA16" w:rsidR="004D77DB" w:rsidRPr="00E30992" w:rsidRDefault="004D77DB" w:rsidP="00DE223C">
      <w:pPr>
        <w:pStyle w:val="ListParagraph"/>
        <w:ind w:left="1985" w:hanging="567"/>
        <w:rPr>
          <w:sz w:val="18"/>
          <w:szCs w:val="18"/>
        </w:rPr>
      </w:pPr>
      <w:r w:rsidRPr="00E30992">
        <w:rPr>
          <w:rStyle w:val="label"/>
          <w:color w:val="000000"/>
          <w:sz w:val="18"/>
          <w:szCs w:val="18"/>
          <w:bdr w:val="none" w:sz="0" w:space="0" w:color="auto" w:frame="1"/>
        </w:rPr>
        <w:t>(a)</w:t>
      </w:r>
      <w:r w:rsidR="00E30992">
        <w:rPr>
          <w:rStyle w:val="label"/>
          <w:color w:val="000000"/>
          <w:sz w:val="18"/>
          <w:szCs w:val="18"/>
          <w:bdr w:val="none" w:sz="0" w:space="0" w:color="auto" w:frame="1"/>
        </w:rPr>
        <w:tab/>
      </w:r>
      <w:r w:rsidRPr="00E30992">
        <w:rPr>
          <w:sz w:val="18"/>
          <w:szCs w:val="18"/>
        </w:rPr>
        <w:t>direct any person to stop any activity that may cause or substantially contribute to an emergency:</w:t>
      </w:r>
    </w:p>
    <w:p w14:paraId="68C6FE94" w14:textId="5E42F1C3" w:rsidR="004D77DB" w:rsidRPr="00E30992" w:rsidRDefault="004D77DB" w:rsidP="00DE223C">
      <w:pPr>
        <w:pStyle w:val="ListParagraph"/>
        <w:ind w:left="1985" w:hanging="567"/>
        <w:rPr>
          <w:sz w:val="18"/>
          <w:szCs w:val="18"/>
        </w:rPr>
      </w:pPr>
      <w:r w:rsidRPr="00E30992">
        <w:rPr>
          <w:rStyle w:val="label"/>
          <w:color w:val="000000"/>
          <w:sz w:val="18"/>
          <w:szCs w:val="18"/>
          <w:bdr w:val="none" w:sz="0" w:space="0" w:color="auto" w:frame="1"/>
        </w:rPr>
        <w:t>(b)</w:t>
      </w:r>
      <w:r w:rsidR="00E30992">
        <w:rPr>
          <w:rStyle w:val="label"/>
          <w:color w:val="000000"/>
          <w:sz w:val="18"/>
          <w:szCs w:val="18"/>
          <w:bdr w:val="none" w:sz="0" w:space="0" w:color="auto" w:frame="1"/>
        </w:rPr>
        <w:tab/>
      </w:r>
      <w:r w:rsidRPr="00E30992">
        <w:rPr>
          <w:sz w:val="18"/>
          <w:szCs w:val="18"/>
        </w:rPr>
        <w:t>request any person, either verbally or in writing, to take any action to prevent or limit the extent of the emergency.</w:t>
      </w:r>
    </w:p>
    <w:p w14:paraId="3FC76F2D" w14:textId="77777777" w:rsidR="004D77DB" w:rsidRDefault="004D77DB" w:rsidP="00FB32D6">
      <w:pPr>
        <w:pStyle w:val="BodyTextnonum"/>
      </w:pPr>
      <w:r w:rsidRPr="009840CE">
        <w:t>Doubt</w:t>
      </w:r>
      <w:r>
        <w:t>s</w:t>
      </w:r>
      <w:r w:rsidRPr="009840CE">
        <w:t xml:space="preserve"> ha</w:t>
      </w:r>
      <w:r>
        <w:t>ve</w:t>
      </w:r>
      <w:r w:rsidRPr="009840CE">
        <w:t xml:space="preserve"> been cast on the appropriateness, </w:t>
      </w:r>
      <w:proofErr w:type="gramStart"/>
      <w:r w:rsidRPr="009840CE">
        <w:t>breadth</w:t>
      </w:r>
      <w:proofErr w:type="gramEnd"/>
      <w:r w:rsidRPr="009840CE">
        <w:t xml:space="preserve"> and usefulness of s 91 as a </w:t>
      </w:r>
      <w:r w:rsidRPr="009840CE">
        <w:rPr>
          <w:i/>
          <w:iCs/>
        </w:rPr>
        <w:t xml:space="preserve">general </w:t>
      </w:r>
      <w:r w:rsidRPr="009840CE">
        <w:t>enforcement mechanism during the recent epidemic</w:t>
      </w:r>
      <w:r>
        <w:t xml:space="preserve"> in the absence of a specific order proscribing certain conduct</w:t>
      </w:r>
      <w:r w:rsidRPr="009840CE">
        <w:t xml:space="preserve">. The High Court in </w:t>
      </w:r>
      <w:r w:rsidRPr="009840CE">
        <w:rPr>
          <w:i/>
          <w:iCs/>
        </w:rPr>
        <w:t xml:space="preserve">Borrowdale, </w:t>
      </w:r>
      <w:r w:rsidRPr="008331DD">
        <w:t>for example</w:t>
      </w:r>
      <w:r w:rsidRPr="009840CE">
        <w:rPr>
          <w:i/>
          <w:iCs/>
        </w:rPr>
        <w:t>,</w:t>
      </w:r>
      <w:r>
        <w:rPr>
          <w:i/>
          <w:iCs/>
        </w:rPr>
        <w:t xml:space="preserve"> </w:t>
      </w:r>
      <w:r w:rsidRPr="009840CE">
        <w:t>thought it would be unlikely that the failure of an individual or group of individuals to self-isolate and stay at home would in itself constitute an activity “that may cause or substantially contribute to an emergency”.</w:t>
      </w:r>
      <w:r w:rsidRPr="009840CE">
        <w:rPr>
          <w:rStyle w:val="FootnoteReference"/>
        </w:rPr>
        <w:footnoteReference w:id="126"/>
      </w:r>
      <w:r w:rsidRPr="009840CE">
        <w:t xml:space="preserve"> Nation J in </w:t>
      </w:r>
      <w:r w:rsidRPr="009840CE">
        <w:rPr>
          <w:i/>
          <w:iCs/>
        </w:rPr>
        <w:t>Maddigan v Police</w:t>
      </w:r>
      <w:r w:rsidRPr="009840CE">
        <w:t xml:space="preserve"> was less immediately dismissive and viewed the provision as giving constables wide discretion to respond to an emergency in an “on the ground capacity”.</w:t>
      </w:r>
      <w:r w:rsidRPr="009840CE">
        <w:rPr>
          <w:rStyle w:val="FootnoteReference"/>
        </w:rPr>
        <w:footnoteReference w:id="127"/>
      </w:r>
      <w:r w:rsidRPr="009840CE">
        <w:t xml:space="preserve"> The question of whether the constable had reason to think the defendant</w:t>
      </w:r>
      <w:r>
        <w:t>’</w:t>
      </w:r>
      <w:r w:rsidRPr="009840CE">
        <w:t xml:space="preserve">s actions may have contributed to an emergency was not tested in that case because of a guilty plea. In any event, it </w:t>
      </w:r>
      <w:r>
        <w:t>would be</w:t>
      </w:r>
      <w:r w:rsidRPr="009840CE">
        <w:t xml:space="preserve"> preferable </w:t>
      </w:r>
      <w:r>
        <w:t>for</w:t>
      </w:r>
      <w:r w:rsidRPr="009840CE">
        <w:t xml:space="preserve"> constables and others </w:t>
      </w:r>
      <w:r>
        <w:t>to rely on</w:t>
      </w:r>
      <w:r w:rsidRPr="009840CE">
        <w:t xml:space="preserve"> the enforcement powers </w:t>
      </w:r>
      <w:r>
        <w:t xml:space="preserve">designed </w:t>
      </w:r>
      <w:r w:rsidRPr="009840CE">
        <w:t xml:space="preserve">for the specific emergency rather than to rely on s 91 of the CDEM Act. </w:t>
      </w:r>
    </w:p>
    <w:p w14:paraId="7A121034" w14:textId="4D56A6E9" w:rsidR="004D77DB" w:rsidRDefault="004D77DB" w:rsidP="00FB32D6">
      <w:pPr>
        <w:pStyle w:val="BodyTextnonum"/>
      </w:pPr>
      <w:r w:rsidRPr="00C803A7">
        <w:t xml:space="preserve">The special pandemic </w:t>
      </w:r>
      <w:r>
        <w:t xml:space="preserve">emergency </w:t>
      </w:r>
      <w:r w:rsidRPr="00C803A7">
        <w:t>powers conferred by the Health Act are set out in ss 70 and 71 (the latter referring to requisitioning powers). Section 71 A of the Health Act authorises constables to enforce these provisions</w:t>
      </w:r>
      <w:r>
        <w:t xml:space="preserve"> in very broad terms</w:t>
      </w:r>
      <w:r w:rsidRPr="00C803A7">
        <w:t>:</w:t>
      </w:r>
    </w:p>
    <w:p w14:paraId="24012D70" w14:textId="77777777" w:rsidR="004D77DB" w:rsidRPr="00770571" w:rsidRDefault="004D77DB" w:rsidP="00AD109E">
      <w:pPr>
        <w:ind w:left="1418"/>
        <w:rPr>
          <w:sz w:val="18"/>
          <w:szCs w:val="18"/>
        </w:rPr>
      </w:pPr>
      <w:r w:rsidRPr="00770571">
        <w:rPr>
          <w:b/>
          <w:bCs/>
          <w:sz w:val="18"/>
          <w:szCs w:val="18"/>
        </w:rPr>
        <w:t>Power of</w:t>
      </w:r>
      <w:r w:rsidRPr="00770571">
        <w:rPr>
          <w:rFonts w:ascii="Calibri" w:hAnsi="Calibri" w:cs="Calibri"/>
          <w:b/>
          <w:bCs/>
          <w:sz w:val="18"/>
          <w:szCs w:val="18"/>
        </w:rPr>
        <w:t> </w:t>
      </w:r>
      <w:r w:rsidRPr="00770571">
        <w:rPr>
          <w:rStyle w:val="insertwords"/>
          <w:rFonts w:eastAsiaTheme="majorEastAsia"/>
          <w:b/>
          <w:bCs/>
          <w:color w:val="000000"/>
          <w:sz w:val="18"/>
          <w:szCs w:val="18"/>
          <w:bdr w:val="none" w:sz="0" w:space="0" w:color="auto" w:frame="1"/>
        </w:rPr>
        <w:t>constables</w:t>
      </w:r>
      <w:r w:rsidRPr="00770571">
        <w:rPr>
          <w:rFonts w:ascii="Calibri" w:hAnsi="Calibri" w:cs="Calibri"/>
          <w:b/>
          <w:bCs/>
          <w:sz w:val="18"/>
          <w:szCs w:val="18"/>
        </w:rPr>
        <w:t> </w:t>
      </w:r>
      <w:r w:rsidRPr="00770571">
        <w:rPr>
          <w:b/>
          <w:bCs/>
          <w:sz w:val="18"/>
          <w:szCs w:val="18"/>
        </w:rPr>
        <w:t>to assist medical officer of health in relation to infectious diseases</w:t>
      </w:r>
    </w:p>
    <w:p w14:paraId="5C38EDAA" w14:textId="12EA563A" w:rsidR="004D77DB" w:rsidRPr="00770571" w:rsidRDefault="004D77DB" w:rsidP="00BE44A5">
      <w:pPr>
        <w:pStyle w:val="subprov"/>
        <w:shd w:val="clear" w:color="auto" w:fill="FFFFFF"/>
        <w:spacing w:before="120" w:beforeAutospacing="0" w:after="120" w:afterAutospacing="0" w:line="288" w:lineRule="atLeast"/>
        <w:ind w:left="1985" w:hanging="567"/>
        <w:textAlignment w:val="baseline"/>
        <w:rPr>
          <w:rFonts w:ascii="Metropolis Light" w:hAnsi="Metropolis Light"/>
          <w:color w:val="000000"/>
          <w:sz w:val="18"/>
          <w:szCs w:val="18"/>
        </w:rPr>
      </w:pPr>
      <w:r w:rsidRPr="00770571">
        <w:rPr>
          <w:rStyle w:val="label"/>
          <w:rFonts w:ascii="Metropolis Light" w:hAnsi="Metropolis Light"/>
          <w:color w:val="000000"/>
          <w:sz w:val="18"/>
          <w:szCs w:val="18"/>
          <w:bdr w:val="none" w:sz="0" w:space="0" w:color="auto" w:frame="1"/>
        </w:rPr>
        <w:t>(1)</w:t>
      </w:r>
      <w:r w:rsidR="008A3BF9">
        <w:rPr>
          <w:rStyle w:val="label"/>
          <w:rFonts w:ascii="Metropolis Light" w:hAnsi="Metropolis Light"/>
          <w:color w:val="000000"/>
          <w:sz w:val="18"/>
          <w:szCs w:val="18"/>
          <w:bdr w:val="none" w:sz="0" w:space="0" w:color="auto" w:frame="1"/>
        </w:rPr>
        <w:tab/>
      </w:r>
      <w:r w:rsidRPr="00770571">
        <w:rPr>
          <w:rFonts w:ascii="Metropolis Light" w:hAnsi="Metropolis Light"/>
          <w:color w:val="000000"/>
          <w:sz w:val="18"/>
          <w:szCs w:val="18"/>
        </w:rPr>
        <w:t>A</w:t>
      </w:r>
      <w:r w:rsidRPr="00770571">
        <w:rPr>
          <w:rFonts w:ascii="Calibri" w:hAnsi="Calibri" w:cs="Calibri"/>
          <w:color w:val="000000"/>
          <w:sz w:val="18"/>
          <w:szCs w:val="18"/>
        </w:rPr>
        <w:t> </w:t>
      </w:r>
      <w:r w:rsidRPr="00770571">
        <w:rPr>
          <w:rStyle w:val="insertwords"/>
          <w:rFonts w:ascii="Metropolis Light" w:eastAsiaTheme="majorEastAsia" w:hAnsi="Metropolis Light"/>
          <w:color w:val="000000"/>
          <w:sz w:val="18"/>
          <w:szCs w:val="18"/>
          <w:bdr w:val="none" w:sz="0" w:space="0" w:color="auto" w:frame="1"/>
        </w:rPr>
        <w:t>constable</w:t>
      </w:r>
      <w:r w:rsidRPr="00770571">
        <w:rPr>
          <w:rFonts w:ascii="Calibri" w:hAnsi="Calibri" w:cs="Calibri"/>
          <w:color w:val="000000"/>
          <w:sz w:val="18"/>
          <w:szCs w:val="18"/>
        </w:rPr>
        <w:t> </w:t>
      </w:r>
      <w:r w:rsidRPr="00770571">
        <w:rPr>
          <w:rFonts w:ascii="Metropolis Light" w:hAnsi="Metropolis Light"/>
          <w:color w:val="000000"/>
          <w:sz w:val="18"/>
          <w:szCs w:val="18"/>
        </w:rPr>
        <w:t xml:space="preserve">may do </w:t>
      </w:r>
      <w:r w:rsidR="00BE44A5" w:rsidRPr="00770571">
        <w:rPr>
          <w:rFonts w:ascii="Metropolis Light" w:hAnsi="Metropolis Light"/>
          <w:color w:val="000000"/>
          <w:sz w:val="18"/>
          <w:szCs w:val="18"/>
        </w:rPr>
        <w:t>anything</w:t>
      </w:r>
      <w:r w:rsidRPr="00770571">
        <w:rPr>
          <w:rFonts w:ascii="Metropolis Light" w:hAnsi="Metropolis Light"/>
          <w:color w:val="000000"/>
          <w:sz w:val="18"/>
          <w:szCs w:val="18"/>
        </w:rPr>
        <w:t xml:space="preserve"> reasonably necessary (including the use of force)</w:t>
      </w:r>
      <w:r w:rsidRPr="00770571">
        <w:rPr>
          <w:rFonts w:ascii="Metropolis Light" w:hAnsi="Metropolis Light" w:cs="Metropolis Light"/>
          <w:color w:val="000000"/>
          <w:sz w:val="18"/>
          <w:szCs w:val="18"/>
        </w:rPr>
        <w:t>—</w:t>
      </w:r>
    </w:p>
    <w:p w14:paraId="0F0273A5" w14:textId="3EEB829C" w:rsidR="004D77DB" w:rsidRPr="00AD109E" w:rsidRDefault="004D77DB" w:rsidP="00AD109E">
      <w:pPr>
        <w:pStyle w:val="ListParagraph"/>
        <w:ind w:left="2552" w:hanging="567"/>
        <w:rPr>
          <w:sz w:val="18"/>
          <w:szCs w:val="18"/>
        </w:rPr>
      </w:pPr>
      <w:r w:rsidRPr="00770571">
        <w:rPr>
          <w:rStyle w:val="label"/>
          <w:color w:val="000000"/>
          <w:sz w:val="18"/>
          <w:szCs w:val="18"/>
          <w:bdr w:val="none" w:sz="0" w:space="0" w:color="auto" w:frame="1"/>
        </w:rPr>
        <w:t>(a)</w:t>
      </w:r>
      <w:r w:rsidR="00AD109E">
        <w:rPr>
          <w:rStyle w:val="label"/>
          <w:color w:val="000000"/>
          <w:sz w:val="18"/>
          <w:szCs w:val="18"/>
          <w:bdr w:val="none" w:sz="0" w:space="0" w:color="auto" w:frame="1"/>
        </w:rPr>
        <w:tab/>
      </w:r>
      <w:r w:rsidRPr="00AD109E">
        <w:rPr>
          <w:sz w:val="18"/>
          <w:szCs w:val="18"/>
        </w:rPr>
        <w:t>to help a medical officer of health or any person authorised by a medical officer of health in the exercise or performance of powers or functions under</w:t>
      </w:r>
      <w:r w:rsidRPr="00AD109E">
        <w:rPr>
          <w:rFonts w:ascii="Calibri" w:hAnsi="Calibri" w:cs="Calibri"/>
          <w:sz w:val="18"/>
          <w:szCs w:val="18"/>
        </w:rPr>
        <w:t> </w:t>
      </w:r>
      <w:hyperlink r:id="rId35" w:anchor="DLM307083" w:history="1">
        <w:r w:rsidRPr="00AD109E">
          <w:rPr>
            <w:rStyle w:val="Hyperlink"/>
            <w:color w:val="auto"/>
            <w:sz w:val="18"/>
            <w:szCs w:val="18"/>
            <w:bdr w:val="none" w:sz="0" w:space="0" w:color="auto" w:frame="1"/>
          </w:rPr>
          <w:t>section 70</w:t>
        </w:r>
      </w:hyperlink>
      <w:r w:rsidRPr="00AD109E">
        <w:rPr>
          <w:rFonts w:ascii="Calibri" w:hAnsi="Calibri" w:cs="Calibri"/>
          <w:sz w:val="18"/>
          <w:szCs w:val="18"/>
        </w:rPr>
        <w:t> </w:t>
      </w:r>
      <w:r w:rsidRPr="00AD109E">
        <w:rPr>
          <w:sz w:val="18"/>
          <w:szCs w:val="18"/>
        </w:rPr>
        <w:t>or</w:t>
      </w:r>
      <w:r w:rsidRPr="00AD109E">
        <w:rPr>
          <w:rFonts w:ascii="Calibri" w:hAnsi="Calibri" w:cs="Calibri"/>
          <w:sz w:val="18"/>
          <w:szCs w:val="18"/>
        </w:rPr>
        <w:t> </w:t>
      </w:r>
      <w:hyperlink r:id="rId36" w:anchor="DLM307201" w:history="1">
        <w:r w:rsidRPr="00AD109E">
          <w:rPr>
            <w:rStyle w:val="Hyperlink"/>
            <w:color w:val="auto"/>
            <w:sz w:val="18"/>
            <w:szCs w:val="18"/>
            <w:bdr w:val="none" w:sz="0" w:space="0" w:color="auto" w:frame="1"/>
          </w:rPr>
          <w:t>71</w:t>
        </w:r>
      </w:hyperlink>
      <w:r w:rsidRPr="00AD109E">
        <w:rPr>
          <w:sz w:val="18"/>
          <w:szCs w:val="18"/>
        </w:rPr>
        <w:t>; or</w:t>
      </w:r>
    </w:p>
    <w:p w14:paraId="6C1B2F18" w14:textId="7E984812" w:rsidR="004D77DB" w:rsidRPr="00AD109E" w:rsidRDefault="004D77DB" w:rsidP="00AD109E">
      <w:pPr>
        <w:pStyle w:val="ListParagraph"/>
        <w:ind w:left="2552" w:hanging="567"/>
        <w:rPr>
          <w:sz w:val="18"/>
          <w:szCs w:val="18"/>
        </w:rPr>
      </w:pPr>
      <w:r w:rsidRPr="00AD109E">
        <w:rPr>
          <w:rStyle w:val="label"/>
          <w:sz w:val="18"/>
          <w:szCs w:val="18"/>
          <w:bdr w:val="none" w:sz="0" w:space="0" w:color="auto" w:frame="1"/>
        </w:rPr>
        <w:t>(b)</w:t>
      </w:r>
      <w:r w:rsidR="00DE223C" w:rsidRPr="00AD109E">
        <w:rPr>
          <w:rStyle w:val="label"/>
          <w:sz w:val="18"/>
          <w:szCs w:val="18"/>
          <w:bdr w:val="none" w:sz="0" w:space="0" w:color="auto" w:frame="1"/>
        </w:rPr>
        <w:tab/>
      </w:r>
      <w:r w:rsidRPr="00AD109E">
        <w:rPr>
          <w:sz w:val="18"/>
          <w:szCs w:val="18"/>
        </w:rPr>
        <w:t>to help a person to do a thing that a medical officer of health or any person authorised by a medical officer of health has caused or required to be done in the exercise or performance of powers or functions under</w:t>
      </w:r>
      <w:r w:rsidRPr="00AD109E">
        <w:rPr>
          <w:rFonts w:ascii="Calibri" w:hAnsi="Calibri" w:cs="Calibri"/>
          <w:sz w:val="18"/>
          <w:szCs w:val="18"/>
        </w:rPr>
        <w:t> </w:t>
      </w:r>
      <w:hyperlink r:id="rId37" w:anchor="DLM307083" w:history="1">
        <w:r w:rsidRPr="00AD109E">
          <w:rPr>
            <w:rStyle w:val="Hyperlink"/>
            <w:color w:val="auto"/>
            <w:sz w:val="18"/>
            <w:szCs w:val="18"/>
            <w:bdr w:val="none" w:sz="0" w:space="0" w:color="auto" w:frame="1"/>
          </w:rPr>
          <w:t>section 70</w:t>
        </w:r>
      </w:hyperlink>
      <w:r w:rsidRPr="00AD109E">
        <w:rPr>
          <w:rFonts w:ascii="Calibri" w:hAnsi="Calibri" w:cs="Calibri"/>
          <w:sz w:val="18"/>
          <w:szCs w:val="18"/>
        </w:rPr>
        <w:t> </w:t>
      </w:r>
      <w:r w:rsidRPr="00AD109E">
        <w:rPr>
          <w:sz w:val="18"/>
          <w:szCs w:val="18"/>
        </w:rPr>
        <w:t>or</w:t>
      </w:r>
      <w:r w:rsidRPr="00AD109E">
        <w:rPr>
          <w:rFonts w:ascii="Calibri" w:hAnsi="Calibri" w:cs="Calibri"/>
          <w:sz w:val="18"/>
          <w:szCs w:val="18"/>
        </w:rPr>
        <w:t> </w:t>
      </w:r>
      <w:hyperlink r:id="rId38" w:anchor="DLM307201" w:history="1">
        <w:r w:rsidRPr="00AD109E">
          <w:rPr>
            <w:rStyle w:val="Hyperlink"/>
            <w:color w:val="auto"/>
            <w:sz w:val="18"/>
            <w:szCs w:val="18"/>
            <w:bdr w:val="none" w:sz="0" w:space="0" w:color="auto" w:frame="1"/>
          </w:rPr>
          <w:t>71</w:t>
        </w:r>
      </w:hyperlink>
      <w:r w:rsidRPr="00AD109E">
        <w:rPr>
          <w:sz w:val="18"/>
          <w:szCs w:val="18"/>
        </w:rPr>
        <w:t>; or</w:t>
      </w:r>
    </w:p>
    <w:p w14:paraId="69EAA7B9" w14:textId="3311D2E0" w:rsidR="004D77DB" w:rsidRPr="00AD109E" w:rsidRDefault="004D77DB" w:rsidP="00AD109E">
      <w:pPr>
        <w:pStyle w:val="ListParagraph"/>
        <w:ind w:left="2552" w:hanging="567"/>
        <w:rPr>
          <w:sz w:val="18"/>
          <w:szCs w:val="18"/>
        </w:rPr>
      </w:pPr>
      <w:r w:rsidRPr="00AD109E">
        <w:rPr>
          <w:rStyle w:val="label"/>
          <w:sz w:val="18"/>
          <w:szCs w:val="18"/>
          <w:bdr w:val="none" w:sz="0" w:space="0" w:color="auto" w:frame="1"/>
        </w:rPr>
        <w:t>(c)</w:t>
      </w:r>
      <w:r w:rsidR="00DE223C" w:rsidRPr="00AD109E">
        <w:rPr>
          <w:rStyle w:val="label"/>
          <w:sz w:val="18"/>
          <w:szCs w:val="18"/>
          <w:bdr w:val="none" w:sz="0" w:space="0" w:color="auto" w:frame="1"/>
        </w:rPr>
        <w:tab/>
      </w:r>
      <w:r w:rsidRPr="00AD109E">
        <w:rPr>
          <w:sz w:val="18"/>
          <w:szCs w:val="18"/>
        </w:rPr>
        <w:t>to prevent people from obstructing or hindering a medical officer of health or any person authorised by a medical officer of health in the exercise or performance of powers or functions under</w:t>
      </w:r>
      <w:r w:rsidRPr="00AD109E">
        <w:rPr>
          <w:rFonts w:ascii="Calibri" w:hAnsi="Calibri" w:cs="Calibri"/>
          <w:sz w:val="18"/>
          <w:szCs w:val="18"/>
        </w:rPr>
        <w:t> </w:t>
      </w:r>
      <w:hyperlink r:id="rId39" w:anchor="DLM307083" w:history="1">
        <w:r w:rsidRPr="00AD109E">
          <w:rPr>
            <w:rStyle w:val="Hyperlink"/>
            <w:color w:val="auto"/>
            <w:sz w:val="18"/>
            <w:szCs w:val="18"/>
            <w:bdr w:val="none" w:sz="0" w:space="0" w:color="auto" w:frame="1"/>
          </w:rPr>
          <w:t>section 70</w:t>
        </w:r>
      </w:hyperlink>
      <w:r w:rsidRPr="00AD109E">
        <w:rPr>
          <w:rFonts w:ascii="Calibri" w:hAnsi="Calibri" w:cs="Calibri"/>
          <w:sz w:val="18"/>
          <w:szCs w:val="18"/>
        </w:rPr>
        <w:t> </w:t>
      </w:r>
      <w:r w:rsidRPr="00AD109E">
        <w:rPr>
          <w:sz w:val="18"/>
          <w:szCs w:val="18"/>
        </w:rPr>
        <w:t>or</w:t>
      </w:r>
      <w:r w:rsidRPr="00AD109E">
        <w:rPr>
          <w:rFonts w:ascii="Calibri" w:hAnsi="Calibri" w:cs="Calibri"/>
          <w:sz w:val="18"/>
          <w:szCs w:val="18"/>
        </w:rPr>
        <w:t> </w:t>
      </w:r>
      <w:hyperlink r:id="rId40" w:anchor="DLM307201" w:history="1">
        <w:r w:rsidRPr="00AD109E">
          <w:rPr>
            <w:rStyle w:val="Hyperlink"/>
            <w:color w:val="auto"/>
            <w:sz w:val="18"/>
            <w:szCs w:val="18"/>
            <w:bdr w:val="none" w:sz="0" w:space="0" w:color="auto" w:frame="1"/>
          </w:rPr>
          <w:t>71</w:t>
        </w:r>
      </w:hyperlink>
      <w:r w:rsidRPr="00AD109E">
        <w:rPr>
          <w:sz w:val="18"/>
          <w:szCs w:val="18"/>
        </w:rPr>
        <w:t>; or</w:t>
      </w:r>
    </w:p>
    <w:p w14:paraId="6A3155B9" w14:textId="4DD3AA6D" w:rsidR="004D77DB" w:rsidRPr="00AD109E" w:rsidRDefault="004D77DB" w:rsidP="00AD109E">
      <w:pPr>
        <w:pStyle w:val="ListParagraph"/>
        <w:ind w:left="2552" w:hanging="567"/>
        <w:rPr>
          <w:sz w:val="18"/>
          <w:szCs w:val="18"/>
        </w:rPr>
      </w:pPr>
      <w:r w:rsidRPr="00AD109E">
        <w:rPr>
          <w:rStyle w:val="label"/>
          <w:sz w:val="18"/>
          <w:szCs w:val="18"/>
          <w:bdr w:val="none" w:sz="0" w:space="0" w:color="auto" w:frame="1"/>
        </w:rPr>
        <w:lastRenderedPageBreak/>
        <w:t>(d)</w:t>
      </w:r>
      <w:r w:rsidR="00DE223C" w:rsidRPr="00AD109E">
        <w:rPr>
          <w:rStyle w:val="label"/>
          <w:sz w:val="18"/>
          <w:szCs w:val="18"/>
          <w:bdr w:val="none" w:sz="0" w:space="0" w:color="auto" w:frame="1"/>
        </w:rPr>
        <w:tab/>
      </w:r>
      <w:r w:rsidRPr="00AD109E">
        <w:rPr>
          <w:sz w:val="18"/>
          <w:szCs w:val="18"/>
        </w:rPr>
        <w:t>to prevent people from obstructing or hindering a person doing a thing that a medical officer of health or any person authorised by a medical officer of health has caused or required to be done in the exercise or performance of powers or functions under</w:t>
      </w:r>
      <w:r w:rsidRPr="00AD109E">
        <w:rPr>
          <w:rFonts w:ascii="Calibri" w:hAnsi="Calibri" w:cs="Calibri"/>
          <w:sz w:val="18"/>
          <w:szCs w:val="18"/>
        </w:rPr>
        <w:t> </w:t>
      </w:r>
      <w:hyperlink r:id="rId41" w:anchor="DLM307083" w:history="1">
        <w:r w:rsidRPr="00AD109E">
          <w:rPr>
            <w:rStyle w:val="Hyperlink"/>
            <w:color w:val="auto"/>
            <w:sz w:val="18"/>
            <w:szCs w:val="18"/>
            <w:bdr w:val="none" w:sz="0" w:space="0" w:color="auto" w:frame="1"/>
          </w:rPr>
          <w:t>section 70</w:t>
        </w:r>
      </w:hyperlink>
      <w:r w:rsidRPr="00AD109E">
        <w:rPr>
          <w:rFonts w:ascii="Calibri" w:hAnsi="Calibri" w:cs="Calibri"/>
          <w:sz w:val="18"/>
          <w:szCs w:val="18"/>
        </w:rPr>
        <w:t> </w:t>
      </w:r>
      <w:r w:rsidRPr="00AD109E">
        <w:rPr>
          <w:sz w:val="18"/>
          <w:szCs w:val="18"/>
        </w:rPr>
        <w:t>or</w:t>
      </w:r>
      <w:r w:rsidRPr="00AD109E">
        <w:rPr>
          <w:rFonts w:ascii="Calibri" w:hAnsi="Calibri" w:cs="Calibri"/>
          <w:sz w:val="18"/>
          <w:szCs w:val="18"/>
        </w:rPr>
        <w:t> </w:t>
      </w:r>
      <w:hyperlink r:id="rId42" w:anchor="DLM307201" w:history="1">
        <w:r w:rsidRPr="00AD109E">
          <w:rPr>
            <w:rStyle w:val="Hyperlink"/>
            <w:color w:val="auto"/>
            <w:sz w:val="18"/>
            <w:szCs w:val="18"/>
            <w:bdr w:val="none" w:sz="0" w:space="0" w:color="auto" w:frame="1"/>
          </w:rPr>
          <w:t>71</w:t>
        </w:r>
      </w:hyperlink>
      <w:r w:rsidRPr="00AD109E">
        <w:rPr>
          <w:sz w:val="18"/>
          <w:szCs w:val="18"/>
        </w:rPr>
        <w:t>; or</w:t>
      </w:r>
    </w:p>
    <w:p w14:paraId="01B27B2B" w14:textId="4C3DE346" w:rsidR="004D77DB" w:rsidRPr="00AD109E" w:rsidRDefault="004D77DB" w:rsidP="00AD109E">
      <w:pPr>
        <w:pStyle w:val="ListParagraph"/>
        <w:ind w:left="2552" w:hanging="567"/>
        <w:rPr>
          <w:sz w:val="18"/>
          <w:szCs w:val="18"/>
        </w:rPr>
      </w:pPr>
      <w:r w:rsidRPr="00AD109E">
        <w:rPr>
          <w:rStyle w:val="label"/>
          <w:sz w:val="18"/>
          <w:szCs w:val="18"/>
          <w:bdr w:val="none" w:sz="0" w:space="0" w:color="auto" w:frame="1"/>
        </w:rPr>
        <w:t>(e)</w:t>
      </w:r>
      <w:r w:rsidR="00DE223C" w:rsidRPr="00AD109E">
        <w:rPr>
          <w:rStyle w:val="label"/>
          <w:sz w:val="18"/>
          <w:szCs w:val="18"/>
          <w:bdr w:val="none" w:sz="0" w:space="0" w:color="auto" w:frame="1"/>
        </w:rPr>
        <w:tab/>
      </w:r>
      <w:r w:rsidRPr="00AD109E">
        <w:rPr>
          <w:sz w:val="18"/>
          <w:szCs w:val="18"/>
        </w:rPr>
        <w:t>to compel, enforce, or ensure compliance with a requirement made by a medical officer of health or any person authorised by a medical officer of health in the exercise or performance of powers or functions under</w:t>
      </w:r>
      <w:r w:rsidRPr="00AD109E">
        <w:rPr>
          <w:rFonts w:ascii="Calibri" w:hAnsi="Calibri" w:cs="Calibri"/>
          <w:sz w:val="18"/>
          <w:szCs w:val="18"/>
        </w:rPr>
        <w:t> </w:t>
      </w:r>
      <w:hyperlink r:id="rId43" w:anchor="DLM307083" w:history="1">
        <w:r w:rsidRPr="00AD109E">
          <w:rPr>
            <w:rStyle w:val="Hyperlink"/>
            <w:color w:val="auto"/>
            <w:sz w:val="18"/>
            <w:szCs w:val="18"/>
            <w:bdr w:val="none" w:sz="0" w:space="0" w:color="auto" w:frame="1"/>
          </w:rPr>
          <w:t>section 70</w:t>
        </w:r>
      </w:hyperlink>
      <w:r w:rsidRPr="00AD109E">
        <w:rPr>
          <w:rFonts w:ascii="Calibri" w:hAnsi="Calibri" w:cs="Calibri"/>
          <w:sz w:val="18"/>
          <w:szCs w:val="18"/>
        </w:rPr>
        <w:t> </w:t>
      </w:r>
      <w:r w:rsidRPr="00AD109E">
        <w:rPr>
          <w:sz w:val="18"/>
          <w:szCs w:val="18"/>
        </w:rPr>
        <w:t>or</w:t>
      </w:r>
      <w:r w:rsidRPr="00AD109E">
        <w:rPr>
          <w:rFonts w:ascii="Calibri" w:hAnsi="Calibri" w:cs="Calibri"/>
          <w:sz w:val="18"/>
          <w:szCs w:val="18"/>
        </w:rPr>
        <w:t> </w:t>
      </w:r>
      <w:hyperlink r:id="rId44" w:anchor="DLM307201" w:history="1">
        <w:r w:rsidRPr="00AD109E">
          <w:rPr>
            <w:rStyle w:val="Hyperlink"/>
            <w:color w:val="auto"/>
            <w:sz w:val="18"/>
            <w:szCs w:val="18"/>
            <w:bdr w:val="none" w:sz="0" w:space="0" w:color="auto" w:frame="1"/>
          </w:rPr>
          <w:t>71</w:t>
        </w:r>
      </w:hyperlink>
      <w:r w:rsidRPr="00AD109E">
        <w:rPr>
          <w:sz w:val="18"/>
          <w:szCs w:val="18"/>
        </w:rPr>
        <w:t>; or</w:t>
      </w:r>
    </w:p>
    <w:p w14:paraId="372BD5BF" w14:textId="7D44DFCC" w:rsidR="004D77DB" w:rsidRPr="00AD109E" w:rsidRDefault="004D77DB" w:rsidP="00AD109E">
      <w:pPr>
        <w:pStyle w:val="ListParagraph"/>
        <w:ind w:left="2552" w:hanging="567"/>
        <w:contextualSpacing w:val="0"/>
        <w:rPr>
          <w:sz w:val="18"/>
          <w:szCs w:val="18"/>
        </w:rPr>
      </w:pPr>
      <w:r w:rsidRPr="00AD109E">
        <w:rPr>
          <w:rStyle w:val="label"/>
          <w:sz w:val="18"/>
          <w:szCs w:val="18"/>
          <w:bdr w:val="none" w:sz="0" w:space="0" w:color="auto" w:frame="1"/>
        </w:rPr>
        <w:t>(f)</w:t>
      </w:r>
      <w:r w:rsidR="00DE223C" w:rsidRPr="00AD109E">
        <w:rPr>
          <w:rStyle w:val="label"/>
          <w:sz w:val="18"/>
          <w:szCs w:val="18"/>
          <w:bdr w:val="none" w:sz="0" w:space="0" w:color="auto" w:frame="1"/>
        </w:rPr>
        <w:tab/>
      </w:r>
      <w:r w:rsidRPr="00AD109E">
        <w:rPr>
          <w:sz w:val="18"/>
          <w:szCs w:val="18"/>
        </w:rPr>
        <w:t>to prevent, or reduce the extent or effect of, the doing of a thing that a medical officer of health or any person authorised by a medical officer of health has forbidden or prohibited in the exercise or performance of powers or functions under</w:t>
      </w:r>
      <w:r w:rsidRPr="00AD109E">
        <w:rPr>
          <w:rFonts w:ascii="Calibri" w:hAnsi="Calibri" w:cs="Calibri"/>
          <w:sz w:val="18"/>
          <w:szCs w:val="18"/>
        </w:rPr>
        <w:t> </w:t>
      </w:r>
      <w:hyperlink r:id="rId45" w:anchor="DLM307083" w:history="1">
        <w:r w:rsidRPr="00AD109E">
          <w:rPr>
            <w:rStyle w:val="Hyperlink"/>
            <w:color w:val="auto"/>
            <w:sz w:val="18"/>
            <w:szCs w:val="18"/>
            <w:bdr w:val="none" w:sz="0" w:space="0" w:color="auto" w:frame="1"/>
          </w:rPr>
          <w:t>section 70</w:t>
        </w:r>
      </w:hyperlink>
      <w:r w:rsidRPr="00AD109E">
        <w:rPr>
          <w:rFonts w:ascii="Calibri" w:hAnsi="Calibri" w:cs="Calibri"/>
          <w:sz w:val="18"/>
          <w:szCs w:val="18"/>
        </w:rPr>
        <w:t> </w:t>
      </w:r>
      <w:r w:rsidRPr="00AD109E">
        <w:rPr>
          <w:sz w:val="18"/>
          <w:szCs w:val="18"/>
        </w:rPr>
        <w:t>or</w:t>
      </w:r>
      <w:r w:rsidRPr="00AD109E">
        <w:rPr>
          <w:rFonts w:ascii="Calibri" w:hAnsi="Calibri" w:cs="Calibri"/>
          <w:sz w:val="18"/>
          <w:szCs w:val="18"/>
        </w:rPr>
        <w:t> </w:t>
      </w:r>
      <w:hyperlink r:id="rId46" w:anchor="DLM307201" w:history="1">
        <w:r w:rsidRPr="00AD109E">
          <w:rPr>
            <w:rStyle w:val="Hyperlink"/>
            <w:color w:val="auto"/>
            <w:sz w:val="18"/>
            <w:szCs w:val="18"/>
            <w:bdr w:val="none" w:sz="0" w:space="0" w:color="auto" w:frame="1"/>
          </w:rPr>
          <w:t>71</w:t>
        </w:r>
      </w:hyperlink>
      <w:r w:rsidRPr="00AD109E">
        <w:rPr>
          <w:sz w:val="18"/>
          <w:szCs w:val="18"/>
        </w:rPr>
        <w:t>.</w:t>
      </w:r>
    </w:p>
    <w:p w14:paraId="27B3D1EA" w14:textId="7C8409AB" w:rsidR="004D77DB" w:rsidRPr="00770571" w:rsidRDefault="004D77DB" w:rsidP="00AD109E">
      <w:pPr>
        <w:pStyle w:val="subprov"/>
        <w:shd w:val="clear" w:color="auto" w:fill="FFFFFF"/>
        <w:spacing w:before="0" w:beforeAutospacing="0" w:after="0" w:afterAutospacing="0" w:line="288" w:lineRule="atLeast"/>
        <w:ind w:left="1985" w:hanging="567"/>
        <w:textAlignment w:val="baseline"/>
        <w:rPr>
          <w:rFonts w:ascii="Metropolis Light" w:hAnsi="Metropolis Light"/>
          <w:color w:val="000000"/>
          <w:sz w:val="18"/>
          <w:szCs w:val="18"/>
        </w:rPr>
      </w:pPr>
      <w:r w:rsidRPr="00770571">
        <w:rPr>
          <w:rStyle w:val="label"/>
          <w:rFonts w:ascii="Metropolis Light" w:hAnsi="Metropolis Light"/>
          <w:color w:val="000000"/>
          <w:sz w:val="18"/>
          <w:szCs w:val="18"/>
          <w:bdr w:val="none" w:sz="0" w:space="0" w:color="auto" w:frame="1"/>
        </w:rPr>
        <w:t>(2)</w:t>
      </w:r>
      <w:r w:rsidR="008A3BF9">
        <w:rPr>
          <w:rStyle w:val="label"/>
          <w:rFonts w:ascii="Metropolis Light" w:hAnsi="Metropolis Light"/>
          <w:color w:val="000000"/>
          <w:sz w:val="18"/>
          <w:szCs w:val="18"/>
          <w:bdr w:val="none" w:sz="0" w:space="0" w:color="auto" w:frame="1"/>
        </w:rPr>
        <w:tab/>
      </w:r>
      <w:r w:rsidRPr="00770571">
        <w:rPr>
          <w:rFonts w:ascii="Metropolis Light" w:hAnsi="Metropolis Light"/>
          <w:color w:val="000000"/>
          <w:sz w:val="18"/>
          <w:szCs w:val="18"/>
        </w:rPr>
        <w:t>A</w:t>
      </w:r>
      <w:r w:rsidRPr="00770571">
        <w:rPr>
          <w:rFonts w:ascii="Calibri" w:hAnsi="Calibri" w:cs="Calibri"/>
          <w:color w:val="000000"/>
          <w:sz w:val="18"/>
          <w:szCs w:val="18"/>
        </w:rPr>
        <w:t> </w:t>
      </w:r>
      <w:r w:rsidRPr="00770571">
        <w:rPr>
          <w:rStyle w:val="insertwords"/>
          <w:rFonts w:ascii="Metropolis Light" w:eastAsiaTheme="majorEastAsia" w:hAnsi="Metropolis Light"/>
          <w:color w:val="000000"/>
          <w:sz w:val="18"/>
          <w:szCs w:val="18"/>
          <w:bdr w:val="none" w:sz="0" w:space="0" w:color="auto" w:frame="1"/>
        </w:rPr>
        <w:t>constable</w:t>
      </w:r>
      <w:r w:rsidRPr="00770571">
        <w:rPr>
          <w:rFonts w:ascii="Calibri" w:hAnsi="Calibri" w:cs="Calibri"/>
          <w:color w:val="000000"/>
          <w:sz w:val="18"/>
          <w:szCs w:val="18"/>
        </w:rPr>
        <w:t> </w:t>
      </w:r>
      <w:r w:rsidRPr="00770571">
        <w:rPr>
          <w:rFonts w:ascii="Metropolis Light" w:hAnsi="Metropolis Light"/>
          <w:color w:val="000000"/>
          <w:sz w:val="18"/>
          <w:szCs w:val="18"/>
        </w:rPr>
        <w:t xml:space="preserve">acting under subsection (1) may at any time do any or </w:t>
      </w:r>
      <w:proofErr w:type="gramStart"/>
      <w:r w:rsidRPr="00770571">
        <w:rPr>
          <w:rFonts w:ascii="Metropolis Light" w:hAnsi="Metropolis Light"/>
          <w:color w:val="000000"/>
          <w:sz w:val="18"/>
          <w:szCs w:val="18"/>
        </w:rPr>
        <w:t>all of</w:t>
      </w:r>
      <w:proofErr w:type="gramEnd"/>
      <w:r w:rsidRPr="00770571">
        <w:rPr>
          <w:rFonts w:ascii="Metropolis Light" w:hAnsi="Metropolis Light"/>
          <w:color w:val="000000"/>
          <w:sz w:val="18"/>
          <w:szCs w:val="18"/>
        </w:rPr>
        <w:t xml:space="preserve"> the following things:</w:t>
      </w:r>
    </w:p>
    <w:p w14:paraId="3888BA1A" w14:textId="6A524274" w:rsidR="004D77DB" w:rsidRPr="00770571" w:rsidRDefault="004D77DB" w:rsidP="00AD109E">
      <w:pPr>
        <w:pStyle w:val="ListParagraph"/>
        <w:ind w:left="2552" w:hanging="567"/>
        <w:contextualSpacing w:val="0"/>
        <w:rPr>
          <w:sz w:val="18"/>
          <w:szCs w:val="18"/>
        </w:rPr>
      </w:pPr>
      <w:r w:rsidRPr="00770571">
        <w:rPr>
          <w:rStyle w:val="label"/>
          <w:color w:val="000000"/>
          <w:sz w:val="18"/>
          <w:szCs w:val="18"/>
          <w:bdr w:val="none" w:sz="0" w:space="0" w:color="auto" w:frame="1"/>
        </w:rPr>
        <w:t>(a)</w:t>
      </w:r>
      <w:r w:rsidR="00DE223C">
        <w:rPr>
          <w:rStyle w:val="label"/>
          <w:color w:val="000000"/>
          <w:sz w:val="18"/>
          <w:szCs w:val="18"/>
          <w:bdr w:val="none" w:sz="0" w:space="0" w:color="auto" w:frame="1"/>
        </w:rPr>
        <w:tab/>
      </w:r>
      <w:proofErr w:type="gramStart"/>
      <w:r w:rsidRPr="00770571">
        <w:rPr>
          <w:sz w:val="18"/>
          <w:szCs w:val="18"/>
        </w:rPr>
        <w:t>enter into</w:t>
      </w:r>
      <w:proofErr w:type="gramEnd"/>
      <w:r w:rsidRPr="00770571">
        <w:rPr>
          <w:sz w:val="18"/>
          <w:szCs w:val="18"/>
        </w:rPr>
        <w:t xml:space="preserve"> or on any land, building, aircraft, ship, or vehicle:</w:t>
      </w:r>
    </w:p>
    <w:p w14:paraId="705844D8" w14:textId="70CC50F4" w:rsidR="004D77DB" w:rsidRPr="00770571" w:rsidRDefault="004D77DB" w:rsidP="00AD109E">
      <w:pPr>
        <w:pStyle w:val="ListParagraph"/>
        <w:ind w:left="2552" w:hanging="567"/>
        <w:contextualSpacing w:val="0"/>
        <w:rPr>
          <w:sz w:val="18"/>
          <w:szCs w:val="18"/>
        </w:rPr>
      </w:pPr>
      <w:r w:rsidRPr="00770571">
        <w:rPr>
          <w:rStyle w:val="label"/>
          <w:color w:val="000000"/>
          <w:sz w:val="18"/>
          <w:szCs w:val="18"/>
          <w:bdr w:val="none" w:sz="0" w:space="0" w:color="auto" w:frame="1"/>
        </w:rPr>
        <w:t>(b)</w:t>
      </w:r>
      <w:r w:rsidR="00DE223C">
        <w:rPr>
          <w:rStyle w:val="label"/>
          <w:color w:val="000000"/>
          <w:sz w:val="18"/>
          <w:szCs w:val="18"/>
          <w:bdr w:val="none" w:sz="0" w:space="0" w:color="auto" w:frame="1"/>
        </w:rPr>
        <w:tab/>
      </w:r>
      <w:r w:rsidRPr="00770571">
        <w:rPr>
          <w:sz w:val="18"/>
          <w:szCs w:val="18"/>
        </w:rPr>
        <w:t xml:space="preserve">inspect any land, building, aircraft, ship, or vehicle, and </w:t>
      </w:r>
      <w:proofErr w:type="spellStart"/>
      <w:r w:rsidRPr="00770571">
        <w:rPr>
          <w:sz w:val="18"/>
          <w:szCs w:val="18"/>
        </w:rPr>
        <w:t>any thing</w:t>
      </w:r>
      <w:proofErr w:type="spellEnd"/>
      <w:r w:rsidRPr="00770571">
        <w:rPr>
          <w:sz w:val="18"/>
          <w:szCs w:val="18"/>
        </w:rPr>
        <w:t xml:space="preserve"> in or on it:</w:t>
      </w:r>
    </w:p>
    <w:p w14:paraId="055604AA" w14:textId="694A814C" w:rsidR="004D77DB" w:rsidRPr="00770571" w:rsidRDefault="004D77DB" w:rsidP="00AD109E">
      <w:pPr>
        <w:pStyle w:val="ListParagraph"/>
        <w:ind w:left="2552" w:hanging="567"/>
        <w:contextualSpacing w:val="0"/>
        <w:rPr>
          <w:sz w:val="18"/>
          <w:szCs w:val="18"/>
        </w:rPr>
      </w:pPr>
      <w:r w:rsidRPr="00770571">
        <w:rPr>
          <w:rStyle w:val="label"/>
          <w:color w:val="000000"/>
          <w:sz w:val="18"/>
          <w:szCs w:val="18"/>
          <w:bdr w:val="none" w:sz="0" w:space="0" w:color="auto" w:frame="1"/>
        </w:rPr>
        <w:t>(c)</w:t>
      </w:r>
      <w:r w:rsidR="00DE223C">
        <w:rPr>
          <w:rStyle w:val="label"/>
          <w:color w:val="000000"/>
          <w:sz w:val="18"/>
          <w:szCs w:val="18"/>
          <w:bdr w:val="none" w:sz="0" w:space="0" w:color="auto" w:frame="1"/>
        </w:rPr>
        <w:tab/>
      </w:r>
      <w:r w:rsidRPr="00770571">
        <w:rPr>
          <w:sz w:val="18"/>
          <w:szCs w:val="18"/>
        </w:rPr>
        <w:t>whether for the purposes of paragraph (a) or (b) (or both) or in the exercise of a power conferred by subsection (1</w:t>
      </w:r>
      <w:proofErr w:type="gramStart"/>
      <w:r w:rsidRPr="00770571">
        <w:rPr>
          <w:sz w:val="18"/>
          <w:szCs w:val="18"/>
        </w:rPr>
        <w:t>),—</w:t>
      </w:r>
      <w:proofErr w:type="gramEnd"/>
    </w:p>
    <w:p w14:paraId="4FFD9A57" w14:textId="53FB267A" w:rsidR="004D77DB" w:rsidRPr="00770571" w:rsidRDefault="004D77DB" w:rsidP="00AD109E">
      <w:pPr>
        <w:pStyle w:val="ListParagraph"/>
        <w:ind w:left="3119" w:hanging="567"/>
        <w:rPr>
          <w:sz w:val="18"/>
          <w:szCs w:val="18"/>
        </w:rPr>
      </w:pPr>
      <w:r w:rsidRPr="00770571">
        <w:rPr>
          <w:rStyle w:val="label"/>
          <w:color w:val="000000"/>
          <w:sz w:val="18"/>
          <w:szCs w:val="18"/>
          <w:bdr w:val="none" w:sz="0" w:space="0" w:color="auto" w:frame="1"/>
        </w:rPr>
        <w:t>(</w:t>
      </w:r>
      <w:proofErr w:type="spellStart"/>
      <w:r w:rsidRPr="00770571">
        <w:rPr>
          <w:rStyle w:val="label"/>
          <w:color w:val="000000"/>
          <w:sz w:val="18"/>
          <w:szCs w:val="18"/>
          <w:bdr w:val="none" w:sz="0" w:space="0" w:color="auto" w:frame="1"/>
        </w:rPr>
        <w:t>i</w:t>
      </w:r>
      <w:proofErr w:type="spellEnd"/>
      <w:r w:rsidRPr="00770571">
        <w:rPr>
          <w:rStyle w:val="label"/>
          <w:color w:val="000000"/>
          <w:sz w:val="18"/>
          <w:szCs w:val="18"/>
          <w:bdr w:val="none" w:sz="0" w:space="0" w:color="auto" w:frame="1"/>
        </w:rPr>
        <w:t>)</w:t>
      </w:r>
      <w:r w:rsidR="00DE223C">
        <w:rPr>
          <w:rStyle w:val="label"/>
          <w:color w:val="000000"/>
          <w:sz w:val="18"/>
          <w:szCs w:val="18"/>
          <w:bdr w:val="none" w:sz="0" w:space="0" w:color="auto" w:frame="1"/>
        </w:rPr>
        <w:tab/>
      </w:r>
      <w:r w:rsidRPr="00770571">
        <w:rPr>
          <w:sz w:val="18"/>
          <w:szCs w:val="18"/>
        </w:rPr>
        <w:t>stop a ship or vehicle, or a taxiing aircraft; or</w:t>
      </w:r>
    </w:p>
    <w:p w14:paraId="4F16D85E" w14:textId="650006A3" w:rsidR="004D77DB" w:rsidRPr="00770571" w:rsidRDefault="004D77DB" w:rsidP="00AD109E">
      <w:pPr>
        <w:pStyle w:val="ListParagraph"/>
        <w:ind w:left="3119" w:hanging="567"/>
        <w:rPr>
          <w:sz w:val="18"/>
          <w:szCs w:val="18"/>
        </w:rPr>
      </w:pPr>
      <w:r w:rsidRPr="00770571">
        <w:rPr>
          <w:rStyle w:val="label"/>
          <w:color w:val="000000"/>
          <w:sz w:val="18"/>
          <w:szCs w:val="18"/>
          <w:bdr w:val="none" w:sz="0" w:space="0" w:color="auto" w:frame="1"/>
        </w:rPr>
        <w:t>(ii)</w:t>
      </w:r>
      <w:r w:rsidR="00DE223C">
        <w:rPr>
          <w:rStyle w:val="label"/>
          <w:color w:val="000000"/>
          <w:sz w:val="18"/>
          <w:szCs w:val="18"/>
          <w:bdr w:val="none" w:sz="0" w:space="0" w:color="auto" w:frame="1"/>
        </w:rPr>
        <w:tab/>
      </w:r>
      <w:r w:rsidRPr="00770571">
        <w:rPr>
          <w:sz w:val="18"/>
          <w:szCs w:val="18"/>
        </w:rPr>
        <w:t>prevent a stationary aircraft, ship, or vehicle from moving; or</w:t>
      </w:r>
    </w:p>
    <w:p w14:paraId="3A77630B" w14:textId="4D0B7FC5" w:rsidR="004D77DB" w:rsidRPr="00770571" w:rsidRDefault="004D77DB" w:rsidP="00AD109E">
      <w:pPr>
        <w:pStyle w:val="ListParagraph"/>
        <w:ind w:left="3119" w:hanging="567"/>
        <w:rPr>
          <w:sz w:val="18"/>
          <w:szCs w:val="18"/>
        </w:rPr>
      </w:pPr>
      <w:r w:rsidRPr="00770571">
        <w:rPr>
          <w:rStyle w:val="label"/>
          <w:color w:val="000000"/>
          <w:sz w:val="18"/>
          <w:szCs w:val="18"/>
          <w:bdr w:val="none" w:sz="0" w:space="0" w:color="auto" w:frame="1"/>
        </w:rPr>
        <w:t>(iii)</w:t>
      </w:r>
      <w:r w:rsidR="00DE223C">
        <w:rPr>
          <w:rStyle w:val="label"/>
          <w:color w:val="000000"/>
          <w:sz w:val="18"/>
          <w:szCs w:val="18"/>
          <w:bdr w:val="none" w:sz="0" w:space="0" w:color="auto" w:frame="1"/>
        </w:rPr>
        <w:tab/>
      </w:r>
      <w:r w:rsidRPr="00770571">
        <w:rPr>
          <w:sz w:val="18"/>
          <w:szCs w:val="18"/>
        </w:rPr>
        <w:t>prevent an aircraft or ship from departing.</w:t>
      </w:r>
    </w:p>
    <w:p w14:paraId="111F6F1F" w14:textId="6663451D" w:rsidR="004D77DB" w:rsidRPr="00AD109E" w:rsidRDefault="004D77DB" w:rsidP="00AD109E">
      <w:pPr>
        <w:pStyle w:val="subprov"/>
        <w:shd w:val="clear" w:color="auto" w:fill="FFFFFF"/>
        <w:spacing w:before="120" w:beforeAutospacing="0" w:after="120" w:afterAutospacing="0" w:line="360" w:lineRule="auto"/>
        <w:ind w:left="1985" w:hanging="567"/>
        <w:textAlignment w:val="baseline"/>
        <w:rPr>
          <w:rFonts w:ascii="Metropolis Light" w:hAnsi="Metropolis Light"/>
          <w:sz w:val="18"/>
          <w:szCs w:val="18"/>
        </w:rPr>
      </w:pPr>
      <w:r w:rsidRPr="00770571">
        <w:rPr>
          <w:rStyle w:val="label"/>
          <w:rFonts w:ascii="Metropolis Light" w:hAnsi="Metropolis Light"/>
          <w:color w:val="000000"/>
          <w:sz w:val="18"/>
          <w:szCs w:val="18"/>
          <w:bdr w:val="none" w:sz="0" w:space="0" w:color="auto" w:frame="1"/>
        </w:rPr>
        <w:t>(3)</w:t>
      </w:r>
      <w:r w:rsidR="00DE223C">
        <w:rPr>
          <w:rStyle w:val="label"/>
          <w:rFonts w:ascii="Metropolis Light" w:hAnsi="Metropolis Light"/>
          <w:color w:val="000000"/>
          <w:sz w:val="18"/>
          <w:szCs w:val="18"/>
          <w:bdr w:val="none" w:sz="0" w:space="0" w:color="auto" w:frame="1"/>
        </w:rPr>
        <w:tab/>
      </w:r>
      <w:r w:rsidRPr="00AD109E">
        <w:rPr>
          <w:rFonts w:ascii="Metropolis Light" w:hAnsi="Metropolis Light"/>
          <w:sz w:val="18"/>
          <w:szCs w:val="18"/>
        </w:rPr>
        <w:t>Subsection (2) does not limit the generality of subsection (1).</w:t>
      </w:r>
    </w:p>
    <w:p w14:paraId="7DF6AEBB" w14:textId="095F51EA" w:rsidR="004D77DB" w:rsidRPr="00AD109E" w:rsidRDefault="004D77DB" w:rsidP="00AD109E">
      <w:pPr>
        <w:pStyle w:val="subprov"/>
        <w:shd w:val="clear" w:color="auto" w:fill="FFFFFF"/>
        <w:spacing w:before="120" w:beforeAutospacing="0" w:after="120" w:afterAutospacing="0" w:line="360" w:lineRule="auto"/>
        <w:ind w:left="1985" w:hanging="567"/>
        <w:textAlignment w:val="baseline"/>
        <w:rPr>
          <w:rFonts w:ascii="Metropolis Light" w:hAnsi="Metropolis Light"/>
          <w:sz w:val="18"/>
          <w:szCs w:val="18"/>
        </w:rPr>
      </w:pPr>
      <w:r w:rsidRPr="00AD109E">
        <w:rPr>
          <w:rStyle w:val="label"/>
          <w:rFonts w:ascii="Metropolis Light" w:hAnsi="Metropolis Light"/>
          <w:sz w:val="18"/>
          <w:szCs w:val="18"/>
          <w:bdr w:val="none" w:sz="0" w:space="0" w:color="auto" w:frame="1"/>
        </w:rPr>
        <w:t>(4)</w:t>
      </w:r>
      <w:r w:rsidR="00DE223C" w:rsidRPr="00AD109E">
        <w:rPr>
          <w:rStyle w:val="label"/>
          <w:rFonts w:ascii="Metropolis Light" w:hAnsi="Metropolis Light"/>
          <w:sz w:val="18"/>
          <w:szCs w:val="18"/>
          <w:bdr w:val="none" w:sz="0" w:space="0" w:color="auto" w:frame="1"/>
        </w:rPr>
        <w:tab/>
      </w:r>
      <w:r w:rsidRPr="00AD109E">
        <w:rPr>
          <w:rFonts w:ascii="Metropolis Light" w:hAnsi="Metropolis Light"/>
          <w:sz w:val="18"/>
          <w:szCs w:val="18"/>
        </w:rPr>
        <w:t>A</w:t>
      </w:r>
      <w:r w:rsidRPr="00AD109E">
        <w:rPr>
          <w:rFonts w:ascii="Calibri" w:hAnsi="Calibri" w:cs="Calibri"/>
          <w:sz w:val="18"/>
          <w:szCs w:val="18"/>
        </w:rPr>
        <w:t> </w:t>
      </w:r>
      <w:r w:rsidRPr="00AD109E">
        <w:rPr>
          <w:rStyle w:val="insertwords"/>
          <w:rFonts w:ascii="Metropolis Light" w:eastAsiaTheme="majorEastAsia" w:hAnsi="Metropolis Light"/>
          <w:sz w:val="18"/>
          <w:szCs w:val="18"/>
          <w:bdr w:val="none" w:sz="0" w:space="0" w:color="auto" w:frame="1"/>
        </w:rPr>
        <w:t>constable</w:t>
      </w:r>
      <w:r w:rsidRPr="00AD109E">
        <w:rPr>
          <w:rFonts w:ascii="Calibri" w:hAnsi="Calibri" w:cs="Calibri"/>
          <w:sz w:val="18"/>
          <w:szCs w:val="18"/>
        </w:rPr>
        <w:t> </w:t>
      </w:r>
      <w:r w:rsidRPr="00AD109E">
        <w:rPr>
          <w:rFonts w:ascii="Metropolis Light" w:hAnsi="Metropolis Light"/>
          <w:sz w:val="18"/>
          <w:szCs w:val="18"/>
        </w:rPr>
        <w:t xml:space="preserve">may do a thing </w:t>
      </w:r>
      <w:proofErr w:type="spellStart"/>
      <w:r w:rsidRPr="00AD109E">
        <w:rPr>
          <w:rFonts w:ascii="Metropolis Light" w:hAnsi="Metropolis Light"/>
          <w:sz w:val="18"/>
          <w:szCs w:val="18"/>
        </w:rPr>
        <w:t>authorised</w:t>
      </w:r>
      <w:proofErr w:type="spellEnd"/>
      <w:r w:rsidRPr="00AD109E">
        <w:rPr>
          <w:rFonts w:ascii="Metropolis Light" w:hAnsi="Metropolis Light"/>
          <w:sz w:val="18"/>
          <w:szCs w:val="18"/>
        </w:rPr>
        <w:t xml:space="preserve"> by subsection (1) or (2) </w:t>
      </w:r>
      <w:proofErr w:type="gramStart"/>
      <w:r w:rsidRPr="00AD109E">
        <w:rPr>
          <w:rFonts w:ascii="Metropolis Light" w:hAnsi="Metropolis Light"/>
          <w:sz w:val="18"/>
          <w:szCs w:val="18"/>
        </w:rPr>
        <w:t>whether or not</w:t>
      </w:r>
      <w:proofErr w:type="gramEnd"/>
      <w:r w:rsidRPr="00AD109E">
        <w:rPr>
          <w:rFonts w:ascii="Metropolis Light" w:hAnsi="Metropolis Light"/>
          <w:sz w:val="18"/>
          <w:szCs w:val="18"/>
        </w:rPr>
        <w:t xml:space="preserve"> a medical officer of health has asked him or her to do so.</w:t>
      </w:r>
    </w:p>
    <w:p w14:paraId="7B9A3E28" w14:textId="28D63276" w:rsidR="004D77DB" w:rsidRPr="00AD109E" w:rsidRDefault="004D77DB" w:rsidP="00AD109E">
      <w:pPr>
        <w:pStyle w:val="subprov"/>
        <w:shd w:val="clear" w:color="auto" w:fill="FFFFFF"/>
        <w:spacing w:before="120" w:beforeAutospacing="0" w:after="120" w:afterAutospacing="0" w:line="360" w:lineRule="auto"/>
        <w:ind w:left="1985" w:hanging="567"/>
        <w:textAlignment w:val="baseline"/>
        <w:rPr>
          <w:rFonts w:ascii="Metropolis Light" w:hAnsi="Metropolis Light"/>
          <w:sz w:val="18"/>
          <w:szCs w:val="18"/>
        </w:rPr>
      </w:pPr>
      <w:r w:rsidRPr="00AD109E">
        <w:rPr>
          <w:rStyle w:val="label"/>
          <w:rFonts w:ascii="Metropolis Light" w:hAnsi="Metropolis Light"/>
          <w:sz w:val="18"/>
          <w:szCs w:val="18"/>
          <w:bdr w:val="none" w:sz="0" w:space="0" w:color="auto" w:frame="1"/>
        </w:rPr>
        <w:t>(5)</w:t>
      </w:r>
      <w:bookmarkStart w:id="185" w:name="DLM4355802"/>
      <w:r w:rsidR="00DE223C" w:rsidRPr="00AD109E">
        <w:rPr>
          <w:rStyle w:val="label"/>
          <w:rFonts w:ascii="Metropolis Light" w:hAnsi="Metropolis Light"/>
          <w:sz w:val="18"/>
          <w:szCs w:val="18"/>
          <w:bdr w:val="none" w:sz="0" w:space="0" w:color="auto" w:frame="1"/>
        </w:rPr>
        <w:tab/>
      </w:r>
      <w:bookmarkEnd w:id="185"/>
      <w:r>
        <w:fldChar w:fldCharType="begin"/>
      </w:r>
      <w:r>
        <w:instrText>HYPERLINK "https://www.legislation.govt.nz/act/public/1956/0065/latest/link.aspx?id=DLM4355802" \l "DLM4355802"</w:instrText>
      </w:r>
      <w:r>
        <w:fldChar w:fldCharType="separate"/>
      </w:r>
      <w:r w:rsidRPr="00AD109E">
        <w:rPr>
          <w:rStyle w:val="Hyperlink"/>
          <w:rFonts w:ascii="Metropolis Light" w:hAnsi="Metropolis Light"/>
          <w:color w:val="auto"/>
          <w:sz w:val="18"/>
          <w:szCs w:val="18"/>
          <w:bdr w:val="none" w:sz="0" w:space="0" w:color="auto" w:frame="1"/>
        </w:rPr>
        <w:t>Sections 128</w:t>
      </w:r>
      <w:r>
        <w:rPr>
          <w:rStyle w:val="Hyperlink"/>
          <w:rFonts w:ascii="Metropolis Light" w:hAnsi="Metropolis Light"/>
          <w:color w:val="auto"/>
          <w:sz w:val="18"/>
          <w:szCs w:val="18"/>
          <w:bdr w:val="none" w:sz="0" w:space="0" w:color="auto" w:frame="1"/>
        </w:rPr>
        <w:fldChar w:fldCharType="end"/>
      </w:r>
      <w:r w:rsidRPr="00AD109E">
        <w:rPr>
          <w:rFonts w:ascii="Metropolis Light" w:hAnsi="Metropolis Light"/>
          <w:sz w:val="18"/>
          <w:szCs w:val="18"/>
        </w:rPr>
        <w:t>,</w:t>
      </w:r>
      <w:r w:rsidRPr="00AD109E">
        <w:rPr>
          <w:rFonts w:ascii="Calibri" w:hAnsi="Calibri" w:cs="Calibri"/>
          <w:sz w:val="18"/>
          <w:szCs w:val="18"/>
        </w:rPr>
        <w:t> </w:t>
      </w:r>
      <w:bookmarkStart w:id="186" w:name="DLM2136830"/>
      <w:r w:rsidRPr="00AD109E">
        <w:rPr>
          <w:rFonts w:ascii="Metropolis Light" w:hAnsi="Metropolis Light"/>
          <w:sz w:val="18"/>
          <w:szCs w:val="18"/>
        </w:rPr>
        <w:fldChar w:fldCharType="begin"/>
      </w:r>
      <w:r w:rsidRPr="00AD109E">
        <w:rPr>
          <w:rFonts w:ascii="Metropolis Light" w:hAnsi="Metropolis Light"/>
          <w:sz w:val="18"/>
          <w:szCs w:val="18"/>
        </w:rPr>
        <w:instrText xml:space="preserve"> HYPERLINK "https://www.legislation.govt.nz/act/public/1956/0065/latest/link.aspx?id=DLM2136830" \l "DLM2136830" </w:instrText>
      </w:r>
      <w:r w:rsidRPr="00AD109E">
        <w:rPr>
          <w:rFonts w:ascii="Metropolis Light" w:hAnsi="Metropolis Light"/>
          <w:sz w:val="18"/>
          <w:szCs w:val="18"/>
        </w:rPr>
      </w:r>
      <w:r w:rsidRPr="00AD109E">
        <w:rPr>
          <w:rFonts w:ascii="Metropolis Light" w:hAnsi="Metropolis Light"/>
          <w:sz w:val="18"/>
          <w:szCs w:val="18"/>
        </w:rPr>
        <w:fldChar w:fldCharType="separate"/>
      </w:r>
      <w:r w:rsidRPr="00AD109E">
        <w:rPr>
          <w:rStyle w:val="Hyperlink"/>
          <w:rFonts w:ascii="Metropolis Light" w:hAnsi="Metropolis Light"/>
          <w:color w:val="auto"/>
          <w:sz w:val="18"/>
          <w:szCs w:val="18"/>
          <w:bdr w:val="none" w:sz="0" w:space="0" w:color="auto" w:frame="1"/>
        </w:rPr>
        <w:t>129</w:t>
      </w:r>
      <w:r w:rsidRPr="00AD109E">
        <w:rPr>
          <w:rFonts w:ascii="Metropolis Light" w:hAnsi="Metropolis Light"/>
          <w:sz w:val="18"/>
          <w:szCs w:val="18"/>
        </w:rPr>
        <w:fldChar w:fldCharType="end"/>
      </w:r>
      <w:bookmarkEnd w:id="186"/>
      <w:r w:rsidRPr="00AD109E">
        <w:rPr>
          <w:rFonts w:ascii="Metropolis Light" w:hAnsi="Metropolis Light"/>
          <w:sz w:val="18"/>
          <w:szCs w:val="18"/>
        </w:rPr>
        <w:t>, and</w:t>
      </w:r>
      <w:r w:rsidRPr="00AD109E">
        <w:rPr>
          <w:rFonts w:ascii="Calibri" w:hAnsi="Calibri" w:cs="Calibri"/>
          <w:sz w:val="18"/>
          <w:szCs w:val="18"/>
        </w:rPr>
        <w:t> </w:t>
      </w:r>
      <w:bookmarkStart w:id="187" w:name="DLM2136893"/>
      <w:r w:rsidRPr="00AD109E">
        <w:rPr>
          <w:rFonts w:ascii="Metropolis Light" w:hAnsi="Metropolis Light"/>
          <w:sz w:val="18"/>
          <w:szCs w:val="18"/>
        </w:rPr>
        <w:fldChar w:fldCharType="begin"/>
      </w:r>
      <w:r w:rsidRPr="00AD109E">
        <w:rPr>
          <w:rFonts w:ascii="Metropolis Light" w:hAnsi="Metropolis Light"/>
          <w:sz w:val="18"/>
          <w:szCs w:val="18"/>
        </w:rPr>
        <w:instrText xml:space="preserve"> HYPERLINK "https://www.legislation.govt.nz/act/public/1956/0065/latest/link.aspx?id=DLM2136893" \l "DLM2136893" </w:instrText>
      </w:r>
      <w:r w:rsidRPr="00AD109E">
        <w:rPr>
          <w:rFonts w:ascii="Metropolis Light" w:hAnsi="Metropolis Light"/>
          <w:sz w:val="18"/>
          <w:szCs w:val="18"/>
        </w:rPr>
      </w:r>
      <w:r w:rsidRPr="00AD109E">
        <w:rPr>
          <w:rFonts w:ascii="Metropolis Light" w:hAnsi="Metropolis Light"/>
          <w:sz w:val="18"/>
          <w:szCs w:val="18"/>
        </w:rPr>
        <w:fldChar w:fldCharType="separate"/>
      </w:r>
      <w:r w:rsidRPr="00AD109E">
        <w:rPr>
          <w:rStyle w:val="Hyperlink"/>
          <w:rFonts w:ascii="Metropolis Light" w:hAnsi="Metropolis Light"/>
          <w:color w:val="auto"/>
          <w:sz w:val="18"/>
          <w:szCs w:val="18"/>
          <w:bdr w:val="none" w:sz="0" w:space="0" w:color="auto" w:frame="1"/>
        </w:rPr>
        <w:t>177</w:t>
      </w:r>
      <w:r w:rsidRPr="00AD109E">
        <w:rPr>
          <w:rFonts w:ascii="Metropolis Light" w:hAnsi="Metropolis Light"/>
          <w:sz w:val="18"/>
          <w:szCs w:val="18"/>
        </w:rPr>
        <w:fldChar w:fldCharType="end"/>
      </w:r>
      <w:bookmarkEnd w:id="187"/>
      <w:r w:rsidRPr="00AD109E">
        <w:rPr>
          <w:rFonts w:ascii="Calibri" w:hAnsi="Calibri" w:cs="Calibri"/>
          <w:sz w:val="18"/>
          <w:szCs w:val="18"/>
        </w:rPr>
        <w:t> </w:t>
      </w:r>
      <w:r w:rsidRPr="00AD109E">
        <w:rPr>
          <w:rFonts w:ascii="Metropolis Light" w:hAnsi="Metropolis Light"/>
          <w:sz w:val="18"/>
          <w:szCs w:val="18"/>
        </w:rPr>
        <w:t>of the Search and Surveillance Act 2012, with any necessary modifications, apply to the powers conferred by subsection (2)</w:t>
      </w:r>
      <w:r w:rsidRPr="00AD109E">
        <w:rPr>
          <w:rFonts w:ascii="Tahoma" w:hAnsi="Tahoma" w:cs="Tahoma"/>
          <w:sz w:val="18"/>
          <w:szCs w:val="18"/>
        </w:rPr>
        <w:t>﻿</w:t>
      </w:r>
      <w:r w:rsidRPr="00AD109E">
        <w:rPr>
          <w:rFonts w:ascii="Metropolis Light" w:hAnsi="Metropolis Light"/>
          <w:sz w:val="18"/>
          <w:szCs w:val="18"/>
        </w:rPr>
        <w:t>(c).</w:t>
      </w:r>
    </w:p>
    <w:p w14:paraId="674F790B" w14:textId="3C5A920A" w:rsidR="004D77DB" w:rsidRPr="00770571" w:rsidRDefault="004D77DB" w:rsidP="00AD109E">
      <w:pPr>
        <w:pStyle w:val="subprov"/>
        <w:shd w:val="clear" w:color="auto" w:fill="FFFFFF"/>
        <w:spacing w:before="120" w:beforeAutospacing="0" w:after="120" w:afterAutospacing="0" w:line="360" w:lineRule="auto"/>
        <w:ind w:left="1985" w:hanging="567"/>
        <w:textAlignment w:val="baseline"/>
        <w:rPr>
          <w:rFonts w:ascii="Metropolis Light" w:hAnsi="Metropolis Light"/>
          <w:color w:val="000000"/>
          <w:sz w:val="18"/>
          <w:szCs w:val="18"/>
        </w:rPr>
      </w:pPr>
      <w:r w:rsidRPr="00AD109E">
        <w:rPr>
          <w:rStyle w:val="label"/>
          <w:rFonts w:ascii="Metropolis Light" w:hAnsi="Metropolis Light"/>
          <w:sz w:val="18"/>
          <w:szCs w:val="18"/>
          <w:bdr w:val="none" w:sz="0" w:space="0" w:color="auto" w:frame="1"/>
        </w:rPr>
        <w:t>(6)</w:t>
      </w:r>
      <w:r w:rsidR="00DE223C" w:rsidRPr="00AD109E">
        <w:rPr>
          <w:rStyle w:val="label"/>
          <w:rFonts w:ascii="Metropolis Light" w:hAnsi="Metropolis Light"/>
          <w:sz w:val="18"/>
          <w:szCs w:val="18"/>
          <w:bdr w:val="none" w:sz="0" w:space="0" w:color="auto" w:frame="1"/>
        </w:rPr>
        <w:tab/>
      </w:r>
      <w:r w:rsidRPr="00AD109E">
        <w:rPr>
          <w:rFonts w:ascii="Metropolis Light" w:hAnsi="Metropolis Light"/>
          <w:sz w:val="18"/>
          <w:szCs w:val="18"/>
        </w:rPr>
        <w:t>A</w:t>
      </w:r>
      <w:r w:rsidRPr="00AD109E">
        <w:rPr>
          <w:rFonts w:ascii="Calibri" w:hAnsi="Calibri" w:cs="Calibri"/>
          <w:sz w:val="18"/>
          <w:szCs w:val="18"/>
        </w:rPr>
        <w:t> </w:t>
      </w:r>
      <w:r w:rsidRPr="00AD109E">
        <w:rPr>
          <w:rStyle w:val="insertwords"/>
          <w:rFonts w:ascii="Metropolis Light" w:eastAsiaTheme="majorEastAsia" w:hAnsi="Metropolis Light"/>
          <w:sz w:val="18"/>
          <w:szCs w:val="18"/>
          <w:bdr w:val="none" w:sz="0" w:space="0" w:color="auto" w:frame="1"/>
        </w:rPr>
        <w:t>constable</w:t>
      </w:r>
      <w:r w:rsidRPr="00AD109E">
        <w:rPr>
          <w:rFonts w:ascii="Calibri" w:hAnsi="Calibri" w:cs="Calibri"/>
          <w:sz w:val="18"/>
          <w:szCs w:val="18"/>
        </w:rPr>
        <w:t> </w:t>
      </w:r>
      <w:r w:rsidRPr="00AD109E">
        <w:rPr>
          <w:rFonts w:ascii="Metropolis Light" w:hAnsi="Metropolis Light"/>
          <w:sz w:val="18"/>
          <w:szCs w:val="18"/>
        </w:rPr>
        <w:t xml:space="preserve">does not incur any personal liability by reason of anything done by him or her in good </w:t>
      </w:r>
      <w:r w:rsidRPr="00770571">
        <w:rPr>
          <w:rFonts w:ascii="Metropolis Light" w:hAnsi="Metropolis Light"/>
          <w:color w:val="000000"/>
          <w:sz w:val="18"/>
          <w:szCs w:val="18"/>
        </w:rPr>
        <w:t>faith in the exercise or intended exercise of a power conferred by this section.</w:t>
      </w:r>
    </w:p>
    <w:p w14:paraId="29A0E96A" w14:textId="1E44AF6E" w:rsidR="004D77DB" w:rsidRPr="0015396B" w:rsidRDefault="004D77DB" w:rsidP="00FB32D6">
      <w:pPr>
        <w:pStyle w:val="BodyTextnonum"/>
      </w:pPr>
      <w:r w:rsidRPr="0015396B">
        <w:rPr>
          <w:rStyle w:val="label"/>
          <w:color w:val="000000"/>
          <w:bdr w:val="none" w:sz="0" w:space="0" w:color="auto" w:frame="1"/>
        </w:rPr>
        <w:t xml:space="preserve">Obstructing a medical officer of health or person assisting a medical officer of health is an offence </w:t>
      </w:r>
      <w:r w:rsidR="00F86FC3">
        <w:rPr>
          <w:rStyle w:val="insertwords"/>
          <w:rFonts w:eastAsiaTheme="majorEastAsia"/>
          <w:color w:val="000000"/>
          <w:bdr w:val="none" w:sz="0" w:space="0" w:color="auto" w:frame="1"/>
        </w:rPr>
        <w:t>that</w:t>
      </w:r>
      <w:r w:rsidR="00F86FC3" w:rsidRPr="0015396B">
        <w:rPr>
          <w:rStyle w:val="insertwords"/>
          <w:rFonts w:eastAsiaTheme="majorEastAsia"/>
          <w:color w:val="000000"/>
          <w:bdr w:val="none" w:sz="0" w:space="0" w:color="auto" w:frame="1"/>
        </w:rPr>
        <w:t xml:space="preserve"> </w:t>
      </w:r>
      <w:r w:rsidRPr="0015396B">
        <w:rPr>
          <w:rStyle w:val="insertwords"/>
          <w:rFonts w:eastAsiaTheme="majorEastAsia"/>
          <w:color w:val="000000"/>
          <w:bdr w:val="none" w:sz="0" w:space="0" w:color="auto" w:frame="1"/>
        </w:rPr>
        <w:t xml:space="preserve">can carry a term of </w:t>
      </w:r>
      <w:r w:rsidRPr="0015396B">
        <w:t>imprisonment not exceeding 6 months,</w:t>
      </w:r>
      <w:r>
        <w:t xml:space="preserve"> </w:t>
      </w:r>
      <w:r w:rsidRPr="0015396B">
        <w:t xml:space="preserve">a fine not exceeding $4,000 or both. </w:t>
      </w:r>
    </w:p>
    <w:p w14:paraId="05762291" w14:textId="022B6A32" w:rsidR="004D77DB" w:rsidRDefault="004D77DB" w:rsidP="00FB32D6">
      <w:pPr>
        <w:pStyle w:val="BodyTextnonum"/>
      </w:pPr>
      <w:r>
        <w:t>These powers are potentially very broad indeed. They include the ability to enter a range of places and things without a warrant, and they extend to the control of the borders and the interception of air</w:t>
      </w:r>
      <w:r w:rsidR="00DF360C">
        <w:t>craft</w:t>
      </w:r>
      <w:r>
        <w:t xml:space="preserve"> and other craft. They anticipate that an ordinary constable could stop a taxiing aircraft and negotiate the complex regulatory environments governing the international law of the sea, international </w:t>
      </w:r>
      <w:proofErr w:type="gramStart"/>
      <w:r>
        <w:t>carriers</w:t>
      </w:r>
      <w:proofErr w:type="gramEnd"/>
      <w:r>
        <w:t xml:space="preserve"> and international travellers. </w:t>
      </w:r>
    </w:p>
    <w:p w14:paraId="727589D2" w14:textId="2E790098" w:rsidR="004D77DB" w:rsidRDefault="004D77DB" w:rsidP="00FB32D6">
      <w:pPr>
        <w:pStyle w:val="BodyTextnonum"/>
        <w:rPr>
          <w:color w:val="000000"/>
        </w:rPr>
      </w:pPr>
      <w:r w:rsidRPr="00B26321">
        <w:t>Orders made under the COVID-19 Public Health Response Act had the effect of enlisting and extending the powers of other enforcement officials</w:t>
      </w:r>
      <w:r>
        <w:t xml:space="preserve"> to assist constables</w:t>
      </w:r>
      <w:r>
        <w:rPr>
          <w:b/>
          <w:bCs/>
        </w:rPr>
        <w:t>.</w:t>
      </w:r>
      <w:r w:rsidRPr="00BB6AA3">
        <w:rPr>
          <w:color w:val="000000"/>
        </w:rPr>
        <w:t xml:space="preserve"> </w:t>
      </w:r>
      <w:r>
        <w:rPr>
          <w:color w:val="000000"/>
        </w:rPr>
        <w:t>This was necessary in part because N</w:t>
      </w:r>
      <w:r w:rsidR="00D0440B">
        <w:rPr>
          <w:color w:val="000000"/>
        </w:rPr>
        <w:t xml:space="preserve">ew </w:t>
      </w:r>
      <w:r>
        <w:rPr>
          <w:color w:val="000000"/>
        </w:rPr>
        <w:t>Z</w:t>
      </w:r>
      <w:r w:rsidR="00D0440B">
        <w:rPr>
          <w:color w:val="000000"/>
        </w:rPr>
        <w:t>ealand</w:t>
      </w:r>
      <w:r>
        <w:rPr>
          <w:color w:val="000000"/>
        </w:rPr>
        <w:t xml:space="preserve"> Police resources were stretched. </w:t>
      </w:r>
      <w:r w:rsidRPr="00522A7C">
        <w:rPr>
          <w:color w:val="000000"/>
        </w:rPr>
        <w:t>The Director-General used s 18 of the C</w:t>
      </w:r>
      <w:r w:rsidR="00AB2337">
        <w:rPr>
          <w:color w:val="000000"/>
        </w:rPr>
        <w:t>OVID</w:t>
      </w:r>
      <w:r w:rsidRPr="00522A7C">
        <w:rPr>
          <w:color w:val="000000"/>
        </w:rPr>
        <w:t xml:space="preserve">-19 </w:t>
      </w:r>
      <w:r w:rsidR="00F03B47" w:rsidRPr="00E62952">
        <w:t xml:space="preserve">Public Health Response </w:t>
      </w:r>
      <w:r w:rsidRPr="00522A7C">
        <w:rPr>
          <w:color w:val="000000"/>
        </w:rPr>
        <w:t xml:space="preserve">Act to authorise as enforcement officers </w:t>
      </w:r>
      <w:bookmarkStart w:id="188" w:name="_Hlk108520934"/>
      <w:r w:rsidRPr="00522A7C">
        <w:rPr>
          <w:color w:val="000000"/>
        </w:rPr>
        <w:t>WorkSafe inspectors</w:t>
      </w:r>
      <w:r w:rsidR="00D0440B">
        <w:rPr>
          <w:color w:val="000000"/>
        </w:rPr>
        <w:t>,</w:t>
      </w:r>
      <w:r w:rsidRPr="00522A7C">
        <w:rPr>
          <w:color w:val="000000"/>
        </w:rPr>
        <w:t xml:space="preserve"> Aviation Security officers</w:t>
      </w:r>
      <w:r w:rsidR="00D0440B">
        <w:rPr>
          <w:color w:val="000000"/>
        </w:rPr>
        <w:t>,</w:t>
      </w:r>
      <w:r w:rsidRPr="00522A7C">
        <w:rPr>
          <w:color w:val="000000"/>
        </w:rPr>
        <w:t xml:space="preserve"> Customs officers</w:t>
      </w:r>
      <w:r w:rsidR="00D0440B">
        <w:rPr>
          <w:color w:val="000000"/>
        </w:rPr>
        <w:t>,</w:t>
      </w:r>
      <w:r w:rsidRPr="00522A7C">
        <w:rPr>
          <w:color w:val="000000"/>
        </w:rPr>
        <w:t xml:space="preserve"> members of the </w:t>
      </w:r>
      <w:r>
        <w:rPr>
          <w:color w:val="000000"/>
        </w:rPr>
        <w:t xml:space="preserve">New Zealand </w:t>
      </w:r>
      <w:r w:rsidR="00D0440B">
        <w:rPr>
          <w:color w:val="000000"/>
        </w:rPr>
        <w:t>d</w:t>
      </w:r>
      <w:r>
        <w:rPr>
          <w:color w:val="000000"/>
        </w:rPr>
        <w:t xml:space="preserve">efence </w:t>
      </w:r>
      <w:r w:rsidR="00D0440B">
        <w:rPr>
          <w:color w:val="000000"/>
        </w:rPr>
        <w:t>f</w:t>
      </w:r>
      <w:r w:rsidRPr="00522A7C">
        <w:rPr>
          <w:color w:val="000000"/>
        </w:rPr>
        <w:t xml:space="preserve">orces and an unspecified group of COVID-19 Enforcement Officers (Maritime Border). </w:t>
      </w:r>
      <w:bookmarkEnd w:id="188"/>
      <w:r w:rsidRPr="00522A7C">
        <w:rPr>
          <w:color w:val="000000"/>
        </w:rPr>
        <w:t xml:space="preserve">In most of these cases, powers </w:t>
      </w:r>
      <w:r>
        <w:rPr>
          <w:color w:val="000000"/>
        </w:rPr>
        <w:t>conferred by</w:t>
      </w:r>
      <w:r w:rsidRPr="00522A7C">
        <w:rPr>
          <w:color w:val="000000"/>
        </w:rPr>
        <w:t xml:space="preserve"> the </w:t>
      </w:r>
      <w:r w:rsidRPr="00522A7C">
        <w:rPr>
          <w:color w:val="000000"/>
        </w:rPr>
        <w:lastRenderedPageBreak/>
        <w:t>C</w:t>
      </w:r>
      <w:r>
        <w:rPr>
          <w:color w:val="000000"/>
        </w:rPr>
        <w:t>OVID</w:t>
      </w:r>
      <w:r w:rsidRPr="00522A7C">
        <w:rPr>
          <w:color w:val="000000"/>
        </w:rPr>
        <w:t xml:space="preserve">-19 </w:t>
      </w:r>
      <w:r w:rsidR="00D0440B">
        <w:rPr>
          <w:color w:val="000000"/>
        </w:rPr>
        <w:t xml:space="preserve">Public Health </w:t>
      </w:r>
      <w:r w:rsidRPr="00522A7C">
        <w:rPr>
          <w:color w:val="000000"/>
        </w:rPr>
        <w:t xml:space="preserve">Response Act were used to augment powers under existing legislation. </w:t>
      </w:r>
    </w:p>
    <w:p w14:paraId="6BA80902" w14:textId="26CB692C" w:rsidR="004D77DB" w:rsidRPr="00BB6AA3" w:rsidRDefault="004D77DB" w:rsidP="00FB32D6">
      <w:pPr>
        <w:pStyle w:val="BodyTextnonum"/>
      </w:pPr>
      <w:bookmarkStart w:id="189" w:name="_Hlk108520814"/>
      <w:r w:rsidRPr="00BB6AA3">
        <w:t>The enlistment of other officials for the enforcement of orders under the C</w:t>
      </w:r>
      <w:r>
        <w:t>OVID</w:t>
      </w:r>
      <w:r w:rsidRPr="00BB6AA3">
        <w:t>-19 Public Health Response Act tends to suggest that the enforcement provisions of the Health Act were not necessarily appropriate or sufficiently specialised for the long-lasting response required in relation to a pandemic emergency. Does the COVID-19 Public Health Response Act suggest a better model for enforcement powers in a pandemic emergency? Should the dormant standing provisions include specific authorisations of other enforcement powers and agents of enforcement?</w:t>
      </w:r>
    </w:p>
    <w:bookmarkEnd w:id="189"/>
    <w:p w14:paraId="2FD6835A" w14:textId="4E642A07" w:rsidR="004D77DB" w:rsidRPr="00BB6AA3" w:rsidRDefault="004D77DB" w:rsidP="00FB32D6">
      <w:pPr>
        <w:pStyle w:val="BodyTextnonum"/>
      </w:pPr>
      <w:r w:rsidRPr="00BB6AA3">
        <w:t>In answering those questions</w:t>
      </w:r>
      <w:r w:rsidR="00D0440B">
        <w:t>,</w:t>
      </w:r>
      <w:r w:rsidRPr="00BB6AA3">
        <w:t xml:space="preserve"> it is worth considering in some detail how the open-ended provisions of the COVID</w:t>
      </w:r>
      <w:r>
        <w:t>-</w:t>
      </w:r>
      <w:r w:rsidRPr="00BB6AA3">
        <w:t xml:space="preserve">19 Public Health Response Act were </w:t>
      </w:r>
      <w:proofErr w:type="gramStart"/>
      <w:r w:rsidRPr="00BB6AA3">
        <w:t>actually used</w:t>
      </w:r>
      <w:proofErr w:type="gramEnd"/>
      <w:r w:rsidRPr="00BB6AA3">
        <w:t xml:space="preserve">. </w:t>
      </w:r>
    </w:p>
    <w:p w14:paraId="05362DFE" w14:textId="5D64A409" w:rsidR="004D77DB" w:rsidRPr="00ED6407" w:rsidRDefault="004D77DB" w:rsidP="00B45243">
      <w:pPr>
        <w:pStyle w:val="Heading4"/>
      </w:pPr>
      <w:r w:rsidRPr="00ED6407">
        <w:t xml:space="preserve">The </w:t>
      </w:r>
      <w:r w:rsidR="00D0440B">
        <w:t>s</w:t>
      </w:r>
      <w:r w:rsidRPr="00ED6407">
        <w:t xml:space="preserve">pecial case of the </w:t>
      </w:r>
      <w:r w:rsidR="00D0440B">
        <w:t>d</w:t>
      </w:r>
      <w:r w:rsidRPr="00ED6407">
        <w:t xml:space="preserve">efence </w:t>
      </w:r>
      <w:r w:rsidR="00D0440B">
        <w:t>f</w:t>
      </w:r>
      <w:r w:rsidRPr="00ED6407">
        <w:t>orces</w:t>
      </w:r>
    </w:p>
    <w:p w14:paraId="0A8F17BC" w14:textId="2C1252BE" w:rsidR="004D77DB" w:rsidRDefault="004D77DB" w:rsidP="00FB32D6">
      <w:pPr>
        <w:pStyle w:val="BodyTextnonum"/>
      </w:pPr>
      <w:r w:rsidRPr="00522A7C">
        <w:t xml:space="preserve">Before we consider the different spheres in which these different enforcement officers were used, we need </w:t>
      </w:r>
      <w:r>
        <w:t xml:space="preserve">separately to </w:t>
      </w:r>
      <w:r w:rsidRPr="00522A7C">
        <w:t xml:space="preserve">consider the special case of the authorisation of the use of the </w:t>
      </w:r>
      <w:r w:rsidR="00900746">
        <w:t>defence</w:t>
      </w:r>
      <w:r w:rsidRPr="00522A7C">
        <w:t xml:space="preserve"> forces</w:t>
      </w:r>
      <w:r>
        <w:t xml:space="preserve"> to control managed isolation and quarantine facilities and to assist in other ways</w:t>
      </w:r>
      <w:r w:rsidRPr="00522A7C">
        <w:t xml:space="preserve">. According to New Zealand legislation and </w:t>
      </w:r>
      <w:r>
        <w:t>long</w:t>
      </w:r>
      <w:r w:rsidR="00CF2684">
        <w:t>-</w:t>
      </w:r>
      <w:r w:rsidRPr="00522A7C">
        <w:t>standing</w:t>
      </w:r>
      <w:r>
        <w:t xml:space="preserve"> principle</w:t>
      </w:r>
      <w:r w:rsidRPr="00522A7C">
        <w:t>,</w:t>
      </w:r>
      <w:r w:rsidRPr="00522A7C">
        <w:rPr>
          <w:rStyle w:val="FootnoteReference"/>
          <w:color w:val="000000"/>
        </w:rPr>
        <w:footnoteReference w:id="128"/>
      </w:r>
      <w:r w:rsidRPr="00522A7C">
        <w:t xml:space="preserve"> the deployment of military personnel domestically </w:t>
      </w:r>
      <w:r>
        <w:t xml:space="preserve">(including </w:t>
      </w:r>
      <w:r w:rsidRPr="00522A7C">
        <w:t>in emergencies</w:t>
      </w:r>
      <w:r>
        <w:t>)</w:t>
      </w:r>
      <w:r w:rsidRPr="00522A7C">
        <w:t xml:space="preserve"> has been legally circumscribed under s 9 of the Defence Act 1990 and s 12 International Terrorism (Emergency Powers) Act. The legislative intention is that</w:t>
      </w:r>
      <w:r w:rsidR="00CF2684">
        <w:t>,</w:t>
      </w:r>
      <w:r w:rsidRPr="00522A7C">
        <w:t xml:space="preserve"> where defence forces are deployed domestically, they act in aid of the </w:t>
      </w:r>
      <w:r w:rsidR="00CF2684">
        <w:t>P</w:t>
      </w:r>
      <w:r w:rsidRPr="00522A7C">
        <w:t xml:space="preserve">olice and under </w:t>
      </w:r>
      <w:r w:rsidR="00CF2684">
        <w:t>P</w:t>
      </w:r>
      <w:r w:rsidRPr="00522A7C">
        <w:t xml:space="preserve">olice command. The only circumstance under which legislation contemplates that the </w:t>
      </w:r>
      <w:r w:rsidR="00900746">
        <w:t>defence forces</w:t>
      </w:r>
      <w:r w:rsidR="00900746" w:rsidRPr="00522A7C">
        <w:t xml:space="preserve"> </w:t>
      </w:r>
      <w:r w:rsidRPr="00522A7C">
        <w:t xml:space="preserve">could have direct enforcement powers over the </w:t>
      </w:r>
      <w:r>
        <w:t xml:space="preserve">ordinary </w:t>
      </w:r>
      <w:r w:rsidRPr="00522A7C">
        <w:t>public is in the event of imminent emergencies where persons threaten death or serious injury to themselves or others, and even then, they can only be called to assist when N</w:t>
      </w:r>
      <w:r>
        <w:t xml:space="preserve">ew </w:t>
      </w:r>
      <w:r w:rsidRPr="00522A7C">
        <w:t>Z</w:t>
      </w:r>
      <w:r>
        <w:t>ealand</w:t>
      </w:r>
      <w:r w:rsidRPr="00522A7C">
        <w:t xml:space="preserve"> </w:t>
      </w:r>
      <w:r w:rsidR="00CF2684">
        <w:t>P</w:t>
      </w:r>
      <w:r w:rsidRPr="00522A7C">
        <w:t xml:space="preserve">olice cannot perform the task and under </w:t>
      </w:r>
      <w:r w:rsidR="00CF2684">
        <w:t>P</w:t>
      </w:r>
      <w:r w:rsidRPr="00522A7C">
        <w:t xml:space="preserve">olice direction. </w:t>
      </w:r>
    </w:p>
    <w:p w14:paraId="1F3E28F4" w14:textId="6871B12A" w:rsidR="004D77DB" w:rsidRPr="00EE1809" w:rsidRDefault="004D77DB" w:rsidP="00FB32D6">
      <w:pPr>
        <w:pStyle w:val="BodyTextnonum"/>
      </w:pPr>
      <w:r w:rsidRPr="00EE1809">
        <w:t xml:space="preserve">It is highly questionable whether the very general powers in s 18 conferring power </w:t>
      </w:r>
      <w:r>
        <w:t>on</w:t>
      </w:r>
      <w:r w:rsidRPr="00EE1809">
        <w:t xml:space="preserve"> the Director-General </w:t>
      </w:r>
      <w:r>
        <w:t xml:space="preserve">of Health </w:t>
      </w:r>
      <w:r w:rsidRPr="00EE1809">
        <w:t xml:space="preserve">to authorise enforcement officials </w:t>
      </w:r>
      <w:r>
        <w:t xml:space="preserve">should have </w:t>
      </w:r>
      <w:r w:rsidRPr="00EE1809">
        <w:t xml:space="preserve">by themselves </w:t>
      </w:r>
      <w:r>
        <w:t xml:space="preserve">been </w:t>
      </w:r>
      <w:r w:rsidRPr="00EE1809">
        <w:t xml:space="preserve">sufficient to override the provisions of the Defence Act (or </w:t>
      </w:r>
      <w:r>
        <w:t xml:space="preserve">potentially </w:t>
      </w:r>
      <w:r w:rsidRPr="00EE1809">
        <w:t>the International Terrorism (Emergency Powers) Act in a</w:t>
      </w:r>
      <w:r>
        <w:t xml:space="preserve">n analogous </w:t>
      </w:r>
      <w:r w:rsidRPr="00EE1809">
        <w:t>case). Nor is it appropriate that an official in the Ministry of Health, as opposed to a Minister, ought to be able to mobilise the defence forces under this or any other provision. The orders to deploy the New Zealand Defence Force were only saved by s 13(1)(a) of the COVID-19 Public Health Response Act</w:t>
      </w:r>
      <w:r w:rsidR="00900746">
        <w:t>,</w:t>
      </w:r>
      <w:r w:rsidRPr="00EE1809">
        <w:t xml:space="preserve"> which protected from invalidation any order authorising “any act or omission that is, inconsistent with the</w:t>
      </w:r>
      <w:r w:rsidRPr="00EE1809">
        <w:rPr>
          <w:rFonts w:ascii="Calibri" w:hAnsi="Calibri" w:cs="Calibri"/>
        </w:rPr>
        <w:t> </w:t>
      </w:r>
      <w:r w:rsidR="00517DE4" w:rsidRPr="00517DE4">
        <w:rPr>
          <w:bdr w:val="none" w:sz="0" w:space="0" w:color="auto" w:frame="1"/>
        </w:rPr>
        <w:t>Health Act 1956</w:t>
      </w:r>
      <w:r w:rsidRPr="00EE1809">
        <w:rPr>
          <w:rFonts w:ascii="Calibri" w:hAnsi="Calibri" w:cs="Calibri"/>
        </w:rPr>
        <w:t> </w:t>
      </w:r>
      <w:r w:rsidRPr="00EE1809">
        <w:t xml:space="preserve">or </w:t>
      </w:r>
      <w:r w:rsidRPr="00EE1809">
        <w:rPr>
          <w:i/>
          <w:iCs/>
        </w:rPr>
        <w:t>any other enactment relevant to the subject matter of the orde</w:t>
      </w:r>
      <w:r w:rsidRPr="00EE1809">
        <w:t xml:space="preserve">r”. Deployment of the New Zealand Defence Force </w:t>
      </w:r>
      <w:r>
        <w:t>domestically</w:t>
      </w:r>
      <w:r w:rsidRPr="00EE1809">
        <w:t xml:space="preserve"> is a serious act with constitutional implications. </w:t>
      </w:r>
    </w:p>
    <w:p w14:paraId="0FA3A9BA" w14:textId="395A80DB" w:rsidR="004D77DB" w:rsidRPr="00522A7C" w:rsidRDefault="004D77DB" w:rsidP="00FB32D6">
      <w:pPr>
        <w:pStyle w:val="BodyTextnonum"/>
      </w:pPr>
      <w:bookmarkStart w:id="190" w:name="_Hlk108521090"/>
      <w:r>
        <w:t>T</w:t>
      </w:r>
      <w:r w:rsidRPr="00522A7C">
        <w:t xml:space="preserve">he legislature should consider whether s 9 of the Defence Act should be </w:t>
      </w:r>
      <w:r>
        <w:t xml:space="preserve">amended </w:t>
      </w:r>
      <w:r w:rsidRPr="00522A7C">
        <w:t>to authorise assistance by the defence forces when an epidemic notice has been given. Ideally, ministerial approval ought to be required</w:t>
      </w:r>
      <w:r w:rsidR="00900746">
        <w:t>,</w:t>
      </w:r>
      <w:r w:rsidRPr="00522A7C">
        <w:t xml:space="preserve"> and limitations on the use of such enforcement powers against the civilian population ought to be included</w:t>
      </w:r>
      <w:r>
        <w:t>. They should be acting in support of civilian enforcement officers (such as Police or Customs officers).</w:t>
      </w:r>
      <w:bookmarkEnd w:id="190"/>
    </w:p>
    <w:p w14:paraId="347A8CA6" w14:textId="065DDEE8" w:rsidR="004D77DB" w:rsidRPr="008331DD" w:rsidRDefault="004D77DB" w:rsidP="00E97832">
      <w:pPr>
        <w:pStyle w:val="Heading4"/>
        <w:rPr>
          <w:color w:val="000000"/>
        </w:rPr>
      </w:pPr>
      <w:r>
        <w:lastRenderedPageBreak/>
        <w:t xml:space="preserve"> </w:t>
      </w:r>
      <w:r w:rsidRPr="00062630">
        <w:t xml:space="preserve">Where existing enforcement officers were deployed under the COVID-19 </w:t>
      </w:r>
      <w:r w:rsidR="00F03B47" w:rsidRPr="00E62952">
        <w:t xml:space="preserve">Public Health Response </w:t>
      </w:r>
      <w:r w:rsidRPr="00062630">
        <w:t>Act</w:t>
      </w:r>
    </w:p>
    <w:p w14:paraId="30BDB4B9" w14:textId="717883BA" w:rsidR="004D77DB" w:rsidRPr="00522A7C" w:rsidRDefault="004D77DB" w:rsidP="00FB32D6">
      <w:pPr>
        <w:pStyle w:val="BodyTextnonum"/>
      </w:pPr>
      <w:r>
        <w:t xml:space="preserve">Different officials have been deployed to assist in enforcement: </w:t>
      </w:r>
    </w:p>
    <w:p w14:paraId="78CADA92" w14:textId="77777777" w:rsidR="004D77DB" w:rsidRPr="00522A7C" w:rsidRDefault="004D77DB">
      <w:pPr>
        <w:pStyle w:val="BodyTextalphalist"/>
        <w:rPr>
          <w:shd w:val="clear" w:color="auto" w:fill="FFFFFF"/>
        </w:rPr>
      </w:pPr>
      <w:r w:rsidRPr="00522A7C">
        <w:rPr>
          <w:shd w:val="clear" w:color="auto" w:fill="FFFFFF"/>
        </w:rPr>
        <w:t xml:space="preserve">at the air </w:t>
      </w:r>
      <w:proofErr w:type="gramStart"/>
      <w:r w:rsidRPr="00522A7C">
        <w:rPr>
          <w:shd w:val="clear" w:color="auto" w:fill="FFFFFF"/>
        </w:rPr>
        <w:t>border;</w:t>
      </w:r>
      <w:proofErr w:type="gramEnd"/>
      <w:r w:rsidRPr="00522A7C">
        <w:rPr>
          <w:shd w:val="clear" w:color="auto" w:fill="FFFFFF"/>
        </w:rPr>
        <w:t xml:space="preserve"> </w:t>
      </w:r>
    </w:p>
    <w:p w14:paraId="19300A2E" w14:textId="77777777" w:rsidR="004D77DB" w:rsidRPr="00522A7C" w:rsidRDefault="004D77DB">
      <w:pPr>
        <w:pStyle w:val="BodyTextalphalist"/>
        <w:rPr>
          <w:shd w:val="clear" w:color="auto" w:fill="FFFFFF"/>
        </w:rPr>
      </w:pPr>
      <w:r w:rsidRPr="00522A7C">
        <w:rPr>
          <w:shd w:val="clear" w:color="auto" w:fill="FFFFFF"/>
        </w:rPr>
        <w:t xml:space="preserve">at the maritime </w:t>
      </w:r>
      <w:proofErr w:type="gramStart"/>
      <w:r w:rsidRPr="00522A7C">
        <w:rPr>
          <w:shd w:val="clear" w:color="auto" w:fill="FFFFFF"/>
        </w:rPr>
        <w:t>border</w:t>
      </w:r>
      <w:r>
        <w:rPr>
          <w:shd w:val="clear" w:color="auto" w:fill="FFFFFF"/>
        </w:rPr>
        <w:t>;</w:t>
      </w:r>
      <w:proofErr w:type="gramEnd"/>
    </w:p>
    <w:p w14:paraId="630332FE" w14:textId="47DC5CD0" w:rsidR="004D77DB" w:rsidRPr="00522A7C" w:rsidRDefault="004D77DB">
      <w:pPr>
        <w:pStyle w:val="BodyTextalphalist"/>
        <w:rPr>
          <w:shd w:val="clear" w:color="auto" w:fill="FFFFFF"/>
        </w:rPr>
      </w:pPr>
      <w:r w:rsidRPr="00522A7C">
        <w:rPr>
          <w:shd w:val="clear" w:color="auto" w:fill="FFFFFF"/>
        </w:rPr>
        <w:t xml:space="preserve">at </w:t>
      </w:r>
      <w:r w:rsidR="00CF2684">
        <w:rPr>
          <w:shd w:val="clear" w:color="auto" w:fill="FFFFFF"/>
        </w:rPr>
        <w:t>m</w:t>
      </w:r>
      <w:r>
        <w:rPr>
          <w:shd w:val="clear" w:color="auto" w:fill="FFFFFF"/>
        </w:rPr>
        <w:t xml:space="preserve">anaged </w:t>
      </w:r>
      <w:r w:rsidR="00CF2684">
        <w:rPr>
          <w:shd w:val="clear" w:color="auto" w:fill="FFFFFF"/>
        </w:rPr>
        <w:t>i</w:t>
      </w:r>
      <w:r>
        <w:rPr>
          <w:shd w:val="clear" w:color="auto" w:fill="FFFFFF"/>
        </w:rPr>
        <w:t xml:space="preserve">solation and </w:t>
      </w:r>
      <w:r w:rsidR="00CF2684">
        <w:rPr>
          <w:shd w:val="clear" w:color="auto" w:fill="FFFFFF"/>
        </w:rPr>
        <w:t>q</w:t>
      </w:r>
      <w:r>
        <w:rPr>
          <w:shd w:val="clear" w:color="auto" w:fill="FFFFFF"/>
        </w:rPr>
        <w:t xml:space="preserve">uarantine </w:t>
      </w:r>
      <w:proofErr w:type="gramStart"/>
      <w:r w:rsidR="00CF2684">
        <w:rPr>
          <w:shd w:val="clear" w:color="auto" w:fill="FFFFFF"/>
        </w:rPr>
        <w:t>f</w:t>
      </w:r>
      <w:r>
        <w:rPr>
          <w:shd w:val="clear" w:color="auto" w:fill="FFFFFF"/>
        </w:rPr>
        <w:t>acilities</w:t>
      </w:r>
      <w:r w:rsidRPr="00522A7C">
        <w:rPr>
          <w:shd w:val="clear" w:color="auto" w:fill="FFFFFF"/>
        </w:rPr>
        <w:t>;</w:t>
      </w:r>
      <w:proofErr w:type="gramEnd"/>
      <w:r w:rsidRPr="00522A7C">
        <w:rPr>
          <w:shd w:val="clear" w:color="auto" w:fill="FFFFFF"/>
        </w:rPr>
        <w:t xml:space="preserve"> </w:t>
      </w:r>
    </w:p>
    <w:p w14:paraId="0CC82187" w14:textId="77777777" w:rsidR="004D77DB" w:rsidRPr="00522A7C" w:rsidRDefault="004D77DB">
      <w:pPr>
        <w:pStyle w:val="BodyTextalphalist"/>
        <w:rPr>
          <w:shd w:val="clear" w:color="auto" w:fill="FFFFFF"/>
        </w:rPr>
      </w:pPr>
      <w:r w:rsidRPr="00522A7C">
        <w:rPr>
          <w:shd w:val="clear" w:color="auto" w:fill="FFFFFF"/>
        </w:rPr>
        <w:t xml:space="preserve">with the business sector; and </w:t>
      </w:r>
    </w:p>
    <w:p w14:paraId="74BAF70E" w14:textId="77777777" w:rsidR="004D77DB" w:rsidRPr="00522A7C" w:rsidRDefault="004D77DB">
      <w:pPr>
        <w:pStyle w:val="BodyTextalphalist"/>
        <w:rPr>
          <w:shd w:val="clear" w:color="auto" w:fill="FFFFFF"/>
        </w:rPr>
      </w:pPr>
      <w:r w:rsidRPr="00522A7C">
        <w:rPr>
          <w:shd w:val="clear" w:color="auto" w:fill="FFFFFF"/>
        </w:rPr>
        <w:t xml:space="preserve">with everyday citizens. </w:t>
      </w:r>
    </w:p>
    <w:p w14:paraId="240F5C77" w14:textId="627BF046" w:rsidR="004D77DB" w:rsidRPr="00057105" w:rsidRDefault="004D77DB" w:rsidP="00BE5180">
      <w:pPr>
        <w:pStyle w:val="Heading3"/>
      </w:pPr>
      <w:bookmarkStart w:id="191" w:name="_Toc117063126"/>
      <w:bookmarkStart w:id="192" w:name="_Toc118119318"/>
      <w:r w:rsidRPr="00057105">
        <w:t xml:space="preserve">Air </w:t>
      </w:r>
      <w:r w:rsidR="00550884">
        <w:t>b</w:t>
      </w:r>
      <w:r w:rsidRPr="00057105">
        <w:t>order</w:t>
      </w:r>
      <w:bookmarkEnd w:id="191"/>
      <w:bookmarkEnd w:id="192"/>
    </w:p>
    <w:p w14:paraId="4992A81B" w14:textId="46AAB117" w:rsidR="004D77DB" w:rsidRPr="00522A7C" w:rsidRDefault="004D77DB" w:rsidP="00FB32D6">
      <w:pPr>
        <w:pStyle w:val="BodyTextnonum"/>
      </w:pPr>
      <w:r w:rsidRPr="00522A7C">
        <w:t xml:space="preserve">There </w:t>
      </w:r>
      <w:r>
        <w:t>were</w:t>
      </w:r>
      <w:r w:rsidRPr="00522A7C">
        <w:t xml:space="preserve"> two authorisations relevant at the </w:t>
      </w:r>
      <w:r w:rsidR="00550884">
        <w:t>a</w:t>
      </w:r>
      <w:r w:rsidRPr="00522A7C">
        <w:t xml:space="preserve">ir </w:t>
      </w:r>
      <w:r w:rsidR="00550884">
        <w:t>b</w:t>
      </w:r>
      <w:r w:rsidRPr="00522A7C">
        <w:t xml:space="preserve">order: the authorisation of Aviation Security </w:t>
      </w:r>
      <w:r w:rsidR="00550884">
        <w:t>o</w:t>
      </w:r>
      <w:r w:rsidRPr="00522A7C">
        <w:t xml:space="preserve">fficers </w:t>
      </w:r>
      <w:proofErr w:type="gramStart"/>
      <w:r w:rsidRPr="00522A7C">
        <w:t>and also</w:t>
      </w:r>
      <w:proofErr w:type="gramEnd"/>
      <w:r w:rsidRPr="00522A7C">
        <w:t xml:space="preserve"> of Customs </w:t>
      </w:r>
      <w:r w:rsidR="00550884">
        <w:t>o</w:t>
      </w:r>
      <w:r w:rsidRPr="00522A7C">
        <w:t xml:space="preserve">fficials. The earlier authorisation, given as far back as 13 July 2020, </w:t>
      </w:r>
      <w:r>
        <w:t>was</w:t>
      </w:r>
      <w:r w:rsidRPr="00522A7C">
        <w:t xml:space="preserve"> given to Aviation Security </w:t>
      </w:r>
      <w:r w:rsidR="00550884">
        <w:t>o</w:t>
      </w:r>
      <w:r w:rsidRPr="00522A7C">
        <w:t>fficers on the following terms:</w:t>
      </w:r>
    </w:p>
    <w:tbl>
      <w:tblPr>
        <w:tblStyle w:val="GridTable4-Accent2"/>
        <w:tblW w:w="8363" w:type="dxa"/>
        <w:tblInd w:w="704"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20" w:firstRow="1" w:lastRow="0" w:firstColumn="0" w:lastColumn="0" w:noHBand="0" w:noVBand="1"/>
      </w:tblPr>
      <w:tblGrid>
        <w:gridCol w:w="2205"/>
        <w:gridCol w:w="2331"/>
        <w:gridCol w:w="3827"/>
      </w:tblGrid>
      <w:tr w:rsidR="00BE7DC1" w:rsidRPr="00EE53DC" w14:paraId="49FADE3C" w14:textId="77777777" w:rsidTr="00792C31">
        <w:trPr>
          <w:cnfStyle w:val="100000000000" w:firstRow="1" w:lastRow="0" w:firstColumn="0" w:lastColumn="0" w:oddVBand="0" w:evenVBand="0" w:oddHBand="0" w:evenHBand="0" w:firstRowFirstColumn="0" w:firstRowLastColumn="0" w:lastRowFirstColumn="0" w:lastRowLastColumn="0"/>
        </w:trPr>
        <w:tc>
          <w:tcPr>
            <w:tcW w:w="2205" w:type="dxa"/>
            <w:tcBorders>
              <w:top w:val="none" w:sz="0" w:space="0" w:color="auto"/>
              <w:left w:val="none" w:sz="0" w:space="0" w:color="auto"/>
              <w:bottom w:val="none" w:sz="0" w:space="0" w:color="auto"/>
              <w:right w:val="none" w:sz="0" w:space="0" w:color="auto"/>
            </w:tcBorders>
            <w:shd w:val="clear" w:color="auto" w:fill="C0504D"/>
          </w:tcPr>
          <w:p w14:paraId="7985DB03" w14:textId="1D589AB2" w:rsidR="00BE7DC1" w:rsidRPr="00FF5A5D" w:rsidRDefault="00BE7DC1" w:rsidP="00BE0123">
            <w:pPr>
              <w:pStyle w:val="TableSubheadingGreen"/>
              <w:jc w:val="center"/>
              <w:rPr>
                <w:rFonts w:ascii="Metropolis" w:hAnsi="Metropolis"/>
                <w:b/>
                <w:bCs w:val="0"/>
                <w:color w:val="FFFFFF" w:themeColor="background1"/>
                <w:szCs w:val="28"/>
              </w:rPr>
            </w:pPr>
            <w:r w:rsidRPr="00FF5A5D">
              <w:rPr>
                <w:rFonts w:ascii="Metropolis" w:hAnsi="Metropolis"/>
                <w:b/>
                <w:bCs w:val="0"/>
                <w:color w:val="FFFFFF" w:themeColor="background1"/>
              </w:rPr>
              <w:t xml:space="preserve">Date and </w:t>
            </w:r>
            <w:r w:rsidR="00550884">
              <w:rPr>
                <w:rFonts w:ascii="Metropolis" w:hAnsi="Metropolis"/>
                <w:b/>
                <w:bCs w:val="0"/>
                <w:color w:val="FFFFFF" w:themeColor="background1"/>
              </w:rPr>
              <w:t>p</w:t>
            </w:r>
            <w:r w:rsidRPr="00FF5A5D">
              <w:rPr>
                <w:rFonts w:ascii="Metropolis" w:hAnsi="Metropolis"/>
                <w:b/>
                <w:bCs w:val="0"/>
                <w:color w:val="FFFFFF" w:themeColor="background1"/>
              </w:rPr>
              <w:t>eriod</w:t>
            </w:r>
          </w:p>
        </w:tc>
        <w:tc>
          <w:tcPr>
            <w:tcW w:w="2331" w:type="dxa"/>
            <w:tcBorders>
              <w:top w:val="none" w:sz="0" w:space="0" w:color="auto"/>
              <w:left w:val="none" w:sz="0" w:space="0" w:color="auto"/>
              <w:bottom w:val="none" w:sz="0" w:space="0" w:color="auto"/>
              <w:right w:val="none" w:sz="0" w:space="0" w:color="auto"/>
            </w:tcBorders>
            <w:shd w:val="clear" w:color="auto" w:fill="C0504D"/>
          </w:tcPr>
          <w:p w14:paraId="1F2FFC13" w14:textId="6B33623F" w:rsidR="00BE7DC1" w:rsidRPr="00FF5A5D" w:rsidRDefault="00BE7DC1" w:rsidP="00BE0123">
            <w:pPr>
              <w:pStyle w:val="TableSubheadingGreen"/>
              <w:jc w:val="center"/>
              <w:rPr>
                <w:rFonts w:ascii="Metropolis" w:hAnsi="Metropolis"/>
                <w:b/>
                <w:bCs w:val="0"/>
                <w:color w:val="FFFFFF" w:themeColor="background1"/>
                <w:szCs w:val="28"/>
              </w:rPr>
            </w:pPr>
            <w:r w:rsidRPr="00FF5A5D">
              <w:rPr>
                <w:rFonts w:ascii="Metropolis" w:hAnsi="Metropolis"/>
                <w:b/>
                <w:bCs w:val="0"/>
                <w:color w:val="FFFFFF" w:themeColor="background1"/>
              </w:rPr>
              <w:t xml:space="preserve">Functions and </w:t>
            </w:r>
            <w:r w:rsidR="00550884">
              <w:rPr>
                <w:rFonts w:ascii="Metropolis" w:hAnsi="Metropolis"/>
                <w:b/>
                <w:bCs w:val="0"/>
                <w:color w:val="FFFFFF" w:themeColor="background1"/>
              </w:rPr>
              <w:t>p</w:t>
            </w:r>
            <w:r w:rsidRPr="00FF5A5D">
              <w:rPr>
                <w:rFonts w:ascii="Metropolis" w:hAnsi="Metropolis"/>
                <w:b/>
                <w:bCs w:val="0"/>
                <w:color w:val="FFFFFF" w:themeColor="background1"/>
              </w:rPr>
              <w:t>owers</w:t>
            </w:r>
          </w:p>
        </w:tc>
        <w:tc>
          <w:tcPr>
            <w:tcW w:w="3827" w:type="dxa"/>
            <w:tcBorders>
              <w:top w:val="none" w:sz="0" w:space="0" w:color="auto"/>
              <w:left w:val="none" w:sz="0" w:space="0" w:color="auto"/>
              <w:bottom w:val="none" w:sz="0" w:space="0" w:color="auto"/>
              <w:right w:val="none" w:sz="0" w:space="0" w:color="auto"/>
            </w:tcBorders>
            <w:shd w:val="clear" w:color="auto" w:fill="C0504D"/>
          </w:tcPr>
          <w:p w14:paraId="0EE633A8" w14:textId="2D4D04F2" w:rsidR="00BE7DC1" w:rsidRPr="00FF5A5D" w:rsidRDefault="00BE7DC1" w:rsidP="00BE0123">
            <w:pPr>
              <w:pStyle w:val="TableSubheadingGreen"/>
              <w:jc w:val="center"/>
              <w:rPr>
                <w:rFonts w:ascii="Metropolis" w:hAnsi="Metropolis"/>
                <w:b/>
                <w:bCs w:val="0"/>
                <w:color w:val="FFFFFF" w:themeColor="background1"/>
                <w:szCs w:val="28"/>
              </w:rPr>
            </w:pPr>
            <w:r w:rsidRPr="00FF5A5D">
              <w:rPr>
                <w:rFonts w:ascii="Metropolis" w:hAnsi="Metropolis"/>
                <w:b/>
                <w:bCs w:val="0"/>
                <w:color w:val="FFFFFF" w:themeColor="background1"/>
              </w:rPr>
              <w:t xml:space="preserve">Given for what </w:t>
            </w:r>
            <w:r w:rsidR="00550884">
              <w:rPr>
                <w:rFonts w:ascii="Metropolis" w:hAnsi="Metropolis"/>
                <w:b/>
                <w:bCs w:val="0"/>
                <w:color w:val="FFFFFF" w:themeColor="background1"/>
              </w:rPr>
              <w:t>p</w:t>
            </w:r>
            <w:r w:rsidRPr="00FF5A5D">
              <w:rPr>
                <w:rFonts w:ascii="Metropolis" w:hAnsi="Metropolis"/>
                <w:b/>
                <w:bCs w:val="0"/>
                <w:color w:val="FFFFFF" w:themeColor="background1"/>
              </w:rPr>
              <w:t>urpose</w:t>
            </w:r>
          </w:p>
        </w:tc>
      </w:tr>
      <w:tr w:rsidR="003E7A78" w:rsidRPr="003E7A78" w14:paraId="081FFC60" w14:textId="77777777" w:rsidTr="00792C31">
        <w:trPr>
          <w:cnfStyle w:val="000000100000" w:firstRow="0" w:lastRow="0" w:firstColumn="0" w:lastColumn="0" w:oddVBand="0" w:evenVBand="0" w:oddHBand="1" w:evenHBand="0" w:firstRowFirstColumn="0" w:firstRowLastColumn="0" w:lastRowFirstColumn="0" w:lastRowLastColumn="0"/>
        </w:trPr>
        <w:tc>
          <w:tcPr>
            <w:tcW w:w="2205" w:type="dxa"/>
            <w:shd w:val="clear" w:color="auto" w:fill="FFFFFF" w:themeFill="background1"/>
          </w:tcPr>
          <w:p w14:paraId="1D3020B7" w14:textId="77777777" w:rsidR="003E7A78" w:rsidRPr="003E7A78" w:rsidRDefault="003E7A78" w:rsidP="00A171F3">
            <w:pPr>
              <w:jc w:val="center"/>
              <w:rPr>
                <w:color w:val="000000"/>
                <w:szCs w:val="20"/>
                <w:u w:val="single"/>
                <w:shd w:val="clear" w:color="auto" w:fill="FFFFFF"/>
              </w:rPr>
            </w:pPr>
            <w:r w:rsidRPr="003E7A78">
              <w:rPr>
                <w:color w:val="000000"/>
                <w:szCs w:val="20"/>
                <w:u w:val="single"/>
                <w:shd w:val="clear" w:color="auto" w:fill="FFFFFF"/>
              </w:rPr>
              <w:t>Issued</w:t>
            </w:r>
          </w:p>
          <w:p w14:paraId="5A63BF48" w14:textId="77777777" w:rsidR="003E7A78" w:rsidRPr="003E7A78" w:rsidRDefault="003E7A78" w:rsidP="00A171F3">
            <w:pPr>
              <w:contextualSpacing/>
              <w:jc w:val="center"/>
              <w:rPr>
                <w:color w:val="000000"/>
                <w:szCs w:val="20"/>
                <w:shd w:val="clear" w:color="auto" w:fill="FFFFFF"/>
              </w:rPr>
            </w:pPr>
            <w:r w:rsidRPr="003E7A78">
              <w:rPr>
                <w:color w:val="000000"/>
                <w:szCs w:val="20"/>
                <w:shd w:val="clear" w:color="auto" w:fill="FFFFFF"/>
              </w:rPr>
              <w:t>13 July 2020</w:t>
            </w:r>
          </w:p>
          <w:p w14:paraId="3FAE0CD7" w14:textId="77777777" w:rsidR="003E7A78" w:rsidRPr="003E7A78" w:rsidRDefault="003E7A78" w:rsidP="00A171F3">
            <w:pPr>
              <w:contextualSpacing/>
              <w:jc w:val="center"/>
              <w:rPr>
                <w:color w:val="000000"/>
                <w:szCs w:val="20"/>
                <w:shd w:val="clear" w:color="auto" w:fill="FFFFFF"/>
              </w:rPr>
            </w:pPr>
          </w:p>
          <w:p w14:paraId="132F6C39" w14:textId="77777777" w:rsidR="003E7A78" w:rsidRPr="003E7A78" w:rsidRDefault="003E7A78" w:rsidP="00A171F3">
            <w:pPr>
              <w:contextualSpacing/>
              <w:jc w:val="center"/>
              <w:rPr>
                <w:color w:val="000000"/>
                <w:szCs w:val="20"/>
                <w:shd w:val="clear" w:color="auto" w:fill="FFFFFF"/>
              </w:rPr>
            </w:pPr>
          </w:p>
          <w:p w14:paraId="1D579190" w14:textId="77777777" w:rsidR="003E7A78" w:rsidRPr="003E7A78" w:rsidRDefault="003E7A78" w:rsidP="00A171F3">
            <w:pPr>
              <w:contextualSpacing/>
              <w:jc w:val="center"/>
              <w:rPr>
                <w:color w:val="000000"/>
                <w:szCs w:val="20"/>
                <w:u w:val="single"/>
                <w:shd w:val="clear" w:color="auto" w:fill="FFFFFF"/>
              </w:rPr>
            </w:pPr>
            <w:r w:rsidRPr="003E7A78">
              <w:rPr>
                <w:color w:val="000000"/>
                <w:szCs w:val="20"/>
                <w:u w:val="single"/>
                <w:shd w:val="clear" w:color="auto" w:fill="FFFFFF"/>
              </w:rPr>
              <w:t>Applicable</w:t>
            </w:r>
          </w:p>
          <w:p w14:paraId="43780666" w14:textId="77777777" w:rsidR="003E7A78" w:rsidRPr="003E7A78" w:rsidRDefault="003E7A78" w:rsidP="00A171F3">
            <w:pPr>
              <w:contextualSpacing/>
              <w:jc w:val="center"/>
              <w:rPr>
                <w:color w:val="000000"/>
                <w:szCs w:val="20"/>
                <w:shd w:val="clear" w:color="auto" w:fill="FFFFFF"/>
              </w:rPr>
            </w:pPr>
          </w:p>
          <w:p w14:paraId="382C874D" w14:textId="2F2031C5" w:rsidR="003E7A78" w:rsidRPr="003E7A78" w:rsidRDefault="003E7A78" w:rsidP="00792C31">
            <w:pPr>
              <w:jc w:val="center"/>
              <w:rPr>
                <w:szCs w:val="20"/>
              </w:rPr>
            </w:pPr>
            <w:r w:rsidRPr="003E7A78">
              <w:rPr>
                <w:color w:val="000000"/>
                <w:szCs w:val="20"/>
                <w:shd w:val="clear" w:color="auto" w:fill="FFFFFF"/>
              </w:rPr>
              <w:t xml:space="preserve">While the </w:t>
            </w:r>
            <w:r w:rsidR="00470B51">
              <w:rPr>
                <w:color w:val="000000"/>
                <w:szCs w:val="20"/>
                <w:shd w:val="clear" w:color="auto" w:fill="FFFFFF"/>
              </w:rPr>
              <w:t>e</w:t>
            </w:r>
            <w:r w:rsidRPr="003E7A78">
              <w:rPr>
                <w:color w:val="000000"/>
                <w:szCs w:val="20"/>
                <w:shd w:val="clear" w:color="auto" w:fill="FFFFFF"/>
              </w:rPr>
              <w:t xml:space="preserve">pidemic </w:t>
            </w:r>
            <w:r w:rsidR="00470B51">
              <w:rPr>
                <w:color w:val="000000"/>
                <w:szCs w:val="20"/>
                <w:shd w:val="clear" w:color="auto" w:fill="FFFFFF"/>
              </w:rPr>
              <w:t>n</w:t>
            </w:r>
            <w:r w:rsidRPr="003E7A78">
              <w:rPr>
                <w:color w:val="000000"/>
                <w:szCs w:val="20"/>
                <w:shd w:val="clear" w:color="auto" w:fill="FFFFFF"/>
              </w:rPr>
              <w:t>otice is in force</w:t>
            </w:r>
          </w:p>
        </w:tc>
        <w:tc>
          <w:tcPr>
            <w:tcW w:w="2331" w:type="dxa"/>
            <w:shd w:val="clear" w:color="auto" w:fill="FFFFFF" w:themeFill="background1"/>
          </w:tcPr>
          <w:p w14:paraId="478D5F61" w14:textId="0A38747A" w:rsidR="003E7A78" w:rsidRPr="003E7A78" w:rsidRDefault="003E7A78" w:rsidP="00556B28">
            <w:pPr>
              <w:pStyle w:val="ListParagraph"/>
              <w:numPr>
                <w:ilvl w:val="0"/>
                <w:numId w:val="16"/>
              </w:numPr>
              <w:spacing w:after="0"/>
              <w:rPr>
                <w:sz w:val="20"/>
                <w:szCs w:val="20"/>
              </w:rPr>
            </w:pPr>
            <w:r w:rsidRPr="003E7A78">
              <w:rPr>
                <w:color w:val="000000"/>
                <w:sz w:val="20"/>
                <w:szCs w:val="20"/>
                <w:shd w:val="clear" w:color="auto" w:fill="FFFFFF"/>
              </w:rPr>
              <w:t>The power to give directions (s 21)</w:t>
            </w:r>
            <w:r w:rsidR="00550884">
              <w:rPr>
                <w:color w:val="000000"/>
                <w:sz w:val="20"/>
                <w:szCs w:val="20"/>
                <w:shd w:val="clear" w:color="auto" w:fill="FFFFFF"/>
              </w:rPr>
              <w:t>.</w:t>
            </w:r>
            <w:r w:rsidRPr="003E7A78">
              <w:rPr>
                <w:color w:val="000000"/>
                <w:sz w:val="20"/>
                <w:szCs w:val="20"/>
                <w:shd w:val="clear" w:color="auto" w:fill="FFFFFF"/>
              </w:rPr>
              <w:t xml:space="preserve"> </w:t>
            </w:r>
          </w:p>
          <w:p w14:paraId="1F4F7735" w14:textId="1B70FA0C" w:rsidR="003E7A78" w:rsidRPr="003E7A78" w:rsidRDefault="003E7A78" w:rsidP="00556B28">
            <w:pPr>
              <w:pStyle w:val="ListParagraph"/>
              <w:numPr>
                <w:ilvl w:val="0"/>
                <w:numId w:val="16"/>
              </w:numPr>
              <w:spacing w:after="0"/>
              <w:rPr>
                <w:sz w:val="20"/>
                <w:szCs w:val="20"/>
              </w:rPr>
            </w:pPr>
            <w:r w:rsidRPr="003E7A78">
              <w:rPr>
                <w:color w:val="000000"/>
                <w:sz w:val="20"/>
                <w:szCs w:val="20"/>
                <w:shd w:val="clear" w:color="auto" w:fill="FFFFFF"/>
              </w:rPr>
              <w:t>The power to direct persons to provide identifying information (s 23)</w:t>
            </w:r>
            <w:r w:rsidR="00550884">
              <w:rPr>
                <w:color w:val="000000"/>
                <w:sz w:val="20"/>
                <w:szCs w:val="20"/>
                <w:shd w:val="clear" w:color="auto" w:fill="FFFFFF"/>
              </w:rPr>
              <w:t>.</w:t>
            </w:r>
          </w:p>
        </w:tc>
        <w:tc>
          <w:tcPr>
            <w:tcW w:w="3827" w:type="dxa"/>
            <w:shd w:val="clear" w:color="auto" w:fill="FFFFFF" w:themeFill="background1"/>
          </w:tcPr>
          <w:p w14:paraId="5A6C7458" w14:textId="01222451" w:rsidR="003E7A78" w:rsidRPr="003E7A78" w:rsidRDefault="00550884" w:rsidP="00550884">
            <w:pPr>
              <w:pStyle w:val="ListParagraph"/>
              <w:numPr>
                <w:ilvl w:val="0"/>
                <w:numId w:val="18"/>
              </w:numPr>
              <w:spacing w:after="0"/>
              <w:rPr>
                <w:color w:val="000000"/>
                <w:sz w:val="20"/>
                <w:szCs w:val="20"/>
                <w:shd w:val="clear" w:color="auto" w:fill="FFFFFF"/>
              </w:rPr>
            </w:pPr>
            <w:r>
              <w:rPr>
                <w:color w:val="000000"/>
                <w:sz w:val="20"/>
                <w:szCs w:val="20"/>
                <w:shd w:val="clear" w:color="auto" w:fill="FFFFFF"/>
              </w:rPr>
              <w:t>M</w:t>
            </w:r>
            <w:r w:rsidR="003E7A78" w:rsidRPr="003E7A78">
              <w:rPr>
                <w:color w:val="000000"/>
                <w:sz w:val="20"/>
                <w:szCs w:val="20"/>
                <w:shd w:val="clear" w:color="auto" w:fill="FFFFFF"/>
              </w:rPr>
              <w:t>aintaining the security of entry and exit points</w:t>
            </w:r>
            <w:r>
              <w:rPr>
                <w:color w:val="000000"/>
                <w:sz w:val="20"/>
                <w:szCs w:val="20"/>
                <w:shd w:val="clear" w:color="auto" w:fill="FFFFFF"/>
              </w:rPr>
              <w:t>.</w:t>
            </w:r>
            <w:r w:rsidR="003E7A78" w:rsidRPr="003E7A78">
              <w:rPr>
                <w:color w:val="000000"/>
                <w:sz w:val="20"/>
                <w:szCs w:val="20"/>
                <w:shd w:val="clear" w:color="auto" w:fill="FFFFFF"/>
              </w:rPr>
              <w:t xml:space="preserve"> </w:t>
            </w:r>
          </w:p>
          <w:p w14:paraId="0DB834C8" w14:textId="18558658" w:rsidR="003E7A78" w:rsidRPr="003E7A78" w:rsidRDefault="00550884" w:rsidP="00556B28">
            <w:pPr>
              <w:pStyle w:val="ListParagraph"/>
              <w:numPr>
                <w:ilvl w:val="0"/>
                <w:numId w:val="18"/>
              </w:numPr>
              <w:spacing w:after="0"/>
              <w:rPr>
                <w:color w:val="000000"/>
                <w:sz w:val="20"/>
                <w:szCs w:val="20"/>
                <w:shd w:val="clear" w:color="auto" w:fill="FFFFFF"/>
              </w:rPr>
            </w:pPr>
            <w:r>
              <w:rPr>
                <w:color w:val="000000"/>
                <w:sz w:val="20"/>
                <w:szCs w:val="20"/>
                <w:shd w:val="clear" w:color="auto" w:fill="FFFFFF"/>
              </w:rPr>
              <w:t>A</w:t>
            </w:r>
            <w:r w:rsidR="003E7A78" w:rsidRPr="003E7A78">
              <w:rPr>
                <w:color w:val="000000"/>
                <w:sz w:val="20"/>
                <w:szCs w:val="20"/>
                <w:shd w:val="clear" w:color="auto" w:fill="FFFFFF"/>
              </w:rPr>
              <w:t xml:space="preserve">nswering questions and ensuring persons understand the isolation/quarantine rules for the </w:t>
            </w:r>
            <w:proofErr w:type="gramStart"/>
            <w:r w:rsidR="003E7A78" w:rsidRPr="003E7A78">
              <w:rPr>
                <w:color w:val="000000"/>
                <w:sz w:val="20"/>
                <w:szCs w:val="20"/>
                <w:shd w:val="clear" w:color="auto" w:fill="FFFFFF"/>
              </w:rPr>
              <w:t>particular facility</w:t>
            </w:r>
            <w:proofErr w:type="gramEnd"/>
            <w:r>
              <w:rPr>
                <w:color w:val="000000"/>
                <w:sz w:val="20"/>
                <w:szCs w:val="20"/>
                <w:shd w:val="clear" w:color="auto" w:fill="FFFFFF"/>
              </w:rPr>
              <w:t>.</w:t>
            </w:r>
            <w:r w:rsidR="003E7A78" w:rsidRPr="003E7A78">
              <w:rPr>
                <w:color w:val="000000"/>
                <w:sz w:val="20"/>
                <w:szCs w:val="20"/>
                <w:shd w:val="clear" w:color="auto" w:fill="FFFFFF"/>
              </w:rPr>
              <w:t xml:space="preserve"> </w:t>
            </w:r>
          </w:p>
          <w:p w14:paraId="6ECD83D7" w14:textId="03F6C7E8" w:rsidR="003E7A78" w:rsidRPr="003E7A78" w:rsidRDefault="009F3B30" w:rsidP="00556B28">
            <w:pPr>
              <w:pStyle w:val="ListParagraph"/>
              <w:numPr>
                <w:ilvl w:val="0"/>
                <w:numId w:val="18"/>
              </w:numPr>
              <w:spacing w:after="0"/>
              <w:rPr>
                <w:color w:val="000000"/>
                <w:sz w:val="20"/>
                <w:szCs w:val="20"/>
                <w:shd w:val="clear" w:color="auto" w:fill="FFFFFF"/>
              </w:rPr>
            </w:pPr>
            <w:r>
              <w:rPr>
                <w:color w:val="000000"/>
                <w:sz w:val="20"/>
                <w:szCs w:val="20"/>
                <w:shd w:val="clear" w:color="auto" w:fill="FFFFFF"/>
              </w:rPr>
              <w:t>M</w:t>
            </w:r>
            <w:r w:rsidR="003E7A78" w:rsidRPr="003E7A78">
              <w:rPr>
                <w:color w:val="000000"/>
                <w:sz w:val="20"/>
                <w:szCs w:val="20"/>
                <w:shd w:val="clear" w:color="auto" w:fill="FFFFFF"/>
              </w:rPr>
              <w:t>onitoring and, if necessary, directing the movement of persons as they enter and exit the building for permitted reasons</w:t>
            </w:r>
            <w:r>
              <w:rPr>
                <w:color w:val="000000"/>
                <w:sz w:val="20"/>
                <w:szCs w:val="20"/>
                <w:shd w:val="clear" w:color="auto" w:fill="FFFFFF"/>
              </w:rPr>
              <w:t>.</w:t>
            </w:r>
          </w:p>
          <w:p w14:paraId="469CE4C0" w14:textId="2D5FB59C" w:rsidR="003E7A78" w:rsidRPr="009B1443" w:rsidRDefault="009F3B30" w:rsidP="00556B28">
            <w:pPr>
              <w:pStyle w:val="ListParagraph"/>
              <w:numPr>
                <w:ilvl w:val="0"/>
                <w:numId w:val="18"/>
              </w:numPr>
              <w:spacing w:after="0"/>
              <w:rPr>
                <w:color w:val="000000"/>
                <w:sz w:val="20"/>
                <w:szCs w:val="20"/>
                <w:shd w:val="clear" w:color="auto" w:fill="FFFFFF"/>
              </w:rPr>
            </w:pPr>
            <w:r>
              <w:rPr>
                <w:color w:val="000000"/>
                <w:sz w:val="20"/>
                <w:szCs w:val="20"/>
                <w:shd w:val="clear" w:color="auto" w:fill="FFFFFF"/>
              </w:rPr>
              <w:t>M</w:t>
            </w:r>
            <w:r w:rsidR="003E7A78" w:rsidRPr="003E7A78">
              <w:rPr>
                <w:color w:val="000000"/>
                <w:sz w:val="20"/>
                <w:szCs w:val="20"/>
                <w:shd w:val="clear" w:color="auto" w:fill="FFFFFF"/>
              </w:rPr>
              <w:t xml:space="preserve">onitoring compliance with physical distancing rules. </w:t>
            </w:r>
          </w:p>
        </w:tc>
      </w:tr>
    </w:tbl>
    <w:p w14:paraId="4D4A9551" w14:textId="338A8436" w:rsidR="00CE6D7A" w:rsidRDefault="00CE6D7A" w:rsidP="004D77DB">
      <w:pPr>
        <w:contextualSpacing/>
        <w:rPr>
          <w:color w:val="000000"/>
          <w:shd w:val="clear" w:color="auto" w:fill="FFFFFF"/>
        </w:rPr>
      </w:pPr>
    </w:p>
    <w:p w14:paraId="78DFE3BD" w14:textId="105E732D" w:rsidR="004807DA" w:rsidRDefault="004D77DB" w:rsidP="00FB32D6">
      <w:pPr>
        <w:pStyle w:val="BodyTextnonum"/>
      </w:pPr>
      <w:r w:rsidRPr="00522A7C">
        <w:t xml:space="preserve">In early 2021, Customs </w:t>
      </w:r>
      <w:r w:rsidR="009F3B30">
        <w:t>o</w:t>
      </w:r>
      <w:r w:rsidRPr="00522A7C">
        <w:t xml:space="preserve">fficials were additionally authorised to enforce powers relevant to this domain. Specifically, the Director-General authorised Customs </w:t>
      </w:r>
      <w:r w:rsidR="009F3B30">
        <w:t>o</w:t>
      </w:r>
      <w:r w:rsidRPr="00522A7C">
        <w:t>fficers</w:t>
      </w:r>
      <w:r w:rsidRPr="00522A7C">
        <w:rPr>
          <w:rStyle w:val="FootnoteReference"/>
          <w:color w:val="000000"/>
        </w:rPr>
        <w:footnoteReference w:id="129"/>
      </w:r>
      <w:r w:rsidRPr="00522A7C">
        <w:t xml:space="preserve"> to assist with pre-departure testing required under the C</w:t>
      </w:r>
      <w:r w:rsidR="00AB2337">
        <w:t>OVID</w:t>
      </w:r>
      <w:r w:rsidRPr="00522A7C">
        <w:t>-19 Air Border Order.</w:t>
      </w:r>
      <w:r w:rsidRPr="00522A7C">
        <w:rPr>
          <w:rStyle w:val="FootnoteReference"/>
          <w:color w:val="000000"/>
        </w:rPr>
        <w:footnoteReference w:id="130"/>
      </w:r>
      <w:r w:rsidRPr="00522A7C">
        <w:t xml:space="preserve"> The </w:t>
      </w:r>
      <w:r w:rsidR="009F3B30">
        <w:t>a</w:t>
      </w:r>
      <w:r w:rsidRPr="00522A7C">
        <w:t xml:space="preserve">uthorisation can be summarised as follows: </w:t>
      </w:r>
    </w:p>
    <w:p w14:paraId="12754963" w14:textId="77777777" w:rsidR="004807DA" w:rsidRDefault="004807DA">
      <w:pPr>
        <w:widowControl w:val="0"/>
        <w:spacing w:before="0" w:after="200" w:line="276" w:lineRule="auto"/>
        <w:rPr>
          <w:rFonts w:eastAsia="Times New Roman" w:cs="Times New Roman"/>
          <w:szCs w:val="24"/>
          <w:lang w:eastAsia="en-AU"/>
        </w:rPr>
      </w:pPr>
      <w:r>
        <w:br w:type="page"/>
      </w:r>
    </w:p>
    <w:tbl>
      <w:tblPr>
        <w:tblStyle w:val="GridTable4-Accent2"/>
        <w:tblW w:w="8363" w:type="dxa"/>
        <w:tblInd w:w="704"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20" w:firstRow="1" w:lastRow="0" w:firstColumn="0" w:lastColumn="0" w:noHBand="0" w:noVBand="1"/>
      </w:tblPr>
      <w:tblGrid>
        <w:gridCol w:w="2205"/>
        <w:gridCol w:w="2331"/>
        <w:gridCol w:w="3827"/>
      </w:tblGrid>
      <w:tr w:rsidR="005D62D3" w:rsidRPr="00EE53DC" w14:paraId="69536667" w14:textId="77777777" w:rsidTr="00792C31">
        <w:trPr>
          <w:cnfStyle w:val="100000000000" w:firstRow="1" w:lastRow="0" w:firstColumn="0" w:lastColumn="0" w:oddVBand="0" w:evenVBand="0" w:oddHBand="0" w:evenHBand="0" w:firstRowFirstColumn="0" w:firstRowLastColumn="0" w:lastRowFirstColumn="0" w:lastRowLastColumn="0"/>
        </w:trPr>
        <w:tc>
          <w:tcPr>
            <w:tcW w:w="2205" w:type="dxa"/>
            <w:tcBorders>
              <w:top w:val="none" w:sz="0" w:space="0" w:color="auto"/>
              <w:left w:val="none" w:sz="0" w:space="0" w:color="auto"/>
              <w:bottom w:val="none" w:sz="0" w:space="0" w:color="auto"/>
              <w:right w:val="none" w:sz="0" w:space="0" w:color="auto"/>
            </w:tcBorders>
            <w:shd w:val="clear" w:color="auto" w:fill="C0504D"/>
          </w:tcPr>
          <w:p w14:paraId="72492D5C" w14:textId="7AA7A794" w:rsidR="005D62D3" w:rsidRPr="00FF5A5D" w:rsidRDefault="005D62D3" w:rsidP="00583F0D">
            <w:pPr>
              <w:pStyle w:val="TableSubheadingGreen"/>
              <w:jc w:val="center"/>
              <w:rPr>
                <w:rFonts w:ascii="Metropolis" w:hAnsi="Metropolis"/>
                <w:b/>
                <w:bCs w:val="0"/>
                <w:color w:val="FFFFFF" w:themeColor="background1"/>
                <w:szCs w:val="28"/>
              </w:rPr>
            </w:pPr>
            <w:r w:rsidRPr="00FF5A5D">
              <w:rPr>
                <w:rFonts w:ascii="Metropolis" w:hAnsi="Metropolis"/>
                <w:b/>
                <w:bCs w:val="0"/>
                <w:color w:val="FFFFFF" w:themeColor="background1"/>
              </w:rPr>
              <w:lastRenderedPageBreak/>
              <w:t xml:space="preserve">Date and </w:t>
            </w:r>
            <w:r w:rsidR="009F3B30">
              <w:rPr>
                <w:rFonts w:ascii="Metropolis" w:hAnsi="Metropolis"/>
                <w:b/>
                <w:bCs w:val="0"/>
                <w:color w:val="FFFFFF" w:themeColor="background1"/>
              </w:rPr>
              <w:t>p</w:t>
            </w:r>
            <w:r w:rsidRPr="00FF5A5D">
              <w:rPr>
                <w:rFonts w:ascii="Metropolis" w:hAnsi="Metropolis"/>
                <w:b/>
                <w:bCs w:val="0"/>
                <w:color w:val="FFFFFF" w:themeColor="background1"/>
              </w:rPr>
              <w:t>eriod</w:t>
            </w:r>
          </w:p>
        </w:tc>
        <w:tc>
          <w:tcPr>
            <w:tcW w:w="2331" w:type="dxa"/>
            <w:tcBorders>
              <w:top w:val="none" w:sz="0" w:space="0" w:color="auto"/>
              <w:left w:val="none" w:sz="0" w:space="0" w:color="auto"/>
              <w:bottom w:val="none" w:sz="0" w:space="0" w:color="auto"/>
              <w:right w:val="none" w:sz="0" w:space="0" w:color="auto"/>
            </w:tcBorders>
            <w:shd w:val="clear" w:color="auto" w:fill="C0504D"/>
          </w:tcPr>
          <w:p w14:paraId="7C5E0E17" w14:textId="0CD4C9FC" w:rsidR="005D62D3" w:rsidRPr="00FF5A5D" w:rsidRDefault="005D62D3" w:rsidP="00583F0D">
            <w:pPr>
              <w:pStyle w:val="TableSubheadingGreen"/>
              <w:jc w:val="center"/>
              <w:rPr>
                <w:rFonts w:ascii="Metropolis" w:hAnsi="Metropolis"/>
                <w:b/>
                <w:bCs w:val="0"/>
                <w:color w:val="FFFFFF" w:themeColor="background1"/>
                <w:szCs w:val="28"/>
              </w:rPr>
            </w:pPr>
            <w:r w:rsidRPr="00FF5A5D">
              <w:rPr>
                <w:rFonts w:ascii="Metropolis" w:hAnsi="Metropolis"/>
                <w:b/>
                <w:bCs w:val="0"/>
                <w:color w:val="FFFFFF" w:themeColor="background1"/>
              </w:rPr>
              <w:t xml:space="preserve">Functions and </w:t>
            </w:r>
            <w:r w:rsidR="009F3B30">
              <w:rPr>
                <w:rFonts w:ascii="Metropolis" w:hAnsi="Metropolis"/>
                <w:b/>
                <w:bCs w:val="0"/>
                <w:color w:val="FFFFFF" w:themeColor="background1"/>
              </w:rPr>
              <w:t>p</w:t>
            </w:r>
            <w:r w:rsidRPr="00FF5A5D">
              <w:rPr>
                <w:rFonts w:ascii="Metropolis" w:hAnsi="Metropolis"/>
                <w:b/>
                <w:bCs w:val="0"/>
                <w:color w:val="FFFFFF" w:themeColor="background1"/>
              </w:rPr>
              <w:t>owers</w:t>
            </w:r>
          </w:p>
        </w:tc>
        <w:tc>
          <w:tcPr>
            <w:tcW w:w="3827" w:type="dxa"/>
            <w:tcBorders>
              <w:top w:val="none" w:sz="0" w:space="0" w:color="auto"/>
              <w:left w:val="none" w:sz="0" w:space="0" w:color="auto"/>
              <w:bottom w:val="none" w:sz="0" w:space="0" w:color="auto"/>
              <w:right w:val="none" w:sz="0" w:space="0" w:color="auto"/>
            </w:tcBorders>
            <w:shd w:val="clear" w:color="auto" w:fill="C0504D"/>
          </w:tcPr>
          <w:p w14:paraId="3F4F894F" w14:textId="5A558DB4" w:rsidR="005D62D3" w:rsidRPr="00FF5A5D" w:rsidRDefault="005D62D3" w:rsidP="00583F0D">
            <w:pPr>
              <w:pStyle w:val="TableSubheadingGreen"/>
              <w:jc w:val="center"/>
              <w:rPr>
                <w:rFonts w:ascii="Metropolis" w:hAnsi="Metropolis"/>
                <w:b/>
                <w:bCs w:val="0"/>
                <w:color w:val="FFFFFF" w:themeColor="background1"/>
                <w:szCs w:val="28"/>
              </w:rPr>
            </w:pPr>
            <w:r w:rsidRPr="00FF5A5D">
              <w:rPr>
                <w:rFonts w:ascii="Metropolis" w:hAnsi="Metropolis"/>
                <w:b/>
                <w:bCs w:val="0"/>
                <w:color w:val="FFFFFF" w:themeColor="background1"/>
              </w:rPr>
              <w:t xml:space="preserve">Given for what </w:t>
            </w:r>
            <w:r w:rsidR="009F3B30">
              <w:rPr>
                <w:rFonts w:ascii="Metropolis" w:hAnsi="Metropolis"/>
                <w:b/>
                <w:bCs w:val="0"/>
                <w:color w:val="FFFFFF" w:themeColor="background1"/>
              </w:rPr>
              <w:t>p</w:t>
            </w:r>
            <w:r w:rsidRPr="00FF5A5D">
              <w:rPr>
                <w:rFonts w:ascii="Metropolis" w:hAnsi="Metropolis"/>
                <w:b/>
                <w:bCs w:val="0"/>
                <w:color w:val="FFFFFF" w:themeColor="background1"/>
              </w:rPr>
              <w:t>urpose</w:t>
            </w:r>
          </w:p>
        </w:tc>
      </w:tr>
      <w:tr w:rsidR="005D62D3" w:rsidRPr="00792C31" w14:paraId="1FA295E3" w14:textId="77777777" w:rsidTr="00792C31">
        <w:tblPrEx>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shd w:val="clear" w:color="auto" w:fill="FFFFFF" w:themeFill="background1"/>
          </w:tcPr>
          <w:p w14:paraId="62FED0CA" w14:textId="77777777" w:rsidR="005D62D3" w:rsidRPr="00792C31" w:rsidRDefault="005D62D3" w:rsidP="00792C31">
            <w:pPr>
              <w:jc w:val="center"/>
              <w:rPr>
                <w:b w:val="0"/>
                <w:bCs w:val="0"/>
                <w:color w:val="000000"/>
                <w:szCs w:val="20"/>
                <w:u w:val="single"/>
                <w:shd w:val="clear" w:color="auto" w:fill="FFFFFF"/>
              </w:rPr>
            </w:pPr>
            <w:r w:rsidRPr="00792C31">
              <w:rPr>
                <w:b w:val="0"/>
                <w:bCs w:val="0"/>
                <w:color w:val="000000"/>
                <w:szCs w:val="20"/>
                <w:u w:val="single"/>
                <w:shd w:val="clear" w:color="auto" w:fill="FFFFFF"/>
              </w:rPr>
              <w:t>Issued</w:t>
            </w:r>
          </w:p>
          <w:p w14:paraId="649CB058" w14:textId="77777777" w:rsidR="005D62D3" w:rsidRPr="00792C31" w:rsidRDefault="005D62D3" w:rsidP="00583F0D">
            <w:pPr>
              <w:contextualSpacing/>
              <w:jc w:val="center"/>
              <w:rPr>
                <w:b w:val="0"/>
                <w:bCs w:val="0"/>
                <w:color w:val="000000"/>
                <w:szCs w:val="20"/>
                <w:shd w:val="clear" w:color="auto" w:fill="FFFFFF"/>
              </w:rPr>
            </w:pPr>
            <w:r w:rsidRPr="00792C31">
              <w:rPr>
                <w:b w:val="0"/>
                <w:bCs w:val="0"/>
                <w:color w:val="000000"/>
                <w:szCs w:val="20"/>
                <w:shd w:val="clear" w:color="auto" w:fill="FFFFFF"/>
              </w:rPr>
              <w:t>20 January 2021</w:t>
            </w:r>
          </w:p>
          <w:p w14:paraId="6A260D70" w14:textId="77777777" w:rsidR="005D62D3" w:rsidRPr="00792C31" w:rsidRDefault="005D62D3" w:rsidP="00583F0D">
            <w:pPr>
              <w:contextualSpacing/>
              <w:jc w:val="center"/>
              <w:rPr>
                <w:b w:val="0"/>
                <w:bCs w:val="0"/>
                <w:color w:val="000000"/>
                <w:szCs w:val="20"/>
                <w:shd w:val="clear" w:color="auto" w:fill="FFFFFF"/>
              </w:rPr>
            </w:pPr>
          </w:p>
          <w:p w14:paraId="50DE69FD" w14:textId="77777777" w:rsidR="005D62D3" w:rsidRPr="00792C31" w:rsidRDefault="005D62D3" w:rsidP="00583F0D">
            <w:pPr>
              <w:contextualSpacing/>
              <w:jc w:val="center"/>
              <w:rPr>
                <w:b w:val="0"/>
                <w:bCs w:val="0"/>
                <w:color w:val="000000"/>
                <w:szCs w:val="20"/>
                <w:u w:val="single"/>
                <w:shd w:val="clear" w:color="auto" w:fill="FFFFFF"/>
              </w:rPr>
            </w:pPr>
            <w:r w:rsidRPr="00792C31">
              <w:rPr>
                <w:b w:val="0"/>
                <w:bCs w:val="0"/>
                <w:color w:val="000000"/>
                <w:szCs w:val="20"/>
                <w:u w:val="single"/>
                <w:shd w:val="clear" w:color="auto" w:fill="FFFFFF"/>
              </w:rPr>
              <w:t>Applicable</w:t>
            </w:r>
          </w:p>
          <w:p w14:paraId="7F94E2C0" w14:textId="1F2A2555" w:rsidR="005D62D3" w:rsidRPr="00792C31" w:rsidRDefault="005D62D3" w:rsidP="00583F0D">
            <w:pPr>
              <w:contextualSpacing/>
              <w:jc w:val="center"/>
              <w:rPr>
                <w:b w:val="0"/>
                <w:bCs w:val="0"/>
                <w:color w:val="000000"/>
                <w:szCs w:val="20"/>
                <w:shd w:val="clear" w:color="auto" w:fill="FFFFFF"/>
              </w:rPr>
            </w:pPr>
            <w:r w:rsidRPr="00792C31">
              <w:rPr>
                <w:b w:val="0"/>
                <w:bCs w:val="0"/>
                <w:color w:val="000000"/>
                <w:szCs w:val="20"/>
                <w:shd w:val="clear" w:color="auto" w:fill="FFFFFF"/>
              </w:rPr>
              <w:t xml:space="preserve">15 January </w:t>
            </w:r>
            <w:r w:rsidR="009F3B30">
              <w:rPr>
                <w:b w:val="0"/>
                <w:bCs w:val="0"/>
                <w:color w:val="000000"/>
                <w:szCs w:val="20"/>
                <w:shd w:val="clear" w:color="auto" w:fill="FFFFFF"/>
              </w:rPr>
              <w:t>–</w:t>
            </w:r>
          </w:p>
          <w:p w14:paraId="0DCBE9C5" w14:textId="77777777" w:rsidR="005D62D3" w:rsidRPr="00792C31" w:rsidRDefault="005D62D3" w:rsidP="00583F0D">
            <w:pPr>
              <w:contextualSpacing/>
              <w:jc w:val="center"/>
              <w:rPr>
                <w:color w:val="000000"/>
                <w:szCs w:val="20"/>
                <w:shd w:val="clear" w:color="auto" w:fill="FFFFFF"/>
              </w:rPr>
            </w:pPr>
            <w:r w:rsidRPr="00792C31">
              <w:rPr>
                <w:b w:val="0"/>
                <w:bCs w:val="0"/>
                <w:color w:val="000000"/>
                <w:szCs w:val="20"/>
                <w:shd w:val="clear" w:color="auto" w:fill="FFFFFF"/>
              </w:rPr>
              <w:t>31 December 2021</w:t>
            </w:r>
          </w:p>
        </w:tc>
        <w:tc>
          <w:tcPr>
            <w:tcW w:w="2331" w:type="dxa"/>
            <w:shd w:val="clear" w:color="auto" w:fill="FFFFFF" w:themeFill="background1"/>
          </w:tcPr>
          <w:p w14:paraId="62D3F485" w14:textId="5A433384" w:rsidR="005D62D3" w:rsidRPr="00792C31" w:rsidRDefault="005D62D3" w:rsidP="009F3B30">
            <w:pPr>
              <w:pStyle w:val="ListParagraph"/>
              <w:numPr>
                <w:ilvl w:val="0"/>
                <w:numId w:val="16"/>
              </w:numPr>
              <w:spacing w:after="0"/>
              <w:cnfStyle w:val="000000100000" w:firstRow="0" w:lastRow="0" w:firstColumn="0" w:lastColumn="0" w:oddVBand="0" w:evenVBand="0" w:oddHBand="1" w:evenHBand="0" w:firstRowFirstColumn="0" w:firstRowLastColumn="0" w:lastRowFirstColumn="0" w:lastRowLastColumn="0"/>
              <w:rPr>
                <w:color w:val="000000"/>
                <w:sz w:val="20"/>
                <w:szCs w:val="20"/>
                <w:shd w:val="clear" w:color="auto" w:fill="FFFFFF"/>
              </w:rPr>
            </w:pPr>
            <w:r w:rsidRPr="00792C31">
              <w:rPr>
                <w:color w:val="000000"/>
                <w:sz w:val="20"/>
                <w:szCs w:val="20"/>
                <w:shd w:val="clear" w:color="auto" w:fill="FFFFFF"/>
              </w:rPr>
              <w:t>The power to give directions (s 21)</w:t>
            </w:r>
            <w:r w:rsidR="009F3B30">
              <w:rPr>
                <w:color w:val="000000"/>
                <w:sz w:val="20"/>
                <w:szCs w:val="20"/>
                <w:shd w:val="clear" w:color="auto" w:fill="FFFFFF"/>
              </w:rPr>
              <w:t>.</w:t>
            </w:r>
            <w:r w:rsidRPr="00792C31">
              <w:rPr>
                <w:color w:val="000000"/>
                <w:sz w:val="20"/>
                <w:szCs w:val="20"/>
                <w:shd w:val="clear" w:color="auto" w:fill="FFFFFF"/>
              </w:rPr>
              <w:t xml:space="preserve"> </w:t>
            </w:r>
          </w:p>
          <w:p w14:paraId="785876DE" w14:textId="3B9D51E0" w:rsidR="005D62D3" w:rsidRPr="00792C31" w:rsidRDefault="005D62D3" w:rsidP="00556B28">
            <w:pPr>
              <w:pStyle w:val="ListParagraph"/>
              <w:numPr>
                <w:ilvl w:val="0"/>
                <w:numId w:val="16"/>
              </w:numPr>
              <w:spacing w:after="0"/>
              <w:cnfStyle w:val="000000100000" w:firstRow="0" w:lastRow="0" w:firstColumn="0" w:lastColumn="0" w:oddVBand="0" w:evenVBand="0" w:oddHBand="1" w:evenHBand="0" w:firstRowFirstColumn="0" w:firstRowLastColumn="0" w:lastRowFirstColumn="0" w:lastRowLastColumn="0"/>
              <w:rPr>
                <w:color w:val="000000"/>
                <w:sz w:val="20"/>
                <w:szCs w:val="20"/>
                <w:shd w:val="clear" w:color="auto" w:fill="FFFFFF"/>
              </w:rPr>
            </w:pPr>
            <w:r w:rsidRPr="00792C31">
              <w:rPr>
                <w:color w:val="000000"/>
                <w:sz w:val="20"/>
                <w:szCs w:val="20"/>
                <w:shd w:val="clear" w:color="auto" w:fill="FFFFFF"/>
              </w:rPr>
              <w:t>The power to direct persons to provide identifying information (s 23)</w:t>
            </w:r>
            <w:r w:rsidR="009F3B30">
              <w:rPr>
                <w:color w:val="000000"/>
                <w:sz w:val="20"/>
                <w:szCs w:val="20"/>
                <w:shd w:val="clear" w:color="auto" w:fill="FFFFFF"/>
              </w:rPr>
              <w:t>.</w:t>
            </w:r>
          </w:p>
          <w:p w14:paraId="2E4826B9" w14:textId="1FBE2F32" w:rsidR="005D62D3" w:rsidRPr="00792C31" w:rsidRDefault="005D62D3" w:rsidP="00556B28">
            <w:pPr>
              <w:pStyle w:val="ListParagraph"/>
              <w:numPr>
                <w:ilvl w:val="0"/>
                <w:numId w:val="16"/>
              </w:numPr>
              <w:spacing w:after="0"/>
              <w:cnfStyle w:val="000000100000" w:firstRow="0" w:lastRow="0" w:firstColumn="0" w:lastColumn="0" w:oddVBand="0" w:evenVBand="0" w:oddHBand="1" w:evenHBand="0" w:firstRowFirstColumn="0" w:firstRowLastColumn="0" w:lastRowFirstColumn="0" w:lastRowLastColumn="0"/>
              <w:rPr>
                <w:color w:val="000000"/>
                <w:sz w:val="20"/>
                <w:szCs w:val="20"/>
                <w:shd w:val="clear" w:color="auto" w:fill="FFFFFF"/>
              </w:rPr>
            </w:pPr>
            <w:r w:rsidRPr="00792C31">
              <w:rPr>
                <w:color w:val="000000"/>
                <w:sz w:val="20"/>
                <w:szCs w:val="20"/>
                <w:shd w:val="clear" w:color="auto" w:fill="FFFFFF"/>
              </w:rPr>
              <w:t>The power to issue infringement notices (s 29)</w:t>
            </w:r>
            <w:r w:rsidR="009F3B30">
              <w:rPr>
                <w:color w:val="000000"/>
                <w:sz w:val="20"/>
                <w:szCs w:val="20"/>
                <w:shd w:val="clear" w:color="auto" w:fill="FFFFFF"/>
              </w:rPr>
              <w:t>.</w:t>
            </w:r>
          </w:p>
        </w:tc>
        <w:tc>
          <w:tcPr>
            <w:tcW w:w="3827" w:type="dxa"/>
            <w:shd w:val="clear" w:color="auto" w:fill="FFFFFF" w:themeFill="background1"/>
          </w:tcPr>
          <w:p w14:paraId="21024553" w14:textId="750B84AD" w:rsidR="005D62D3" w:rsidRPr="00792C31" w:rsidRDefault="009F3B30" w:rsidP="00550884">
            <w:pPr>
              <w:pStyle w:val="ListParagraph"/>
              <w:numPr>
                <w:ilvl w:val="0"/>
                <w:numId w:val="18"/>
              </w:numPr>
              <w:spacing w:after="0"/>
              <w:cnfStyle w:val="000000100000" w:firstRow="0" w:lastRow="0" w:firstColumn="0" w:lastColumn="0" w:oddVBand="0" w:evenVBand="0" w:oddHBand="1" w:evenHBand="0" w:firstRowFirstColumn="0" w:firstRowLastColumn="0" w:lastRowFirstColumn="0" w:lastRowLastColumn="0"/>
              <w:rPr>
                <w:color w:val="000000"/>
                <w:sz w:val="20"/>
                <w:szCs w:val="20"/>
                <w:shd w:val="clear" w:color="auto" w:fill="FFFFFF"/>
              </w:rPr>
            </w:pPr>
            <w:r>
              <w:rPr>
                <w:color w:val="000000"/>
                <w:sz w:val="20"/>
                <w:szCs w:val="20"/>
                <w:shd w:val="clear" w:color="auto" w:fill="FFFFFF"/>
              </w:rPr>
              <w:t>C</w:t>
            </w:r>
            <w:r w:rsidR="005D62D3" w:rsidRPr="00792C31">
              <w:rPr>
                <w:color w:val="000000"/>
                <w:sz w:val="20"/>
                <w:szCs w:val="20"/>
                <w:shd w:val="clear" w:color="auto" w:fill="FFFFFF"/>
              </w:rPr>
              <w:t xml:space="preserve">hecking compliance with pre-departure testing requirements at the air border in relation to people arriving in </w:t>
            </w:r>
            <w:r w:rsidR="00AF692D" w:rsidRPr="00550884">
              <w:rPr>
                <w:color w:val="000000"/>
                <w:sz w:val="20"/>
                <w:szCs w:val="20"/>
                <w:shd w:val="clear" w:color="auto" w:fill="FFFFFF"/>
              </w:rPr>
              <w:t>Aotearoa</w:t>
            </w:r>
            <w:r w:rsidR="00AF692D" w:rsidRPr="00792C31">
              <w:rPr>
                <w:color w:val="000000"/>
                <w:sz w:val="20"/>
                <w:szCs w:val="20"/>
                <w:shd w:val="clear" w:color="auto" w:fill="FFFFFF"/>
              </w:rPr>
              <w:t xml:space="preserve"> </w:t>
            </w:r>
            <w:r w:rsidR="005D62D3" w:rsidRPr="00792C31">
              <w:rPr>
                <w:color w:val="000000"/>
                <w:sz w:val="20"/>
                <w:szCs w:val="20"/>
                <w:shd w:val="clear" w:color="auto" w:fill="FFFFFF"/>
              </w:rPr>
              <w:t>New Zealand</w:t>
            </w:r>
            <w:r>
              <w:rPr>
                <w:color w:val="000000"/>
                <w:sz w:val="20"/>
                <w:szCs w:val="20"/>
                <w:shd w:val="clear" w:color="auto" w:fill="FFFFFF"/>
              </w:rPr>
              <w:t>.</w:t>
            </w:r>
          </w:p>
          <w:p w14:paraId="6F2A4AE1" w14:textId="55EDDC8E" w:rsidR="005D62D3" w:rsidRPr="00792C31" w:rsidRDefault="009F3B30" w:rsidP="00550884">
            <w:pPr>
              <w:pStyle w:val="ListParagraph"/>
              <w:numPr>
                <w:ilvl w:val="0"/>
                <w:numId w:val="18"/>
              </w:numPr>
              <w:spacing w:after="0"/>
              <w:cnfStyle w:val="000000100000" w:firstRow="0" w:lastRow="0" w:firstColumn="0" w:lastColumn="0" w:oddVBand="0" w:evenVBand="0" w:oddHBand="1" w:evenHBand="0" w:firstRowFirstColumn="0" w:firstRowLastColumn="0" w:lastRowFirstColumn="0" w:lastRowLastColumn="0"/>
              <w:rPr>
                <w:color w:val="000000"/>
                <w:sz w:val="20"/>
                <w:szCs w:val="20"/>
                <w:shd w:val="clear" w:color="auto" w:fill="FFFFFF"/>
              </w:rPr>
            </w:pPr>
            <w:r>
              <w:rPr>
                <w:color w:val="000000"/>
                <w:sz w:val="20"/>
                <w:szCs w:val="20"/>
                <w:shd w:val="clear" w:color="auto" w:fill="FFFFFF"/>
              </w:rPr>
              <w:t>I</w:t>
            </w:r>
            <w:r w:rsidR="005D62D3" w:rsidRPr="00792C31">
              <w:rPr>
                <w:color w:val="000000"/>
                <w:sz w:val="20"/>
                <w:szCs w:val="20"/>
                <w:shd w:val="clear" w:color="auto" w:fill="FFFFFF"/>
              </w:rPr>
              <w:t>ssuing infringement notices to people who have not complied with pre-departure testing requirements.</w:t>
            </w:r>
          </w:p>
          <w:p w14:paraId="44878FC0" w14:textId="77777777" w:rsidR="005D62D3" w:rsidRPr="00792C31" w:rsidRDefault="005D62D3" w:rsidP="00583F0D">
            <w:pPr>
              <w:contextualSpacing/>
              <w:cnfStyle w:val="000000100000" w:firstRow="0" w:lastRow="0" w:firstColumn="0" w:lastColumn="0" w:oddVBand="0" w:evenVBand="0" w:oddHBand="1" w:evenHBand="0" w:firstRowFirstColumn="0" w:firstRowLastColumn="0" w:lastRowFirstColumn="0" w:lastRowLastColumn="0"/>
              <w:rPr>
                <w:color w:val="000000"/>
                <w:szCs w:val="20"/>
                <w:shd w:val="clear" w:color="auto" w:fill="FFFFFF"/>
              </w:rPr>
            </w:pPr>
          </w:p>
        </w:tc>
      </w:tr>
    </w:tbl>
    <w:p w14:paraId="4030C0DF" w14:textId="77777777" w:rsidR="004D77DB" w:rsidRPr="00522A7C" w:rsidRDefault="004D77DB" w:rsidP="004D77DB">
      <w:pPr>
        <w:contextualSpacing/>
        <w:rPr>
          <w:color w:val="000000"/>
          <w:shd w:val="clear" w:color="auto" w:fill="FFFFFF"/>
        </w:rPr>
      </w:pPr>
    </w:p>
    <w:p w14:paraId="37547BF2" w14:textId="1DBF6695" w:rsidR="004D77DB" w:rsidRDefault="004D77DB" w:rsidP="00FB32D6">
      <w:pPr>
        <w:pStyle w:val="BodyTextnonum"/>
      </w:pPr>
      <w:r w:rsidRPr="006A12F0">
        <w:t>The augmentation of the existing powers of Aviation S</w:t>
      </w:r>
      <w:r w:rsidR="009F3B30">
        <w:t>ecurity</w:t>
      </w:r>
      <w:r w:rsidRPr="006A12F0">
        <w:t xml:space="preserve"> </w:t>
      </w:r>
      <w:r w:rsidR="009F3B30">
        <w:t xml:space="preserve">officers </w:t>
      </w:r>
      <w:r w:rsidRPr="006A12F0">
        <w:t xml:space="preserve">and Customs officials triggered by an </w:t>
      </w:r>
      <w:r w:rsidR="00470B51">
        <w:t>e</w:t>
      </w:r>
      <w:r w:rsidRPr="006A12F0">
        <w:t xml:space="preserve">pidemic </w:t>
      </w:r>
      <w:r w:rsidR="00470B51">
        <w:t>n</w:t>
      </w:r>
      <w:r w:rsidRPr="006A12F0">
        <w:t xml:space="preserve">otice </w:t>
      </w:r>
      <w:proofErr w:type="gramStart"/>
      <w:r w:rsidRPr="006A12F0">
        <w:t>in order to</w:t>
      </w:r>
      <w:proofErr w:type="gramEnd"/>
      <w:r w:rsidRPr="006A12F0">
        <w:t xml:space="preserve"> control the borders is uncontroversial and should be included in standing rules.</w:t>
      </w:r>
    </w:p>
    <w:p w14:paraId="59819028" w14:textId="52CF1B60" w:rsidR="004D77DB" w:rsidRPr="006A12F0" w:rsidRDefault="004D77DB" w:rsidP="00792C31">
      <w:pPr>
        <w:pStyle w:val="Heading3"/>
      </w:pPr>
      <w:bookmarkStart w:id="193" w:name="_Toc107520589"/>
      <w:bookmarkStart w:id="194" w:name="_Toc108444726"/>
      <w:bookmarkStart w:id="195" w:name="_Toc117063127"/>
      <w:bookmarkStart w:id="196" w:name="_Toc118119319"/>
      <w:r w:rsidRPr="006A12F0">
        <w:t xml:space="preserve">Maritime </w:t>
      </w:r>
      <w:r w:rsidR="00750A2A">
        <w:t>b</w:t>
      </w:r>
      <w:r w:rsidRPr="006A12F0">
        <w:t>order</w:t>
      </w:r>
      <w:bookmarkEnd w:id="193"/>
      <w:bookmarkEnd w:id="194"/>
      <w:bookmarkEnd w:id="195"/>
      <w:bookmarkEnd w:id="196"/>
      <w:r w:rsidRPr="006A12F0">
        <w:t xml:space="preserve"> </w:t>
      </w:r>
    </w:p>
    <w:p w14:paraId="5A843E53" w14:textId="628AD208" w:rsidR="004D77DB" w:rsidRPr="00522A7C" w:rsidRDefault="004D77DB" w:rsidP="00FB32D6">
      <w:pPr>
        <w:pStyle w:val="BodyTextnonum"/>
      </w:pPr>
      <w:r w:rsidRPr="00522A7C">
        <w:t xml:space="preserve">The authorisations given at the </w:t>
      </w:r>
      <w:r w:rsidR="00750A2A">
        <w:t>m</w:t>
      </w:r>
      <w:r w:rsidRPr="00522A7C">
        <w:t xml:space="preserve">aritime </w:t>
      </w:r>
      <w:r w:rsidR="00750A2A">
        <w:t>b</w:t>
      </w:r>
      <w:r w:rsidRPr="00522A7C">
        <w:t xml:space="preserve">order are more complex. </w:t>
      </w:r>
      <w:r>
        <w:t>T</w:t>
      </w:r>
      <w:r w:rsidRPr="00522A7C">
        <w:t xml:space="preserve">hree groups </w:t>
      </w:r>
      <w:r>
        <w:t>were</w:t>
      </w:r>
      <w:r w:rsidRPr="00522A7C">
        <w:t xml:space="preserve"> authorised as enforcement officers: </w:t>
      </w:r>
    </w:p>
    <w:p w14:paraId="29DE946E" w14:textId="5E23DDCE" w:rsidR="004D77DB" w:rsidRPr="008331DD" w:rsidRDefault="004D77DB">
      <w:pPr>
        <w:pStyle w:val="ListBullet"/>
        <w:ind w:left="1134"/>
        <w:rPr>
          <w:shd w:val="clear" w:color="auto" w:fill="FFFFFF"/>
        </w:rPr>
      </w:pPr>
      <w:r w:rsidRPr="00522A7C">
        <w:rPr>
          <w:shd w:val="clear" w:color="auto" w:fill="FFFFFF"/>
        </w:rPr>
        <w:t xml:space="preserve">27 August 2020 </w:t>
      </w:r>
      <w:r w:rsidR="000E0D24">
        <w:rPr>
          <w:shd w:val="clear" w:color="auto" w:fill="FFFFFF"/>
        </w:rPr>
        <w:t>–</w:t>
      </w:r>
      <w:r w:rsidRPr="00522A7C">
        <w:rPr>
          <w:shd w:val="clear" w:color="auto" w:fill="FFFFFF"/>
        </w:rPr>
        <w:t xml:space="preserve"> Customs </w:t>
      </w:r>
      <w:r w:rsidR="00750A2A">
        <w:rPr>
          <w:shd w:val="clear" w:color="auto" w:fill="FFFFFF"/>
        </w:rPr>
        <w:t>o</w:t>
      </w:r>
      <w:r w:rsidRPr="00522A7C">
        <w:rPr>
          <w:shd w:val="clear" w:color="auto" w:fill="FFFFFF"/>
        </w:rPr>
        <w:t xml:space="preserve">fficers </w:t>
      </w:r>
      <w:r>
        <w:rPr>
          <w:shd w:val="clear" w:color="auto" w:fill="FFFFFF"/>
        </w:rPr>
        <w:t xml:space="preserve">were </w:t>
      </w:r>
      <w:r w:rsidRPr="00522A7C">
        <w:rPr>
          <w:shd w:val="clear" w:color="auto" w:fill="FFFFFF"/>
        </w:rPr>
        <w:t>authorised</w:t>
      </w:r>
      <w:r w:rsidR="00750A2A">
        <w:rPr>
          <w:shd w:val="clear" w:color="auto" w:fill="FFFFFF"/>
        </w:rPr>
        <w:t>.</w:t>
      </w:r>
      <w:r w:rsidRPr="00522A7C">
        <w:rPr>
          <w:shd w:val="clear" w:color="auto" w:fill="FFFFFF"/>
        </w:rPr>
        <w:t xml:space="preserve"> </w:t>
      </w:r>
    </w:p>
    <w:p w14:paraId="5AF108DD" w14:textId="033617DB" w:rsidR="004D77DB" w:rsidRPr="008331DD" w:rsidRDefault="004D77DB">
      <w:pPr>
        <w:pStyle w:val="ListBullet"/>
        <w:ind w:left="1134"/>
        <w:rPr>
          <w:shd w:val="clear" w:color="auto" w:fill="FFFFFF"/>
        </w:rPr>
      </w:pPr>
      <w:r w:rsidRPr="00522A7C">
        <w:rPr>
          <w:shd w:val="clear" w:color="auto" w:fill="FFFFFF"/>
        </w:rPr>
        <w:t xml:space="preserve">29 October 2020 </w:t>
      </w:r>
      <w:r w:rsidR="000E0D24">
        <w:rPr>
          <w:shd w:val="clear" w:color="auto" w:fill="FFFFFF"/>
        </w:rPr>
        <w:t>–</w:t>
      </w:r>
      <w:r w:rsidRPr="00522A7C">
        <w:rPr>
          <w:shd w:val="clear" w:color="auto" w:fill="FFFFFF"/>
        </w:rPr>
        <w:t xml:space="preserve"> the Armed Forces </w:t>
      </w:r>
      <w:r>
        <w:rPr>
          <w:shd w:val="clear" w:color="auto" w:fill="FFFFFF"/>
        </w:rPr>
        <w:t xml:space="preserve">were </w:t>
      </w:r>
      <w:r w:rsidRPr="00522A7C">
        <w:rPr>
          <w:shd w:val="clear" w:color="auto" w:fill="FFFFFF"/>
        </w:rPr>
        <w:t>given authorisation</w:t>
      </w:r>
      <w:r w:rsidR="00750A2A">
        <w:rPr>
          <w:shd w:val="clear" w:color="auto" w:fill="FFFFFF"/>
        </w:rPr>
        <w:t>.</w:t>
      </w:r>
      <w:r w:rsidRPr="00522A7C">
        <w:rPr>
          <w:shd w:val="clear" w:color="auto" w:fill="FFFFFF"/>
        </w:rPr>
        <w:t xml:space="preserve"> </w:t>
      </w:r>
    </w:p>
    <w:p w14:paraId="6BEDFC5F" w14:textId="2176D097" w:rsidR="004D77DB" w:rsidRPr="008331DD" w:rsidRDefault="004D77DB">
      <w:pPr>
        <w:pStyle w:val="ListBullet"/>
        <w:ind w:left="1134"/>
        <w:rPr>
          <w:shd w:val="clear" w:color="auto" w:fill="FFFFFF"/>
        </w:rPr>
      </w:pPr>
      <w:r w:rsidRPr="00522A7C">
        <w:rPr>
          <w:shd w:val="clear" w:color="auto" w:fill="FFFFFF"/>
        </w:rPr>
        <w:t xml:space="preserve">2 November 2020 </w:t>
      </w:r>
      <w:r w:rsidR="000E0D24">
        <w:rPr>
          <w:shd w:val="clear" w:color="auto" w:fill="FFFFFF"/>
        </w:rPr>
        <w:t>–</w:t>
      </w:r>
      <w:r w:rsidRPr="00522A7C">
        <w:rPr>
          <w:shd w:val="clear" w:color="auto" w:fill="FFFFFF"/>
        </w:rPr>
        <w:t xml:space="preserve"> the authorisation of Customs </w:t>
      </w:r>
      <w:r w:rsidR="00750A2A">
        <w:rPr>
          <w:shd w:val="clear" w:color="auto" w:fill="FFFFFF"/>
        </w:rPr>
        <w:t>o</w:t>
      </w:r>
      <w:r w:rsidRPr="00522A7C">
        <w:rPr>
          <w:shd w:val="clear" w:color="auto" w:fill="FFFFFF"/>
        </w:rPr>
        <w:t xml:space="preserve">fficers </w:t>
      </w:r>
      <w:r>
        <w:rPr>
          <w:shd w:val="clear" w:color="auto" w:fill="FFFFFF"/>
        </w:rPr>
        <w:t xml:space="preserve">was </w:t>
      </w:r>
      <w:r w:rsidRPr="00522A7C">
        <w:rPr>
          <w:shd w:val="clear" w:color="auto" w:fill="FFFFFF"/>
        </w:rPr>
        <w:t>limited to those who have undertaken a specific kind of training</w:t>
      </w:r>
      <w:r w:rsidR="00750A2A">
        <w:rPr>
          <w:shd w:val="clear" w:color="auto" w:fill="FFFFFF"/>
        </w:rPr>
        <w:t>.</w:t>
      </w:r>
      <w:r w:rsidRPr="00522A7C">
        <w:rPr>
          <w:shd w:val="clear" w:color="auto" w:fill="FFFFFF"/>
        </w:rPr>
        <w:t xml:space="preserve"> </w:t>
      </w:r>
    </w:p>
    <w:p w14:paraId="23F7AC8B" w14:textId="687066CD" w:rsidR="004D77DB" w:rsidRPr="00522A7C" w:rsidRDefault="004D77DB">
      <w:pPr>
        <w:pStyle w:val="ListBullet"/>
        <w:ind w:left="1134"/>
        <w:rPr>
          <w:shd w:val="clear" w:color="auto" w:fill="FFFFFF"/>
        </w:rPr>
      </w:pPr>
      <w:r w:rsidRPr="00522A7C">
        <w:rPr>
          <w:shd w:val="clear" w:color="auto" w:fill="FFFFFF"/>
        </w:rPr>
        <w:t xml:space="preserve">11 November 2020 </w:t>
      </w:r>
      <w:r w:rsidR="000E0D24">
        <w:rPr>
          <w:shd w:val="clear" w:color="auto" w:fill="FFFFFF"/>
        </w:rPr>
        <w:t>–</w:t>
      </w:r>
      <w:r w:rsidRPr="00522A7C">
        <w:rPr>
          <w:shd w:val="clear" w:color="auto" w:fill="FFFFFF"/>
        </w:rPr>
        <w:t xml:space="preserve"> an unspecified group of enforcement officers </w:t>
      </w:r>
      <w:r>
        <w:rPr>
          <w:shd w:val="clear" w:color="auto" w:fill="FFFFFF"/>
        </w:rPr>
        <w:t xml:space="preserve">was </w:t>
      </w:r>
      <w:r w:rsidRPr="00522A7C">
        <w:rPr>
          <w:shd w:val="clear" w:color="auto" w:fill="FFFFFF"/>
        </w:rPr>
        <w:t xml:space="preserve">enlisted. </w:t>
      </w:r>
    </w:p>
    <w:p w14:paraId="5EB0988A" w14:textId="3B24AE19" w:rsidR="004D77DB" w:rsidRPr="004A0D08" w:rsidRDefault="004D77DB" w:rsidP="005A21D4">
      <w:pPr>
        <w:pStyle w:val="Heading4"/>
      </w:pPr>
      <w:bookmarkStart w:id="197" w:name="_Toc107520590"/>
      <w:bookmarkStart w:id="198" w:name="_Toc108444727"/>
      <w:bookmarkStart w:id="199" w:name="_Toc116464833"/>
      <w:r w:rsidRPr="004A0D08">
        <w:t xml:space="preserve">Authorisation of Customs </w:t>
      </w:r>
      <w:r w:rsidR="00483AD5">
        <w:t>o</w:t>
      </w:r>
      <w:r w:rsidRPr="004A0D08">
        <w:t>fficers</w:t>
      </w:r>
      <w:bookmarkEnd w:id="197"/>
      <w:bookmarkEnd w:id="198"/>
      <w:bookmarkEnd w:id="199"/>
    </w:p>
    <w:tbl>
      <w:tblPr>
        <w:tblStyle w:val="GridTable4-Accent2"/>
        <w:tblW w:w="8363" w:type="dxa"/>
        <w:tblInd w:w="704"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20" w:firstRow="1" w:lastRow="0" w:firstColumn="0" w:lastColumn="0" w:noHBand="0" w:noVBand="1"/>
      </w:tblPr>
      <w:tblGrid>
        <w:gridCol w:w="2205"/>
        <w:gridCol w:w="2331"/>
        <w:gridCol w:w="3827"/>
      </w:tblGrid>
      <w:tr w:rsidR="00165EE7" w:rsidRPr="00EE53DC" w14:paraId="303CE0D8" w14:textId="77777777" w:rsidTr="00583F0D">
        <w:trPr>
          <w:cnfStyle w:val="100000000000" w:firstRow="1" w:lastRow="0" w:firstColumn="0" w:lastColumn="0" w:oddVBand="0" w:evenVBand="0" w:oddHBand="0" w:evenHBand="0" w:firstRowFirstColumn="0" w:firstRowLastColumn="0" w:lastRowFirstColumn="0" w:lastRowLastColumn="0"/>
        </w:trPr>
        <w:tc>
          <w:tcPr>
            <w:tcW w:w="2205" w:type="dxa"/>
            <w:tcBorders>
              <w:top w:val="none" w:sz="0" w:space="0" w:color="auto"/>
              <w:left w:val="none" w:sz="0" w:space="0" w:color="auto"/>
              <w:bottom w:val="none" w:sz="0" w:space="0" w:color="auto"/>
              <w:right w:val="none" w:sz="0" w:space="0" w:color="auto"/>
            </w:tcBorders>
            <w:shd w:val="clear" w:color="auto" w:fill="C0504D"/>
          </w:tcPr>
          <w:p w14:paraId="10D2F57F" w14:textId="4C69DAF0" w:rsidR="00165EE7" w:rsidRPr="00FF5A5D" w:rsidRDefault="00165EE7" w:rsidP="00583F0D">
            <w:pPr>
              <w:pStyle w:val="TableSubheadingGreen"/>
              <w:jc w:val="center"/>
              <w:rPr>
                <w:rFonts w:ascii="Metropolis" w:hAnsi="Metropolis"/>
                <w:b/>
                <w:bCs w:val="0"/>
                <w:color w:val="FFFFFF" w:themeColor="background1"/>
                <w:szCs w:val="28"/>
              </w:rPr>
            </w:pPr>
            <w:r w:rsidRPr="00FF5A5D">
              <w:rPr>
                <w:rFonts w:ascii="Metropolis" w:hAnsi="Metropolis"/>
                <w:b/>
                <w:bCs w:val="0"/>
                <w:color w:val="FFFFFF" w:themeColor="background1"/>
              </w:rPr>
              <w:t xml:space="preserve">Date and </w:t>
            </w:r>
            <w:r w:rsidR="00483AD5">
              <w:rPr>
                <w:rFonts w:ascii="Metropolis" w:hAnsi="Metropolis"/>
                <w:b/>
                <w:bCs w:val="0"/>
                <w:color w:val="FFFFFF" w:themeColor="background1"/>
              </w:rPr>
              <w:t>p</w:t>
            </w:r>
            <w:r w:rsidRPr="00FF5A5D">
              <w:rPr>
                <w:rFonts w:ascii="Metropolis" w:hAnsi="Metropolis"/>
                <w:b/>
                <w:bCs w:val="0"/>
                <w:color w:val="FFFFFF" w:themeColor="background1"/>
              </w:rPr>
              <w:t>eriod</w:t>
            </w:r>
          </w:p>
        </w:tc>
        <w:tc>
          <w:tcPr>
            <w:tcW w:w="2331" w:type="dxa"/>
            <w:tcBorders>
              <w:top w:val="none" w:sz="0" w:space="0" w:color="auto"/>
              <w:left w:val="none" w:sz="0" w:space="0" w:color="auto"/>
              <w:bottom w:val="none" w:sz="0" w:space="0" w:color="auto"/>
              <w:right w:val="none" w:sz="0" w:space="0" w:color="auto"/>
            </w:tcBorders>
            <w:shd w:val="clear" w:color="auto" w:fill="C0504D"/>
          </w:tcPr>
          <w:p w14:paraId="0820D57E" w14:textId="140109B3" w:rsidR="00165EE7" w:rsidRPr="00FF5A5D" w:rsidRDefault="00165EE7" w:rsidP="00583F0D">
            <w:pPr>
              <w:pStyle w:val="TableSubheadingGreen"/>
              <w:jc w:val="center"/>
              <w:rPr>
                <w:rFonts w:ascii="Metropolis" w:hAnsi="Metropolis"/>
                <w:b/>
                <w:bCs w:val="0"/>
                <w:color w:val="FFFFFF" w:themeColor="background1"/>
                <w:szCs w:val="28"/>
              </w:rPr>
            </w:pPr>
            <w:r w:rsidRPr="00FF5A5D">
              <w:rPr>
                <w:rFonts w:ascii="Metropolis" w:hAnsi="Metropolis"/>
                <w:b/>
                <w:bCs w:val="0"/>
                <w:color w:val="FFFFFF" w:themeColor="background1"/>
              </w:rPr>
              <w:t xml:space="preserve">Functions and </w:t>
            </w:r>
            <w:r w:rsidR="00483AD5">
              <w:rPr>
                <w:rFonts w:ascii="Metropolis" w:hAnsi="Metropolis"/>
                <w:b/>
                <w:bCs w:val="0"/>
                <w:color w:val="FFFFFF" w:themeColor="background1"/>
              </w:rPr>
              <w:t>p</w:t>
            </w:r>
            <w:r w:rsidRPr="00FF5A5D">
              <w:rPr>
                <w:rFonts w:ascii="Metropolis" w:hAnsi="Metropolis"/>
                <w:b/>
                <w:bCs w:val="0"/>
                <w:color w:val="FFFFFF" w:themeColor="background1"/>
              </w:rPr>
              <w:t>owers</w:t>
            </w:r>
          </w:p>
        </w:tc>
        <w:tc>
          <w:tcPr>
            <w:tcW w:w="3827" w:type="dxa"/>
            <w:tcBorders>
              <w:top w:val="none" w:sz="0" w:space="0" w:color="auto"/>
              <w:left w:val="none" w:sz="0" w:space="0" w:color="auto"/>
              <w:bottom w:val="none" w:sz="0" w:space="0" w:color="auto"/>
              <w:right w:val="none" w:sz="0" w:space="0" w:color="auto"/>
            </w:tcBorders>
            <w:shd w:val="clear" w:color="auto" w:fill="C0504D"/>
          </w:tcPr>
          <w:p w14:paraId="6EAAF9C5" w14:textId="06DDC9B5" w:rsidR="00165EE7" w:rsidRPr="00FF5A5D" w:rsidRDefault="00165EE7" w:rsidP="00583F0D">
            <w:pPr>
              <w:pStyle w:val="TableSubheadingGreen"/>
              <w:jc w:val="center"/>
              <w:rPr>
                <w:rFonts w:ascii="Metropolis" w:hAnsi="Metropolis"/>
                <w:b/>
                <w:bCs w:val="0"/>
                <w:color w:val="FFFFFF" w:themeColor="background1"/>
                <w:szCs w:val="28"/>
              </w:rPr>
            </w:pPr>
            <w:r w:rsidRPr="00FF5A5D">
              <w:rPr>
                <w:rFonts w:ascii="Metropolis" w:hAnsi="Metropolis"/>
                <w:b/>
                <w:bCs w:val="0"/>
                <w:color w:val="FFFFFF" w:themeColor="background1"/>
              </w:rPr>
              <w:t xml:space="preserve">Given for what </w:t>
            </w:r>
            <w:r w:rsidR="00483AD5">
              <w:rPr>
                <w:rFonts w:ascii="Metropolis" w:hAnsi="Metropolis"/>
                <w:b/>
                <w:bCs w:val="0"/>
                <w:color w:val="FFFFFF" w:themeColor="background1"/>
              </w:rPr>
              <w:t>p</w:t>
            </w:r>
            <w:r w:rsidRPr="00FF5A5D">
              <w:rPr>
                <w:rFonts w:ascii="Metropolis" w:hAnsi="Metropolis"/>
                <w:b/>
                <w:bCs w:val="0"/>
                <w:color w:val="FFFFFF" w:themeColor="background1"/>
              </w:rPr>
              <w:t>urpose</w:t>
            </w:r>
          </w:p>
        </w:tc>
      </w:tr>
      <w:tr w:rsidR="00165EE7" w:rsidRPr="00792C31" w14:paraId="4F3CC2EF" w14:textId="77777777" w:rsidTr="00583F0D">
        <w:tblPrEx>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shd w:val="clear" w:color="auto" w:fill="FFFFFF" w:themeFill="background1"/>
          </w:tcPr>
          <w:p w14:paraId="2A8A9610" w14:textId="77777777" w:rsidR="00165EE7" w:rsidRPr="00792C31" w:rsidRDefault="00165EE7" w:rsidP="00583F0D">
            <w:pPr>
              <w:jc w:val="center"/>
              <w:rPr>
                <w:b w:val="0"/>
                <w:bCs w:val="0"/>
                <w:color w:val="000000"/>
                <w:szCs w:val="20"/>
                <w:u w:val="single"/>
                <w:shd w:val="clear" w:color="auto" w:fill="FFFFFF"/>
              </w:rPr>
            </w:pPr>
            <w:r w:rsidRPr="00792C31">
              <w:rPr>
                <w:b w:val="0"/>
                <w:bCs w:val="0"/>
                <w:color w:val="000000"/>
                <w:szCs w:val="20"/>
                <w:u w:val="single"/>
                <w:shd w:val="clear" w:color="auto" w:fill="FFFFFF"/>
              </w:rPr>
              <w:t>Issued</w:t>
            </w:r>
          </w:p>
          <w:p w14:paraId="779BFB2D" w14:textId="77777777" w:rsidR="00291768" w:rsidRPr="00291768" w:rsidRDefault="00291768" w:rsidP="00291768">
            <w:pPr>
              <w:contextualSpacing/>
              <w:jc w:val="center"/>
              <w:rPr>
                <w:b w:val="0"/>
                <w:bCs w:val="0"/>
                <w:color w:val="000000"/>
                <w:szCs w:val="20"/>
                <w:shd w:val="clear" w:color="auto" w:fill="FFFFFF"/>
              </w:rPr>
            </w:pPr>
            <w:r w:rsidRPr="00291768">
              <w:rPr>
                <w:b w:val="0"/>
                <w:bCs w:val="0"/>
                <w:color w:val="000000"/>
                <w:szCs w:val="20"/>
                <w:shd w:val="clear" w:color="auto" w:fill="FFFFFF"/>
              </w:rPr>
              <w:t>27 August 2020</w:t>
            </w:r>
          </w:p>
          <w:p w14:paraId="35FFEA1B" w14:textId="77777777" w:rsidR="00291768" w:rsidRPr="00291768" w:rsidRDefault="00291768" w:rsidP="00291768">
            <w:pPr>
              <w:contextualSpacing/>
              <w:jc w:val="center"/>
              <w:rPr>
                <w:b w:val="0"/>
                <w:bCs w:val="0"/>
                <w:color w:val="000000"/>
                <w:szCs w:val="20"/>
                <w:shd w:val="clear" w:color="auto" w:fill="FFFFFF"/>
              </w:rPr>
            </w:pPr>
          </w:p>
          <w:p w14:paraId="35C4D1EB" w14:textId="77777777" w:rsidR="00291768" w:rsidRPr="00291768" w:rsidRDefault="00291768" w:rsidP="00291768">
            <w:pPr>
              <w:contextualSpacing/>
              <w:jc w:val="center"/>
              <w:rPr>
                <w:b w:val="0"/>
                <w:bCs w:val="0"/>
                <w:color w:val="000000"/>
                <w:szCs w:val="20"/>
                <w:u w:val="single"/>
                <w:shd w:val="clear" w:color="auto" w:fill="FFFFFF"/>
              </w:rPr>
            </w:pPr>
            <w:r w:rsidRPr="00291768">
              <w:rPr>
                <w:b w:val="0"/>
                <w:bCs w:val="0"/>
                <w:color w:val="000000"/>
                <w:szCs w:val="20"/>
                <w:u w:val="single"/>
                <w:shd w:val="clear" w:color="auto" w:fill="FFFFFF"/>
              </w:rPr>
              <w:t>Applicable</w:t>
            </w:r>
          </w:p>
          <w:p w14:paraId="138A07EC" w14:textId="058FE8A5" w:rsidR="00291768" w:rsidRPr="00291768" w:rsidRDefault="00291768" w:rsidP="00B30A09">
            <w:pPr>
              <w:spacing w:before="240"/>
              <w:jc w:val="center"/>
              <w:rPr>
                <w:b w:val="0"/>
                <w:bCs w:val="0"/>
                <w:color w:val="000000"/>
                <w:szCs w:val="20"/>
                <w:shd w:val="clear" w:color="auto" w:fill="FFFFFF"/>
              </w:rPr>
            </w:pPr>
            <w:r w:rsidRPr="00291768">
              <w:rPr>
                <w:b w:val="0"/>
                <w:bCs w:val="0"/>
                <w:color w:val="000000"/>
                <w:szCs w:val="20"/>
                <w:shd w:val="clear" w:color="auto" w:fill="FFFFFF"/>
              </w:rPr>
              <w:t xml:space="preserve">27 August 2020 </w:t>
            </w:r>
            <w:r w:rsidR="00483AD5">
              <w:rPr>
                <w:b w:val="0"/>
                <w:bCs w:val="0"/>
                <w:color w:val="000000"/>
                <w:szCs w:val="20"/>
                <w:shd w:val="clear" w:color="auto" w:fill="FFFFFF"/>
              </w:rPr>
              <w:t>–</w:t>
            </w:r>
          </w:p>
          <w:p w14:paraId="203B22F3" w14:textId="315E970B" w:rsidR="00165EE7" w:rsidRPr="00792C31" w:rsidRDefault="00291768" w:rsidP="00291768">
            <w:pPr>
              <w:contextualSpacing/>
              <w:jc w:val="center"/>
              <w:rPr>
                <w:color w:val="000000"/>
                <w:szCs w:val="20"/>
                <w:shd w:val="clear" w:color="auto" w:fill="FFFFFF"/>
              </w:rPr>
            </w:pPr>
            <w:r w:rsidRPr="00291768">
              <w:rPr>
                <w:b w:val="0"/>
                <w:bCs w:val="0"/>
                <w:color w:val="000000"/>
                <w:szCs w:val="20"/>
                <w:shd w:val="clear" w:color="auto" w:fill="FFFFFF"/>
              </w:rPr>
              <w:t>31 May 2021</w:t>
            </w:r>
            <w:r w:rsidRPr="00291768">
              <w:rPr>
                <w:b w:val="0"/>
                <w:bCs w:val="0"/>
                <w:color w:val="000000"/>
                <w:szCs w:val="20"/>
                <w:shd w:val="clear" w:color="auto" w:fill="FFFFFF"/>
                <w:vertAlign w:val="superscript"/>
              </w:rPr>
              <w:footnoteReference w:id="131"/>
            </w:r>
          </w:p>
        </w:tc>
        <w:tc>
          <w:tcPr>
            <w:tcW w:w="2331" w:type="dxa"/>
            <w:shd w:val="clear" w:color="auto" w:fill="FFFFFF" w:themeFill="background1"/>
          </w:tcPr>
          <w:p w14:paraId="61983CC8" w14:textId="77777777" w:rsidR="00291768" w:rsidRPr="00291768" w:rsidRDefault="00291768" w:rsidP="00550884">
            <w:pPr>
              <w:pStyle w:val="ListParagraph"/>
              <w:numPr>
                <w:ilvl w:val="0"/>
                <w:numId w:val="18"/>
              </w:numPr>
              <w:spacing w:after="0"/>
              <w:cnfStyle w:val="000000100000" w:firstRow="0" w:lastRow="0" w:firstColumn="0" w:lastColumn="0" w:oddVBand="0" w:evenVBand="0" w:oddHBand="1" w:evenHBand="0" w:firstRowFirstColumn="0" w:firstRowLastColumn="0" w:lastRowFirstColumn="0" w:lastRowLastColumn="0"/>
              <w:rPr>
                <w:color w:val="000000"/>
                <w:sz w:val="20"/>
                <w:szCs w:val="20"/>
                <w:shd w:val="clear" w:color="auto" w:fill="FFFFFF"/>
              </w:rPr>
            </w:pPr>
            <w:r w:rsidRPr="00291768">
              <w:rPr>
                <w:color w:val="000000"/>
                <w:sz w:val="20"/>
                <w:szCs w:val="20"/>
                <w:shd w:val="clear" w:color="auto" w:fill="FFFFFF"/>
              </w:rPr>
              <w:t xml:space="preserve">The power of entry (s 20). </w:t>
            </w:r>
          </w:p>
          <w:p w14:paraId="2860B2E1" w14:textId="77777777" w:rsidR="00291768" w:rsidRPr="00291768" w:rsidRDefault="00291768" w:rsidP="00556B28">
            <w:pPr>
              <w:pStyle w:val="ListParagraph"/>
              <w:numPr>
                <w:ilvl w:val="0"/>
                <w:numId w:val="16"/>
              </w:numPr>
              <w:spacing w:after="0"/>
              <w:cnfStyle w:val="000000100000" w:firstRow="0" w:lastRow="0" w:firstColumn="0" w:lastColumn="0" w:oddVBand="0" w:evenVBand="0" w:oddHBand="1" w:evenHBand="0" w:firstRowFirstColumn="0" w:firstRowLastColumn="0" w:lastRowFirstColumn="0" w:lastRowLastColumn="0"/>
              <w:rPr>
                <w:color w:val="000000"/>
                <w:sz w:val="20"/>
                <w:szCs w:val="20"/>
                <w:shd w:val="clear" w:color="auto" w:fill="FFFFFF"/>
              </w:rPr>
            </w:pPr>
            <w:r w:rsidRPr="00291768">
              <w:rPr>
                <w:color w:val="000000"/>
                <w:sz w:val="20"/>
                <w:szCs w:val="20"/>
                <w:shd w:val="clear" w:color="auto" w:fill="FFFFFF"/>
              </w:rPr>
              <w:t xml:space="preserve">The power to give directions (s 21). </w:t>
            </w:r>
          </w:p>
          <w:p w14:paraId="494B482C" w14:textId="72E63D87" w:rsidR="00165EE7" w:rsidRPr="00291768" w:rsidRDefault="00291768" w:rsidP="00556B28">
            <w:pPr>
              <w:pStyle w:val="ListParagraph"/>
              <w:numPr>
                <w:ilvl w:val="0"/>
                <w:numId w:val="16"/>
              </w:numPr>
              <w:spacing w:after="0"/>
              <w:cnfStyle w:val="000000100000" w:firstRow="0" w:lastRow="0" w:firstColumn="0" w:lastColumn="0" w:oddVBand="0" w:evenVBand="0" w:oddHBand="1" w:evenHBand="0" w:firstRowFirstColumn="0" w:firstRowLastColumn="0" w:lastRowFirstColumn="0" w:lastRowLastColumn="0"/>
              <w:rPr>
                <w:color w:val="000000"/>
                <w:sz w:val="20"/>
                <w:szCs w:val="20"/>
                <w:shd w:val="clear" w:color="auto" w:fill="FFFFFF"/>
              </w:rPr>
            </w:pPr>
            <w:r w:rsidRPr="00291768">
              <w:rPr>
                <w:color w:val="000000"/>
                <w:sz w:val="20"/>
                <w:szCs w:val="20"/>
                <w:shd w:val="clear" w:color="auto" w:fill="FFFFFF"/>
              </w:rPr>
              <w:t xml:space="preserve">The power to direct persons to provide </w:t>
            </w:r>
            <w:r w:rsidRPr="00291768">
              <w:rPr>
                <w:color w:val="000000"/>
                <w:sz w:val="20"/>
                <w:szCs w:val="20"/>
                <w:shd w:val="clear" w:color="auto" w:fill="FFFFFF"/>
              </w:rPr>
              <w:lastRenderedPageBreak/>
              <w:t xml:space="preserve">identifying information (s 23). </w:t>
            </w:r>
          </w:p>
        </w:tc>
        <w:tc>
          <w:tcPr>
            <w:tcW w:w="3827" w:type="dxa"/>
            <w:shd w:val="clear" w:color="auto" w:fill="FFFFFF" w:themeFill="background1"/>
          </w:tcPr>
          <w:p w14:paraId="3CE03C69" w14:textId="7CDCA4C8" w:rsidR="00291768" w:rsidRPr="00291768" w:rsidRDefault="00291768" w:rsidP="00291768">
            <w:pPr>
              <w:contextualSpacing/>
              <w:cnfStyle w:val="000000100000" w:firstRow="0" w:lastRow="0" w:firstColumn="0" w:lastColumn="0" w:oddVBand="0" w:evenVBand="0" w:oddHBand="1" w:evenHBand="0" w:firstRowFirstColumn="0" w:firstRowLastColumn="0" w:lastRowFirstColumn="0" w:lastRowLastColumn="0"/>
              <w:rPr>
                <w:color w:val="000000"/>
                <w:szCs w:val="20"/>
                <w:shd w:val="clear" w:color="auto" w:fill="FFFFFF"/>
              </w:rPr>
            </w:pPr>
            <w:r w:rsidRPr="00291768">
              <w:rPr>
                <w:color w:val="000000"/>
                <w:szCs w:val="20"/>
                <w:shd w:val="clear" w:color="auto" w:fill="FFFFFF"/>
              </w:rPr>
              <w:lastRenderedPageBreak/>
              <w:t>Assisting in the implementation and enforcement of the Maritime Border Order</w:t>
            </w:r>
            <w:r w:rsidRPr="00291768">
              <w:rPr>
                <w:rStyle w:val="FootnoteReference"/>
                <w:color w:val="000000"/>
                <w:szCs w:val="20"/>
                <w:shd w:val="clear" w:color="auto" w:fill="FFFFFF"/>
              </w:rPr>
              <w:footnoteReference w:id="132"/>
            </w:r>
            <w:r w:rsidRPr="00291768">
              <w:rPr>
                <w:color w:val="000000"/>
                <w:szCs w:val="20"/>
                <w:shd w:val="clear" w:color="auto" w:fill="FFFFFF"/>
              </w:rPr>
              <w:t xml:space="preserve"> by:</w:t>
            </w:r>
          </w:p>
          <w:p w14:paraId="017A5720" w14:textId="21D42929" w:rsidR="00291768" w:rsidRPr="00291768" w:rsidRDefault="00291768" w:rsidP="00556B28">
            <w:pPr>
              <w:pStyle w:val="ListParagraph"/>
              <w:numPr>
                <w:ilvl w:val="0"/>
                <w:numId w:val="15"/>
              </w:numPr>
              <w:spacing w:after="0"/>
              <w:cnfStyle w:val="000000100000" w:firstRow="0" w:lastRow="0" w:firstColumn="0" w:lastColumn="0" w:oddVBand="0" w:evenVBand="0" w:oddHBand="1" w:evenHBand="0" w:firstRowFirstColumn="0" w:firstRowLastColumn="0" w:lastRowFirstColumn="0" w:lastRowLastColumn="0"/>
              <w:rPr>
                <w:color w:val="000000"/>
                <w:sz w:val="20"/>
                <w:szCs w:val="20"/>
                <w:shd w:val="clear" w:color="auto" w:fill="FFFFFF"/>
              </w:rPr>
            </w:pPr>
            <w:r w:rsidRPr="00291768">
              <w:rPr>
                <w:color w:val="000000"/>
                <w:sz w:val="20"/>
                <w:szCs w:val="20"/>
                <w:shd w:val="clear" w:color="auto" w:fill="FFFFFF"/>
              </w:rPr>
              <w:t xml:space="preserve">maintaining the security of entry and exit points in relation to ports and ships that have arrived in New Zealand, as </w:t>
            </w:r>
            <w:proofErr w:type="gramStart"/>
            <w:r w:rsidRPr="00291768">
              <w:rPr>
                <w:color w:val="000000"/>
                <w:sz w:val="20"/>
                <w:szCs w:val="20"/>
                <w:shd w:val="clear" w:color="auto" w:fill="FFFFFF"/>
              </w:rPr>
              <w:t>required;</w:t>
            </w:r>
            <w:proofErr w:type="gramEnd"/>
            <w:r w:rsidRPr="00291768">
              <w:rPr>
                <w:color w:val="000000"/>
                <w:sz w:val="20"/>
                <w:szCs w:val="20"/>
                <w:shd w:val="clear" w:color="auto" w:fill="FFFFFF"/>
              </w:rPr>
              <w:t xml:space="preserve"> </w:t>
            </w:r>
          </w:p>
          <w:p w14:paraId="4D6D04F8" w14:textId="77777777" w:rsidR="00291768" w:rsidRPr="00291768" w:rsidRDefault="00291768" w:rsidP="00556B28">
            <w:pPr>
              <w:pStyle w:val="ListParagraph"/>
              <w:numPr>
                <w:ilvl w:val="0"/>
                <w:numId w:val="15"/>
              </w:numPr>
              <w:spacing w:after="0"/>
              <w:cnfStyle w:val="000000100000" w:firstRow="0" w:lastRow="0" w:firstColumn="0" w:lastColumn="0" w:oddVBand="0" w:evenVBand="0" w:oddHBand="1" w:evenHBand="0" w:firstRowFirstColumn="0" w:firstRowLastColumn="0" w:lastRowFirstColumn="0" w:lastRowLastColumn="0"/>
              <w:rPr>
                <w:color w:val="000000"/>
                <w:sz w:val="20"/>
                <w:szCs w:val="20"/>
                <w:shd w:val="clear" w:color="auto" w:fill="FFFFFF"/>
              </w:rPr>
            </w:pPr>
            <w:r w:rsidRPr="00291768">
              <w:rPr>
                <w:color w:val="000000"/>
                <w:sz w:val="20"/>
                <w:szCs w:val="20"/>
                <w:shd w:val="clear" w:color="auto" w:fill="FFFFFF"/>
              </w:rPr>
              <w:lastRenderedPageBreak/>
              <w:t xml:space="preserve">providing information and engaging with people to ensure they understand the isolation/quarantine rules in relation to the </w:t>
            </w:r>
            <w:proofErr w:type="gramStart"/>
            <w:r w:rsidRPr="00291768">
              <w:rPr>
                <w:color w:val="000000"/>
                <w:sz w:val="20"/>
                <w:szCs w:val="20"/>
                <w:shd w:val="clear" w:color="auto" w:fill="FFFFFF"/>
              </w:rPr>
              <w:t>Order;</w:t>
            </w:r>
            <w:proofErr w:type="gramEnd"/>
            <w:r w:rsidRPr="00291768">
              <w:rPr>
                <w:color w:val="000000"/>
                <w:sz w:val="20"/>
                <w:szCs w:val="20"/>
                <w:shd w:val="clear" w:color="auto" w:fill="FFFFFF"/>
              </w:rPr>
              <w:t xml:space="preserve"> </w:t>
            </w:r>
          </w:p>
          <w:p w14:paraId="6A648D96" w14:textId="77777777" w:rsidR="00291768" w:rsidRPr="00291768" w:rsidRDefault="00291768" w:rsidP="00556B28">
            <w:pPr>
              <w:pStyle w:val="ListParagraph"/>
              <w:numPr>
                <w:ilvl w:val="0"/>
                <w:numId w:val="15"/>
              </w:numPr>
              <w:spacing w:after="0"/>
              <w:cnfStyle w:val="000000100000" w:firstRow="0" w:lastRow="0" w:firstColumn="0" w:lastColumn="0" w:oddVBand="0" w:evenVBand="0" w:oddHBand="1" w:evenHBand="0" w:firstRowFirstColumn="0" w:firstRowLastColumn="0" w:lastRowFirstColumn="0" w:lastRowLastColumn="0"/>
              <w:rPr>
                <w:color w:val="000000"/>
                <w:sz w:val="20"/>
                <w:szCs w:val="20"/>
                <w:shd w:val="clear" w:color="auto" w:fill="FFFFFF"/>
              </w:rPr>
            </w:pPr>
            <w:r w:rsidRPr="00291768">
              <w:rPr>
                <w:color w:val="000000"/>
                <w:sz w:val="20"/>
                <w:szCs w:val="20"/>
                <w:shd w:val="clear" w:color="auto" w:fill="FFFFFF"/>
              </w:rPr>
              <w:t>monitoring and, if necessary, directing the movement of persons at ports and on ships; and</w:t>
            </w:r>
          </w:p>
          <w:p w14:paraId="4442BC40" w14:textId="633BD1AD" w:rsidR="00291768" w:rsidRPr="00334EE0" w:rsidRDefault="00291768" w:rsidP="00556B28">
            <w:pPr>
              <w:pStyle w:val="ListParagraph"/>
              <w:numPr>
                <w:ilvl w:val="0"/>
                <w:numId w:val="15"/>
              </w:numPr>
              <w:spacing w:after="0"/>
              <w:cnfStyle w:val="000000100000" w:firstRow="0" w:lastRow="0" w:firstColumn="0" w:lastColumn="0" w:oddVBand="0" w:evenVBand="0" w:oddHBand="1" w:evenHBand="0" w:firstRowFirstColumn="0" w:firstRowLastColumn="0" w:lastRowFirstColumn="0" w:lastRowLastColumn="0"/>
              <w:rPr>
                <w:color w:val="000000"/>
                <w:sz w:val="20"/>
                <w:szCs w:val="20"/>
                <w:shd w:val="clear" w:color="auto" w:fill="FFFFFF"/>
              </w:rPr>
            </w:pPr>
            <w:r w:rsidRPr="00291768">
              <w:rPr>
                <w:color w:val="000000"/>
                <w:sz w:val="20"/>
                <w:szCs w:val="20"/>
                <w:shd w:val="clear" w:color="auto" w:fill="FFFFFF"/>
              </w:rPr>
              <w:t xml:space="preserve">monitoring compliance at ports and on ships in relation to people disembarking, physical distancing rules and rules in relation to wearing personal protection equipment. </w:t>
            </w:r>
          </w:p>
        </w:tc>
      </w:tr>
    </w:tbl>
    <w:p w14:paraId="7329AD4B" w14:textId="20E9FE06" w:rsidR="00165EE7" w:rsidRPr="006E351A" w:rsidRDefault="00165EE7" w:rsidP="004D77DB">
      <w:pPr>
        <w:rPr>
          <w:sz w:val="8"/>
          <w:szCs w:val="10"/>
          <w:shd w:val="clear" w:color="auto" w:fill="FFFFFF"/>
        </w:rPr>
      </w:pPr>
    </w:p>
    <w:p w14:paraId="7A60E073" w14:textId="3BF677D5" w:rsidR="004D77DB" w:rsidRPr="006A12F0" w:rsidRDefault="004D77DB" w:rsidP="00FB32D6">
      <w:pPr>
        <w:pStyle w:val="BodyTextnonum"/>
      </w:pPr>
      <w:r w:rsidRPr="006A12F0">
        <w:t>Again</w:t>
      </w:r>
      <w:r w:rsidR="00483AD5">
        <w:t>,</w:t>
      </w:r>
      <w:r w:rsidRPr="006A12F0">
        <w:t xml:space="preserve"> augmenting the powers of existing and appropriately qualified Customs officers for the maintenance of the </w:t>
      </w:r>
      <w:r w:rsidR="00483AD5">
        <w:t>m</w:t>
      </w:r>
      <w:r w:rsidRPr="006A12F0">
        <w:t xml:space="preserve">aritime </w:t>
      </w:r>
      <w:r w:rsidR="00483AD5">
        <w:t>b</w:t>
      </w:r>
      <w:r w:rsidRPr="006A12F0">
        <w:t xml:space="preserve">order when an epidemic notice is in force appears to be </w:t>
      </w:r>
      <w:proofErr w:type="gramStart"/>
      <w:r w:rsidRPr="006A12F0">
        <w:t>fairly uncontroversial</w:t>
      </w:r>
      <w:proofErr w:type="gramEnd"/>
      <w:r w:rsidRPr="006A12F0">
        <w:t xml:space="preserve"> and helps fulfil </w:t>
      </w:r>
      <w:r w:rsidR="00AF692D">
        <w:t>Aotearoa</w:t>
      </w:r>
      <w:r w:rsidR="00AF692D" w:rsidRPr="006A12F0">
        <w:t xml:space="preserve"> </w:t>
      </w:r>
      <w:r w:rsidRPr="006A12F0">
        <w:t>New Zealand’s international obligation</w:t>
      </w:r>
      <w:r>
        <w:t>s</w:t>
      </w:r>
      <w:r w:rsidRPr="006A12F0">
        <w:t xml:space="preserve">. Such powers should be included in the standing legislation. </w:t>
      </w:r>
    </w:p>
    <w:p w14:paraId="6F10B980" w14:textId="7F20F7C6" w:rsidR="009114DE" w:rsidRPr="004A0D08" w:rsidRDefault="009114DE" w:rsidP="009114DE">
      <w:pPr>
        <w:pStyle w:val="Heading4"/>
      </w:pPr>
      <w:r w:rsidRPr="004A0D08">
        <w:t xml:space="preserve">Authorisation of </w:t>
      </w:r>
      <w:r>
        <w:t>WorkSafe inspectors</w:t>
      </w:r>
    </w:p>
    <w:p w14:paraId="2D76BCE6" w14:textId="148EDDC1" w:rsidR="004D77DB" w:rsidRDefault="004D77DB" w:rsidP="00FB32D6">
      <w:pPr>
        <w:pStyle w:val="BodyTextnonum"/>
      </w:pPr>
      <w:r w:rsidRPr="00522A7C">
        <w:t>The function of enforcing businesses</w:t>
      </w:r>
      <w:r w:rsidR="00483AD5">
        <w:t>’</w:t>
      </w:r>
      <w:r w:rsidRPr="00522A7C">
        <w:t xml:space="preserve"> compliance with C</w:t>
      </w:r>
      <w:r w:rsidR="00AB2337">
        <w:t>OVID</w:t>
      </w:r>
      <w:r w:rsidRPr="00522A7C">
        <w:t xml:space="preserve">-19 orders </w:t>
      </w:r>
      <w:r>
        <w:t>was</w:t>
      </w:r>
      <w:r w:rsidRPr="00522A7C">
        <w:t xml:space="preserve"> given to Work</w:t>
      </w:r>
      <w:r w:rsidR="00AB2337">
        <w:t>S</w:t>
      </w:r>
      <w:r w:rsidRPr="00522A7C">
        <w:t xml:space="preserve">afe </w:t>
      </w:r>
      <w:r w:rsidR="00483AD5">
        <w:t>i</w:t>
      </w:r>
      <w:r w:rsidRPr="00522A7C">
        <w:t xml:space="preserve">nspectors. Their authorisation </w:t>
      </w:r>
      <w:r>
        <w:t xml:space="preserve">was </w:t>
      </w:r>
      <w:r w:rsidRPr="00522A7C">
        <w:t xml:space="preserve">as follows: </w:t>
      </w:r>
    </w:p>
    <w:tbl>
      <w:tblPr>
        <w:tblStyle w:val="GridTable4-Accent2"/>
        <w:tblW w:w="8363" w:type="dxa"/>
        <w:tblInd w:w="704"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20" w:firstRow="1" w:lastRow="0" w:firstColumn="0" w:lastColumn="0" w:noHBand="0" w:noVBand="1"/>
      </w:tblPr>
      <w:tblGrid>
        <w:gridCol w:w="2205"/>
        <w:gridCol w:w="2331"/>
        <w:gridCol w:w="3827"/>
      </w:tblGrid>
      <w:tr w:rsidR="0047380E" w:rsidRPr="00EE53DC" w14:paraId="0B69A400" w14:textId="77777777" w:rsidTr="00583F0D">
        <w:trPr>
          <w:cnfStyle w:val="100000000000" w:firstRow="1" w:lastRow="0" w:firstColumn="0" w:lastColumn="0" w:oddVBand="0" w:evenVBand="0" w:oddHBand="0" w:evenHBand="0" w:firstRowFirstColumn="0" w:firstRowLastColumn="0" w:lastRowFirstColumn="0" w:lastRowLastColumn="0"/>
        </w:trPr>
        <w:tc>
          <w:tcPr>
            <w:tcW w:w="2205" w:type="dxa"/>
            <w:tcBorders>
              <w:top w:val="none" w:sz="0" w:space="0" w:color="auto"/>
              <w:left w:val="none" w:sz="0" w:space="0" w:color="auto"/>
              <w:bottom w:val="none" w:sz="0" w:space="0" w:color="auto"/>
              <w:right w:val="none" w:sz="0" w:space="0" w:color="auto"/>
            </w:tcBorders>
            <w:shd w:val="clear" w:color="auto" w:fill="C0504D"/>
          </w:tcPr>
          <w:p w14:paraId="65D8597E" w14:textId="47DDE032" w:rsidR="0047380E" w:rsidRPr="00FF5A5D" w:rsidRDefault="0047380E" w:rsidP="00583F0D">
            <w:pPr>
              <w:pStyle w:val="TableSubheadingGreen"/>
              <w:jc w:val="center"/>
              <w:rPr>
                <w:rFonts w:ascii="Metropolis" w:hAnsi="Metropolis"/>
                <w:b/>
                <w:bCs w:val="0"/>
                <w:color w:val="FFFFFF" w:themeColor="background1"/>
                <w:szCs w:val="28"/>
              </w:rPr>
            </w:pPr>
            <w:r w:rsidRPr="00FF5A5D">
              <w:rPr>
                <w:rFonts w:ascii="Metropolis" w:hAnsi="Metropolis"/>
                <w:b/>
                <w:bCs w:val="0"/>
                <w:color w:val="FFFFFF" w:themeColor="background1"/>
              </w:rPr>
              <w:t xml:space="preserve">Date and </w:t>
            </w:r>
            <w:r w:rsidR="009114DE">
              <w:rPr>
                <w:rFonts w:ascii="Metropolis" w:hAnsi="Metropolis"/>
                <w:b/>
                <w:bCs w:val="0"/>
                <w:color w:val="FFFFFF" w:themeColor="background1"/>
              </w:rPr>
              <w:t>p</w:t>
            </w:r>
            <w:r w:rsidRPr="00FF5A5D">
              <w:rPr>
                <w:rFonts w:ascii="Metropolis" w:hAnsi="Metropolis"/>
                <w:b/>
                <w:bCs w:val="0"/>
                <w:color w:val="FFFFFF" w:themeColor="background1"/>
              </w:rPr>
              <w:t>eriod</w:t>
            </w:r>
          </w:p>
        </w:tc>
        <w:tc>
          <w:tcPr>
            <w:tcW w:w="2331" w:type="dxa"/>
            <w:tcBorders>
              <w:top w:val="none" w:sz="0" w:space="0" w:color="auto"/>
              <w:left w:val="none" w:sz="0" w:space="0" w:color="auto"/>
              <w:bottom w:val="none" w:sz="0" w:space="0" w:color="auto"/>
              <w:right w:val="none" w:sz="0" w:space="0" w:color="auto"/>
            </w:tcBorders>
            <w:shd w:val="clear" w:color="auto" w:fill="C0504D"/>
          </w:tcPr>
          <w:p w14:paraId="37EE21D9" w14:textId="25EEC904" w:rsidR="0047380E" w:rsidRPr="00FF5A5D" w:rsidRDefault="0047380E" w:rsidP="00583F0D">
            <w:pPr>
              <w:pStyle w:val="TableSubheadingGreen"/>
              <w:jc w:val="center"/>
              <w:rPr>
                <w:rFonts w:ascii="Metropolis" w:hAnsi="Metropolis"/>
                <w:b/>
                <w:bCs w:val="0"/>
                <w:color w:val="FFFFFF" w:themeColor="background1"/>
                <w:szCs w:val="28"/>
              </w:rPr>
            </w:pPr>
            <w:r w:rsidRPr="00FF5A5D">
              <w:rPr>
                <w:rFonts w:ascii="Metropolis" w:hAnsi="Metropolis"/>
                <w:b/>
                <w:bCs w:val="0"/>
                <w:color w:val="FFFFFF" w:themeColor="background1"/>
              </w:rPr>
              <w:t xml:space="preserve">Functions and </w:t>
            </w:r>
            <w:r w:rsidR="009114DE">
              <w:rPr>
                <w:rFonts w:ascii="Metropolis" w:hAnsi="Metropolis"/>
                <w:b/>
                <w:bCs w:val="0"/>
                <w:color w:val="FFFFFF" w:themeColor="background1"/>
              </w:rPr>
              <w:t>p</w:t>
            </w:r>
            <w:r w:rsidRPr="00FF5A5D">
              <w:rPr>
                <w:rFonts w:ascii="Metropolis" w:hAnsi="Metropolis"/>
                <w:b/>
                <w:bCs w:val="0"/>
                <w:color w:val="FFFFFF" w:themeColor="background1"/>
              </w:rPr>
              <w:t>owers</w:t>
            </w:r>
          </w:p>
        </w:tc>
        <w:tc>
          <w:tcPr>
            <w:tcW w:w="3827" w:type="dxa"/>
            <w:tcBorders>
              <w:top w:val="none" w:sz="0" w:space="0" w:color="auto"/>
              <w:left w:val="none" w:sz="0" w:space="0" w:color="auto"/>
              <w:bottom w:val="none" w:sz="0" w:space="0" w:color="auto"/>
              <w:right w:val="none" w:sz="0" w:space="0" w:color="auto"/>
            </w:tcBorders>
            <w:shd w:val="clear" w:color="auto" w:fill="C0504D"/>
          </w:tcPr>
          <w:p w14:paraId="45954AF6" w14:textId="54A252AD" w:rsidR="0047380E" w:rsidRPr="00FF5A5D" w:rsidRDefault="0047380E" w:rsidP="00583F0D">
            <w:pPr>
              <w:pStyle w:val="TableSubheadingGreen"/>
              <w:jc w:val="center"/>
              <w:rPr>
                <w:rFonts w:ascii="Metropolis" w:hAnsi="Metropolis"/>
                <w:b/>
                <w:bCs w:val="0"/>
                <w:color w:val="FFFFFF" w:themeColor="background1"/>
                <w:szCs w:val="28"/>
              </w:rPr>
            </w:pPr>
            <w:r w:rsidRPr="00FF5A5D">
              <w:rPr>
                <w:rFonts w:ascii="Metropolis" w:hAnsi="Metropolis"/>
                <w:b/>
                <w:bCs w:val="0"/>
                <w:color w:val="FFFFFF" w:themeColor="background1"/>
              </w:rPr>
              <w:t xml:space="preserve">Given for what </w:t>
            </w:r>
            <w:r w:rsidR="009114DE">
              <w:rPr>
                <w:rFonts w:ascii="Metropolis" w:hAnsi="Metropolis"/>
                <w:b/>
                <w:bCs w:val="0"/>
                <w:color w:val="FFFFFF" w:themeColor="background1"/>
              </w:rPr>
              <w:t>p</w:t>
            </w:r>
            <w:r w:rsidRPr="00FF5A5D">
              <w:rPr>
                <w:rFonts w:ascii="Metropolis" w:hAnsi="Metropolis"/>
                <w:b/>
                <w:bCs w:val="0"/>
                <w:color w:val="FFFFFF" w:themeColor="background1"/>
              </w:rPr>
              <w:t>urpose</w:t>
            </w:r>
          </w:p>
        </w:tc>
      </w:tr>
      <w:tr w:rsidR="0047380E" w:rsidRPr="00792C31" w14:paraId="03F95CB0" w14:textId="77777777" w:rsidTr="00583F0D">
        <w:tblPrEx>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shd w:val="clear" w:color="auto" w:fill="FFFFFF" w:themeFill="background1"/>
          </w:tcPr>
          <w:p w14:paraId="10B45C81" w14:textId="77777777" w:rsidR="00292445" w:rsidRPr="00292445" w:rsidRDefault="00292445" w:rsidP="00292445">
            <w:pPr>
              <w:jc w:val="center"/>
              <w:rPr>
                <w:b w:val="0"/>
                <w:bCs w:val="0"/>
                <w:color w:val="000000"/>
                <w:szCs w:val="20"/>
                <w:u w:val="single"/>
                <w:shd w:val="clear" w:color="auto" w:fill="FFFFFF"/>
              </w:rPr>
            </w:pPr>
            <w:r w:rsidRPr="00292445">
              <w:rPr>
                <w:b w:val="0"/>
                <w:bCs w:val="0"/>
                <w:color w:val="000000"/>
                <w:szCs w:val="20"/>
                <w:u w:val="single"/>
                <w:shd w:val="clear" w:color="auto" w:fill="FFFFFF"/>
              </w:rPr>
              <w:t xml:space="preserve">Issued </w:t>
            </w:r>
          </w:p>
          <w:p w14:paraId="724D6F8A" w14:textId="77777777" w:rsidR="00292445" w:rsidRPr="00292445" w:rsidRDefault="00292445" w:rsidP="00292445">
            <w:pPr>
              <w:contextualSpacing/>
              <w:jc w:val="center"/>
              <w:rPr>
                <w:b w:val="0"/>
                <w:bCs w:val="0"/>
                <w:color w:val="000000"/>
                <w:szCs w:val="20"/>
                <w:shd w:val="clear" w:color="auto" w:fill="FFFFFF"/>
              </w:rPr>
            </w:pPr>
            <w:r w:rsidRPr="00292445">
              <w:rPr>
                <w:b w:val="0"/>
                <w:bCs w:val="0"/>
                <w:color w:val="000000"/>
                <w:szCs w:val="20"/>
                <w:shd w:val="clear" w:color="auto" w:fill="FFFFFF"/>
              </w:rPr>
              <w:t>31 March 2021</w:t>
            </w:r>
          </w:p>
          <w:p w14:paraId="1FBD078E" w14:textId="77777777" w:rsidR="00292445" w:rsidRPr="00292445" w:rsidRDefault="00292445" w:rsidP="00292445">
            <w:pPr>
              <w:contextualSpacing/>
              <w:jc w:val="center"/>
              <w:rPr>
                <w:b w:val="0"/>
                <w:bCs w:val="0"/>
                <w:color w:val="000000"/>
                <w:szCs w:val="20"/>
                <w:shd w:val="clear" w:color="auto" w:fill="FFFFFF"/>
              </w:rPr>
            </w:pPr>
          </w:p>
          <w:p w14:paraId="31D7A755" w14:textId="724AA7D6" w:rsidR="00292445" w:rsidRPr="00292445" w:rsidRDefault="00292445" w:rsidP="00292445">
            <w:pPr>
              <w:contextualSpacing/>
              <w:jc w:val="center"/>
              <w:rPr>
                <w:b w:val="0"/>
                <w:bCs w:val="0"/>
                <w:color w:val="000000"/>
                <w:szCs w:val="20"/>
                <w:u w:val="single"/>
                <w:shd w:val="clear" w:color="auto" w:fill="FFFFFF"/>
              </w:rPr>
            </w:pPr>
            <w:r w:rsidRPr="00292445">
              <w:rPr>
                <w:b w:val="0"/>
                <w:bCs w:val="0"/>
                <w:color w:val="000000"/>
                <w:szCs w:val="20"/>
                <w:u w:val="single"/>
                <w:shd w:val="clear" w:color="auto" w:fill="FFFFFF"/>
              </w:rPr>
              <w:t>Applica</w:t>
            </w:r>
            <w:r w:rsidR="009114DE">
              <w:rPr>
                <w:b w:val="0"/>
                <w:bCs w:val="0"/>
                <w:color w:val="000000"/>
                <w:szCs w:val="20"/>
                <w:u w:val="single"/>
                <w:shd w:val="clear" w:color="auto" w:fill="FFFFFF"/>
              </w:rPr>
              <w:t>ble</w:t>
            </w:r>
          </w:p>
          <w:p w14:paraId="291F74DE" w14:textId="3515B9A6" w:rsidR="0047380E" w:rsidRPr="00792C31" w:rsidRDefault="00292445" w:rsidP="00292445">
            <w:pPr>
              <w:contextualSpacing/>
              <w:jc w:val="center"/>
              <w:rPr>
                <w:color w:val="000000"/>
                <w:szCs w:val="20"/>
                <w:shd w:val="clear" w:color="auto" w:fill="FFFFFF"/>
              </w:rPr>
            </w:pPr>
            <w:r w:rsidRPr="00292445">
              <w:rPr>
                <w:b w:val="0"/>
                <w:bCs w:val="0"/>
                <w:color w:val="000000"/>
                <w:szCs w:val="20"/>
                <w:shd w:val="clear" w:color="auto" w:fill="FFFFFF"/>
              </w:rPr>
              <w:t>31 March 2021</w:t>
            </w:r>
            <w:r w:rsidR="009114DE">
              <w:rPr>
                <w:b w:val="0"/>
                <w:bCs w:val="0"/>
                <w:color w:val="000000"/>
                <w:szCs w:val="20"/>
                <w:shd w:val="clear" w:color="auto" w:fill="FFFFFF"/>
              </w:rPr>
              <w:t xml:space="preserve"> – </w:t>
            </w:r>
            <w:r w:rsidRPr="00292445">
              <w:rPr>
                <w:b w:val="0"/>
                <w:bCs w:val="0"/>
                <w:color w:val="000000"/>
                <w:szCs w:val="20"/>
                <w:shd w:val="clear" w:color="auto" w:fill="FFFFFF"/>
              </w:rPr>
              <w:t>31 December 2021</w:t>
            </w:r>
          </w:p>
        </w:tc>
        <w:tc>
          <w:tcPr>
            <w:tcW w:w="2331" w:type="dxa"/>
            <w:shd w:val="clear" w:color="auto" w:fill="FFFFFF" w:themeFill="background1"/>
          </w:tcPr>
          <w:p w14:paraId="60585633" w14:textId="77777777" w:rsidR="00292445" w:rsidRPr="000F3D61" w:rsidRDefault="00292445" w:rsidP="00550884">
            <w:pPr>
              <w:pStyle w:val="ListParagraph"/>
              <w:numPr>
                <w:ilvl w:val="0"/>
                <w:numId w:val="18"/>
              </w:numPr>
              <w:spacing w:after="0"/>
              <w:cnfStyle w:val="000000100000" w:firstRow="0" w:lastRow="0" w:firstColumn="0" w:lastColumn="0" w:oddVBand="0" w:evenVBand="0" w:oddHBand="1" w:evenHBand="0" w:firstRowFirstColumn="0" w:firstRowLastColumn="0" w:lastRowFirstColumn="0" w:lastRowLastColumn="0"/>
              <w:rPr>
                <w:color w:val="000000"/>
                <w:sz w:val="20"/>
                <w:szCs w:val="20"/>
                <w:shd w:val="clear" w:color="auto" w:fill="FFFFFF"/>
              </w:rPr>
            </w:pPr>
            <w:r w:rsidRPr="000F3D61">
              <w:rPr>
                <w:color w:val="000000"/>
                <w:sz w:val="20"/>
                <w:szCs w:val="20"/>
                <w:shd w:val="clear" w:color="auto" w:fill="FFFFFF"/>
              </w:rPr>
              <w:t xml:space="preserve">The power of entry (s 20). </w:t>
            </w:r>
          </w:p>
          <w:p w14:paraId="37EFD35F" w14:textId="77777777" w:rsidR="00292445" w:rsidRPr="000F3D61" w:rsidRDefault="00292445" w:rsidP="00556B28">
            <w:pPr>
              <w:pStyle w:val="ListParagraph"/>
              <w:numPr>
                <w:ilvl w:val="0"/>
                <w:numId w:val="16"/>
              </w:numPr>
              <w:spacing w:after="0"/>
              <w:cnfStyle w:val="000000100000" w:firstRow="0" w:lastRow="0" w:firstColumn="0" w:lastColumn="0" w:oddVBand="0" w:evenVBand="0" w:oddHBand="1" w:evenHBand="0" w:firstRowFirstColumn="0" w:firstRowLastColumn="0" w:lastRowFirstColumn="0" w:lastRowLastColumn="0"/>
              <w:rPr>
                <w:color w:val="000000"/>
                <w:sz w:val="20"/>
                <w:szCs w:val="20"/>
                <w:shd w:val="clear" w:color="auto" w:fill="FFFFFF"/>
              </w:rPr>
            </w:pPr>
            <w:r w:rsidRPr="000F3D61">
              <w:rPr>
                <w:color w:val="000000"/>
                <w:sz w:val="20"/>
                <w:szCs w:val="20"/>
                <w:shd w:val="clear" w:color="auto" w:fill="FFFFFF"/>
              </w:rPr>
              <w:t xml:space="preserve">The power to give directions (s 21). </w:t>
            </w:r>
          </w:p>
          <w:p w14:paraId="068CAC1F" w14:textId="0AAC6489" w:rsidR="00292445" w:rsidRPr="000F3D61" w:rsidRDefault="00292445" w:rsidP="00556B28">
            <w:pPr>
              <w:pStyle w:val="ListParagraph"/>
              <w:numPr>
                <w:ilvl w:val="0"/>
                <w:numId w:val="16"/>
              </w:numPr>
              <w:spacing w:after="0"/>
              <w:cnfStyle w:val="000000100000" w:firstRow="0" w:lastRow="0" w:firstColumn="0" w:lastColumn="0" w:oddVBand="0" w:evenVBand="0" w:oddHBand="1" w:evenHBand="0" w:firstRowFirstColumn="0" w:firstRowLastColumn="0" w:lastRowFirstColumn="0" w:lastRowLastColumn="0"/>
              <w:rPr>
                <w:color w:val="000000"/>
                <w:sz w:val="20"/>
                <w:szCs w:val="20"/>
                <w:shd w:val="clear" w:color="auto" w:fill="FFFFFF"/>
              </w:rPr>
            </w:pPr>
            <w:r w:rsidRPr="000F3D61">
              <w:rPr>
                <w:color w:val="000000"/>
                <w:sz w:val="20"/>
                <w:szCs w:val="20"/>
                <w:shd w:val="clear" w:color="auto" w:fill="FFFFFF"/>
              </w:rPr>
              <w:t>The power to direct persons to provide identifying information (s 23)</w:t>
            </w:r>
            <w:r w:rsidR="009114DE">
              <w:rPr>
                <w:color w:val="000000"/>
                <w:sz w:val="20"/>
                <w:szCs w:val="20"/>
                <w:shd w:val="clear" w:color="auto" w:fill="FFFFFF"/>
              </w:rPr>
              <w:t>.</w:t>
            </w:r>
          </w:p>
          <w:p w14:paraId="5DB3D51C" w14:textId="46643021" w:rsidR="00292445" w:rsidRPr="000F3D61" w:rsidRDefault="00292445" w:rsidP="00556B28">
            <w:pPr>
              <w:pStyle w:val="ListParagraph"/>
              <w:numPr>
                <w:ilvl w:val="0"/>
                <w:numId w:val="16"/>
              </w:numPr>
              <w:spacing w:after="0"/>
              <w:cnfStyle w:val="000000100000" w:firstRow="0" w:lastRow="0" w:firstColumn="0" w:lastColumn="0" w:oddVBand="0" w:evenVBand="0" w:oddHBand="1" w:evenHBand="0" w:firstRowFirstColumn="0" w:firstRowLastColumn="0" w:lastRowFirstColumn="0" w:lastRowLastColumn="0"/>
              <w:rPr>
                <w:color w:val="000000"/>
                <w:sz w:val="20"/>
                <w:szCs w:val="20"/>
                <w:shd w:val="clear" w:color="auto" w:fill="FFFFFF"/>
              </w:rPr>
            </w:pPr>
            <w:r w:rsidRPr="000F3D61">
              <w:rPr>
                <w:color w:val="000000"/>
                <w:sz w:val="20"/>
                <w:szCs w:val="20"/>
                <w:shd w:val="clear" w:color="auto" w:fill="FFFFFF"/>
              </w:rPr>
              <w:t>The power to direct businesses to close (s 24)</w:t>
            </w:r>
            <w:r w:rsidR="009114DE">
              <w:rPr>
                <w:color w:val="000000"/>
                <w:sz w:val="20"/>
                <w:szCs w:val="20"/>
                <w:shd w:val="clear" w:color="auto" w:fill="FFFFFF"/>
              </w:rPr>
              <w:t>.</w:t>
            </w:r>
          </w:p>
          <w:p w14:paraId="6464602B" w14:textId="351E877E" w:rsidR="0047380E" w:rsidRPr="00792C31" w:rsidRDefault="00292445" w:rsidP="00556B28">
            <w:pPr>
              <w:pStyle w:val="ListParagraph"/>
              <w:numPr>
                <w:ilvl w:val="0"/>
                <w:numId w:val="16"/>
              </w:numPr>
              <w:spacing w:after="0"/>
              <w:cnfStyle w:val="000000100000" w:firstRow="0" w:lastRow="0" w:firstColumn="0" w:lastColumn="0" w:oddVBand="0" w:evenVBand="0" w:oddHBand="1" w:evenHBand="0" w:firstRowFirstColumn="0" w:firstRowLastColumn="0" w:lastRowFirstColumn="0" w:lastRowLastColumn="0"/>
              <w:rPr>
                <w:color w:val="000000"/>
                <w:sz w:val="20"/>
                <w:szCs w:val="20"/>
                <w:shd w:val="clear" w:color="auto" w:fill="FFFFFF"/>
              </w:rPr>
            </w:pPr>
            <w:r w:rsidRPr="000F3D61">
              <w:rPr>
                <w:color w:val="000000"/>
                <w:sz w:val="20"/>
                <w:szCs w:val="20"/>
                <w:shd w:val="clear" w:color="auto" w:fill="FFFFFF"/>
              </w:rPr>
              <w:t>The power to issue infringement notices (s 29)</w:t>
            </w:r>
            <w:r w:rsidR="009114DE">
              <w:rPr>
                <w:color w:val="000000"/>
                <w:sz w:val="20"/>
                <w:szCs w:val="20"/>
                <w:shd w:val="clear" w:color="auto" w:fill="FFFFFF"/>
              </w:rPr>
              <w:t>.</w:t>
            </w:r>
          </w:p>
        </w:tc>
        <w:tc>
          <w:tcPr>
            <w:tcW w:w="3827" w:type="dxa"/>
            <w:shd w:val="clear" w:color="auto" w:fill="FFFFFF" w:themeFill="background1"/>
          </w:tcPr>
          <w:p w14:paraId="3F6AEC55" w14:textId="5A7A26D1" w:rsidR="0047380E" w:rsidRPr="00792C31" w:rsidRDefault="00292445" w:rsidP="00292445">
            <w:pPr>
              <w:cnfStyle w:val="000000100000" w:firstRow="0" w:lastRow="0" w:firstColumn="0" w:lastColumn="0" w:oddVBand="0" w:evenVBand="0" w:oddHBand="1" w:evenHBand="0" w:firstRowFirstColumn="0" w:firstRowLastColumn="0" w:lastRowFirstColumn="0" w:lastRowLastColumn="0"/>
              <w:rPr>
                <w:color w:val="000000"/>
                <w:szCs w:val="20"/>
                <w:shd w:val="clear" w:color="auto" w:fill="FFFFFF"/>
              </w:rPr>
            </w:pPr>
            <w:r w:rsidRPr="000F3D61">
              <w:rPr>
                <w:color w:val="000000"/>
                <w:szCs w:val="20"/>
                <w:shd w:val="clear" w:color="auto" w:fill="FFFFFF"/>
              </w:rPr>
              <w:t>They may carry out these functions and powers “in respect of work and workplaces for which WorkSafe New Zealand is the regulator under section 189 of the Health and Safety at Work Act 2015”.</w:t>
            </w:r>
          </w:p>
        </w:tc>
      </w:tr>
    </w:tbl>
    <w:p w14:paraId="71C22B30" w14:textId="77777777" w:rsidR="008A66B3" w:rsidRDefault="008A66B3" w:rsidP="00FB32D6">
      <w:pPr>
        <w:pStyle w:val="BodyTextnonum"/>
        <w:numPr>
          <w:ilvl w:val="0"/>
          <w:numId w:val="0"/>
        </w:numPr>
        <w:ind w:left="709"/>
      </w:pPr>
    </w:p>
    <w:p w14:paraId="0B08754D" w14:textId="3D549AC4" w:rsidR="004D77DB" w:rsidRDefault="004D77DB" w:rsidP="00FB32D6">
      <w:pPr>
        <w:pStyle w:val="BodyTextnonum"/>
      </w:pPr>
      <w:r>
        <w:t>Again, such powers should be conferred in standing rules to be triggered by an epidemic notice.</w:t>
      </w:r>
    </w:p>
    <w:p w14:paraId="5E88B202" w14:textId="77777777" w:rsidR="004D77DB" w:rsidRPr="009B5500" w:rsidRDefault="004D77DB" w:rsidP="00C1151B">
      <w:pPr>
        <w:pStyle w:val="Heading3"/>
      </w:pPr>
      <w:bookmarkStart w:id="200" w:name="_Toc108444728"/>
      <w:bookmarkStart w:id="201" w:name="_Toc116464834"/>
      <w:bookmarkStart w:id="202" w:name="_Toc117063128"/>
      <w:bookmarkStart w:id="203" w:name="_Toc118119320"/>
      <w:r w:rsidRPr="004A0D08">
        <w:lastRenderedPageBreak/>
        <w:t xml:space="preserve">Enforcing the compliance of </w:t>
      </w:r>
      <w:r w:rsidRPr="00C1151B">
        <w:t>ordinary</w:t>
      </w:r>
      <w:r w:rsidRPr="004A0D08">
        <w:t xml:space="preserve"> New Zealand </w:t>
      </w:r>
      <w:r w:rsidRPr="00C71B7B">
        <w:t>citizens</w:t>
      </w:r>
      <w:bookmarkEnd w:id="200"/>
      <w:bookmarkEnd w:id="201"/>
      <w:bookmarkEnd w:id="202"/>
      <w:bookmarkEnd w:id="203"/>
    </w:p>
    <w:p w14:paraId="3D21E8EB" w14:textId="43EF3AC2" w:rsidR="004D77DB" w:rsidRDefault="004D77DB" w:rsidP="00FB32D6">
      <w:pPr>
        <w:pStyle w:val="BodyTextnonum"/>
      </w:pPr>
      <w:r>
        <w:t xml:space="preserve">Apart from the problematic authorisation of members of the defence forces to </w:t>
      </w:r>
      <w:r w:rsidRPr="00522A7C">
        <w:t xml:space="preserve">monitor the compliance of ordinary New Zealand </w:t>
      </w:r>
      <w:r w:rsidRPr="00522A7C">
        <w:rPr>
          <w:color w:val="000000"/>
        </w:rPr>
        <w:t xml:space="preserve">citizens </w:t>
      </w:r>
      <w:r>
        <w:t>and other travellers in MIQ, discussed above, t</w:t>
      </w:r>
      <w:r w:rsidRPr="00522A7C">
        <w:t xml:space="preserve">here </w:t>
      </w:r>
      <w:r>
        <w:t xml:space="preserve">was </w:t>
      </w:r>
      <w:r w:rsidRPr="00522A7C">
        <w:t xml:space="preserve">no specific authorisation </w:t>
      </w:r>
      <w:r>
        <w:t>extending powers to officials other than constables to enforce orders against ordinary citizens.</w:t>
      </w:r>
      <w:r w:rsidRPr="00522A7C">
        <w:t xml:space="preserve"> </w:t>
      </w:r>
      <w:r>
        <w:t>Limiting the enforcement of compliance of ordinary citizens to constables was appropriate</w:t>
      </w:r>
      <w:r w:rsidR="004C02A6">
        <w:t>,</w:t>
      </w:r>
      <w:r>
        <w:t xml:space="preserve"> and that limitation should have been made explicit </w:t>
      </w:r>
      <w:r w:rsidRPr="00522A7C">
        <w:t xml:space="preserve">in the legislation. </w:t>
      </w:r>
    </w:p>
    <w:p w14:paraId="58F15251" w14:textId="77777777" w:rsidR="004D77DB" w:rsidRPr="00ED6407" w:rsidRDefault="004D77DB" w:rsidP="00C1151B">
      <w:pPr>
        <w:pStyle w:val="Heading2"/>
      </w:pPr>
      <w:bookmarkStart w:id="204" w:name="_Toc107520592"/>
      <w:bookmarkStart w:id="205" w:name="_Toc108444729"/>
      <w:bookmarkStart w:id="206" w:name="_Toc116464835"/>
      <w:bookmarkStart w:id="207" w:name="_Toc117063129"/>
      <w:bookmarkStart w:id="208" w:name="_Toc118119321"/>
      <w:r w:rsidRPr="00ED6407">
        <w:t xml:space="preserve">Elections in </w:t>
      </w:r>
      <w:r w:rsidRPr="00C1151B">
        <w:t>an</w:t>
      </w:r>
      <w:r w:rsidRPr="00ED6407">
        <w:t xml:space="preserve"> emergency</w:t>
      </w:r>
      <w:bookmarkEnd w:id="204"/>
      <w:bookmarkEnd w:id="205"/>
      <w:bookmarkEnd w:id="206"/>
      <w:bookmarkEnd w:id="207"/>
      <w:bookmarkEnd w:id="208"/>
    </w:p>
    <w:p w14:paraId="3CEFCA30" w14:textId="4BD59D4C" w:rsidR="004D77DB" w:rsidRDefault="004D77DB" w:rsidP="00FB32D6">
      <w:pPr>
        <w:pStyle w:val="BodyTextnonum"/>
      </w:pPr>
      <w:r>
        <w:t>T</w:t>
      </w:r>
      <w:r w:rsidRPr="00522A7C">
        <w:t xml:space="preserve">here was a real risk that the 2020 </w:t>
      </w:r>
      <w:r w:rsidR="004C02A6">
        <w:t>g</w:t>
      </w:r>
      <w:r w:rsidRPr="00522A7C">
        <w:t xml:space="preserve">eneral </w:t>
      </w:r>
      <w:r w:rsidR="004C02A6">
        <w:t>e</w:t>
      </w:r>
      <w:r w:rsidRPr="00522A7C">
        <w:t xml:space="preserve">lection may not </w:t>
      </w:r>
      <w:r>
        <w:t xml:space="preserve">have </w:t>
      </w:r>
      <w:r w:rsidRPr="00522A7C">
        <w:t xml:space="preserve">been able to </w:t>
      </w:r>
      <w:r>
        <w:t>be</w:t>
      </w:r>
      <w:r w:rsidRPr="00522A7C">
        <w:t xml:space="preserve"> safely held in all parts of </w:t>
      </w:r>
      <w:r w:rsidR="00AF692D">
        <w:t>Aotearoa</w:t>
      </w:r>
      <w:r w:rsidR="00AF692D" w:rsidRPr="00522A7C">
        <w:t xml:space="preserve"> </w:t>
      </w:r>
      <w:r w:rsidRPr="00522A7C">
        <w:t>New Zealand</w:t>
      </w:r>
      <w:r>
        <w:t xml:space="preserve">. Depending on whether there was time to put reliable </w:t>
      </w:r>
      <w:r w:rsidRPr="00522A7C">
        <w:t xml:space="preserve">alternative voting procedures </w:t>
      </w:r>
      <w:r>
        <w:t>in place</w:t>
      </w:r>
      <w:r w:rsidRPr="00522A7C">
        <w:t xml:space="preserve">, </w:t>
      </w:r>
      <w:r>
        <w:t xml:space="preserve">this could have affected </w:t>
      </w:r>
      <w:r w:rsidRPr="00522A7C">
        <w:t xml:space="preserve">the fidelity of the election result. If this had been the case, political solutions such as the establishment of an interim cross-party </w:t>
      </w:r>
      <w:r w:rsidR="004C02A6">
        <w:t>C</w:t>
      </w:r>
      <w:r w:rsidRPr="00522A7C">
        <w:t xml:space="preserve">abinet based on the incomplete election result may have had to be contemplated until another election could safely be conducted. </w:t>
      </w:r>
      <w:r>
        <w:t xml:space="preserve">The current legislative settings are not as helpful as they could be in enabling political solutions to electoral disruption. </w:t>
      </w:r>
    </w:p>
    <w:p w14:paraId="00AB5701" w14:textId="600A3E11" w:rsidR="004D77DB" w:rsidRDefault="004D77DB" w:rsidP="00FB32D6">
      <w:pPr>
        <w:pStyle w:val="BodyTextnonum"/>
      </w:pPr>
      <w:r w:rsidRPr="00522A7C">
        <w:t>Under existing rules</w:t>
      </w:r>
      <w:r w:rsidR="004C02A6">
        <w:t>,</w:t>
      </w:r>
      <w:r w:rsidRPr="00522A7C">
        <w:t xml:space="preserve"> the term of Parliament is strictly limited to 3 years.</w:t>
      </w:r>
      <w:r w:rsidRPr="00522A7C">
        <w:rPr>
          <w:rStyle w:val="FootnoteReference"/>
          <w:color w:val="000000"/>
        </w:rPr>
        <w:footnoteReference w:id="133"/>
      </w:r>
      <w:r w:rsidRPr="00522A7C">
        <w:t xml:space="preserve"> The</w:t>
      </w:r>
      <w:r>
        <w:t xml:space="preserve">re is </w:t>
      </w:r>
      <w:r w:rsidRPr="00522A7C">
        <w:t xml:space="preserve">no power to extend the term beyond 3 years even in an emergency. Indeed, a special majority of the House of Representatives or </w:t>
      </w:r>
      <w:r>
        <w:t xml:space="preserve">a </w:t>
      </w:r>
      <w:r w:rsidRPr="00522A7C">
        <w:t>majority</w:t>
      </w:r>
      <w:r>
        <w:t xml:space="preserve"> of the voters</w:t>
      </w:r>
      <w:r w:rsidRPr="00522A7C">
        <w:t xml:space="preserve"> at a referendum is required before the term of Parliament can be altered.</w:t>
      </w:r>
      <w:r>
        <w:t xml:space="preserve"> That</w:t>
      </w:r>
      <w:r w:rsidRPr="00522A7C">
        <w:t xml:space="preserve"> </w:t>
      </w:r>
      <w:r>
        <w:t xml:space="preserve">is not such a problem if the extent of the emergency is known while Parliament is still meeting and is able to operate. Parliament could, for example, decide to extend the term or negotiate an interim power-sharing arrangement in the </w:t>
      </w:r>
      <w:r w:rsidR="006E351A">
        <w:t>meantime</w:t>
      </w:r>
      <w:r>
        <w:t xml:space="preserve"> until an election can safely and reliably be held.</w:t>
      </w:r>
    </w:p>
    <w:p w14:paraId="4643289B" w14:textId="6CC6F087" w:rsidR="004D77DB" w:rsidRDefault="004D77DB" w:rsidP="00FB32D6">
      <w:pPr>
        <w:pStyle w:val="BodyTextnonum"/>
      </w:pPr>
      <w:r>
        <w:t>Once</w:t>
      </w:r>
      <w:r w:rsidRPr="00522A7C">
        <w:t xml:space="preserve"> Parliament </w:t>
      </w:r>
      <w:r>
        <w:t>has been</w:t>
      </w:r>
      <w:r w:rsidRPr="00522A7C">
        <w:t xml:space="preserve"> dissolved or has expired after the designated </w:t>
      </w:r>
      <w:r w:rsidR="001565F5">
        <w:t>3</w:t>
      </w:r>
      <w:r>
        <w:t>-</w:t>
      </w:r>
      <w:r w:rsidRPr="00522A7C">
        <w:t>year term</w:t>
      </w:r>
      <w:r>
        <w:t>,</w:t>
      </w:r>
      <w:r w:rsidRPr="00522A7C">
        <w:t xml:space="preserve"> </w:t>
      </w:r>
      <w:r>
        <w:t>the options under existing law are much more restricted. T</w:t>
      </w:r>
      <w:r w:rsidRPr="00522A7C">
        <w:t xml:space="preserve">he Governor-General </w:t>
      </w:r>
      <w:r w:rsidRPr="00697F96">
        <w:rPr>
          <w:i/>
          <w:iCs/>
        </w:rPr>
        <w:t xml:space="preserve">must </w:t>
      </w:r>
      <w:r w:rsidRPr="00522A7C">
        <w:t>start the electoral processes in train.</w:t>
      </w:r>
      <w:r>
        <w:t xml:space="preserve"> E</w:t>
      </w:r>
      <w:r w:rsidRPr="00522A7C">
        <w:t xml:space="preserve">lectoral processes are triggered by the Governor-General issuing the writ for the general election up to </w:t>
      </w:r>
      <w:r w:rsidR="001565F5">
        <w:t>7</w:t>
      </w:r>
      <w:r w:rsidR="001565F5" w:rsidRPr="00522A7C">
        <w:t xml:space="preserve"> </w:t>
      </w:r>
      <w:r w:rsidRPr="00522A7C">
        <w:t>days after the dissolution or expiry of Parliament.</w:t>
      </w:r>
      <w:r w:rsidRPr="00522A7C">
        <w:rPr>
          <w:rStyle w:val="FootnoteReference"/>
          <w:color w:val="000000"/>
        </w:rPr>
        <w:footnoteReference w:id="134"/>
      </w:r>
      <w:r w:rsidRPr="00522A7C">
        <w:t xml:space="preserve"> </w:t>
      </w:r>
      <w:r>
        <w:t>There is no power to “</w:t>
      </w:r>
      <w:proofErr w:type="spellStart"/>
      <w:r>
        <w:t>undissolve</w:t>
      </w:r>
      <w:proofErr w:type="spellEnd"/>
      <w:r>
        <w:t>” or reconvene the old Parliament after it has expired.</w:t>
      </w:r>
    </w:p>
    <w:p w14:paraId="6959D01F" w14:textId="6038A0B4" w:rsidR="004D77DB" w:rsidRDefault="004D77DB" w:rsidP="00FB32D6">
      <w:pPr>
        <w:pStyle w:val="BodyTextnonum"/>
      </w:pPr>
      <w:r w:rsidRPr="00522A7C">
        <w:t xml:space="preserve">The writ sets the date </w:t>
      </w:r>
      <w:r>
        <w:t xml:space="preserve">for </w:t>
      </w:r>
      <w:r w:rsidRPr="00522A7C">
        <w:t xml:space="preserve">the general election and by which the results of the election must be returned. </w:t>
      </w:r>
      <w:r w:rsidRPr="00B4446C">
        <w:t xml:space="preserve">The usual rule is that the writ must be returned within 60 days (Electoral Act </w:t>
      </w:r>
      <w:r w:rsidR="00230FC5" w:rsidRPr="00B4446C">
        <w:t>s 139</w:t>
      </w:r>
      <w:r w:rsidRPr="00B4446C">
        <w:t xml:space="preserve">). This sets the clock running as Parliament is required to meet again </w:t>
      </w:r>
      <w:r w:rsidR="001565F5">
        <w:t>6</w:t>
      </w:r>
      <w:r w:rsidR="001565F5" w:rsidRPr="00B4446C">
        <w:t xml:space="preserve"> </w:t>
      </w:r>
      <w:r w:rsidRPr="00B4446C">
        <w:t>weeks after the day</w:t>
      </w:r>
      <w:r w:rsidRPr="00522A7C">
        <w:t xml:space="preserve"> fixed for the return of the writ.</w:t>
      </w:r>
      <w:r w:rsidRPr="00522A7C">
        <w:rPr>
          <w:rStyle w:val="FootnoteReference"/>
          <w:color w:val="000000"/>
        </w:rPr>
        <w:footnoteReference w:id="135"/>
      </w:r>
      <w:r w:rsidRPr="00522A7C">
        <w:t xml:space="preserve"> The next 3</w:t>
      </w:r>
      <w:r>
        <w:t>-</w:t>
      </w:r>
      <w:r w:rsidRPr="00522A7C">
        <w:t xml:space="preserve">year term begins on the date </w:t>
      </w:r>
      <w:r>
        <w:t xml:space="preserve">set </w:t>
      </w:r>
      <w:r w:rsidRPr="00522A7C">
        <w:t xml:space="preserve">for the return of the writ. </w:t>
      </w:r>
      <w:r>
        <w:t xml:space="preserve">There is a provision in s 6 of the Constitution Act to extend the </w:t>
      </w:r>
      <w:r w:rsidR="00CB7CED">
        <w:t>m</w:t>
      </w:r>
      <w:r>
        <w:t>inisterial warrant of those who lost or did not contest the election for a limited period and to appoint Ministers for an interim period when the electoral result is not yet clearly known.</w:t>
      </w:r>
    </w:p>
    <w:p w14:paraId="425F6754" w14:textId="5DEECA04" w:rsidR="004D77DB" w:rsidRDefault="00CB7CED" w:rsidP="00FB32D6">
      <w:pPr>
        <w:pStyle w:val="BodyTextnonum"/>
      </w:pPr>
      <w:r>
        <w:t>However, i</w:t>
      </w:r>
      <w:r w:rsidR="004D77DB" w:rsidRPr="00522A7C">
        <w:t>t may be</w:t>
      </w:r>
      <w:r w:rsidR="004D77DB">
        <w:t xml:space="preserve"> that</w:t>
      </w:r>
      <w:r>
        <w:t>,</w:t>
      </w:r>
      <w:r w:rsidR="004D77DB">
        <w:t xml:space="preserve"> after Parliament has been dissolved, </w:t>
      </w:r>
      <w:r w:rsidR="004D77DB" w:rsidRPr="00522A7C">
        <w:t xml:space="preserve">an emergency of some kind disrupts electioneering and voting in some or all parts of the country. The </w:t>
      </w:r>
      <w:r w:rsidR="004D77DB">
        <w:t xml:space="preserve">constitutional </w:t>
      </w:r>
      <w:r w:rsidR="004D77DB">
        <w:lastRenderedPageBreak/>
        <w:t>framework</w:t>
      </w:r>
      <w:r w:rsidR="004D77DB" w:rsidRPr="00522A7C">
        <w:t xml:space="preserve"> needs to ensure that there is always clearly someone who holds a warrant to govern, even</w:t>
      </w:r>
      <w:r w:rsidR="004D77DB">
        <w:t xml:space="preserve">, or especially, </w:t>
      </w:r>
      <w:r w:rsidR="004D77DB" w:rsidRPr="00522A7C">
        <w:t>in the event of an emergency or natural disaster and that</w:t>
      </w:r>
      <w:r>
        <w:t>,</w:t>
      </w:r>
      <w:r w:rsidR="004D77DB" w:rsidRPr="00522A7C">
        <w:t xml:space="preserve"> as far as possible</w:t>
      </w:r>
      <w:r>
        <w:t>,</w:t>
      </w:r>
      <w:r w:rsidR="004D77DB" w:rsidRPr="00522A7C">
        <w:t xml:space="preserve"> electoral accountability continue</w:t>
      </w:r>
      <w:r w:rsidR="004D77DB">
        <w:t>s</w:t>
      </w:r>
      <w:r w:rsidR="004D77DB" w:rsidRPr="00522A7C">
        <w:t xml:space="preserve">. </w:t>
      </w:r>
    </w:p>
    <w:p w14:paraId="1F721DA8" w14:textId="2CC8E328" w:rsidR="004D77DB" w:rsidRPr="008550C4" w:rsidRDefault="004D77DB" w:rsidP="00FB32D6">
      <w:pPr>
        <w:pStyle w:val="BodyTextnonum"/>
      </w:pPr>
      <w:r>
        <w:t xml:space="preserve">Enacted in March 2020, the provisions of the Electoral Act that cater for the unforeseen or unavoidable disruption of polling appear in ss 195, 195A, 195B and 195D. Section </w:t>
      </w:r>
      <w:r w:rsidRPr="008550C4">
        <w:t>195 contains a non-exhaustive definition of “disruption”:</w:t>
      </w:r>
    </w:p>
    <w:p w14:paraId="29CB55E9" w14:textId="77777777" w:rsidR="004D77DB" w:rsidRPr="008550C4" w:rsidRDefault="004D77DB" w:rsidP="008550C4">
      <w:pPr>
        <w:pStyle w:val="Quote"/>
        <w:ind w:left="1985" w:hanging="567"/>
        <w:rPr>
          <w:szCs w:val="18"/>
        </w:rPr>
      </w:pPr>
      <w:r w:rsidRPr="008550C4">
        <w:rPr>
          <w:rStyle w:val="label"/>
          <w:rFonts w:eastAsiaTheme="majorEastAsia"/>
          <w:b/>
          <w:bCs/>
          <w:szCs w:val="18"/>
          <w:bdr w:val="none" w:sz="0" w:space="0" w:color="auto" w:frame="1"/>
        </w:rPr>
        <w:t>195</w:t>
      </w:r>
      <w:r w:rsidRPr="008550C4">
        <w:rPr>
          <w:rStyle w:val="label"/>
          <w:rFonts w:eastAsiaTheme="majorEastAsia"/>
          <w:b/>
          <w:bCs/>
          <w:szCs w:val="18"/>
          <w:bdr w:val="none" w:sz="0" w:space="0" w:color="auto" w:frame="1"/>
        </w:rPr>
        <w:tab/>
      </w:r>
      <w:r w:rsidRPr="008550C4">
        <w:rPr>
          <w:b/>
          <w:bCs/>
          <w:szCs w:val="18"/>
        </w:rPr>
        <w:t>Meaning of unforeseen or unavoidable disruption</w:t>
      </w:r>
    </w:p>
    <w:p w14:paraId="78AB8B68" w14:textId="77777777" w:rsidR="004D77DB" w:rsidRPr="008550C4" w:rsidRDefault="004D77DB" w:rsidP="008550C4">
      <w:pPr>
        <w:pStyle w:val="subprov"/>
        <w:shd w:val="clear" w:color="auto" w:fill="FFFFFF"/>
        <w:spacing w:before="0" w:beforeAutospacing="0" w:after="0" w:afterAutospacing="0" w:line="360" w:lineRule="auto"/>
        <w:ind w:left="1985" w:hanging="567"/>
        <w:textAlignment w:val="baseline"/>
        <w:rPr>
          <w:rFonts w:ascii="Metropolis Light" w:hAnsi="Metropolis Light"/>
          <w:sz w:val="18"/>
          <w:szCs w:val="18"/>
        </w:rPr>
      </w:pPr>
      <w:r w:rsidRPr="008550C4">
        <w:rPr>
          <w:rStyle w:val="label"/>
          <w:rFonts w:ascii="Metropolis Light" w:eastAsiaTheme="majorEastAsia" w:hAnsi="Metropolis Light"/>
          <w:sz w:val="18"/>
          <w:szCs w:val="18"/>
          <w:bdr w:val="none" w:sz="0" w:space="0" w:color="auto" w:frame="1"/>
        </w:rPr>
        <w:t>(1)</w:t>
      </w:r>
      <w:r w:rsidRPr="008550C4">
        <w:rPr>
          <w:rStyle w:val="label"/>
          <w:rFonts w:ascii="Metropolis Light" w:eastAsiaTheme="majorEastAsia" w:hAnsi="Metropolis Light"/>
          <w:sz w:val="18"/>
          <w:szCs w:val="18"/>
          <w:bdr w:val="none" w:sz="0" w:space="0" w:color="auto" w:frame="1"/>
        </w:rPr>
        <w:tab/>
      </w:r>
      <w:r w:rsidRPr="008550C4">
        <w:rPr>
          <w:rFonts w:ascii="Metropolis Light" w:hAnsi="Metropolis Light"/>
          <w:sz w:val="18"/>
          <w:szCs w:val="18"/>
        </w:rPr>
        <w:t>In</w:t>
      </w:r>
      <w:r w:rsidRPr="008550C4">
        <w:rPr>
          <w:rFonts w:ascii="Calibri" w:hAnsi="Calibri" w:cs="Calibri"/>
          <w:sz w:val="18"/>
          <w:szCs w:val="18"/>
        </w:rPr>
        <w:t> </w:t>
      </w:r>
      <w:bookmarkStart w:id="209" w:name="LMS323969"/>
      <w:r w:rsidRPr="008550C4">
        <w:rPr>
          <w:rFonts w:ascii="Metropolis Light" w:hAnsi="Metropolis Light"/>
          <w:sz w:val="18"/>
          <w:szCs w:val="18"/>
        </w:rPr>
        <w:fldChar w:fldCharType="begin"/>
      </w:r>
      <w:r w:rsidRPr="008550C4">
        <w:rPr>
          <w:rFonts w:ascii="Metropolis Light" w:hAnsi="Metropolis Light"/>
          <w:sz w:val="18"/>
          <w:szCs w:val="18"/>
        </w:rPr>
        <w:instrText xml:space="preserve"> HYPERLINK "https://www.legislation.govt.nz/act/public/1993/0087/latest/link.aspx?search=sw_096be8ed81c17e60_epidemic_25_se&amp;p=1&amp;id=LMS323969" \l "LMS323969" </w:instrText>
      </w:r>
      <w:r w:rsidRPr="008550C4">
        <w:rPr>
          <w:rFonts w:ascii="Metropolis Light" w:hAnsi="Metropolis Light"/>
          <w:sz w:val="18"/>
          <w:szCs w:val="18"/>
        </w:rPr>
      </w:r>
      <w:r w:rsidRPr="008550C4">
        <w:rPr>
          <w:rFonts w:ascii="Metropolis Light" w:hAnsi="Metropolis Light"/>
          <w:sz w:val="18"/>
          <w:szCs w:val="18"/>
        </w:rPr>
        <w:fldChar w:fldCharType="separate"/>
      </w:r>
      <w:r w:rsidRPr="008550C4">
        <w:rPr>
          <w:rStyle w:val="Hyperlink"/>
          <w:rFonts w:ascii="Metropolis Light" w:hAnsi="Metropolis Light"/>
          <w:color w:val="auto"/>
          <w:sz w:val="18"/>
          <w:szCs w:val="18"/>
          <w:bdr w:val="none" w:sz="0" w:space="0" w:color="auto" w:frame="1"/>
        </w:rPr>
        <w:t>sections 195A</w:t>
      </w:r>
      <w:r w:rsidRPr="008550C4">
        <w:rPr>
          <w:rFonts w:ascii="Metropolis Light" w:hAnsi="Metropolis Light"/>
          <w:sz w:val="18"/>
          <w:szCs w:val="18"/>
        </w:rPr>
        <w:fldChar w:fldCharType="end"/>
      </w:r>
      <w:bookmarkEnd w:id="209"/>
      <w:r w:rsidRPr="008550C4">
        <w:rPr>
          <w:rFonts w:ascii="Metropolis Light" w:hAnsi="Metropolis Light"/>
          <w:sz w:val="18"/>
          <w:szCs w:val="18"/>
        </w:rPr>
        <w:t>,</w:t>
      </w:r>
      <w:r w:rsidRPr="008550C4">
        <w:rPr>
          <w:rFonts w:ascii="Calibri" w:hAnsi="Calibri" w:cs="Calibri"/>
          <w:sz w:val="18"/>
          <w:szCs w:val="18"/>
        </w:rPr>
        <w:t> </w:t>
      </w:r>
      <w:bookmarkStart w:id="210" w:name="LMS323973"/>
      <w:r w:rsidRPr="008550C4">
        <w:rPr>
          <w:rFonts w:ascii="Metropolis Light" w:hAnsi="Metropolis Light"/>
          <w:sz w:val="18"/>
          <w:szCs w:val="18"/>
        </w:rPr>
        <w:fldChar w:fldCharType="begin"/>
      </w:r>
      <w:r w:rsidRPr="008550C4">
        <w:rPr>
          <w:rFonts w:ascii="Metropolis Light" w:hAnsi="Metropolis Light"/>
          <w:sz w:val="18"/>
          <w:szCs w:val="18"/>
        </w:rPr>
        <w:instrText xml:space="preserve"> HYPERLINK "https://www.legislation.govt.nz/act/public/1993/0087/latest/link.aspx?search=sw_096be8ed81c17e60_epidemic_25_se&amp;p=1&amp;id=LMS323973" \l "LMS323973" </w:instrText>
      </w:r>
      <w:r w:rsidRPr="008550C4">
        <w:rPr>
          <w:rFonts w:ascii="Metropolis Light" w:hAnsi="Metropolis Light"/>
          <w:sz w:val="18"/>
          <w:szCs w:val="18"/>
        </w:rPr>
      </w:r>
      <w:r w:rsidRPr="008550C4">
        <w:rPr>
          <w:rFonts w:ascii="Metropolis Light" w:hAnsi="Metropolis Light"/>
          <w:sz w:val="18"/>
          <w:szCs w:val="18"/>
        </w:rPr>
        <w:fldChar w:fldCharType="separate"/>
      </w:r>
      <w:r w:rsidRPr="008550C4">
        <w:rPr>
          <w:rStyle w:val="Hyperlink"/>
          <w:rFonts w:ascii="Metropolis Light" w:hAnsi="Metropolis Light"/>
          <w:color w:val="auto"/>
          <w:sz w:val="18"/>
          <w:szCs w:val="18"/>
          <w:bdr w:val="none" w:sz="0" w:space="0" w:color="auto" w:frame="1"/>
        </w:rPr>
        <w:t>195B</w:t>
      </w:r>
      <w:r w:rsidRPr="008550C4">
        <w:rPr>
          <w:rFonts w:ascii="Metropolis Light" w:hAnsi="Metropolis Light"/>
          <w:sz w:val="18"/>
          <w:szCs w:val="18"/>
        </w:rPr>
        <w:fldChar w:fldCharType="end"/>
      </w:r>
      <w:bookmarkEnd w:id="210"/>
      <w:r w:rsidRPr="008550C4">
        <w:rPr>
          <w:rFonts w:ascii="Metropolis Light" w:hAnsi="Metropolis Light"/>
          <w:sz w:val="18"/>
          <w:szCs w:val="18"/>
        </w:rPr>
        <w:t>, and</w:t>
      </w:r>
      <w:r w:rsidRPr="008550C4">
        <w:rPr>
          <w:rFonts w:ascii="Calibri" w:hAnsi="Calibri" w:cs="Calibri"/>
          <w:sz w:val="18"/>
          <w:szCs w:val="18"/>
        </w:rPr>
        <w:t> </w:t>
      </w:r>
      <w:bookmarkStart w:id="211" w:name="LMS323975"/>
      <w:r w:rsidRPr="008550C4">
        <w:rPr>
          <w:rFonts w:ascii="Metropolis Light" w:hAnsi="Metropolis Light"/>
          <w:sz w:val="18"/>
          <w:szCs w:val="18"/>
        </w:rPr>
        <w:fldChar w:fldCharType="begin"/>
      </w:r>
      <w:r w:rsidRPr="008550C4">
        <w:rPr>
          <w:rFonts w:ascii="Metropolis Light" w:hAnsi="Metropolis Light"/>
          <w:sz w:val="18"/>
          <w:szCs w:val="18"/>
        </w:rPr>
        <w:instrText xml:space="preserve"> HYPERLINK "https://www.legislation.govt.nz/act/public/1993/0087/latest/link.aspx?search=sw_096be8ed81c17e60_epidemic_25_se&amp;p=1&amp;id=LMS323975" \l "LMS323975" </w:instrText>
      </w:r>
      <w:r w:rsidRPr="008550C4">
        <w:rPr>
          <w:rFonts w:ascii="Metropolis Light" w:hAnsi="Metropolis Light"/>
          <w:sz w:val="18"/>
          <w:szCs w:val="18"/>
        </w:rPr>
      </w:r>
      <w:r w:rsidRPr="008550C4">
        <w:rPr>
          <w:rFonts w:ascii="Metropolis Light" w:hAnsi="Metropolis Light"/>
          <w:sz w:val="18"/>
          <w:szCs w:val="18"/>
        </w:rPr>
        <w:fldChar w:fldCharType="separate"/>
      </w:r>
      <w:r w:rsidRPr="008550C4">
        <w:rPr>
          <w:rStyle w:val="Hyperlink"/>
          <w:rFonts w:ascii="Metropolis Light" w:hAnsi="Metropolis Light"/>
          <w:color w:val="auto"/>
          <w:sz w:val="18"/>
          <w:szCs w:val="18"/>
          <w:bdr w:val="none" w:sz="0" w:space="0" w:color="auto" w:frame="1"/>
        </w:rPr>
        <w:t>195D</w:t>
      </w:r>
      <w:r w:rsidRPr="008550C4">
        <w:rPr>
          <w:rFonts w:ascii="Metropolis Light" w:hAnsi="Metropolis Light"/>
          <w:sz w:val="18"/>
          <w:szCs w:val="18"/>
        </w:rPr>
        <w:fldChar w:fldCharType="end"/>
      </w:r>
      <w:bookmarkEnd w:id="211"/>
      <w:r w:rsidRPr="008550C4">
        <w:rPr>
          <w:rFonts w:ascii="Metropolis Light" w:hAnsi="Metropolis Light"/>
          <w:sz w:val="18"/>
          <w:szCs w:val="18"/>
        </w:rPr>
        <w:t>, an</w:t>
      </w:r>
      <w:r w:rsidRPr="008550C4">
        <w:rPr>
          <w:rFonts w:ascii="Calibri" w:hAnsi="Calibri" w:cs="Calibri"/>
          <w:sz w:val="18"/>
          <w:szCs w:val="18"/>
        </w:rPr>
        <w:t> </w:t>
      </w:r>
      <w:r w:rsidRPr="008550C4">
        <w:rPr>
          <w:rStyle w:val="HTMLDefinition"/>
          <w:rFonts w:ascii="Metropolis Light" w:hAnsi="Metropolis Light"/>
          <w:b/>
          <w:bCs/>
          <w:sz w:val="18"/>
          <w:szCs w:val="18"/>
          <w:bdr w:val="none" w:sz="0" w:space="0" w:color="auto" w:frame="1"/>
        </w:rPr>
        <w:t>unforeseen or unavoidable disruption</w:t>
      </w:r>
      <w:r w:rsidRPr="008550C4">
        <w:rPr>
          <w:rFonts w:ascii="Calibri" w:hAnsi="Calibri" w:cs="Calibri"/>
          <w:sz w:val="18"/>
          <w:szCs w:val="18"/>
        </w:rPr>
        <w:t> </w:t>
      </w:r>
      <w:r w:rsidRPr="008550C4">
        <w:rPr>
          <w:rFonts w:ascii="Metropolis Light" w:hAnsi="Metropolis Light"/>
          <w:sz w:val="18"/>
          <w:szCs w:val="18"/>
        </w:rPr>
        <w:t>means a disruption that is likely to</w:t>
      </w:r>
      <w:r w:rsidRPr="008550C4">
        <w:rPr>
          <w:rFonts w:ascii="Metropolis Light" w:hAnsi="Metropolis Light" w:cs="Metropolis Light"/>
          <w:sz w:val="18"/>
          <w:szCs w:val="18"/>
        </w:rPr>
        <w:t>—</w:t>
      </w:r>
    </w:p>
    <w:p w14:paraId="681004B9" w14:textId="77777777" w:rsidR="004D77DB" w:rsidRPr="008550C4" w:rsidRDefault="004D77DB" w:rsidP="008550C4">
      <w:pPr>
        <w:pStyle w:val="ListParagraph"/>
        <w:ind w:left="2552" w:hanging="567"/>
        <w:rPr>
          <w:sz w:val="18"/>
          <w:szCs w:val="18"/>
        </w:rPr>
      </w:pPr>
      <w:r w:rsidRPr="008550C4">
        <w:rPr>
          <w:rStyle w:val="label"/>
          <w:rFonts w:eastAsiaTheme="majorEastAsia"/>
          <w:sz w:val="18"/>
          <w:szCs w:val="18"/>
          <w:bdr w:val="none" w:sz="0" w:space="0" w:color="auto" w:frame="1"/>
        </w:rPr>
        <w:t>(a)</w:t>
      </w:r>
      <w:r w:rsidRPr="008550C4">
        <w:rPr>
          <w:rStyle w:val="label"/>
          <w:rFonts w:eastAsiaTheme="majorEastAsia"/>
          <w:sz w:val="18"/>
          <w:szCs w:val="18"/>
          <w:bdr w:val="none" w:sz="0" w:space="0" w:color="auto" w:frame="1"/>
        </w:rPr>
        <w:tab/>
      </w:r>
      <w:r w:rsidRPr="008550C4">
        <w:rPr>
          <w:sz w:val="18"/>
          <w:szCs w:val="18"/>
        </w:rPr>
        <w:t>prevent voters voting at a polling place; or</w:t>
      </w:r>
    </w:p>
    <w:p w14:paraId="4992156F" w14:textId="77777777" w:rsidR="004D77DB" w:rsidRPr="008550C4" w:rsidRDefault="004D77DB" w:rsidP="008550C4">
      <w:pPr>
        <w:pStyle w:val="ListParagraph"/>
        <w:ind w:left="2552" w:hanging="567"/>
        <w:rPr>
          <w:sz w:val="18"/>
          <w:szCs w:val="18"/>
        </w:rPr>
      </w:pPr>
      <w:r w:rsidRPr="008550C4">
        <w:rPr>
          <w:rStyle w:val="label"/>
          <w:rFonts w:eastAsiaTheme="majorEastAsia"/>
          <w:sz w:val="18"/>
          <w:szCs w:val="18"/>
          <w:bdr w:val="none" w:sz="0" w:space="0" w:color="auto" w:frame="1"/>
        </w:rPr>
        <w:t>(b)</w:t>
      </w:r>
      <w:r w:rsidRPr="008550C4">
        <w:rPr>
          <w:rStyle w:val="label"/>
          <w:rFonts w:eastAsiaTheme="majorEastAsia"/>
          <w:sz w:val="18"/>
          <w:szCs w:val="18"/>
          <w:bdr w:val="none" w:sz="0" w:space="0" w:color="auto" w:frame="1"/>
        </w:rPr>
        <w:tab/>
      </w:r>
      <w:r w:rsidRPr="008550C4">
        <w:rPr>
          <w:sz w:val="18"/>
          <w:szCs w:val="18"/>
        </w:rPr>
        <w:t>pose a risk to the proper conduct of an election.</w:t>
      </w:r>
    </w:p>
    <w:p w14:paraId="044D1034" w14:textId="77777777" w:rsidR="004D77DB" w:rsidRPr="008550C4" w:rsidRDefault="004D77DB" w:rsidP="008550C4">
      <w:pPr>
        <w:pStyle w:val="subprov"/>
        <w:shd w:val="clear" w:color="auto" w:fill="FFFFFF"/>
        <w:spacing w:before="0" w:beforeAutospacing="0" w:after="0" w:afterAutospacing="0" w:line="360" w:lineRule="auto"/>
        <w:ind w:left="1985" w:hanging="567"/>
        <w:textAlignment w:val="baseline"/>
        <w:rPr>
          <w:rFonts w:ascii="Metropolis Light" w:hAnsi="Metropolis Light"/>
          <w:sz w:val="18"/>
          <w:szCs w:val="18"/>
        </w:rPr>
      </w:pPr>
      <w:r w:rsidRPr="008550C4">
        <w:rPr>
          <w:rStyle w:val="label"/>
          <w:rFonts w:ascii="Metropolis Light" w:eastAsiaTheme="majorEastAsia" w:hAnsi="Metropolis Light"/>
          <w:sz w:val="18"/>
          <w:szCs w:val="18"/>
          <w:bdr w:val="none" w:sz="0" w:space="0" w:color="auto" w:frame="1"/>
        </w:rPr>
        <w:t>(2)</w:t>
      </w:r>
      <w:r w:rsidRPr="008550C4">
        <w:rPr>
          <w:rStyle w:val="label"/>
          <w:rFonts w:ascii="Metropolis Light" w:eastAsiaTheme="majorEastAsia" w:hAnsi="Metropolis Light"/>
          <w:sz w:val="18"/>
          <w:szCs w:val="18"/>
          <w:bdr w:val="none" w:sz="0" w:space="0" w:color="auto" w:frame="1"/>
        </w:rPr>
        <w:tab/>
      </w:r>
      <w:r w:rsidRPr="008550C4">
        <w:rPr>
          <w:rFonts w:ascii="Metropolis Light" w:hAnsi="Metropolis Light"/>
          <w:sz w:val="18"/>
          <w:szCs w:val="18"/>
        </w:rPr>
        <w:t xml:space="preserve">An unforeseen or unavoidable disruption includes, but is not limited to, a disruption arising </w:t>
      </w:r>
      <w:proofErr w:type="gramStart"/>
      <w:r w:rsidRPr="008550C4">
        <w:rPr>
          <w:rFonts w:ascii="Metropolis Light" w:hAnsi="Metropolis Light"/>
          <w:sz w:val="18"/>
          <w:szCs w:val="18"/>
        </w:rPr>
        <w:t>as a result of</w:t>
      </w:r>
      <w:proofErr w:type="gramEnd"/>
      <w:r w:rsidRPr="008550C4">
        <w:rPr>
          <w:rFonts w:ascii="Metropolis Light" w:hAnsi="Metropolis Light"/>
          <w:sz w:val="18"/>
          <w:szCs w:val="18"/>
        </w:rPr>
        <w:t>—</w:t>
      </w:r>
    </w:p>
    <w:p w14:paraId="1B735C4E" w14:textId="77777777" w:rsidR="004D77DB" w:rsidRPr="008550C4" w:rsidRDefault="004D77DB" w:rsidP="008550C4">
      <w:pPr>
        <w:pStyle w:val="ListParagraph"/>
        <w:ind w:left="2552" w:hanging="567"/>
        <w:rPr>
          <w:sz w:val="18"/>
          <w:szCs w:val="18"/>
        </w:rPr>
      </w:pPr>
      <w:r w:rsidRPr="008550C4">
        <w:rPr>
          <w:rStyle w:val="label"/>
          <w:rFonts w:eastAsiaTheme="majorEastAsia"/>
          <w:sz w:val="18"/>
          <w:szCs w:val="18"/>
          <w:bdr w:val="none" w:sz="0" w:space="0" w:color="auto" w:frame="1"/>
        </w:rPr>
        <w:t>(a)</w:t>
      </w:r>
      <w:r w:rsidRPr="008550C4">
        <w:rPr>
          <w:rStyle w:val="label"/>
          <w:rFonts w:eastAsiaTheme="majorEastAsia"/>
          <w:sz w:val="18"/>
          <w:szCs w:val="18"/>
          <w:bdr w:val="none" w:sz="0" w:space="0" w:color="auto" w:frame="1"/>
        </w:rPr>
        <w:tab/>
      </w:r>
      <w:r w:rsidRPr="008550C4">
        <w:rPr>
          <w:sz w:val="18"/>
          <w:szCs w:val="18"/>
        </w:rPr>
        <w:t>a natural disaster:</w:t>
      </w:r>
    </w:p>
    <w:p w14:paraId="33A8E5C4" w14:textId="77777777" w:rsidR="004D77DB" w:rsidRPr="008550C4" w:rsidRDefault="004D77DB" w:rsidP="008550C4">
      <w:pPr>
        <w:pStyle w:val="ListParagraph"/>
        <w:ind w:left="2552" w:hanging="567"/>
        <w:rPr>
          <w:sz w:val="18"/>
          <w:szCs w:val="18"/>
        </w:rPr>
      </w:pPr>
      <w:r w:rsidRPr="008550C4">
        <w:rPr>
          <w:rStyle w:val="label"/>
          <w:rFonts w:eastAsiaTheme="majorEastAsia"/>
          <w:sz w:val="18"/>
          <w:szCs w:val="18"/>
          <w:bdr w:val="none" w:sz="0" w:space="0" w:color="auto" w:frame="1"/>
        </w:rPr>
        <w:t>(b)</w:t>
      </w:r>
      <w:r w:rsidRPr="008550C4">
        <w:rPr>
          <w:rStyle w:val="label"/>
          <w:rFonts w:eastAsiaTheme="majorEastAsia"/>
          <w:sz w:val="18"/>
          <w:szCs w:val="18"/>
          <w:bdr w:val="none" w:sz="0" w:space="0" w:color="auto" w:frame="1"/>
        </w:rPr>
        <w:tab/>
      </w:r>
      <w:r w:rsidRPr="008550C4">
        <w:rPr>
          <w:sz w:val="18"/>
          <w:szCs w:val="18"/>
        </w:rPr>
        <w:t>adverse weather conditions:</w:t>
      </w:r>
    </w:p>
    <w:p w14:paraId="71836A57" w14:textId="77777777" w:rsidR="004D77DB" w:rsidRPr="008550C4" w:rsidRDefault="004D77DB" w:rsidP="008550C4">
      <w:pPr>
        <w:pStyle w:val="ListParagraph"/>
        <w:ind w:left="2552" w:hanging="567"/>
        <w:rPr>
          <w:sz w:val="18"/>
          <w:szCs w:val="18"/>
        </w:rPr>
      </w:pPr>
      <w:r w:rsidRPr="008550C4">
        <w:rPr>
          <w:rStyle w:val="label"/>
          <w:rFonts w:eastAsiaTheme="majorEastAsia"/>
          <w:sz w:val="18"/>
          <w:szCs w:val="18"/>
          <w:bdr w:val="none" w:sz="0" w:space="0" w:color="auto" w:frame="1"/>
        </w:rPr>
        <w:t>(c)</w:t>
      </w:r>
      <w:r w:rsidRPr="008550C4">
        <w:rPr>
          <w:rStyle w:val="label"/>
          <w:rFonts w:eastAsiaTheme="majorEastAsia"/>
          <w:sz w:val="18"/>
          <w:szCs w:val="18"/>
          <w:bdr w:val="none" w:sz="0" w:space="0" w:color="auto" w:frame="1"/>
        </w:rPr>
        <w:tab/>
      </w:r>
      <w:r w:rsidRPr="008550C4">
        <w:rPr>
          <w:sz w:val="18"/>
          <w:szCs w:val="18"/>
        </w:rPr>
        <w:t>a riot or disorder, or a threat of a riot or disorder:</w:t>
      </w:r>
    </w:p>
    <w:p w14:paraId="59937926" w14:textId="77777777" w:rsidR="004D77DB" w:rsidRPr="008550C4" w:rsidRDefault="004D77DB" w:rsidP="008550C4">
      <w:pPr>
        <w:pStyle w:val="ListParagraph"/>
        <w:ind w:left="2552" w:hanging="567"/>
        <w:rPr>
          <w:sz w:val="18"/>
          <w:szCs w:val="18"/>
        </w:rPr>
      </w:pPr>
      <w:r w:rsidRPr="008550C4">
        <w:rPr>
          <w:rStyle w:val="label"/>
          <w:rFonts w:eastAsiaTheme="majorEastAsia"/>
          <w:sz w:val="18"/>
          <w:szCs w:val="18"/>
          <w:bdr w:val="none" w:sz="0" w:space="0" w:color="auto" w:frame="1"/>
        </w:rPr>
        <w:t>(d)</w:t>
      </w:r>
      <w:r w:rsidRPr="008550C4">
        <w:rPr>
          <w:rStyle w:val="label"/>
          <w:rFonts w:eastAsiaTheme="majorEastAsia"/>
          <w:sz w:val="18"/>
          <w:szCs w:val="18"/>
          <w:bdr w:val="none" w:sz="0" w:space="0" w:color="auto" w:frame="1"/>
        </w:rPr>
        <w:tab/>
      </w:r>
      <w:r w:rsidRPr="008550C4">
        <w:rPr>
          <w:sz w:val="18"/>
          <w:szCs w:val="18"/>
        </w:rPr>
        <w:t>a terrorist act (as defined in</w:t>
      </w:r>
      <w:r w:rsidRPr="008550C4">
        <w:rPr>
          <w:rFonts w:ascii="Calibri" w:hAnsi="Calibri" w:cs="Calibri"/>
          <w:sz w:val="18"/>
          <w:szCs w:val="18"/>
        </w:rPr>
        <w:t> </w:t>
      </w:r>
      <w:bookmarkStart w:id="212" w:name="DLM152702"/>
      <w:r w:rsidRPr="008550C4">
        <w:rPr>
          <w:b/>
          <w:bCs/>
          <w:sz w:val="18"/>
          <w:szCs w:val="18"/>
        </w:rPr>
        <w:fldChar w:fldCharType="begin"/>
      </w:r>
      <w:r w:rsidRPr="008550C4">
        <w:rPr>
          <w:sz w:val="18"/>
          <w:szCs w:val="18"/>
        </w:rPr>
        <w:instrText xml:space="preserve"> HYPERLINK "https://www.legislation.govt.nz/act/public/1993/0087/latest/link.aspx?search=sw_096be8ed81c17e60_epidemic_25_se&amp;p=1&amp;id=DLM152702" \l "DLM152702" </w:instrText>
      </w:r>
      <w:r w:rsidRPr="008550C4">
        <w:rPr>
          <w:b/>
          <w:bCs/>
          <w:sz w:val="18"/>
          <w:szCs w:val="18"/>
        </w:rPr>
      </w:r>
      <w:r w:rsidRPr="008550C4">
        <w:rPr>
          <w:b/>
          <w:bCs/>
          <w:sz w:val="18"/>
          <w:szCs w:val="18"/>
        </w:rPr>
        <w:fldChar w:fldCharType="separate"/>
      </w:r>
      <w:r w:rsidRPr="008550C4">
        <w:rPr>
          <w:rStyle w:val="Hyperlink"/>
          <w:color w:val="auto"/>
          <w:sz w:val="18"/>
          <w:szCs w:val="18"/>
          <w:bdr w:val="none" w:sz="0" w:space="0" w:color="auto" w:frame="1"/>
        </w:rPr>
        <w:t>section 5</w:t>
      </w:r>
      <w:r w:rsidRPr="008550C4">
        <w:rPr>
          <w:b/>
          <w:bCs/>
          <w:sz w:val="18"/>
          <w:szCs w:val="18"/>
        </w:rPr>
        <w:fldChar w:fldCharType="end"/>
      </w:r>
      <w:bookmarkEnd w:id="212"/>
      <w:r w:rsidRPr="008550C4">
        <w:rPr>
          <w:rFonts w:ascii="Calibri" w:hAnsi="Calibri" w:cs="Calibri"/>
          <w:sz w:val="18"/>
          <w:szCs w:val="18"/>
        </w:rPr>
        <w:t> </w:t>
      </w:r>
      <w:r w:rsidRPr="008550C4">
        <w:rPr>
          <w:sz w:val="18"/>
          <w:szCs w:val="18"/>
        </w:rPr>
        <w:t>of the Terrorism Suppression Act 2002):</w:t>
      </w:r>
    </w:p>
    <w:p w14:paraId="099B963A" w14:textId="77777777" w:rsidR="004D77DB" w:rsidRPr="008550C4" w:rsidRDefault="004D77DB" w:rsidP="008550C4">
      <w:pPr>
        <w:pStyle w:val="ListParagraph"/>
        <w:ind w:left="2552" w:hanging="567"/>
        <w:rPr>
          <w:sz w:val="18"/>
          <w:szCs w:val="18"/>
        </w:rPr>
      </w:pPr>
      <w:r w:rsidRPr="008550C4">
        <w:rPr>
          <w:rStyle w:val="label"/>
          <w:rFonts w:eastAsiaTheme="majorEastAsia"/>
          <w:sz w:val="18"/>
          <w:szCs w:val="18"/>
          <w:bdr w:val="none" w:sz="0" w:space="0" w:color="auto" w:frame="1"/>
        </w:rPr>
        <w:t>(e)</w:t>
      </w:r>
      <w:r w:rsidRPr="008550C4">
        <w:rPr>
          <w:rStyle w:val="label"/>
          <w:rFonts w:eastAsiaTheme="majorEastAsia"/>
          <w:sz w:val="18"/>
          <w:szCs w:val="18"/>
          <w:bdr w:val="none" w:sz="0" w:space="0" w:color="auto" w:frame="1"/>
        </w:rPr>
        <w:tab/>
      </w:r>
      <w:r w:rsidRPr="008550C4">
        <w:rPr>
          <w:sz w:val="18"/>
          <w:szCs w:val="18"/>
        </w:rPr>
        <w:t>an epidemic</w:t>
      </w:r>
      <w:r w:rsidRPr="008550C4">
        <w:rPr>
          <w:rFonts w:ascii="Calibri" w:hAnsi="Calibri" w:cs="Calibri"/>
          <w:sz w:val="18"/>
          <w:szCs w:val="18"/>
        </w:rPr>
        <w:t> </w:t>
      </w:r>
      <w:r w:rsidRPr="008550C4">
        <w:rPr>
          <w:sz w:val="18"/>
          <w:szCs w:val="18"/>
        </w:rPr>
        <w:t>notice given under</w:t>
      </w:r>
      <w:r w:rsidRPr="008550C4">
        <w:rPr>
          <w:rFonts w:ascii="Calibri" w:hAnsi="Calibri" w:cs="Calibri"/>
          <w:sz w:val="18"/>
          <w:szCs w:val="18"/>
        </w:rPr>
        <w:t> </w:t>
      </w:r>
      <w:hyperlink r:id="rId47" w:anchor="DLM404483" w:history="1">
        <w:r w:rsidRPr="008550C4">
          <w:rPr>
            <w:rStyle w:val="Hyperlink"/>
            <w:color w:val="auto"/>
            <w:sz w:val="18"/>
            <w:szCs w:val="18"/>
            <w:bdr w:val="none" w:sz="0" w:space="0" w:color="auto" w:frame="1"/>
          </w:rPr>
          <w:t>section 5(1)</w:t>
        </w:r>
      </w:hyperlink>
      <w:r w:rsidRPr="008550C4">
        <w:rPr>
          <w:rFonts w:ascii="Calibri" w:hAnsi="Calibri" w:cs="Calibri"/>
          <w:sz w:val="18"/>
          <w:szCs w:val="18"/>
        </w:rPr>
        <w:t> </w:t>
      </w:r>
      <w:r w:rsidRPr="008550C4">
        <w:rPr>
          <w:sz w:val="18"/>
          <w:szCs w:val="18"/>
        </w:rPr>
        <w:t>of the Epidemic Preparedness Act 2006 being in force:</w:t>
      </w:r>
    </w:p>
    <w:p w14:paraId="30DEE65E" w14:textId="77777777" w:rsidR="004D77DB" w:rsidRPr="00930884" w:rsidRDefault="004D77DB" w:rsidP="008550C4">
      <w:pPr>
        <w:pStyle w:val="ListParagraph"/>
        <w:ind w:left="2552" w:hanging="567"/>
        <w:rPr>
          <w:sz w:val="18"/>
          <w:szCs w:val="18"/>
        </w:rPr>
      </w:pPr>
      <w:r w:rsidRPr="008550C4">
        <w:rPr>
          <w:rStyle w:val="label"/>
          <w:rFonts w:eastAsiaTheme="majorEastAsia"/>
          <w:sz w:val="18"/>
          <w:szCs w:val="18"/>
          <w:bdr w:val="none" w:sz="0" w:space="0" w:color="auto" w:frame="1"/>
        </w:rPr>
        <w:t>(f)</w:t>
      </w:r>
      <w:r w:rsidRPr="008550C4">
        <w:rPr>
          <w:rStyle w:val="label"/>
          <w:rFonts w:eastAsiaTheme="majorEastAsia"/>
          <w:sz w:val="18"/>
          <w:szCs w:val="18"/>
          <w:bdr w:val="none" w:sz="0" w:space="0" w:color="auto" w:frame="1"/>
        </w:rPr>
        <w:tab/>
      </w:r>
      <w:r w:rsidRPr="008550C4">
        <w:rPr>
          <w:sz w:val="18"/>
          <w:szCs w:val="18"/>
        </w:rPr>
        <w:t xml:space="preserve">a cyberattack on the Electoral Commission’s electronic </w:t>
      </w:r>
      <w:r w:rsidRPr="00930884">
        <w:rPr>
          <w:sz w:val="18"/>
          <w:szCs w:val="18"/>
        </w:rPr>
        <w:t>operating systems.</w:t>
      </w:r>
    </w:p>
    <w:p w14:paraId="7C90E137" w14:textId="31BF37FE" w:rsidR="004D77DB" w:rsidRDefault="004D77DB" w:rsidP="00FB32D6">
      <w:pPr>
        <w:pStyle w:val="BodyTextnonum"/>
      </w:pPr>
      <w:r w:rsidRPr="00B4446C">
        <w:t xml:space="preserve">The provisions go on to empower the Chief Electoral Officer, after consulting the Prime Minister, Leader of the Opposition and those knowledgeable about the likely scale and duration of the disruption, to adjourn polling (in the whole or part of the country) initially for 3 days and then for </w:t>
      </w:r>
      <w:r>
        <w:t>one</w:t>
      </w:r>
      <w:r w:rsidRPr="00B4446C">
        <w:t xml:space="preserve"> or more subsequent periods of 7 days each.</w:t>
      </w:r>
      <w:r>
        <w:t xml:space="preserve"> </w:t>
      </w:r>
      <w:r w:rsidRPr="00B4446C">
        <w:rPr>
          <w:rFonts w:cstheme="minorHAnsi"/>
        </w:rPr>
        <w:t xml:space="preserve">There is no statutory limit on the number of times voting can be adjourned </w:t>
      </w:r>
      <w:r>
        <w:rPr>
          <w:rFonts w:cstheme="minorHAnsi"/>
        </w:rPr>
        <w:t>nor</w:t>
      </w:r>
      <w:r w:rsidRPr="00B4446C">
        <w:rPr>
          <w:rFonts w:cstheme="minorHAnsi"/>
        </w:rPr>
        <w:t xml:space="preserve"> an</w:t>
      </w:r>
      <w:r>
        <w:rPr>
          <w:rFonts w:cstheme="minorHAnsi"/>
        </w:rPr>
        <w:t>y</w:t>
      </w:r>
      <w:r w:rsidRPr="00B4446C">
        <w:rPr>
          <w:rFonts w:cstheme="minorHAnsi"/>
        </w:rPr>
        <w:t xml:space="preserve"> upper limit on the length of time for adjournment.</w:t>
      </w:r>
      <w:r>
        <w:rPr>
          <w:rFonts w:cstheme="minorHAnsi"/>
        </w:rPr>
        <w:t xml:space="preserve"> </w:t>
      </w:r>
      <w:r w:rsidRPr="00B4446C">
        <w:t>This</w:t>
      </w:r>
      <w:r w:rsidR="00671B93">
        <w:t>,</w:t>
      </w:r>
      <w:r w:rsidRPr="00B4446C">
        <w:t xml:space="preserve"> in turn</w:t>
      </w:r>
      <w:r w:rsidR="00671B93">
        <w:t>,</w:t>
      </w:r>
      <w:r w:rsidRPr="00B4446C">
        <w:t xml:space="preserve"> delays the date for the return of the writ by the equivalent number of days. The Chief Electoral Officer is </w:t>
      </w:r>
      <w:r>
        <w:t xml:space="preserve">also </w:t>
      </w:r>
      <w:r w:rsidRPr="00B4446C">
        <w:t xml:space="preserve">given </w:t>
      </w:r>
      <w:r>
        <w:t xml:space="preserve">a </w:t>
      </w:r>
      <w:r w:rsidRPr="00B4446C">
        <w:t>discretion whether to disclose the results of the election in parts of the country for which polling has not been delayed.</w:t>
      </w:r>
      <w:r>
        <w:t xml:space="preserve"> </w:t>
      </w:r>
    </w:p>
    <w:p w14:paraId="3CFC7EE4" w14:textId="005A87EF" w:rsidR="004D77DB" w:rsidRDefault="004D77DB" w:rsidP="00FB32D6">
      <w:pPr>
        <w:pStyle w:val="BodyTextnonum"/>
        <w:rPr>
          <w:rFonts w:cstheme="minorHAnsi"/>
        </w:rPr>
      </w:pPr>
      <w:r>
        <w:t xml:space="preserve">As currently understood and set out in the Cabinet Manual 2017, different conventions apply in relation to how much governments have freedom to act in the </w:t>
      </w:r>
      <w:r w:rsidR="001565F5">
        <w:t xml:space="preserve">3 </w:t>
      </w:r>
      <w:r>
        <w:t>months preceding an election</w:t>
      </w:r>
      <w:r>
        <w:rPr>
          <w:rStyle w:val="FootnoteReference"/>
        </w:rPr>
        <w:footnoteReference w:id="136"/>
      </w:r>
      <w:r>
        <w:rPr>
          <w:rFonts w:cstheme="minorHAnsi"/>
        </w:rPr>
        <w:t xml:space="preserve"> </w:t>
      </w:r>
      <w:r>
        <w:t>and between the election and its results becoming known. Only after the election is held and before the result is known do the caretaker conventions currently apply.</w:t>
      </w:r>
      <w:r w:rsidRPr="004A0D08">
        <w:rPr>
          <w:rStyle w:val="FootnoteReference"/>
        </w:rPr>
        <w:footnoteReference w:id="137"/>
      </w:r>
      <w:r>
        <w:t xml:space="preserve"> </w:t>
      </w:r>
      <w:r w:rsidRPr="004A0D08">
        <w:t xml:space="preserve">Different expectations apply while waiting for the results of an election depending on whether </w:t>
      </w:r>
      <w:r w:rsidRPr="00CC3ADC">
        <w:rPr>
          <w:i/>
          <w:iCs/>
        </w:rPr>
        <w:t>it is</w:t>
      </w:r>
      <w:r w:rsidRPr="00291B92">
        <w:t xml:space="preserve"> </w:t>
      </w:r>
      <w:r w:rsidRPr="00291B92">
        <w:rPr>
          <w:i/>
          <w:iCs/>
        </w:rPr>
        <w:t>not</w:t>
      </w:r>
      <w:r w:rsidRPr="00291B92">
        <w:t xml:space="preserve"> clear who will form the next </w:t>
      </w:r>
      <w:proofErr w:type="gramStart"/>
      <w:r w:rsidRPr="00291B92">
        <w:t>government</w:t>
      </w:r>
      <w:proofErr w:type="gramEnd"/>
      <w:r w:rsidRPr="00291B92">
        <w:rPr>
          <w:lang w:eastAsia="en-NZ"/>
        </w:rPr>
        <w:t xml:space="preserve"> </w:t>
      </w:r>
      <w:r w:rsidRPr="00291B92">
        <w:t xml:space="preserve">or </w:t>
      </w:r>
      <w:r w:rsidRPr="00291B92">
        <w:rPr>
          <w:i/>
          <w:iCs/>
          <w:lang w:eastAsia="en-NZ"/>
        </w:rPr>
        <w:t>it is</w:t>
      </w:r>
      <w:r w:rsidRPr="00291B92">
        <w:rPr>
          <w:lang w:eastAsia="en-NZ"/>
        </w:rPr>
        <w:t xml:space="preserve"> clear who will form the next government but they have not yet taken office.</w:t>
      </w:r>
      <w:r w:rsidR="001C40F7">
        <w:rPr>
          <w:rFonts w:ascii="Calibri" w:hAnsi="Calibri" w:cs="Calibri"/>
          <w:lang w:eastAsia="en-NZ"/>
        </w:rPr>
        <w:t xml:space="preserve"> </w:t>
      </w:r>
      <w:r w:rsidRPr="00291B92">
        <w:rPr>
          <w:lang w:eastAsia="en-NZ"/>
        </w:rPr>
        <w:t>In the former case, the caretaking government is expected to defer major decisions and</w:t>
      </w:r>
      <w:r>
        <w:rPr>
          <w:lang w:eastAsia="en-NZ"/>
        </w:rPr>
        <w:t>,</w:t>
      </w:r>
      <w:r w:rsidRPr="00291B92">
        <w:rPr>
          <w:lang w:eastAsia="en-NZ"/>
        </w:rPr>
        <w:t xml:space="preserve"> if they cannot be deferred</w:t>
      </w:r>
      <w:r>
        <w:rPr>
          <w:lang w:eastAsia="en-NZ"/>
        </w:rPr>
        <w:t>,</w:t>
      </w:r>
      <w:r w:rsidRPr="00291B92">
        <w:rPr>
          <w:lang w:eastAsia="en-NZ"/>
        </w:rPr>
        <w:t xml:space="preserve"> to consult with the opposition parties before taking decisions if it is possible and appropriate to do so. </w:t>
      </w:r>
      <w:r w:rsidRPr="00291B92">
        <w:t xml:space="preserve">In the latter case, the caretaker government is expected to </w:t>
      </w:r>
      <w:r w:rsidRPr="00291B92">
        <w:rPr>
          <w:lang w:eastAsia="en-NZ"/>
        </w:rPr>
        <w:t xml:space="preserve">act on the advice of the incoming government on any matter of such constitutional, </w:t>
      </w:r>
      <w:proofErr w:type="gramStart"/>
      <w:r w:rsidRPr="00291B92">
        <w:rPr>
          <w:lang w:eastAsia="en-NZ"/>
        </w:rPr>
        <w:t>economic</w:t>
      </w:r>
      <w:proofErr w:type="gramEnd"/>
      <w:r w:rsidRPr="00291B92">
        <w:rPr>
          <w:lang w:eastAsia="en-NZ"/>
        </w:rPr>
        <w:t xml:space="preserve"> </w:t>
      </w:r>
      <w:r w:rsidRPr="00291B92">
        <w:rPr>
          <w:lang w:eastAsia="en-NZ"/>
        </w:rPr>
        <w:lastRenderedPageBreak/>
        <w:t>or other significance that it cannot be delayed until the new government formally takes office</w:t>
      </w:r>
      <w:r>
        <w:rPr>
          <w:lang w:eastAsia="en-NZ"/>
        </w:rPr>
        <w:t xml:space="preserve"> </w:t>
      </w:r>
      <w:r w:rsidR="000E0D24">
        <w:rPr>
          <w:lang w:eastAsia="en-NZ"/>
        </w:rPr>
        <w:t>–</w:t>
      </w:r>
      <w:r>
        <w:rPr>
          <w:lang w:eastAsia="en-NZ"/>
        </w:rPr>
        <w:t xml:space="preserve"> </w:t>
      </w:r>
      <w:r w:rsidRPr="00291B92">
        <w:rPr>
          <w:lang w:eastAsia="en-NZ"/>
        </w:rPr>
        <w:t xml:space="preserve">even if the outgoing government disagrees with the course of action proposed. </w:t>
      </w:r>
    </w:p>
    <w:p w14:paraId="3FCD99B0" w14:textId="63854130" w:rsidR="004D77DB" w:rsidRDefault="004D77DB" w:rsidP="00FB32D6">
      <w:pPr>
        <w:pStyle w:val="BodyTextnonum"/>
      </w:pPr>
      <w:r>
        <w:t xml:space="preserve">The Cabinet Manual needs to be revisited to more fully consider how the conventions should operate if an election is disrupted by an emergency and to clarify when the caretaking conventions begin. The current law gives the Chief Electoral Officer power significantly to extend the period before the caretaker period begins. </w:t>
      </w:r>
      <w:r w:rsidRPr="00C1159D">
        <w:rPr>
          <w:lang w:eastAsia="en-NZ"/>
        </w:rPr>
        <w:t>If only a small or sparsely populated part of the country is disrupted</w:t>
      </w:r>
      <w:r w:rsidR="00671B93">
        <w:rPr>
          <w:lang w:eastAsia="en-NZ"/>
        </w:rPr>
        <w:t>,</w:t>
      </w:r>
      <w:r w:rsidRPr="00C1159D">
        <w:rPr>
          <w:lang w:eastAsia="en-NZ"/>
        </w:rPr>
        <w:t xml:space="preserve"> it may be relatively clear to the Chief Electoral Officer what the overall result is likely to be. In such a case</w:t>
      </w:r>
      <w:r w:rsidR="00671B93">
        <w:rPr>
          <w:lang w:eastAsia="en-NZ"/>
        </w:rPr>
        <w:t>,</w:t>
      </w:r>
      <w:r w:rsidRPr="00C1159D">
        <w:rPr>
          <w:lang w:eastAsia="en-NZ"/>
        </w:rPr>
        <w:t xml:space="preserve"> he or she is currently under no </w:t>
      </w:r>
      <w:r w:rsidRPr="00C1159D">
        <w:rPr>
          <w:i/>
          <w:iCs/>
          <w:lang w:eastAsia="en-NZ"/>
        </w:rPr>
        <w:t>obligation</w:t>
      </w:r>
      <w:r w:rsidRPr="00C1159D">
        <w:rPr>
          <w:lang w:eastAsia="en-NZ"/>
        </w:rPr>
        <w:t xml:space="preserve"> to disclose the results in the completed polling, only a discretion to do so under s 195</w:t>
      </w:r>
      <w:proofErr w:type="gramStart"/>
      <w:r w:rsidRPr="00C1159D">
        <w:rPr>
          <w:lang w:eastAsia="en-NZ"/>
        </w:rPr>
        <w:t>D(</w:t>
      </w:r>
      <w:proofErr w:type="gramEnd"/>
      <w:r w:rsidRPr="00C1159D">
        <w:rPr>
          <w:lang w:eastAsia="en-NZ"/>
        </w:rPr>
        <w:t xml:space="preserve">2). We could easily envisage a situation in which the incumbent government’s approach to an emergency is </w:t>
      </w:r>
      <w:r>
        <w:rPr>
          <w:lang w:eastAsia="en-NZ"/>
        </w:rPr>
        <w:t xml:space="preserve">decisively </w:t>
      </w:r>
      <w:r w:rsidRPr="00C1159D">
        <w:rPr>
          <w:lang w:eastAsia="en-NZ"/>
        </w:rPr>
        <w:t xml:space="preserve">rejected by electors at the </w:t>
      </w:r>
      <w:r>
        <w:rPr>
          <w:lang w:eastAsia="en-NZ"/>
        </w:rPr>
        <w:t xml:space="preserve">completed polling. </w:t>
      </w:r>
      <w:r w:rsidRPr="00C1159D">
        <w:rPr>
          <w:lang w:eastAsia="en-NZ"/>
        </w:rPr>
        <w:t>In that case</w:t>
      </w:r>
      <w:r w:rsidR="00671B93">
        <w:rPr>
          <w:lang w:eastAsia="en-NZ"/>
        </w:rPr>
        <w:t>,</w:t>
      </w:r>
      <w:r w:rsidRPr="00C1159D">
        <w:rPr>
          <w:lang w:eastAsia="en-NZ"/>
        </w:rPr>
        <w:t xml:space="preserve"> it is likely to really matter</w:t>
      </w:r>
      <w:r>
        <w:rPr>
          <w:lang w:eastAsia="en-NZ"/>
        </w:rPr>
        <w:t xml:space="preserve"> whether the Chief Electoral Officer discloses the results and exactly when the caretaking convention begins. </w:t>
      </w:r>
    </w:p>
    <w:p w14:paraId="512BFD87" w14:textId="547C0D8A" w:rsidR="004D77DB" w:rsidRDefault="004D77DB" w:rsidP="00FB32D6">
      <w:pPr>
        <w:pStyle w:val="BodyTextnonum"/>
      </w:pPr>
      <w:r w:rsidRPr="00291B92">
        <w:rPr>
          <w:lang w:eastAsia="en-NZ"/>
        </w:rPr>
        <w:t xml:space="preserve">The rules </w:t>
      </w:r>
      <w:r w:rsidR="00671B93">
        <w:rPr>
          <w:lang w:eastAsia="en-NZ"/>
        </w:rPr>
        <w:t>that</w:t>
      </w:r>
      <w:r w:rsidR="00671B93" w:rsidRPr="00291B92">
        <w:rPr>
          <w:lang w:eastAsia="en-NZ"/>
        </w:rPr>
        <w:t xml:space="preserve"> </w:t>
      </w:r>
      <w:r w:rsidRPr="00291B92">
        <w:rPr>
          <w:lang w:eastAsia="en-NZ"/>
        </w:rPr>
        <w:t xml:space="preserve">provide for disrupted elections enacted as part of an amendment in March 2020 </w:t>
      </w:r>
      <w:r w:rsidRPr="00291B92">
        <w:t xml:space="preserve">place an undue burden on the </w:t>
      </w:r>
      <w:r w:rsidRPr="004A0D08">
        <w:t xml:space="preserve">Chief Electoral Officer to make what may be very difficult decisions in very difficult circumstances. </w:t>
      </w:r>
      <w:r>
        <w:t>Further consideration should be given to whether the</w:t>
      </w:r>
      <w:r w:rsidRPr="004A0D08">
        <w:t xml:space="preserve"> Chief Electoral Officer should be enabled and</w:t>
      </w:r>
      <w:r>
        <w:t>,</w:t>
      </w:r>
      <w:r w:rsidRPr="004A0D08">
        <w:t xml:space="preserve"> in certain circumstances required to consult the Clerk of the Executive Council. The Clerk of the Executive Council is likely to be in a better position than the Chief Electoral Officer to judge matters such as whether the incumbent government </w:t>
      </w:r>
      <w:proofErr w:type="gramStart"/>
      <w:r w:rsidRPr="004A0D08">
        <w:t>is able to</w:t>
      </w:r>
      <w:proofErr w:type="gramEnd"/>
      <w:r w:rsidRPr="004A0D08">
        <w:t xml:space="preserve"> carry on, to assess how well the conventions are working or to help to manage the formation of a </w:t>
      </w:r>
      <w:r>
        <w:t xml:space="preserve">new government </w:t>
      </w:r>
      <w:r w:rsidRPr="004A0D08">
        <w:t xml:space="preserve">in the event that it is impossible to regard the electoral result as reliable and yet further delay is thought to be intolerable. The Chief </w:t>
      </w:r>
      <w:r w:rsidR="00BC0749">
        <w:t xml:space="preserve">Government </w:t>
      </w:r>
      <w:r w:rsidRPr="004A0D08">
        <w:t xml:space="preserve">Statistician may also need to be consulted if, for example, certain age groups or categories of person </w:t>
      </w:r>
      <w:r>
        <w:t>have been more likely to have been</w:t>
      </w:r>
      <w:r w:rsidRPr="004A0D08">
        <w:t xml:space="preserve"> unable to participate in the poll. The conventions stated in the Cabinet Manual about the access of opposition parties to official advice, including during the electoral transitional period, may also need to be adjusted in an emergency.</w:t>
      </w:r>
    </w:p>
    <w:p w14:paraId="5A8895BA" w14:textId="40188F3C" w:rsidR="004D77DB" w:rsidRDefault="004D77DB" w:rsidP="00FB32D6">
      <w:pPr>
        <w:pStyle w:val="BodyTextnonum"/>
      </w:pPr>
      <w:r w:rsidRPr="008308E3">
        <w:t xml:space="preserve">Much is likely to depend on the cause of the disruption of polling and how widespread it is. There may be a considerable length of time before a proper and reliable election can be held in a particular electorate, but the rest of the country may have been able to vote </w:t>
      </w:r>
      <w:proofErr w:type="gramStart"/>
      <w:r w:rsidRPr="008308E3">
        <w:t>safely</w:t>
      </w:r>
      <w:proofErr w:type="gramEnd"/>
      <w:r w:rsidRPr="008308E3">
        <w:t xml:space="preserve"> and the likely overall result may be clear enough (though of course this is made difficult because of the significance of the party vote to the number of seats in a</w:t>
      </w:r>
      <w:r w:rsidR="008316E5">
        <w:t>n</w:t>
      </w:r>
      <w:r w:rsidRPr="008308E3">
        <w:t xml:space="preserve"> MMP system). In such a situation, the best course of action may sometimes be to go ahead with the poll in the area subject to disruption</w:t>
      </w:r>
      <w:r>
        <w:t>,</w:t>
      </w:r>
      <w:r w:rsidRPr="008308E3">
        <w:t xml:space="preserve"> even knowing that the result is likely to be unreliable, in the clear expectation that a by-election will be held when it is safe to do so. Such an expectation </w:t>
      </w:r>
      <w:r>
        <w:t>is</w:t>
      </w:r>
      <w:r w:rsidRPr="008308E3">
        <w:t xml:space="preserve"> hard to set down in statute and would have to be left to political judg</w:t>
      </w:r>
      <w:r w:rsidR="00A97214">
        <w:t>e</w:t>
      </w:r>
      <w:r w:rsidRPr="008308E3">
        <w:t xml:space="preserve">ments and commitments. </w:t>
      </w:r>
    </w:p>
    <w:p w14:paraId="19E6A7F7" w14:textId="28D8B72F" w:rsidR="004D77DB" w:rsidRDefault="004D77DB" w:rsidP="00FB32D6">
      <w:pPr>
        <w:pStyle w:val="BodyTextnonum"/>
      </w:pPr>
      <w:r w:rsidRPr="008308E3">
        <w:t xml:space="preserve">The rules need to be written in a way </w:t>
      </w:r>
      <w:r w:rsidR="00A97214">
        <w:t>that</w:t>
      </w:r>
      <w:r w:rsidR="00A97214" w:rsidRPr="008308E3">
        <w:t xml:space="preserve"> </w:t>
      </w:r>
      <w:r w:rsidRPr="008308E3">
        <w:t>enables such political solutions to be found</w:t>
      </w:r>
      <w:r>
        <w:rPr>
          <w:sz w:val="22"/>
          <w:szCs w:val="22"/>
        </w:rPr>
        <w:t xml:space="preserve">. </w:t>
      </w:r>
      <w:r w:rsidRPr="00291B92">
        <w:t>Another</w:t>
      </w:r>
      <w:r>
        <w:t xml:space="preserve"> possible </w:t>
      </w:r>
      <w:r w:rsidRPr="00291B92">
        <w:t xml:space="preserve">solution </w:t>
      </w:r>
      <w:r w:rsidR="00A97214">
        <w:t xml:space="preserve">that </w:t>
      </w:r>
      <w:r w:rsidRPr="00291B92">
        <w:t xml:space="preserve">should be considered </w:t>
      </w:r>
      <w:r>
        <w:t>is</w:t>
      </w:r>
      <w:r w:rsidRPr="00291B92">
        <w:t xml:space="preserve"> to enable the old Parliament</w:t>
      </w:r>
      <w:r>
        <w:t>,</w:t>
      </w:r>
      <w:r w:rsidRPr="00291B92">
        <w:t xml:space="preserve"> which has been dissolved or expired</w:t>
      </w:r>
      <w:r>
        <w:t>,</w:t>
      </w:r>
      <w:r w:rsidRPr="00291B92">
        <w:t xml:space="preserve"> to reconvene even after the writ has been issued. (The place and </w:t>
      </w:r>
      <w:r w:rsidRPr="00291B92">
        <w:rPr>
          <w:i/>
          <w:iCs/>
        </w:rPr>
        <w:t>mode</w:t>
      </w:r>
      <w:r w:rsidRPr="00291B92">
        <w:t xml:space="preserve"> of meeting may have to be adjusted depending on the cause of the disruption</w:t>
      </w:r>
      <w:r w:rsidR="00A97214">
        <w:t>.</w:t>
      </w:r>
      <w:r w:rsidRPr="00291B92">
        <w:t xml:space="preserve">) Parliament could then </w:t>
      </w:r>
      <w:r w:rsidRPr="00291B92">
        <w:rPr>
          <w:i/>
          <w:iCs/>
        </w:rPr>
        <w:t>itself</w:t>
      </w:r>
      <w:r w:rsidRPr="00291B92">
        <w:t xml:space="preserve"> consider whether it wanted to extend the term of government until it was safe to electioneer and to hold a reliable poll. In doing so, coalition arrangements might also be renegotiated, and caretaker arrangements could be adopted. This would be preferable to the Chief Electoral Officer effectively making the decision about the length of the </w:t>
      </w:r>
      <w:r w:rsidR="00452339">
        <w:t>p</w:t>
      </w:r>
      <w:r w:rsidRPr="00291B92">
        <w:t xml:space="preserve">arliamentary term. I am not suggesting that the executive have the power unilaterally to change electoral law or the term of </w:t>
      </w:r>
      <w:r>
        <w:t>P</w:t>
      </w:r>
      <w:r w:rsidRPr="00291B92">
        <w:t xml:space="preserve">arliament </w:t>
      </w:r>
      <w:r w:rsidRPr="00291B92">
        <w:lastRenderedPageBreak/>
        <w:t xml:space="preserve">but rather that there could be provision for the old Parliament to meet to decide how </w:t>
      </w:r>
      <w:r w:rsidRPr="008331DD">
        <w:rPr>
          <w:i/>
          <w:iCs/>
        </w:rPr>
        <w:t xml:space="preserve">it </w:t>
      </w:r>
      <w:r w:rsidRPr="00291B92">
        <w:t>wants to address the disruption rather than officials. The decision to reconvene Parliament should be formally in the hands of the Governor-General but subject to advice channe</w:t>
      </w:r>
      <w:r>
        <w:t>l</w:t>
      </w:r>
      <w:r w:rsidRPr="00291B92">
        <w:t>led through the Prime Minister or</w:t>
      </w:r>
      <w:r w:rsidR="00A97214">
        <w:t>,</w:t>
      </w:r>
      <w:r w:rsidRPr="00291B92">
        <w:t xml:space="preserve"> if necessary </w:t>
      </w:r>
      <w:r>
        <w:t>and appropriate</w:t>
      </w:r>
      <w:r w:rsidR="00A97214">
        <w:t>,</w:t>
      </w:r>
      <w:r>
        <w:t xml:space="preserve"> </w:t>
      </w:r>
      <w:r w:rsidRPr="00291B92">
        <w:t xml:space="preserve">the Clerk of the Executive Council. </w:t>
      </w:r>
    </w:p>
    <w:p w14:paraId="1A0ACAE1" w14:textId="47C6E0C2" w:rsidR="004D77DB" w:rsidRDefault="004D77DB" w:rsidP="00FB32D6">
      <w:pPr>
        <w:pStyle w:val="BodyTextnonum"/>
      </w:pPr>
      <w:r>
        <w:t>Another solution would be to have alternative voting procedures available electronically</w:t>
      </w:r>
      <w:r w:rsidR="00A97214">
        <w:t>,</w:t>
      </w:r>
      <w:r>
        <w:t xml:space="preserve"> </w:t>
      </w:r>
      <w:r w:rsidR="00A97214">
        <w:t>b</w:t>
      </w:r>
      <w:r>
        <w:t xml:space="preserve">ut that is not necessarily an answer if an emergency involves the failure of electricity supply or technology, and it may also disadvantage certain sectors of the electorate </w:t>
      </w:r>
      <w:r w:rsidR="000E0D24">
        <w:t>–</w:t>
      </w:r>
      <w:r>
        <w:t xml:space="preserve"> all factors </w:t>
      </w:r>
      <w:r w:rsidR="007848BC">
        <w:t xml:space="preserve">that </w:t>
      </w:r>
      <w:r>
        <w:t xml:space="preserve">could also affect the fidelity of the election result. </w:t>
      </w:r>
      <w:r w:rsidRPr="00291B92">
        <w:t xml:space="preserve">Provision </w:t>
      </w:r>
      <w:r>
        <w:t xml:space="preserve">in general legislation </w:t>
      </w:r>
      <w:r w:rsidRPr="00291B92">
        <w:t xml:space="preserve">for the extension of local body elections </w:t>
      </w:r>
      <w:r>
        <w:t xml:space="preserve">in an emergency is </w:t>
      </w:r>
      <w:r w:rsidRPr="00291B92">
        <w:t>also needed.</w:t>
      </w:r>
      <w:r w:rsidRPr="00291B92">
        <w:rPr>
          <w:rStyle w:val="FootnoteReference"/>
          <w:lang w:eastAsia="en-NZ"/>
        </w:rPr>
        <w:footnoteReference w:id="138"/>
      </w:r>
    </w:p>
    <w:p w14:paraId="00D2CD1C" w14:textId="68826117" w:rsidR="004D77DB" w:rsidRPr="00943D48" w:rsidRDefault="004D77DB" w:rsidP="00930884">
      <w:pPr>
        <w:pStyle w:val="Heading2"/>
      </w:pPr>
      <w:r w:rsidRPr="00943D48">
        <w:t xml:space="preserve"> </w:t>
      </w:r>
      <w:bookmarkStart w:id="213" w:name="_Toc117063130"/>
      <w:bookmarkStart w:id="214" w:name="_Toc118119322"/>
      <w:r w:rsidRPr="00930884">
        <w:t>Concluding</w:t>
      </w:r>
      <w:r w:rsidRPr="00943D48">
        <w:t xml:space="preserve"> remarks</w:t>
      </w:r>
      <w:bookmarkEnd w:id="213"/>
      <w:bookmarkEnd w:id="214"/>
    </w:p>
    <w:p w14:paraId="321362C5" w14:textId="2CDA35E3" w:rsidR="004D77DB" w:rsidRPr="00291B92" w:rsidRDefault="004D77DB" w:rsidP="00FB32D6">
      <w:pPr>
        <w:pStyle w:val="BodyTextnonum"/>
      </w:pPr>
      <w:r>
        <w:t xml:space="preserve">There is never a good time to write emergency law. Ensuring that legal frameworks provide governments with sufficient powers to cope with future emergencies while at the same time including effective political and legal constraints on such powers is a difficult balance to achieve. This, however, may be the best possible time to review </w:t>
      </w:r>
      <w:r w:rsidR="00AF692D">
        <w:t xml:space="preserve">Aotearoa </w:t>
      </w:r>
      <w:r>
        <w:t>New Zealand’s emergency legislation. We have an important opportunity to learn from experience.</w:t>
      </w:r>
      <w:r w:rsidR="000B161F">
        <w:t xml:space="preserve"> This may well be the golden hour in which to prepare the legal </w:t>
      </w:r>
      <w:r w:rsidR="00F37A22">
        <w:t>powers and constraints necessary for the next pandemic.</w:t>
      </w:r>
    </w:p>
    <w:p w14:paraId="39FC0163" w14:textId="77777777" w:rsidR="00142936" w:rsidRDefault="00142936" w:rsidP="00142936">
      <w:pPr>
        <w:pStyle w:val="ListNumber"/>
        <w:numPr>
          <w:ilvl w:val="0"/>
          <w:numId w:val="0"/>
        </w:numPr>
        <w:ind w:left="1134" w:hanging="425"/>
      </w:pPr>
    </w:p>
    <w:p w14:paraId="13CE08E9" w14:textId="77777777" w:rsidR="00142936" w:rsidRDefault="00142936" w:rsidP="00142936">
      <w:pPr>
        <w:pStyle w:val="ListNumber"/>
        <w:numPr>
          <w:ilvl w:val="0"/>
          <w:numId w:val="0"/>
        </w:numPr>
        <w:ind w:left="1134" w:hanging="425"/>
      </w:pPr>
      <w:r>
        <w:rPr>
          <w:noProof/>
        </w:rPr>
        <mc:AlternateContent>
          <mc:Choice Requires="wpg">
            <w:drawing>
              <wp:anchor distT="0" distB="0" distL="114300" distR="114300" simplePos="0" relativeHeight="251658256" behindDoc="1" locked="0" layoutInCell="1" allowOverlap="1" wp14:anchorId="24984FD2" wp14:editId="023AE0B8">
                <wp:simplePos x="0" y="0"/>
                <wp:positionH relativeFrom="page">
                  <wp:posOffset>1080135</wp:posOffset>
                </wp:positionH>
                <wp:positionV relativeFrom="paragraph">
                  <wp:posOffset>212090</wp:posOffset>
                </wp:positionV>
                <wp:extent cx="1440000" cy="1270"/>
                <wp:effectExtent l="0" t="19050" r="27305" b="17780"/>
                <wp:wrapNone/>
                <wp:docPr id="3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000" cy="1270"/>
                          <a:chOff x="1134" y="-190"/>
                          <a:chExt cx="2098" cy="2"/>
                        </a:xfrm>
                      </wpg:grpSpPr>
                      <wps:wsp>
                        <wps:cNvPr id="31" name="Freeform 93"/>
                        <wps:cNvSpPr>
                          <a:spLocks/>
                        </wps:cNvSpPr>
                        <wps:spPr bwMode="auto">
                          <a:xfrm>
                            <a:off x="1134" y="-19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C6BFB2" id="Group 92" o:spid="_x0000_s1026" style="position:absolute;margin-left:85.05pt;margin-top:16.7pt;width:113.4pt;height:.1pt;z-index:-251658224;mso-position-horizontal-relative:page" coordorigin="1134,-19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">
                <v:shape id="Freeform 93" o:spid="_x0000_s1027" style="position:absolute;left:1134;top:-19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" path="m,l2097,e" filled="f" strokecolor="#c96d61" strokeweight="3pt">
                  <v:path arrowok="t" o:connecttype="custom" o:connectlocs="0,0;2097,0" o:connectangles="0,0"/>
                </v:shape>
                <w10:wrap anchorx="page"/>
              </v:group>
            </w:pict>
          </mc:Fallback>
        </mc:AlternateContent>
      </w:r>
    </w:p>
    <w:p w14:paraId="2F752E4E" w14:textId="77777777" w:rsidR="00142936" w:rsidRDefault="00142936" w:rsidP="00142936">
      <w:pPr>
        <w:pStyle w:val="ListNumber"/>
        <w:numPr>
          <w:ilvl w:val="0"/>
          <w:numId w:val="0"/>
        </w:numPr>
        <w:ind w:left="1134" w:hanging="425"/>
      </w:pPr>
    </w:p>
    <w:p w14:paraId="3D7E2115" w14:textId="77777777" w:rsidR="00142936" w:rsidRDefault="00142936" w:rsidP="00142936">
      <w:pPr>
        <w:pStyle w:val="ListNumber"/>
        <w:numPr>
          <w:ilvl w:val="0"/>
          <w:numId w:val="0"/>
        </w:numPr>
        <w:ind w:left="1134" w:hanging="425"/>
        <w:sectPr w:rsidR="00142936" w:rsidSect="00D50ACF">
          <w:headerReference w:type="default" r:id="rId48"/>
          <w:footnotePr>
            <w:numRestart w:val="eachSect"/>
          </w:footnotePr>
          <w:pgSz w:w="11920" w:h="16840"/>
          <w:pgMar w:top="1134" w:right="1134" w:bottom="1134" w:left="1701" w:header="499" w:footer="46" w:gutter="0"/>
          <w:cols w:space="720"/>
          <w:docGrid w:linePitch="272"/>
        </w:sectPr>
      </w:pPr>
    </w:p>
    <w:p w14:paraId="2AC7E5B1" w14:textId="77777777" w:rsidR="00142936" w:rsidRDefault="00142936" w:rsidP="00142936">
      <w:pPr>
        <w:spacing w:before="55" w:after="0" w:line="240" w:lineRule="auto"/>
        <w:ind w:left="114" w:right="-20" w:hanging="114"/>
        <w:rPr>
          <w:rFonts w:ascii="Metropolis" w:eastAsia="Metropolis" w:hAnsi="Metropolis" w:cs="Metropolis"/>
          <w:sz w:val="21"/>
          <w:szCs w:val="21"/>
        </w:rPr>
      </w:pPr>
    </w:p>
    <w:p w14:paraId="302DF47E" w14:textId="5DAE3ADD" w:rsidR="00142936" w:rsidRDefault="00246EEE">
      <w:pPr>
        <w:pStyle w:val="Heading1"/>
      </w:pPr>
      <w:bookmarkStart w:id="215" w:name="_Toc117063131"/>
      <w:bookmarkStart w:id="216" w:name="_Toc118119323"/>
      <w:r w:rsidRPr="00246EEE">
        <w:t>Appendix One</w:t>
      </w:r>
      <w:bookmarkEnd w:id="215"/>
      <w:bookmarkEnd w:id="216"/>
    </w:p>
    <w:p w14:paraId="6E095C8A" w14:textId="77777777" w:rsidR="00142936" w:rsidRDefault="00142936" w:rsidP="00142936">
      <w:pPr>
        <w:spacing w:after="0" w:line="200" w:lineRule="exact"/>
        <w:rPr>
          <w:szCs w:val="20"/>
        </w:rPr>
      </w:pPr>
    </w:p>
    <w:p w14:paraId="78300102" w14:textId="77777777" w:rsidR="00142936" w:rsidRDefault="00142936" w:rsidP="00142936">
      <w:pPr>
        <w:spacing w:after="0" w:line="200" w:lineRule="exact"/>
        <w:rPr>
          <w:szCs w:val="20"/>
        </w:rPr>
      </w:pPr>
    </w:p>
    <w:p w14:paraId="64A392B3" w14:textId="77777777" w:rsidR="00142936" w:rsidRDefault="00142936" w:rsidP="00142936">
      <w:pPr>
        <w:spacing w:after="0" w:line="200" w:lineRule="exact"/>
        <w:rPr>
          <w:szCs w:val="20"/>
        </w:rPr>
      </w:pPr>
      <w:r>
        <w:rPr>
          <w:noProof/>
        </w:rPr>
        <mc:AlternateContent>
          <mc:Choice Requires="wpg">
            <w:drawing>
              <wp:anchor distT="0" distB="0" distL="114300" distR="114300" simplePos="0" relativeHeight="251658257" behindDoc="1" locked="0" layoutInCell="1" allowOverlap="1" wp14:anchorId="00A8F1B5" wp14:editId="6C4D609A">
                <wp:simplePos x="0" y="0"/>
                <wp:positionH relativeFrom="page">
                  <wp:posOffset>1096140</wp:posOffset>
                </wp:positionH>
                <wp:positionV relativeFrom="paragraph">
                  <wp:posOffset>38100</wp:posOffset>
                </wp:positionV>
                <wp:extent cx="1332230" cy="1270"/>
                <wp:effectExtent l="0" t="19050" r="20320" b="17780"/>
                <wp:wrapNone/>
                <wp:docPr id="3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260"/>
                          <a:chExt cx="2098" cy="2"/>
                        </a:xfrm>
                      </wpg:grpSpPr>
                      <wps:wsp>
                        <wps:cNvPr id="37" name="Freeform 7"/>
                        <wps:cNvSpPr>
                          <a:spLocks/>
                        </wps:cNvSpPr>
                        <wps:spPr bwMode="auto">
                          <a:xfrm>
                            <a:off x="1134" y="-26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F7BEB" id="Group 6" o:spid="_x0000_s1026" style="position:absolute;margin-left:86.3pt;margin-top:3pt;width:104.9pt;height:.1pt;z-index:-251658223;mso-position-horizontal-relative:page" coordorigin="1134,-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">
                <v:shape id="Freeform 7" o:spid="_x0000_s1027" style="position:absolute;left:1134;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" path="m,l2097,e" filled="f" strokecolor="#c96d61" strokeweight="3pt">
                  <v:path arrowok="t" o:connecttype="custom" o:connectlocs="0,0;2097,0" o:connectangles="0,0"/>
                </v:shape>
                <w10:wrap anchorx="page"/>
              </v:group>
            </w:pict>
          </mc:Fallback>
        </mc:AlternateContent>
      </w:r>
    </w:p>
    <w:p w14:paraId="723FC94C" w14:textId="3A1F2E5E" w:rsidR="00142936" w:rsidRDefault="00142936" w:rsidP="00142936">
      <w:pPr>
        <w:spacing w:after="0" w:line="240" w:lineRule="auto"/>
        <w:ind w:left="114" w:right="-20" w:hanging="114"/>
        <w:rPr>
          <w:rFonts w:ascii="Metropolis" w:eastAsia="Metropolis" w:hAnsi="Metropolis" w:cs="Metropolis"/>
          <w:sz w:val="33"/>
          <w:szCs w:val="33"/>
        </w:rPr>
      </w:pPr>
    </w:p>
    <w:p w14:paraId="5942AAA2" w14:textId="16FE1E23" w:rsidR="007848BC" w:rsidRPr="00CC3ADC" w:rsidRDefault="007848BC" w:rsidP="00CC3ADC">
      <w:pPr>
        <w:pStyle w:val="BodyText1"/>
      </w:pPr>
      <w:r>
        <w:t xml:space="preserve">The following </w:t>
      </w:r>
      <w:r w:rsidRPr="00B46BEB">
        <w:t>table illustrat</w:t>
      </w:r>
      <w:r>
        <w:t>es</w:t>
      </w:r>
      <w:r w:rsidRPr="00B46BEB">
        <w:t xml:space="preserve"> a selection of the current rules for when an emergency can be triggered and for what purposes emergency powers can be exercised</w:t>
      </w:r>
      <w:r>
        <w:t>.</w:t>
      </w:r>
    </w:p>
    <w:p w14:paraId="141A5482" w14:textId="77777777" w:rsidR="00142936" w:rsidRDefault="00142936" w:rsidP="00142936">
      <w:pPr>
        <w:spacing w:before="3" w:after="0" w:line="120" w:lineRule="exact"/>
        <w:rPr>
          <w:sz w:val="12"/>
          <w:szCs w:val="12"/>
        </w:rPr>
      </w:pPr>
    </w:p>
    <w:tbl>
      <w:tblPr>
        <w:tblStyle w:val="GridTable4-Accent2"/>
        <w:tblW w:w="9067" w:type="dxa"/>
        <w:tblLook w:val="04A0" w:firstRow="1" w:lastRow="0" w:firstColumn="1" w:lastColumn="0" w:noHBand="0" w:noVBand="1"/>
      </w:tblPr>
      <w:tblGrid>
        <w:gridCol w:w="1701"/>
        <w:gridCol w:w="2977"/>
        <w:gridCol w:w="4389"/>
      </w:tblGrid>
      <w:tr w:rsidR="00635525" w:rsidRPr="00635525" w14:paraId="0FC64299" w14:textId="77777777" w:rsidTr="00145A20">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14:paraId="79BC2F06" w14:textId="77777777" w:rsidR="00BC604A" w:rsidRPr="00635525" w:rsidRDefault="00BC604A" w:rsidP="000839FE">
            <w:pPr>
              <w:spacing w:before="160" w:line="276" w:lineRule="auto"/>
              <w:jc w:val="center"/>
              <w:rPr>
                <w:rFonts w:ascii="Metropolis" w:hAnsi="Metropolis"/>
                <w:b w:val="0"/>
                <w:bCs w:val="0"/>
              </w:rPr>
            </w:pPr>
            <w:r w:rsidRPr="00635525">
              <w:rPr>
                <w:rFonts w:ascii="Metropolis" w:hAnsi="Metropolis"/>
              </w:rPr>
              <w:t>Act</w:t>
            </w:r>
          </w:p>
        </w:tc>
        <w:tc>
          <w:tcPr>
            <w:tcW w:w="2977" w:type="dxa"/>
            <w:tcBorders>
              <w:top w:val="none" w:sz="0" w:space="0" w:color="auto"/>
              <w:left w:val="none" w:sz="0" w:space="0" w:color="auto"/>
              <w:bottom w:val="none" w:sz="0" w:space="0" w:color="auto"/>
              <w:right w:val="none" w:sz="0" w:space="0" w:color="auto"/>
            </w:tcBorders>
          </w:tcPr>
          <w:p w14:paraId="4364E36E" w14:textId="33A94D24" w:rsidR="00BC604A" w:rsidRPr="00635525" w:rsidRDefault="00BC604A" w:rsidP="000839FE">
            <w:pPr>
              <w:spacing w:before="160" w:line="276" w:lineRule="auto"/>
              <w:jc w:val="center"/>
              <w:cnfStyle w:val="100000000000" w:firstRow="1" w:lastRow="0" w:firstColumn="0" w:lastColumn="0" w:oddVBand="0" w:evenVBand="0" w:oddHBand="0" w:evenHBand="0" w:firstRowFirstColumn="0" w:firstRowLastColumn="0" w:lastRowFirstColumn="0" w:lastRowLastColumn="0"/>
              <w:rPr>
                <w:rFonts w:ascii="Metropolis" w:hAnsi="Metropolis"/>
                <w:b w:val="0"/>
                <w:bCs w:val="0"/>
              </w:rPr>
            </w:pPr>
            <w:r w:rsidRPr="00635525">
              <w:rPr>
                <w:rFonts w:ascii="Metropolis" w:hAnsi="Metropolis"/>
              </w:rPr>
              <w:t>Decision</w:t>
            </w:r>
            <w:r w:rsidR="005D76D2">
              <w:rPr>
                <w:rFonts w:ascii="Metropolis" w:hAnsi="Metropolis"/>
              </w:rPr>
              <w:t xml:space="preserve"> </w:t>
            </w:r>
            <w:r w:rsidRPr="00635525">
              <w:rPr>
                <w:rFonts w:ascii="Metropolis" w:hAnsi="Metropolis"/>
              </w:rPr>
              <w:t>maker</w:t>
            </w:r>
          </w:p>
        </w:tc>
        <w:tc>
          <w:tcPr>
            <w:tcW w:w="4389" w:type="dxa"/>
            <w:tcBorders>
              <w:top w:val="none" w:sz="0" w:space="0" w:color="auto"/>
              <w:left w:val="none" w:sz="0" w:space="0" w:color="auto"/>
              <w:bottom w:val="none" w:sz="0" w:space="0" w:color="auto"/>
              <w:right w:val="none" w:sz="0" w:space="0" w:color="auto"/>
            </w:tcBorders>
          </w:tcPr>
          <w:p w14:paraId="1075BC52" w14:textId="77777777" w:rsidR="00BC604A" w:rsidRPr="00635525" w:rsidRDefault="00BC604A" w:rsidP="000839FE">
            <w:pPr>
              <w:spacing w:before="160" w:line="276" w:lineRule="auto"/>
              <w:jc w:val="center"/>
              <w:cnfStyle w:val="100000000000" w:firstRow="1" w:lastRow="0" w:firstColumn="0" w:lastColumn="0" w:oddVBand="0" w:evenVBand="0" w:oddHBand="0" w:evenHBand="0" w:firstRowFirstColumn="0" w:firstRowLastColumn="0" w:lastRowFirstColumn="0" w:lastRowLastColumn="0"/>
              <w:rPr>
                <w:rFonts w:ascii="Metropolis" w:hAnsi="Metropolis"/>
                <w:b w:val="0"/>
                <w:bCs w:val="0"/>
              </w:rPr>
            </w:pPr>
            <w:r w:rsidRPr="00635525">
              <w:rPr>
                <w:rFonts w:ascii="Metropolis" w:hAnsi="Metropolis"/>
              </w:rPr>
              <w:t>Threshold</w:t>
            </w:r>
          </w:p>
        </w:tc>
      </w:tr>
      <w:tr w:rsidR="00BC604A" w:rsidRPr="00522A7C" w14:paraId="25459B60" w14:textId="77777777" w:rsidTr="00A60EEB">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701" w:type="dxa"/>
            <w:shd w:val="clear" w:color="auto" w:fill="E5B8B7" w:themeFill="accent2" w:themeFillTint="66"/>
          </w:tcPr>
          <w:p w14:paraId="43F5B2E3" w14:textId="2029FC2E" w:rsidR="00BC604A" w:rsidRPr="00DC71C6" w:rsidRDefault="00BC604A" w:rsidP="00635525">
            <w:pPr>
              <w:jc w:val="center"/>
              <w:rPr>
                <w:rFonts w:ascii="Metropolis" w:hAnsi="Metropolis"/>
                <w:b w:val="0"/>
                <w:bCs w:val="0"/>
                <w:color w:val="000000" w:themeColor="text1"/>
              </w:rPr>
            </w:pPr>
            <w:r w:rsidRPr="00DC71C6">
              <w:rPr>
                <w:rFonts w:ascii="Metropolis" w:hAnsi="Metropolis"/>
                <w:color w:val="000000" w:themeColor="text1"/>
              </w:rPr>
              <w:t>Health Act</w:t>
            </w:r>
            <w:r w:rsidR="00313A29">
              <w:rPr>
                <w:rFonts w:ascii="Metropolis" w:hAnsi="Metropolis"/>
                <w:color w:val="000000" w:themeColor="text1"/>
              </w:rPr>
              <w:t xml:space="preserve"> 1956</w:t>
            </w:r>
          </w:p>
        </w:tc>
        <w:tc>
          <w:tcPr>
            <w:tcW w:w="2977" w:type="dxa"/>
            <w:shd w:val="clear" w:color="auto" w:fill="FFFFFF" w:themeFill="background1"/>
          </w:tcPr>
          <w:p w14:paraId="43DC76FF" w14:textId="01012FAE" w:rsidR="00BC604A" w:rsidRPr="00522A7C" w:rsidRDefault="00BC604A" w:rsidP="00635525">
            <w:pPr>
              <w:cnfStyle w:val="000000100000" w:firstRow="0" w:lastRow="0" w:firstColumn="0" w:lastColumn="0" w:oddVBand="0" w:evenVBand="0" w:oddHBand="1" w:evenHBand="0" w:firstRowFirstColumn="0" w:firstRowLastColumn="0" w:lastRowFirstColumn="0" w:lastRowLastColumn="0"/>
              <w:rPr>
                <w:color w:val="000000" w:themeColor="text1"/>
              </w:rPr>
            </w:pPr>
            <w:r w:rsidRPr="00522A7C">
              <w:rPr>
                <w:color w:val="000000" w:themeColor="text1"/>
              </w:rPr>
              <w:t xml:space="preserve">Medical </w:t>
            </w:r>
            <w:r w:rsidR="00843000">
              <w:rPr>
                <w:color w:val="000000" w:themeColor="text1"/>
              </w:rPr>
              <w:t>o</w:t>
            </w:r>
            <w:r w:rsidRPr="00522A7C">
              <w:rPr>
                <w:color w:val="000000" w:themeColor="text1"/>
              </w:rPr>
              <w:t>fficer authorised by Minister of Health</w:t>
            </w:r>
          </w:p>
        </w:tc>
        <w:tc>
          <w:tcPr>
            <w:tcW w:w="4389" w:type="dxa"/>
            <w:shd w:val="clear" w:color="auto" w:fill="FFFFFF" w:themeFill="background1"/>
          </w:tcPr>
          <w:p w14:paraId="7BCDE7E1" w14:textId="6FD6026C" w:rsidR="00BC604A" w:rsidRPr="00522A7C" w:rsidRDefault="00BC604A" w:rsidP="00635525">
            <w:pPr>
              <w:cnfStyle w:val="000000100000" w:firstRow="0" w:lastRow="0" w:firstColumn="0" w:lastColumn="0" w:oddVBand="0" w:evenVBand="0" w:oddHBand="1" w:evenHBand="0" w:firstRowFirstColumn="0" w:firstRowLastColumn="0" w:lastRowFirstColumn="0" w:lastRowLastColumn="0"/>
              <w:rPr>
                <w:color w:val="000000" w:themeColor="text1"/>
              </w:rPr>
            </w:pPr>
            <w:r w:rsidRPr="00522A7C">
              <w:rPr>
                <w:color w:val="000000" w:themeColor="text1"/>
              </w:rPr>
              <w:t>No threshold</w:t>
            </w:r>
            <w:r w:rsidR="00313A29">
              <w:rPr>
                <w:color w:val="000000" w:themeColor="text1"/>
              </w:rPr>
              <w:t>.</w:t>
            </w:r>
            <w:r w:rsidRPr="00522A7C">
              <w:rPr>
                <w:rStyle w:val="FootnoteReference"/>
                <w:color w:val="000000" w:themeColor="text1"/>
              </w:rPr>
              <w:footnoteReference w:id="139"/>
            </w:r>
          </w:p>
        </w:tc>
      </w:tr>
      <w:tr w:rsidR="00BC604A" w:rsidRPr="00522A7C" w14:paraId="6A86B454" w14:textId="77777777" w:rsidTr="00A60EEB">
        <w:trPr>
          <w:trHeight w:val="628"/>
        </w:trPr>
        <w:tc>
          <w:tcPr>
            <w:cnfStyle w:val="001000000000" w:firstRow="0" w:lastRow="0" w:firstColumn="1" w:lastColumn="0" w:oddVBand="0" w:evenVBand="0" w:oddHBand="0" w:evenHBand="0" w:firstRowFirstColumn="0" w:firstRowLastColumn="0" w:lastRowFirstColumn="0" w:lastRowLastColumn="0"/>
            <w:tcW w:w="1701" w:type="dxa"/>
            <w:shd w:val="clear" w:color="auto" w:fill="E5B8B7" w:themeFill="accent2" w:themeFillTint="66"/>
          </w:tcPr>
          <w:p w14:paraId="7A66766E" w14:textId="258ED245" w:rsidR="00BC604A" w:rsidRPr="00DC71C6" w:rsidRDefault="00BC604A" w:rsidP="00635525">
            <w:pPr>
              <w:jc w:val="center"/>
              <w:rPr>
                <w:rFonts w:ascii="Metropolis" w:hAnsi="Metropolis"/>
                <w:b w:val="0"/>
                <w:bCs w:val="0"/>
                <w:color w:val="000000" w:themeColor="text1"/>
              </w:rPr>
            </w:pPr>
            <w:r w:rsidRPr="00DC71C6">
              <w:rPr>
                <w:rFonts w:ascii="Metropolis" w:hAnsi="Metropolis"/>
                <w:color w:val="000000" w:themeColor="text1"/>
              </w:rPr>
              <w:t>C</w:t>
            </w:r>
            <w:r w:rsidR="00AB2337">
              <w:rPr>
                <w:rFonts w:ascii="Metropolis" w:hAnsi="Metropolis"/>
                <w:color w:val="000000" w:themeColor="text1"/>
              </w:rPr>
              <w:t>OVID</w:t>
            </w:r>
            <w:r w:rsidRPr="00DC71C6">
              <w:rPr>
                <w:rFonts w:ascii="Metropolis" w:hAnsi="Metropolis"/>
                <w:color w:val="000000" w:themeColor="text1"/>
              </w:rPr>
              <w:t xml:space="preserve">-19 </w:t>
            </w:r>
            <w:r w:rsidR="00F03B47" w:rsidRPr="00E62952">
              <w:t xml:space="preserve">Public Health Response </w:t>
            </w:r>
            <w:r w:rsidRPr="00DC71C6">
              <w:rPr>
                <w:rFonts w:ascii="Metropolis" w:hAnsi="Metropolis"/>
                <w:color w:val="000000" w:themeColor="text1"/>
              </w:rPr>
              <w:t>Act</w:t>
            </w:r>
            <w:r w:rsidR="00313A29">
              <w:rPr>
                <w:rFonts w:ascii="Metropolis" w:hAnsi="Metropolis"/>
                <w:color w:val="000000" w:themeColor="text1"/>
              </w:rPr>
              <w:t xml:space="preserve"> 2020</w:t>
            </w:r>
          </w:p>
        </w:tc>
        <w:tc>
          <w:tcPr>
            <w:tcW w:w="2977" w:type="dxa"/>
            <w:shd w:val="clear" w:color="auto" w:fill="FFFFFF" w:themeFill="background1"/>
          </w:tcPr>
          <w:p w14:paraId="47DA61E1" w14:textId="77777777" w:rsidR="00BC604A" w:rsidRPr="00522A7C" w:rsidRDefault="00BC604A" w:rsidP="00635525">
            <w:pPr>
              <w:cnfStyle w:val="000000000000" w:firstRow="0" w:lastRow="0" w:firstColumn="0" w:lastColumn="0" w:oddVBand="0" w:evenVBand="0" w:oddHBand="0" w:evenHBand="0" w:firstRowFirstColumn="0" w:firstRowLastColumn="0" w:lastRowFirstColumn="0" w:lastRowLastColumn="0"/>
              <w:rPr>
                <w:color w:val="000000" w:themeColor="text1"/>
              </w:rPr>
            </w:pPr>
            <w:r w:rsidRPr="00522A7C">
              <w:rPr>
                <w:color w:val="000000" w:themeColor="text1"/>
              </w:rPr>
              <w:t>Prime Minister</w:t>
            </w:r>
          </w:p>
        </w:tc>
        <w:tc>
          <w:tcPr>
            <w:tcW w:w="4389" w:type="dxa"/>
            <w:shd w:val="clear" w:color="auto" w:fill="FFFFFF" w:themeFill="background1"/>
          </w:tcPr>
          <w:p w14:paraId="1FE9E1C3" w14:textId="59620529" w:rsidR="00BC604A" w:rsidRPr="00522A7C" w:rsidRDefault="00BC604A" w:rsidP="00635525">
            <w:pPr>
              <w:cnfStyle w:val="000000000000" w:firstRow="0" w:lastRow="0" w:firstColumn="0" w:lastColumn="0" w:oddVBand="0" w:evenVBand="0" w:oddHBand="0" w:evenHBand="0" w:firstRowFirstColumn="0" w:firstRowLastColumn="0" w:lastRowFirstColumn="0" w:lastRowLastColumn="0"/>
              <w:rPr>
                <w:color w:val="000000" w:themeColor="text1"/>
              </w:rPr>
            </w:pPr>
            <w:r w:rsidRPr="00522A7C">
              <w:rPr>
                <w:color w:val="000000" w:themeColor="text1"/>
              </w:rPr>
              <w:t>P</w:t>
            </w:r>
            <w:r w:rsidR="00313A29">
              <w:rPr>
                <w:color w:val="000000" w:themeColor="text1"/>
              </w:rPr>
              <w:t xml:space="preserve">rime </w:t>
            </w:r>
            <w:r w:rsidRPr="00522A7C">
              <w:rPr>
                <w:color w:val="000000" w:themeColor="text1"/>
              </w:rPr>
              <w:t>M</w:t>
            </w:r>
            <w:r w:rsidR="00313A29">
              <w:rPr>
                <w:color w:val="000000" w:themeColor="text1"/>
              </w:rPr>
              <w:t>inister</w:t>
            </w:r>
            <w:r w:rsidRPr="00522A7C">
              <w:rPr>
                <w:color w:val="000000" w:themeColor="text1"/>
              </w:rPr>
              <w:t xml:space="preserve"> must be satisfied that there is a risk of an outbreak or the spread of COVID-19</w:t>
            </w:r>
            <w:r w:rsidR="00313A29">
              <w:rPr>
                <w:color w:val="000000" w:themeColor="text1"/>
              </w:rPr>
              <w:t>.</w:t>
            </w:r>
          </w:p>
        </w:tc>
      </w:tr>
      <w:tr w:rsidR="00BC604A" w:rsidRPr="00522A7C" w14:paraId="1E7BA6D9" w14:textId="77777777" w:rsidTr="00A60EEB">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701" w:type="dxa"/>
            <w:shd w:val="clear" w:color="auto" w:fill="E5B8B7" w:themeFill="accent2" w:themeFillTint="66"/>
          </w:tcPr>
          <w:p w14:paraId="4CC0E716" w14:textId="73257369" w:rsidR="00BC604A" w:rsidRPr="00DC71C6" w:rsidRDefault="00313A29" w:rsidP="00635525">
            <w:pPr>
              <w:jc w:val="center"/>
              <w:rPr>
                <w:rFonts w:ascii="Metropolis" w:hAnsi="Metropolis"/>
                <w:b w:val="0"/>
                <w:bCs w:val="0"/>
                <w:color w:val="000000" w:themeColor="text1"/>
              </w:rPr>
            </w:pPr>
            <w:r w:rsidRPr="001F497A">
              <w:t xml:space="preserve">Civil Defence Emergency </w:t>
            </w:r>
            <w:proofErr w:type="gramStart"/>
            <w:r w:rsidRPr="001F497A">
              <w:t xml:space="preserve">Management </w:t>
            </w:r>
            <w:r w:rsidR="00F03B47">
              <w:rPr>
                <w:rFonts w:ascii="Metropolis" w:hAnsi="Metropolis"/>
                <w:color w:val="000000" w:themeColor="text1"/>
              </w:rPr>
              <w:t xml:space="preserve"> </w:t>
            </w:r>
            <w:r w:rsidR="00BC604A" w:rsidRPr="00DC71C6">
              <w:rPr>
                <w:rFonts w:ascii="Metropolis" w:hAnsi="Metropolis"/>
                <w:color w:val="000000" w:themeColor="text1"/>
              </w:rPr>
              <w:t>A</w:t>
            </w:r>
            <w:r w:rsidR="00F03B47">
              <w:rPr>
                <w:rFonts w:ascii="Metropolis" w:hAnsi="Metropolis"/>
                <w:color w:val="000000" w:themeColor="text1"/>
              </w:rPr>
              <w:t>ct</w:t>
            </w:r>
            <w:proofErr w:type="gramEnd"/>
            <w:r>
              <w:rPr>
                <w:rFonts w:ascii="Metropolis" w:hAnsi="Metropolis"/>
                <w:color w:val="000000" w:themeColor="text1"/>
              </w:rPr>
              <w:t xml:space="preserve"> 2002</w:t>
            </w:r>
          </w:p>
        </w:tc>
        <w:tc>
          <w:tcPr>
            <w:tcW w:w="2977" w:type="dxa"/>
            <w:shd w:val="clear" w:color="auto" w:fill="FFFFFF" w:themeFill="background1"/>
          </w:tcPr>
          <w:p w14:paraId="1F6E1867" w14:textId="134F3427" w:rsidR="00BC604A" w:rsidRPr="00522A7C" w:rsidRDefault="00BC604A" w:rsidP="00635525">
            <w:pPr>
              <w:cnfStyle w:val="000000100000" w:firstRow="0" w:lastRow="0" w:firstColumn="0" w:lastColumn="0" w:oddVBand="0" w:evenVBand="0" w:oddHBand="1" w:evenHBand="0" w:firstRowFirstColumn="0" w:firstRowLastColumn="0" w:lastRowFirstColumn="0" w:lastRowLastColumn="0"/>
              <w:rPr>
                <w:color w:val="000000" w:themeColor="text1"/>
              </w:rPr>
            </w:pPr>
            <w:r w:rsidRPr="00522A7C">
              <w:rPr>
                <w:color w:val="000000" w:themeColor="text1"/>
              </w:rPr>
              <w:t>Local</w:t>
            </w:r>
            <w:r>
              <w:rPr>
                <w:color w:val="000000" w:themeColor="text1"/>
              </w:rPr>
              <w:t xml:space="preserve"> </w:t>
            </w:r>
            <w:r w:rsidR="00313A29">
              <w:rPr>
                <w:color w:val="000000" w:themeColor="text1"/>
              </w:rPr>
              <w:t>e</w:t>
            </w:r>
            <w:r w:rsidRPr="00522A7C">
              <w:rPr>
                <w:color w:val="000000" w:themeColor="text1"/>
              </w:rPr>
              <w:t>mergency: designated member of CDEM Group</w:t>
            </w:r>
          </w:p>
          <w:p w14:paraId="5DAADFFD" w14:textId="77777777" w:rsidR="00BC604A" w:rsidRPr="00522A7C" w:rsidRDefault="00BC604A" w:rsidP="00635525">
            <w:pPr>
              <w:cnfStyle w:val="000000100000" w:firstRow="0" w:lastRow="0" w:firstColumn="0" w:lastColumn="0" w:oddVBand="0" w:evenVBand="0" w:oddHBand="1" w:evenHBand="0" w:firstRowFirstColumn="0" w:firstRowLastColumn="0" w:lastRowFirstColumn="0" w:lastRowLastColumn="0"/>
              <w:rPr>
                <w:color w:val="000000" w:themeColor="text1"/>
              </w:rPr>
            </w:pPr>
          </w:p>
          <w:p w14:paraId="60BF3B9E" w14:textId="372F3D94" w:rsidR="00BC604A" w:rsidRPr="00522A7C" w:rsidRDefault="00BC604A" w:rsidP="00635525">
            <w:pPr>
              <w:cnfStyle w:val="000000100000" w:firstRow="0" w:lastRow="0" w:firstColumn="0" w:lastColumn="0" w:oddVBand="0" w:evenVBand="0" w:oddHBand="1" w:evenHBand="0" w:firstRowFirstColumn="0" w:firstRowLastColumn="0" w:lastRowFirstColumn="0" w:lastRowLastColumn="0"/>
              <w:rPr>
                <w:color w:val="000000" w:themeColor="text1"/>
              </w:rPr>
            </w:pPr>
            <w:r w:rsidRPr="00522A7C">
              <w:rPr>
                <w:color w:val="000000" w:themeColor="text1"/>
              </w:rPr>
              <w:t xml:space="preserve">National </w:t>
            </w:r>
            <w:r w:rsidR="00313A29">
              <w:rPr>
                <w:color w:val="000000" w:themeColor="text1"/>
              </w:rPr>
              <w:t>e</w:t>
            </w:r>
            <w:r w:rsidRPr="00522A7C">
              <w:rPr>
                <w:color w:val="000000" w:themeColor="text1"/>
              </w:rPr>
              <w:t xml:space="preserve">mergency: Minister </w:t>
            </w:r>
            <w:r w:rsidR="006C592E">
              <w:rPr>
                <w:color w:val="000000" w:themeColor="text1"/>
              </w:rPr>
              <w:t>for Emergency Management</w:t>
            </w:r>
          </w:p>
          <w:p w14:paraId="235EF68A" w14:textId="77777777" w:rsidR="00BC604A" w:rsidRPr="00522A7C" w:rsidRDefault="00BC604A" w:rsidP="00635525">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4389" w:type="dxa"/>
            <w:shd w:val="clear" w:color="auto" w:fill="FFFFFF" w:themeFill="background1"/>
          </w:tcPr>
          <w:p w14:paraId="14DFF39B" w14:textId="055B8D6A" w:rsidR="00BC604A" w:rsidRPr="00522A7C" w:rsidRDefault="00BC604A" w:rsidP="00635525">
            <w:pPr>
              <w:cnfStyle w:val="000000100000" w:firstRow="0" w:lastRow="0" w:firstColumn="0" w:lastColumn="0" w:oddVBand="0" w:evenVBand="0" w:oddHBand="1" w:evenHBand="0" w:firstRowFirstColumn="0" w:firstRowLastColumn="0" w:lastRowFirstColumn="0" w:lastRowLastColumn="0"/>
              <w:rPr>
                <w:color w:val="000000" w:themeColor="text1"/>
              </w:rPr>
            </w:pPr>
            <w:r w:rsidRPr="00522A7C">
              <w:rPr>
                <w:color w:val="000000" w:themeColor="text1"/>
              </w:rPr>
              <w:t xml:space="preserve">Local </w:t>
            </w:r>
            <w:r w:rsidR="00313A29">
              <w:rPr>
                <w:color w:val="000000" w:themeColor="text1"/>
              </w:rPr>
              <w:t>e</w:t>
            </w:r>
            <w:r w:rsidRPr="00522A7C">
              <w:rPr>
                <w:color w:val="000000" w:themeColor="text1"/>
              </w:rPr>
              <w:t xml:space="preserve">mergency: </w:t>
            </w:r>
            <w:r w:rsidR="00313A29">
              <w:rPr>
                <w:color w:val="000000" w:themeColor="text1"/>
              </w:rPr>
              <w:t>a</w:t>
            </w:r>
            <w:r w:rsidRPr="00522A7C">
              <w:rPr>
                <w:color w:val="000000" w:themeColor="text1"/>
              </w:rPr>
              <w:t xml:space="preserve">ny kind of emergency </w:t>
            </w:r>
            <w:proofErr w:type="gramStart"/>
            <w:r w:rsidRPr="00522A7C">
              <w:rPr>
                <w:color w:val="000000" w:themeColor="text1"/>
              </w:rPr>
              <w:t>that</w:t>
            </w:r>
            <w:r w:rsidR="006A23D7">
              <w:rPr>
                <w:color w:val="000000" w:themeColor="text1"/>
              </w:rPr>
              <w:t xml:space="preserve"> </w:t>
            </w:r>
            <w:r w:rsidR="006A23D7" w:rsidRPr="00522A7C" w:rsidDel="006A23D7">
              <w:rPr>
                <w:color w:val="000000" w:themeColor="text1"/>
              </w:rPr>
              <w:t xml:space="preserve"> </w:t>
            </w:r>
            <w:r w:rsidRPr="00522A7C">
              <w:rPr>
                <w:color w:val="000000" w:themeColor="text1"/>
              </w:rPr>
              <w:t>endangers</w:t>
            </w:r>
            <w:proofErr w:type="gramEnd"/>
            <w:r w:rsidRPr="00522A7C">
              <w:rPr>
                <w:color w:val="000000" w:themeColor="text1"/>
              </w:rPr>
              <w:t xml:space="preserve"> the safety of people or property to such an extent that it goes beyond the capacities of ordinary emergency services to respond</w:t>
            </w:r>
            <w:r w:rsidR="006A23D7">
              <w:rPr>
                <w:color w:val="000000" w:themeColor="text1"/>
              </w:rPr>
              <w:t>.</w:t>
            </w:r>
            <w:r w:rsidRPr="00522A7C">
              <w:rPr>
                <w:color w:val="000000" w:themeColor="text1"/>
              </w:rPr>
              <w:t xml:space="preserve"> </w:t>
            </w:r>
          </w:p>
          <w:p w14:paraId="3E2EA4F9" w14:textId="0C870E4E" w:rsidR="00BC604A" w:rsidRPr="00522A7C" w:rsidRDefault="00BC604A" w:rsidP="006A23D7">
            <w:pPr>
              <w:cnfStyle w:val="000000100000" w:firstRow="0" w:lastRow="0" w:firstColumn="0" w:lastColumn="0" w:oddVBand="0" w:evenVBand="0" w:oddHBand="1" w:evenHBand="0" w:firstRowFirstColumn="0" w:firstRowLastColumn="0" w:lastRowFirstColumn="0" w:lastRowLastColumn="0"/>
              <w:rPr>
                <w:color w:val="000000" w:themeColor="text1"/>
              </w:rPr>
            </w:pPr>
            <w:r w:rsidRPr="00522A7C">
              <w:rPr>
                <w:color w:val="000000" w:themeColor="text1"/>
              </w:rPr>
              <w:t xml:space="preserve">National </w:t>
            </w:r>
            <w:r w:rsidR="006A23D7">
              <w:rPr>
                <w:color w:val="000000" w:themeColor="text1"/>
              </w:rPr>
              <w:t>e</w:t>
            </w:r>
            <w:r w:rsidRPr="00522A7C">
              <w:rPr>
                <w:color w:val="000000" w:themeColor="text1"/>
              </w:rPr>
              <w:t>mergency: additionally, the local CDEM Group does not have the capacity to respond</w:t>
            </w:r>
            <w:r w:rsidR="006A23D7">
              <w:rPr>
                <w:color w:val="000000" w:themeColor="text1"/>
              </w:rPr>
              <w:t>.</w:t>
            </w:r>
          </w:p>
        </w:tc>
      </w:tr>
      <w:tr w:rsidR="00BC604A" w:rsidRPr="00522A7C" w14:paraId="41C3EC40" w14:textId="77777777" w:rsidTr="00A60EEB">
        <w:trPr>
          <w:trHeight w:val="628"/>
        </w:trPr>
        <w:tc>
          <w:tcPr>
            <w:cnfStyle w:val="001000000000" w:firstRow="0" w:lastRow="0" w:firstColumn="1" w:lastColumn="0" w:oddVBand="0" w:evenVBand="0" w:oddHBand="0" w:evenHBand="0" w:firstRowFirstColumn="0" w:firstRowLastColumn="0" w:lastRowFirstColumn="0" w:lastRowLastColumn="0"/>
            <w:tcW w:w="1701" w:type="dxa"/>
            <w:shd w:val="clear" w:color="auto" w:fill="E5B8B7" w:themeFill="accent2" w:themeFillTint="66"/>
          </w:tcPr>
          <w:p w14:paraId="08BC83C4" w14:textId="343C7864" w:rsidR="00BC604A" w:rsidRPr="00DC71C6" w:rsidRDefault="00313A29" w:rsidP="00635525">
            <w:pPr>
              <w:jc w:val="center"/>
              <w:rPr>
                <w:rFonts w:ascii="Metropolis" w:hAnsi="Metropolis"/>
                <w:b w:val="0"/>
                <w:bCs w:val="0"/>
                <w:color w:val="000000" w:themeColor="text1"/>
              </w:rPr>
            </w:pPr>
            <w:r w:rsidRPr="008331DD">
              <w:t>Epidemic Preparedness Act</w:t>
            </w:r>
            <w:r>
              <w:rPr>
                <w:rFonts w:ascii="Metropolis" w:hAnsi="Metropolis"/>
                <w:color w:val="000000" w:themeColor="text1"/>
              </w:rPr>
              <w:t xml:space="preserve"> 2006</w:t>
            </w:r>
          </w:p>
        </w:tc>
        <w:tc>
          <w:tcPr>
            <w:tcW w:w="2977" w:type="dxa"/>
            <w:shd w:val="clear" w:color="auto" w:fill="FFFFFF" w:themeFill="background1"/>
          </w:tcPr>
          <w:p w14:paraId="43179AC5" w14:textId="77777777" w:rsidR="00BC604A" w:rsidRPr="00522A7C" w:rsidRDefault="00BC604A" w:rsidP="00635525">
            <w:pPr>
              <w:cnfStyle w:val="000000000000" w:firstRow="0" w:lastRow="0" w:firstColumn="0" w:lastColumn="0" w:oddVBand="0" w:evenVBand="0" w:oddHBand="0" w:evenHBand="0" w:firstRowFirstColumn="0" w:firstRowLastColumn="0" w:lastRowFirstColumn="0" w:lastRowLastColumn="0"/>
              <w:rPr>
                <w:color w:val="000000" w:themeColor="text1"/>
              </w:rPr>
            </w:pPr>
            <w:r w:rsidRPr="00522A7C">
              <w:rPr>
                <w:color w:val="000000" w:themeColor="text1"/>
              </w:rPr>
              <w:t>Minister of Health and the Prime Minister</w:t>
            </w:r>
          </w:p>
        </w:tc>
        <w:tc>
          <w:tcPr>
            <w:tcW w:w="4389" w:type="dxa"/>
            <w:shd w:val="clear" w:color="auto" w:fill="FFFFFF" w:themeFill="background1"/>
          </w:tcPr>
          <w:p w14:paraId="7B99439E" w14:textId="0799B3E7" w:rsidR="00BC604A" w:rsidRPr="00522A7C" w:rsidRDefault="00BC604A" w:rsidP="00635525">
            <w:pPr>
              <w:cnfStyle w:val="000000000000" w:firstRow="0" w:lastRow="0" w:firstColumn="0" w:lastColumn="0" w:oddVBand="0" w:evenVBand="0" w:oddHBand="0" w:evenHBand="0" w:firstRowFirstColumn="0" w:firstRowLastColumn="0" w:lastRowFirstColumn="0" w:lastRowLastColumn="0"/>
              <w:rPr>
                <w:color w:val="000000" w:themeColor="text1"/>
              </w:rPr>
            </w:pPr>
            <w:r w:rsidRPr="00522A7C">
              <w:rPr>
                <w:color w:val="000000" w:themeColor="text1"/>
              </w:rPr>
              <w:t>P</w:t>
            </w:r>
            <w:r w:rsidR="006A23D7">
              <w:rPr>
                <w:color w:val="000000" w:themeColor="text1"/>
              </w:rPr>
              <w:t xml:space="preserve">rime </w:t>
            </w:r>
            <w:r w:rsidRPr="00522A7C">
              <w:rPr>
                <w:color w:val="000000" w:themeColor="text1"/>
              </w:rPr>
              <w:t>M</w:t>
            </w:r>
            <w:r w:rsidR="006A23D7">
              <w:rPr>
                <w:color w:val="000000" w:themeColor="text1"/>
              </w:rPr>
              <w:t>inister is</w:t>
            </w:r>
            <w:r w:rsidRPr="00522A7C">
              <w:rPr>
                <w:color w:val="000000" w:themeColor="text1"/>
              </w:rPr>
              <w:t xml:space="preserve"> satisfied the effect</w:t>
            </w:r>
            <w:r w:rsidR="006A23D7">
              <w:rPr>
                <w:color w:val="000000" w:themeColor="text1"/>
              </w:rPr>
              <w:t>s</w:t>
            </w:r>
            <w:r w:rsidRPr="00522A7C">
              <w:rPr>
                <w:color w:val="000000" w:themeColor="text1"/>
              </w:rPr>
              <w:t xml:space="preserve"> of </w:t>
            </w:r>
            <w:r w:rsidR="006A23D7">
              <w:rPr>
                <w:color w:val="000000" w:themeColor="text1"/>
              </w:rPr>
              <w:t xml:space="preserve">the </w:t>
            </w:r>
            <w:r w:rsidRPr="00522A7C">
              <w:rPr>
                <w:color w:val="000000" w:themeColor="text1"/>
              </w:rPr>
              <w:t>outbreak are likely to disrupt or continue to disrupt essential governmental and business activity</w:t>
            </w:r>
            <w:r w:rsidR="006A23D7">
              <w:rPr>
                <w:color w:val="000000" w:themeColor="text1"/>
              </w:rPr>
              <w:t>.</w:t>
            </w:r>
          </w:p>
        </w:tc>
      </w:tr>
    </w:tbl>
    <w:p w14:paraId="23958EB8" w14:textId="67EA4C45" w:rsidR="003817E1" w:rsidRDefault="003817E1" w:rsidP="00FB32D6">
      <w:pPr>
        <w:pStyle w:val="BodyTextnonum"/>
        <w:numPr>
          <w:ilvl w:val="0"/>
          <w:numId w:val="0"/>
        </w:numPr>
        <w:ind w:left="709"/>
      </w:pPr>
    </w:p>
    <w:p w14:paraId="65EEF4EC" w14:textId="77777777" w:rsidR="003817E1" w:rsidRDefault="003817E1" w:rsidP="003817E1">
      <w:pPr>
        <w:pStyle w:val="ListNumber"/>
        <w:numPr>
          <w:ilvl w:val="0"/>
          <w:numId w:val="0"/>
        </w:numPr>
        <w:ind w:left="1134" w:hanging="425"/>
      </w:pPr>
    </w:p>
    <w:p w14:paraId="1B36F593" w14:textId="77777777" w:rsidR="003817E1" w:rsidRDefault="003817E1" w:rsidP="003817E1">
      <w:pPr>
        <w:pStyle w:val="ListNumber"/>
        <w:numPr>
          <w:ilvl w:val="0"/>
          <w:numId w:val="0"/>
        </w:numPr>
        <w:ind w:left="1134" w:hanging="425"/>
      </w:pPr>
      <w:r>
        <w:rPr>
          <w:noProof/>
        </w:rPr>
        <mc:AlternateContent>
          <mc:Choice Requires="wpg">
            <w:drawing>
              <wp:anchor distT="0" distB="0" distL="114300" distR="114300" simplePos="0" relativeHeight="251658258" behindDoc="1" locked="0" layoutInCell="1" allowOverlap="1" wp14:anchorId="4BD0B780" wp14:editId="211C8B35">
                <wp:simplePos x="0" y="0"/>
                <wp:positionH relativeFrom="page">
                  <wp:posOffset>1080135</wp:posOffset>
                </wp:positionH>
                <wp:positionV relativeFrom="paragraph">
                  <wp:posOffset>212090</wp:posOffset>
                </wp:positionV>
                <wp:extent cx="1440000" cy="1270"/>
                <wp:effectExtent l="0" t="19050" r="27305" b="17780"/>
                <wp:wrapNone/>
                <wp:docPr id="3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000" cy="1270"/>
                          <a:chOff x="1134" y="-190"/>
                          <a:chExt cx="2098" cy="2"/>
                        </a:xfrm>
                      </wpg:grpSpPr>
                      <wps:wsp>
                        <wps:cNvPr id="39" name="Freeform 93"/>
                        <wps:cNvSpPr>
                          <a:spLocks/>
                        </wps:cNvSpPr>
                        <wps:spPr bwMode="auto">
                          <a:xfrm>
                            <a:off x="1134" y="-19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6862BC" id="Group 92" o:spid="_x0000_s1026" style="position:absolute;margin-left:85.05pt;margin-top:16.7pt;width:113.4pt;height:.1pt;z-index:-251658222;mso-position-horizontal-relative:page" coordorigin="1134,-19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">
                <v:shape id="Freeform 93" o:spid="_x0000_s1027" style="position:absolute;left:1134;top:-19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" path="m,l2097,e" filled="f" strokecolor="#c96d61" strokeweight="3pt">
                  <v:path arrowok="t" o:connecttype="custom" o:connectlocs="0,0;2097,0" o:connectangles="0,0"/>
                </v:shape>
                <w10:wrap anchorx="page"/>
              </v:group>
            </w:pict>
          </mc:Fallback>
        </mc:AlternateContent>
      </w:r>
    </w:p>
    <w:p w14:paraId="2677DB33" w14:textId="77777777" w:rsidR="003817E1" w:rsidRDefault="003817E1" w:rsidP="003817E1">
      <w:pPr>
        <w:pStyle w:val="ListNumber"/>
        <w:numPr>
          <w:ilvl w:val="0"/>
          <w:numId w:val="0"/>
        </w:numPr>
        <w:ind w:left="1134" w:hanging="425"/>
      </w:pPr>
    </w:p>
    <w:p w14:paraId="5F21025A" w14:textId="77777777" w:rsidR="003817E1" w:rsidRDefault="003817E1" w:rsidP="003817E1">
      <w:pPr>
        <w:pStyle w:val="ListNumber"/>
        <w:numPr>
          <w:ilvl w:val="0"/>
          <w:numId w:val="0"/>
        </w:numPr>
        <w:ind w:left="1134" w:hanging="425"/>
        <w:sectPr w:rsidR="003817E1" w:rsidSect="00D50ACF">
          <w:headerReference w:type="default" r:id="rId49"/>
          <w:footnotePr>
            <w:numRestart w:val="eachSect"/>
          </w:footnotePr>
          <w:pgSz w:w="11920" w:h="16840"/>
          <w:pgMar w:top="1134" w:right="1134" w:bottom="1134" w:left="1701" w:header="499" w:footer="46" w:gutter="0"/>
          <w:cols w:space="720"/>
          <w:docGrid w:linePitch="272"/>
        </w:sectPr>
      </w:pPr>
    </w:p>
    <w:p w14:paraId="106413D6" w14:textId="77777777" w:rsidR="003817E1" w:rsidRDefault="003817E1" w:rsidP="003817E1">
      <w:pPr>
        <w:spacing w:before="55" w:after="0" w:line="240" w:lineRule="auto"/>
        <w:ind w:left="114" w:right="-20" w:hanging="114"/>
        <w:rPr>
          <w:rFonts w:ascii="Metropolis" w:eastAsia="Metropolis" w:hAnsi="Metropolis" w:cs="Metropolis"/>
          <w:sz w:val="21"/>
          <w:szCs w:val="21"/>
        </w:rPr>
      </w:pPr>
    </w:p>
    <w:p w14:paraId="73155F32" w14:textId="75E354BB" w:rsidR="003817E1" w:rsidRDefault="00246EEE">
      <w:pPr>
        <w:pStyle w:val="Heading1"/>
      </w:pPr>
      <w:bookmarkStart w:id="217" w:name="_Toc117063132"/>
      <w:bookmarkStart w:id="218" w:name="_Toc118119324"/>
      <w:r w:rsidRPr="00246EEE">
        <w:t xml:space="preserve">Appendix </w:t>
      </w:r>
      <w:r>
        <w:t>Two</w:t>
      </w:r>
      <w:bookmarkEnd w:id="217"/>
      <w:bookmarkEnd w:id="218"/>
    </w:p>
    <w:p w14:paraId="15F1F1C9" w14:textId="77777777" w:rsidR="003817E1" w:rsidRDefault="003817E1" w:rsidP="003817E1">
      <w:pPr>
        <w:spacing w:after="0" w:line="200" w:lineRule="exact"/>
        <w:rPr>
          <w:szCs w:val="20"/>
        </w:rPr>
      </w:pPr>
    </w:p>
    <w:p w14:paraId="7DD55FCB" w14:textId="77777777" w:rsidR="003817E1" w:rsidRDefault="003817E1" w:rsidP="003817E1">
      <w:pPr>
        <w:spacing w:after="0" w:line="200" w:lineRule="exact"/>
        <w:rPr>
          <w:szCs w:val="20"/>
        </w:rPr>
      </w:pPr>
    </w:p>
    <w:p w14:paraId="7DC8DC4A" w14:textId="77777777" w:rsidR="003817E1" w:rsidRDefault="003817E1" w:rsidP="003817E1">
      <w:pPr>
        <w:spacing w:after="0" w:line="200" w:lineRule="exact"/>
        <w:rPr>
          <w:szCs w:val="20"/>
        </w:rPr>
      </w:pPr>
      <w:r>
        <w:rPr>
          <w:noProof/>
        </w:rPr>
        <mc:AlternateContent>
          <mc:Choice Requires="wpg">
            <w:drawing>
              <wp:anchor distT="0" distB="0" distL="114300" distR="114300" simplePos="0" relativeHeight="251658259" behindDoc="1" locked="0" layoutInCell="1" allowOverlap="1" wp14:anchorId="5F1544B2" wp14:editId="4DF955B4">
                <wp:simplePos x="0" y="0"/>
                <wp:positionH relativeFrom="page">
                  <wp:posOffset>1096140</wp:posOffset>
                </wp:positionH>
                <wp:positionV relativeFrom="paragraph">
                  <wp:posOffset>38100</wp:posOffset>
                </wp:positionV>
                <wp:extent cx="1332230" cy="1270"/>
                <wp:effectExtent l="0" t="19050" r="20320" b="17780"/>
                <wp:wrapNone/>
                <wp:docPr id="4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260"/>
                          <a:chExt cx="2098" cy="2"/>
                        </a:xfrm>
                      </wpg:grpSpPr>
                      <wps:wsp>
                        <wps:cNvPr id="41" name="Freeform 7"/>
                        <wps:cNvSpPr>
                          <a:spLocks/>
                        </wps:cNvSpPr>
                        <wps:spPr bwMode="auto">
                          <a:xfrm>
                            <a:off x="1134" y="-26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8DB11" id="Group 6" o:spid="_x0000_s1026" style="position:absolute;margin-left:86.3pt;margin-top:3pt;width:104.9pt;height:.1pt;z-index:-251658221;mso-position-horizontal-relative:page" coordorigin="1134,-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">
                <v:shape id="Freeform 7" o:spid="_x0000_s1027" style="position:absolute;left:1134;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" path="m,l2097,e" filled="f" strokecolor="#c96d61" strokeweight="3pt">
                  <v:path arrowok="t" o:connecttype="custom" o:connectlocs="0,0;2097,0" o:connectangles="0,0"/>
                </v:shape>
                <w10:wrap anchorx="page"/>
              </v:group>
            </w:pict>
          </mc:Fallback>
        </mc:AlternateContent>
      </w:r>
    </w:p>
    <w:p w14:paraId="1DB7F24E" w14:textId="77777777" w:rsidR="003817E1" w:rsidRDefault="003817E1" w:rsidP="003817E1">
      <w:pPr>
        <w:spacing w:after="0" w:line="240" w:lineRule="auto"/>
        <w:ind w:left="114" w:right="-20" w:hanging="114"/>
        <w:rPr>
          <w:rFonts w:ascii="Metropolis" w:eastAsia="Metropolis" w:hAnsi="Metropolis" w:cs="Metropolis"/>
          <w:sz w:val="21"/>
          <w:szCs w:val="21"/>
        </w:rPr>
      </w:pPr>
    </w:p>
    <w:p w14:paraId="34D751B5" w14:textId="77777777" w:rsidR="003817E1" w:rsidRDefault="003817E1" w:rsidP="003817E1">
      <w:pPr>
        <w:spacing w:before="3" w:after="0" w:line="120" w:lineRule="exact"/>
        <w:rPr>
          <w:sz w:val="12"/>
          <w:szCs w:val="12"/>
        </w:rPr>
      </w:pPr>
    </w:p>
    <w:p w14:paraId="5FF8435B" w14:textId="024C28D0" w:rsidR="00C274A0" w:rsidRPr="00C274A0" w:rsidRDefault="00C274A0" w:rsidP="00C274A0">
      <w:pPr>
        <w:pStyle w:val="BodyText1"/>
      </w:pPr>
      <w:r w:rsidRPr="00C274A0">
        <w:t>The first swathe of orders</w:t>
      </w:r>
      <w:r w:rsidR="00671D3D">
        <w:t xml:space="preserve"> made under the Health Act 1956</w:t>
      </w:r>
      <w:r w:rsidRPr="00C274A0">
        <w:t>, summarised below, all relate to the initial response to C</w:t>
      </w:r>
      <w:r w:rsidR="00AB2337">
        <w:t>OVID</w:t>
      </w:r>
      <w:r w:rsidRPr="00C274A0">
        <w:t>-19 before the enactment of the COVID-19 Public Health Response Act 2020.</w:t>
      </w:r>
    </w:p>
    <w:p w14:paraId="05A4ED2F" w14:textId="30BCBB8E" w:rsidR="00C274A0" w:rsidRPr="00522A7C" w:rsidRDefault="00C274A0" w:rsidP="00C274A0">
      <w:pPr>
        <w:pStyle w:val="BodyText1"/>
      </w:pPr>
      <w:r w:rsidRPr="00522A7C">
        <w:t xml:space="preserve">By way of context, </w:t>
      </w:r>
      <w:r w:rsidR="00AF692D">
        <w:t>Aotearoa</w:t>
      </w:r>
      <w:r w:rsidR="00AF692D" w:rsidRPr="00522A7C">
        <w:t xml:space="preserve"> </w:t>
      </w:r>
      <w:r w:rsidRPr="00522A7C">
        <w:t>New Zealand moved to Alert Level 3 on 23 March</w:t>
      </w:r>
      <w:r w:rsidR="00671D3D">
        <w:t xml:space="preserve"> 2020,</w:t>
      </w:r>
      <w:r w:rsidRPr="00522A7C">
        <w:t xml:space="preserve"> to Alert Level 4 on 25 March</w:t>
      </w:r>
      <w:r w:rsidR="00671D3D">
        <w:t>,</w:t>
      </w:r>
      <w:r w:rsidRPr="00522A7C">
        <w:t xml:space="preserve"> to </w:t>
      </w:r>
      <w:r w:rsidR="00671D3D">
        <w:t xml:space="preserve">Alert </w:t>
      </w:r>
      <w:r w:rsidRPr="00522A7C">
        <w:t xml:space="preserve">Level 3 on 27 April and to </w:t>
      </w:r>
      <w:r w:rsidR="00671D3D">
        <w:t xml:space="preserve">Alert </w:t>
      </w:r>
      <w:r w:rsidRPr="00522A7C">
        <w:t>Level 2 on 13 May. That is the point at which the C</w:t>
      </w:r>
      <w:r w:rsidR="00AB2337">
        <w:t>OVID</w:t>
      </w:r>
      <w:r w:rsidRPr="00522A7C">
        <w:t xml:space="preserve">-19 </w:t>
      </w:r>
      <w:r w:rsidR="00F03B47" w:rsidRPr="00E62952">
        <w:t xml:space="preserve">Public Health Response </w:t>
      </w:r>
      <w:r w:rsidRPr="00522A7C">
        <w:t xml:space="preserve">Act replaced the Health Act as the governing legislation for issuing orders of a general character. </w:t>
      </w:r>
    </w:p>
    <w:p w14:paraId="1AEF35C8" w14:textId="4701C920" w:rsidR="003817E1" w:rsidRPr="004605BB" w:rsidRDefault="003817E1" w:rsidP="00FB32D6">
      <w:pPr>
        <w:pStyle w:val="BodyTextnonum"/>
        <w:numPr>
          <w:ilvl w:val="0"/>
          <w:numId w:val="0"/>
        </w:numPr>
        <w:ind w:left="709"/>
        <w:rPr>
          <w:rFonts w:eastAsia="Metropolis Light"/>
        </w:rPr>
      </w:pPr>
    </w:p>
    <w:tbl>
      <w:tblPr>
        <w:tblStyle w:val="GridTable4-Accent2"/>
        <w:tblW w:w="9072" w:type="dxa"/>
        <w:tblLook w:val="04A0" w:firstRow="1" w:lastRow="0" w:firstColumn="1" w:lastColumn="0" w:noHBand="0" w:noVBand="1"/>
      </w:tblPr>
      <w:tblGrid>
        <w:gridCol w:w="2552"/>
        <w:gridCol w:w="6520"/>
      </w:tblGrid>
      <w:tr w:rsidR="00E23DA8" w:rsidRPr="00E23DA8" w14:paraId="483BF6D7" w14:textId="77777777" w:rsidTr="0056174F">
        <w:trPr>
          <w:cnfStyle w:val="100000000000" w:firstRow="1" w:lastRow="0" w:firstColumn="0" w:lastColumn="0" w:oddVBand="0" w:evenVBand="0" w:oddHBand="0" w:evenHBand="0" w:firstRowFirstColumn="0" w:firstRowLastColumn="0" w:lastRowFirstColumn="0" w:lastRowLastColumn="0"/>
          <w:trHeight w:val="547"/>
          <w:tblHeader/>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1C3D791C" w14:textId="243CF314" w:rsidR="00E23DA8" w:rsidRPr="00145A20" w:rsidRDefault="00E23DA8" w:rsidP="00145A20">
            <w:pPr>
              <w:jc w:val="center"/>
              <w:rPr>
                <w:rFonts w:ascii="Metropolis" w:hAnsi="Metropolis"/>
              </w:rPr>
            </w:pPr>
            <w:r w:rsidRPr="00145A20">
              <w:rPr>
                <w:rFonts w:ascii="Metropolis" w:hAnsi="Metropolis"/>
              </w:rPr>
              <w:t xml:space="preserve">Date </w:t>
            </w:r>
            <w:r w:rsidR="00671D3D">
              <w:rPr>
                <w:rFonts w:ascii="Metropolis" w:hAnsi="Metropolis"/>
              </w:rPr>
              <w:t>and</w:t>
            </w:r>
            <w:r w:rsidRPr="00145A20">
              <w:rPr>
                <w:rFonts w:ascii="Metropolis" w:hAnsi="Metropolis"/>
              </w:rPr>
              <w:t xml:space="preserve"> </w:t>
            </w:r>
            <w:r w:rsidR="00671D3D">
              <w:rPr>
                <w:rFonts w:ascii="Metropolis" w:hAnsi="Metropolis"/>
              </w:rPr>
              <w:t>p</w:t>
            </w:r>
            <w:r w:rsidRPr="00145A20">
              <w:rPr>
                <w:rFonts w:ascii="Metropolis" w:hAnsi="Metropolis"/>
              </w:rPr>
              <w:t>erson</w:t>
            </w:r>
          </w:p>
        </w:tc>
        <w:tc>
          <w:tcPr>
            <w:tcW w:w="6520" w:type="dxa"/>
            <w:tcBorders>
              <w:top w:val="none" w:sz="0" w:space="0" w:color="auto"/>
              <w:left w:val="none" w:sz="0" w:space="0" w:color="auto"/>
              <w:bottom w:val="none" w:sz="0" w:space="0" w:color="auto"/>
              <w:right w:val="none" w:sz="0" w:space="0" w:color="auto"/>
            </w:tcBorders>
          </w:tcPr>
          <w:p w14:paraId="7D5BDD0B" w14:textId="77777777" w:rsidR="00E23DA8" w:rsidRPr="00145A20" w:rsidRDefault="00E23DA8" w:rsidP="00145A20">
            <w:pPr>
              <w:spacing w:before="160" w:line="276" w:lineRule="auto"/>
              <w:jc w:val="center"/>
              <w:cnfStyle w:val="100000000000" w:firstRow="1" w:lastRow="0" w:firstColumn="0" w:lastColumn="0" w:oddVBand="0" w:evenVBand="0" w:oddHBand="0" w:evenHBand="0" w:firstRowFirstColumn="0" w:firstRowLastColumn="0" w:lastRowFirstColumn="0" w:lastRowLastColumn="0"/>
              <w:rPr>
                <w:rFonts w:ascii="Metropolis" w:hAnsi="Metropolis"/>
              </w:rPr>
            </w:pPr>
            <w:r w:rsidRPr="00145A20">
              <w:rPr>
                <w:rFonts w:ascii="Metropolis" w:hAnsi="Metropolis"/>
              </w:rPr>
              <w:t xml:space="preserve">Effect </w:t>
            </w:r>
          </w:p>
        </w:tc>
      </w:tr>
      <w:tr w:rsidR="00E23DA8" w:rsidRPr="00E23DA8" w14:paraId="73C9C704" w14:textId="77777777" w:rsidTr="00145A2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3F797C15" w14:textId="5145FCF6" w:rsidR="00E23DA8" w:rsidRPr="00E23DA8" w:rsidRDefault="00E23DA8" w:rsidP="00145A20">
            <w:pPr>
              <w:jc w:val="center"/>
              <w:rPr>
                <w:szCs w:val="20"/>
              </w:rPr>
            </w:pPr>
            <w:r w:rsidRPr="00E23DA8">
              <w:rPr>
                <w:szCs w:val="20"/>
              </w:rPr>
              <w:t xml:space="preserve">Issued 16 March </w:t>
            </w:r>
          </w:p>
          <w:p w14:paraId="5BF01E2B" w14:textId="05065A23" w:rsidR="00E23DA8" w:rsidRPr="00E23DA8" w:rsidRDefault="00E23DA8" w:rsidP="00145A20">
            <w:pPr>
              <w:jc w:val="center"/>
              <w:rPr>
                <w:szCs w:val="20"/>
              </w:rPr>
            </w:pPr>
            <w:r w:rsidRPr="00E23DA8">
              <w:rPr>
                <w:szCs w:val="20"/>
              </w:rPr>
              <w:t xml:space="preserve">By Minister </w:t>
            </w:r>
          </w:p>
          <w:p w14:paraId="278B5B0C" w14:textId="25B4D1AF" w:rsidR="00E23DA8" w:rsidRPr="00E23DA8" w:rsidRDefault="00E23DA8" w:rsidP="00145A20">
            <w:pPr>
              <w:jc w:val="center"/>
              <w:rPr>
                <w:szCs w:val="20"/>
              </w:rPr>
            </w:pPr>
            <w:r w:rsidRPr="00E23DA8">
              <w:rPr>
                <w:szCs w:val="20"/>
              </w:rPr>
              <w:t xml:space="preserve">Applies </w:t>
            </w:r>
            <w:r w:rsidR="00671D3D">
              <w:rPr>
                <w:szCs w:val="20"/>
              </w:rPr>
              <w:t>f</w:t>
            </w:r>
            <w:r w:rsidRPr="00E23DA8">
              <w:rPr>
                <w:szCs w:val="20"/>
              </w:rPr>
              <w:t>or 14 days</w:t>
            </w:r>
            <w:r w:rsidRPr="00E23DA8">
              <w:rPr>
                <w:rStyle w:val="FootnoteReference"/>
                <w:szCs w:val="20"/>
              </w:rPr>
              <w:footnoteReference w:id="140"/>
            </w:r>
          </w:p>
        </w:tc>
        <w:tc>
          <w:tcPr>
            <w:tcW w:w="6520" w:type="dxa"/>
            <w:shd w:val="clear" w:color="auto" w:fill="auto"/>
          </w:tcPr>
          <w:p w14:paraId="2830A6E4" w14:textId="026DBE3A" w:rsidR="00E23DA8" w:rsidRPr="00E23DA8" w:rsidRDefault="00E23DA8" w:rsidP="00556B28">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sz w:val="20"/>
                <w:szCs w:val="20"/>
              </w:rPr>
            </w:pPr>
            <w:r w:rsidRPr="00E23DA8">
              <w:rPr>
                <w:sz w:val="20"/>
                <w:szCs w:val="20"/>
              </w:rPr>
              <w:t>S</w:t>
            </w:r>
            <w:r w:rsidR="00D030FA">
              <w:rPr>
                <w:sz w:val="20"/>
                <w:szCs w:val="20"/>
              </w:rPr>
              <w:t xml:space="preserve">ection </w:t>
            </w:r>
            <w:r w:rsidRPr="00E23DA8">
              <w:rPr>
                <w:sz w:val="20"/>
                <w:szCs w:val="20"/>
              </w:rPr>
              <w:t xml:space="preserve">70(1)(f) </w:t>
            </w:r>
            <w:r w:rsidR="000E0D24">
              <w:rPr>
                <w:sz w:val="20"/>
                <w:szCs w:val="20"/>
              </w:rPr>
              <w:t>–</w:t>
            </w:r>
            <w:r w:rsidRPr="00E23DA8">
              <w:rPr>
                <w:sz w:val="20"/>
                <w:szCs w:val="20"/>
              </w:rPr>
              <w:t xml:space="preserve"> </w:t>
            </w:r>
            <w:r w:rsidR="005301F8">
              <w:rPr>
                <w:sz w:val="20"/>
                <w:szCs w:val="20"/>
              </w:rPr>
              <w:t>a</w:t>
            </w:r>
            <w:r w:rsidRPr="00E23DA8">
              <w:rPr>
                <w:sz w:val="20"/>
                <w:szCs w:val="20"/>
              </w:rPr>
              <w:t>ll persons arriving in N</w:t>
            </w:r>
            <w:r w:rsidR="005301F8">
              <w:rPr>
                <w:sz w:val="20"/>
                <w:szCs w:val="20"/>
              </w:rPr>
              <w:t xml:space="preserve">ew </w:t>
            </w:r>
            <w:r w:rsidRPr="00E23DA8">
              <w:rPr>
                <w:sz w:val="20"/>
                <w:szCs w:val="20"/>
              </w:rPr>
              <w:t>Z</w:t>
            </w:r>
            <w:r w:rsidR="005301F8">
              <w:rPr>
                <w:sz w:val="20"/>
                <w:szCs w:val="20"/>
              </w:rPr>
              <w:t>ealand</w:t>
            </w:r>
            <w:r w:rsidRPr="00E23DA8">
              <w:rPr>
                <w:sz w:val="20"/>
                <w:szCs w:val="20"/>
              </w:rPr>
              <w:t xml:space="preserve"> (except from </w:t>
            </w:r>
            <w:r w:rsidR="005301F8">
              <w:rPr>
                <w:sz w:val="20"/>
                <w:szCs w:val="20"/>
              </w:rPr>
              <w:t>C</w:t>
            </w:r>
            <w:r w:rsidRPr="00E23DA8">
              <w:rPr>
                <w:sz w:val="20"/>
                <w:szCs w:val="20"/>
              </w:rPr>
              <w:t xml:space="preserve">ategory 2 countries) after 1am Monday 16 March are </w:t>
            </w:r>
            <w:r w:rsidR="005301F8">
              <w:rPr>
                <w:sz w:val="20"/>
                <w:szCs w:val="20"/>
              </w:rPr>
              <w:t>expected</w:t>
            </w:r>
            <w:r w:rsidR="005301F8" w:rsidRPr="00E23DA8">
              <w:rPr>
                <w:sz w:val="20"/>
                <w:szCs w:val="20"/>
              </w:rPr>
              <w:t xml:space="preserve"> </w:t>
            </w:r>
            <w:r w:rsidRPr="00E23DA8">
              <w:rPr>
                <w:sz w:val="20"/>
                <w:szCs w:val="20"/>
              </w:rPr>
              <w:t>to be quarantined for 14 days</w:t>
            </w:r>
            <w:r w:rsidR="005301F8">
              <w:rPr>
                <w:sz w:val="20"/>
                <w:szCs w:val="20"/>
              </w:rPr>
              <w:t>.</w:t>
            </w:r>
          </w:p>
          <w:p w14:paraId="6D7F2FE6" w14:textId="47276EE4" w:rsidR="00E23DA8" w:rsidRPr="00E23DA8" w:rsidRDefault="00E23DA8" w:rsidP="00556B28">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sz w:val="20"/>
                <w:szCs w:val="20"/>
              </w:rPr>
            </w:pPr>
            <w:r w:rsidRPr="00E23DA8">
              <w:rPr>
                <w:sz w:val="20"/>
                <w:szCs w:val="20"/>
              </w:rPr>
              <w:t>S</w:t>
            </w:r>
            <w:r w:rsidR="00D030FA">
              <w:rPr>
                <w:sz w:val="20"/>
                <w:szCs w:val="20"/>
              </w:rPr>
              <w:t xml:space="preserve">ection </w:t>
            </w:r>
            <w:r w:rsidRPr="00E23DA8">
              <w:rPr>
                <w:sz w:val="20"/>
                <w:szCs w:val="20"/>
              </w:rPr>
              <w:t xml:space="preserve">70(1)(h) </w:t>
            </w:r>
            <w:r w:rsidR="000E0D24">
              <w:rPr>
                <w:sz w:val="20"/>
                <w:szCs w:val="20"/>
              </w:rPr>
              <w:t>–</w:t>
            </w:r>
            <w:r w:rsidRPr="00E23DA8">
              <w:rPr>
                <w:sz w:val="20"/>
                <w:szCs w:val="20"/>
              </w:rPr>
              <w:t xml:space="preserve"> such people to be medically examined and undergo such preventative treatment as may be required. </w:t>
            </w:r>
          </w:p>
          <w:p w14:paraId="435D77CD" w14:textId="4ED60708" w:rsidR="00E23DA8" w:rsidRPr="00E23DA8" w:rsidRDefault="00E23DA8" w:rsidP="00556B28">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sz w:val="20"/>
                <w:szCs w:val="20"/>
              </w:rPr>
            </w:pPr>
            <w:r w:rsidRPr="00E23DA8">
              <w:rPr>
                <w:sz w:val="20"/>
                <w:szCs w:val="20"/>
              </w:rPr>
              <w:t>S</w:t>
            </w:r>
            <w:r w:rsidR="00D030FA">
              <w:rPr>
                <w:sz w:val="20"/>
                <w:szCs w:val="20"/>
              </w:rPr>
              <w:t xml:space="preserve">ection </w:t>
            </w:r>
            <w:r w:rsidRPr="00E23DA8">
              <w:rPr>
                <w:sz w:val="20"/>
                <w:szCs w:val="20"/>
              </w:rPr>
              <w:t xml:space="preserve">71A </w:t>
            </w:r>
            <w:r w:rsidR="000E0D24">
              <w:rPr>
                <w:sz w:val="20"/>
                <w:szCs w:val="20"/>
              </w:rPr>
              <w:t>–</w:t>
            </w:r>
            <w:r w:rsidRPr="00E23DA8">
              <w:rPr>
                <w:sz w:val="20"/>
                <w:szCs w:val="20"/>
              </w:rPr>
              <w:t xml:space="preserve"> constables to do anything </w:t>
            </w:r>
            <w:proofErr w:type="gramStart"/>
            <w:r w:rsidRPr="00E23DA8">
              <w:rPr>
                <w:sz w:val="20"/>
                <w:szCs w:val="20"/>
              </w:rPr>
              <w:t>reasonable</w:t>
            </w:r>
            <w:proofErr w:type="gramEnd"/>
            <w:r w:rsidRPr="00E23DA8">
              <w:rPr>
                <w:sz w:val="20"/>
                <w:szCs w:val="20"/>
              </w:rPr>
              <w:t xml:space="preserve"> necessary to assist in ensuring compliance with this instruction. </w:t>
            </w:r>
          </w:p>
        </w:tc>
      </w:tr>
      <w:tr w:rsidR="00E23DA8" w:rsidRPr="00E23DA8" w14:paraId="79FF56A6" w14:textId="77777777" w:rsidTr="00145A20">
        <w:trPr>
          <w:trHeight w:val="405"/>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1EE4D29A" w14:textId="03D8A576" w:rsidR="00E23DA8" w:rsidRPr="00E23DA8" w:rsidRDefault="00E23DA8" w:rsidP="00145A20">
            <w:pPr>
              <w:jc w:val="center"/>
              <w:rPr>
                <w:szCs w:val="20"/>
              </w:rPr>
            </w:pPr>
            <w:r w:rsidRPr="00E23DA8">
              <w:rPr>
                <w:szCs w:val="20"/>
              </w:rPr>
              <w:t>Issued 24 March</w:t>
            </w:r>
          </w:p>
          <w:p w14:paraId="25702CE0" w14:textId="29505465" w:rsidR="00E23DA8" w:rsidRPr="00E23DA8" w:rsidRDefault="00E23DA8" w:rsidP="00145A20">
            <w:pPr>
              <w:jc w:val="center"/>
              <w:rPr>
                <w:szCs w:val="20"/>
              </w:rPr>
            </w:pPr>
            <w:r w:rsidRPr="00E23DA8">
              <w:rPr>
                <w:szCs w:val="20"/>
              </w:rPr>
              <w:t>By D</w:t>
            </w:r>
            <w:r w:rsidR="00671D3D">
              <w:rPr>
                <w:szCs w:val="20"/>
              </w:rPr>
              <w:t>irector-</w:t>
            </w:r>
            <w:r w:rsidRPr="00E23DA8">
              <w:rPr>
                <w:szCs w:val="20"/>
              </w:rPr>
              <w:t>G</w:t>
            </w:r>
            <w:r w:rsidR="00671D3D">
              <w:rPr>
                <w:szCs w:val="20"/>
              </w:rPr>
              <w:t>eneral of Health</w:t>
            </w:r>
          </w:p>
          <w:p w14:paraId="63607454" w14:textId="658FFF28" w:rsidR="00E23DA8" w:rsidRPr="00E23DA8" w:rsidRDefault="00E23DA8" w:rsidP="00145A20">
            <w:pPr>
              <w:jc w:val="center"/>
              <w:rPr>
                <w:szCs w:val="20"/>
              </w:rPr>
            </w:pPr>
            <w:r w:rsidRPr="00E23DA8">
              <w:rPr>
                <w:szCs w:val="20"/>
              </w:rPr>
              <w:t xml:space="preserve">Applies </w:t>
            </w:r>
            <w:r w:rsidR="00671D3D">
              <w:rPr>
                <w:szCs w:val="20"/>
              </w:rPr>
              <w:t>f</w:t>
            </w:r>
            <w:r w:rsidRPr="00E23DA8">
              <w:rPr>
                <w:szCs w:val="20"/>
              </w:rPr>
              <w:t xml:space="preserve">rom end of 25 March </w:t>
            </w:r>
            <w:r w:rsidR="00671D3D">
              <w:rPr>
                <w:szCs w:val="20"/>
              </w:rPr>
              <w:t>until</w:t>
            </w:r>
            <w:r w:rsidRPr="00E23DA8">
              <w:rPr>
                <w:szCs w:val="20"/>
              </w:rPr>
              <w:t xml:space="preserve"> further notice</w:t>
            </w:r>
          </w:p>
        </w:tc>
        <w:tc>
          <w:tcPr>
            <w:tcW w:w="6520" w:type="dxa"/>
            <w:shd w:val="clear" w:color="auto" w:fill="auto"/>
          </w:tcPr>
          <w:p w14:paraId="07817D3F" w14:textId="0D557D2C" w:rsidR="00E23DA8" w:rsidRPr="00E23DA8" w:rsidRDefault="00E23DA8" w:rsidP="00556B28">
            <w:pPr>
              <w:pStyle w:val="ListParagraph"/>
              <w:numPr>
                <w:ilvl w:val="0"/>
                <w:numId w:val="21"/>
              </w:numPr>
              <w:jc w:val="both"/>
              <w:cnfStyle w:val="000000000000" w:firstRow="0" w:lastRow="0" w:firstColumn="0" w:lastColumn="0" w:oddVBand="0" w:evenVBand="0" w:oddHBand="0" w:evenHBand="0" w:firstRowFirstColumn="0" w:firstRowLastColumn="0" w:lastRowFirstColumn="0" w:lastRowLastColumn="0"/>
              <w:rPr>
                <w:sz w:val="20"/>
                <w:szCs w:val="20"/>
              </w:rPr>
            </w:pPr>
            <w:r w:rsidRPr="00E23DA8">
              <w:rPr>
                <w:sz w:val="20"/>
                <w:szCs w:val="20"/>
              </w:rPr>
              <w:t>S</w:t>
            </w:r>
            <w:r w:rsidR="00D030FA">
              <w:rPr>
                <w:sz w:val="20"/>
                <w:szCs w:val="20"/>
              </w:rPr>
              <w:t xml:space="preserve">ection </w:t>
            </w:r>
            <w:r w:rsidRPr="00E23DA8">
              <w:rPr>
                <w:sz w:val="20"/>
                <w:szCs w:val="20"/>
              </w:rPr>
              <w:t xml:space="preserve">70(1)(m) </w:t>
            </w:r>
            <w:r w:rsidR="000E0D24">
              <w:rPr>
                <w:sz w:val="20"/>
                <w:szCs w:val="20"/>
              </w:rPr>
              <w:t>–</w:t>
            </w:r>
            <w:r w:rsidRPr="00E23DA8">
              <w:rPr>
                <w:sz w:val="20"/>
                <w:szCs w:val="20"/>
              </w:rPr>
              <w:t xml:space="preserve"> all premises with</w:t>
            </w:r>
            <w:r w:rsidR="00AF692D">
              <w:rPr>
                <w:sz w:val="20"/>
                <w:szCs w:val="20"/>
              </w:rPr>
              <w:t>in</w:t>
            </w:r>
            <w:r w:rsidRPr="00E23DA8">
              <w:rPr>
                <w:sz w:val="20"/>
                <w:szCs w:val="20"/>
              </w:rPr>
              <w:t xml:space="preserve"> New Zealand to be closed and people forbidden to congregate in outdoor places (whether public or private)</w:t>
            </w:r>
            <w:r w:rsidR="005301F8">
              <w:rPr>
                <w:sz w:val="20"/>
                <w:szCs w:val="20"/>
              </w:rPr>
              <w:t>.</w:t>
            </w:r>
          </w:p>
          <w:p w14:paraId="0DAE7D08" w14:textId="23AFA64D" w:rsidR="00E23DA8" w:rsidRPr="00E23DA8" w:rsidRDefault="00E23DA8" w:rsidP="00556B28">
            <w:pPr>
              <w:pStyle w:val="ListParagraph"/>
              <w:numPr>
                <w:ilvl w:val="0"/>
                <w:numId w:val="21"/>
              </w:numPr>
              <w:jc w:val="both"/>
              <w:cnfStyle w:val="000000000000" w:firstRow="0" w:lastRow="0" w:firstColumn="0" w:lastColumn="0" w:oddVBand="0" w:evenVBand="0" w:oddHBand="0" w:evenHBand="0" w:firstRowFirstColumn="0" w:firstRowLastColumn="0" w:lastRowFirstColumn="0" w:lastRowLastColumn="0"/>
              <w:rPr>
                <w:sz w:val="20"/>
                <w:szCs w:val="20"/>
              </w:rPr>
            </w:pPr>
            <w:r w:rsidRPr="00E23DA8">
              <w:rPr>
                <w:sz w:val="20"/>
                <w:szCs w:val="20"/>
              </w:rPr>
              <w:t>S</w:t>
            </w:r>
            <w:r w:rsidR="00D030FA">
              <w:rPr>
                <w:sz w:val="20"/>
                <w:szCs w:val="20"/>
              </w:rPr>
              <w:t xml:space="preserve">ection </w:t>
            </w:r>
            <w:r w:rsidRPr="00E23DA8">
              <w:rPr>
                <w:sz w:val="20"/>
                <w:szCs w:val="20"/>
              </w:rPr>
              <w:t xml:space="preserve">71A </w:t>
            </w:r>
            <w:r w:rsidR="000E0D24">
              <w:rPr>
                <w:sz w:val="20"/>
                <w:szCs w:val="20"/>
              </w:rPr>
              <w:t>–</w:t>
            </w:r>
            <w:r w:rsidRPr="00E23DA8">
              <w:rPr>
                <w:sz w:val="20"/>
                <w:szCs w:val="20"/>
              </w:rPr>
              <w:t xml:space="preserve"> constables to assist. </w:t>
            </w:r>
          </w:p>
        </w:tc>
      </w:tr>
      <w:tr w:rsidR="00E23DA8" w:rsidRPr="00E23DA8" w14:paraId="039945F0" w14:textId="77777777" w:rsidTr="00145A2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53AC07BA" w14:textId="248B9CFC" w:rsidR="00E23DA8" w:rsidRDefault="00E23DA8" w:rsidP="00145A20">
            <w:pPr>
              <w:jc w:val="center"/>
              <w:rPr>
                <w:b w:val="0"/>
                <w:bCs w:val="0"/>
                <w:szCs w:val="20"/>
              </w:rPr>
            </w:pPr>
            <w:r w:rsidRPr="00E23DA8">
              <w:rPr>
                <w:szCs w:val="20"/>
              </w:rPr>
              <w:t xml:space="preserve">Issued 31 March </w:t>
            </w:r>
          </w:p>
          <w:p w14:paraId="73E19C0D" w14:textId="1B122E31" w:rsidR="00E23DA8" w:rsidRDefault="00E23DA8" w:rsidP="00145A20">
            <w:pPr>
              <w:jc w:val="center"/>
              <w:rPr>
                <w:b w:val="0"/>
                <w:bCs w:val="0"/>
                <w:szCs w:val="20"/>
              </w:rPr>
            </w:pPr>
            <w:r w:rsidRPr="00E23DA8">
              <w:rPr>
                <w:szCs w:val="20"/>
              </w:rPr>
              <w:t>By Med</w:t>
            </w:r>
            <w:r w:rsidR="00671D3D">
              <w:rPr>
                <w:szCs w:val="20"/>
              </w:rPr>
              <w:t>ical</w:t>
            </w:r>
            <w:r w:rsidRPr="00E23DA8">
              <w:rPr>
                <w:szCs w:val="20"/>
              </w:rPr>
              <w:t xml:space="preserve"> Officer</w:t>
            </w:r>
          </w:p>
          <w:p w14:paraId="15AC14F0" w14:textId="69631C4B" w:rsidR="00E23DA8" w:rsidRPr="00E23DA8" w:rsidRDefault="00E23DA8" w:rsidP="00145A20">
            <w:pPr>
              <w:jc w:val="center"/>
              <w:rPr>
                <w:szCs w:val="20"/>
              </w:rPr>
            </w:pPr>
            <w:r w:rsidRPr="00E23DA8">
              <w:rPr>
                <w:szCs w:val="20"/>
              </w:rPr>
              <w:t xml:space="preserve">Applies </w:t>
            </w:r>
            <w:r w:rsidR="00671D3D">
              <w:rPr>
                <w:szCs w:val="20"/>
              </w:rPr>
              <w:t>w</w:t>
            </w:r>
            <w:r w:rsidRPr="00E23DA8">
              <w:rPr>
                <w:szCs w:val="20"/>
              </w:rPr>
              <w:t>hile epidemic notice is in force</w:t>
            </w:r>
          </w:p>
        </w:tc>
        <w:tc>
          <w:tcPr>
            <w:tcW w:w="6520" w:type="dxa"/>
            <w:shd w:val="clear" w:color="auto" w:fill="auto"/>
          </w:tcPr>
          <w:p w14:paraId="05ABEF0B" w14:textId="3677BA9F" w:rsidR="00E23DA8" w:rsidRPr="00E23DA8" w:rsidRDefault="00E23DA8" w:rsidP="00556B28">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sz w:val="20"/>
                <w:szCs w:val="20"/>
              </w:rPr>
            </w:pPr>
            <w:r w:rsidRPr="00E23DA8">
              <w:rPr>
                <w:sz w:val="20"/>
                <w:szCs w:val="20"/>
              </w:rPr>
              <w:t>S</w:t>
            </w:r>
            <w:r w:rsidR="00D030FA">
              <w:rPr>
                <w:sz w:val="20"/>
                <w:szCs w:val="20"/>
              </w:rPr>
              <w:t xml:space="preserve">ection </w:t>
            </w:r>
            <w:r w:rsidRPr="00E23DA8">
              <w:rPr>
                <w:sz w:val="20"/>
                <w:szCs w:val="20"/>
              </w:rPr>
              <w:t xml:space="preserve">70(1)(f) </w:t>
            </w:r>
            <w:r w:rsidR="000E0D24">
              <w:rPr>
                <w:sz w:val="20"/>
                <w:szCs w:val="20"/>
              </w:rPr>
              <w:t>–</w:t>
            </w:r>
            <w:r w:rsidRPr="00E23DA8">
              <w:rPr>
                <w:sz w:val="20"/>
                <w:szCs w:val="20"/>
              </w:rPr>
              <w:t xml:space="preserve"> </w:t>
            </w:r>
            <w:r w:rsidR="00D030FA">
              <w:rPr>
                <w:sz w:val="20"/>
                <w:szCs w:val="20"/>
              </w:rPr>
              <w:t>a</w:t>
            </w:r>
            <w:r w:rsidRPr="00E23DA8">
              <w:rPr>
                <w:sz w:val="20"/>
                <w:szCs w:val="20"/>
              </w:rPr>
              <w:t>ll persons arriving in N</w:t>
            </w:r>
            <w:r w:rsidR="00D030FA">
              <w:rPr>
                <w:sz w:val="20"/>
                <w:szCs w:val="20"/>
              </w:rPr>
              <w:t xml:space="preserve">ew </w:t>
            </w:r>
            <w:r w:rsidRPr="00E23DA8">
              <w:rPr>
                <w:sz w:val="20"/>
                <w:szCs w:val="20"/>
              </w:rPr>
              <w:t>Z</w:t>
            </w:r>
            <w:r w:rsidR="00D030FA">
              <w:rPr>
                <w:sz w:val="20"/>
                <w:szCs w:val="20"/>
              </w:rPr>
              <w:t>ealand</w:t>
            </w:r>
            <w:r w:rsidRPr="00E23DA8">
              <w:rPr>
                <w:sz w:val="20"/>
                <w:szCs w:val="20"/>
              </w:rPr>
              <w:t xml:space="preserve"> (except for air crew who have used PPE) after 1am Monday 16 March are expected to be quarantined for 14 days</w:t>
            </w:r>
            <w:r w:rsidR="00D030FA">
              <w:rPr>
                <w:sz w:val="20"/>
                <w:szCs w:val="20"/>
              </w:rPr>
              <w:t>.</w:t>
            </w:r>
          </w:p>
          <w:p w14:paraId="2FFE20C9" w14:textId="2A3F2AD9" w:rsidR="00E23DA8" w:rsidRPr="00E23DA8" w:rsidRDefault="00E23DA8" w:rsidP="00556B28">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sz w:val="20"/>
                <w:szCs w:val="20"/>
              </w:rPr>
            </w:pPr>
            <w:r w:rsidRPr="00E23DA8">
              <w:rPr>
                <w:sz w:val="20"/>
                <w:szCs w:val="20"/>
              </w:rPr>
              <w:t>S</w:t>
            </w:r>
            <w:r w:rsidR="00D030FA">
              <w:rPr>
                <w:sz w:val="20"/>
                <w:szCs w:val="20"/>
              </w:rPr>
              <w:t xml:space="preserve">ection </w:t>
            </w:r>
            <w:r w:rsidRPr="00E23DA8">
              <w:rPr>
                <w:sz w:val="20"/>
                <w:szCs w:val="20"/>
              </w:rPr>
              <w:t xml:space="preserve">70(1)(h) </w:t>
            </w:r>
            <w:r w:rsidR="000E0D24">
              <w:rPr>
                <w:sz w:val="20"/>
                <w:szCs w:val="20"/>
              </w:rPr>
              <w:t>–</w:t>
            </w:r>
            <w:r w:rsidRPr="00E23DA8">
              <w:rPr>
                <w:sz w:val="20"/>
                <w:szCs w:val="20"/>
              </w:rPr>
              <w:t xml:space="preserve"> such people to be medically examined and undergo such preventative treatment as may be required. </w:t>
            </w:r>
          </w:p>
          <w:p w14:paraId="433C83CE" w14:textId="545B8C71" w:rsidR="00E23DA8" w:rsidRPr="00E23DA8" w:rsidRDefault="00E23DA8" w:rsidP="00556B28">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sz w:val="20"/>
                <w:szCs w:val="20"/>
              </w:rPr>
            </w:pPr>
            <w:r w:rsidRPr="00E23DA8">
              <w:rPr>
                <w:sz w:val="20"/>
                <w:szCs w:val="20"/>
              </w:rPr>
              <w:t>S</w:t>
            </w:r>
            <w:r w:rsidR="00D030FA">
              <w:rPr>
                <w:sz w:val="20"/>
                <w:szCs w:val="20"/>
              </w:rPr>
              <w:t xml:space="preserve">ection </w:t>
            </w:r>
            <w:r w:rsidRPr="00E23DA8">
              <w:rPr>
                <w:sz w:val="20"/>
                <w:szCs w:val="20"/>
              </w:rPr>
              <w:t xml:space="preserve">71A </w:t>
            </w:r>
            <w:r w:rsidR="000E0D24">
              <w:rPr>
                <w:sz w:val="20"/>
                <w:szCs w:val="20"/>
              </w:rPr>
              <w:t>–</w:t>
            </w:r>
            <w:r w:rsidRPr="00E23DA8">
              <w:rPr>
                <w:sz w:val="20"/>
                <w:szCs w:val="20"/>
              </w:rPr>
              <w:t xml:space="preserve"> constables to assist</w:t>
            </w:r>
            <w:r w:rsidR="00D030FA">
              <w:rPr>
                <w:sz w:val="20"/>
                <w:szCs w:val="20"/>
              </w:rPr>
              <w:t>.</w:t>
            </w:r>
          </w:p>
        </w:tc>
      </w:tr>
      <w:tr w:rsidR="00E23DA8" w:rsidRPr="00E23DA8" w14:paraId="74DA1E58" w14:textId="77777777" w:rsidTr="00145A20">
        <w:trPr>
          <w:trHeight w:val="405"/>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2A1CC255" w14:textId="57279B13" w:rsidR="00E23DA8" w:rsidRPr="00E23DA8" w:rsidRDefault="00E23DA8" w:rsidP="00145A20">
            <w:pPr>
              <w:jc w:val="center"/>
              <w:rPr>
                <w:szCs w:val="20"/>
              </w:rPr>
            </w:pPr>
            <w:r w:rsidRPr="00E23DA8">
              <w:rPr>
                <w:szCs w:val="20"/>
              </w:rPr>
              <w:lastRenderedPageBreak/>
              <w:t xml:space="preserve">Issued 3 April </w:t>
            </w:r>
          </w:p>
          <w:p w14:paraId="4941379F" w14:textId="14C52837" w:rsidR="00E23DA8" w:rsidRPr="00E23DA8" w:rsidRDefault="00E23DA8" w:rsidP="00145A20">
            <w:pPr>
              <w:jc w:val="center"/>
              <w:rPr>
                <w:szCs w:val="20"/>
              </w:rPr>
            </w:pPr>
            <w:r w:rsidRPr="00E23DA8">
              <w:rPr>
                <w:szCs w:val="20"/>
              </w:rPr>
              <w:t xml:space="preserve">By </w:t>
            </w:r>
            <w:r w:rsidR="00671D3D" w:rsidRPr="00E23DA8">
              <w:rPr>
                <w:szCs w:val="20"/>
              </w:rPr>
              <w:t>D</w:t>
            </w:r>
            <w:r w:rsidR="00671D3D">
              <w:rPr>
                <w:szCs w:val="20"/>
              </w:rPr>
              <w:t>irector-</w:t>
            </w:r>
            <w:r w:rsidR="00671D3D" w:rsidRPr="00E23DA8">
              <w:rPr>
                <w:szCs w:val="20"/>
              </w:rPr>
              <w:t>G</w:t>
            </w:r>
            <w:r w:rsidR="00671D3D">
              <w:rPr>
                <w:szCs w:val="20"/>
              </w:rPr>
              <w:t>eneral of Health</w:t>
            </w:r>
            <w:r w:rsidR="00671D3D" w:rsidRPr="00E23DA8">
              <w:rPr>
                <w:szCs w:val="20"/>
              </w:rPr>
              <w:t xml:space="preserve"> </w:t>
            </w:r>
          </w:p>
          <w:p w14:paraId="1975CA55" w14:textId="14CACF58" w:rsidR="00E23DA8" w:rsidRPr="00E23DA8" w:rsidRDefault="00E23DA8" w:rsidP="00145A20">
            <w:pPr>
              <w:jc w:val="center"/>
              <w:rPr>
                <w:szCs w:val="20"/>
              </w:rPr>
            </w:pPr>
            <w:r w:rsidRPr="00E23DA8">
              <w:rPr>
                <w:szCs w:val="20"/>
              </w:rPr>
              <w:t xml:space="preserve">Applies </w:t>
            </w:r>
            <w:r w:rsidR="00360F8E">
              <w:rPr>
                <w:szCs w:val="20"/>
              </w:rPr>
              <w:t>f</w:t>
            </w:r>
            <w:r w:rsidRPr="00E23DA8">
              <w:rPr>
                <w:szCs w:val="20"/>
              </w:rPr>
              <w:t>rom 6pm 3 April until end of 22 April 2020</w:t>
            </w:r>
          </w:p>
        </w:tc>
        <w:tc>
          <w:tcPr>
            <w:tcW w:w="6520" w:type="dxa"/>
            <w:shd w:val="clear" w:color="auto" w:fill="auto"/>
          </w:tcPr>
          <w:p w14:paraId="62A44998" w14:textId="1183CC8D" w:rsidR="00E23DA8" w:rsidRPr="00E23DA8" w:rsidRDefault="00E23DA8" w:rsidP="00556B28">
            <w:pPr>
              <w:pStyle w:val="ListParagraph"/>
              <w:numPr>
                <w:ilvl w:val="0"/>
                <w:numId w:val="21"/>
              </w:numPr>
              <w:jc w:val="both"/>
              <w:cnfStyle w:val="000000000000" w:firstRow="0" w:lastRow="0" w:firstColumn="0" w:lastColumn="0" w:oddVBand="0" w:evenVBand="0" w:oddHBand="0" w:evenHBand="0" w:firstRowFirstColumn="0" w:firstRowLastColumn="0" w:lastRowFirstColumn="0" w:lastRowLastColumn="0"/>
              <w:rPr>
                <w:sz w:val="20"/>
                <w:szCs w:val="20"/>
              </w:rPr>
            </w:pPr>
            <w:r w:rsidRPr="00E23DA8">
              <w:rPr>
                <w:sz w:val="20"/>
                <w:szCs w:val="20"/>
              </w:rPr>
              <w:t>S</w:t>
            </w:r>
            <w:r w:rsidR="00D030FA">
              <w:rPr>
                <w:sz w:val="20"/>
                <w:szCs w:val="20"/>
              </w:rPr>
              <w:t xml:space="preserve">ection </w:t>
            </w:r>
            <w:r w:rsidRPr="00E23DA8">
              <w:rPr>
                <w:sz w:val="20"/>
                <w:szCs w:val="20"/>
              </w:rPr>
              <w:t xml:space="preserve">70(1)(f) </w:t>
            </w:r>
            <w:r w:rsidR="000E0D24">
              <w:rPr>
                <w:sz w:val="20"/>
                <w:szCs w:val="20"/>
              </w:rPr>
              <w:t>–</w:t>
            </w:r>
            <w:r w:rsidRPr="00E23DA8">
              <w:rPr>
                <w:sz w:val="20"/>
                <w:szCs w:val="20"/>
              </w:rPr>
              <w:t xml:space="preserve"> </w:t>
            </w:r>
            <w:r w:rsidR="00D030FA">
              <w:rPr>
                <w:sz w:val="20"/>
                <w:szCs w:val="20"/>
              </w:rPr>
              <w:t>a</w:t>
            </w:r>
            <w:r w:rsidRPr="00E23DA8">
              <w:rPr>
                <w:sz w:val="20"/>
                <w:szCs w:val="20"/>
              </w:rPr>
              <w:t>ll persons within N</w:t>
            </w:r>
            <w:r w:rsidR="00D030FA">
              <w:rPr>
                <w:sz w:val="20"/>
                <w:szCs w:val="20"/>
              </w:rPr>
              <w:t xml:space="preserve">ew </w:t>
            </w:r>
            <w:r w:rsidRPr="00E23DA8">
              <w:rPr>
                <w:sz w:val="20"/>
                <w:szCs w:val="20"/>
              </w:rPr>
              <w:t>Z</w:t>
            </w:r>
            <w:r w:rsidR="00D030FA">
              <w:rPr>
                <w:sz w:val="20"/>
                <w:szCs w:val="20"/>
              </w:rPr>
              <w:t>ealand</w:t>
            </w:r>
            <w:r w:rsidRPr="00E23DA8">
              <w:rPr>
                <w:sz w:val="20"/>
                <w:szCs w:val="20"/>
              </w:rPr>
              <w:t xml:space="preserve"> to be isolated or quarantined with exceptions for </w:t>
            </w:r>
            <w:r w:rsidR="00882951">
              <w:rPr>
                <w:sz w:val="20"/>
                <w:szCs w:val="20"/>
              </w:rPr>
              <w:t>“</w:t>
            </w:r>
            <w:r w:rsidRPr="00E23DA8">
              <w:rPr>
                <w:sz w:val="20"/>
                <w:szCs w:val="20"/>
              </w:rPr>
              <w:t>essential personal movement</w:t>
            </w:r>
            <w:r w:rsidR="00882951">
              <w:rPr>
                <w:sz w:val="20"/>
                <w:szCs w:val="20"/>
              </w:rPr>
              <w:t>”</w:t>
            </w:r>
            <w:r w:rsidRPr="00E23DA8">
              <w:rPr>
                <w:sz w:val="20"/>
                <w:szCs w:val="20"/>
              </w:rPr>
              <w:t xml:space="preserve"> as defined. </w:t>
            </w:r>
          </w:p>
          <w:p w14:paraId="53A82682" w14:textId="084AF7E5" w:rsidR="00E23DA8" w:rsidRPr="00E23DA8" w:rsidRDefault="00E23DA8" w:rsidP="00556B28">
            <w:pPr>
              <w:pStyle w:val="ListParagraph"/>
              <w:numPr>
                <w:ilvl w:val="0"/>
                <w:numId w:val="21"/>
              </w:numPr>
              <w:jc w:val="both"/>
              <w:cnfStyle w:val="000000000000" w:firstRow="0" w:lastRow="0" w:firstColumn="0" w:lastColumn="0" w:oddVBand="0" w:evenVBand="0" w:oddHBand="0" w:evenHBand="0" w:firstRowFirstColumn="0" w:firstRowLastColumn="0" w:lastRowFirstColumn="0" w:lastRowLastColumn="0"/>
              <w:rPr>
                <w:sz w:val="20"/>
                <w:szCs w:val="20"/>
              </w:rPr>
            </w:pPr>
            <w:r w:rsidRPr="00E23DA8">
              <w:rPr>
                <w:sz w:val="20"/>
                <w:szCs w:val="20"/>
              </w:rPr>
              <w:t>S</w:t>
            </w:r>
            <w:r w:rsidR="00D030FA">
              <w:rPr>
                <w:sz w:val="20"/>
                <w:szCs w:val="20"/>
              </w:rPr>
              <w:t xml:space="preserve">ection </w:t>
            </w:r>
            <w:r w:rsidRPr="00E23DA8">
              <w:rPr>
                <w:sz w:val="20"/>
                <w:szCs w:val="20"/>
              </w:rPr>
              <w:t xml:space="preserve">71A </w:t>
            </w:r>
            <w:r w:rsidR="000E0D24">
              <w:rPr>
                <w:sz w:val="20"/>
                <w:szCs w:val="20"/>
              </w:rPr>
              <w:t>–</w:t>
            </w:r>
            <w:r w:rsidRPr="00E23DA8">
              <w:rPr>
                <w:sz w:val="20"/>
                <w:szCs w:val="20"/>
              </w:rPr>
              <w:t xml:space="preserve"> constables to assist</w:t>
            </w:r>
            <w:r w:rsidR="00D030FA">
              <w:rPr>
                <w:sz w:val="20"/>
                <w:szCs w:val="20"/>
              </w:rPr>
              <w:t>.</w:t>
            </w:r>
          </w:p>
        </w:tc>
      </w:tr>
      <w:tr w:rsidR="00E23DA8" w:rsidRPr="00E23DA8" w14:paraId="0745C77D" w14:textId="77777777" w:rsidTr="00145A2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6ECAFCFE" w14:textId="3F14C849" w:rsidR="00E23DA8" w:rsidRPr="00E23DA8" w:rsidRDefault="00E23DA8" w:rsidP="00145A20">
            <w:pPr>
              <w:jc w:val="center"/>
              <w:rPr>
                <w:szCs w:val="20"/>
              </w:rPr>
            </w:pPr>
            <w:r w:rsidRPr="00E23DA8">
              <w:rPr>
                <w:szCs w:val="20"/>
              </w:rPr>
              <w:t>Issued 9 April</w:t>
            </w:r>
          </w:p>
          <w:p w14:paraId="6D13561A" w14:textId="0FD6DA91" w:rsidR="00E23DA8" w:rsidRPr="00E23DA8" w:rsidRDefault="00E23DA8" w:rsidP="00145A20">
            <w:pPr>
              <w:jc w:val="center"/>
              <w:rPr>
                <w:szCs w:val="20"/>
              </w:rPr>
            </w:pPr>
            <w:r w:rsidRPr="00E23DA8">
              <w:rPr>
                <w:szCs w:val="20"/>
              </w:rPr>
              <w:t xml:space="preserve">By </w:t>
            </w:r>
            <w:r w:rsidR="00671D3D" w:rsidRPr="00E23DA8">
              <w:rPr>
                <w:szCs w:val="20"/>
              </w:rPr>
              <w:t>D</w:t>
            </w:r>
            <w:r w:rsidR="00671D3D">
              <w:rPr>
                <w:szCs w:val="20"/>
              </w:rPr>
              <w:t>irector-</w:t>
            </w:r>
            <w:r w:rsidR="00671D3D" w:rsidRPr="00E23DA8">
              <w:rPr>
                <w:szCs w:val="20"/>
              </w:rPr>
              <w:t>G</w:t>
            </w:r>
            <w:r w:rsidR="00671D3D">
              <w:rPr>
                <w:szCs w:val="20"/>
              </w:rPr>
              <w:t>eneral of Health</w:t>
            </w:r>
            <w:r w:rsidR="00671D3D" w:rsidRPr="00E23DA8">
              <w:rPr>
                <w:szCs w:val="20"/>
              </w:rPr>
              <w:t xml:space="preserve"> </w:t>
            </w:r>
          </w:p>
          <w:p w14:paraId="04080AAE" w14:textId="468355BD" w:rsidR="00E23DA8" w:rsidRPr="00E23DA8" w:rsidRDefault="00E23DA8" w:rsidP="00145A20">
            <w:pPr>
              <w:jc w:val="center"/>
              <w:rPr>
                <w:szCs w:val="20"/>
              </w:rPr>
            </w:pPr>
            <w:r w:rsidRPr="00E23DA8">
              <w:rPr>
                <w:szCs w:val="20"/>
              </w:rPr>
              <w:t>Applies</w:t>
            </w:r>
            <w:r w:rsidR="00360F8E">
              <w:rPr>
                <w:szCs w:val="20"/>
              </w:rPr>
              <w:t xml:space="preserve"> f</w:t>
            </w:r>
            <w:r w:rsidRPr="00E23DA8">
              <w:rPr>
                <w:szCs w:val="20"/>
              </w:rPr>
              <w:t>rom 9 April until end of 22 April</w:t>
            </w:r>
          </w:p>
        </w:tc>
        <w:tc>
          <w:tcPr>
            <w:tcW w:w="6520" w:type="dxa"/>
            <w:shd w:val="clear" w:color="auto" w:fill="auto"/>
          </w:tcPr>
          <w:p w14:paraId="438E6C82" w14:textId="64FDD1B7" w:rsidR="00E23DA8" w:rsidRPr="00E23DA8" w:rsidRDefault="00E23DA8" w:rsidP="00556B28">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sz w:val="20"/>
                <w:szCs w:val="20"/>
              </w:rPr>
            </w:pPr>
            <w:r w:rsidRPr="00E23DA8">
              <w:rPr>
                <w:sz w:val="20"/>
                <w:szCs w:val="20"/>
              </w:rPr>
              <w:t>Sections 70(1)(e), (</w:t>
            </w:r>
            <w:proofErr w:type="spellStart"/>
            <w:r w:rsidRPr="00E23DA8">
              <w:rPr>
                <w:sz w:val="20"/>
                <w:szCs w:val="20"/>
              </w:rPr>
              <w:t>ea</w:t>
            </w:r>
            <w:proofErr w:type="spellEnd"/>
            <w:r w:rsidRPr="00E23DA8">
              <w:rPr>
                <w:sz w:val="20"/>
                <w:szCs w:val="20"/>
              </w:rPr>
              <w:t xml:space="preserve">) and (f) </w:t>
            </w:r>
            <w:r w:rsidR="000E0D24">
              <w:rPr>
                <w:sz w:val="20"/>
                <w:szCs w:val="20"/>
              </w:rPr>
              <w:t>–</w:t>
            </w:r>
            <w:r w:rsidRPr="00E23DA8">
              <w:rPr>
                <w:sz w:val="20"/>
                <w:szCs w:val="20"/>
              </w:rPr>
              <w:t xml:space="preserve"> all person</w:t>
            </w:r>
            <w:r w:rsidR="00D030FA">
              <w:rPr>
                <w:sz w:val="20"/>
                <w:szCs w:val="20"/>
              </w:rPr>
              <w:t>s</w:t>
            </w:r>
            <w:r w:rsidRPr="00E23DA8">
              <w:rPr>
                <w:sz w:val="20"/>
                <w:szCs w:val="20"/>
              </w:rPr>
              <w:t xml:space="preserve"> arriving in N</w:t>
            </w:r>
            <w:r w:rsidR="00D030FA">
              <w:rPr>
                <w:sz w:val="20"/>
                <w:szCs w:val="20"/>
              </w:rPr>
              <w:t xml:space="preserve">ew </w:t>
            </w:r>
            <w:r w:rsidRPr="00E23DA8">
              <w:rPr>
                <w:sz w:val="20"/>
                <w:szCs w:val="20"/>
              </w:rPr>
              <w:t>Z</w:t>
            </w:r>
            <w:r w:rsidR="00D030FA">
              <w:rPr>
                <w:sz w:val="20"/>
                <w:szCs w:val="20"/>
              </w:rPr>
              <w:t>ealand</w:t>
            </w:r>
            <w:r w:rsidRPr="00E23DA8">
              <w:rPr>
                <w:sz w:val="20"/>
                <w:szCs w:val="20"/>
              </w:rPr>
              <w:t xml:space="preserve"> by air (with a few exceptions) to report and submit themselves to medical testing at the airport on arrival and to be isolated or quarantined for 14 days (or up to 28 days if medical officer says)</w:t>
            </w:r>
            <w:r w:rsidR="00D030FA">
              <w:rPr>
                <w:sz w:val="20"/>
                <w:szCs w:val="20"/>
              </w:rPr>
              <w:t>.</w:t>
            </w:r>
          </w:p>
          <w:p w14:paraId="49E59303" w14:textId="78634DD7" w:rsidR="00E23DA8" w:rsidRPr="00E23DA8" w:rsidRDefault="00E23DA8" w:rsidP="00556B28">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sz w:val="20"/>
                <w:szCs w:val="20"/>
              </w:rPr>
            </w:pPr>
            <w:r w:rsidRPr="00E23DA8">
              <w:rPr>
                <w:sz w:val="20"/>
                <w:szCs w:val="20"/>
              </w:rPr>
              <w:t>S</w:t>
            </w:r>
            <w:r w:rsidR="00D030FA">
              <w:rPr>
                <w:sz w:val="20"/>
                <w:szCs w:val="20"/>
              </w:rPr>
              <w:t xml:space="preserve">ection </w:t>
            </w:r>
            <w:r w:rsidRPr="00E23DA8">
              <w:rPr>
                <w:sz w:val="20"/>
                <w:szCs w:val="20"/>
              </w:rPr>
              <w:t xml:space="preserve">71A </w:t>
            </w:r>
            <w:r w:rsidR="000E0D24">
              <w:rPr>
                <w:sz w:val="20"/>
                <w:szCs w:val="20"/>
              </w:rPr>
              <w:t>–</w:t>
            </w:r>
            <w:r w:rsidRPr="00E23DA8">
              <w:rPr>
                <w:sz w:val="20"/>
                <w:szCs w:val="20"/>
              </w:rPr>
              <w:t xml:space="preserve"> constables to assist</w:t>
            </w:r>
            <w:r w:rsidR="00D030FA">
              <w:rPr>
                <w:sz w:val="20"/>
                <w:szCs w:val="20"/>
              </w:rPr>
              <w:t>.</w:t>
            </w:r>
          </w:p>
        </w:tc>
      </w:tr>
      <w:tr w:rsidR="00E23DA8" w:rsidRPr="00E23DA8" w14:paraId="7B0AC68E" w14:textId="77777777" w:rsidTr="00145A20">
        <w:trPr>
          <w:trHeight w:val="405"/>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1B02C162" w14:textId="14AE34AF" w:rsidR="00E23DA8" w:rsidRPr="00E23DA8" w:rsidRDefault="00E23DA8" w:rsidP="00145A20">
            <w:pPr>
              <w:jc w:val="center"/>
              <w:rPr>
                <w:szCs w:val="20"/>
              </w:rPr>
            </w:pPr>
            <w:r w:rsidRPr="00E23DA8">
              <w:rPr>
                <w:szCs w:val="20"/>
              </w:rPr>
              <w:t xml:space="preserve">Issued 24 April </w:t>
            </w:r>
          </w:p>
          <w:p w14:paraId="4113742C" w14:textId="7A27CF8C" w:rsidR="00E23DA8" w:rsidRPr="00E23DA8" w:rsidRDefault="00E23DA8" w:rsidP="00145A20">
            <w:pPr>
              <w:jc w:val="center"/>
              <w:rPr>
                <w:szCs w:val="20"/>
              </w:rPr>
            </w:pPr>
            <w:r w:rsidRPr="00E23DA8">
              <w:rPr>
                <w:szCs w:val="20"/>
              </w:rPr>
              <w:t>By</w:t>
            </w:r>
            <w:r w:rsidR="00360F8E">
              <w:rPr>
                <w:szCs w:val="20"/>
              </w:rPr>
              <w:t xml:space="preserve"> </w:t>
            </w:r>
            <w:r w:rsidR="00360F8E" w:rsidRPr="00E23DA8">
              <w:rPr>
                <w:szCs w:val="20"/>
              </w:rPr>
              <w:t>D</w:t>
            </w:r>
            <w:r w:rsidR="00360F8E">
              <w:rPr>
                <w:szCs w:val="20"/>
              </w:rPr>
              <w:t>irector-</w:t>
            </w:r>
            <w:r w:rsidR="00360F8E" w:rsidRPr="00E23DA8">
              <w:rPr>
                <w:szCs w:val="20"/>
              </w:rPr>
              <w:t>G</w:t>
            </w:r>
            <w:r w:rsidR="00360F8E">
              <w:rPr>
                <w:szCs w:val="20"/>
              </w:rPr>
              <w:t>eneral of Health</w:t>
            </w:r>
          </w:p>
          <w:p w14:paraId="530C86EC" w14:textId="645233FB" w:rsidR="00E23DA8" w:rsidRPr="00E23DA8" w:rsidRDefault="00E23DA8" w:rsidP="00145A20">
            <w:pPr>
              <w:jc w:val="center"/>
              <w:rPr>
                <w:szCs w:val="20"/>
              </w:rPr>
            </w:pPr>
            <w:r w:rsidRPr="00E23DA8">
              <w:rPr>
                <w:szCs w:val="20"/>
              </w:rPr>
              <w:t>Applies 21 April to end of 27 April</w:t>
            </w:r>
          </w:p>
        </w:tc>
        <w:tc>
          <w:tcPr>
            <w:tcW w:w="6520" w:type="dxa"/>
            <w:shd w:val="clear" w:color="auto" w:fill="auto"/>
          </w:tcPr>
          <w:p w14:paraId="1129AEDD" w14:textId="40A1036B" w:rsidR="00E23DA8" w:rsidRPr="00E23DA8" w:rsidRDefault="00E23DA8" w:rsidP="00E23DA8">
            <w:pPr>
              <w:cnfStyle w:val="000000000000" w:firstRow="0" w:lastRow="0" w:firstColumn="0" w:lastColumn="0" w:oddVBand="0" w:evenVBand="0" w:oddHBand="0" w:evenHBand="0" w:firstRowFirstColumn="0" w:firstRowLastColumn="0" w:lastRowFirstColumn="0" w:lastRowLastColumn="0"/>
              <w:rPr>
                <w:szCs w:val="20"/>
              </w:rPr>
            </w:pPr>
            <w:r w:rsidRPr="00E23DA8">
              <w:rPr>
                <w:szCs w:val="20"/>
              </w:rPr>
              <w:t>Section 70(1B)</w:t>
            </w:r>
            <w:r w:rsidR="00D030FA">
              <w:rPr>
                <w:szCs w:val="20"/>
              </w:rPr>
              <w:t xml:space="preserve"> –</w:t>
            </w:r>
            <w:r w:rsidRPr="00E23DA8">
              <w:rPr>
                <w:szCs w:val="20"/>
              </w:rPr>
              <w:t xml:space="preserve"> amending the 24 March order to add an exemption: accessing premises for purpose of carrying out necessary work as defined. </w:t>
            </w:r>
          </w:p>
          <w:p w14:paraId="58CDF7F8" w14:textId="77777777" w:rsidR="00E23DA8" w:rsidRPr="00E23DA8" w:rsidRDefault="00E23DA8" w:rsidP="00E23DA8">
            <w:pPr>
              <w:contextualSpacing/>
              <w:cnfStyle w:val="000000000000" w:firstRow="0" w:lastRow="0" w:firstColumn="0" w:lastColumn="0" w:oddVBand="0" w:evenVBand="0" w:oddHBand="0" w:evenHBand="0" w:firstRowFirstColumn="0" w:firstRowLastColumn="0" w:lastRowFirstColumn="0" w:lastRowLastColumn="0"/>
              <w:rPr>
                <w:szCs w:val="20"/>
              </w:rPr>
            </w:pPr>
          </w:p>
          <w:p w14:paraId="70AEC00E" w14:textId="77777777" w:rsidR="00E23DA8" w:rsidRPr="00E23DA8" w:rsidRDefault="00E23DA8" w:rsidP="00E23DA8">
            <w:pPr>
              <w:contextualSpacing/>
              <w:cnfStyle w:val="000000000000" w:firstRow="0" w:lastRow="0" w:firstColumn="0" w:lastColumn="0" w:oddVBand="0" w:evenVBand="0" w:oddHBand="0" w:evenHBand="0" w:firstRowFirstColumn="0" w:firstRowLastColumn="0" w:lastRowFirstColumn="0" w:lastRowLastColumn="0"/>
              <w:rPr>
                <w:szCs w:val="20"/>
              </w:rPr>
            </w:pPr>
          </w:p>
        </w:tc>
      </w:tr>
      <w:tr w:rsidR="00E23DA8" w:rsidRPr="00E23DA8" w14:paraId="76A62FDC" w14:textId="77777777" w:rsidTr="00145A2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67701DF5" w14:textId="7C0CF489" w:rsidR="00E23DA8" w:rsidRPr="00E23DA8" w:rsidRDefault="00E23DA8" w:rsidP="00145A20">
            <w:pPr>
              <w:jc w:val="center"/>
              <w:rPr>
                <w:szCs w:val="20"/>
              </w:rPr>
            </w:pPr>
            <w:r w:rsidRPr="00E23DA8">
              <w:rPr>
                <w:szCs w:val="20"/>
              </w:rPr>
              <w:t>Issued 21 April</w:t>
            </w:r>
          </w:p>
          <w:p w14:paraId="7CE6411D" w14:textId="180E35B7" w:rsidR="00E23DA8" w:rsidRPr="00E23DA8" w:rsidRDefault="00E23DA8" w:rsidP="00145A20">
            <w:pPr>
              <w:jc w:val="center"/>
              <w:rPr>
                <w:szCs w:val="20"/>
              </w:rPr>
            </w:pPr>
            <w:r w:rsidRPr="00E23DA8">
              <w:rPr>
                <w:szCs w:val="20"/>
              </w:rPr>
              <w:t>By</w:t>
            </w:r>
            <w:r w:rsidR="00360F8E">
              <w:rPr>
                <w:szCs w:val="20"/>
              </w:rPr>
              <w:t xml:space="preserve"> </w:t>
            </w:r>
            <w:r w:rsidR="00360F8E" w:rsidRPr="00E23DA8">
              <w:rPr>
                <w:szCs w:val="20"/>
              </w:rPr>
              <w:t>D</w:t>
            </w:r>
            <w:r w:rsidR="00360F8E">
              <w:rPr>
                <w:szCs w:val="20"/>
              </w:rPr>
              <w:t>irector-</w:t>
            </w:r>
            <w:r w:rsidR="00360F8E" w:rsidRPr="00E23DA8">
              <w:rPr>
                <w:szCs w:val="20"/>
              </w:rPr>
              <w:t>G</w:t>
            </w:r>
            <w:r w:rsidR="00360F8E">
              <w:rPr>
                <w:szCs w:val="20"/>
              </w:rPr>
              <w:t>eneral of Health</w:t>
            </w:r>
          </w:p>
          <w:p w14:paraId="0E55478D" w14:textId="742F7063" w:rsidR="00E23DA8" w:rsidRPr="00E23DA8" w:rsidRDefault="00E23DA8" w:rsidP="00145A20">
            <w:pPr>
              <w:jc w:val="center"/>
              <w:rPr>
                <w:szCs w:val="20"/>
              </w:rPr>
            </w:pPr>
            <w:r w:rsidRPr="00E23DA8">
              <w:rPr>
                <w:szCs w:val="20"/>
              </w:rPr>
              <w:t>Applies</w:t>
            </w:r>
            <w:r w:rsidR="00360F8E">
              <w:rPr>
                <w:szCs w:val="20"/>
              </w:rPr>
              <w:t xml:space="preserve"> u</w:t>
            </w:r>
            <w:r w:rsidRPr="00E23DA8">
              <w:rPr>
                <w:szCs w:val="20"/>
              </w:rPr>
              <w:t xml:space="preserve">ntil 11 May </w:t>
            </w:r>
          </w:p>
        </w:tc>
        <w:tc>
          <w:tcPr>
            <w:tcW w:w="6520" w:type="dxa"/>
            <w:shd w:val="clear" w:color="auto" w:fill="auto"/>
          </w:tcPr>
          <w:p w14:paraId="2E5464A7" w14:textId="6610C3B6" w:rsidR="00E23DA8" w:rsidRPr="00E23DA8" w:rsidRDefault="00E23DA8" w:rsidP="00E23DA8">
            <w:pPr>
              <w:cnfStyle w:val="000000100000" w:firstRow="0" w:lastRow="0" w:firstColumn="0" w:lastColumn="0" w:oddVBand="0" w:evenVBand="0" w:oddHBand="1" w:evenHBand="0" w:firstRowFirstColumn="0" w:firstRowLastColumn="0" w:lastRowFirstColumn="0" w:lastRowLastColumn="0"/>
              <w:rPr>
                <w:szCs w:val="20"/>
              </w:rPr>
            </w:pPr>
            <w:r w:rsidRPr="00E23DA8">
              <w:rPr>
                <w:szCs w:val="20"/>
              </w:rPr>
              <w:t xml:space="preserve">Two amendments to 9 April </w:t>
            </w:r>
            <w:r w:rsidR="00D030FA">
              <w:rPr>
                <w:szCs w:val="20"/>
              </w:rPr>
              <w:t>o</w:t>
            </w:r>
            <w:r w:rsidRPr="00E23DA8">
              <w:rPr>
                <w:szCs w:val="20"/>
              </w:rPr>
              <w:t xml:space="preserve">rder: one small change </w:t>
            </w:r>
            <w:proofErr w:type="gramStart"/>
            <w:r w:rsidRPr="00E23DA8">
              <w:rPr>
                <w:szCs w:val="20"/>
              </w:rPr>
              <w:t>and also</w:t>
            </w:r>
            <w:proofErr w:type="gramEnd"/>
            <w:r w:rsidRPr="00E23DA8">
              <w:rPr>
                <w:szCs w:val="20"/>
              </w:rPr>
              <w:t xml:space="preserve"> extending expiry from end of 22 April until end of 11 May</w:t>
            </w:r>
            <w:r w:rsidR="00CE5F8F">
              <w:rPr>
                <w:szCs w:val="20"/>
              </w:rPr>
              <w:t>.</w:t>
            </w:r>
            <w:r w:rsidRPr="00E23DA8">
              <w:rPr>
                <w:szCs w:val="20"/>
              </w:rPr>
              <w:t xml:space="preserve"> </w:t>
            </w:r>
          </w:p>
        </w:tc>
      </w:tr>
      <w:tr w:rsidR="00E23DA8" w:rsidRPr="00E23DA8" w14:paraId="20940C92" w14:textId="77777777" w:rsidTr="00145A20">
        <w:trPr>
          <w:trHeight w:val="405"/>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6086F8EA" w14:textId="2C311228" w:rsidR="00E23DA8" w:rsidRPr="00E23DA8" w:rsidRDefault="00E23DA8" w:rsidP="00145A20">
            <w:pPr>
              <w:jc w:val="center"/>
              <w:rPr>
                <w:szCs w:val="20"/>
              </w:rPr>
            </w:pPr>
            <w:r w:rsidRPr="00E23DA8">
              <w:rPr>
                <w:szCs w:val="20"/>
              </w:rPr>
              <w:t xml:space="preserve">Issued 21 April </w:t>
            </w:r>
          </w:p>
          <w:p w14:paraId="131C6592" w14:textId="719257BA" w:rsidR="00E23DA8" w:rsidRPr="00E23DA8" w:rsidRDefault="00E23DA8" w:rsidP="00145A20">
            <w:pPr>
              <w:jc w:val="center"/>
              <w:rPr>
                <w:szCs w:val="20"/>
              </w:rPr>
            </w:pPr>
            <w:r w:rsidRPr="00E23DA8">
              <w:rPr>
                <w:szCs w:val="20"/>
              </w:rPr>
              <w:t>By</w:t>
            </w:r>
            <w:r w:rsidR="00360F8E">
              <w:rPr>
                <w:szCs w:val="20"/>
              </w:rPr>
              <w:t xml:space="preserve"> </w:t>
            </w:r>
            <w:r w:rsidR="00360F8E" w:rsidRPr="00E23DA8">
              <w:rPr>
                <w:szCs w:val="20"/>
              </w:rPr>
              <w:t>D</w:t>
            </w:r>
            <w:r w:rsidR="00360F8E">
              <w:rPr>
                <w:szCs w:val="20"/>
              </w:rPr>
              <w:t>irector-</w:t>
            </w:r>
            <w:r w:rsidR="00360F8E" w:rsidRPr="00E23DA8">
              <w:rPr>
                <w:szCs w:val="20"/>
              </w:rPr>
              <w:t>G</w:t>
            </w:r>
            <w:r w:rsidR="00360F8E">
              <w:rPr>
                <w:szCs w:val="20"/>
              </w:rPr>
              <w:t>eneral of Health</w:t>
            </w:r>
          </w:p>
          <w:p w14:paraId="6D61D528" w14:textId="29362FFE" w:rsidR="00E23DA8" w:rsidRPr="00E23DA8" w:rsidRDefault="00E23DA8" w:rsidP="00145A20">
            <w:pPr>
              <w:jc w:val="center"/>
              <w:rPr>
                <w:szCs w:val="20"/>
              </w:rPr>
            </w:pPr>
            <w:r w:rsidRPr="00E23DA8">
              <w:rPr>
                <w:szCs w:val="20"/>
              </w:rPr>
              <w:t xml:space="preserve">Applies </w:t>
            </w:r>
            <w:r w:rsidR="00360F8E">
              <w:rPr>
                <w:szCs w:val="20"/>
              </w:rPr>
              <w:t>e</w:t>
            </w:r>
            <w:r w:rsidRPr="00E23DA8">
              <w:rPr>
                <w:szCs w:val="20"/>
              </w:rPr>
              <w:t>nd of 27 April</w:t>
            </w:r>
          </w:p>
        </w:tc>
        <w:tc>
          <w:tcPr>
            <w:tcW w:w="6520" w:type="dxa"/>
            <w:shd w:val="clear" w:color="auto" w:fill="auto"/>
          </w:tcPr>
          <w:p w14:paraId="5D3B3F5D" w14:textId="77777777" w:rsidR="00E23DA8" w:rsidRPr="00E23DA8" w:rsidRDefault="00E23DA8" w:rsidP="00A428DC">
            <w:pPr>
              <w:cnfStyle w:val="000000000000" w:firstRow="0" w:lastRow="0" w:firstColumn="0" w:lastColumn="0" w:oddVBand="0" w:evenVBand="0" w:oddHBand="0" w:evenHBand="0" w:firstRowFirstColumn="0" w:firstRowLastColumn="0" w:lastRowFirstColumn="0" w:lastRowLastColumn="0"/>
              <w:rPr>
                <w:szCs w:val="20"/>
              </w:rPr>
            </w:pPr>
            <w:r w:rsidRPr="00E23DA8">
              <w:rPr>
                <w:szCs w:val="20"/>
              </w:rPr>
              <w:t xml:space="preserve">Two amendments to 3 April order: </w:t>
            </w:r>
          </w:p>
          <w:p w14:paraId="44FAB8EA" w14:textId="5B5B374E" w:rsidR="00E23DA8" w:rsidRPr="00E23DA8" w:rsidRDefault="00E23DA8" w:rsidP="00556B28">
            <w:pPr>
              <w:pStyle w:val="ListParagraph"/>
              <w:numPr>
                <w:ilvl w:val="0"/>
                <w:numId w:val="21"/>
              </w:numPr>
              <w:jc w:val="both"/>
              <w:cnfStyle w:val="000000000000" w:firstRow="0" w:lastRow="0" w:firstColumn="0" w:lastColumn="0" w:oddVBand="0" w:evenVBand="0" w:oddHBand="0" w:evenHBand="0" w:firstRowFirstColumn="0" w:firstRowLastColumn="0" w:lastRowFirstColumn="0" w:lastRowLastColumn="0"/>
              <w:rPr>
                <w:sz w:val="20"/>
                <w:szCs w:val="20"/>
              </w:rPr>
            </w:pPr>
            <w:r w:rsidRPr="00E23DA8">
              <w:rPr>
                <w:sz w:val="20"/>
                <w:szCs w:val="20"/>
              </w:rPr>
              <w:t>Adding an exemption for doing necessary work on closed premises</w:t>
            </w:r>
            <w:r w:rsidR="00CE5F8F">
              <w:rPr>
                <w:sz w:val="20"/>
                <w:szCs w:val="20"/>
              </w:rPr>
              <w:t>.</w:t>
            </w:r>
            <w:r w:rsidRPr="00E23DA8">
              <w:rPr>
                <w:sz w:val="20"/>
                <w:szCs w:val="20"/>
              </w:rPr>
              <w:t xml:space="preserve"> </w:t>
            </w:r>
          </w:p>
          <w:p w14:paraId="6194B296" w14:textId="1EDBE2AA" w:rsidR="00E23DA8" w:rsidRPr="00E23DA8" w:rsidRDefault="00E23DA8" w:rsidP="00556B28">
            <w:pPr>
              <w:pStyle w:val="ListParagraph"/>
              <w:numPr>
                <w:ilvl w:val="0"/>
                <w:numId w:val="21"/>
              </w:numPr>
              <w:jc w:val="both"/>
              <w:cnfStyle w:val="000000000000" w:firstRow="0" w:lastRow="0" w:firstColumn="0" w:lastColumn="0" w:oddVBand="0" w:evenVBand="0" w:oddHBand="0" w:evenHBand="0" w:firstRowFirstColumn="0" w:firstRowLastColumn="0" w:lastRowFirstColumn="0" w:lastRowLastColumn="0"/>
              <w:rPr>
                <w:sz w:val="20"/>
                <w:szCs w:val="20"/>
              </w:rPr>
            </w:pPr>
            <w:r w:rsidRPr="00E23DA8">
              <w:rPr>
                <w:sz w:val="20"/>
                <w:szCs w:val="20"/>
              </w:rPr>
              <w:t>Extending expir</w:t>
            </w:r>
            <w:r w:rsidR="00CE5F8F">
              <w:rPr>
                <w:sz w:val="20"/>
                <w:szCs w:val="20"/>
              </w:rPr>
              <w:t>y</w:t>
            </w:r>
            <w:r w:rsidRPr="00E23DA8">
              <w:rPr>
                <w:sz w:val="20"/>
                <w:szCs w:val="20"/>
              </w:rPr>
              <w:t xml:space="preserve"> from 22 April to end of 27 April. </w:t>
            </w:r>
          </w:p>
        </w:tc>
      </w:tr>
      <w:tr w:rsidR="00E23DA8" w:rsidRPr="00E23DA8" w14:paraId="21CF6C39" w14:textId="77777777" w:rsidTr="00145A2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6AB2FBFA" w14:textId="749360DB" w:rsidR="00E23DA8" w:rsidRPr="00E23DA8" w:rsidRDefault="00E23DA8" w:rsidP="00145A20">
            <w:pPr>
              <w:jc w:val="center"/>
              <w:rPr>
                <w:szCs w:val="20"/>
              </w:rPr>
            </w:pPr>
            <w:r w:rsidRPr="00E23DA8">
              <w:rPr>
                <w:szCs w:val="20"/>
              </w:rPr>
              <w:t xml:space="preserve">Issued 24 April </w:t>
            </w:r>
          </w:p>
          <w:p w14:paraId="267621CA" w14:textId="54F7AE3D" w:rsidR="00E23DA8" w:rsidRPr="00E23DA8" w:rsidRDefault="00E23DA8" w:rsidP="00145A20">
            <w:pPr>
              <w:jc w:val="center"/>
              <w:rPr>
                <w:szCs w:val="20"/>
              </w:rPr>
            </w:pPr>
            <w:r w:rsidRPr="00E23DA8">
              <w:rPr>
                <w:szCs w:val="20"/>
              </w:rPr>
              <w:t>By</w:t>
            </w:r>
            <w:r w:rsidR="00360F8E">
              <w:rPr>
                <w:szCs w:val="20"/>
              </w:rPr>
              <w:t xml:space="preserve"> </w:t>
            </w:r>
            <w:r w:rsidR="00360F8E" w:rsidRPr="00E23DA8">
              <w:rPr>
                <w:szCs w:val="20"/>
              </w:rPr>
              <w:t>D</w:t>
            </w:r>
            <w:r w:rsidR="00360F8E">
              <w:rPr>
                <w:szCs w:val="20"/>
              </w:rPr>
              <w:t>irector-</w:t>
            </w:r>
            <w:r w:rsidR="00360F8E" w:rsidRPr="00E23DA8">
              <w:rPr>
                <w:szCs w:val="20"/>
              </w:rPr>
              <w:t>G</w:t>
            </w:r>
            <w:r w:rsidR="00360F8E">
              <w:rPr>
                <w:szCs w:val="20"/>
              </w:rPr>
              <w:t>eneral of Health</w:t>
            </w:r>
          </w:p>
        </w:tc>
        <w:tc>
          <w:tcPr>
            <w:tcW w:w="6520" w:type="dxa"/>
            <w:shd w:val="clear" w:color="auto" w:fill="auto"/>
          </w:tcPr>
          <w:p w14:paraId="1CFAFD5B" w14:textId="1B1BA51F" w:rsidR="00E23DA8" w:rsidRPr="00E23DA8" w:rsidRDefault="00E23DA8" w:rsidP="00E23DA8">
            <w:pPr>
              <w:cnfStyle w:val="000000100000" w:firstRow="0" w:lastRow="0" w:firstColumn="0" w:lastColumn="0" w:oddVBand="0" w:evenVBand="0" w:oddHBand="1" w:evenHBand="0" w:firstRowFirstColumn="0" w:firstRowLastColumn="0" w:lastRowFirstColumn="0" w:lastRowLastColumn="0"/>
              <w:rPr>
                <w:szCs w:val="20"/>
              </w:rPr>
            </w:pPr>
            <w:r w:rsidRPr="00E23DA8">
              <w:rPr>
                <w:szCs w:val="20"/>
              </w:rPr>
              <w:t xml:space="preserve">Health Act (COVID-19 Alert Level 3) Order 2020: found </w:t>
            </w:r>
            <w:hyperlink r:id="rId50" w:history="1">
              <w:r w:rsidRPr="00E23DA8">
                <w:rPr>
                  <w:rStyle w:val="Hyperlink"/>
                  <w:szCs w:val="20"/>
                </w:rPr>
                <w:t>here</w:t>
              </w:r>
            </w:hyperlink>
            <w:r w:rsidRPr="00E23DA8">
              <w:rPr>
                <w:szCs w:val="20"/>
              </w:rPr>
              <w:t xml:space="preserve">. This order is made under ss 70(1)(f) and (m). This </w:t>
            </w:r>
            <w:r w:rsidR="00CE5F8F">
              <w:rPr>
                <w:szCs w:val="20"/>
              </w:rPr>
              <w:t>o</w:t>
            </w:r>
            <w:r w:rsidRPr="00E23DA8">
              <w:rPr>
                <w:szCs w:val="20"/>
              </w:rPr>
              <w:t>rder appears to be the only one found on the N</w:t>
            </w:r>
            <w:r w:rsidR="00CE5F8F">
              <w:rPr>
                <w:szCs w:val="20"/>
              </w:rPr>
              <w:t xml:space="preserve">ew </w:t>
            </w:r>
            <w:r w:rsidRPr="00E23DA8">
              <w:rPr>
                <w:szCs w:val="20"/>
              </w:rPr>
              <w:t>Z</w:t>
            </w:r>
            <w:r w:rsidR="00CE5F8F">
              <w:rPr>
                <w:szCs w:val="20"/>
              </w:rPr>
              <w:t>ealand</w:t>
            </w:r>
            <w:r w:rsidRPr="00E23DA8">
              <w:rPr>
                <w:szCs w:val="20"/>
              </w:rPr>
              <w:t xml:space="preserve"> Legislation </w:t>
            </w:r>
            <w:r w:rsidR="00CE5F8F">
              <w:rPr>
                <w:szCs w:val="20"/>
              </w:rPr>
              <w:t>w</w:t>
            </w:r>
            <w:r w:rsidRPr="00E23DA8">
              <w:rPr>
                <w:szCs w:val="20"/>
              </w:rPr>
              <w:t xml:space="preserve">ebsite. </w:t>
            </w:r>
          </w:p>
          <w:p w14:paraId="2D085FAD" w14:textId="5DF18D07" w:rsidR="00E23DA8" w:rsidRPr="00E23DA8" w:rsidRDefault="00E23DA8" w:rsidP="00054497">
            <w:pPr>
              <w:spacing w:before="240"/>
              <w:cnfStyle w:val="000000100000" w:firstRow="0" w:lastRow="0" w:firstColumn="0" w:lastColumn="0" w:oddVBand="0" w:evenVBand="0" w:oddHBand="1" w:evenHBand="0" w:firstRowFirstColumn="0" w:firstRowLastColumn="0" w:lastRowFirstColumn="0" w:lastRowLastColumn="0"/>
              <w:rPr>
                <w:szCs w:val="20"/>
              </w:rPr>
            </w:pPr>
            <w:r w:rsidRPr="00E23DA8">
              <w:rPr>
                <w:szCs w:val="20"/>
              </w:rPr>
              <w:t>It is predecessor to the C</w:t>
            </w:r>
            <w:r w:rsidR="00AB2337">
              <w:t>OVID</w:t>
            </w:r>
            <w:r w:rsidRPr="00E23DA8">
              <w:rPr>
                <w:szCs w:val="20"/>
              </w:rPr>
              <w:t xml:space="preserve">-19 </w:t>
            </w:r>
            <w:r w:rsidR="00CE5F8F">
              <w:rPr>
                <w:szCs w:val="20"/>
              </w:rPr>
              <w:t>a</w:t>
            </w:r>
            <w:r w:rsidRPr="00E23DA8">
              <w:rPr>
                <w:szCs w:val="20"/>
              </w:rPr>
              <w:t xml:space="preserve">lert </w:t>
            </w:r>
            <w:r w:rsidR="00CE5F8F">
              <w:rPr>
                <w:szCs w:val="20"/>
              </w:rPr>
              <w:t>l</w:t>
            </w:r>
            <w:r w:rsidRPr="00E23DA8">
              <w:rPr>
                <w:szCs w:val="20"/>
              </w:rPr>
              <w:t xml:space="preserve">evel </w:t>
            </w:r>
            <w:r w:rsidR="00CE5F8F">
              <w:rPr>
                <w:szCs w:val="20"/>
              </w:rPr>
              <w:t>o</w:t>
            </w:r>
            <w:r w:rsidRPr="00E23DA8">
              <w:rPr>
                <w:szCs w:val="20"/>
              </w:rPr>
              <w:t xml:space="preserve">rders discussed below: It contains: </w:t>
            </w:r>
          </w:p>
          <w:p w14:paraId="2276AC35" w14:textId="77777777" w:rsidR="00E23DA8" w:rsidRPr="00E23DA8" w:rsidRDefault="00E23DA8" w:rsidP="00556B28">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sz w:val="20"/>
                <w:szCs w:val="20"/>
              </w:rPr>
            </w:pPr>
            <w:r w:rsidRPr="00E23DA8">
              <w:rPr>
                <w:sz w:val="20"/>
                <w:szCs w:val="20"/>
              </w:rPr>
              <w:t>the general isolation and quarantine requirement (cl 6</w:t>
            </w:r>
            <w:proofErr w:type="gramStart"/>
            <w:r w:rsidRPr="00E23DA8">
              <w:rPr>
                <w:sz w:val="20"/>
                <w:szCs w:val="20"/>
              </w:rPr>
              <w:t>);</w:t>
            </w:r>
            <w:proofErr w:type="gramEnd"/>
          </w:p>
          <w:p w14:paraId="3DB94452" w14:textId="77777777" w:rsidR="00E23DA8" w:rsidRPr="00E23DA8" w:rsidRDefault="00E23DA8" w:rsidP="00556B28">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sz w:val="20"/>
                <w:szCs w:val="20"/>
              </w:rPr>
            </w:pPr>
            <w:r w:rsidRPr="00E23DA8">
              <w:rPr>
                <w:sz w:val="20"/>
                <w:szCs w:val="20"/>
              </w:rPr>
              <w:t>the permission for essential personal movement or recreation (cl 7</w:t>
            </w:r>
            <w:proofErr w:type="gramStart"/>
            <w:r w:rsidRPr="00E23DA8">
              <w:rPr>
                <w:sz w:val="20"/>
                <w:szCs w:val="20"/>
              </w:rPr>
              <w:t>);</w:t>
            </w:r>
            <w:proofErr w:type="gramEnd"/>
            <w:r w:rsidRPr="00E23DA8">
              <w:rPr>
                <w:sz w:val="20"/>
                <w:szCs w:val="20"/>
              </w:rPr>
              <w:t xml:space="preserve"> </w:t>
            </w:r>
          </w:p>
          <w:p w14:paraId="077EDA2E" w14:textId="77777777" w:rsidR="00E23DA8" w:rsidRPr="00E23DA8" w:rsidRDefault="00E23DA8" w:rsidP="00556B28">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sz w:val="20"/>
                <w:szCs w:val="20"/>
              </w:rPr>
            </w:pPr>
            <w:r w:rsidRPr="00E23DA8">
              <w:rPr>
                <w:sz w:val="20"/>
                <w:szCs w:val="20"/>
              </w:rPr>
              <w:t xml:space="preserve">the closure of premises (cl 9), </w:t>
            </w:r>
          </w:p>
          <w:p w14:paraId="2884C8C4" w14:textId="77777777" w:rsidR="00E23DA8" w:rsidRPr="00E23DA8" w:rsidRDefault="00E23DA8" w:rsidP="00556B28">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sz w:val="20"/>
                <w:szCs w:val="20"/>
              </w:rPr>
            </w:pPr>
            <w:r w:rsidRPr="00E23DA8">
              <w:rPr>
                <w:sz w:val="20"/>
                <w:szCs w:val="20"/>
              </w:rPr>
              <w:t xml:space="preserve">a table describing which infection control measures are relevant for which restricted premises (cl 10); and </w:t>
            </w:r>
          </w:p>
          <w:p w14:paraId="0226B3E1" w14:textId="74344CEA" w:rsidR="00E23DA8" w:rsidRPr="00C56D03" w:rsidRDefault="00E23DA8" w:rsidP="00556B28">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sz w:val="20"/>
                <w:szCs w:val="20"/>
              </w:rPr>
            </w:pPr>
            <w:r w:rsidRPr="00E23DA8">
              <w:rPr>
                <w:sz w:val="20"/>
                <w:szCs w:val="20"/>
              </w:rPr>
              <w:lastRenderedPageBreak/>
              <w:t>the prohibition on congregating in outdoor places (cl 11).</w:t>
            </w:r>
          </w:p>
        </w:tc>
      </w:tr>
      <w:tr w:rsidR="00E23DA8" w:rsidRPr="00E23DA8" w14:paraId="14D9A09C" w14:textId="77777777" w:rsidTr="00145A20">
        <w:trPr>
          <w:trHeight w:val="405"/>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2D778401" w14:textId="16BC302B" w:rsidR="00E23DA8" w:rsidRPr="00E23DA8" w:rsidRDefault="00E23DA8" w:rsidP="00145A20">
            <w:pPr>
              <w:jc w:val="center"/>
              <w:rPr>
                <w:szCs w:val="20"/>
              </w:rPr>
            </w:pPr>
            <w:r w:rsidRPr="00E23DA8">
              <w:rPr>
                <w:szCs w:val="20"/>
              </w:rPr>
              <w:lastRenderedPageBreak/>
              <w:t xml:space="preserve">Issued 29 April </w:t>
            </w:r>
          </w:p>
          <w:p w14:paraId="4363D6C0" w14:textId="4C90A74E" w:rsidR="00E23DA8" w:rsidRPr="00E23DA8" w:rsidRDefault="00E23DA8" w:rsidP="00145A20">
            <w:pPr>
              <w:jc w:val="center"/>
              <w:rPr>
                <w:b w:val="0"/>
                <w:bCs w:val="0"/>
                <w:szCs w:val="20"/>
              </w:rPr>
            </w:pPr>
            <w:r w:rsidRPr="00E23DA8">
              <w:rPr>
                <w:szCs w:val="20"/>
              </w:rPr>
              <w:t>By</w:t>
            </w:r>
            <w:r w:rsidR="00360F8E">
              <w:rPr>
                <w:szCs w:val="20"/>
              </w:rPr>
              <w:t xml:space="preserve"> </w:t>
            </w:r>
            <w:r w:rsidR="00360F8E" w:rsidRPr="00E23DA8">
              <w:rPr>
                <w:szCs w:val="20"/>
              </w:rPr>
              <w:t>D</w:t>
            </w:r>
            <w:r w:rsidR="00360F8E">
              <w:rPr>
                <w:szCs w:val="20"/>
              </w:rPr>
              <w:t>irector-</w:t>
            </w:r>
            <w:r w:rsidR="00360F8E" w:rsidRPr="00E23DA8">
              <w:rPr>
                <w:szCs w:val="20"/>
              </w:rPr>
              <w:t>G</w:t>
            </w:r>
            <w:r w:rsidR="00360F8E">
              <w:rPr>
                <w:szCs w:val="20"/>
              </w:rPr>
              <w:t>eneral of Health</w:t>
            </w:r>
          </w:p>
          <w:p w14:paraId="6F3A5BA7" w14:textId="646F3253" w:rsidR="00E23DA8" w:rsidRPr="00E23DA8" w:rsidRDefault="00E23DA8" w:rsidP="00145A20">
            <w:pPr>
              <w:jc w:val="center"/>
              <w:rPr>
                <w:szCs w:val="20"/>
              </w:rPr>
            </w:pPr>
            <w:r w:rsidRPr="00E23DA8">
              <w:rPr>
                <w:szCs w:val="20"/>
              </w:rPr>
              <w:t>Applies</w:t>
            </w:r>
            <w:r w:rsidR="00360F8E">
              <w:rPr>
                <w:szCs w:val="20"/>
              </w:rPr>
              <w:t xml:space="preserve"> f</w:t>
            </w:r>
            <w:r w:rsidRPr="00E23DA8">
              <w:rPr>
                <w:szCs w:val="20"/>
              </w:rPr>
              <w:t>rom 20 April</w:t>
            </w:r>
          </w:p>
        </w:tc>
        <w:tc>
          <w:tcPr>
            <w:tcW w:w="6520" w:type="dxa"/>
            <w:shd w:val="clear" w:color="auto" w:fill="auto"/>
          </w:tcPr>
          <w:p w14:paraId="6C6FB758" w14:textId="7A86CE5B" w:rsidR="00E23DA8" w:rsidRPr="00E23DA8" w:rsidRDefault="00E23DA8" w:rsidP="00E23DA8">
            <w:pPr>
              <w:cnfStyle w:val="000000000000" w:firstRow="0" w:lastRow="0" w:firstColumn="0" w:lastColumn="0" w:oddVBand="0" w:evenVBand="0" w:oddHBand="0" w:evenHBand="0" w:firstRowFirstColumn="0" w:firstRowLastColumn="0" w:lastRowFirstColumn="0" w:lastRowLastColumn="0"/>
              <w:rPr>
                <w:szCs w:val="20"/>
              </w:rPr>
            </w:pPr>
            <w:r w:rsidRPr="00E23DA8">
              <w:rPr>
                <w:szCs w:val="20"/>
              </w:rPr>
              <w:t xml:space="preserve">Amends the 24 April </w:t>
            </w:r>
            <w:r w:rsidR="00CE5F8F">
              <w:rPr>
                <w:szCs w:val="20"/>
              </w:rPr>
              <w:t>o</w:t>
            </w:r>
            <w:r w:rsidRPr="00E23DA8">
              <w:rPr>
                <w:szCs w:val="20"/>
              </w:rPr>
              <w:t xml:space="preserve">rder. Makes changes or clarifications as to what is permitted as essential personal movement or recreation under the principal order. </w:t>
            </w:r>
          </w:p>
        </w:tc>
      </w:tr>
      <w:tr w:rsidR="00E23DA8" w:rsidRPr="00E23DA8" w14:paraId="74E0B6A0" w14:textId="77777777" w:rsidTr="00145A2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7BF33B0A" w14:textId="20A785C7" w:rsidR="00E23DA8" w:rsidRPr="00E23DA8" w:rsidRDefault="00E23DA8" w:rsidP="00145A20">
            <w:pPr>
              <w:jc w:val="center"/>
              <w:rPr>
                <w:szCs w:val="20"/>
              </w:rPr>
            </w:pPr>
            <w:r w:rsidRPr="00E23DA8">
              <w:rPr>
                <w:szCs w:val="20"/>
              </w:rPr>
              <w:t>Issued 8 May</w:t>
            </w:r>
          </w:p>
          <w:p w14:paraId="7CF09ACC" w14:textId="55C3DB90" w:rsidR="00E23DA8" w:rsidRPr="00E23DA8" w:rsidRDefault="00E23DA8" w:rsidP="00145A20">
            <w:pPr>
              <w:jc w:val="center"/>
              <w:rPr>
                <w:szCs w:val="20"/>
              </w:rPr>
            </w:pPr>
            <w:r w:rsidRPr="00E23DA8">
              <w:rPr>
                <w:szCs w:val="20"/>
              </w:rPr>
              <w:t>By</w:t>
            </w:r>
            <w:r w:rsidR="00360F8E">
              <w:rPr>
                <w:szCs w:val="20"/>
              </w:rPr>
              <w:t xml:space="preserve"> </w:t>
            </w:r>
            <w:r w:rsidR="00360F8E" w:rsidRPr="00E23DA8">
              <w:rPr>
                <w:szCs w:val="20"/>
              </w:rPr>
              <w:t>D</w:t>
            </w:r>
            <w:r w:rsidR="00360F8E">
              <w:rPr>
                <w:szCs w:val="20"/>
              </w:rPr>
              <w:t>irector-</w:t>
            </w:r>
            <w:r w:rsidR="00360F8E" w:rsidRPr="00E23DA8">
              <w:rPr>
                <w:szCs w:val="20"/>
              </w:rPr>
              <w:t>G</w:t>
            </w:r>
            <w:r w:rsidR="00360F8E">
              <w:rPr>
                <w:szCs w:val="20"/>
              </w:rPr>
              <w:t>eneral of Health</w:t>
            </w:r>
          </w:p>
          <w:p w14:paraId="11F7659A" w14:textId="69BD178D" w:rsidR="00E23DA8" w:rsidRPr="00E23DA8" w:rsidRDefault="00E23DA8" w:rsidP="003428E0">
            <w:pPr>
              <w:jc w:val="center"/>
              <w:rPr>
                <w:szCs w:val="20"/>
              </w:rPr>
            </w:pPr>
            <w:r w:rsidRPr="00E23DA8">
              <w:rPr>
                <w:szCs w:val="20"/>
              </w:rPr>
              <w:t xml:space="preserve"> Applies 11 May </w:t>
            </w:r>
            <w:r w:rsidR="00671D3D">
              <w:rPr>
                <w:szCs w:val="20"/>
              </w:rPr>
              <w:t>un</w:t>
            </w:r>
            <w:r w:rsidRPr="00E23DA8">
              <w:rPr>
                <w:szCs w:val="20"/>
              </w:rPr>
              <w:t>til end of 22 June</w:t>
            </w:r>
          </w:p>
        </w:tc>
        <w:tc>
          <w:tcPr>
            <w:tcW w:w="6520" w:type="dxa"/>
            <w:shd w:val="clear" w:color="auto" w:fill="auto"/>
          </w:tcPr>
          <w:p w14:paraId="5B018FB9" w14:textId="163D626D" w:rsidR="00E23DA8" w:rsidRPr="00E23DA8" w:rsidRDefault="00E23DA8" w:rsidP="00E23DA8">
            <w:pPr>
              <w:cnfStyle w:val="000000100000" w:firstRow="0" w:lastRow="0" w:firstColumn="0" w:lastColumn="0" w:oddVBand="0" w:evenVBand="0" w:oddHBand="1" w:evenHBand="0" w:firstRowFirstColumn="0" w:firstRowLastColumn="0" w:lastRowFirstColumn="0" w:lastRowLastColumn="0"/>
              <w:rPr>
                <w:szCs w:val="20"/>
              </w:rPr>
            </w:pPr>
            <w:r w:rsidRPr="00E23DA8">
              <w:rPr>
                <w:szCs w:val="20"/>
              </w:rPr>
              <w:t xml:space="preserve">Two amendments to 9 April </w:t>
            </w:r>
            <w:r w:rsidR="00CE5F8F">
              <w:rPr>
                <w:szCs w:val="20"/>
              </w:rPr>
              <w:t>o</w:t>
            </w:r>
            <w:r w:rsidRPr="00E23DA8">
              <w:rPr>
                <w:szCs w:val="20"/>
              </w:rPr>
              <w:t xml:space="preserve">rder: </w:t>
            </w:r>
          </w:p>
          <w:p w14:paraId="4C0279AB" w14:textId="2AE42F39" w:rsidR="00E23DA8" w:rsidRPr="00E23DA8" w:rsidRDefault="00E23DA8" w:rsidP="00556B28">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sz w:val="20"/>
                <w:szCs w:val="20"/>
              </w:rPr>
            </w:pPr>
            <w:r w:rsidRPr="00E23DA8">
              <w:rPr>
                <w:sz w:val="20"/>
                <w:szCs w:val="20"/>
              </w:rPr>
              <w:t>Expiry moved back from end of 22 April to 22 June 2021</w:t>
            </w:r>
            <w:r w:rsidR="00CE5F8F">
              <w:rPr>
                <w:sz w:val="20"/>
                <w:szCs w:val="20"/>
              </w:rPr>
              <w:t>.</w:t>
            </w:r>
          </w:p>
          <w:p w14:paraId="160264C6" w14:textId="15C6F81D" w:rsidR="00E23DA8" w:rsidRPr="00E23DA8" w:rsidRDefault="00E23DA8" w:rsidP="00556B28">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sz w:val="20"/>
                <w:szCs w:val="20"/>
              </w:rPr>
            </w:pPr>
            <w:r w:rsidRPr="00E23DA8">
              <w:rPr>
                <w:sz w:val="20"/>
                <w:szCs w:val="20"/>
              </w:rPr>
              <w:t>Small change to definition of essential personal movement</w:t>
            </w:r>
            <w:r w:rsidR="00CE5F8F">
              <w:rPr>
                <w:sz w:val="20"/>
                <w:szCs w:val="20"/>
              </w:rPr>
              <w:t>.</w:t>
            </w:r>
            <w:r w:rsidRPr="00E23DA8">
              <w:rPr>
                <w:sz w:val="20"/>
                <w:szCs w:val="20"/>
              </w:rPr>
              <w:t xml:space="preserve"> </w:t>
            </w:r>
          </w:p>
        </w:tc>
      </w:tr>
      <w:tr w:rsidR="00E23DA8" w:rsidRPr="00E23DA8" w14:paraId="72FA7B9D" w14:textId="77777777" w:rsidTr="00145A20">
        <w:trPr>
          <w:trHeight w:val="405"/>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6BCB08E4" w14:textId="4BF5C025" w:rsidR="00E23DA8" w:rsidRPr="00E23DA8" w:rsidRDefault="00E23DA8" w:rsidP="00145A20">
            <w:pPr>
              <w:jc w:val="center"/>
              <w:rPr>
                <w:szCs w:val="20"/>
              </w:rPr>
            </w:pPr>
            <w:r w:rsidRPr="00E23DA8">
              <w:rPr>
                <w:szCs w:val="20"/>
              </w:rPr>
              <w:t xml:space="preserve">Issued 8 May </w:t>
            </w:r>
          </w:p>
          <w:p w14:paraId="6043153B" w14:textId="2DD92F66" w:rsidR="00E23DA8" w:rsidRPr="00E23DA8" w:rsidRDefault="00E23DA8" w:rsidP="00A428DC">
            <w:pPr>
              <w:jc w:val="center"/>
              <w:rPr>
                <w:szCs w:val="20"/>
              </w:rPr>
            </w:pPr>
            <w:r w:rsidRPr="00E23DA8">
              <w:rPr>
                <w:szCs w:val="20"/>
              </w:rPr>
              <w:t>By</w:t>
            </w:r>
            <w:r w:rsidR="00671D3D">
              <w:rPr>
                <w:szCs w:val="20"/>
              </w:rPr>
              <w:t xml:space="preserve"> </w:t>
            </w:r>
            <w:r w:rsidR="00671D3D" w:rsidRPr="00E23DA8">
              <w:rPr>
                <w:szCs w:val="20"/>
              </w:rPr>
              <w:t>D</w:t>
            </w:r>
            <w:r w:rsidR="00671D3D">
              <w:rPr>
                <w:szCs w:val="20"/>
              </w:rPr>
              <w:t>irector-</w:t>
            </w:r>
            <w:r w:rsidR="00671D3D" w:rsidRPr="00E23DA8">
              <w:rPr>
                <w:szCs w:val="20"/>
              </w:rPr>
              <w:t>G</w:t>
            </w:r>
            <w:r w:rsidR="00671D3D">
              <w:rPr>
                <w:szCs w:val="20"/>
              </w:rPr>
              <w:t>eneral of Health</w:t>
            </w:r>
          </w:p>
        </w:tc>
        <w:tc>
          <w:tcPr>
            <w:tcW w:w="6520" w:type="dxa"/>
            <w:shd w:val="clear" w:color="auto" w:fill="auto"/>
          </w:tcPr>
          <w:p w14:paraId="0892635C" w14:textId="7FFC1B5E" w:rsidR="00E23DA8" w:rsidRPr="00E23DA8" w:rsidRDefault="00E23DA8" w:rsidP="00E23DA8">
            <w:pPr>
              <w:cnfStyle w:val="000000000000" w:firstRow="0" w:lastRow="0" w:firstColumn="0" w:lastColumn="0" w:oddVBand="0" w:evenVBand="0" w:oddHBand="0" w:evenHBand="0" w:firstRowFirstColumn="0" w:firstRowLastColumn="0" w:lastRowFirstColumn="0" w:lastRowLastColumn="0"/>
              <w:rPr>
                <w:szCs w:val="20"/>
              </w:rPr>
            </w:pPr>
            <w:r w:rsidRPr="00E23DA8">
              <w:rPr>
                <w:szCs w:val="20"/>
              </w:rPr>
              <w:t xml:space="preserve">Amends the 24 April </w:t>
            </w:r>
            <w:r w:rsidR="00CE5F8F">
              <w:rPr>
                <w:szCs w:val="20"/>
              </w:rPr>
              <w:t>o</w:t>
            </w:r>
            <w:r w:rsidRPr="00E23DA8">
              <w:rPr>
                <w:szCs w:val="20"/>
              </w:rPr>
              <w:t xml:space="preserve">rder by adding two other kinds of businesses (licensing trusts and hardware and DIY stores) to the list of category B businesses. </w:t>
            </w:r>
          </w:p>
        </w:tc>
      </w:tr>
      <w:tr w:rsidR="00E23DA8" w:rsidRPr="00E23DA8" w14:paraId="6EEB60FB" w14:textId="77777777" w:rsidTr="00145A2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0E6522E9" w14:textId="05B2D1A6" w:rsidR="00E23DA8" w:rsidRPr="00E23DA8" w:rsidRDefault="00E23DA8" w:rsidP="00145A20">
            <w:pPr>
              <w:jc w:val="center"/>
              <w:rPr>
                <w:szCs w:val="20"/>
              </w:rPr>
            </w:pPr>
            <w:r w:rsidRPr="00E23DA8">
              <w:rPr>
                <w:szCs w:val="20"/>
              </w:rPr>
              <w:t xml:space="preserve">Issued 11 May </w:t>
            </w:r>
          </w:p>
          <w:p w14:paraId="5C2B885E" w14:textId="786D494A" w:rsidR="00E23DA8" w:rsidRPr="00E23DA8" w:rsidRDefault="00E23DA8" w:rsidP="00A428DC">
            <w:pPr>
              <w:jc w:val="center"/>
              <w:rPr>
                <w:szCs w:val="20"/>
              </w:rPr>
            </w:pPr>
            <w:r w:rsidRPr="00E23DA8">
              <w:rPr>
                <w:szCs w:val="20"/>
              </w:rPr>
              <w:t xml:space="preserve">By </w:t>
            </w:r>
            <w:r w:rsidR="00671D3D" w:rsidRPr="00E23DA8">
              <w:rPr>
                <w:szCs w:val="20"/>
              </w:rPr>
              <w:t>D</w:t>
            </w:r>
            <w:r w:rsidR="00671D3D">
              <w:rPr>
                <w:szCs w:val="20"/>
              </w:rPr>
              <w:t>irector-</w:t>
            </w:r>
            <w:r w:rsidR="00671D3D" w:rsidRPr="00E23DA8">
              <w:rPr>
                <w:szCs w:val="20"/>
              </w:rPr>
              <w:t>G</w:t>
            </w:r>
            <w:r w:rsidR="00671D3D">
              <w:rPr>
                <w:szCs w:val="20"/>
              </w:rPr>
              <w:t>eneral of Health</w:t>
            </w:r>
            <w:r w:rsidR="00671D3D" w:rsidRPr="00E23DA8">
              <w:rPr>
                <w:szCs w:val="20"/>
              </w:rPr>
              <w:t xml:space="preserve"> </w:t>
            </w:r>
          </w:p>
        </w:tc>
        <w:tc>
          <w:tcPr>
            <w:tcW w:w="6520" w:type="dxa"/>
            <w:shd w:val="clear" w:color="auto" w:fill="auto"/>
          </w:tcPr>
          <w:p w14:paraId="0D1B6481" w14:textId="3AAB8134" w:rsidR="00E23DA8" w:rsidRPr="00E23DA8" w:rsidRDefault="00E23DA8" w:rsidP="00E23DA8">
            <w:pPr>
              <w:cnfStyle w:val="000000100000" w:firstRow="0" w:lastRow="0" w:firstColumn="0" w:lastColumn="0" w:oddVBand="0" w:evenVBand="0" w:oddHBand="1" w:evenHBand="0" w:firstRowFirstColumn="0" w:firstRowLastColumn="0" w:lastRowFirstColumn="0" w:lastRowLastColumn="0"/>
              <w:rPr>
                <w:szCs w:val="20"/>
              </w:rPr>
            </w:pPr>
            <w:r w:rsidRPr="00E23DA8">
              <w:rPr>
                <w:szCs w:val="20"/>
              </w:rPr>
              <w:t xml:space="preserve">Amends the 24 April </w:t>
            </w:r>
            <w:r w:rsidR="00CE5F8F">
              <w:rPr>
                <w:szCs w:val="20"/>
              </w:rPr>
              <w:t>o</w:t>
            </w:r>
            <w:r w:rsidRPr="00E23DA8">
              <w:rPr>
                <w:szCs w:val="20"/>
              </w:rPr>
              <w:t>rder to enable necessary work to be undertaken in certain premises from 12 May 2020 (in anticipation of move to</w:t>
            </w:r>
            <w:r w:rsidR="00CE5F8F">
              <w:rPr>
                <w:szCs w:val="20"/>
              </w:rPr>
              <w:t xml:space="preserve"> Alert Level </w:t>
            </w:r>
            <w:r w:rsidRPr="00E23DA8">
              <w:rPr>
                <w:szCs w:val="20"/>
              </w:rPr>
              <w:t xml:space="preserve">2 on 14 May) </w:t>
            </w:r>
            <w:proofErr w:type="gramStart"/>
            <w:r w:rsidRPr="00E23DA8">
              <w:rPr>
                <w:szCs w:val="20"/>
              </w:rPr>
              <w:t>in order to</w:t>
            </w:r>
            <w:proofErr w:type="gramEnd"/>
            <w:r w:rsidRPr="00E23DA8">
              <w:rPr>
                <w:szCs w:val="20"/>
              </w:rPr>
              <w:t xml:space="preserve"> prepare for premises opening</w:t>
            </w:r>
            <w:r w:rsidR="00CE5F8F">
              <w:rPr>
                <w:szCs w:val="20"/>
              </w:rPr>
              <w:t>.</w:t>
            </w:r>
          </w:p>
        </w:tc>
      </w:tr>
    </w:tbl>
    <w:p w14:paraId="2A8DA957" w14:textId="17A64AD8" w:rsidR="003817E1" w:rsidRDefault="003817E1" w:rsidP="00FB32D6">
      <w:pPr>
        <w:pStyle w:val="BodyTextnonum"/>
        <w:numPr>
          <w:ilvl w:val="0"/>
          <w:numId w:val="0"/>
        </w:numPr>
        <w:ind w:left="709"/>
        <w:rPr>
          <w:rFonts w:eastAsia="Metropolis Light"/>
        </w:rPr>
      </w:pPr>
    </w:p>
    <w:p w14:paraId="61920AF2" w14:textId="6F4636EB" w:rsidR="003817E1" w:rsidRDefault="003817E1" w:rsidP="00FB32D6">
      <w:pPr>
        <w:pStyle w:val="BodyTextnonum"/>
        <w:numPr>
          <w:ilvl w:val="0"/>
          <w:numId w:val="0"/>
        </w:numPr>
        <w:ind w:left="709"/>
        <w:rPr>
          <w:rFonts w:eastAsia="Metropolis Light"/>
        </w:rPr>
      </w:pPr>
    </w:p>
    <w:p w14:paraId="21963D94" w14:textId="4D90BEB8" w:rsidR="003817E1" w:rsidRDefault="00A428DC" w:rsidP="003817E1">
      <w:pPr>
        <w:pStyle w:val="ListNumber"/>
        <w:numPr>
          <w:ilvl w:val="0"/>
          <w:numId w:val="0"/>
        </w:numPr>
        <w:ind w:left="1134" w:hanging="425"/>
      </w:pPr>
      <w:r>
        <w:rPr>
          <w:noProof/>
        </w:rPr>
        <mc:AlternateContent>
          <mc:Choice Requires="wpg">
            <w:drawing>
              <wp:anchor distT="0" distB="0" distL="114300" distR="114300" simplePos="0" relativeHeight="251658260" behindDoc="1" locked="0" layoutInCell="1" allowOverlap="1" wp14:anchorId="5B0FEE55" wp14:editId="793AFDE5">
                <wp:simplePos x="0" y="0"/>
                <wp:positionH relativeFrom="page">
                  <wp:posOffset>1080135</wp:posOffset>
                </wp:positionH>
                <wp:positionV relativeFrom="paragraph">
                  <wp:posOffset>98646</wp:posOffset>
                </wp:positionV>
                <wp:extent cx="1440000" cy="1270"/>
                <wp:effectExtent l="0" t="19050" r="27305" b="17780"/>
                <wp:wrapNone/>
                <wp:docPr id="4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000" cy="1270"/>
                          <a:chOff x="1134" y="-190"/>
                          <a:chExt cx="2098" cy="2"/>
                        </a:xfrm>
                      </wpg:grpSpPr>
                      <wps:wsp>
                        <wps:cNvPr id="43" name="Freeform 93"/>
                        <wps:cNvSpPr>
                          <a:spLocks/>
                        </wps:cNvSpPr>
                        <wps:spPr bwMode="auto">
                          <a:xfrm>
                            <a:off x="1134" y="-19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DC058" id="Group 92" o:spid="_x0000_s1026" style="position:absolute;margin-left:85.05pt;margin-top:7.75pt;width:113.4pt;height:.1pt;z-index:-251658220;mso-position-horizontal-relative:page" coordorigin="1134,-19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">
                <v:shape id="Freeform 93" o:spid="_x0000_s1027" style="position:absolute;left:1134;top:-19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" path="m,l2097,e" filled="f" strokecolor="#c96d61" strokeweight="3pt">
                  <v:path arrowok="t" o:connecttype="custom" o:connectlocs="0,0;2097,0" o:connectangles="0,0"/>
                </v:shape>
                <w10:wrap anchorx="page"/>
              </v:group>
            </w:pict>
          </mc:Fallback>
        </mc:AlternateContent>
      </w:r>
    </w:p>
    <w:p w14:paraId="1BC51B8D" w14:textId="382A65D0" w:rsidR="003817E1" w:rsidRDefault="003817E1" w:rsidP="003817E1">
      <w:pPr>
        <w:pStyle w:val="ListNumber"/>
        <w:numPr>
          <w:ilvl w:val="0"/>
          <w:numId w:val="0"/>
        </w:numPr>
        <w:ind w:left="1134" w:hanging="425"/>
      </w:pPr>
    </w:p>
    <w:p w14:paraId="73BEC051" w14:textId="77777777" w:rsidR="003817E1" w:rsidRDefault="003817E1" w:rsidP="003817E1">
      <w:pPr>
        <w:pStyle w:val="ListNumber"/>
        <w:numPr>
          <w:ilvl w:val="0"/>
          <w:numId w:val="0"/>
        </w:numPr>
        <w:ind w:left="1134" w:hanging="425"/>
      </w:pPr>
    </w:p>
    <w:p w14:paraId="77E4EA4B" w14:textId="77777777" w:rsidR="003817E1" w:rsidRDefault="003817E1" w:rsidP="003817E1">
      <w:pPr>
        <w:pStyle w:val="ListNumber"/>
        <w:numPr>
          <w:ilvl w:val="0"/>
          <w:numId w:val="0"/>
        </w:numPr>
        <w:ind w:left="1134" w:hanging="425"/>
        <w:sectPr w:rsidR="003817E1" w:rsidSect="00D50ACF">
          <w:headerReference w:type="default" r:id="rId51"/>
          <w:footnotePr>
            <w:numRestart w:val="eachSect"/>
          </w:footnotePr>
          <w:pgSz w:w="11920" w:h="16840"/>
          <w:pgMar w:top="1134" w:right="1134" w:bottom="1134" w:left="1701" w:header="499" w:footer="46" w:gutter="0"/>
          <w:cols w:space="720"/>
          <w:docGrid w:linePitch="272"/>
        </w:sectPr>
      </w:pPr>
    </w:p>
    <w:p w14:paraId="23FD3DA7" w14:textId="77777777" w:rsidR="003817E1" w:rsidRDefault="003817E1" w:rsidP="003817E1">
      <w:pPr>
        <w:spacing w:before="55" w:after="0" w:line="240" w:lineRule="auto"/>
        <w:ind w:left="114" w:right="-20" w:hanging="114"/>
        <w:rPr>
          <w:rFonts w:ascii="Metropolis" w:eastAsia="Metropolis" w:hAnsi="Metropolis" w:cs="Metropolis"/>
          <w:sz w:val="21"/>
          <w:szCs w:val="21"/>
        </w:rPr>
      </w:pPr>
    </w:p>
    <w:p w14:paraId="329935DF" w14:textId="4A09EE98" w:rsidR="003817E1" w:rsidRDefault="00246EEE">
      <w:pPr>
        <w:pStyle w:val="Heading1"/>
      </w:pPr>
      <w:bookmarkStart w:id="219" w:name="_Toc117063133"/>
      <w:bookmarkStart w:id="220" w:name="_Toc118119325"/>
      <w:r w:rsidRPr="00246EEE">
        <w:t xml:space="preserve">Appendix </w:t>
      </w:r>
      <w:r>
        <w:t>Three</w:t>
      </w:r>
      <w:bookmarkEnd w:id="219"/>
      <w:bookmarkEnd w:id="220"/>
    </w:p>
    <w:p w14:paraId="3AB47FEF" w14:textId="77777777" w:rsidR="003817E1" w:rsidRDefault="003817E1" w:rsidP="003817E1">
      <w:pPr>
        <w:spacing w:after="0" w:line="200" w:lineRule="exact"/>
        <w:rPr>
          <w:szCs w:val="20"/>
        </w:rPr>
      </w:pPr>
    </w:p>
    <w:p w14:paraId="399CB816" w14:textId="77777777" w:rsidR="003817E1" w:rsidRDefault="003817E1" w:rsidP="003817E1">
      <w:pPr>
        <w:spacing w:after="0" w:line="200" w:lineRule="exact"/>
        <w:rPr>
          <w:szCs w:val="20"/>
        </w:rPr>
      </w:pPr>
    </w:p>
    <w:p w14:paraId="4C4EE9AD" w14:textId="77777777" w:rsidR="003817E1" w:rsidRDefault="003817E1" w:rsidP="003817E1">
      <w:pPr>
        <w:spacing w:after="0" w:line="200" w:lineRule="exact"/>
        <w:rPr>
          <w:szCs w:val="20"/>
        </w:rPr>
      </w:pPr>
      <w:r>
        <w:rPr>
          <w:noProof/>
        </w:rPr>
        <mc:AlternateContent>
          <mc:Choice Requires="wpg">
            <w:drawing>
              <wp:anchor distT="0" distB="0" distL="114300" distR="114300" simplePos="0" relativeHeight="251658261" behindDoc="1" locked="0" layoutInCell="1" allowOverlap="1" wp14:anchorId="14A1F880" wp14:editId="24C70691">
                <wp:simplePos x="0" y="0"/>
                <wp:positionH relativeFrom="page">
                  <wp:posOffset>1096140</wp:posOffset>
                </wp:positionH>
                <wp:positionV relativeFrom="paragraph">
                  <wp:posOffset>38100</wp:posOffset>
                </wp:positionV>
                <wp:extent cx="1332230" cy="1270"/>
                <wp:effectExtent l="0" t="19050" r="20320" b="17780"/>
                <wp:wrapNone/>
                <wp:docPr id="4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260"/>
                          <a:chExt cx="2098" cy="2"/>
                        </a:xfrm>
                      </wpg:grpSpPr>
                      <wps:wsp>
                        <wps:cNvPr id="45" name="Freeform 7"/>
                        <wps:cNvSpPr>
                          <a:spLocks/>
                        </wps:cNvSpPr>
                        <wps:spPr bwMode="auto">
                          <a:xfrm>
                            <a:off x="1134" y="-26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A9486" id="Group 6" o:spid="_x0000_s1026" style="position:absolute;margin-left:86.3pt;margin-top:3pt;width:104.9pt;height:.1pt;z-index:-251658219;mso-position-horizontal-relative:page" coordorigin="1134,-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">
                <v:shape id="Freeform 7" o:spid="_x0000_s1027" style="position:absolute;left:1134;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" path="m,l2097,e" filled="f" strokecolor="#c96d61" strokeweight="3pt">
                  <v:path arrowok="t" o:connecttype="custom" o:connectlocs="0,0;2097,0" o:connectangles="0,0"/>
                </v:shape>
                <w10:wrap anchorx="page"/>
              </v:group>
            </w:pict>
          </mc:Fallback>
        </mc:AlternateContent>
      </w:r>
    </w:p>
    <w:p w14:paraId="0A6768D8" w14:textId="77777777" w:rsidR="003817E1" w:rsidRDefault="003817E1" w:rsidP="003817E1">
      <w:pPr>
        <w:spacing w:after="0" w:line="240" w:lineRule="auto"/>
        <w:ind w:left="114" w:right="-20" w:hanging="114"/>
        <w:rPr>
          <w:rFonts w:ascii="Metropolis" w:eastAsia="Metropolis" w:hAnsi="Metropolis" w:cs="Metropolis"/>
          <w:sz w:val="21"/>
          <w:szCs w:val="21"/>
        </w:rPr>
      </w:pPr>
    </w:p>
    <w:p w14:paraId="3C2DD586" w14:textId="77777777" w:rsidR="003817E1" w:rsidRDefault="003817E1" w:rsidP="003817E1">
      <w:pPr>
        <w:spacing w:before="3" w:after="0" w:line="120" w:lineRule="exact"/>
        <w:rPr>
          <w:sz w:val="12"/>
          <w:szCs w:val="12"/>
        </w:rPr>
      </w:pPr>
    </w:p>
    <w:p w14:paraId="5F4BA9D5" w14:textId="77777777" w:rsidR="00164CB5" w:rsidRDefault="00164CB5" w:rsidP="008076D9">
      <w:pPr>
        <w:pStyle w:val="BodyText1"/>
      </w:pPr>
      <w:r>
        <w:t>A sample of orders made under the Epidemic Preparedness Act 2006 follows:</w:t>
      </w:r>
    </w:p>
    <w:p w14:paraId="6983614F" w14:textId="29A20A3F" w:rsidR="00164CB5" w:rsidRPr="008331DD" w:rsidRDefault="00164CB5" w:rsidP="008076D9">
      <w:pPr>
        <w:pStyle w:val="Heading3"/>
      </w:pPr>
      <w:bookmarkStart w:id="221" w:name="_Toc117063134"/>
      <w:bookmarkStart w:id="222" w:name="_Toc118119326"/>
      <w:r w:rsidRPr="008331DD">
        <w:t xml:space="preserve">Epidemic </w:t>
      </w:r>
      <w:r w:rsidR="00CE5F8F">
        <w:t>m</w:t>
      </w:r>
      <w:r w:rsidRPr="008331DD">
        <w:t xml:space="preserve">anagement </w:t>
      </w:r>
      <w:r w:rsidR="00CE5F8F">
        <w:t>n</w:t>
      </w:r>
      <w:r w:rsidRPr="008331DD">
        <w:t xml:space="preserve">otices under s 8 </w:t>
      </w:r>
      <w:r w:rsidR="00534331">
        <w:t>a</w:t>
      </w:r>
      <w:r w:rsidRPr="008331DD">
        <w:t xml:space="preserve">ctivating </w:t>
      </w:r>
      <w:r w:rsidR="00534331">
        <w:t>d</w:t>
      </w:r>
      <w:r w:rsidRPr="008331DD">
        <w:t xml:space="preserve">ormant </w:t>
      </w:r>
      <w:r w:rsidR="00534331">
        <w:t>p</w:t>
      </w:r>
      <w:r w:rsidRPr="008331DD">
        <w:t>rovisions</w:t>
      </w:r>
      <w:bookmarkEnd w:id="221"/>
      <w:bookmarkEnd w:id="222"/>
    </w:p>
    <w:p w14:paraId="703902AA" w14:textId="60C5F622" w:rsidR="00164CB5" w:rsidRPr="00DE5955" w:rsidRDefault="00164CB5" w:rsidP="008076D9">
      <w:pPr>
        <w:pStyle w:val="BodyText1"/>
      </w:pPr>
      <w:r>
        <w:t xml:space="preserve">The three orders made under s 8 of the </w:t>
      </w:r>
      <w:r w:rsidR="00534331">
        <w:t>Epidemic Preparedness Act</w:t>
      </w:r>
      <w:r>
        <w:t xml:space="preserve"> activating dormant provisions in other Acts </w:t>
      </w:r>
      <w:r w:rsidR="00534331">
        <w:t>tha</w:t>
      </w:r>
      <w:r w:rsidR="00613CE6">
        <w:t>t</w:t>
      </w:r>
      <w:r w:rsidR="00534331">
        <w:t xml:space="preserve"> </w:t>
      </w:r>
      <w:r>
        <w:t xml:space="preserve">explicitly refer to the </w:t>
      </w:r>
      <w:r w:rsidR="00534331">
        <w:t>Epidemic Preparedness Act</w:t>
      </w:r>
      <w:r>
        <w:t xml:space="preserve"> are summarised in this table:</w:t>
      </w:r>
    </w:p>
    <w:p w14:paraId="56283455" w14:textId="77777777" w:rsidR="00164CB5" w:rsidRPr="00372FB3" w:rsidRDefault="00164CB5" w:rsidP="00164CB5"/>
    <w:tbl>
      <w:tblPr>
        <w:tblStyle w:val="GridTable4-Accent2"/>
        <w:tblW w:w="9067" w:type="dxa"/>
        <w:tblLook w:val="04A0" w:firstRow="1" w:lastRow="0" w:firstColumn="1" w:lastColumn="0" w:noHBand="0" w:noVBand="1"/>
      </w:tblPr>
      <w:tblGrid>
        <w:gridCol w:w="542"/>
        <w:gridCol w:w="3819"/>
        <w:gridCol w:w="1124"/>
        <w:gridCol w:w="3582"/>
      </w:tblGrid>
      <w:tr w:rsidR="00416546" w:rsidRPr="00B31EDB" w14:paraId="57F00647" w14:textId="77777777" w:rsidTr="00B31EDB">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42" w:type="dxa"/>
            <w:tcBorders>
              <w:top w:val="none" w:sz="0" w:space="0" w:color="auto"/>
              <w:left w:val="none" w:sz="0" w:space="0" w:color="auto"/>
              <w:bottom w:val="none" w:sz="0" w:space="0" w:color="auto"/>
              <w:right w:val="none" w:sz="0" w:space="0" w:color="auto"/>
            </w:tcBorders>
          </w:tcPr>
          <w:p w14:paraId="5F6C9564" w14:textId="77777777" w:rsidR="00164CB5" w:rsidRPr="00B31EDB" w:rsidRDefault="00164CB5" w:rsidP="00583F0D">
            <w:pPr>
              <w:rPr>
                <w:rFonts w:ascii="Metropolis" w:hAnsi="Metropolis"/>
                <w:b w:val="0"/>
                <w:bCs w:val="0"/>
                <w:szCs w:val="20"/>
              </w:rPr>
            </w:pPr>
            <w:r w:rsidRPr="00B31EDB">
              <w:rPr>
                <w:rFonts w:ascii="Metropolis" w:hAnsi="Metropolis"/>
                <w:szCs w:val="20"/>
              </w:rPr>
              <w:t>No</w:t>
            </w:r>
          </w:p>
        </w:tc>
        <w:tc>
          <w:tcPr>
            <w:tcW w:w="3819" w:type="dxa"/>
            <w:tcBorders>
              <w:top w:val="none" w:sz="0" w:space="0" w:color="auto"/>
              <w:left w:val="none" w:sz="0" w:space="0" w:color="auto"/>
              <w:bottom w:val="none" w:sz="0" w:space="0" w:color="auto"/>
              <w:right w:val="none" w:sz="0" w:space="0" w:color="auto"/>
            </w:tcBorders>
          </w:tcPr>
          <w:p w14:paraId="63AC0879" w14:textId="77777777" w:rsidR="00164CB5" w:rsidRPr="00B31EDB" w:rsidRDefault="00164CB5" w:rsidP="00583F0D">
            <w:pPr>
              <w:cnfStyle w:val="100000000000" w:firstRow="1" w:lastRow="0" w:firstColumn="0" w:lastColumn="0" w:oddVBand="0" w:evenVBand="0" w:oddHBand="0" w:evenHBand="0" w:firstRowFirstColumn="0" w:firstRowLastColumn="0" w:lastRowFirstColumn="0" w:lastRowLastColumn="0"/>
              <w:rPr>
                <w:rFonts w:ascii="Metropolis" w:hAnsi="Metropolis"/>
                <w:szCs w:val="20"/>
              </w:rPr>
            </w:pPr>
            <w:r w:rsidRPr="00B31EDB">
              <w:rPr>
                <w:rFonts w:ascii="Metropolis" w:hAnsi="Metropolis"/>
                <w:szCs w:val="20"/>
              </w:rPr>
              <w:t>Name</w:t>
            </w:r>
          </w:p>
        </w:tc>
        <w:tc>
          <w:tcPr>
            <w:tcW w:w="1124" w:type="dxa"/>
            <w:tcBorders>
              <w:top w:val="none" w:sz="0" w:space="0" w:color="auto"/>
              <w:left w:val="none" w:sz="0" w:space="0" w:color="auto"/>
              <w:bottom w:val="none" w:sz="0" w:space="0" w:color="auto"/>
              <w:right w:val="none" w:sz="0" w:space="0" w:color="auto"/>
            </w:tcBorders>
          </w:tcPr>
          <w:p w14:paraId="59CE006B" w14:textId="77777777" w:rsidR="00164CB5" w:rsidRPr="00B31EDB" w:rsidRDefault="00164CB5" w:rsidP="00583F0D">
            <w:pPr>
              <w:cnfStyle w:val="100000000000" w:firstRow="1" w:lastRow="0" w:firstColumn="0" w:lastColumn="0" w:oddVBand="0" w:evenVBand="0" w:oddHBand="0" w:evenHBand="0" w:firstRowFirstColumn="0" w:firstRowLastColumn="0" w:lastRowFirstColumn="0" w:lastRowLastColumn="0"/>
              <w:rPr>
                <w:rFonts w:ascii="Metropolis" w:hAnsi="Metropolis"/>
                <w:szCs w:val="20"/>
              </w:rPr>
            </w:pPr>
            <w:r w:rsidRPr="00B31EDB">
              <w:rPr>
                <w:rFonts w:ascii="Metropolis" w:hAnsi="Metropolis"/>
                <w:szCs w:val="20"/>
              </w:rPr>
              <w:t>Date</w:t>
            </w:r>
          </w:p>
        </w:tc>
        <w:tc>
          <w:tcPr>
            <w:tcW w:w="3582" w:type="dxa"/>
            <w:tcBorders>
              <w:top w:val="none" w:sz="0" w:space="0" w:color="auto"/>
              <w:left w:val="none" w:sz="0" w:space="0" w:color="auto"/>
              <w:bottom w:val="none" w:sz="0" w:space="0" w:color="auto"/>
              <w:right w:val="none" w:sz="0" w:space="0" w:color="auto"/>
            </w:tcBorders>
          </w:tcPr>
          <w:p w14:paraId="4EF2E961" w14:textId="77777777" w:rsidR="00164CB5" w:rsidRPr="00B31EDB" w:rsidRDefault="00164CB5" w:rsidP="00583F0D">
            <w:pPr>
              <w:cnfStyle w:val="100000000000" w:firstRow="1" w:lastRow="0" w:firstColumn="0" w:lastColumn="0" w:oddVBand="0" w:evenVBand="0" w:oddHBand="0" w:evenHBand="0" w:firstRowFirstColumn="0" w:firstRowLastColumn="0" w:lastRowFirstColumn="0" w:lastRowLastColumn="0"/>
              <w:rPr>
                <w:rFonts w:ascii="Metropolis" w:hAnsi="Metropolis"/>
                <w:szCs w:val="20"/>
              </w:rPr>
            </w:pPr>
            <w:r w:rsidRPr="00B31EDB">
              <w:rPr>
                <w:rFonts w:ascii="Metropolis" w:hAnsi="Metropolis"/>
                <w:szCs w:val="20"/>
              </w:rPr>
              <w:t>Purpose</w:t>
            </w:r>
          </w:p>
        </w:tc>
      </w:tr>
      <w:tr w:rsidR="00B31EDB" w:rsidRPr="00416546" w14:paraId="225EFB09" w14:textId="77777777" w:rsidTr="00B31EDB">
        <w:trPr>
          <w:cnfStyle w:val="000000100000" w:firstRow="0" w:lastRow="0" w:firstColumn="0" w:lastColumn="0" w:oddVBand="0" w:evenVBand="0" w:oddHBand="1" w:evenHBand="0" w:firstRowFirstColumn="0" w:firstRowLastColumn="0" w:lastRowFirstColumn="0" w:lastRowLastColumn="0"/>
          <w:trHeight w:val="1894"/>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2E2DBC0B" w14:textId="77777777" w:rsidR="00164CB5" w:rsidRPr="00416546" w:rsidRDefault="00164CB5" w:rsidP="00416546">
            <w:pPr>
              <w:rPr>
                <w:color w:val="000000" w:themeColor="text1"/>
                <w:szCs w:val="20"/>
              </w:rPr>
            </w:pPr>
            <w:r w:rsidRPr="00416546">
              <w:rPr>
                <w:color w:val="000000" w:themeColor="text1"/>
                <w:szCs w:val="20"/>
              </w:rPr>
              <w:t>1</w:t>
            </w:r>
          </w:p>
        </w:tc>
        <w:tc>
          <w:tcPr>
            <w:tcW w:w="3819" w:type="dxa"/>
            <w:shd w:val="clear" w:color="auto" w:fill="auto"/>
          </w:tcPr>
          <w:p w14:paraId="2B93BB34" w14:textId="77777777" w:rsidR="00164CB5" w:rsidRPr="008474ED" w:rsidRDefault="008F3DB7" w:rsidP="00416546">
            <w:pPr>
              <w:cnfStyle w:val="000000100000" w:firstRow="0" w:lastRow="0" w:firstColumn="0" w:lastColumn="0" w:oddVBand="0" w:evenVBand="0" w:oddHBand="1" w:evenHBand="0" w:firstRowFirstColumn="0" w:firstRowLastColumn="0" w:lastRowFirstColumn="0" w:lastRowLastColumn="0"/>
              <w:rPr>
                <w:color w:val="000000" w:themeColor="text1"/>
                <w:szCs w:val="20"/>
              </w:rPr>
            </w:pPr>
            <w:hyperlink r:id="rId52" w:history="1">
              <w:r w:rsidR="00164CB5" w:rsidRPr="008474ED">
                <w:rPr>
                  <w:rStyle w:val="Hyperlink"/>
                  <w:color w:val="000000" w:themeColor="text1"/>
                  <w:szCs w:val="20"/>
                  <w:bdr w:val="none" w:sz="0" w:space="0" w:color="auto" w:frame="1"/>
                </w:rPr>
                <w:t>Epidemic Preparedness (Epidemic Management—COVID-19) Notice 2020</w:t>
              </w:r>
            </w:hyperlink>
          </w:p>
          <w:p w14:paraId="5D817F1F" w14:textId="77777777" w:rsidR="00164CB5" w:rsidRPr="008474ED" w:rsidRDefault="00164CB5" w:rsidP="00416546">
            <w:pPr>
              <w:cnfStyle w:val="000000100000" w:firstRow="0" w:lastRow="0" w:firstColumn="0" w:lastColumn="0" w:oddVBand="0" w:evenVBand="0" w:oddHBand="1" w:evenHBand="0" w:firstRowFirstColumn="0" w:firstRowLastColumn="0" w:lastRowFirstColumn="0" w:lastRowLastColumn="0"/>
              <w:rPr>
                <w:color w:val="000000" w:themeColor="text1"/>
                <w:szCs w:val="20"/>
              </w:rPr>
            </w:pPr>
          </w:p>
        </w:tc>
        <w:tc>
          <w:tcPr>
            <w:tcW w:w="1124" w:type="dxa"/>
            <w:shd w:val="clear" w:color="auto" w:fill="auto"/>
          </w:tcPr>
          <w:p w14:paraId="4BF6C22B" w14:textId="77777777" w:rsidR="00164CB5" w:rsidRPr="00416546" w:rsidRDefault="00164CB5" w:rsidP="00416546">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416546">
              <w:rPr>
                <w:color w:val="000000" w:themeColor="text1"/>
                <w:szCs w:val="20"/>
              </w:rPr>
              <w:t>24 March 2020</w:t>
            </w:r>
          </w:p>
        </w:tc>
        <w:tc>
          <w:tcPr>
            <w:tcW w:w="3582" w:type="dxa"/>
            <w:shd w:val="clear" w:color="auto" w:fill="auto"/>
          </w:tcPr>
          <w:p w14:paraId="5483D9C4" w14:textId="77777777" w:rsidR="00164CB5" w:rsidRPr="00416546" w:rsidRDefault="00164CB5" w:rsidP="00416546">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416546">
              <w:rPr>
                <w:color w:val="000000" w:themeColor="text1"/>
                <w:szCs w:val="20"/>
              </w:rPr>
              <w:t>Modification of:</w:t>
            </w:r>
          </w:p>
          <w:p w14:paraId="61460E7D" w14:textId="79657419" w:rsidR="00164CB5" w:rsidRPr="00416546" w:rsidRDefault="00164CB5" w:rsidP="00556B28">
            <w:pPr>
              <w:pStyle w:val="ListParagraph"/>
              <w:numPr>
                <w:ilvl w:val="0"/>
                <w:numId w:val="20"/>
              </w:numPr>
              <w:ind w:left="214" w:hanging="214"/>
              <w:contextualSpacing w:val="0"/>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NZ"/>
              </w:rPr>
            </w:pPr>
            <w:r w:rsidRPr="00416546">
              <w:rPr>
                <w:color w:val="000000" w:themeColor="text1"/>
                <w:sz w:val="20"/>
                <w:szCs w:val="20"/>
                <w:lang w:eastAsia="en-NZ"/>
              </w:rPr>
              <w:t>Social Security Act 2018</w:t>
            </w:r>
            <w:r w:rsidR="00534331">
              <w:rPr>
                <w:color w:val="000000" w:themeColor="text1"/>
                <w:sz w:val="20"/>
                <w:szCs w:val="20"/>
                <w:lang w:eastAsia="en-NZ"/>
              </w:rPr>
              <w:t>; and</w:t>
            </w:r>
            <w:r w:rsidRPr="00416546">
              <w:rPr>
                <w:color w:val="000000" w:themeColor="text1"/>
                <w:sz w:val="20"/>
                <w:szCs w:val="20"/>
                <w:lang w:eastAsia="en-NZ"/>
              </w:rPr>
              <w:t xml:space="preserve"> </w:t>
            </w:r>
          </w:p>
          <w:p w14:paraId="57A6CCE4" w14:textId="77777777" w:rsidR="00164CB5" w:rsidRPr="00416546" w:rsidRDefault="00164CB5" w:rsidP="00556B28">
            <w:pPr>
              <w:pStyle w:val="ListParagraph"/>
              <w:numPr>
                <w:ilvl w:val="0"/>
                <w:numId w:val="20"/>
              </w:numPr>
              <w:ind w:left="214" w:hanging="214"/>
              <w:contextualSpacing w:val="0"/>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NZ"/>
              </w:rPr>
            </w:pPr>
            <w:r w:rsidRPr="00416546">
              <w:rPr>
                <w:color w:val="000000" w:themeColor="text1"/>
                <w:sz w:val="20"/>
                <w:szCs w:val="20"/>
                <w:lang w:eastAsia="en-NZ"/>
              </w:rPr>
              <w:t>Immigration Act 2009</w:t>
            </w:r>
          </w:p>
          <w:p w14:paraId="350F2DDB" w14:textId="77777777" w:rsidR="00164CB5" w:rsidRPr="00416546" w:rsidRDefault="00164CB5" w:rsidP="00416546">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416546">
              <w:rPr>
                <w:color w:val="000000" w:themeColor="text1"/>
                <w:szCs w:val="20"/>
              </w:rPr>
              <w:t>(Agreement from the Minister for Social Development and the Minister of Immigration)</w:t>
            </w:r>
          </w:p>
        </w:tc>
      </w:tr>
      <w:tr w:rsidR="00164CB5" w:rsidRPr="00416546" w14:paraId="13339C7B" w14:textId="77777777" w:rsidTr="00B31EDB">
        <w:trPr>
          <w:trHeight w:val="2152"/>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30D13EE5" w14:textId="77777777" w:rsidR="00164CB5" w:rsidRPr="00416546" w:rsidRDefault="00164CB5" w:rsidP="00416546">
            <w:pPr>
              <w:rPr>
                <w:color w:val="000000" w:themeColor="text1"/>
                <w:szCs w:val="20"/>
              </w:rPr>
            </w:pPr>
            <w:r w:rsidRPr="00416546">
              <w:rPr>
                <w:color w:val="000000" w:themeColor="text1"/>
                <w:szCs w:val="20"/>
              </w:rPr>
              <w:t>2</w:t>
            </w:r>
          </w:p>
        </w:tc>
        <w:tc>
          <w:tcPr>
            <w:tcW w:w="3819" w:type="dxa"/>
            <w:shd w:val="clear" w:color="auto" w:fill="auto"/>
          </w:tcPr>
          <w:p w14:paraId="66669AA0" w14:textId="77777777" w:rsidR="00164CB5" w:rsidRPr="008474ED" w:rsidRDefault="008F3DB7" w:rsidP="00416546">
            <w:pPr>
              <w:cnfStyle w:val="000000000000" w:firstRow="0" w:lastRow="0" w:firstColumn="0" w:lastColumn="0" w:oddVBand="0" w:evenVBand="0" w:oddHBand="0" w:evenHBand="0" w:firstRowFirstColumn="0" w:firstRowLastColumn="0" w:lastRowFirstColumn="0" w:lastRowLastColumn="0"/>
              <w:rPr>
                <w:color w:val="000000" w:themeColor="text1"/>
                <w:szCs w:val="20"/>
              </w:rPr>
            </w:pPr>
            <w:hyperlink r:id="rId53" w:history="1">
              <w:r w:rsidR="00164CB5" w:rsidRPr="008474ED">
                <w:rPr>
                  <w:rStyle w:val="Hyperlink"/>
                  <w:color w:val="000000" w:themeColor="text1"/>
                  <w:szCs w:val="20"/>
                  <w:bdr w:val="none" w:sz="0" w:space="0" w:color="auto" w:frame="1"/>
                </w:rPr>
                <w:t>Epidemic Preparedness (Epidemic Management—COVID-19—Parole Act 2002 and Sentencing Act 2002) Notice 2020</w:t>
              </w:r>
            </w:hyperlink>
          </w:p>
          <w:p w14:paraId="0946D840" w14:textId="77777777" w:rsidR="00164CB5" w:rsidRPr="008474ED" w:rsidRDefault="00164CB5" w:rsidP="00416546">
            <w:pPr>
              <w:cnfStyle w:val="000000000000" w:firstRow="0" w:lastRow="0" w:firstColumn="0" w:lastColumn="0" w:oddVBand="0" w:evenVBand="0" w:oddHBand="0" w:evenHBand="0" w:firstRowFirstColumn="0" w:firstRowLastColumn="0" w:lastRowFirstColumn="0" w:lastRowLastColumn="0"/>
              <w:rPr>
                <w:color w:val="000000" w:themeColor="text1"/>
                <w:szCs w:val="20"/>
              </w:rPr>
            </w:pPr>
          </w:p>
        </w:tc>
        <w:tc>
          <w:tcPr>
            <w:tcW w:w="1124" w:type="dxa"/>
            <w:shd w:val="clear" w:color="auto" w:fill="auto"/>
          </w:tcPr>
          <w:p w14:paraId="7DE2C6D8" w14:textId="77777777" w:rsidR="00164CB5" w:rsidRPr="00416546" w:rsidRDefault="00164CB5" w:rsidP="00416546">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416546">
              <w:rPr>
                <w:color w:val="000000" w:themeColor="text1"/>
                <w:szCs w:val="20"/>
              </w:rPr>
              <w:t>30 March 2020</w:t>
            </w:r>
          </w:p>
        </w:tc>
        <w:tc>
          <w:tcPr>
            <w:tcW w:w="3582" w:type="dxa"/>
            <w:shd w:val="clear" w:color="auto" w:fill="auto"/>
          </w:tcPr>
          <w:p w14:paraId="7FF34420" w14:textId="77777777" w:rsidR="00164CB5" w:rsidRPr="00416546" w:rsidRDefault="00164CB5" w:rsidP="00416546">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416546">
              <w:rPr>
                <w:color w:val="000000" w:themeColor="text1"/>
                <w:szCs w:val="20"/>
              </w:rPr>
              <w:t>Modification of:</w:t>
            </w:r>
          </w:p>
          <w:p w14:paraId="328982FA" w14:textId="6C638C23" w:rsidR="00164CB5" w:rsidRPr="00416546" w:rsidRDefault="00164CB5" w:rsidP="00556B28">
            <w:pPr>
              <w:pStyle w:val="ListParagraph"/>
              <w:numPr>
                <w:ilvl w:val="0"/>
                <w:numId w:val="20"/>
              </w:numPr>
              <w:ind w:left="214" w:hanging="214"/>
              <w:contextualSpacing w:val="0"/>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NZ"/>
              </w:rPr>
            </w:pPr>
            <w:r w:rsidRPr="00416546">
              <w:rPr>
                <w:color w:val="000000" w:themeColor="text1"/>
                <w:sz w:val="20"/>
                <w:szCs w:val="20"/>
                <w:lang w:eastAsia="en-NZ"/>
              </w:rPr>
              <w:t>Parole Act 2002 (but only s 13A and 56A)</w:t>
            </w:r>
            <w:r w:rsidR="00534331">
              <w:rPr>
                <w:color w:val="000000" w:themeColor="text1"/>
                <w:sz w:val="20"/>
                <w:szCs w:val="20"/>
                <w:lang w:eastAsia="en-NZ"/>
              </w:rPr>
              <w:t>; and</w:t>
            </w:r>
          </w:p>
          <w:p w14:paraId="60727454" w14:textId="77777777" w:rsidR="00164CB5" w:rsidRPr="00416546" w:rsidRDefault="00164CB5" w:rsidP="00556B28">
            <w:pPr>
              <w:pStyle w:val="ListParagraph"/>
              <w:numPr>
                <w:ilvl w:val="0"/>
                <w:numId w:val="20"/>
              </w:numPr>
              <w:ind w:left="214" w:hanging="214"/>
              <w:contextualSpacing w:val="0"/>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NZ"/>
              </w:rPr>
            </w:pPr>
            <w:r w:rsidRPr="00416546">
              <w:rPr>
                <w:color w:val="000000" w:themeColor="text1"/>
                <w:sz w:val="20"/>
                <w:szCs w:val="20"/>
                <w:lang w:eastAsia="en-NZ"/>
              </w:rPr>
              <w:t xml:space="preserve">Sentencing Act 2002 </w:t>
            </w:r>
          </w:p>
          <w:p w14:paraId="21E5AD9C" w14:textId="77777777" w:rsidR="00164CB5" w:rsidRPr="00416546" w:rsidRDefault="00164CB5" w:rsidP="00416546">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416546">
              <w:rPr>
                <w:color w:val="000000" w:themeColor="text1"/>
                <w:szCs w:val="20"/>
              </w:rPr>
              <w:t>(Agreement from the Minister of Justice and the Minister of Corrections)</w:t>
            </w:r>
          </w:p>
          <w:p w14:paraId="0341ED27" w14:textId="77777777" w:rsidR="00164CB5" w:rsidRPr="00416546" w:rsidRDefault="00164CB5" w:rsidP="00416546">
            <w:pPr>
              <w:cnfStyle w:val="000000000000" w:firstRow="0" w:lastRow="0" w:firstColumn="0" w:lastColumn="0" w:oddVBand="0" w:evenVBand="0" w:oddHBand="0" w:evenHBand="0" w:firstRowFirstColumn="0" w:firstRowLastColumn="0" w:lastRowFirstColumn="0" w:lastRowLastColumn="0"/>
              <w:rPr>
                <w:color w:val="000000" w:themeColor="text1"/>
                <w:szCs w:val="20"/>
              </w:rPr>
            </w:pPr>
          </w:p>
        </w:tc>
      </w:tr>
      <w:tr w:rsidR="00B31EDB" w:rsidRPr="00416546" w14:paraId="1269A1CF" w14:textId="77777777" w:rsidTr="00B31EDB">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3E06CDB6" w14:textId="77777777" w:rsidR="00164CB5" w:rsidRPr="00416546" w:rsidRDefault="00164CB5" w:rsidP="00416546">
            <w:pPr>
              <w:rPr>
                <w:szCs w:val="20"/>
              </w:rPr>
            </w:pPr>
            <w:r w:rsidRPr="00416546">
              <w:rPr>
                <w:szCs w:val="20"/>
              </w:rPr>
              <w:t>3</w:t>
            </w:r>
          </w:p>
        </w:tc>
        <w:tc>
          <w:tcPr>
            <w:tcW w:w="3819" w:type="dxa"/>
            <w:shd w:val="clear" w:color="auto" w:fill="auto"/>
          </w:tcPr>
          <w:p w14:paraId="260EA459" w14:textId="77777777" w:rsidR="00164CB5" w:rsidRPr="008474ED" w:rsidRDefault="008F3DB7" w:rsidP="00416546">
            <w:pPr>
              <w:cnfStyle w:val="000000100000" w:firstRow="0" w:lastRow="0" w:firstColumn="0" w:lastColumn="0" w:oddVBand="0" w:evenVBand="0" w:oddHBand="1" w:evenHBand="0" w:firstRowFirstColumn="0" w:firstRowLastColumn="0" w:lastRowFirstColumn="0" w:lastRowLastColumn="0"/>
              <w:rPr>
                <w:color w:val="000000" w:themeColor="text1"/>
                <w:szCs w:val="20"/>
              </w:rPr>
            </w:pPr>
            <w:hyperlink r:id="rId54" w:history="1">
              <w:r w:rsidR="00164CB5" w:rsidRPr="008474ED">
                <w:rPr>
                  <w:rStyle w:val="Hyperlink"/>
                  <w:color w:val="000000" w:themeColor="text1"/>
                  <w:szCs w:val="20"/>
                  <w:bdr w:val="none" w:sz="0" w:space="0" w:color="auto" w:frame="1"/>
                </w:rPr>
                <w:t>Epidemic Preparedness (Epidemic Management—COVID-19) Notice (No. 2) 2020</w:t>
              </w:r>
            </w:hyperlink>
          </w:p>
          <w:p w14:paraId="1AC3AD05" w14:textId="77777777" w:rsidR="00164CB5" w:rsidRPr="008474ED" w:rsidRDefault="00164CB5" w:rsidP="00416546">
            <w:pPr>
              <w:cnfStyle w:val="000000100000" w:firstRow="0" w:lastRow="0" w:firstColumn="0" w:lastColumn="0" w:oddVBand="0" w:evenVBand="0" w:oddHBand="1" w:evenHBand="0" w:firstRowFirstColumn="0" w:firstRowLastColumn="0" w:lastRowFirstColumn="0" w:lastRowLastColumn="0"/>
              <w:rPr>
                <w:color w:val="000000" w:themeColor="text1"/>
                <w:szCs w:val="20"/>
              </w:rPr>
            </w:pPr>
          </w:p>
        </w:tc>
        <w:tc>
          <w:tcPr>
            <w:tcW w:w="1124" w:type="dxa"/>
            <w:shd w:val="clear" w:color="auto" w:fill="auto"/>
          </w:tcPr>
          <w:p w14:paraId="5FD1659E" w14:textId="77777777" w:rsidR="00164CB5" w:rsidRPr="00416546" w:rsidRDefault="00164CB5" w:rsidP="00416546">
            <w:pPr>
              <w:cnfStyle w:val="000000100000" w:firstRow="0" w:lastRow="0" w:firstColumn="0" w:lastColumn="0" w:oddVBand="0" w:evenVBand="0" w:oddHBand="1" w:evenHBand="0" w:firstRowFirstColumn="0" w:firstRowLastColumn="0" w:lastRowFirstColumn="0" w:lastRowLastColumn="0"/>
              <w:rPr>
                <w:szCs w:val="20"/>
              </w:rPr>
            </w:pPr>
            <w:r w:rsidRPr="00416546">
              <w:rPr>
                <w:szCs w:val="20"/>
              </w:rPr>
              <w:t>24 June 2020</w:t>
            </w:r>
          </w:p>
        </w:tc>
        <w:tc>
          <w:tcPr>
            <w:tcW w:w="3582" w:type="dxa"/>
            <w:shd w:val="clear" w:color="auto" w:fill="auto"/>
          </w:tcPr>
          <w:p w14:paraId="7F343F34" w14:textId="2580664C" w:rsidR="00164CB5" w:rsidRPr="00416546" w:rsidRDefault="00164CB5" w:rsidP="00416546">
            <w:pPr>
              <w:cnfStyle w:val="000000100000" w:firstRow="0" w:lastRow="0" w:firstColumn="0" w:lastColumn="0" w:oddVBand="0" w:evenVBand="0" w:oddHBand="1" w:evenHBand="0" w:firstRowFirstColumn="0" w:firstRowLastColumn="0" w:lastRowFirstColumn="0" w:lastRowLastColumn="0"/>
              <w:rPr>
                <w:szCs w:val="20"/>
              </w:rPr>
            </w:pPr>
            <w:r w:rsidRPr="00416546">
              <w:rPr>
                <w:szCs w:val="20"/>
              </w:rPr>
              <w:t xml:space="preserve">Revoked all modifications of the Immigration Act except for s 341. </w:t>
            </w:r>
          </w:p>
        </w:tc>
      </w:tr>
    </w:tbl>
    <w:p w14:paraId="797135AC" w14:textId="77777777" w:rsidR="00164CB5" w:rsidRDefault="00164CB5" w:rsidP="00164CB5"/>
    <w:p w14:paraId="0724FF86" w14:textId="77777777" w:rsidR="00164CB5" w:rsidRDefault="00164CB5" w:rsidP="00164CB5"/>
    <w:p w14:paraId="316B6ADB" w14:textId="77777777" w:rsidR="00164CB5" w:rsidRDefault="00164CB5" w:rsidP="00164CB5"/>
    <w:p w14:paraId="00EF2FB9" w14:textId="77777777" w:rsidR="00164CB5" w:rsidRPr="00372FB3" w:rsidRDefault="00164CB5" w:rsidP="00164CB5"/>
    <w:p w14:paraId="73068FB7" w14:textId="01A88061" w:rsidR="00164CB5" w:rsidRDefault="00164CB5" w:rsidP="00C26815">
      <w:pPr>
        <w:pStyle w:val="BodyText1"/>
      </w:pPr>
      <w:r w:rsidRPr="00372FB3">
        <w:lastRenderedPageBreak/>
        <w:t xml:space="preserve">On 24 March 2020, the same day the </w:t>
      </w:r>
      <w:r w:rsidR="00470B51">
        <w:t>e</w:t>
      </w:r>
      <w:r w:rsidRPr="00372FB3">
        <w:t xml:space="preserve">pidemic </w:t>
      </w:r>
      <w:r w:rsidR="00470B51">
        <w:t>n</w:t>
      </w:r>
      <w:r w:rsidRPr="00372FB3">
        <w:t xml:space="preserve">otice under s 5 was made, various provisions in the Social Security Act were activated. </w:t>
      </w:r>
    </w:p>
    <w:tbl>
      <w:tblPr>
        <w:tblStyle w:val="GridTable4-Accent2"/>
        <w:tblW w:w="9067" w:type="dxa"/>
        <w:tblLook w:val="04A0" w:firstRow="1" w:lastRow="0" w:firstColumn="1" w:lastColumn="0" w:noHBand="0" w:noVBand="1"/>
      </w:tblPr>
      <w:tblGrid>
        <w:gridCol w:w="988"/>
        <w:gridCol w:w="5103"/>
        <w:gridCol w:w="2976"/>
      </w:tblGrid>
      <w:tr w:rsidR="00431CF2" w:rsidRPr="00431CF2" w14:paraId="597ADB38" w14:textId="77777777" w:rsidTr="001065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top w:val="none" w:sz="0" w:space="0" w:color="auto"/>
              <w:left w:val="none" w:sz="0" w:space="0" w:color="auto"/>
              <w:bottom w:val="none" w:sz="0" w:space="0" w:color="auto"/>
              <w:right w:val="none" w:sz="0" w:space="0" w:color="auto"/>
            </w:tcBorders>
          </w:tcPr>
          <w:p w14:paraId="4FA0906B" w14:textId="77777777" w:rsidR="00164CB5" w:rsidRPr="00431CF2" w:rsidRDefault="00164CB5" w:rsidP="000667DD">
            <w:pPr>
              <w:jc w:val="center"/>
              <w:rPr>
                <w:rFonts w:ascii="Metropolis" w:hAnsi="Metropolis"/>
                <w:b w:val="0"/>
                <w:bCs w:val="0"/>
              </w:rPr>
            </w:pPr>
            <w:r w:rsidRPr="00431CF2">
              <w:rPr>
                <w:rFonts w:ascii="Metropolis" w:hAnsi="Metropolis"/>
              </w:rPr>
              <w:t>Section</w:t>
            </w:r>
          </w:p>
        </w:tc>
        <w:tc>
          <w:tcPr>
            <w:tcW w:w="5103" w:type="dxa"/>
            <w:tcBorders>
              <w:top w:val="none" w:sz="0" w:space="0" w:color="auto"/>
              <w:left w:val="none" w:sz="0" w:space="0" w:color="auto"/>
              <w:bottom w:val="none" w:sz="0" w:space="0" w:color="auto"/>
              <w:right w:val="none" w:sz="0" w:space="0" w:color="auto"/>
            </w:tcBorders>
          </w:tcPr>
          <w:p w14:paraId="5DD1297E" w14:textId="77777777" w:rsidR="00164CB5" w:rsidRPr="00431CF2" w:rsidRDefault="00164CB5" w:rsidP="000667DD">
            <w:pPr>
              <w:jc w:val="center"/>
              <w:cnfStyle w:val="100000000000" w:firstRow="1" w:lastRow="0" w:firstColumn="0" w:lastColumn="0" w:oddVBand="0" w:evenVBand="0" w:oddHBand="0" w:evenHBand="0" w:firstRowFirstColumn="0" w:firstRowLastColumn="0" w:lastRowFirstColumn="0" w:lastRowLastColumn="0"/>
              <w:rPr>
                <w:rFonts w:ascii="Metropolis" w:hAnsi="Metropolis"/>
                <w:b w:val="0"/>
                <w:bCs w:val="0"/>
              </w:rPr>
            </w:pPr>
            <w:r w:rsidRPr="00431CF2">
              <w:rPr>
                <w:rFonts w:ascii="Metropolis" w:hAnsi="Metropolis"/>
              </w:rPr>
              <w:t>Power</w:t>
            </w:r>
          </w:p>
        </w:tc>
        <w:tc>
          <w:tcPr>
            <w:tcW w:w="2976" w:type="dxa"/>
            <w:tcBorders>
              <w:top w:val="none" w:sz="0" w:space="0" w:color="auto"/>
              <w:left w:val="none" w:sz="0" w:space="0" w:color="auto"/>
              <w:bottom w:val="none" w:sz="0" w:space="0" w:color="auto"/>
              <w:right w:val="none" w:sz="0" w:space="0" w:color="auto"/>
            </w:tcBorders>
          </w:tcPr>
          <w:p w14:paraId="3C31B1B2" w14:textId="77777777" w:rsidR="00164CB5" w:rsidRPr="00431CF2" w:rsidRDefault="00164CB5" w:rsidP="000667DD">
            <w:pPr>
              <w:jc w:val="center"/>
              <w:cnfStyle w:val="100000000000" w:firstRow="1" w:lastRow="0" w:firstColumn="0" w:lastColumn="0" w:oddVBand="0" w:evenVBand="0" w:oddHBand="0" w:evenHBand="0" w:firstRowFirstColumn="0" w:firstRowLastColumn="0" w:lastRowFirstColumn="0" w:lastRowLastColumn="0"/>
              <w:rPr>
                <w:rFonts w:ascii="Metropolis" w:hAnsi="Metropolis"/>
                <w:b w:val="0"/>
                <w:bCs w:val="0"/>
              </w:rPr>
            </w:pPr>
            <w:r w:rsidRPr="00431CF2">
              <w:rPr>
                <w:rFonts w:ascii="Metropolis" w:hAnsi="Metropolis"/>
              </w:rPr>
              <w:t>Comment</w:t>
            </w:r>
          </w:p>
        </w:tc>
      </w:tr>
      <w:tr w:rsidR="00E9557D" w:rsidRPr="00372FB3" w14:paraId="0C0A8919" w14:textId="77777777" w:rsidTr="00106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E5B8B7" w:themeFill="accent2" w:themeFillTint="66"/>
          </w:tcPr>
          <w:p w14:paraId="5938E037" w14:textId="77777777" w:rsidR="00164CB5" w:rsidRPr="00DC3703" w:rsidRDefault="00164CB5" w:rsidP="000667DD">
            <w:pPr>
              <w:jc w:val="center"/>
              <w:rPr>
                <w:b w:val="0"/>
                <w:bCs w:val="0"/>
                <w:color w:val="000000" w:themeColor="text1"/>
              </w:rPr>
            </w:pPr>
            <w:r w:rsidRPr="00DC3703">
              <w:rPr>
                <w:color w:val="000000" w:themeColor="text1"/>
              </w:rPr>
              <w:t>64</w:t>
            </w:r>
          </w:p>
        </w:tc>
        <w:tc>
          <w:tcPr>
            <w:tcW w:w="5103" w:type="dxa"/>
            <w:shd w:val="clear" w:color="auto" w:fill="auto"/>
          </w:tcPr>
          <w:p w14:paraId="75FE74E5" w14:textId="3851AB8E" w:rsidR="00164CB5" w:rsidRPr="00372FB3" w:rsidRDefault="00164CB5" w:rsidP="000667DD">
            <w:pPr>
              <w:cnfStyle w:val="000000100000" w:firstRow="0" w:lastRow="0" w:firstColumn="0" w:lastColumn="0" w:oddVBand="0" w:evenVBand="0" w:oddHBand="1" w:evenHBand="0" w:firstRowFirstColumn="0" w:firstRowLastColumn="0" w:lastRowFirstColumn="0" w:lastRowLastColumn="0"/>
              <w:rPr>
                <w:color w:val="000000" w:themeColor="text1"/>
              </w:rPr>
            </w:pPr>
            <w:r w:rsidRPr="00372FB3">
              <w:rPr>
                <w:color w:val="000000" w:themeColor="text1"/>
              </w:rPr>
              <w:t>Allows the Minist</w:t>
            </w:r>
            <w:r>
              <w:rPr>
                <w:color w:val="000000" w:themeColor="text1"/>
              </w:rPr>
              <w:t>ry</w:t>
            </w:r>
            <w:r w:rsidRPr="00372FB3">
              <w:rPr>
                <w:color w:val="000000" w:themeColor="text1"/>
              </w:rPr>
              <w:t xml:space="preserve"> for Social Development to, with their Minister’s approval, grant emergency benefits to people who would not otherwise be entitled to them</w:t>
            </w:r>
            <w:r w:rsidR="005B4463">
              <w:rPr>
                <w:color w:val="000000" w:themeColor="text1"/>
              </w:rPr>
              <w:t>.</w:t>
            </w:r>
          </w:p>
        </w:tc>
        <w:tc>
          <w:tcPr>
            <w:tcW w:w="2976" w:type="dxa"/>
            <w:vMerge w:val="restart"/>
            <w:shd w:val="clear" w:color="auto" w:fill="auto"/>
          </w:tcPr>
          <w:p w14:paraId="3DD76A01" w14:textId="77777777" w:rsidR="00164CB5" w:rsidRPr="00372FB3" w:rsidRDefault="00164CB5" w:rsidP="000667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These enhanced compliance, relieved distress and had a humanitarian purpose.</w:t>
            </w:r>
          </w:p>
        </w:tc>
      </w:tr>
      <w:tr w:rsidR="00106588" w:rsidRPr="00372FB3" w14:paraId="5198ED19" w14:textId="77777777" w:rsidTr="00106588">
        <w:tc>
          <w:tcPr>
            <w:cnfStyle w:val="001000000000" w:firstRow="0" w:lastRow="0" w:firstColumn="1" w:lastColumn="0" w:oddVBand="0" w:evenVBand="0" w:oddHBand="0" w:evenHBand="0" w:firstRowFirstColumn="0" w:firstRowLastColumn="0" w:lastRowFirstColumn="0" w:lastRowLastColumn="0"/>
            <w:tcW w:w="988" w:type="dxa"/>
            <w:shd w:val="clear" w:color="auto" w:fill="E5B8B7" w:themeFill="accent2" w:themeFillTint="66"/>
          </w:tcPr>
          <w:p w14:paraId="0B3A4AAB" w14:textId="77777777" w:rsidR="00164CB5" w:rsidRPr="00DC3703" w:rsidRDefault="00164CB5" w:rsidP="000667DD">
            <w:pPr>
              <w:jc w:val="center"/>
              <w:rPr>
                <w:b w:val="0"/>
                <w:bCs w:val="0"/>
                <w:color w:val="000000" w:themeColor="text1"/>
              </w:rPr>
            </w:pPr>
            <w:r w:rsidRPr="00DC3703">
              <w:rPr>
                <w:color w:val="000000" w:themeColor="text1"/>
              </w:rPr>
              <w:t>299</w:t>
            </w:r>
          </w:p>
        </w:tc>
        <w:tc>
          <w:tcPr>
            <w:tcW w:w="5103" w:type="dxa"/>
            <w:shd w:val="clear" w:color="auto" w:fill="auto"/>
          </w:tcPr>
          <w:p w14:paraId="564F39A4" w14:textId="77DEB2E8" w:rsidR="00164CB5" w:rsidRPr="00372FB3" w:rsidRDefault="00164CB5" w:rsidP="000667DD">
            <w:pPr>
              <w:cnfStyle w:val="000000000000" w:firstRow="0" w:lastRow="0" w:firstColumn="0" w:lastColumn="0" w:oddVBand="0" w:evenVBand="0" w:oddHBand="0" w:evenHBand="0" w:firstRowFirstColumn="0" w:firstRowLastColumn="0" w:lastRowFirstColumn="0" w:lastRowLastColumn="0"/>
              <w:rPr>
                <w:color w:val="000000" w:themeColor="text1"/>
              </w:rPr>
            </w:pPr>
            <w:r w:rsidRPr="00372FB3">
              <w:rPr>
                <w:color w:val="000000" w:themeColor="text1"/>
              </w:rPr>
              <w:t>Allows the Ministry for Social Development to grant benefits even if the claims for them have not been inquired into</w:t>
            </w:r>
            <w:r w:rsidR="005B4463">
              <w:rPr>
                <w:color w:val="000000" w:themeColor="text1"/>
              </w:rPr>
              <w:t>.</w:t>
            </w:r>
          </w:p>
        </w:tc>
        <w:tc>
          <w:tcPr>
            <w:tcW w:w="2976" w:type="dxa"/>
            <w:vMerge/>
            <w:shd w:val="clear" w:color="auto" w:fill="auto"/>
          </w:tcPr>
          <w:p w14:paraId="38633945" w14:textId="77777777" w:rsidR="00164CB5" w:rsidRPr="00372FB3" w:rsidRDefault="00164CB5" w:rsidP="000667DD">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E9557D" w:rsidRPr="00372FB3" w14:paraId="2FFBFC66" w14:textId="77777777" w:rsidTr="00106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E5B8B7" w:themeFill="accent2" w:themeFillTint="66"/>
          </w:tcPr>
          <w:p w14:paraId="72CCBA89" w14:textId="77777777" w:rsidR="00164CB5" w:rsidRPr="00DC3703" w:rsidRDefault="00164CB5" w:rsidP="000667DD">
            <w:pPr>
              <w:jc w:val="center"/>
              <w:rPr>
                <w:b w:val="0"/>
                <w:bCs w:val="0"/>
                <w:color w:val="000000" w:themeColor="text1"/>
              </w:rPr>
            </w:pPr>
            <w:r w:rsidRPr="00DC3703">
              <w:rPr>
                <w:color w:val="000000" w:themeColor="text1"/>
              </w:rPr>
              <w:t>443</w:t>
            </w:r>
          </w:p>
        </w:tc>
        <w:tc>
          <w:tcPr>
            <w:tcW w:w="5103" w:type="dxa"/>
            <w:shd w:val="clear" w:color="auto" w:fill="auto"/>
          </w:tcPr>
          <w:p w14:paraId="331D0D89" w14:textId="302F47C5" w:rsidR="00164CB5" w:rsidRPr="00372FB3" w:rsidRDefault="00164CB5" w:rsidP="000667DD">
            <w:pPr>
              <w:cnfStyle w:val="000000100000" w:firstRow="0" w:lastRow="0" w:firstColumn="0" w:lastColumn="0" w:oddVBand="0" w:evenVBand="0" w:oddHBand="1" w:evenHBand="0" w:firstRowFirstColumn="0" w:firstRowLastColumn="0" w:lastRowFirstColumn="0" w:lastRowLastColumn="0"/>
              <w:rPr>
                <w:color w:val="000000" w:themeColor="text1"/>
              </w:rPr>
            </w:pPr>
            <w:r w:rsidRPr="00372FB3">
              <w:rPr>
                <w:color w:val="000000" w:themeColor="text1"/>
              </w:rPr>
              <w:t xml:space="preserve">Empowers the Governor-General to make regulations </w:t>
            </w:r>
            <w:r w:rsidR="005B4463">
              <w:rPr>
                <w:color w:val="000000" w:themeColor="text1"/>
              </w:rPr>
              <w:t>that</w:t>
            </w:r>
            <w:r w:rsidRPr="00372FB3">
              <w:rPr>
                <w:color w:val="000000" w:themeColor="text1"/>
              </w:rPr>
              <w:t>, in general terms, relax the usual rules that would detrimentally affect people</w:t>
            </w:r>
            <w:r>
              <w:rPr>
                <w:color w:val="000000" w:themeColor="text1"/>
              </w:rPr>
              <w:t xml:space="preserve"> in terms of their entitlements to benefits</w:t>
            </w:r>
            <w:r w:rsidRPr="00372FB3">
              <w:rPr>
                <w:color w:val="000000" w:themeColor="text1"/>
              </w:rPr>
              <w:t>.</w:t>
            </w:r>
            <w:r w:rsidRPr="00DE5955">
              <w:rPr>
                <w:vertAlign w:val="superscript"/>
              </w:rPr>
              <w:footnoteReference w:id="141"/>
            </w:r>
          </w:p>
        </w:tc>
        <w:tc>
          <w:tcPr>
            <w:tcW w:w="2976" w:type="dxa"/>
            <w:vMerge/>
            <w:shd w:val="clear" w:color="auto" w:fill="auto"/>
          </w:tcPr>
          <w:p w14:paraId="7C9D0CAB" w14:textId="77777777" w:rsidR="00164CB5" w:rsidRPr="00372FB3" w:rsidRDefault="00164CB5" w:rsidP="000667DD">
            <w:pPr>
              <w:cnfStyle w:val="000000100000" w:firstRow="0" w:lastRow="0" w:firstColumn="0" w:lastColumn="0" w:oddVBand="0" w:evenVBand="0" w:oddHBand="1" w:evenHBand="0" w:firstRowFirstColumn="0" w:firstRowLastColumn="0" w:lastRowFirstColumn="0" w:lastRowLastColumn="0"/>
              <w:rPr>
                <w:color w:val="000000" w:themeColor="text1"/>
              </w:rPr>
            </w:pPr>
          </w:p>
        </w:tc>
      </w:tr>
    </w:tbl>
    <w:p w14:paraId="710EADB1" w14:textId="77777777" w:rsidR="00164CB5" w:rsidRPr="00DC3703" w:rsidRDefault="00164CB5" w:rsidP="00164CB5"/>
    <w:p w14:paraId="5B2A5AEE" w14:textId="77777777" w:rsidR="00164CB5" w:rsidRPr="00C75CC9" w:rsidRDefault="00164CB5" w:rsidP="00C26815">
      <w:pPr>
        <w:pStyle w:val="Heading3"/>
      </w:pPr>
      <w:bookmarkStart w:id="223" w:name="_Toc117063135"/>
      <w:bookmarkStart w:id="224" w:name="_Toc118119327"/>
      <w:r w:rsidRPr="008331DD">
        <w:t>Modification of Immigration Act (Order 1)</w:t>
      </w:r>
      <w:bookmarkEnd w:id="223"/>
      <w:bookmarkEnd w:id="224"/>
    </w:p>
    <w:p w14:paraId="02EF5194" w14:textId="50C9DA13" w:rsidR="00164CB5" w:rsidRDefault="00164CB5" w:rsidP="00C26815">
      <w:pPr>
        <w:pStyle w:val="BodyText1"/>
      </w:pPr>
      <w:r>
        <w:t>O</w:t>
      </w:r>
      <w:r w:rsidRPr="00372FB3">
        <w:t xml:space="preserve">n 24 March 2020, various provisions in the Immigration Act </w:t>
      </w:r>
      <w:r>
        <w:t xml:space="preserve">were </w:t>
      </w:r>
      <w:r w:rsidRPr="00372FB3">
        <w:t xml:space="preserve">activated. </w:t>
      </w:r>
      <w:r>
        <w:t xml:space="preserve">However, </w:t>
      </w:r>
      <w:proofErr w:type="gramStart"/>
      <w:r>
        <w:t>with the exception of</w:t>
      </w:r>
      <w:proofErr w:type="gramEnd"/>
      <w:r>
        <w:t xml:space="preserve"> s 341, all these provisions were subsequently made dormant again o</w:t>
      </w:r>
      <w:r w:rsidRPr="00372FB3">
        <w:t xml:space="preserve">n 24 June 2020 </w:t>
      </w:r>
      <w:r>
        <w:t>(see Order</w:t>
      </w:r>
      <w:r w:rsidRPr="00372FB3">
        <w:t xml:space="preserve"> 3) </w:t>
      </w:r>
      <w:r>
        <w:t xml:space="preserve">as a result of </w:t>
      </w:r>
      <w:r w:rsidR="005B4463">
        <w:t xml:space="preserve">the </w:t>
      </w:r>
      <w:r>
        <w:t>Prime Minister’s</w:t>
      </w:r>
      <w:r w:rsidRPr="00372FB3">
        <w:t xml:space="preserve"> </w:t>
      </w:r>
      <w:r>
        <w:t xml:space="preserve">responsibility </w:t>
      </w:r>
      <w:r w:rsidRPr="00372FB3">
        <w:t xml:space="preserve">in s 10 of the </w:t>
      </w:r>
      <w:r w:rsidR="005B4463">
        <w:t xml:space="preserve">Epidemic Preparedness Act </w:t>
      </w:r>
      <w:r>
        <w:t xml:space="preserve">to keep the situation under review. The relevant provisions are set out below: </w:t>
      </w:r>
    </w:p>
    <w:tbl>
      <w:tblPr>
        <w:tblStyle w:val="GridTable4-Accent2"/>
        <w:tblW w:w="9067" w:type="dxa"/>
        <w:tblLook w:val="04A0" w:firstRow="1" w:lastRow="0" w:firstColumn="1" w:lastColumn="0" w:noHBand="0" w:noVBand="1"/>
      </w:tblPr>
      <w:tblGrid>
        <w:gridCol w:w="977"/>
        <w:gridCol w:w="5114"/>
        <w:gridCol w:w="2976"/>
      </w:tblGrid>
      <w:tr w:rsidR="00164CB5" w:rsidRPr="00372FB3" w14:paraId="65DFE4AA" w14:textId="77777777" w:rsidTr="009325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77" w:type="dxa"/>
            <w:tcBorders>
              <w:top w:val="none" w:sz="0" w:space="0" w:color="auto"/>
              <w:left w:val="none" w:sz="0" w:space="0" w:color="auto"/>
              <w:bottom w:val="none" w:sz="0" w:space="0" w:color="auto"/>
              <w:right w:val="none" w:sz="0" w:space="0" w:color="auto"/>
            </w:tcBorders>
          </w:tcPr>
          <w:p w14:paraId="0F4E988A" w14:textId="77777777" w:rsidR="00164CB5" w:rsidRPr="008455E1" w:rsidRDefault="00164CB5" w:rsidP="008455E1">
            <w:pPr>
              <w:jc w:val="center"/>
              <w:rPr>
                <w:rFonts w:ascii="Metropolis" w:hAnsi="Metropolis"/>
              </w:rPr>
            </w:pPr>
            <w:r w:rsidRPr="008455E1">
              <w:rPr>
                <w:rFonts w:ascii="Metropolis" w:hAnsi="Metropolis"/>
              </w:rPr>
              <w:t>Section</w:t>
            </w:r>
          </w:p>
        </w:tc>
        <w:tc>
          <w:tcPr>
            <w:tcW w:w="5114" w:type="dxa"/>
            <w:tcBorders>
              <w:top w:val="none" w:sz="0" w:space="0" w:color="auto"/>
              <w:left w:val="none" w:sz="0" w:space="0" w:color="auto"/>
              <w:bottom w:val="none" w:sz="0" w:space="0" w:color="auto"/>
              <w:right w:val="none" w:sz="0" w:space="0" w:color="auto"/>
            </w:tcBorders>
          </w:tcPr>
          <w:p w14:paraId="553E93EA" w14:textId="77777777" w:rsidR="00164CB5" w:rsidRPr="008455E1" w:rsidRDefault="00164CB5" w:rsidP="008455E1">
            <w:pPr>
              <w:jc w:val="center"/>
              <w:cnfStyle w:val="100000000000" w:firstRow="1" w:lastRow="0" w:firstColumn="0" w:lastColumn="0" w:oddVBand="0" w:evenVBand="0" w:oddHBand="0" w:evenHBand="0" w:firstRowFirstColumn="0" w:firstRowLastColumn="0" w:lastRowFirstColumn="0" w:lastRowLastColumn="0"/>
              <w:rPr>
                <w:rFonts w:ascii="Metropolis" w:hAnsi="Metropolis"/>
              </w:rPr>
            </w:pPr>
            <w:r w:rsidRPr="008455E1">
              <w:rPr>
                <w:rFonts w:ascii="Metropolis" w:hAnsi="Metropolis"/>
              </w:rPr>
              <w:t>Power</w:t>
            </w:r>
          </w:p>
        </w:tc>
        <w:tc>
          <w:tcPr>
            <w:tcW w:w="2976" w:type="dxa"/>
            <w:tcBorders>
              <w:top w:val="none" w:sz="0" w:space="0" w:color="auto"/>
              <w:left w:val="none" w:sz="0" w:space="0" w:color="auto"/>
              <w:bottom w:val="none" w:sz="0" w:space="0" w:color="auto"/>
              <w:right w:val="none" w:sz="0" w:space="0" w:color="auto"/>
            </w:tcBorders>
          </w:tcPr>
          <w:p w14:paraId="5CBD512C" w14:textId="77777777" w:rsidR="00164CB5" w:rsidRPr="008455E1" w:rsidRDefault="00164CB5" w:rsidP="008455E1">
            <w:pPr>
              <w:jc w:val="center"/>
              <w:cnfStyle w:val="100000000000" w:firstRow="1" w:lastRow="0" w:firstColumn="0" w:lastColumn="0" w:oddVBand="0" w:evenVBand="0" w:oddHBand="0" w:evenHBand="0" w:firstRowFirstColumn="0" w:firstRowLastColumn="0" w:lastRowFirstColumn="0" w:lastRowLastColumn="0"/>
              <w:rPr>
                <w:rFonts w:ascii="Metropolis" w:hAnsi="Metropolis"/>
              </w:rPr>
            </w:pPr>
            <w:r w:rsidRPr="008455E1">
              <w:rPr>
                <w:rFonts w:ascii="Metropolis" w:hAnsi="Metropolis"/>
              </w:rPr>
              <w:t>Comment</w:t>
            </w:r>
          </w:p>
        </w:tc>
      </w:tr>
      <w:tr w:rsidR="00164CB5" w:rsidRPr="00372FB3" w14:paraId="6FA1BCBD" w14:textId="77777777" w:rsidTr="00932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dxa"/>
            <w:shd w:val="clear" w:color="auto" w:fill="E5B8B7" w:themeFill="accent2" w:themeFillTint="66"/>
          </w:tcPr>
          <w:p w14:paraId="59544C3C" w14:textId="77777777" w:rsidR="00164CB5" w:rsidRPr="00DC3703" w:rsidRDefault="00164CB5" w:rsidP="008455E1">
            <w:pPr>
              <w:jc w:val="center"/>
              <w:rPr>
                <w:b w:val="0"/>
                <w:bCs w:val="0"/>
                <w:color w:val="000000" w:themeColor="text1"/>
              </w:rPr>
            </w:pPr>
            <w:r w:rsidRPr="00DC3703">
              <w:rPr>
                <w:color w:val="000000" w:themeColor="text1"/>
              </w:rPr>
              <w:t>78</w:t>
            </w:r>
          </w:p>
        </w:tc>
        <w:tc>
          <w:tcPr>
            <w:tcW w:w="5114" w:type="dxa"/>
            <w:shd w:val="clear" w:color="auto" w:fill="auto"/>
          </w:tcPr>
          <w:p w14:paraId="11FD8B04" w14:textId="0CA158C7" w:rsidR="00164CB5" w:rsidRPr="00372FB3" w:rsidRDefault="00164CB5" w:rsidP="008455E1">
            <w:pPr>
              <w:cnfStyle w:val="000000100000" w:firstRow="0" w:lastRow="0" w:firstColumn="0" w:lastColumn="0" w:oddVBand="0" w:evenVBand="0" w:oddHBand="1" w:evenHBand="0" w:firstRowFirstColumn="0" w:firstRowLastColumn="0" w:lastRowFirstColumn="0" w:lastRowLastColumn="0"/>
              <w:rPr>
                <w:color w:val="000000" w:themeColor="text1"/>
              </w:rPr>
            </w:pPr>
            <w:r w:rsidRPr="00372FB3">
              <w:rPr>
                <w:color w:val="000000" w:themeColor="text1"/>
              </w:rPr>
              <w:t xml:space="preserve">Deems existing temporary entry class visas to be extended in certain circumstances relating to </w:t>
            </w:r>
            <w:r>
              <w:rPr>
                <w:color w:val="000000" w:themeColor="text1"/>
              </w:rPr>
              <w:t xml:space="preserve">an </w:t>
            </w:r>
            <w:r w:rsidRPr="00372FB3">
              <w:rPr>
                <w:color w:val="000000" w:themeColor="text1"/>
              </w:rPr>
              <w:t>epidemic</w:t>
            </w:r>
            <w:r w:rsidR="005B4463">
              <w:rPr>
                <w:color w:val="000000" w:themeColor="text1"/>
              </w:rPr>
              <w:t>.</w:t>
            </w:r>
          </w:p>
        </w:tc>
        <w:tc>
          <w:tcPr>
            <w:tcW w:w="2976" w:type="dxa"/>
            <w:shd w:val="clear" w:color="auto" w:fill="auto"/>
          </w:tcPr>
          <w:p w14:paraId="46CADD89" w14:textId="10F6FB2A" w:rsidR="00164CB5" w:rsidRPr="00372FB3" w:rsidRDefault="00164CB5" w:rsidP="008455E1">
            <w:pPr>
              <w:cnfStyle w:val="000000100000" w:firstRow="0" w:lastRow="0" w:firstColumn="0" w:lastColumn="0" w:oddVBand="0" w:evenVBand="0" w:oddHBand="1" w:evenHBand="0" w:firstRowFirstColumn="0" w:firstRowLastColumn="0" w:lastRowFirstColumn="0" w:lastRowLastColumn="0"/>
              <w:rPr>
                <w:color w:val="000000" w:themeColor="text1"/>
              </w:rPr>
            </w:pPr>
            <w:r w:rsidRPr="00372FB3">
              <w:rPr>
                <w:color w:val="000000" w:themeColor="text1"/>
              </w:rPr>
              <w:t xml:space="preserve">Humanitarian and </w:t>
            </w:r>
            <w:r>
              <w:rPr>
                <w:color w:val="000000" w:themeColor="text1"/>
              </w:rPr>
              <w:t>un</w:t>
            </w:r>
            <w:r w:rsidRPr="00372FB3">
              <w:rPr>
                <w:color w:val="000000" w:themeColor="text1"/>
              </w:rPr>
              <w:t>controversial</w:t>
            </w:r>
            <w:r w:rsidR="005B4463">
              <w:rPr>
                <w:color w:val="000000" w:themeColor="text1"/>
              </w:rPr>
              <w:t>.</w:t>
            </w:r>
          </w:p>
        </w:tc>
      </w:tr>
      <w:tr w:rsidR="00164CB5" w:rsidRPr="00372FB3" w14:paraId="720A7686" w14:textId="77777777" w:rsidTr="0093254A">
        <w:tc>
          <w:tcPr>
            <w:cnfStyle w:val="001000000000" w:firstRow="0" w:lastRow="0" w:firstColumn="1" w:lastColumn="0" w:oddVBand="0" w:evenVBand="0" w:oddHBand="0" w:evenHBand="0" w:firstRowFirstColumn="0" w:firstRowLastColumn="0" w:lastRowFirstColumn="0" w:lastRowLastColumn="0"/>
            <w:tcW w:w="977" w:type="dxa"/>
            <w:shd w:val="clear" w:color="auto" w:fill="E5B8B7" w:themeFill="accent2" w:themeFillTint="66"/>
          </w:tcPr>
          <w:p w14:paraId="2AD2950C" w14:textId="77777777" w:rsidR="00164CB5" w:rsidRPr="00DC3703" w:rsidRDefault="00164CB5" w:rsidP="008455E1">
            <w:pPr>
              <w:jc w:val="center"/>
              <w:rPr>
                <w:b w:val="0"/>
                <w:bCs w:val="0"/>
                <w:color w:val="000000" w:themeColor="text1"/>
              </w:rPr>
            </w:pPr>
            <w:r w:rsidRPr="00DC3703">
              <w:rPr>
                <w:color w:val="000000" w:themeColor="text1"/>
              </w:rPr>
              <w:t>337</w:t>
            </w:r>
          </w:p>
        </w:tc>
        <w:tc>
          <w:tcPr>
            <w:tcW w:w="5114" w:type="dxa"/>
            <w:shd w:val="clear" w:color="auto" w:fill="auto"/>
          </w:tcPr>
          <w:p w14:paraId="6BACC6E5" w14:textId="461F3D8C" w:rsidR="00164CB5" w:rsidRPr="00372FB3" w:rsidRDefault="00164CB5" w:rsidP="008455E1">
            <w:pPr>
              <w:cnfStyle w:val="000000000000" w:firstRow="0" w:lastRow="0" w:firstColumn="0" w:lastColumn="0" w:oddVBand="0" w:evenVBand="0" w:oddHBand="0" w:evenHBand="0" w:firstRowFirstColumn="0" w:firstRowLastColumn="0" w:lastRowFirstColumn="0" w:lastRowLastColumn="0"/>
              <w:rPr>
                <w:color w:val="000000" w:themeColor="text1"/>
              </w:rPr>
            </w:pPr>
            <w:r w:rsidRPr="00372FB3">
              <w:rPr>
                <w:color w:val="000000" w:themeColor="text1"/>
              </w:rPr>
              <w:t xml:space="preserve">Allows a District Court </w:t>
            </w:r>
            <w:r w:rsidR="005B4463">
              <w:rPr>
                <w:color w:val="000000" w:themeColor="text1"/>
              </w:rPr>
              <w:t>j</w:t>
            </w:r>
            <w:r w:rsidRPr="00372FB3">
              <w:rPr>
                <w:color w:val="000000" w:themeColor="text1"/>
              </w:rPr>
              <w:t xml:space="preserve">udge to deal with matters </w:t>
            </w:r>
            <w:proofErr w:type="gramStart"/>
            <w:r w:rsidRPr="00372FB3">
              <w:rPr>
                <w:color w:val="000000" w:themeColor="text1"/>
              </w:rPr>
              <w:t>on the basis of</w:t>
            </w:r>
            <w:proofErr w:type="gramEnd"/>
            <w:r w:rsidRPr="00372FB3">
              <w:rPr>
                <w:color w:val="000000" w:themeColor="text1"/>
              </w:rPr>
              <w:t xml:space="preserve"> documents only where that Act would normally require a certain person to be brought before the </w:t>
            </w:r>
            <w:r w:rsidR="005B4463">
              <w:rPr>
                <w:color w:val="000000" w:themeColor="text1"/>
              </w:rPr>
              <w:t>j</w:t>
            </w:r>
            <w:r w:rsidRPr="00372FB3">
              <w:rPr>
                <w:color w:val="000000" w:themeColor="text1"/>
              </w:rPr>
              <w:t>udge</w:t>
            </w:r>
            <w:r w:rsidR="005B4463">
              <w:rPr>
                <w:color w:val="000000" w:themeColor="text1"/>
              </w:rPr>
              <w:t>.</w:t>
            </w:r>
          </w:p>
        </w:tc>
        <w:tc>
          <w:tcPr>
            <w:tcW w:w="2976" w:type="dxa"/>
            <w:vMerge w:val="restart"/>
            <w:shd w:val="clear" w:color="auto" w:fill="auto"/>
          </w:tcPr>
          <w:p w14:paraId="5480F381" w14:textId="5428A616" w:rsidR="00164CB5" w:rsidRPr="00372FB3" w:rsidRDefault="00164CB5" w:rsidP="008455E1">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For both these provisions</w:t>
            </w:r>
            <w:r w:rsidR="005B4463">
              <w:rPr>
                <w:color w:val="000000" w:themeColor="text1"/>
              </w:rPr>
              <w:t>,</w:t>
            </w:r>
            <w:r>
              <w:rPr>
                <w:color w:val="000000" w:themeColor="text1"/>
              </w:rPr>
              <w:t xml:space="preserve"> t</w:t>
            </w:r>
            <w:r w:rsidRPr="00372FB3">
              <w:rPr>
                <w:color w:val="000000" w:themeColor="text1"/>
              </w:rPr>
              <w:t xml:space="preserve">he goal seems to be expediency, but </w:t>
            </w:r>
            <w:r>
              <w:rPr>
                <w:color w:val="000000" w:themeColor="text1"/>
              </w:rPr>
              <w:t>they</w:t>
            </w:r>
            <w:r w:rsidRPr="00372FB3">
              <w:rPr>
                <w:color w:val="000000" w:themeColor="text1"/>
              </w:rPr>
              <w:t xml:space="preserve"> raise potential due process concerns</w:t>
            </w:r>
            <w:r>
              <w:rPr>
                <w:color w:val="000000" w:themeColor="text1"/>
              </w:rPr>
              <w:t xml:space="preserve"> </w:t>
            </w:r>
            <w:r w:rsidR="005B4463">
              <w:rPr>
                <w:color w:val="000000" w:themeColor="text1"/>
              </w:rPr>
              <w:t xml:space="preserve">– </w:t>
            </w:r>
            <w:r>
              <w:rPr>
                <w:color w:val="000000" w:themeColor="text1"/>
              </w:rPr>
              <w:t>r</w:t>
            </w:r>
            <w:r w:rsidRPr="00372FB3">
              <w:rPr>
                <w:color w:val="000000" w:themeColor="text1"/>
              </w:rPr>
              <w:t xml:space="preserve">ight to </w:t>
            </w:r>
            <w:r>
              <w:rPr>
                <w:color w:val="000000" w:themeColor="text1"/>
              </w:rPr>
              <w:t xml:space="preserve">a </w:t>
            </w:r>
            <w:r w:rsidRPr="00372FB3">
              <w:rPr>
                <w:color w:val="000000" w:themeColor="text1"/>
              </w:rPr>
              <w:t>fair trial and to be present at trial (</w:t>
            </w:r>
            <w:r w:rsidR="005B4463">
              <w:rPr>
                <w:color w:val="000000" w:themeColor="text1"/>
              </w:rPr>
              <w:t xml:space="preserve">New Zealand Bill of Rights Act 1990 </w:t>
            </w:r>
            <w:r w:rsidRPr="00372FB3">
              <w:rPr>
                <w:color w:val="000000" w:themeColor="text1"/>
              </w:rPr>
              <w:t>s 25(a) and (e)</w:t>
            </w:r>
            <w:r>
              <w:rPr>
                <w:color w:val="000000" w:themeColor="text1"/>
              </w:rPr>
              <w:t>)</w:t>
            </w:r>
            <w:r w:rsidRPr="00372FB3">
              <w:rPr>
                <w:color w:val="000000" w:themeColor="text1"/>
              </w:rPr>
              <w:t xml:space="preserve">. </w:t>
            </w:r>
            <w:r>
              <w:rPr>
                <w:color w:val="000000" w:themeColor="text1"/>
              </w:rPr>
              <w:t xml:space="preserve">Subject to a test of </w:t>
            </w:r>
            <w:r w:rsidRPr="00372FB3">
              <w:rPr>
                <w:color w:val="000000" w:themeColor="text1"/>
              </w:rPr>
              <w:t>justified limitation.</w:t>
            </w:r>
          </w:p>
        </w:tc>
      </w:tr>
      <w:tr w:rsidR="00164CB5" w:rsidRPr="00372FB3" w14:paraId="17E97D9A" w14:textId="77777777" w:rsidTr="00932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dxa"/>
            <w:shd w:val="clear" w:color="auto" w:fill="E5B8B7" w:themeFill="accent2" w:themeFillTint="66"/>
          </w:tcPr>
          <w:p w14:paraId="1671EAA5" w14:textId="77777777" w:rsidR="00164CB5" w:rsidRPr="00DC3703" w:rsidRDefault="00164CB5" w:rsidP="008455E1">
            <w:pPr>
              <w:jc w:val="center"/>
              <w:rPr>
                <w:b w:val="0"/>
                <w:bCs w:val="0"/>
                <w:color w:val="000000" w:themeColor="text1"/>
              </w:rPr>
            </w:pPr>
            <w:r w:rsidRPr="00DC3703">
              <w:rPr>
                <w:color w:val="000000" w:themeColor="text1"/>
              </w:rPr>
              <w:t>338</w:t>
            </w:r>
          </w:p>
        </w:tc>
        <w:tc>
          <w:tcPr>
            <w:tcW w:w="5114" w:type="dxa"/>
            <w:shd w:val="clear" w:color="auto" w:fill="auto"/>
          </w:tcPr>
          <w:p w14:paraId="2B436813" w14:textId="04EC0963" w:rsidR="00164CB5" w:rsidRPr="00372FB3" w:rsidRDefault="00164CB5" w:rsidP="008455E1">
            <w:pPr>
              <w:cnfStyle w:val="000000100000" w:firstRow="0" w:lastRow="0" w:firstColumn="0" w:lastColumn="0" w:oddVBand="0" w:evenVBand="0" w:oddHBand="1" w:evenHBand="0" w:firstRowFirstColumn="0" w:firstRowLastColumn="0" w:lastRowFirstColumn="0" w:lastRowLastColumn="0"/>
              <w:rPr>
                <w:color w:val="000000" w:themeColor="text1"/>
              </w:rPr>
            </w:pPr>
            <w:r w:rsidRPr="00372FB3">
              <w:rPr>
                <w:color w:val="000000" w:themeColor="text1"/>
              </w:rPr>
              <w:t xml:space="preserve">Allows a District Court </w:t>
            </w:r>
            <w:r w:rsidR="005B4463">
              <w:rPr>
                <w:color w:val="000000" w:themeColor="text1"/>
              </w:rPr>
              <w:t>j</w:t>
            </w:r>
            <w:r w:rsidRPr="00372FB3">
              <w:rPr>
                <w:color w:val="000000" w:themeColor="text1"/>
              </w:rPr>
              <w:t xml:space="preserve">udge to consider a particular question at intervals of not more than 28 days where that Act would normally require a person to be brought before the </w:t>
            </w:r>
            <w:r w:rsidR="005B4463">
              <w:rPr>
                <w:color w:val="000000" w:themeColor="text1"/>
              </w:rPr>
              <w:t>j</w:t>
            </w:r>
            <w:r w:rsidRPr="00372FB3">
              <w:rPr>
                <w:color w:val="000000" w:themeColor="text1"/>
              </w:rPr>
              <w:t>udge for the consideration of the question at intervals of not more than a stated duration</w:t>
            </w:r>
            <w:r w:rsidR="005B4463">
              <w:rPr>
                <w:color w:val="000000" w:themeColor="text1"/>
              </w:rPr>
              <w:t>.</w:t>
            </w:r>
          </w:p>
        </w:tc>
        <w:tc>
          <w:tcPr>
            <w:tcW w:w="2976" w:type="dxa"/>
            <w:vMerge/>
          </w:tcPr>
          <w:p w14:paraId="53FC7A37" w14:textId="77777777" w:rsidR="00164CB5" w:rsidRPr="00372FB3" w:rsidRDefault="00164CB5" w:rsidP="008455E1">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164CB5" w:rsidRPr="00372FB3" w14:paraId="40A08D9C" w14:textId="77777777" w:rsidTr="0093254A">
        <w:tc>
          <w:tcPr>
            <w:cnfStyle w:val="001000000000" w:firstRow="0" w:lastRow="0" w:firstColumn="1" w:lastColumn="0" w:oddVBand="0" w:evenVBand="0" w:oddHBand="0" w:evenHBand="0" w:firstRowFirstColumn="0" w:firstRowLastColumn="0" w:lastRowFirstColumn="0" w:lastRowLastColumn="0"/>
            <w:tcW w:w="977" w:type="dxa"/>
            <w:shd w:val="clear" w:color="auto" w:fill="E5B8B7" w:themeFill="accent2" w:themeFillTint="66"/>
          </w:tcPr>
          <w:p w14:paraId="73844CD1" w14:textId="77777777" w:rsidR="00164CB5" w:rsidRPr="00DC3703" w:rsidRDefault="00164CB5" w:rsidP="008455E1">
            <w:pPr>
              <w:jc w:val="center"/>
              <w:rPr>
                <w:b w:val="0"/>
                <w:bCs w:val="0"/>
                <w:color w:val="000000" w:themeColor="text1"/>
              </w:rPr>
            </w:pPr>
            <w:r w:rsidRPr="00DC3703">
              <w:rPr>
                <w:color w:val="000000" w:themeColor="text1"/>
              </w:rPr>
              <w:lastRenderedPageBreak/>
              <w:t>339</w:t>
            </w:r>
          </w:p>
        </w:tc>
        <w:tc>
          <w:tcPr>
            <w:tcW w:w="5114" w:type="dxa"/>
            <w:shd w:val="clear" w:color="auto" w:fill="auto"/>
          </w:tcPr>
          <w:p w14:paraId="3583DFE5" w14:textId="6E30D5C8" w:rsidR="00164CB5" w:rsidRPr="00372FB3" w:rsidRDefault="00164CB5" w:rsidP="00106588">
            <w:pPr>
              <w:cnfStyle w:val="000000000000" w:firstRow="0" w:lastRow="0" w:firstColumn="0" w:lastColumn="0" w:oddVBand="0" w:evenVBand="0" w:oddHBand="0" w:evenHBand="0" w:firstRowFirstColumn="0" w:firstRowLastColumn="0" w:lastRowFirstColumn="0" w:lastRowLastColumn="0"/>
              <w:rPr>
                <w:color w:val="000000" w:themeColor="text1"/>
              </w:rPr>
            </w:pPr>
            <w:r w:rsidRPr="00372FB3">
              <w:rPr>
                <w:color w:val="000000" w:themeColor="text1"/>
              </w:rPr>
              <w:t>Provides that existing warrants of commitment have effect for 28 days. Such a warrant can</w:t>
            </w:r>
            <w:r>
              <w:rPr>
                <w:color w:val="000000" w:themeColor="text1"/>
              </w:rPr>
              <w:t xml:space="preserve"> be</w:t>
            </w:r>
            <w:r w:rsidRPr="00372FB3">
              <w:rPr>
                <w:color w:val="000000" w:themeColor="text1"/>
              </w:rPr>
              <w:t xml:space="preserve"> authori</w:t>
            </w:r>
            <w:r>
              <w:rPr>
                <w:color w:val="000000" w:themeColor="text1"/>
              </w:rPr>
              <w:t>s</w:t>
            </w:r>
            <w:r w:rsidRPr="00372FB3">
              <w:rPr>
                <w:color w:val="000000" w:themeColor="text1"/>
              </w:rPr>
              <w:t xml:space="preserve">ed </w:t>
            </w:r>
            <w:r>
              <w:rPr>
                <w:color w:val="000000" w:themeColor="text1"/>
              </w:rPr>
              <w:t xml:space="preserve">for </w:t>
            </w:r>
            <w:r w:rsidRPr="00372FB3">
              <w:rPr>
                <w:color w:val="000000" w:themeColor="text1"/>
              </w:rPr>
              <w:t xml:space="preserve">up to 28 days ordinarily (s 316) so, in other words, it allows this to be pushed up the statutory maximum regardless of what the </w:t>
            </w:r>
            <w:r w:rsidR="0057633E">
              <w:rPr>
                <w:color w:val="000000" w:themeColor="text1"/>
              </w:rPr>
              <w:t>j</w:t>
            </w:r>
            <w:r w:rsidRPr="00372FB3">
              <w:rPr>
                <w:color w:val="000000" w:themeColor="text1"/>
              </w:rPr>
              <w:t xml:space="preserve">udge </w:t>
            </w:r>
            <w:proofErr w:type="gramStart"/>
            <w:r w:rsidRPr="00372FB3">
              <w:rPr>
                <w:color w:val="000000" w:themeColor="text1"/>
              </w:rPr>
              <w:t>actually ruled</w:t>
            </w:r>
            <w:proofErr w:type="gramEnd"/>
            <w:r w:rsidRPr="00372FB3">
              <w:rPr>
                <w:color w:val="000000" w:themeColor="text1"/>
              </w:rPr>
              <w:t xml:space="preserve">. </w:t>
            </w:r>
          </w:p>
        </w:tc>
        <w:tc>
          <w:tcPr>
            <w:tcW w:w="2976" w:type="dxa"/>
            <w:shd w:val="clear" w:color="auto" w:fill="auto"/>
          </w:tcPr>
          <w:p w14:paraId="38982A6E" w14:textId="62864A0C" w:rsidR="00164CB5" w:rsidRPr="00372FB3" w:rsidRDefault="00164CB5" w:rsidP="00106588">
            <w:pPr>
              <w:cnfStyle w:val="000000000000" w:firstRow="0" w:lastRow="0" w:firstColumn="0" w:lastColumn="0" w:oddVBand="0" w:evenVBand="0" w:oddHBand="0" w:evenHBand="0" w:firstRowFirstColumn="0" w:firstRowLastColumn="0" w:lastRowFirstColumn="0" w:lastRowLastColumn="0"/>
              <w:rPr>
                <w:color w:val="000000" w:themeColor="text1"/>
              </w:rPr>
            </w:pPr>
            <w:r w:rsidRPr="00372FB3">
              <w:rPr>
                <w:color w:val="000000" w:themeColor="text1"/>
              </w:rPr>
              <w:t>This engages the liberty right (</w:t>
            </w:r>
            <w:r w:rsidR="0057633E">
              <w:rPr>
                <w:color w:val="000000" w:themeColor="text1"/>
              </w:rPr>
              <w:t xml:space="preserve">New Zealand Bill of Rights Act </w:t>
            </w:r>
            <w:r w:rsidRPr="00372FB3">
              <w:rPr>
                <w:color w:val="000000" w:themeColor="text1"/>
              </w:rPr>
              <w:t xml:space="preserve">s 22), but </w:t>
            </w:r>
            <w:r>
              <w:rPr>
                <w:color w:val="000000" w:themeColor="text1"/>
              </w:rPr>
              <w:t xml:space="preserve">it is </w:t>
            </w:r>
            <w:r w:rsidRPr="00372FB3">
              <w:rPr>
                <w:color w:val="000000" w:themeColor="text1"/>
              </w:rPr>
              <w:t xml:space="preserve">likely </w:t>
            </w:r>
            <w:r>
              <w:rPr>
                <w:color w:val="000000" w:themeColor="text1"/>
              </w:rPr>
              <w:t xml:space="preserve">a </w:t>
            </w:r>
            <w:r w:rsidRPr="00372FB3">
              <w:rPr>
                <w:color w:val="000000" w:themeColor="text1"/>
              </w:rPr>
              <w:t xml:space="preserve">justified limit given it does not go beyond </w:t>
            </w:r>
            <w:r>
              <w:rPr>
                <w:color w:val="000000" w:themeColor="text1"/>
              </w:rPr>
              <w:t xml:space="preserve">the </w:t>
            </w:r>
            <w:r w:rsidRPr="00372FB3">
              <w:rPr>
                <w:color w:val="000000" w:themeColor="text1"/>
              </w:rPr>
              <w:t>statutory maximum.</w:t>
            </w:r>
            <w:r>
              <w:rPr>
                <w:color w:val="000000" w:themeColor="text1"/>
              </w:rPr>
              <w:t xml:space="preserve"> </w:t>
            </w:r>
          </w:p>
        </w:tc>
      </w:tr>
      <w:tr w:rsidR="00164CB5" w:rsidRPr="00372FB3" w14:paraId="13314DE1" w14:textId="77777777" w:rsidTr="00932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dxa"/>
            <w:shd w:val="clear" w:color="auto" w:fill="E5B8B7" w:themeFill="accent2" w:themeFillTint="66"/>
          </w:tcPr>
          <w:p w14:paraId="6A6576BB" w14:textId="77777777" w:rsidR="00164CB5" w:rsidRPr="00DC3703" w:rsidRDefault="00164CB5" w:rsidP="008455E1">
            <w:pPr>
              <w:jc w:val="center"/>
              <w:rPr>
                <w:b w:val="0"/>
                <w:bCs w:val="0"/>
                <w:color w:val="000000" w:themeColor="text1"/>
              </w:rPr>
            </w:pPr>
            <w:r w:rsidRPr="00DC3703">
              <w:rPr>
                <w:color w:val="000000" w:themeColor="text1"/>
              </w:rPr>
              <w:t>340</w:t>
            </w:r>
          </w:p>
        </w:tc>
        <w:tc>
          <w:tcPr>
            <w:tcW w:w="5114" w:type="dxa"/>
            <w:shd w:val="clear" w:color="auto" w:fill="auto"/>
          </w:tcPr>
          <w:p w14:paraId="5188D4B3" w14:textId="616EC21D" w:rsidR="00164CB5" w:rsidRPr="00372FB3" w:rsidRDefault="00164CB5" w:rsidP="00106588">
            <w:pPr>
              <w:cnfStyle w:val="000000100000" w:firstRow="0" w:lastRow="0" w:firstColumn="0" w:lastColumn="0" w:oddVBand="0" w:evenVBand="0" w:oddHBand="1" w:evenHBand="0" w:firstRowFirstColumn="0" w:firstRowLastColumn="0" w:lastRowFirstColumn="0" w:lastRowLastColumn="0"/>
              <w:rPr>
                <w:color w:val="000000" w:themeColor="text1"/>
              </w:rPr>
            </w:pPr>
            <w:r w:rsidRPr="00372FB3">
              <w:rPr>
                <w:color w:val="000000" w:themeColor="text1"/>
              </w:rPr>
              <w:t xml:space="preserve">Allows an immigration officer and a released person to agree to vary a condition imposed under s 320 of that Act without express permission from the order or consent of a District Court </w:t>
            </w:r>
            <w:r w:rsidR="0057633E">
              <w:rPr>
                <w:color w:val="000000" w:themeColor="text1"/>
              </w:rPr>
              <w:t>j</w:t>
            </w:r>
            <w:r w:rsidRPr="00372FB3">
              <w:rPr>
                <w:color w:val="000000" w:themeColor="text1"/>
              </w:rPr>
              <w:t xml:space="preserve">udge. </w:t>
            </w:r>
          </w:p>
        </w:tc>
        <w:tc>
          <w:tcPr>
            <w:tcW w:w="2976" w:type="dxa"/>
            <w:shd w:val="clear" w:color="auto" w:fill="auto"/>
          </w:tcPr>
          <w:p w14:paraId="0954BF08" w14:textId="7119AC72" w:rsidR="00164CB5" w:rsidRPr="00372FB3" w:rsidRDefault="00164CB5" w:rsidP="00106588">
            <w:pPr>
              <w:cnfStyle w:val="000000100000" w:firstRow="0" w:lastRow="0" w:firstColumn="0" w:lastColumn="0" w:oddVBand="0" w:evenVBand="0" w:oddHBand="1" w:evenHBand="0" w:firstRowFirstColumn="0" w:firstRowLastColumn="0" w:lastRowFirstColumn="0" w:lastRowLastColumn="0"/>
              <w:rPr>
                <w:color w:val="000000" w:themeColor="text1"/>
              </w:rPr>
            </w:pPr>
            <w:r w:rsidRPr="00372FB3">
              <w:rPr>
                <w:color w:val="000000" w:themeColor="text1"/>
              </w:rPr>
              <w:t xml:space="preserve">These conditions concern matters such as where a person lives or where or when they report. The goal is clearly expediency and avoiding in-person court hearings. </w:t>
            </w:r>
            <w:r>
              <w:rPr>
                <w:color w:val="000000" w:themeColor="text1"/>
              </w:rPr>
              <w:t xml:space="preserve">Unlikely to be </w:t>
            </w:r>
            <w:r w:rsidRPr="00372FB3">
              <w:rPr>
                <w:color w:val="000000" w:themeColor="text1"/>
              </w:rPr>
              <w:t xml:space="preserve">controversial </w:t>
            </w:r>
            <w:r>
              <w:rPr>
                <w:color w:val="000000" w:themeColor="text1"/>
              </w:rPr>
              <w:t xml:space="preserve">unless the genuineness of the </w:t>
            </w:r>
            <w:r w:rsidRPr="00372FB3">
              <w:rPr>
                <w:color w:val="000000" w:themeColor="text1"/>
              </w:rPr>
              <w:t xml:space="preserve">consent of </w:t>
            </w:r>
            <w:r>
              <w:rPr>
                <w:color w:val="000000" w:themeColor="text1"/>
              </w:rPr>
              <w:t xml:space="preserve">the </w:t>
            </w:r>
            <w:r w:rsidRPr="00372FB3">
              <w:rPr>
                <w:color w:val="000000" w:themeColor="text1"/>
              </w:rPr>
              <w:t>released person</w:t>
            </w:r>
            <w:r>
              <w:rPr>
                <w:color w:val="000000" w:themeColor="text1"/>
              </w:rPr>
              <w:t xml:space="preserve"> is at issue</w:t>
            </w:r>
            <w:r w:rsidRPr="00372FB3">
              <w:rPr>
                <w:color w:val="000000" w:themeColor="text1"/>
              </w:rPr>
              <w:t xml:space="preserve">. </w:t>
            </w:r>
          </w:p>
        </w:tc>
      </w:tr>
      <w:tr w:rsidR="00164CB5" w:rsidRPr="00372FB3" w14:paraId="3B0A1FD9" w14:textId="77777777" w:rsidTr="0093254A">
        <w:tc>
          <w:tcPr>
            <w:cnfStyle w:val="001000000000" w:firstRow="0" w:lastRow="0" w:firstColumn="1" w:lastColumn="0" w:oddVBand="0" w:evenVBand="0" w:oddHBand="0" w:evenHBand="0" w:firstRowFirstColumn="0" w:firstRowLastColumn="0" w:lastRowFirstColumn="0" w:lastRowLastColumn="0"/>
            <w:tcW w:w="977" w:type="dxa"/>
            <w:shd w:val="clear" w:color="auto" w:fill="E5B8B7" w:themeFill="accent2" w:themeFillTint="66"/>
          </w:tcPr>
          <w:p w14:paraId="65857E83" w14:textId="77777777" w:rsidR="00164CB5" w:rsidRPr="00DC3703" w:rsidRDefault="00164CB5" w:rsidP="008455E1">
            <w:pPr>
              <w:jc w:val="center"/>
              <w:rPr>
                <w:b w:val="0"/>
                <w:bCs w:val="0"/>
                <w:color w:val="000000" w:themeColor="text1"/>
              </w:rPr>
            </w:pPr>
            <w:r w:rsidRPr="00DC3703">
              <w:rPr>
                <w:color w:val="000000" w:themeColor="text1"/>
              </w:rPr>
              <w:t>341</w:t>
            </w:r>
          </w:p>
        </w:tc>
        <w:tc>
          <w:tcPr>
            <w:tcW w:w="5114" w:type="dxa"/>
          </w:tcPr>
          <w:p w14:paraId="4D535642" w14:textId="00F9906C" w:rsidR="00164CB5" w:rsidRPr="00372FB3" w:rsidRDefault="00164CB5" w:rsidP="00106588">
            <w:pPr>
              <w:cnfStyle w:val="000000000000" w:firstRow="0" w:lastRow="0" w:firstColumn="0" w:lastColumn="0" w:oddVBand="0" w:evenVBand="0" w:oddHBand="0" w:evenHBand="0" w:firstRowFirstColumn="0" w:firstRowLastColumn="0" w:lastRowFirstColumn="0" w:lastRowLastColumn="0"/>
              <w:rPr>
                <w:color w:val="000000" w:themeColor="text1"/>
              </w:rPr>
            </w:pPr>
            <w:r w:rsidRPr="00372FB3">
              <w:rPr>
                <w:color w:val="000000" w:themeColor="text1"/>
              </w:rPr>
              <w:t xml:space="preserve">Modifies the calculation of the consecutive period for which a person has been detained under </w:t>
            </w:r>
            <w:r w:rsidR="0057633E">
              <w:rPr>
                <w:color w:val="000000" w:themeColor="text1"/>
              </w:rPr>
              <w:t>one</w:t>
            </w:r>
            <w:r w:rsidRPr="00372FB3">
              <w:rPr>
                <w:color w:val="000000" w:themeColor="text1"/>
              </w:rPr>
              <w:t xml:space="preserve"> or more warrants of commitment. </w:t>
            </w:r>
            <w:r>
              <w:rPr>
                <w:color w:val="000000" w:themeColor="text1"/>
              </w:rPr>
              <w:t>The</w:t>
            </w:r>
            <w:r w:rsidRPr="00372FB3">
              <w:rPr>
                <w:color w:val="000000" w:themeColor="text1"/>
              </w:rPr>
              <w:t xml:space="preserve"> calculation here is relevant to the higher threshold for continued detention that is required, under s 323, after 6 months of continuous detention under warrants of commitment. Significantly, </w:t>
            </w:r>
            <w:r>
              <w:rPr>
                <w:color w:val="000000" w:themeColor="text1"/>
              </w:rPr>
              <w:t xml:space="preserve">under this activated provision, </w:t>
            </w:r>
            <w:r w:rsidRPr="00372FB3">
              <w:rPr>
                <w:color w:val="000000" w:themeColor="text1"/>
              </w:rPr>
              <w:t xml:space="preserve">periods of detention during </w:t>
            </w:r>
            <w:r w:rsidR="0057633E">
              <w:rPr>
                <w:color w:val="000000" w:themeColor="text1"/>
              </w:rPr>
              <w:t xml:space="preserve">an </w:t>
            </w:r>
            <w:r w:rsidRPr="00372FB3">
              <w:rPr>
                <w:color w:val="000000" w:themeColor="text1"/>
              </w:rPr>
              <w:t>epidemic management notice are</w:t>
            </w:r>
            <w:r>
              <w:rPr>
                <w:color w:val="000000" w:themeColor="text1"/>
              </w:rPr>
              <w:t xml:space="preserve"> </w:t>
            </w:r>
            <w:r w:rsidRPr="00372FB3">
              <w:rPr>
                <w:color w:val="000000" w:themeColor="text1"/>
              </w:rPr>
              <w:t>n</w:t>
            </w:r>
            <w:r>
              <w:rPr>
                <w:color w:val="000000" w:themeColor="text1"/>
              </w:rPr>
              <w:t>o</w:t>
            </w:r>
            <w:r w:rsidRPr="00372FB3">
              <w:rPr>
                <w:color w:val="000000" w:themeColor="text1"/>
              </w:rPr>
              <w:t xml:space="preserve">t </w:t>
            </w:r>
            <w:proofErr w:type="gramStart"/>
            <w:r w:rsidRPr="00372FB3">
              <w:rPr>
                <w:color w:val="000000" w:themeColor="text1"/>
              </w:rPr>
              <w:t>taken into account</w:t>
            </w:r>
            <w:proofErr w:type="gramEnd"/>
            <w:r w:rsidRPr="00372FB3">
              <w:rPr>
                <w:color w:val="000000" w:themeColor="text1"/>
              </w:rPr>
              <w:t>.</w:t>
            </w:r>
          </w:p>
        </w:tc>
        <w:tc>
          <w:tcPr>
            <w:tcW w:w="2976" w:type="dxa"/>
          </w:tcPr>
          <w:p w14:paraId="112106AF" w14:textId="01262E38" w:rsidR="00164CB5" w:rsidRPr="00372FB3" w:rsidRDefault="00164CB5" w:rsidP="00106588">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T</w:t>
            </w:r>
            <w:r w:rsidRPr="00372FB3">
              <w:rPr>
                <w:color w:val="000000" w:themeColor="text1"/>
              </w:rPr>
              <w:t xml:space="preserve">his seems problematic. It is one thing to continue detention for pragmatic health-based reasons during </w:t>
            </w:r>
            <w:r>
              <w:rPr>
                <w:color w:val="000000" w:themeColor="text1"/>
              </w:rPr>
              <w:t xml:space="preserve">a </w:t>
            </w:r>
            <w:r w:rsidRPr="00372FB3">
              <w:rPr>
                <w:color w:val="000000" w:themeColor="text1"/>
              </w:rPr>
              <w:t xml:space="preserve">pandemic, but why should that not be considered for the purposes of </w:t>
            </w:r>
            <w:r>
              <w:rPr>
                <w:color w:val="000000" w:themeColor="text1"/>
              </w:rPr>
              <w:t>calculating the 6</w:t>
            </w:r>
            <w:r w:rsidR="0057633E">
              <w:rPr>
                <w:color w:val="000000" w:themeColor="text1"/>
              </w:rPr>
              <w:t>-</w:t>
            </w:r>
            <w:r>
              <w:rPr>
                <w:color w:val="000000" w:themeColor="text1"/>
              </w:rPr>
              <w:t xml:space="preserve">month period under </w:t>
            </w:r>
            <w:r w:rsidRPr="00372FB3">
              <w:rPr>
                <w:color w:val="000000" w:themeColor="text1"/>
              </w:rPr>
              <w:t xml:space="preserve">s 323? </w:t>
            </w:r>
          </w:p>
        </w:tc>
      </w:tr>
    </w:tbl>
    <w:p w14:paraId="0E748B1F" w14:textId="77777777" w:rsidR="00164CB5" w:rsidRPr="00372FB3" w:rsidRDefault="00164CB5" w:rsidP="00164CB5">
      <w:pPr>
        <w:rPr>
          <w:color w:val="000000" w:themeColor="text1"/>
        </w:rPr>
      </w:pPr>
    </w:p>
    <w:p w14:paraId="2809DC16" w14:textId="77777777" w:rsidR="00164CB5" w:rsidRPr="00372FB3" w:rsidRDefault="00164CB5" w:rsidP="00126AF0">
      <w:pPr>
        <w:pStyle w:val="Heading3"/>
      </w:pPr>
      <w:bookmarkStart w:id="225" w:name="_Toc117063136"/>
      <w:bookmarkStart w:id="226" w:name="_Toc118119328"/>
      <w:r w:rsidRPr="008331DD">
        <w:t>Modification of Parole Act (Order 2)</w:t>
      </w:r>
      <w:bookmarkEnd w:id="225"/>
      <w:bookmarkEnd w:id="226"/>
    </w:p>
    <w:p w14:paraId="1D4CF7D5" w14:textId="2C884B9C" w:rsidR="00164CB5" w:rsidRPr="00372FB3" w:rsidRDefault="00164CB5" w:rsidP="00126AF0">
      <w:pPr>
        <w:pStyle w:val="BodyText1"/>
      </w:pPr>
      <w:r w:rsidRPr="00372FB3">
        <w:t xml:space="preserve">On </w:t>
      </w:r>
      <w:r>
        <w:t>30</w:t>
      </w:r>
      <w:r w:rsidRPr="00372FB3">
        <w:t xml:space="preserve"> March 2020, </w:t>
      </w:r>
      <w:r>
        <w:t>a few</w:t>
      </w:r>
      <w:r w:rsidRPr="00372FB3">
        <w:t xml:space="preserve"> day</w:t>
      </w:r>
      <w:r>
        <w:t>s after</w:t>
      </w:r>
      <w:r w:rsidRPr="00372FB3">
        <w:t xml:space="preserve"> the </w:t>
      </w:r>
      <w:r w:rsidR="00470B51">
        <w:t>e</w:t>
      </w:r>
      <w:r w:rsidRPr="00372FB3">
        <w:t xml:space="preserve">pidemic </w:t>
      </w:r>
      <w:r w:rsidR="00470B51">
        <w:t>n</w:t>
      </w:r>
      <w:r w:rsidRPr="00372FB3">
        <w:t xml:space="preserve">otice under s 5 was made, various provisions in the </w:t>
      </w:r>
      <w:r>
        <w:t xml:space="preserve">Parole Act </w:t>
      </w:r>
      <w:r w:rsidRPr="00372FB3">
        <w:t>were activated</w:t>
      </w:r>
      <w:r>
        <w:t xml:space="preserve">: </w:t>
      </w:r>
    </w:p>
    <w:tbl>
      <w:tblPr>
        <w:tblStyle w:val="GridTable4-Accent2"/>
        <w:tblW w:w="9067" w:type="dxa"/>
        <w:tblLook w:val="04A0" w:firstRow="1" w:lastRow="0" w:firstColumn="1" w:lastColumn="0" w:noHBand="0" w:noVBand="1"/>
      </w:tblPr>
      <w:tblGrid>
        <w:gridCol w:w="988"/>
        <w:gridCol w:w="5103"/>
        <w:gridCol w:w="2976"/>
      </w:tblGrid>
      <w:tr w:rsidR="00164CB5" w:rsidRPr="0093254A" w14:paraId="27F732AA" w14:textId="77777777" w:rsidTr="009325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top w:val="none" w:sz="0" w:space="0" w:color="auto"/>
              <w:left w:val="none" w:sz="0" w:space="0" w:color="auto"/>
              <w:bottom w:val="none" w:sz="0" w:space="0" w:color="auto"/>
              <w:right w:val="none" w:sz="0" w:space="0" w:color="auto"/>
            </w:tcBorders>
          </w:tcPr>
          <w:p w14:paraId="3AFB460D" w14:textId="77777777" w:rsidR="00164CB5" w:rsidRPr="0093254A" w:rsidRDefault="00164CB5" w:rsidP="0093254A">
            <w:pPr>
              <w:jc w:val="center"/>
              <w:rPr>
                <w:rFonts w:ascii="Metropolis" w:hAnsi="Metropolis"/>
              </w:rPr>
            </w:pPr>
            <w:r w:rsidRPr="0093254A">
              <w:rPr>
                <w:rFonts w:ascii="Metropolis" w:hAnsi="Metropolis"/>
              </w:rPr>
              <w:t>Section</w:t>
            </w:r>
          </w:p>
        </w:tc>
        <w:tc>
          <w:tcPr>
            <w:tcW w:w="5103" w:type="dxa"/>
            <w:tcBorders>
              <w:top w:val="none" w:sz="0" w:space="0" w:color="auto"/>
              <w:left w:val="none" w:sz="0" w:space="0" w:color="auto"/>
              <w:bottom w:val="none" w:sz="0" w:space="0" w:color="auto"/>
              <w:right w:val="none" w:sz="0" w:space="0" w:color="auto"/>
            </w:tcBorders>
          </w:tcPr>
          <w:p w14:paraId="54BB4666" w14:textId="77777777" w:rsidR="00164CB5" w:rsidRPr="0093254A" w:rsidRDefault="00164CB5" w:rsidP="0093254A">
            <w:pPr>
              <w:jc w:val="center"/>
              <w:cnfStyle w:val="100000000000" w:firstRow="1" w:lastRow="0" w:firstColumn="0" w:lastColumn="0" w:oddVBand="0" w:evenVBand="0" w:oddHBand="0" w:evenHBand="0" w:firstRowFirstColumn="0" w:firstRowLastColumn="0" w:lastRowFirstColumn="0" w:lastRowLastColumn="0"/>
              <w:rPr>
                <w:rFonts w:ascii="Metropolis" w:hAnsi="Metropolis"/>
              </w:rPr>
            </w:pPr>
            <w:r w:rsidRPr="0093254A">
              <w:rPr>
                <w:rFonts w:ascii="Metropolis" w:hAnsi="Metropolis"/>
              </w:rPr>
              <w:t>Power</w:t>
            </w:r>
          </w:p>
        </w:tc>
        <w:tc>
          <w:tcPr>
            <w:tcW w:w="2976" w:type="dxa"/>
            <w:tcBorders>
              <w:top w:val="none" w:sz="0" w:space="0" w:color="auto"/>
              <w:left w:val="none" w:sz="0" w:space="0" w:color="auto"/>
              <w:bottom w:val="none" w:sz="0" w:space="0" w:color="auto"/>
              <w:right w:val="none" w:sz="0" w:space="0" w:color="auto"/>
            </w:tcBorders>
          </w:tcPr>
          <w:p w14:paraId="2F88A38D" w14:textId="77777777" w:rsidR="00164CB5" w:rsidRPr="0093254A" w:rsidRDefault="00164CB5" w:rsidP="0093254A">
            <w:pPr>
              <w:jc w:val="center"/>
              <w:cnfStyle w:val="100000000000" w:firstRow="1" w:lastRow="0" w:firstColumn="0" w:lastColumn="0" w:oddVBand="0" w:evenVBand="0" w:oddHBand="0" w:evenHBand="0" w:firstRowFirstColumn="0" w:firstRowLastColumn="0" w:lastRowFirstColumn="0" w:lastRowLastColumn="0"/>
              <w:rPr>
                <w:rFonts w:ascii="Metropolis" w:hAnsi="Metropolis"/>
              </w:rPr>
            </w:pPr>
            <w:r w:rsidRPr="0093254A">
              <w:rPr>
                <w:rFonts w:ascii="Metropolis" w:hAnsi="Metropolis"/>
              </w:rPr>
              <w:t>Comment</w:t>
            </w:r>
          </w:p>
        </w:tc>
      </w:tr>
      <w:tr w:rsidR="0093254A" w:rsidRPr="0093254A" w14:paraId="3D35EEDF" w14:textId="77777777" w:rsidTr="00932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E5B8B7" w:themeFill="accent2" w:themeFillTint="66"/>
          </w:tcPr>
          <w:p w14:paraId="515F6073" w14:textId="77777777" w:rsidR="00164CB5" w:rsidRPr="0093254A" w:rsidRDefault="00164CB5" w:rsidP="0093254A">
            <w:pPr>
              <w:jc w:val="center"/>
              <w:rPr>
                <w:b w:val="0"/>
                <w:bCs w:val="0"/>
                <w:color w:val="000000" w:themeColor="text1"/>
                <w:szCs w:val="20"/>
              </w:rPr>
            </w:pPr>
            <w:r w:rsidRPr="0093254A">
              <w:rPr>
                <w:color w:val="000000" w:themeColor="text1"/>
                <w:szCs w:val="20"/>
              </w:rPr>
              <w:t>13A</w:t>
            </w:r>
          </w:p>
        </w:tc>
        <w:tc>
          <w:tcPr>
            <w:tcW w:w="5103" w:type="dxa"/>
            <w:shd w:val="clear" w:color="auto" w:fill="auto"/>
          </w:tcPr>
          <w:p w14:paraId="5303FA90" w14:textId="3DA5B72A" w:rsidR="00164CB5" w:rsidRPr="0093254A" w:rsidRDefault="00164CB5" w:rsidP="0093254A">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93254A">
              <w:rPr>
                <w:color w:val="000000" w:themeColor="text1"/>
                <w:szCs w:val="20"/>
              </w:rPr>
              <w:t>Enables things that would normally have to be done by the</w:t>
            </w:r>
            <w:r w:rsidRPr="0093254A">
              <w:rPr>
                <w:rFonts w:ascii="Calibri" w:hAnsi="Calibri" w:cs="Calibri"/>
                <w:color w:val="000000" w:themeColor="text1"/>
                <w:szCs w:val="20"/>
              </w:rPr>
              <w:t> </w:t>
            </w:r>
            <w:r w:rsidRPr="0093254A">
              <w:rPr>
                <w:color w:val="000000" w:themeColor="text1"/>
                <w:szCs w:val="20"/>
              </w:rPr>
              <w:t>New Zealand</w:t>
            </w:r>
            <w:r w:rsidRPr="0093254A">
              <w:rPr>
                <w:rFonts w:ascii="Calibri" w:hAnsi="Calibri" w:cs="Calibri"/>
                <w:color w:val="000000" w:themeColor="text1"/>
                <w:szCs w:val="20"/>
              </w:rPr>
              <w:t> </w:t>
            </w:r>
            <w:r w:rsidRPr="0093254A">
              <w:rPr>
                <w:color w:val="000000" w:themeColor="text1"/>
                <w:szCs w:val="20"/>
              </w:rPr>
              <w:t>Parole Board to be done</w:t>
            </w:r>
            <w:r w:rsidR="0057633E">
              <w:rPr>
                <w:color w:val="000000" w:themeColor="text1"/>
                <w:szCs w:val="20"/>
              </w:rPr>
              <w:t>:</w:t>
            </w:r>
          </w:p>
          <w:p w14:paraId="5AB03789" w14:textId="77777777" w:rsidR="00164CB5" w:rsidRPr="0093254A" w:rsidRDefault="00164CB5" w:rsidP="00556B28">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3254A">
              <w:rPr>
                <w:color w:val="000000" w:themeColor="text1"/>
                <w:sz w:val="20"/>
                <w:szCs w:val="20"/>
              </w:rPr>
              <w:t xml:space="preserve">by the </w:t>
            </w:r>
            <w:r w:rsidRPr="00245A75">
              <w:rPr>
                <w:sz w:val="20"/>
                <w:szCs w:val="20"/>
              </w:rPr>
              <w:t>Parole</w:t>
            </w:r>
            <w:r w:rsidRPr="0093254A">
              <w:rPr>
                <w:color w:val="000000" w:themeColor="text1"/>
                <w:sz w:val="20"/>
                <w:szCs w:val="20"/>
              </w:rPr>
              <w:t xml:space="preserve"> Board </w:t>
            </w:r>
            <w:proofErr w:type="gramStart"/>
            <w:r w:rsidRPr="0093254A">
              <w:rPr>
                <w:color w:val="000000" w:themeColor="text1"/>
                <w:sz w:val="20"/>
                <w:szCs w:val="20"/>
              </w:rPr>
              <w:t>on the basis of</w:t>
            </w:r>
            <w:proofErr w:type="gramEnd"/>
            <w:r w:rsidRPr="0093254A">
              <w:rPr>
                <w:color w:val="000000" w:themeColor="text1"/>
                <w:sz w:val="20"/>
                <w:szCs w:val="20"/>
              </w:rPr>
              <w:t xml:space="preserve"> documents only, without the presence or submission of any person who would otherwise have the right to be </w:t>
            </w:r>
            <w:r w:rsidRPr="00245A75">
              <w:rPr>
                <w:sz w:val="20"/>
                <w:szCs w:val="20"/>
              </w:rPr>
              <w:t>present</w:t>
            </w:r>
            <w:r w:rsidRPr="0093254A">
              <w:rPr>
                <w:color w:val="000000" w:themeColor="text1"/>
                <w:sz w:val="20"/>
                <w:szCs w:val="20"/>
              </w:rPr>
              <w:t xml:space="preserve"> or make a submission; or</w:t>
            </w:r>
          </w:p>
          <w:p w14:paraId="354F58B7" w14:textId="7345BDB2" w:rsidR="00164CB5" w:rsidRPr="0093254A" w:rsidRDefault="00164CB5" w:rsidP="00556B28">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3254A">
              <w:rPr>
                <w:color w:val="000000" w:themeColor="text1"/>
                <w:sz w:val="20"/>
                <w:szCs w:val="20"/>
              </w:rPr>
              <w:t xml:space="preserve">by the chairperson or panel convenor, acting alone, either in the usual way or </w:t>
            </w:r>
            <w:proofErr w:type="gramStart"/>
            <w:r w:rsidRPr="0093254A">
              <w:rPr>
                <w:color w:val="000000" w:themeColor="text1"/>
                <w:sz w:val="20"/>
                <w:szCs w:val="20"/>
              </w:rPr>
              <w:t>on the basis of</w:t>
            </w:r>
            <w:proofErr w:type="gramEnd"/>
            <w:r w:rsidRPr="0093254A">
              <w:rPr>
                <w:color w:val="000000" w:themeColor="text1"/>
                <w:sz w:val="20"/>
                <w:szCs w:val="20"/>
              </w:rPr>
              <w:t xml:space="preserve"> documents only without the presence or </w:t>
            </w:r>
            <w:r w:rsidRPr="0093254A">
              <w:rPr>
                <w:color w:val="000000" w:themeColor="text1"/>
                <w:sz w:val="20"/>
                <w:szCs w:val="20"/>
              </w:rPr>
              <w:lastRenderedPageBreak/>
              <w:t>submission of any person who would otherwise have the right to be present or make a submission</w:t>
            </w:r>
            <w:r w:rsidR="0057633E">
              <w:rPr>
                <w:color w:val="000000" w:themeColor="text1"/>
                <w:sz w:val="20"/>
                <w:szCs w:val="20"/>
              </w:rPr>
              <w:t>.</w:t>
            </w:r>
          </w:p>
          <w:p w14:paraId="400B2512" w14:textId="77777777" w:rsidR="00164CB5" w:rsidRPr="0093254A" w:rsidRDefault="00164CB5" w:rsidP="0093254A">
            <w:pPr>
              <w:cnfStyle w:val="000000100000" w:firstRow="0" w:lastRow="0" w:firstColumn="0" w:lastColumn="0" w:oddVBand="0" w:evenVBand="0" w:oddHBand="1" w:evenHBand="0" w:firstRowFirstColumn="0" w:firstRowLastColumn="0" w:lastRowFirstColumn="0" w:lastRowLastColumn="0"/>
              <w:rPr>
                <w:color w:val="000000" w:themeColor="text1"/>
                <w:szCs w:val="20"/>
              </w:rPr>
            </w:pPr>
          </w:p>
        </w:tc>
        <w:tc>
          <w:tcPr>
            <w:tcW w:w="2976" w:type="dxa"/>
            <w:shd w:val="clear" w:color="auto" w:fill="auto"/>
          </w:tcPr>
          <w:p w14:paraId="0699ED0C" w14:textId="558B4AED" w:rsidR="00164CB5" w:rsidRPr="0093254A" w:rsidRDefault="00164CB5" w:rsidP="0093254A">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93254A">
              <w:rPr>
                <w:color w:val="000000" w:themeColor="text1"/>
                <w:szCs w:val="20"/>
              </w:rPr>
              <w:lastRenderedPageBreak/>
              <w:t xml:space="preserve">The goal here seems to be expediency, but it raises potential due process concerns about the right to </w:t>
            </w:r>
            <w:r w:rsidR="003F5945">
              <w:rPr>
                <w:color w:val="000000" w:themeColor="text1"/>
                <w:szCs w:val="20"/>
              </w:rPr>
              <w:t xml:space="preserve">a </w:t>
            </w:r>
            <w:r w:rsidRPr="0093254A">
              <w:rPr>
                <w:color w:val="000000" w:themeColor="text1"/>
                <w:szCs w:val="20"/>
              </w:rPr>
              <w:t>fair trial and to be present at trial (</w:t>
            </w:r>
            <w:r w:rsidR="0057633E">
              <w:rPr>
                <w:color w:val="000000" w:themeColor="text1"/>
              </w:rPr>
              <w:t xml:space="preserve">New Zealand Bill of Rights Act </w:t>
            </w:r>
            <w:r w:rsidRPr="0093254A">
              <w:rPr>
                <w:color w:val="000000" w:themeColor="text1"/>
                <w:szCs w:val="20"/>
              </w:rPr>
              <w:t>s 25(a) and (e)). Subject to a test of justified limitation.</w:t>
            </w:r>
          </w:p>
          <w:p w14:paraId="5A27A01A" w14:textId="77777777" w:rsidR="00164CB5" w:rsidRPr="0093254A" w:rsidRDefault="00164CB5" w:rsidP="0093254A">
            <w:pPr>
              <w:cnfStyle w:val="000000100000" w:firstRow="0" w:lastRow="0" w:firstColumn="0" w:lastColumn="0" w:oddVBand="0" w:evenVBand="0" w:oddHBand="1" w:evenHBand="0" w:firstRowFirstColumn="0" w:firstRowLastColumn="0" w:lastRowFirstColumn="0" w:lastRowLastColumn="0"/>
              <w:rPr>
                <w:color w:val="000000" w:themeColor="text1"/>
                <w:szCs w:val="20"/>
              </w:rPr>
            </w:pPr>
          </w:p>
        </w:tc>
      </w:tr>
      <w:tr w:rsidR="00164CB5" w:rsidRPr="0093254A" w14:paraId="37E9A421" w14:textId="77777777" w:rsidTr="0093254A">
        <w:tc>
          <w:tcPr>
            <w:cnfStyle w:val="001000000000" w:firstRow="0" w:lastRow="0" w:firstColumn="1" w:lastColumn="0" w:oddVBand="0" w:evenVBand="0" w:oddHBand="0" w:evenHBand="0" w:firstRowFirstColumn="0" w:firstRowLastColumn="0" w:lastRowFirstColumn="0" w:lastRowLastColumn="0"/>
            <w:tcW w:w="988" w:type="dxa"/>
            <w:shd w:val="clear" w:color="auto" w:fill="E5B8B7" w:themeFill="accent2" w:themeFillTint="66"/>
          </w:tcPr>
          <w:p w14:paraId="5919AA4A" w14:textId="77777777" w:rsidR="00164CB5" w:rsidRPr="0093254A" w:rsidRDefault="00164CB5" w:rsidP="0093254A">
            <w:pPr>
              <w:jc w:val="center"/>
              <w:rPr>
                <w:b w:val="0"/>
                <w:bCs w:val="0"/>
                <w:color w:val="000000" w:themeColor="text1"/>
                <w:szCs w:val="20"/>
              </w:rPr>
            </w:pPr>
            <w:r w:rsidRPr="0093254A">
              <w:rPr>
                <w:color w:val="000000" w:themeColor="text1"/>
                <w:szCs w:val="20"/>
              </w:rPr>
              <w:lastRenderedPageBreak/>
              <w:t>56A</w:t>
            </w:r>
          </w:p>
        </w:tc>
        <w:tc>
          <w:tcPr>
            <w:tcW w:w="5103" w:type="dxa"/>
          </w:tcPr>
          <w:p w14:paraId="48A6CB73" w14:textId="5BC64A47" w:rsidR="00164CB5" w:rsidRPr="0093254A" w:rsidRDefault="00164CB5" w:rsidP="0093254A">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93254A">
              <w:rPr>
                <w:color w:val="000000" w:themeColor="text1"/>
                <w:szCs w:val="20"/>
              </w:rPr>
              <w:t>Enables a probation officer to temporarily vary a release condition imposed by the Parole Board if the officer has applied to the Parole Board to vary the condition.</w:t>
            </w:r>
          </w:p>
          <w:p w14:paraId="41D7CA34" w14:textId="77777777" w:rsidR="00164CB5" w:rsidRPr="0093254A" w:rsidRDefault="00164CB5" w:rsidP="0093254A">
            <w:pPr>
              <w:cnfStyle w:val="000000000000" w:firstRow="0" w:lastRow="0" w:firstColumn="0" w:lastColumn="0" w:oddVBand="0" w:evenVBand="0" w:oddHBand="0" w:evenHBand="0" w:firstRowFirstColumn="0" w:firstRowLastColumn="0" w:lastRowFirstColumn="0" w:lastRowLastColumn="0"/>
              <w:rPr>
                <w:color w:val="000000" w:themeColor="text1"/>
                <w:szCs w:val="20"/>
              </w:rPr>
            </w:pPr>
          </w:p>
        </w:tc>
        <w:tc>
          <w:tcPr>
            <w:tcW w:w="2976" w:type="dxa"/>
          </w:tcPr>
          <w:p w14:paraId="0E74F50D" w14:textId="611C5A03" w:rsidR="00164CB5" w:rsidRPr="0093254A" w:rsidRDefault="00164CB5" w:rsidP="0093254A">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93254A">
              <w:rPr>
                <w:color w:val="000000" w:themeColor="text1"/>
                <w:szCs w:val="20"/>
              </w:rPr>
              <w:t xml:space="preserve">Unlikely to be too controversial. These conditions concern matters such as where a person lives or where or when they report. The goal is clearly to avoid in-person court hearings. </w:t>
            </w:r>
          </w:p>
        </w:tc>
      </w:tr>
    </w:tbl>
    <w:p w14:paraId="194A4681" w14:textId="77777777" w:rsidR="00164CB5" w:rsidRDefault="00164CB5" w:rsidP="00164CB5">
      <w:pPr>
        <w:rPr>
          <w:color w:val="000000" w:themeColor="text1"/>
        </w:rPr>
      </w:pPr>
    </w:p>
    <w:p w14:paraId="517F8566" w14:textId="57197748" w:rsidR="00164CB5" w:rsidRPr="00372FB3" w:rsidRDefault="00164CB5" w:rsidP="0093254A">
      <w:pPr>
        <w:pStyle w:val="BodyText1"/>
      </w:pPr>
      <w:r>
        <w:t xml:space="preserve">In addition, several other sections of the Act </w:t>
      </w:r>
      <w:r w:rsidR="008B3A90">
        <w:t xml:space="preserve">that </w:t>
      </w:r>
      <w:r>
        <w:t xml:space="preserve">also refer to the </w:t>
      </w:r>
      <w:r w:rsidR="008B3A90">
        <w:t xml:space="preserve">Epidemic Preparedness Act </w:t>
      </w:r>
      <w:r>
        <w:t xml:space="preserve">were </w:t>
      </w:r>
      <w:r w:rsidRPr="00CC3ADC">
        <w:rPr>
          <w:i/>
          <w:iCs/>
        </w:rPr>
        <w:t>not</w:t>
      </w:r>
      <w:r>
        <w:t xml:space="preserve"> activated</w:t>
      </w:r>
      <w:r w:rsidR="008B3A90">
        <w:t>:</w:t>
      </w:r>
      <w:r>
        <w:t xml:space="preserve"> </w:t>
      </w:r>
    </w:p>
    <w:tbl>
      <w:tblPr>
        <w:tblStyle w:val="GridTable4-Accent2"/>
        <w:tblW w:w="9067" w:type="dxa"/>
        <w:tblLook w:val="04A0" w:firstRow="1" w:lastRow="0" w:firstColumn="1" w:lastColumn="0" w:noHBand="0" w:noVBand="1"/>
      </w:tblPr>
      <w:tblGrid>
        <w:gridCol w:w="988"/>
        <w:gridCol w:w="5103"/>
        <w:gridCol w:w="2976"/>
      </w:tblGrid>
      <w:tr w:rsidR="00277E5F" w:rsidRPr="00372FB3" w14:paraId="49B0FB35" w14:textId="77777777" w:rsidTr="00277E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C0504D"/>
          </w:tcPr>
          <w:p w14:paraId="0078D636" w14:textId="77777777" w:rsidR="00164CB5" w:rsidRPr="00282049" w:rsidRDefault="00164CB5" w:rsidP="00282049">
            <w:pPr>
              <w:jc w:val="center"/>
              <w:rPr>
                <w:rFonts w:ascii="Metropolis" w:hAnsi="Metropolis"/>
              </w:rPr>
            </w:pPr>
            <w:r w:rsidRPr="00282049">
              <w:rPr>
                <w:rFonts w:ascii="Metropolis" w:hAnsi="Metropolis"/>
              </w:rPr>
              <w:t>Section</w:t>
            </w:r>
          </w:p>
        </w:tc>
        <w:tc>
          <w:tcPr>
            <w:tcW w:w="5103" w:type="dxa"/>
            <w:shd w:val="clear" w:color="auto" w:fill="C0504D"/>
          </w:tcPr>
          <w:p w14:paraId="36BE7C0E" w14:textId="77777777" w:rsidR="00164CB5" w:rsidRPr="00282049" w:rsidRDefault="00164CB5" w:rsidP="00282049">
            <w:pPr>
              <w:jc w:val="center"/>
              <w:cnfStyle w:val="100000000000" w:firstRow="1" w:lastRow="0" w:firstColumn="0" w:lastColumn="0" w:oddVBand="0" w:evenVBand="0" w:oddHBand="0" w:evenHBand="0" w:firstRowFirstColumn="0" w:firstRowLastColumn="0" w:lastRowFirstColumn="0" w:lastRowLastColumn="0"/>
              <w:rPr>
                <w:rFonts w:ascii="Metropolis" w:hAnsi="Metropolis"/>
              </w:rPr>
            </w:pPr>
            <w:r w:rsidRPr="00282049">
              <w:rPr>
                <w:rFonts w:ascii="Metropolis" w:hAnsi="Metropolis"/>
              </w:rPr>
              <w:t>Power</w:t>
            </w:r>
          </w:p>
        </w:tc>
        <w:tc>
          <w:tcPr>
            <w:tcW w:w="2976" w:type="dxa"/>
            <w:shd w:val="clear" w:color="auto" w:fill="C0504D"/>
          </w:tcPr>
          <w:p w14:paraId="44AA05E5" w14:textId="77777777" w:rsidR="00164CB5" w:rsidRPr="00282049" w:rsidRDefault="00164CB5" w:rsidP="00282049">
            <w:pPr>
              <w:jc w:val="center"/>
              <w:cnfStyle w:val="100000000000" w:firstRow="1" w:lastRow="0" w:firstColumn="0" w:lastColumn="0" w:oddVBand="0" w:evenVBand="0" w:oddHBand="0" w:evenHBand="0" w:firstRowFirstColumn="0" w:firstRowLastColumn="0" w:lastRowFirstColumn="0" w:lastRowLastColumn="0"/>
              <w:rPr>
                <w:rFonts w:ascii="Metropolis" w:hAnsi="Metropolis"/>
              </w:rPr>
            </w:pPr>
            <w:r w:rsidRPr="00282049">
              <w:rPr>
                <w:rFonts w:ascii="Metropolis" w:hAnsi="Metropolis"/>
              </w:rPr>
              <w:t>Comment</w:t>
            </w:r>
          </w:p>
        </w:tc>
      </w:tr>
      <w:tr w:rsidR="00282049" w:rsidRPr="00372FB3" w14:paraId="48564871" w14:textId="77777777" w:rsidTr="0028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E5B8B7" w:themeFill="accent2" w:themeFillTint="66"/>
          </w:tcPr>
          <w:p w14:paraId="25A1F201" w14:textId="77777777" w:rsidR="00164CB5" w:rsidRPr="009810ED" w:rsidRDefault="00164CB5" w:rsidP="00282049">
            <w:pPr>
              <w:jc w:val="center"/>
              <w:rPr>
                <w:b w:val="0"/>
                <w:bCs w:val="0"/>
                <w:color w:val="000000" w:themeColor="text1"/>
              </w:rPr>
            </w:pPr>
            <w:r w:rsidRPr="009810ED">
              <w:rPr>
                <w:color w:val="000000" w:themeColor="text1"/>
              </w:rPr>
              <w:t>27B</w:t>
            </w:r>
          </w:p>
        </w:tc>
        <w:tc>
          <w:tcPr>
            <w:tcW w:w="5103" w:type="dxa"/>
            <w:shd w:val="clear" w:color="auto" w:fill="auto"/>
          </w:tcPr>
          <w:p w14:paraId="50CDCA5B" w14:textId="6D61B37B" w:rsidR="00164CB5" w:rsidRPr="00372FB3" w:rsidRDefault="00164CB5" w:rsidP="00282049">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Provides that</w:t>
            </w:r>
            <w:r w:rsidR="008B3A90">
              <w:rPr>
                <w:color w:val="000000" w:themeColor="text1"/>
              </w:rPr>
              <w:t>,</w:t>
            </w:r>
            <w:r>
              <w:rPr>
                <w:color w:val="000000" w:themeColor="text1"/>
              </w:rPr>
              <w:t xml:space="preserve"> during a pandemic, the Parole Board can me</w:t>
            </w:r>
            <w:r w:rsidR="008B3A90">
              <w:rPr>
                <w:color w:val="000000" w:themeColor="text1"/>
              </w:rPr>
              <w:t>e</w:t>
            </w:r>
            <w:r>
              <w:rPr>
                <w:color w:val="000000" w:themeColor="text1"/>
              </w:rPr>
              <w:t>t its requirements (in ss 21</w:t>
            </w:r>
            <w:r w:rsidR="008B3A90">
              <w:rPr>
                <w:color w:val="000000" w:themeColor="text1"/>
              </w:rPr>
              <w:t>–</w:t>
            </w:r>
            <w:r>
              <w:rPr>
                <w:color w:val="000000" w:themeColor="text1"/>
              </w:rPr>
              <w:t xml:space="preserve">27) to consider an offender for </w:t>
            </w:r>
            <w:r w:rsidR="008B3A90">
              <w:rPr>
                <w:color w:val="000000" w:themeColor="text1"/>
              </w:rPr>
              <w:t>p</w:t>
            </w:r>
            <w:r>
              <w:rPr>
                <w:color w:val="000000" w:themeColor="text1"/>
              </w:rPr>
              <w:t xml:space="preserve">arole by considering the offender concerned “as </w:t>
            </w:r>
            <w:r w:rsidRPr="009810ED">
              <w:rPr>
                <w:color w:val="000000" w:themeColor="text1"/>
              </w:rPr>
              <w:t>soon after he or she should have been considered as is reasonably practicable in the circumstances”. Those circumstances cent</w:t>
            </w:r>
            <w:r>
              <w:rPr>
                <w:color w:val="000000" w:themeColor="text1"/>
              </w:rPr>
              <w:t>re</w:t>
            </w:r>
            <w:r w:rsidRPr="009810ED">
              <w:rPr>
                <w:color w:val="000000" w:themeColor="text1"/>
              </w:rPr>
              <w:t xml:space="preserve"> around the resources available to the </w:t>
            </w:r>
            <w:r w:rsidR="003F5945">
              <w:rPr>
                <w:color w:val="000000" w:themeColor="text1"/>
              </w:rPr>
              <w:t xml:space="preserve">Parole </w:t>
            </w:r>
            <w:r w:rsidRPr="009810ED">
              <w:rPr>
                <w:color w:val="000000" w:themeColor="text1"/>
              </w:rPr>
              <w:t xml:space="preserve">Board. </w:t>
            </w:r>
          </w:p>
        </w:tc>
        <w:tc>
          <w:tcPr>
            <w:tcW w:w="2976" w:type="dxa"/>
            <w:shd w:val="clear" w:color="auto" w:fill="auto"/>
          </w:tcPr>
          <w:p w14:paraId="7B50082B" w14:textId="582F5A76" w:rsidR="00164CB5" w:rsidRPr="00372FB3" w:rsidRDefault="00164CB5" w:rsidP="00282049">
            <w:pPr>
              <w:cnfStyle w:val="000000100000" w:firstRow="0" w:lastRow="0" w:firstColumn="0" w:lastColumn="0" w:oddVBand="0" w:evenVBand="0" w:oddHBand="1" w:evenHBand="0" w:firstRowFirstColumn="0" w:firstRowLastColumn="0" w:lastRowFirstColumn="0" w:lastRowLastColumn="0"/>
              <w:rPr>
                <w:color w:val="000000" w:themeColor="text1"/>
              </w:rPr>
            </w:pPr>
            <w:r w:rsidRPr="00372FB3">
              <w:rPr>
                <w:color w:val="000000" w:themeColor="text1"/>
              </w:rPr>
              <w:t>The goal here seems to be expediency, but it raises potential due process concerns</w:t>
            </w:r>
            <w:r>
              <w:rPr>
                <w:color w:val="000000" w:themeColor="text1"/>
              </w:rPr>
              <w:t>: r</w:t>
            </w:r>
            <w:r w:rsidRPr="00372FB3">
              <w:rPr>
                <w:color w:val="000000" w:themeColor="text1"/>
              </w:rPr>
              <w:t xml:space="preserve">ight to </w:t>
            </w:r>
            <w:r w:rsidR="003F5945">
              <w:rPr>
                <w:color w:val="000000" w:themeColor="text1"/>
              </w:rPr>
              <w:t xml:space="preserve">a </w:t>
            </w:r>
            <w:r w:rsidRPr="00372FB3">
              <w:rPr>
                <w:color w:val="000000" w:themeColor="text1"/>
              </w:rPr>
              <w:t xml:space="preserve">fair trial and to be </w:t>
            </w:r>
            <w:r>
              <w:rPr>
                <w:color w:val="000000" w:themeColor="text1"/>
              </w:rPr>
              <w:t>tried without undue delay</w:t>
            </w:r>
            <w:r w:rsidRPr="00372FB3">
              <w:rPr>
                <w:color w:val="000000" w:themeColor="text1"/>
              </w:rPr>
              <w:t xml:space="preserve"> (</w:t>
            </w:r>
            <w:r w:rsidR="008B3A90">
              <w:rPr>
                <w:color w:val="000000" w:themeColor="text1"/>
              </w:rPr>
              <w:t xml:space="preserve">New Zealand Bill of Rights Act </w:t>
            </w:r>
            <w:r w:rsidRPr="00372FB3">
              <w:rPr>
                <w:color w:val="000000" w:themeColor="text1"/>
              </w:rPr>
              <w:t>s 25(a) and (</w:t>
            </w:r>
            <w:r>
              <w:rPr>
                <w:color w:val="000000" w:themeColor="text1"/>
              </w:rPr>
              <w:t>b</w:t>
            </w:r>
            <w:r w:rsidRPr="00372FB3">
              <w:rPr>
                <w:color w:val="000000" w:themeColor="text1"/>
              </w:rPr>
              <w:t>)).</w:t>
            </w:r>
            <w:r>
              <w:rPr>
                <w:color w:val="000000" w:themeColor="text1"/>
              </w:rPr>
              <w:t xml:space="preserve"> Subject to a test of </w:t>
            </w:r>
            <w:r w:rsidRPr="00372FB3">
              <w:rPr>
                <w:color w:val="000000" w:themeColor="text1"/>
              </w:rPr>
              <w:t>justified limitation.</w:t>
            </w:r>
          </w:p>
        </w:tc>
      </w:tr>
      <w:tr w:rsidR="00164CB5" w:rsidRPr="00372FB3" w14:paraId="7BB0564A" w14:textId="77777777" w:rsidTr="00282049">
        <w:tc>
          <w:tcPr>
            <w:cnfStyle w:val="001000000000" w:firstRow="0" w:lastRow="0" w:firstColumn="1" w:lastColumn="0" w:oddVBand="0" w:evenVBand="0" w:oddHBand="0" w:evenHBand="0" w:firstRowFirstColumn="0" w:firstRowLastColumn="0" w:lastRowFirstColumn="0" w:lastRowLastColumn="0"/>
            <w:tcW w:w="988" w:type="dxa"/>
            <w:shd w:val="clear" w:color="auto" w:fill="E5B8B7" w:themeFill="accent2" w:themeFillTint="66"/>
          </w:tcPr>
          <w:p w14:paraId="3125FA55" w14:textId="77777777" w:rsidR="00164CB5" w:rsidRPr="009810ED" w:rsidRDefault="00164CB5" w:rsidP="00282049">
            <w:pPr>
              <w:jc w:val="center"/>
              <w:rPr>
                <w:b w:val="0"/>
                <w:bCs w:val="0"/>
                <w:color w:val="000000" w:themeColor="text1"/>
              </w:rPr>
            </w:pPr>
            <w:r w:rsidRPr="009810ED">
              <w:rPr>
                <w:color w:val="000000" w:themeColor="text1"/>
              </w:rPr>
              <w:t>65A</w:t>
            </w:r>
          </w:p>
        </w:tc>
        <w:tc>
          <w:tcPr>
            <w:tcW w:w="5103" w:type="dxa"/>
          </w:tcPr>
          <w:p w14:paraId="19015C35" w14:textId="57D52EFE" w:rsidR="00164CB5" w:rsidRPr="009810ED" w:rsidRDefault="00164CB5" w:rsidP="00282049">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Deals with recall applications</w:t>
            </w:r>
            <w:r w:rsidR="003F5945">
              <w:rPr>
                <w:color w:val="000000" w:themeColor="text1"/>
              </w:rPr>
              <w:t xml:space="preserve"> –</w:t>
            </w:r>
            <w:r>
              <w:rPr>
                <w:color w:val="000000" w:themeColor="text1"/>
              </w:rPr>
              <w:t xml:space="preserve"> </w:t>
            </w:r>
            <w:r w:rsidRPr="009810ED">
              <w:rPr>
                <w:color w:val="000000" w:themeColor="text1"/>
              </w:rPr>
              <w:t xml:space="preserve">an application for an order that an offender be recalled </w:t>
            </w:r>
            <w:proofErr w:type="gramStart"/>
            <w:r w:rsidRPr="009810ED">
              <w:rPr>
                <w:color w:val="000000" w:themeColor="text1"/>
              </w:rPr>
              <w:t>to continue</w:t>
            </w:r>
            <w:proofErr w:type="gramEnd"/>
            <w:r w:rsidRPr="009810ED">
              <w:rPr>
                <w:color w:val="000000" w:themeColor="text1"/>
              </w:rPr>
              <w:t xml:space="preserve"> serving a sentence of imprisonment in a</w:t>
            </w:r>
            <w:r w:rsidRPr="009810ED">
              <w:rPr>
                <w:rFonts w:ascii="Calibri" w:hAnsi="Calibri" w:cs="Calibri"/>
                <w:color w:val="000000" w:themeColor="text1"/>
              </w:rPr>
              <w:t> </w:t>
            </w:r>
            <w:r w:rsidRPr="009810ED">
              <w:rPr>
                <w:color w:val="000000" w:themeColor="text1"/>
              </w:rPr>
              <w:t>prison. Under s 65</w:t>
            </w:r>
            <w:r w:rsidR="003F5945">
              <w:rPr>
                <w:color w:val="000000" w:themeColor="text1"/>
              </w:rPr>
              <w:t>,</w:t>
            </w:r>
            <w:r w:rsidRPr="009810ED">
              <w:rPr>
                <w:color w:val="000000" w:themeColor="text1"/>
              </w:rPr>
              <w:t xml:space="preserve"> the </w:t>
            </w:r>
            <w:r w:rsidR="003F5945">
              <w:rPr>
                <w:color w:val="000000" w:themeColor="text1"/>
              </w:rPr>
              <w:t xml:space="preserve">Parole </w:t>
            </w:r>
            <w:r w:rsidRPr="009810ED">
              <w:rPr>
                <w:color w:val="000000" w:themeColor="text1"/>
              </w:rPr>
              <w:t xml:space="preserve">Board is required to </w:t>
            </w:r>
            <w:r>
              <w:rPr>
                <w:color w:val="000000" w:themeColor="text1"/>
              </w:rPr>
              <w:t>determine</w:t>
            </w:r>
            <w:r w:rsidRPr="009810ED">
              <w:rPr>
                <w:color w:val="000000" w:themeColor="text1"/>
              </w:rPr>
              <w:t xml:space="preserve"> such applications </w:t>
            </w:r>
            <w:r>
              <w:rPr>
                <w:color w:val="000000" w:themeColor="text1"/>
              </w:rPr>
              <w:t>with</w:t>
            </w:r>
            <w:r w:rsidRPr="009810ED">
              <w:rPr>
                <w:color w:val="000000" w:themeColor="text1"/>
              </w:rPr>
              <w:t xml:space="preserve">in a certain </w:t>
            </w:r>
            <w:proofErr w:type="gramStart"/>
            <w:r w:rsidRPr="009810ED">
              <w:rPr>
                <w:color w:val="000000" w:themeColor="text1"/>
              </w:rPr>
              <w:t>time</w:t>
            </w:r>
            <w:r w:rsidR="003F5945">
              <w:rPr>
                <w:color w:val="000000" w:themeColor="text1"/>
              </w:rPr>
              <w:t xml:space="preserve"> </w:t>
            </w:r>
            <w:r w:rsidRPr="009810ED">
              <w:rPr>
                <w:color w:val="000000" w:themeColor="text1"/>
              </w:rPr>
              <w:t>period</w:t>
            </w:r>
            <w:proofErr w:type="gramEnd"/>
            <w:r w:rsidRPr="009810ED">
              <w:rPr>
                <w:color w:val="000000" w:themeColor="text1"/>
              </w:rPr>
              <w:t>.</w:t>
            </w:r>
          </w:p>
          <w:p w14:paraId="4B98899A" w14:textId="75A98D81" w:rsidR="00164CB5" w:rsidRPr="00372FB3" w:rsidRDefault="00164CB5" w:rsidP="00282049">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Section 65A provides that</w:t>
            </w:r>
            <w:r w:rsidR="003F5945">
              <w:rPr>
                <w:color w:val="000000" w:themeColor="text1"/>
              </w:rPr>
              <w:t>,</w:t>
            </w:r>
            <w:r>
              <w:rPr>
                <w:color w:val="000000" w:themeColor="text1"/>
              </w:rPr>
              <w:t xml:space="preserve"> during a pandemic, the Parole Board can consider a recall application “as </w:t>
            </w:r>
            <w:r w:rsidRPr="009810ED">
              <w:rPr>
                <w:color w:val="000000" w:themeColor="text1"/>
              </w:rPr>
              <w:t>soon after it should have been considered as is reasonably practicable in the circumstances”. Again, those circumstances cent</w:t>
            </w:r>
            <w:r>
              <w:rPr>
                <w:color w:val="000000" w:themeColor="text1"/>
              </w:rPr>
              <w:t>re</w:t>
            </w:r>
            <w:r w:rsidRPr="009810ED">
              <w:rPr>
                <w:color w:val="000000" w:themeColor="text1"/>
              </w:rPr>
              <w:t xml:space="preserve"> around the resources available to the </w:t>
            </w:r>
            <w:r w:rsidR="003F5945">
              <w:rPr>
                <w:color w:val="000000" w:themeColor="text1"/>
              </w:rPr>
              <w:t xml:space="preserve">Parole </w:t>
            </w:r>
            <w:r w:rsidRPr="009810ED">
              <w:rPr>
                <w:color w:val="000000" w:themeColor="text1"/>
              </w:rPr>
              <w:t>Board.</w:t>
            </w:r>
          </w:p>
        </w:tc>
        <w:tc>
          <w:tcPr>
            <w:tcW w:w="2976" w:type="dxa"/>
          </w:tcPr>
          <w:p w14:paraId="35E3B555" w14:textId="77777777" w:rsidR="00164CB5" w:rsidRPr="00372FB3" w:rsidRDefault="00164CB5" w:rsidP="00282049">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Same comment as above, but this time any delay is likely to be in the favour of (or at least not prejudicial to) to the paroled individual. </w:t>
            </w:r>
          </w:p>
        </w:tc>
      </w:tr>
      <w:tr w:rsidR="00282049" w:rsidRPr="00372FB3" w14:paraId="5AD36312" w14:textId="77777777" w:rsidTr="0028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E5B8B7" w:themeFill="accent2" w:themeFillTint="66"/>
          </w:tcPr>
          <w:p w14:paraId="36EB61F9" w14:textId="77777777" w:rsidR="00164CB5" w:rsidRPr="009810ED" w:rsidRDefault="00164CB5" w:rsidP="00282049">
            <w:pPr>
              <w:jc w:val="center"/>
              <w:rPr>
                <w:b w:val="0"/>
                <w:bCs w:val="0"/>
                <w:color w:val="000000" w:themeColor="text1"/>
              </w:rPr>
            </w:pPr>
            <w:r w:rsidRPr="009810ED">
              <w:rPr>
                <w:color w:val="000000" w:themeColor="text1"/>
              </w:rPr>
              <w:t>107GA</w:t>
            </w:r>
          </w:p>
        </w:tc>
        <w:tc>
          <w:tcPr>
            <w:tcW w:w="5103" w:type="dxa"/>
            <w:shd w:val="clear" w:color="auto" w:fill="auto"/>
          </w:tcPr>
          <w:p w14:paraId="7F1A687E" w14:textId="2878A0B7" w:rsidR="00164CB5" w:rsidRDefault="00164CB5" w:rsidP="00282049">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Deals with applications for an extended supervision order where there is a live public protection order application. Under s 107GAA, the former </w:t>
            </w:r>
            <w:r>
              <w:rPr>
                <w:color w:val="000000" w:themeColor="text1"/>
              </w:rPr>
              <w:lastRenderedPageBreak/>
              <w:t>application cannot be heard until the latter application is resolved.</w:t>
            </w:r>
          </w:p>
          <w:p w14:paraId="33279E37" w14:textId="36BA492C" w:rsidR="00164CB5" w:rsidRPr="00372FB3" w:rsidRDefault="00164CB5" w:rsidP="00282049">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Section 107GA adds that</w:t>
            </w:r>
            <w:r w:rsidR="003F5945">
              <w:rPr>
                <w:color w:val="000000" w:themeColor="text1"/>
              </w:rPr>
              <w:t>,</w:t>
            </w:r>
            <w:r>
              <w:rPr>
                <w:color w:val="000000" w:themeColor="text1"/>
              </w:rPr>
              <w:t xml:space="preserve"> during an epidemic, the </w:t>
            </w:r>
            <w:r w:rsidR="003F5945">
              <w:rPr>
                <w:color w:val="000000" w:themeColor="text1"/>
              </w:rPr>
              <w:t>c</w:t>
            </w:r>
            <w:r>
              <w:rPr>
                <w:color w:val="000000" w:themeColor="text1"/>
              </w:rPr>
              <w:t xml:space="preserve">ourt may adjourn the former application for up to 21 days without the offender’s consent. </w:t>
            </w:r>
          </w:p>
        </w:tc>
        <w:tc>
          <w:tcPr>
            <w:tcW w:w="2976" w:type="dxa"/>
            <w:shd w:val="clear" w:color="auto" w:fill="auto"/>
          </w:tcPr>
          <w:p w14:paraId="11ED61F3" w14:textId="77777777" w:rsidR="00164CB5" w:rsidRPr="00372FB3" w:rsidRDefault="00164CB5" w:rsidP="00282049">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lastRenderedPageBreak/>
              <w:t xml:space="preserve">Similar comments applicable here. </w:t>
            </w:r>
          </w:p>
        </w:tc>
      </w:tr>
    </w:tbl>
    <w:p w14:paraId="7A8C816D" w14:textId="77777777" w:rsidR="00164CB5" w:rsidRPr="00372FB3" w:rsidRDefault="00164CB5" w:rsidP="00164CB5">
      <w:pPr>
        <w:rPr>
          <w:color w:val="000000" w:themeColor="text1"/>
        </w:rPr>
      </w:pPr>
    </w:p>
    <w:p w14:paraId="7B4E3545" w14:textId="77777777" w:rsidR="00164CB5" w:rsidRPr="00372FB3" w:rsidRDefault="00164CB5" w:rsidP="00282049">
      <w:pPr>
        <w:pStyle w:val="Heading3"/>
      </w:pPr>
      <w:bookmarkStart w:id="227" w:name="_Toc117063137"/>
      <w:bookmarkStart w:id="228" w:name="_Toc118119329"/>
      <w:r w:rsidRPr="008331DD">
        <w:t>Modification of Sentencing Act (Order 2)</w:t>
      </w:r>
      <w:bookmarkEnd w:id="227"/>
      <w:bookmarkEnd w:id="228"/>
    </w:p>
    <w:p w14:paraId="025E8FE1" w14:textId="45693C50" w:rsidR="00164CB5" w:rsidRPr="00372FB3" w:rsidRDefault="00164CB5" w:rsidP="00282049">
      <w:pPr>
        <w:pStyle w:val="BodyText1"/>
      </w:pPr>
      <w:r w:rsidRPr="00372FB3">
        <w:t xml:space="preserve">On </w:t>
      </w:r>
      <w:r>
        <w:t>30</w:t>
      </w:r>
      <w:r w:rsidRPr="00372FB3">
        <w:t xml:space="preserve"> March 2020, </w:t>
      </w:r>
      <w:r>
        <w:t>a few</w:t>
      </w:r>
      <w:r w:rsidRPr="00372FB3">
        <w:t xml:space="preserve"> day</w:t>
      </w:r>
      <w:r>
        <w:t>s after</w:t>
      </w:r>
      <w:r w:rsidRPr="00372FB3">
        <w:t xml:space="preserve"> the </w:t>
      </w:r>
      <w:r w:rsidR="00470B51">
        <w:t>e</w:t>
      </w:r>
      <w:r w:rsidRPr="00372FB3">
        <w:t xml:space="preserve">pidemic </w:t>
      </w:r>
      <w:r w:rsidR="00470B51">
        <w:t>n</w:t>
      </w:r>
      <w:r w:rsidRPr="00372FB3">
        <w:t xml:space="preserve">otice under s 5 was made, various provisions in the </w:t>
      </w:r>
      <w:r>
        <w:t xml:space="preserve">Sentencing Act </w:t>
      </w:r>
      <w:r w:rsidRPr="00372FB3">
        <w:t>were activated. The sections</w:t>
      </w:r>
      <w:r>
        <w:t>, which all relate to community-based sentences or home</w:t>
      </w:r>
      <w:r w:rsidR="003F5945">
        <w:t xml:space="preserve"> </w:t>
      </w:r>
      <w:r>
        <w:t>detention,</w:t>
      </w:r>
      <w:r w:rsidRPr="00372FB3">
        <w:t xml:space="preserve"> are as follows</w:t>
      </w:r>
      <w:r>
        <w:t xml:space="preserve">: </w:t>
      </w:r>
    </w:p>
    <w:tbl>
      <w:tblPr>
        <w:tblStyle w:val="GridTable4-Accent2"/>
        <w:tblW w:w="9067" w:type="dxa"/>
        <w:tblLook w:val="04A0" w:firstRow="1" w:lastRow="0" w:firstColumn="1" w:lastColumn="0" w:noHBand="0" w:noVBand="1"/>
      </w:tblPr>
      <w:tblGrid>
        <w:gridCol w:w="988"/>
        <w:gridCol w:w="5103"/>
        <w:gridCol w:w="2976"/>
      </w:tblGrid>
      <w:tr w:rsidR="00164CB5" w:rsidRPr="00282049" w14:paraId="1A5F6A5D" w14:textId="77777777" w:rsidTr="00CD6E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top w:val="none" w:sz="0" w:space="0" w:color="auto"/>
              <w:left w:val="none" w:sz="0" w:space="0" w:color="auto"/>
              <w:bottom w:val="none" w:sz="0" w:space="0" w:color="auto"/>
              <w:right w:val="none" w:sz="0" w:space="0" w:color="auto"/>
            </w:tcBorders>
          </w:tcPr>
          <w:p w14:paraId="3E34982B" w14:textId="77777777" w:rsidR="00164CB5" w:rsidRPr="00282049" w:rsidRDefault="00164CB5" w:rsidP="00282049">
            <w:pPr>
              <w:jc w:val="center"/>
              <w:rPr>
                <w:rFonts w:ascii="Metropolis" w:hAnsi="Metropolis"/>
              </w:rPr>
            </w:pPr>
            <w:r w:rsidRPr="00282049">
              <w:rPr>
                <w:rFonts w:ascii="Metropolis" w:hAnsi="Metropolis"/>
              </w:rPr>
              <w:t>Section</w:t>
            </w:r>
          </w:p>
        </w:tc>
        <w:tc>
          <w:tcPr>
            <w:tcW w:w="5103" w:type="dxa"/>
            <w:tcBorders>
              <w:top w:val="none" w:sz="0" w:space="0" w:color="auto"/>
              <w:left w:val="none" w:sz="0" w:space="0" w:color="auto"/>
              <w:bottom w:val="none" w:sz="0" w:space="0" w:color="auto"/>
              <w:right w:val="none" w:sz="0" w:space="0" w:color="auto"/>
            </w:tcBorders>
          </w:tcPr>
          <w:p w14:paraId="02BE8721" w14:textId="77777777" w:rsidR="00164CB5" w:rsidRPr="00282049" w:rsidRDefault="00164CB5" w:rsidP="00282049">
            <w:pPr>
              <w:jc w:val="center"/>
              <w:cnfStyle w:val="100000000000" w:firstRow="1" w:lastRow="0" w:firstColumn="0" w:lastColumn="0" w:oddVBand="0" w:evenVBand="0" w:oddHBand="0" w:evenHBand="0" w:firstRowFirstColumn="0" w:firstRowLastColumn="0" w:lastRowFirstColumn="0" w:lastRowLastColumn="0"/>
              <w:rPr>
                <w:rFonts w:ascii="Metropolis" w:hAnsi="Metropolis"/>
              </w:rPr>
            </w:pPr>
            <w:r w:rsidRPr="00282049">
              <w:rPr>
                <w:rFonts w:ascii="Metropolis" w:hAnsi="Metropolis"/>
              </w:rPr>
              <w:t>Power</w:t>
            </w:r>
          </w:p>
        </w:tc>
        <w:tc>
          <w:tcPr>
            <w:tcW w:w="2976" w:type="dxa"/>
            <w:tcBorders>
              <w:top w:val="none" w:sz="0" w:space="0" w:color="auto"/>
              <w:left w:val="none" w:sz="0" w:space="0" w:color="auto"/>
              <w:bottom w:val="none" w:sz="0" w:space="0" w:color="auto"/>
              <w:right w:val="none" w:sz="0" w:space="0" w:color="auto"/>
            </w:tcBorders>
          </w:tcPr>
          <w:p w14:paraId="6252B7BB" w14:textId="77777777" w:rsidR="00164CB5" w:rsidRPr="00282049" w:rsidRDefault="00164CB5" w:rsidP="00282049">
            <w:pPr>
              <w:jc w:val="center"/>
              <w:cnfStyle w:val="100000000000" w:firstRow="1" w:lastRow="0" w:firstColumn="0" w:lastColumn="0" w:oddVBand="0" w:evenVBand="0" w:oddHBand="0" w:evenHBand="0" w:firstRowFirstColumn="0" w:firstRowLastColumn="0" w:lastRowFirstColumn="0" w:lastRowLastColumn="0"/>
              <w:rPr>
                <w:rFonts w:ascii="Metropolis" w:hAnsi="Metropolis"/>
              </w:rPr>
            </w:pPr>
            <w:r w:rsidRPr="00282049">
              <w:rPr>
                <w:rFonts w:ascii="Metropolis" w:hAnsi="Metropolis"/>
              </w:rPr>
              <w:t>Comment</w:t>
            </w:r>
          </w:p>
        </w:tc>
      </w:tr>
      <w:tr w:rsidR="00282049" w:rsidRPr="00282049" w14:paraId="68E5630C" w14:textId="77777777" w:rsidTr="00CD6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E5B8B7" w:themeFill="accent2" w:themeFillTint="66"/>
          </w:tcPr>
          <w:p w14:paraId="59802BB4" w14:textId="77777777" w:rsidR="00164CB5" w:rsidRPr="00282049" w:rsidRDefault="00164CB5" w:rsidP="00282049">
            <w:pPr>
              <w:jc w:val="center"/>
              <w:rPr>
                <w:b w:val="0"/>
                <w:bCs w:val="0"/>
                <w:color w:val="000000" w:themeColor="text1"/>
                <w:szCs w:val="20"/>
              </w:rPr>
            </w:pPr>
            <w:r w:rsidRPr="00282049">
              <w:rPr>
                <w:color w:val="000000" w:themeColor="text1"/>
                <w:szCs w:val="20"/>
              </w:rPr>
              <w:t>54A and L</w:t>
            </w:r>
          </w:p>
        </w:tc>
        <w:tc>
          <w:tcPr>
            <w:tcW w:w="5103" w:type="dxa"/>
            <w:shd w:val="clear" w:color="auto" w:fill="auto"/>
          </w:tcPr>
          <w:p w14:paraId="251981E4" w14:textId="1AF31EB7" w:rsidR="00164CB5" w:rsidRPr="00282049" w:rsidRDefault="00164CB5" w:rsidP="00282049">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282049">
              <w:rPr>
                <w:color w:val="000000" w:themeColor="text1"/>
                <w:szCs w:val="20"/>
              </w:rPr>
              <w:t>Subs</w:t>
            </w:r>
            <w:r w:rsidR="0074244E">
              <w:rPr>
                <w:color w:val="000000" w:themeColor="text1"/>
                <w:szCs w:val="20"/>
              </w:rPr>
              <w:t>ection</w:t>
            </w:r>
            <w:r w:rsidRPr="00282049">
              <w:rPr>
                <w:color w:val="000000" w:themeColor="text1"/>
                <w:szCs w:val="20"/>
              </w:rPr>
              <w:t xml:space="preserve"> A applies to supervision</w:t>
            </w:r>
            <w:r w:rsidR="003F5945">
              <w:rPr>
                <w:color w:val="000000" w:themeColor="text1"/>
                <w:szCs w:val="20"/>
              </w:rPr>
              <w:t xml:space="preserve"> and</w:t>
            </w:r>
            <w:r w:rsidRPr="00282049">
              <w:rPr>
                <w:color w:val="000000" w:themeColor="text1"/>
                <w:szCs w:val="20"/>
              </w:rPr>
              <w:t xml:space="preserve"> subs</w:t>
            </w:r>
            <w:r w:rsidR="0074244E">
              <w:rPr>
                <w:color w:val="000000" w:themeColor="text1"/>
                <w:szCs w:val="20"/>
              </w:rPr>
              <w:t>ection</w:t>
            </w:r>
            <w:r w:rsidRPr="00282049">
              <w:rPr>
                <w:color w:val="000000" w:themeColor="text1"/>
                <w:szCs w:val="20"/>
              </w:rPr>
              <w:t xml:space="preserve"> L to intensive supervision. Each allows a probation officer to temporarily vary any special conditions or vary or suspend any standard conditions if the officer or offender has applied for a court order to vary those conditions. </w:t>
            </w:r>
          </w:p>
        </w:tc>
        <w:tc>
          <w:tcPr>
            <w:tcW w:w="2976" w:type="dxa"/>
            <w:vMerge w:val="restart"/>
            <w:shd w:val="clear" w:color="auto" w:fill="auto"/>
          </w:tcPr>
          <w:p w14:paraId="50B7005D" w14:textId="7A2742F8" w:rsidR="00164CB5" w:rsidRPr="00282049" w:rsidRDefault="00164CB5" w:rsidP="00282049">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282049">
              <w:rPr>
                <w:color w:val="000000" w:themeColor="text1"/>
                <w:szCs w:val="20"/>
              </w:rPr>
              <w:t>These provisions do not raise any significant concerns. Basically, they are about temporarily devolving power to other decision</w:t>
            </w:r>
            <w:r w:rsidR="005D76D2">
              <w:rPr>
                <w:color w:val="000000" w:themeColor="text1"/>
                <w:szCs w:val="20"/>
              </w:rPr>
              <w:t xml:space="preserve"> </w:t>
            </w:r>
            <w:r w:rsidRPr="00282049">
              <w:rPr>
                <w:color w:val="000000" w:themeColor="text1"/>
                <w:szCs w:val="20"/>
              </w:rPr>
              <w:t xml:space="preserve">makers to avoid unnecessary </w:t>
            </w:r>
            <w:r w:rsidR="0074244E">
              <w:rPr>
                <w:color w:val="000000" w:themeColor="text1"/>
                <w:szCs w:val="20"/>
              </w:rPr>
              <w:t>c</w:t>
            </w:r>
            <w:r w:rsidRPr="00282049">
              <w:rPr>
                <w:color w:val="000000" w:themeColor="text1"/>
                <w:szCs w:val="20"/>
              </w:rPr>
              <w:t xml:space="preserve">ourt hearings. </w:t>
            </w:r>
          </w:p>
          <w:p w14:paraId="690E692A" w14:textId="77777777" w:rsidR="00164CB5" w:rsidRPr="00282049" w:rsidRDefault="00164CB5" w:rsidP="00282049">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282049">
              <w:rPr>
                <w:color w:val="000000" w:themeColor="text1"/>
                <w:szCs w:val="20"/>
              </w:rPr>
              <w:t xml:space="preserve">In many cases, these sections are also favourable to the people they apply to (most obviously, ss 67A and 69A). </w:t>
            </w:r>
          </w:p>
        </w:tc>
      </w:tr>
      <w:tr w:rsidR="00164CB5" w:rsidRPr="00282049" w14:paraId="4B2E01FC" w14:textId="77777777" w:rsidTr="00CD6E23">
        <w:tc>
          <w:tcPr>
            <w:cnfStyle w:val="001000000000" w:firstRow="0" w:lastRow="0" w:firstColumn="1" w:lastColumn="0" w:oddVBand="0" w:evenVBand="0" w:oddHBand="0" w:evenHBand="0" w:firstRowFirstColumn="0" w:firstRowLastColumn="0" w:lastRowFirstColumn="0" w:lastRowLastColumn="0"/>
            <w:tcW w:w="988" w:type="dxa"/>
            <w:shd w:val="clear" w:color="auto" w:fill="E5B8B7" w:themeFill="accent2" w:themeFillTint="66"/>
          </w:tcPr>
          <w:p w14:paraId="4315A7B0" w14:textId="77777777" w:rsidR="00164CB5" w:rsidRPr="00282049" w:rsidRDefault="00164CB5" w:rsidP="00282049">
            <w:pPr>
              <w:jc w:val="center"/>
              <w:rPr>
                <w:b w:val="0"/>
                <w:bCs w:val="0"/>
                <w:color w:val="000000" w:themeColor="text1"/>
                <w:szCs w:val="20"/>
              </w:rPr>
            </w:pPr>
            <w:r w:rsidRPr="00282049">
              <w:rPr>
                <w:color w:val="000000" w:themeColor="text1"/>
                <w:szCs w:val="20"/>
              </w:rPr>
              <w:t>67A</w:t>
            </w:r>
          </w:p>
        </w:tc>
        <w:tc>
          <w:tcPr>
            <w:tcW w:w="5103" w:type="dxa"/>
            <w:shd w:val="clear" w:color="auto" w:fill="auto"/>
          </w:tcPr>
          <w:p w14:paraId="30CEED18" w14:textId="4F411310" w:rsidR="00164CB5" w:rsidRPr="00282049" w:rsidRDefault="00164CB5" w:rsidP="00282049">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282049">
              <w:rPr>
                <w:color w:val="000000" w:themeColor="text1"/>
                <w:szCs w:val="20"/>
              </w:rPr>
              <w:t>Allows the chief executive of the Department of Corrections to give probation officers greater powers to remit the hours of community work imposed on offenders. Normally</w:t>
            </w:r>
            <w:r w:rsidR="0074244E">
              <w:rPr>
                <w:color w:val="000000" w:themeColor="text1"/>
                <w:szCs w:val="20"/>
              </w:rPr>
              <w:t>,</w:t>
            </w:r>
            <w:r w:rsidRPr="00282049">
              <w:rPr>
                <w:color w:val="000000" w:themeColor="text1"/>
                <w:szCs w:val="20"/>
              </w:rPr>
              <w:t xml:space="preserve"> they can only remit up to 10 per</w:t>
            </w:r>
            <w:r w:rsidR="00BB1AB7">
              <w:rPr>
                <w:color w:val="000000" w:themeColor="text1"/>
                <w:szCs w:val="20"/>
              </w:rPr>
              <w:t xml:space="preserve"> </w:t>
            </w:r>
            <w:r w:rsidRPr="00282049">
              <w:rPr>
                <w:color w:val="000000" w:themeColor="text1"/>
                <w:szCs w:val="20"/>
              </w:rPr>
              <w:t xml:space="preserve">cent without a subsequent </w:t>
            </w:r>
            <w:r w:rsidR="0074244E">
              <w:rPr>
                <w:color w:val="000000" w:themeColor="text1"/>
                <w:szCs w:val="20"/>
              </w:rPr>
              <w:t>c</w:t>
            </w:r>
            <w:r w:rsidRPr="00282049">
              <w:rPr>
                <w:color w:val="000000" w:themeColor="text1"/>
                <w:szCs w:val="20"/>
              </w:rPr>
              <w:t xml:space="preserve">ourt application. </w:t>
            </w:r>
          </w:p>
        </w:tc>
        <w:tc>
          <w:tcPr>
            <w:tcW w:w="2976" w:type="dxa"/>
            <w:vMerge/>
          </w:tcPr>
          <w:p w14:paraId="0D6A899D" w14:textId="77777777" w:rsidR="00164CB5" w:rsidRPr="00282049" w:rsidRDefault="00164CB5" w:rsidP="00282049">
            <w:pPr>
              <w:cnfStyle w:val="000000000000" w:firstRow="0" w:lastRow="0" w:firstColumn="0" w:lastColumn="0" w:oddVBand="0" w:evenVBand="0" w:oddHBand="0" w:evenHBand="0" w:firstRowFirstColumn="0" w:firstRowLastColumn="0" w:lastRowFirstColumn="0" w:lastRowLastColumn="0"/>
              <w:rPr>
                <w:color w:val="000000" w:themeColor="text1"/>
                <w:szCs w:val="20"/>
              </w:rPr>
            </w:pPr>
          </w:p>
        </w:tc>
      </w:tr>
      <w:tr w:rsidR="00CD6E23" w:rsidRPr="00282049" w14:paraId="01CE5533" w14:textId="77777777" w:rsidTr="00CD6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E5B8B7" w:themeFill="accent2" w:themeFillTint="66"/>
          </w:tcPr>
          <w:p w14:paraId="3F0EF1FF" w14:textId="77777777" w:rsidR="00164CB5" w:rsidRPr="00282049" w:rsidRDefault="00164CB5" w:rsidP="00282049">
            <w:pPr>
              <w:jc w:val="center"/>
              <w:rPr>
                <w:b w:val="0"/>
                <w:bCs w:val="0"/>
                <w:color w:val="000000" w:themeColor="text1"/>
                <w:szCs w:val="20"/>
              </w:rPr>
            </w:pPr>
            <w:r w:rsidRPr="00282049">
              <w:rPr>
                <w:color w:val="000000" w:themeColor="text1"/>
                <w:szCs w:val="20"/>
              </w:rPr>
              <w:t>69A</w:t>
            </w:r>
          </w:p>
        </w:tc>
        <w:tc>
          <w:tcPr>
            <w:tcW w:w="5103" w:type="dxa"/>
            <w:shd w:val="clear" w:color="auto" w:fill="auto"/>
          </w:tcPr>
          <w:p w14:paraId="3B66881F" w14:textId="0E85271B" w:rsidR="00164CB5" w:rsidRPr="00282049" w:rsidRDefault="00164CB5" w:rsidP="00282049">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282049">
              <w:rPr>
                <w:color w:val="000000" w:themeColor="text1"/>
                <w:szCs w:val="20"/>
              </w:rPr>
              <w:t xml:space="preserve">Under s 69, a probation officer can apply to </w:t>
            </w:r>
            <w:r w:rsidR="0074244E">
              <w:rPr>
                <w:color w:val="000000" w:themeColor="text1"/>
                <w:szCs w:val="20"/>
              </w:rPr>
              <w:t>c</w:t>
            </w:r>
            <w:r w:rsidRPr="00282049">
              <w:rPr>
                <w:color w:val="000000" w:themeColor="text1"/>
                <w:szCs w:val="20"/>
              </w:rPr>
              <w:t xml:space="preserve">ourt to extend the period during which community work must be done, broadly on humanitarian grounds. </w:t>
            </w:r>
          </w:p>
          <w:p w14:paraId="6780E7D9" w14:textId="3928AC57" w:rsidR="00164CB5" w:rsidRPr="00282049" w:rsidRDefault="00164CB5" w:rsidP="00282049">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282049">
              <w:rPr>
                <w:color w:val="000000" w:themeColor="text1"/>
                <w:szCs w:val="20"/>
              </w:rPr>
              <w:t xml:space="preserve">Section 69A allows </w:t>
            </w:r>
            <w:r w:rsidR="0074244E">
              <w:rPr>
                <w:color w:val="000000" w:themeColor="text1"/>
                <w:szCs w:val="20"/>
              </w:rPr>
              <w:t>the</w:t>
            </w:r>
            <w:r w:rsidRPr="00282049">
              <w:rPr>
                <w:color w:val="000000" w:themeColor="text1"/>
                <w:szCs w:val="20"/>
              </w:rPr>
              <w:t xml:space="preserve"> chief executive, during a pandemic, to authorise probation officers to extend that period up to 12 months without recourse to </w:t>
            </w:r>
            <w:r w:rsidR="0074244E">
              <w:rPr>
                <w:color w:val="000000" w:themeColor="text1"/>
                <w:szCs w:val="20"/>
              </w:rPr>
              <w:t>c</w:t>
            </w:r>
            <w:r w:rsidRPr="00282049">
              <w:rPr>
                <w:color w:val="000000" w:themeColor="text1"/>
                <w:szCs w:val="20"/>
              </w:rPr>
              <w:t>ourt.</w:t>
            </w:r>
          </w:p>
        </w:tc>
        <w:tc>
          <w:tcPr>
            <w:tcW w:w="2976" w:type="dxa"/>
            <w:vMerge/>
          </w:tcPr>
          <w:p w14:paraId="574B60D3" w14:textId="77777777" w:rsidR="00164CB5" w:rsidRPr="00282049" w:rsidRDefault="00164CB5" w:rsidP="00282049">
            <w:pPr>
              <w:cnfStyle w:val="000000100000" w:firstRow="0" w:lastRow="0" w:firstColumn="0" w:lastColumn="0" w:oddVBand="0" w:evenVBand="0" w:oddHBand="1" w:evenHBand="0" w:firstRowFirstColumn="0" w:firstRowLastColumn="0" w:lastRowFirstColumn="0" w:lastRowLastColumn="0"/>
              <w:rPr>
                <w:color w:val="000000" w:themeColor="text1"/>
                <w:szCs w:val="20"/>
              </w:rPr>
            </w:pPr>
          </w:p>
        </w:tc>
      </w:tr>
      <w:tr w:rsidR="00164CB5" w:rsidRPr="00282049" w14:paraId="2F493401" w14:textId="77777777" w:rsidTr="00CD6E23">
        <w:tc>
          <w:tcPr>
            <w:cnfStyle w:val="001000000000" w:firstRow="0" w:lastRow="0" w:firstColumn="1" w:lastColumn="0" w:oddVBand="0" w:evenVBand="0" w:oddHBand="0" w:evenHBand="0" w:firstRowFirstColumn="0" w:firstRowLastColumn="0" w:lastRowFirstColumn="0" w:lastRowLastColumn="0"/>
            <w:tcW w:w="988" w:type="dxa"/>
            <w:shd w:val="clear" w:color="auto" w:fill="E5B8B7" w:themeFill="accent2" w:themeFillTint="66"/>
          </w:tcPr>
          <w:p w14:paraId="63A73122" w14:textId="77777777" w:rsidR="00164CB5" w:rsidRPr="00282049" w:rsidRDefault="00164CB5" w:rsidP="00282049">
            <w:pPr>
              <w:jc w:val="center"/>
              <w:rPr>
                <w:b w:val="0"/>
                <w:bCs w:val="0"/>
                <w:color w:val="000000" w:themeColor="text1"/>
                <w:szCs w:val="20"/>
              </w:rPr>
            </w:pPr>
            <w:r w:rsidRPr="00282049">
              <w:rPr>
                <w:color w:val="000000" w:themeColor="text1"/>
                <w:szCs w:val="20"/>
              </w:rPr>
              <w:t>69J</w:t>
            </w:r>
          </w:p>
        </w:tc>
        <w:tc>
          <w:tcPr>
            <w:tcW w:w="5103" w:type="dxa"/>
            <w:shd w:val="clear" w:color="auto" w:fill="auto"/>
          </w:tcPr>
          <w:p w14:paraId="2014DA9E" w14:textId="77777777" w:rsidR="00164CB5" w:rsidRPr="00282049" w:rsidRDefault="00164CB5" w:rsidP="00282049">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282049">
              <w:rPr>
                <w:color w:val="000000" w:themeColor="text1"/>
                <w:szCs w:val="20"/>
              </w:rPr>
              <w:t xml:space="preserve">Allows a probation officer to temporarily: </w:t>
            </w:r>
          </w:p>
          <w:p w14:paraId="5B13B424" w14:textId="77777777" w:rsidR="00164CB5" w:rsidRPr="00282049" w:rsidRDefault="00164CB5" w:rsidP="00556B28">
            <w:pPr>
              <w:pStyle w:val="ListParagraph"/>
              <w:numPr>
                <w:ilvl w:val="0"/>
                <w:numId w:val="21"/>
              </w:num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82049">
              <w:rPr>
                <w:color w:val="000000" w:themeColor="text1"/>
                <w:sz w:val="20"/>
                <w:szCs w:val="20"/>
              </w:rPr>
              <w:t xml:space="preserve">vary the curfew </w:t>
            </w:r>
            <w:r w:rsidRPr="00245A75">
              <w:rPr>
                <w:sz w:val="20"/>
                <w:szCs w:val="20"/>
              </w:rPr>
              <w:t>period</w:t>
            </w:r>
            <w:r w:rsidRPr="00282049">
              <w:rPr>
                <w:color w:val="000000" w:themeColor="text1"/>
                <w:sz w:val="20"/>
                <w:szCs w:val="20"/>
              </w:rPr>
              <w:t xml:space="preserve"> on a sentence of community detention if the officer or offender has applied for a court order to vary the curfew period; and</w:t>
            </w:r>
          </w:p>
          <w:p w14:paraId="1DF2B3A1" w14:textId="6E2C6189" w:rsidR="00164CB5" w:rsidRPr="00282049" w:rsidRDefault="00164CB5" w:rsidP="00556B28">
            <w:pPr>
              <w:pStyle w:val="ListParagraph"/>
              <w:numPr>
                <w:ilvl w:val="0"/>
                <w:numId w:val="21"/>
              </w:num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82049">
              <w:rPr>
                <w:color w:val="000000" w:themeColor="text1"/>
                <w:sz w:val="20"/>
                <w:szCs w:val="20"/>
              </w:rPr>
              <w:t xml:space="preserve">vary or suspend any conditions of a sentence of </w:t>
            </w:r>
            <w:r w:rsidRPr="00245A75">
              <w:rPr>
                <w:sz w:val="20"/>
                <w:szCs w:val="20"/>
              </w:rPr>
              <w:t>community</w:t>
            </w:r>
            <w:r w:rsidRPr="00282049">
              <w:rPr>
                <w:color w:val="000000" w:themeColor="text1"/>
                <w:sz w:val="20"/>
                <w:szCs w:val="20"/>
              </w:rPr>
              <w:t xml:space="preserve"> detention</w:t>
            </w:r>
            <w:r w:rsidR="0074244E">
              <w:rPr>
                <w:color w:val="000000" w:themeColor="text1"/>
                <w:sz w:val="20"/>
                <w:szCs w:val="20"/>
              </w:rPr>
              <w:t>.</w:t>
            </w:r>
          </w:p>
        </w:tc>
        <w:tc>
          <w:tcPr>
            <w:tcW w:w="2976" w:type="dxa"/>
            <w:vMerge/>
          </w:tcPr>
          <w:p w14:paraId="02E1E635" w14:textId="77777777" w:rsidR="00164CB5" w:rsidRPr="00282049" w:rsidRDefault="00164CB5" w:rsidP="00282049">
            <w:pPr>
              <w:cnfStyle w:val="000000000000" w:firstRow="0" w:lastRow="0" w:firstColumn="0" w:lastColumn="0" w:oddVBand="0" w:evenVBand="0" w:oddHBand="0" w:evenHBand="0" w:firstRowFirstColumn="0" w:firstRowLastColumn="0" w:lastRowFirstColumn="0" w:lastRowLastColumn="0"/>
              <w:rPr>
                <w:color w:val="000000" w:themeColor="text1"/>
                <w:szCs w:val="20"/>
              </w:rPr>
            </w:pPr>
          </w:p>
        </w:tc>
      </w:tr>
      <w:tr w:rsidR="00CD6E23" w:rsidRPr="00282049" w14:paraId="70C5C3B7" w14:textId="77777777" w:rsidTr="00CD6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E5B8B7" w:themeFill="accent2" w:themeFillTint="66"/>
          </w:tcPr>
          <w:p w14:paraId="265CDF69" w14:textId="77777777" w:rsidR="00164CB5" w:rsidRPr="00282049" w:rsidRDefault="00164CB5" w:rsidP="00282049">
            <w:pPr>
              <w:jc w:val="center"/>
              <w:rPr>
                <w:b w:val="0"/>
                <w:bCs w:val="0"/>
                <w:color w:val="000000" w:themeColor="text1"/>
                <w:szCs w:val="20"/>
              </w:rPr>
            </w:pPr>
            <w:r w:rsidRPr="00282049">
              <w:rPr>
                <w:color w:val="000000" w:themeColor="text1"/>
                <w:szCs w:val="20"/>
              </w:rPr>
              <w:t>80ZH</w:t>
            </w:r>
          </w:p>
        </w:tc>
        <w:tc>
          <w:tcPr>
            <w:tcW w:w="5103" w:type="dxa"/>
            <w:shd w:val="clear" w:color="auto" w:fill="auto"/>
          </w:tcPr>
          <w:p w14:paraId="53F38FD7" w14:textId="68685614" w:rsidR="00164CB5" w:rsidRPr="00282049" w:rsidRDefault="00164CB5" w:rsidP="00282049">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282049">
              <w:rPr>
                <w:color w:val="000000" w:themeColor="text1"/>
                <w:szCs w:val="20"/>
              </w:rPr>
              <w:t>Allows a probation officer to temporarily</w:t>
            </w:r>
            <w:r w:rsidR="0074244E">
              <w:rPr>
                <w:color w:val="000000" w:themeColor="text1"/>
                <w:szCs w:val="20"/>
              </w:rPr>
              <w:t>:</w:t>
            </w:r>
          </w:p>
          <w:p w14:paraId="41E21CFF" w14:textId="77777777" w:rsidR="00164CB5" w:rsidRPr="00245A75" w:rsidRDefault="00164CB5" w:rsidP="00556B28">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sz w:val="20"/>
                <w:szCs w:val="20"/>
              </w:rPr>
            </w:pPr>
            <w:r w:rsidRPr="00282049">
              <w:rPr>
                <w:color w:val="000000" w:themeColor="text1"/>
                <w:sz w:val="20"/>
                <w:szCs w:val="20"/>
              </w:rPr>
              <w:lastRenderedPageBreak/>
              <w:t xml:space="preserve">vary any special conditions of a sentence of </w:t>
            </w:r>
            <w:r w:rsidRPr="00245A75">
              <w:rPr>
                <w:sz w:val="20"/>
                <w:szCs w:val="20"/>
              </w:rPr>
              <w:t>home detention if the officer or offender has applied for a court order to vary those conditions; and</w:t>
            </w:r>
          </w:p>
          <w:p w14:paraId="1EC9DFC9" w14:textId="05BB1A41" w:rsidR="00164CB5" w:rsidRPr="00CD6E23" w:rsidRDefault="00164CB5" w:rsidP="00556B28">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45A75">
              <w:rPr>
                <w:sz w:val="20"/>
                <w:szCs w:val="20"/>
              </w:rPr>
              <w:t>vary or suspend any standard conditions of a sentence</w:t>
            </w:r>
            <w:r w:rsidRPr="00282049">
              <w:rPr>
                <w:color w:val="000000" w:themeColor="text1"/>
                <w:sz w:val="20"/>
                <w:szCs w:val="20"/>
              </w:rPr>
              <w:t xml:space="preserve"> of home detention</w:t>
            </w:r>
            <w:r w:rsidR="0074244E">
              <w:rPr>
                <w:color w:val="000000" w:themeColor="text1"/>
                <w:sz w:val="20"/>
                <w:szCs w:val="20"/>
              </w:rPr>
              <w:t>.</w:t>
            </w:r>
          </w:p>
        </w:tc>
        <w:tc>
          <w:tcPr>
            <w:tcW w:w="2976" w:type="dxa"/>
            <w:vMerge/>
          </w:tcPr>
          <w:p w14:paraId="419AF56A" w14:textId="77777777" w:rsidR="00164CB5" w:rsidRPr="00282049" w:rsidRDefault="00164CB5" w:rsidP="00282049">
            <w:pPr>
              <w:cnfStyle w:val="000000100000" w:firstRow="0" w:lastRow="0" w:firstColumn="0" w:lastColumn="0" w:oddVBand="0" w:evenVBand="0" w:oddHBand="1" w:evenHBand="0" w:firstRowFirstColumn="0" w:firstRowLastColumn="0" w:lastRowFirstColumn="0" w:lastRowLastColumn="0"/>
              <w:rPr>
                <w:color w:val="000000" w:themeColor="text1"/>
                <w:szCs w:val="20"/>
              </w:rPr>
            </w:pPr>
          </w:p>
        </w:tc>
      </w:tr>
      <w:tr w:rsidR="00164CB5" w:rsidRPr="00282049" w14:paraId="12437F90" w14:textId="77777777" w:rsidTr="00CD6E23">
        <w:tc>
          <w:tcPr>
            <w:cnfStyle w:val="001000000000" w:firstRow="0" w:lastRow="0" w:firstColumn="1" w:lastColumn="0" w:oddVBand="0" w:evenVBand="0" w:oddHBand="0" w:evenHBand="0" w:firstRowFirstColumn="0" w:firstRowLastColumn="0" w:lastRowFirstColumn="0" w:lastRowLastColumn="0"/>
            <w:tcW w:w="988" w:type="dxa"/>
            <w:shd w:val="clear" w:color="auto" w:fill="E5B8B7" w:themeFill="accent2" w:themeFillTint="66"/>
          </w:tcPr>
          <w:p w14:paraId="6DF22602" w14:textId="77777777" w:rsidR="00164CB5" w:rsidRPr="00282049" w:rsidRDefault="00164CB5" w:rsidP="00282049">
            <w:pPr>
              <w:jc w:val="center"/>
              <w:rPr>
                <w:b w:val="0"/>
                <w:bCs w:val="0"/>
                <w:color w:val="000000" w:themeColor="text1"/>
                <w:szCs w:val="20"/>
              </w:rPr>
            </w:pPr>
            <w:r w:rsidRPr="00282049">
              <w:rPr>
                <w:color w:val="000000" w:themeColor="text1"/>
                <w:szCs w:val="20"/>
              </w:rPr>
              <w:t>80ZI</w:t>
            </w:r>
          </w:p>
        </w:tc>
        <w:tc>
          <w:tcPr>
            <w:tcW w:w="5103" w:type="dxa"/>
          </w:tcPr>
          <w:p w14:paraId="7DA91588" w14:textId="77777777" w:rsidR="00164CB5" w:rsidRPr="00282049" w:rsidRDefault="00164CB5" w:rsidP="00282049">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282049">
              <w:rPr>
                <w:color w:val="000000" w:themeColor="text1"/>
                <w:szCs w:val="20"/>
              </w:rPr>
              <w:t>Allows a probation officer to temporarily vary any post-detention conditions of a sentence of home detention if the officer or offender has applied for a court order to vary those conditions.</w:t>
            </w:r>
          </w:p>
        </w:tc>
        <w:tc>
          <w:tcPr>
            <w:tcW w:w="2976" w:type="dxa"/>
            <w:vMerge/>
          </w:tcPr>
          <w:p w14:paraId="5AABF785" w14:textId="77777777" w:rsidR="00164CB5" w:rsidRPr="00282049" w:rsidRDefault="00164CB5" w:rsidP="00282049">
            <w:pPr>
              <w:cnfStyle w:val="000000000000" w:firstRow="0" w:lastRow="0" w:firstColumn="0" w:lastColumn="0" w:oddVBand="0" w:evenVBand="0" w:oddHBand="0" w:evenHBand="0" w:firstRowFirstColumn="0" w:firstRowLastColumn="0" w:lastRowFirstColumn="0" w:lastRowLastColumn="0"/>
              <w:rPr>
                <w:color w:val="000000" w:themeColor="text1"/>
                <w:szCs w:val="20"/>
              </w:rPr>
            </w:pPr>
          </w:p>
        </w:tc>
      </w:tr>
    </w:tbl>
    <w:p w14:paraId="7A4F3486" w14:textId="77777777" w:rsidR="00164CB5" w:rsidRPr="00372FB3" w:rsidRDefault="00164CB5" w:rsidP="00164CB5">
      <w:pPr>
        <w:rPr>
          <w:color w:val="000000" w:themeColor="text1"/>
        </w:rPr>
      </w:pPr>
    </w:p>
    <w:p w14:paraId="4B9F01A6" w14:textId="76A7EFB7" w:rsidR="00164CB5" w:rsidRPr="00C75CC9" w:rsidRDefault="00164CB5" w:rsidP="00CD6E23">
      <w:pPr>
        <w:pStyle w:val="Heading3"/>
      </w:pPr>
      <w:bookmarkStart w:id="229" w:name="_Toc117063138"/>
      <w:bookmarkStart w:id="230" w:name="_Toc118119330"/>
      <w:r w:rsidRPr="008331DD">
        <w:t xml:space="preserve">Section 15 </w:t>
      </w:r>
      <w:r w:rsidR="0074244E">
        <w:t>i</w:t>
      </w:r>
      <w:r w:rsidRPr="008331DD">
        <w:t xml:space="preserve">mmediate </w:t>
      </w:r>
      <w:r w:rsidR="0074244E">
        <w:t>m</w:t>
      </w:r>
      <w:r w:rsidRPr="008331DD">
        <w:t xml:space="preserve">odification </w:t>
      </w:r>
      <w:r w:rsidR="0074244E">
        <w:t>o</w:t>
      </w:r>
      <w:r w:rsidRPr="008331DD">
        <w:t>rders</w:t>
      </w:r>
      <w:bookmarkEnd w:id="229"/>
      <w:bookmarkEnd w:id="230"/>
    </w:p>
    <w:p w14:paraId="2E0F18A5" w14:textId="57AD665A" w:rsidR="00164CB5" w:rsidRDefault="00164CB5" w:rsidP="00CD6E23">
      <w:pPr>
        <w:pStyle w:val="BodyText1"/>
      </w:pPr>
      <w:r>
        <w:t xml:space="preserve">I now summarise the </w:t>
      </w:r>
      <w:r w:rsidR="0074244E">
        <w:t>nine</w:t>
      </w:r>
      <w:r>
        <w:t xml:space="preserve"> immediate modification orders made pursuant to s 15 between 26 March</w:t>
      </w:r>
      <w:r w:rsidRPr="00F30471">
        <w:t xml:space="preserve"> </w:t>
      </w:r>
      <w:r>
        <w:t xml:space="preserve">and 24 August 2020. As a preliminary comment, it is interesting to note that: </w:t>
      </w:r>
    </w:p>
    <w:p w14:paraId="3EDF4FBD" w14:textId="323C60CA" w:rsidR="00164CB5" w:rsidRDefault="00164CB5">
      <w:pPr>
        <w:pStyle w:val="BodyTextalphalist"/>
        <w:ind w:left="567" w:hanging="567"/>
      </w:pPr>
      <w:r>
        <w:t xml:space="preserve">the government opted for immediate modification orders as opposed to prospective modification orders, which require s 8 </w:t>
      </w:r>
      <w:proofErr w:type="gramStart"/>
      <w:r>
        <w:t>activation;</w:t>
      </w:r>
      <w:proofErr w:type="gramEnd"/>
      <w:r>
        <w:t xml:space="preserve"> </w:t>
      </w:r>
    </w:p>
    <w:p w14:paraId="40A6EA49" w14:textId="23E99024" w:rsidR="00164CB5" w:rsidRPr="00F30471" w:rsidRDefault="00164CB5">
      <w:pPr>
        <w:pStyle w:val="BodyTextalphalist"/>
        <w:ind w:left="567" w:hanging="567"/>
      </w:pPr>
      <w:r>
        <w:t>all the immediate modification orders were under s 15 rather than s 14</w:t>
      </w:r>
      <w:r w:rsidR="00A27ADA">
        <w:t>, which</w:t>
      </w:r>
      <w:r>
        <w:t xml:space="preserve"> means they were to do with enactments other than those related to </w:t>
      </w:r>
      <w:proofErr w:type="gramStart"/>
      <w:r>
        <w:t>health</w:t>
      </w:r>
      <w:proofErr w:type="gramEnd"/>
      <w:r>
        <w:t xml:space="preserve"> and they were made for the purpose of modifying </w:t>
      </w:r>
      <w:r w:rsidRPr="00F30471">
        <w:t>restriction</w:t>
      </w:r>
      <w:r>
        <w:t>s</w:t>
      </w:r>
      <w:r w:rsidRPr="00F30471">
        <w:t xml:space="preserve"> </w:t>
      </w:r>
      <w:r>
        <w:t>deemed to be, or likely to become,</w:t>
      </w:r>
      <w:r w:rsidRPr="00F30471">
        <w:t xml:space="preserve"> impossible or impracticable to comply </w:t>
      </w:r>
      <w:r>
        <w:t xml:space="preserve">with; and </w:t>
      </w:r>
    </w:p>
    <w:p w14:paraId="0DF25DF4" w14:textId="524B7119" w:rsidR="00164CB5" w:rsidRPr="00F30471" w:rsidRDefault="00164CB5">
      <w:pPr>
        <w:pStyle w:val="BodyTextalphalist"/>
        <w:ind w:left="567" w:hanging="567"/>
      </w:pPr>
      <w:proofErr w:type="gramStart"/>
      <w:r>
        <w:t>with the exception of</w:t>
      </w:r>
      <w:proofErr w:type="gramEnd"/>
      <w:r>
        <w:t xml:space="preserve"> the final order concerning the </w:t>
      </w:r>
      <w:proofErr w:type="spellStart"/>
      <w:r>
        <w:t>Te</w:t>
      </w:r>
      <w:proofErr w:type="spellEnd"/>
      <w:r>
        <w:t xml:space="preserve"> Awa Tupua </w:t>
      </w:r>
      <w:r w:rsidR="00A27ADA" w:rsidRPr="00E815E7">
        <w:rPr>
          <w:color w:val="000000" w:themeColor="text1"/>
          <w:szCs w:val="20"/>
          <w:bdr w:val="none" w:sz="0" w:space="0" w:color="auto" w:frame="1"/>
        </w:rPr>
        <w:t xml:space="preserve">(Whanganui River Claims Settlement) </w:t>
      </w:r>
      <w:r>
        <w:t>Act</w:t>
      </w:r>
      <w:r w:rsidR="00A27ADA">
        <w:t xml:space="preserve"> 2017</w:t>
      </w:r>
      <w:r>
        <w:t xml:space="preserve">, all the orders were made before the </w:t>
      </w:r>
      <w:r>
        <w:rPr>
          <w:lang w:val="en-AU"/>
        </w:rPr>
        <w:t>COVID-19 Public Health Response Act</w:t>
      </w:r>
      <w:r w:rsidRPr="00F30471">
        <w:rPr>
          <w:lang w:val="en-AU"/>
        </w:rPr>
        <w:t xml:space="preserve"> was enacted on 13 May 2020.</w:t>
      </w:r>
    </w:p>
    <w:p w14:paraId="6BF7F50B" w14:textId="10748C81" w:rsidR="00164CB5" w:rsidRPr="00F23001" w:rsidRDefault="00164CB5" w:rsidP="00CC3ADC">
      <w:pPr>
        <w:pStyle w:val="BodyText1"/>
      </w:pPr>
      <w:r>
        <w:t xml:space="preserve">I summarise the orders in the table below. The hyperlinked full names of the orders can be found in the footnotes. </w:t>
      </w:r>
    </w:p>
    <w:tbl>
      <w:tblPr>
        <w:tblStyle w:val="GridTable4-Accent2"/>
        <w:tblW w:w="9067" w:type="dxa"/>
        <w:tblLook w:val="04A0" w:firstRow="1" w:lastRow="0" w:firstColumn="1" w:lastColumn="0" w:noHBand="0" w:noVBand="1"/>
      </w:tblPr>
      <w:tblGrid>
        <w:gridCol w:w="509"/>
        <w:gridCol w:w="1747"/>
        <w:gridCol w:w="893"/>
        <w:gridCol w:w="5918"/>
      </w:tblGrid>
      <w:tr w:rsidR="00657BCC" w:rsidRPr="00E815E7" w14:paraId="41613161" w14:textId="77777777" w:rsidTr="00BB50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 w:type="dxa"/>
            <w:tcBorders>
              <w:top w:val="none" w:sz="0" w:space="0" w:color="auto"/>
              <w:left w:val="none" w:sz="0" w:space="0" w:color="auto"/>
              <w:bottom w:val="none" w:sz="0" w:space="0" w:color="auto"/>
              <w:right w:val="none" w:sz="0" w:space="0" w:color="auto"/>
            </w:tcBorders>
            <w:shd w:val="clear" w:color="auto" w:fill="C0504D"/>
          </w:tcPr>
          <w:p w14:paraId="37EF5713" w14:textId="77777777" w:rsidR="00164CB5" w:rsidRPr="00E815E7" w:rsidRDefault="00164CB5" w:rsidP="00B24ADF">
            <w:pPr>
              <w:jc w:val="center"/>
              <w:rPr>
                <w:rFonts w:ascii="Metropolis" w:hAnsi="Metropolis"/>
              </w:rPr>
            </w:pPr>
            <w:r w:rsidRPr="00E815E7">
              <w:rPr>
                <w:rFonts w:ascii="Metropolis" w:hAnsi="Metropolis"/>
              </w:rPr>
              <w:t>No</w:t>
            </w:r>
          </w:p>
        </w:tc>
        <w:tc>
          <w:tcPr>
            <w:tcW w:w="1747" w:type="dxa"/>
            <w:tcBorders>
              <w:top w:val="none" w:sz="0" w:space="0" w:color="auto"/>
              <w:left w:val="none" w:sz="0" w:space="0" w:color="auto"/>
              <w:bottom w:val="none" w:sz="0" w:space="0" w:color="auto"/>
              <w:right w:val="none" w:sz="0" w:space="0" w:color="auto"/>
            </w:tcBorders>
            <w:shd w:val="clear" w:color="auto" w:fill="C0504D"/>
          </w:tcPr>
          <w:p w14:paraId="73EC4845" w14:textId="77777777" w:rsidR="00164CB5" w:rsidRPr="00E815E7" w:rsidRDefault="00164CB5" w:rsidP="00B24ADF">
            <w:pPr>
              <w:jc w:val="center"/>
              <w:cnfStyle w:val="100000000000" w:firstRow="1" w:lastRow="0" w:firstColumn="0" w:lastColumn="0" w:oddVBand="0" w:evenVBand="0" w:oddHBand="0" w:evenHBand="0" w:firstRowFirstColumn="0" w:firstRowLastColumn="0" w:lastRowFirstColumn="0" w:lastRowLastColumn="0"/>
              <w:rPr>
                <w:rFonts w:ascii="Metropolis" w:hAnsi="Metropolis"/>
              </w:rPr>
            </w:pPr>
            <w:r w:rsidRPr="00E815E7">
              <w:rPr>
                <w:rFonts w:ascii="Metropolis" w:hAnsi="Metropolis"/>
              </w:rPr>
              <w:t>Act modified (and relevant Minister)</w:t>
            </w:r>
          </w:p>
        </w:tc>
        <w:tc>
          <w:tcPr>
            <w:tcW w:w="893" w:type="dxa"/>
            <w:tcBorders>
              <w:top w:val="none" w:sz="0" w:space="0" w:color="auto"/>
              <w:left w:val="none" w:sz="0" w:space="0" w:color="auto"/>
              <w:bottom w:val="none" w:sz="0" w:space="0" w:color="auto"/>
              <w:right w:val="none" w:sz="0" w:space="0" w:color="auto"/>
            </w:tcBorders>
            <w:shd w:val="clear" w:color="auto" w:fill="C0504D"/>
          </w:tcPr>
          <w:p w14:paraId="4A9D6D23" w14:textId="77777777" w:rsidR="00164CB5" w:rsidRPr="00E815E7" w:rsidRDefault="00164CB5" w:rsidP="00B24ADF">
            <w:pPr>
              <w:jc w:val="center"/>
              <w:cnfStyle w:val="100000000000" w:firstRow="1" w:lastRow="0" w:firstColumn="0" w:lastColumn="0" w:oddVBand="0" w:evenVBand="0" w:oddHBand="0" w:evenHBand="0" w:firstRowFirstColumn="0" w:firstRowLastColumn="0" w:lastRowFirstColumn="0" w:lastRowLastColumn="0"/>
              <w:rPr>
                <w:rFonts w:ascii="Metropolis" w:hAnsi="Metropolis"/>
              </w:rPr>
            </w:pPr>
            <w:r w:rsidRPr="00E815E7">
              <w:rPr>
                <w:rFonts w:ascii="Metropolis" w:hAnsi="Metropolis"/>
              </w:rPr>
              <w:t>Date</w:t>
            </w:r>
          </w:p>
        </w:tc>
        <w:tc>
          <w:tcPr>
            <w:tcW w:w="5918" w:type="dxa"/>
            <w:tcBorders>
              <w:top w:val="none" w:sz="0" w:space="0" w:color="auto"/>
              <w:left w:val="none" w:sz="0" w:space="0" w:color="auto"/>
              <w:bottom w:val="none" w:sz="0" w:space="0" w:color="auto"/>
              <w:right w:val="none" w:sz="0" w:space="0" w:color="auto"/>
            </w:tcBorders>
            <w:shd w:val="clear" w:color="auto" w:fill="C0504D"/>
          </w:tcPr>
          <w:p w14:paraId="1470AB1D" w14:textId="623EE2B0" w:rsidR="00164CB5" w:rsidRPr="00E815E7" w:rsidRDefault="00164CB5" w:rsidP="00B24ADF">
            <w:pPr>
              <w:jc w:val="center"/>
              <w:cnfStyle w:val="100000000000" w:firstRow="1" w:lastRow="0" w:firstColumn="0" w:lastColumn="0" w:oddVBand="0" w:evenVBand="0" w:oddHBand="0" w:evenHBand="0" w:firstRowFirstColumn="0" w:firstRowLastColumn="0" w:lastRowFirstColumn="0" w:lastRowLastColumn="0"/>
              <w:rPr>
                <w:rFonts w:ascii="Metropolis" w:hAnsi="Metropolis"/>
              </w:rPr>
            </w:pPr>
            <w:r w:rsidRPr="00E815E7">
              <w:rPr>
                <w:rFonts w:ascii="Metropolis" w:hAnsi="Metropolis"/>
              </w:rPr>
              <w:t xml:space="preserve">Provision </w:t>
            </w:r>
            <w:r w:rsidR="00A27ADA">
              <w:rPr>
                <w:rFonts w:ascii="Metropolis" w:hAnsi="Metropolis"/>
              </w:rPr>
              <w:t>m</w:t>
            </w:r>
            <w:r w:rsidRPr="00E815E7">
              <w:rPr>
                <w:rFonts w:ascii="Metropolis" w:hAnsi="Metropolis"/>
              </w:rPr>
              <w:t>odified</w:t>
            </w:r>
          </w:p>
        </w:tc>
      </w:tr>
      <w:tr w:rsidR="00657BCC" w:rsidRPr="00E815E7" w14:paraId="53FE1695" w14:textId="77777777" w:rsidTr="00277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shd w:val="clear" w:color="auto" w:fill="E5B8B7" w:themeFill="accent2" w:themeFillTint="66"/>
          </w:tcPr>
          <w:p w14:paraId="48B038C5" w14:textId="77777777" w:rsidR="00164CB5" w:rsidRPr="00E815E7" w:rsidRDefault="00164CB5" w:rsidP="00B24ADF">
            <w:pPr>
              <w:rPr>
                <w:b w:val="0"/>
                <w:bCs w:val="0"/>
                <w:color w:val="000000" w:themeColor="text1"/>
                <w:szCs w:val="20"/>
              </w:rPr>
            </w:pPr>
          </w:p>
          <w:p w14:paraId="2B7EB1F0" w14:textId="77777777" w:rsidR="00164CB5" w:rsidRPr="00E815E7" w:rsidRDefault="00164CB5" w:rsidP="00B24ADF">
            <w:pPr>
              <w:rPr>
                <w:b w:val="0"/>
                <w:bCs w:val="0"/>
                <w:color w:val="000000" w:themeColor="text1"/>
                <w:szCs w:val="20"/>
              </w:rPr>
            </w:pPr>
            <w:r w:rsidRPr="00E815E7">
              <w:rPr>
                <w:color w:val="000000" w:themeColor="text1"/>
                <w:szCs w:val="20"/>
              </w:rPr>
              <w:t>1</w:t>
            </w:r>
          </w:p>
        </w:tc>
        <w:tc>
          <w:tcPr>
            <w:tcW w:w="1747" w:type="dxa"/>
            <w:shd w:val="clear" w:color="auto" w:fill="auto"/>
          </w:tcPr>
          <w:p w14:paraId="367D0BE5" w14:textId="5E0034DA"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E815E7">
              <w:rPr>
                <w:color w:val="000000" w:themeColor="text1"/>
                <w:szCs w:val="20"/>
              </w:rPr>
              <w:t>Social Security Act 2018</w:t>
            </w:r>
            <w:r w:rsidRPr="00E815E7">
              <w:rPr>
                <w:rStyle w:val="FootnoteReference"/>
                <w:color w:val="000000" w:themeColor="text1"/>
                <w:szCs w:val="20"/>
              </w:rPr>
              <w:footnoteReference w:id="142"/>
            </w:r>
          </w:p>
          <w:p w14:paraId="763E2382" w14:textId="77777777"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p>
          <w:p w14:paraId="67CD6F1A" w14:textId="77777777" w:rsidR="00E815E7" w:rsidRPr="00E815E7" w:rsidRDefault="00E815E7"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p>
          <w:p w14:paraId="48E531D4" w14:textId="0163AC16"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E815E7">
              <w:rPr>
                <w:color w:val="000000" w:themeColor="text1"/>
                <w:szCs w:val="20"/>
              </w:rPr>
              <w:t xml:space="preserve">(Social Development) </w:t>
            </w:r>
          </w:p>
        </w:tc>
        <w:tc>
          <w:tcPr>
            <w:tcW w:w="893" w:type="dxa"/>
            <w:shd w:val="clear" w:color="auto" w:fill="auto"/>
          </w:tcPr>
          <w:p w14:paraId="1BB578BF" w14:textId="77777777"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E815E7">
              <w:rPr>
                <w:color w:val="000000" w:themeColor="text1"/>
                <w:szCs w:val="20"/>
              </w:rPr>
              <w:t>26 March 2020</w:t>
            </w:r>
          </w:p>
        </w:tc>
        <w:tc>
          <w:tcPr>
            <w:tcW w:w="5918" w:type="dxa"/>
            <w:shd w:val="clear" w:color="auto" w:fill="auto"/>
          </w:tcPr>
          <w:p w14:paraId="1BE5EBFD" w14:textId="77777777"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u w:val="single"/>
              </w:rPr>
            </w:pPr>
            <w:r w:rsidRPr="00E815E7">
              <w:rPr>
                <w:color w:val="000000" w:themeColor="text1"/>
                <w:szCs w:val="20"/>
                <w:u w:val="single"/>
              </w:rPr>
              <w:t xml:space="preserve">Provision </w:t>
            </w:r>
          </w:p>
          <w:p w14:paraId="5E9B1004" w14:textId="218B7220"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E815E7">
              <w:rPr>
                <w:color w:val="000000" w:themeColor="text1"/>
                <w:szCs w:val="20"/>
              </w:rPr>
              <w:t xml:space="preserve">Section 96 deals with requirements for a person to receive temporary additional support. Subs (1)(c) provides one such requirement is to meet criteria made in regulations under s 428. </w:t>
            </w:r>
            <w:r w:rsidRPr="00E815E7">
              <w:rPr>
                <w:color w:val="000000" w:themeColor="text1"/>
                <w:szCs w:val="20"/>
              </w:rPr>
              <w:br/>
              <w:t xml:space="preserve">Those criteria include completing a particular application form with certain required information. </w:t>
            </w:r>
          </w:p>
          <w:p w14:paraId="7DC251C0" w14:textId="434A185C"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u w:val="single"/>
              </w:rPr>
            </w:pPr>
            <w:r w:rsidRPr="00E815E7">
              <w:rPr>
                <w:color w:val="000000" w:themeColor="text1"/>
                <w:szCs w:val="20"/>
                <w:u w:val="single"/>
              </w:rPr>
              <w:t>How modified</w:t>
            </w:r>
          </w:p>
          <w:p w14:paraId="79693408" w14:textId="09EF920C"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u w:val="single"/>
              </w:rPr>
            </w:pPr>
            <w:r w:rsidRPr="00E815E7">
              <w:rPr>
                <w:color w:val="000000" w:themeColor="text1"/>
                <w:szCs w:val="20"/>
              </w:rPr>
              <w:lastRenderedPageBreak/>
              <w:t>The requirement in subs (1)(c) is effectively waived. It has effect “as if an applicant to whom this clause applies meets the criteria and requirements” in reg 61</w:t>
            </w:r>
            <w:r w:rsidR="00A27ADA">
              <w:rPr>
                <w:color w:val="000000" w:themeColor="text1"/>
                <w:szCs w:val="20"/>
              </w:rPr>
              <w:t>.</w:t>
            </w:r>
          </w:p>
        </w:tc>
      </w:tr>
      <w:tr w:rsidR="00164CB5" w:rsidRPr="00E815E7" w14:paraId="08E578C6" w14:textId="77777777" w:rsidTr="00277E5F">
        <w:tc>
          <w:tcPr>
            <w:cnfStyle w:val="001000000000" w:firstRow="0" w:lastRow="0" w:firstColumn="1" w:lastColumn="0" w:oddVBand="0" w:evenVBand="0" w:oddHBand="0" w:evenHBand="0" w:firstRowFirstColumn="0" w:firstRowLastColumn="0" w:lastRowFirstColumn="0" w:lastRowLastColumn="0"/>
            <w:tcW w:w="509" w:type="dxa"/>
            <w:shd w:val="clear" w:color="auto" w:fill="E5B8B7" w:themeFill="accent2" w:themeFillTint="66"/>
          </w:tcPr>
          <w:p w14:paraId="55B53FBF" w14:textId="77777777" w:rsidR="00164CB5" w:rsidRPr="00E815E7" w:rsidRDefault="00164CB5" w:rsidP="00B24ADF">
            <w:pPr>
              <w:rPr>
                <w:b w:val="0"/>
                <w:bCs w:val="0"/>
                <w:color w:val="000000" w:themeColor="text1"/>
                <w:szCs w:val="20"/>
              </w:rPr>
            </w:pPr>
          </w:p>
          <w:p w14:paraId="255B78A0" w14:textId="77777777" w:rsidR="00164CB5" w:rsidRPr="00E815E7" w:rsidRDefault="00164CB5" w:rsidP="00B24ADF">
            <w:pPr>
              <w:rPr>
                <w:b w:val="0"/>
                <w:bCs w:val="0"/>
                <w:color w:val="000000" w:themeColor="text1"/>
                <w:szCs w:val="20"/>
              </w:rPr>
            </w:pPr>
            <w:r w:rsidRPr="00E815E7">
              <w:rPr>
                <w:color w:val="000000" w:themeColor="text1"/>
                <w:szCs w:val="20"/>
              </w:rPr>
              <w:t>2</w:t>
            </w:r>
          </w:p>
        </w:tc>
        <w:tc>
          <w:tcPr>
            <w:tcW w:w="1747" w:type="dxa"/>
            <w:shd w:val="clear" w:color="auto" w:fill="auto"/>
          </w:tcPr>
          <w:p w14:paraId="412F5DBA" w14:textId="77777777" w:rsidR="00164CB5" w:rsidRPr="00E815E7" w:rsidRDefault="00164CB5" w:rsidP="00B24ADF">
            <w:pPr>
              <w:cnfStyle w:val="000000000000" w:firstRow="0" w:lastRow="0" w:firstColumn="0" w:lastColumn="0" w:oddVBand="0" w:evenVBand="0" w:oddHBand="0" w:evenHBand="0" w:firstRowFirstColumn="0" w:firstRowLastColumn="0" w:lastRowFirstColumn="0" w:lastRowLastColumn="0"/>
              <w:rPr>
                <w:szCs w:val="20"/>
              </w:rPr>
            </w:pPr>
            <w:r w:rsidRPr="00E815E7">
              <w:rPr>
                <w:szCs w:val="20"/>
              </w:rPr>
              <w:t>Local Government Act 2002</w:t>
            </w:r>
            <w:r w:rsidRPr="00E815E7">
              <w:rPr>
                <w:rStyle w:val="FootnoteReference"/>
                <w:color w:val="000000" w:themeColor="text1"/>
                <w:szCs w:val="20"/>
              </w:rPr>
              <w:footnoteReference w:id="143"/>
            </w:r>
          </w:p>
          <w:p w14:paraId="512B8CF9" w14:textId="77777777" w:rsidR="00164CB5" w:rsidRPr="00E815E7" w:rsidRDefault="00164CB5" w:rsidP="00B24ADF">
            <w:pPr>
              <w:cnfStyle w:val="000000000000" w:firstRow="0" w:lastRow="0" w:firstColumn="0" w:lastColumn="0" w:oddVBand="0" w:evenVBand="0" w:oddHBand="0" w:evenHBand="0" w:firstRowFirstColumn="0" w:firstRowLastColumn="0" w:lastRowFirstColumn="0" w:lastRowLastColumn="0"/>
              <w:rPr>
                <w:color w:val="000000" w:themeColor="text1"/>
                <w:szCs w:val="20"/>
              </w:rPr>
            </w:pPr>
          </w:p>
          <w:p w14:paraId="0ECC1596" w14:textId="77777777" w:rsidR="00164CB5" w:rsidRPr="00E815E7" w:rsidRDefault="00164CB5" w:rsidP="00B24ADF">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E815E7">
              <w:rPr>
                <w:color w:val="000000" w:themeColor="text1"/>
                <w:szCs w:val="20"/>
              </w:rPr>
              <w:t>(Local Government)</w:t>
            </w:r>
          </w:p>
          <w:p w14:paraId="4664C8E6" w14:textId="77777777" w:rsidR="00164CB5" w:rsidRPr="00E815E7" w:rsidRDefault="00164CB5" w:rsidP="00B24ADF">
            <w:pPr>
              <w:cnfStyle w:val="000000000000" w:firstRow="0" w:lastRow="0" w:firstColumn="0" w:lastColumn="0" w:oddVBand="0" w:evenVBand="0" w:oddHBand="0" w:evenHBand="0" w:firstRowFirstColumn="0" w:firstRowLastColumn="0" w:lastRowFirstColumn="0" w:lastRowLastColumn="0"/>
              <w:rPr>
                <w:color w:val="000000" w:themeColor="text1"/>
                <w:szCs w:val="20"/>
              </w:rPr>
            </w:pPr>
          </w:p>
        </w:tc>
        <w:tc>
          <w:tcPr>
            <w:tcW w:w="893" w:type="dxa"/>
            <w:shd w:val="clear" w:color="auto" w:fill="auto"/>
          </w:tcPr>
          <w:p w14:paraId="237BFC3E" w14:textId="77777777" w:rsidR="00164CB5" w:rsidRPr="00E815E7" w:rsidRDefault="00164CB5" w:rsidP="00B24ADF">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E815E7">
              <w:rPr>
                <w:color w:val="000000" w:themeColor="text1"/>
                <w:szCs w:val="20"/>
              </w:rPr>
              <w:t>9 April 2020</w:t>
            </w:r>
          </w:p>
        </w:tc>
        <w:tc>
          <w:tcPr>
            <w:tcW w:w="5918" w:type="dxa"/>
            <w:shd w:val="clear" w:color="auto" w:fill="auto"/>
          </w:tcPr>
          <w:p w14:paraId="2319A606" w14:textId="7DA5F696" w:rsidR="00164CB5" w:rsidRPr="00E815E7" w:rsidRDefault="00164CB5" w:rsidP="00B24ADF">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E815E7">
              <w:rPr>
                <w:color w:val="000000" w:themeColor="text1"/>
                <w:szCs w:val="20"/>
                <w:u w:val="single"/>
              </w:rPr>
              <w:t xml:space="preserve">Provision </w:t>
            </w:r>
            <w:r w:rsidRPr="00E815E7">
              <w:rPr>
                <w:color w:val="000000" w:themeColor="text1"/>
                <w:szCs w:val="20"/>
                <w:u w:val="single"/>
              </w:rPr>
              <w:br/>
            </w:r>
            <w:r w:rsidRPr="00E815E7">
              <w:rPr>
                <w:color w:val="000000" w:themeColor="text1"/>
                <w:szCs w:val="20"/>
              </w:rPr>
              <w:t xml:space="preserve">The requirement is in Schedule 7, which prohibits a person from acting as a member of a local authority until they have made an oral declaration at a meeting of the local authority </w:t>
            </w:r>
            <w:proofErr w:type="gramStart"/>
            <w:r w:rsidRPr="00E815E7">
              <w:rPr>
                <w:color w:val="000000" w:themeColor="text1"/>
                <w:szCs w:val="20"/>
              </w:rPr>
              <w:t>and also</w:t>
            </w:r>
            <w:proofErr w:type="gramEnd"/>
            <w:r w:rsidRPr="00E815E7">
              <w:rPr>
                <w:color w:val="000000" w:themeColor="text1"/>
                <w:szCs w:val="20"/>
              </w:rPr>
              <w:t xml:space="preserve"> a written declaration in a prescribed way. That includes needing one of a shortlist of people to witness the signing of the written declaration.</w:t>
            </w:r>
          </w:p>
          <w:p w14:paraId="2A02EA48" w14:textId="74576DE1" w:rsidR="00164CB5" w:rsidRPr="00E815E7" w:rsidRDefault="00164CB5" w:rsidP="00B24ADF">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E815E7">
              <w:rPr>
                <w:color w:val="000000" w:themeColor="text1"/>
                <w:szCs w:val="20"/>
                <w:u w:val="single"/>
              </w:rPr>
              <w:t>How modified</w:t>
            </w:r>
          </w:p>
          <w:p w14:paraId="301DF8FB" w14:textId="0661E33E" w:rsidR="00164CB5" w:rsidRPr="00E815E7" w:rsidRDefault="00164CB5" w:rsidP="00B24ADF">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E815E7">
              <w:rPr>
                <w:color w:val="000000" w:themeColor="text1"/>
                <w:szCs w:val="20"/>
              </w:rPr>
              <w:t xml:space="preserve">The order makes it unnecessary for the signing to be witnessed, recognising that most meetings would be held virtually rather than in person. </w:t>
            </w:r>
          </w:p>
        </w:tc>
      </w:tr>
      <w:tr w:rsidR="00657BCC" w:rsidRPr="00E815E7" w14:paraId="73EA6E74" w14:textId="77777777" w:rsidTr="00277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shd w:val="clear" w:color="auto" w:fill="E5B8B7" w:themeFill="accent2" w:themeFillTint="66"/>
          </w:tcPr>
          <w:p w14:paraId="6656F142" w14:textId="77777777" w:rsidR="00164CB5" w:rsidRPr="00E815E7" w:rsidRDefault="00164CB5" w:rsidP="00B24ADF">
            <w:pPr>
              <w:rPr>
                <w:b w:val="0"/>
                <w:bCs w:val="0"/>
                <w:color w:val="000000" w:themeColor="text1"/>
                <w:szCs w:val="20"/>
              </w:rPr>
            </w:pPr>
          </w:p>
          <w:p w14:paraId="30726D0F" w14:textId="77777777" w:rsidR="00164CB5" w:rsidRPr="00E815E7" w:rsidRDefault="00164CB5" w:rsidP="00B24ADF">
            <w:pPr>
              <w:rPr>
                <w:b w:val="0"/>
                <w:bCs w:val="0"/>
                <w:color w:val="000000" w:themeColor="text1"/>
                <w:szCs w:val="20"/>
              </w:rPr>
            </w:pPr>
            <w:r w:rsidRPr="00E815E7">
              <w:rPr>
                <w:color w:val="000000" w:themeColor="text1"/>
                <w:szCs w:val="20"/>
              </w:rPr>
              <w:t>3</w:t>
            </w:r>
          </w:p>
        </w:tc>
        <w:tc>
          <w:tcPr>
            <w:tcW w:w="1747" w:type="dxa"/>
            <w:shd w:val="clear" w:color="auto" w:fill="auto"/>
          </w:tcPr>
          <w:p w14:paraId="30CEAA7F" w14:textId="77777777"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E815E7">
              <w:rPr>
                <w:color w:val="000000" w:themeColor="text1"/>
                <w:szCs w:val="20"/>
              </w:rPr>
              <w:t>Employment Relations Act 2000</w:t>
            </w:r>
            <w:r w:rsidRPr="00E815E7">
              <w:rPr>
                <w:rStyle w:val="FootnoteReference"/>
                <w:color w:val="000000" w:themeColor="text1"/>
                <w:szCs w:val="20"/>
              </w:rPr>
              <w:footnoteReference w:id="144"/>
            </w:r>
          </w:p>
          <w:p w14:paraId="036FA002" w14:textId="77777777"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p>
          <w:p w14:paraId="6C5A2658" w14:textId="77777777"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E815E7">
              <w:rPr>
                <w:color w:val="000000" w:themeColor="text1"/>
                <w:szCs w:val="20"/>
              </w:rPr>
              <w:t>(Workplace Relations and Safety)</w:t>
            </w:r>
          </w:p>
          <w:p w14:paraId="597DF1F5" w14:textId="77777777"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p>
        </w:tc>
        <w:tc>
          <w:tcPr>
            <w:tcW w:w="893" w:type="dxa"/>
            <w:shd w:val="clear" w:color="auto" w:fill="auto"/>
          </w:tcPr>
          <w:p w14:paraId="4FB824BC" w14:textId="77777777"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E815E7">
              <w:rPr>
                <w:color w:val="000000" w:themeColor="text1"/>
                <w:szCs w:val="20"/>
              </w:rPr>
              <w:t>14 April 2020</w:t>
            </w:r>
          </w:p>
        </w:tc>
        <w:tc>
          <w:tcPr>
            <w:tcW w:w="5918" w:type="dxa"/>
            <w:shd w:val="clear" w:color="auto" w:fill="auto"/>
          </w:tcPr>
          <w:p w14:paraId="66662D3E" w14:textId="77777777"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u w:val="single"/>
              </w:rPr>
            </w:pPr>
            <w:r w:rsidRPr="00E815E7">
              <w:rPr>
                <w:color w:val="000000" w:themeColor="text1"/>
                <w:szCs w:val="20"/>
              </w:rPr>
              <w:t xml:space="preserve"> </w:t>
            </w:r>
            <w:r w:rsidRPr="00E815E7">
              <w:rPr>
                <w:color w:val="000000" w:themeColor="text1"/>
                <w:szCs w:val="20"/>
                <w:u w:val="single"/>
              </w:rPr>
              <w:t xml:space="preserve">Provisions </w:t>
            </w:r>
          </w:p>
          <w:p w14:paraId="248B637A" w14:textId="77777777"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E815E7">
              <w:rPr>
                <w:color w:val="000000" w:themeColor="text1"/>
                <w:szCs w:val="20"/>
              </w:rPr>
              <w:t xml:space="preserve">Basically, this Act specifies a range of timeframes and other procedural requirements governing collective bargaining under the Act. </w:t>
            </w:r>
          </w:p>
          <w:p w14:paraId="064A415F" w14:textId="77777777"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u w:val="single"/>
              </w:rPr>
            </w:pPr>
            <w:r w:rsidRPr="00E815E7">
              <w:rPr>
                <w:color w:val="000000" w:themeColor="text1"/>
                <w:szCs w:val="20"/>
                <w:u w:val="single"/>
              </w:rPr>
              <w:t>How modified</w:t>
            </w:r>
          </w:p>
          <w:p w14:paraId="32E26D0D" w14:textId="44723747"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E815E7">
              <w:rPr>
                <w:color w:val="000000" w:themeColor="text1"/>
                <w:szCs w:val="20"/>
              </w:rPr>
              <w:t>The order relaxes a range of timeframes</w:t>
            </w:r>
            <w:r w:rsidR="007F20CB">
              <w:rPr>
                <w:color w:val="000000" w:themeColor="text1"/>
                <w:szCs w:val="20"/>
              </w:rPr>
              <w:t xml:space="preserve"> and</w:t>
            </w:r>
            <w:r w:rsidRPr="00E815E7">
              <w:rPr>
                <w:color w:val="000000" w:themeColor="text1"/>
                <w:szCs w:val="20"/>
              </w:rPr>
              <w:t>:</w:t>
            </w:r>
          </w:p>
          <w:p w14:paraId="1202A2E3" w14:textId="7F554561" w:rsidR="00164CB5" w:rsidRPr="00E815E7" w:rsidRDefault="00164CB5" w:rsidP="00556B28">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815E7">
              <w:rPr>
                <w:color w:val="000000" w:themeColor="text1"/>
                <w:sz w:val="20"/>
                <w:szCs w:val="20"/>
              </w:rPr>
              <w:t xml:space="preserve">modifies the maximum timeframes by which an employer must notify their employees who are in work and covered by collective bargaining that bargaining has been initiated to exclude the duration of the </w:t>
            </w:r>
            <w:r w:rsidR="00470B51">
              <w:rPr>
                <w:color w:val="000000" w:themeColor="text1"/>
                <w:sz w:val="20"/>
                <w:szCs w:val="20"/>
              </w:rPr>
              <w:t>e</w:t>
            </w:r>
            <w:r w:rsidRPr="00E815E7">
              <w:rPr>
                <w:color w:val="000000" w:themeColor="text1"/>
                <w:sz w:val="20"/>
                <w:szCs w:val="20"/>
              </w:rPr>
              <w:t xml:space="preserve">pidemic </w:t>
            </w:r>
            <w:proofErr w:type="gramStart"/>
            <w:r w:rsidR="00470B51">
              <w:rPr>
                <w:color w:val="000000" w:themeColor="text1"/>
                <w:sz w:val="20"/>
                <w:szCs w:val="20"/>
              </w:rPr>
              <w:t>n</w:t>
            </w:r>
            <w:r w:rsidRPr="00E815E7">
              <w:rPr>
                <w:color w:val="000000" w:themeColor="text1"/>
                <w:sz w:val="20"/>
                <w:szCs w:val="20"/>
              </w:rPr>
              <w:t>otice;</w:t>
            </w:r>
            <w:proofErr w:type="gramEnd"/>
            <w:r w:rsidRPr="00E815E7">
              <w:rPr>
                <w:color w:val="000000" w:themeColor="text1"/>
                <w:sz w:val="20"/>
                <w:szCs w:val="20"/>
              </w:rPr>
              <w:t xml:space="preserve"> </w:t>
            </w:r>
          </w:p>
          <w:p w14:paraId="0A2F8D00" w14:textId="19ADC5B7" w:rsidR="00164CB5" w:rsidRPr="00E815E7" w:rsidRDefault="00164CB5" w:rsidP="00556B28">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815E7">
              <w:rPr>
                <w:color w:val="000000" w:themeColor="text1"/>
                <w:sz w:val="20"/>
                <w:szCs w:val="20"/>
              </w:rPr>
              <w:t xml:space="preserve">modifies the maximum timeframes by which an employer must seek to consolidate collective bargaining (40 days) and for unions to respond to an attempted consolidation (30 days) to exclude the duration of the </w:t>
            </w:r>
            <w:r w:rsidR="00470B51">
              <w:rPr>
                <w:color w:val="000000" w:themeColor="text1"/>
                <w:sz w:val="20"/>
                <w:szCs w:val="20"/>
              </w:rPr>
              <w:t>e</w:t>
            </w:r>
            <w:r w:rsidRPr="00E815E7">
              <w:rPr>
                <w:color w:val="000000" w:themeColor="text1"/>
                <w:sz w:val="20"/>
                <w:szCs w:val="20"/>
              </w:rPr>
              <w:t xml:space="preserve">pidemic </w:t>
            </w:r>
            <w:r w:rsidR="00470B51">
              <w:rPr>
                <w:color w:val="000000" w:themeColor="text1"/>
                <w:sz w:val="20"/>
                <w:szCs w:val="20"/>
              </w:rPr>
              <w:t>n</w:t>
            </w:r>
            <w:r w:rsidRPr="00E815E7">
              <w:rPr>
                <w:color w:val="000000" w:themeColor="text1"/>
                <w:sz w:val="20"/>
                <w:szCs w:val="20"/>
              </w:rPr>
              <w:t>otice; and</w:t>
            </w:r>
          </w:p>
          <w:p w14:paraId="5D40E4C2" w14:textId="348D6D22" w:rsidR="00164CB5" w:rsidRPr="00E815E7" w:rsidRDefault="00164CB5" w:rsidP="00556B28">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815E7">
              <w:rPr>
                <w:color w:val="000000" w:themeColor="text1"/>
                <w:sz w:val="20"/>
                <w:szCs w:val="20"/>
              </w:rPr>
              <w:t xml:space="preserve">in the case of collective agreements </w:t>
            </w:r>
            <w:r w:rsidR="007F20CB">
              <w:rPr>
                <w:color w:val="000000" w:themeColor="text1"/>
                <w:sz w:val="20"/>
                <w:szCs w:val="20"/>
              </w:rPr>
              <w:t>that</w:t>
            </w:r>
            <w:r w:rsidR="007F20CB" w:rsidRPr="00E815E7">
              <w:rPr>
                <w:color w:val="000000" w:themeColor="text1"/>
                <w:sz w:val="20"/>
                <w:szCs w:val="20"/>
              </w:rPr>
              <w:t xml:space="preserve"> </w:t>
            </w:r>
            <w:r w:rsidRPr="00E815E7">
              <w:rPr>
                <w:color w:val="000000" w:themeColor="text1"/>
                <w:sz w:val="20"/>
                <w:szCs w:val="20"/>
              </w:rPr>
              <w:t xml:space="preserve">would </w:t>
            </w:r>
            <w:r w:rsidRPr="00245A75">
              <w:rPr>
                <w:sz w:val="20"/>
                <w:szCs w:val="20"/>
              </w:rPr>
              <w:t>otherwise</w:t>
            </w:r>
            <w:r w:rsidRPr="00E815E7">
              <w:rPr>
                <w:color w:val="000000" w:themeColor="text1"/>
                <w:sz w:val="20"/>
                <w:szCs w:val="20"/>
              </w:rPr>
              <w:t xml:space="preserve"> have expired but are still in force for 12 months after expiry, modify the 12-month period to exclude any period covered by the </w:t>
            </w:r>
            <w:r w:rsidR="00470B51">
              <w:rPr>
                <w:color w:val="000000" w:themeColor="text1"/>
                <w:sz w:val="20"/>
                <w:szCs w:val="20"/>
              </w:rPr>
              <w:t>e</w:t>
            </w:r>
            <w:r w:rsidRPr="00E815E7">
              <w:rPr>
                <w:color w:val="000000" w:themeColor="text1"/>
                <w:sz w:val="20"/>
                <w:szCs w:val="20"/>
              </w:rPr>
              <w:t xml:space="preserve">pidemic </w:t>
            </w:r>
            <w:r w:rsidR="00470B51">
              <w:rPr>
                <w:color w:val="000000" w:themeColor="text1"/>
                <w:sz w:val="20"/>
                <w:szCs w:val="20"/>
              </w:rPr>
              <w:t>n</w:t>
            </w:r>
            <w:r w:rsidRPr="00E815E7">
              <w:rPr>
                <w:color w:val="000000" w:themeColor="text1"/>
                <w:sz w:val="20"/>
                <w:szCs w:val="20"/>
              </w:rPr>
              <w:t xml:space="preserve">otice if the 12-month period would otherwise end while the </w:t>
            </w:r>
            <w:r w:rsidR="00470B51">
              <w:rPr>
                <w:color w:val="000000" w:themeColor="text1"/>
                <w:sz w:val="20"/>
                <w:szCs w:val="20"/>
              </w:rPr>
              <w:t>e</w:t>
            </w:r>
            <w:r w:rsidRPr="00E815E7">
              <w:rPr>
                <w:color w:val="000000" w:themeColor="text1"/>
                <w:sz w:val="20"/>
                <w:szCs w:val="20"/>
              </w:rPr>
              <w:t xml:space="preserve">pidemic </w:t>
            </w:r>
            <w:r w:rsidR="00470B51">
              <w:rPr>
                <w:color w:val="000000" w:themeColor="text1"/>
                <w:sz w:val="20"/>
                <w:szCs w:val="20"/>
              </w:rPr>
              <w:t>n</w:t>
            </w:r>
            <w:r w:rsidRPr="00E815E7">
              <w:rPr>
                <w:color w:val="000000" w:themeColor="text1"/>
                <w:sz w:val="20"/>
                <w:szCs w:val="20"/>
              </w:rPr>
              <w:t xml:space="preserve">otice is in force or up to 3 months after it expires or is revoked. </w:t>
            </w:r>
          </w:p>
          <w:p w14:paraId="6F15AFEC" w14:textId="1B2DDB49"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szCs w:val="20"/>
              </w:rPr>
            </w:pPr>
            <w:r w:rsidRPr="00E815E7">
              <w:rPr>
                <w:color w:val="000000" w:themeColor="text1"/>
                <w:szCs w:val="20"/>
              </w:rPr>
              <w:lastRenderedPageBreak/>
              <w:t xml:space="preserve">The order also allows </w:t>
            </w:r>
            <w:r w:rsidRPr="00E815E7">
              <w:rPr>
                <w:color w:val="000000"/>
                <w:szCs w:val="20"/>
              </w:rPr>
              <w:t>the union to notify the other intended party or parties to a collective agreement of a new ratification procedure to ratify the collective agreement (</w:t>
            </w:r>
            <w:r w:rsidR="007F20CB">
              <w:rPr>
                <w:color w:val="000000"/>
                <w:szCs w:val="20"/>
              </w:rPr>
              <w:t>for example</w:t>
            </w:r>
            <w:r w:rsidRPr="00E815E7">
              <w:rPr>
                <w:color w:val="000000"/>
                <w:szCs w:val="20"/>
              </w:rPr>
              <w:t xml:space="preserve">, online balloting, </w:t>
            </w:r>
            <w:proofErr w:type="gramStart"/>
            <w:r w:rsidRPr="00E815E7">
              <w:rPr>
                <w:color w:val="000000"/>
                <w:szCs w:val="20"/>
              </w:rPr>
              <w:t>videoconferencing</w:t>
            </w:r>
            <w:proofErr w:type="gramEnd"/>
            <w:r w:rsidRPr="00E815E7">
              <w:rPr>
                <w:color w:val="000000"/>
                <w:szCs w:val="20"/>
              </w:rPr>
              <w:t xml:space="preserve"> or teleconferencing) if a union has committed at the outset of collective bargaining to a ratification procedure that is no longer practicable (</w:t>
            </w:r>
            <w:r w:rsidR="007F20CB">
              <w:rPr>
                <w:color w:val="000000"/>
                <w:szCs w:val="20"/>
              </w:rPr>
              <w:t>for example</w:t>
            </w:r>
            <w:r w:rsidRPr="00E815E7">
              <w:rPr>
                <w:color w:val="000000"/>
                <w:szCs w:val="20"/>
              </w:rPr>
              <w:t>, in-person ratification meetings).</w:t>
            </w:r>
          </w:p>
          <w:p w14:paraId="7303CD5D" w14:textId="49423432"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E815E7">
              <w:rPr>
                <w:color w:val="000000"/>
                <w:szCs w:val="20"/>
              </w:rPr>
              <w:t xml:space="preserve">See decision invalidating order in </w:t>
            </w:r>
            <w:r w:rsidRPr="00E815E7">
              <w:rPr>
                <w:i/>
                <w:iCs/>
                <w:color w:val="000000"/>
                <w:szCs w:val="20"/>
              </w:rPr>
              <w:t>Idea Services v Attorney-General</w:t>
            </w:r>
            <w:r w:rsidRPr="00E815E7">
              <w:rPr>
                <w:color w:val="000000" w:themeColor="text1"/>
                <w:szCs w:val="20"/>
              </w:rPr>
              <w:t xml:space="preserve"> [</w:t>
            </w:r>
            <w:proofErr w:type="gramStart"/>
            <w:r w:rsidRPr="00E815E7">
              <w:rPr>
                <w:color w:val="000000" w:themeColor="text1"/>
                <w:szCs w:val="20"/>
              </w:rPr>
              <w:t>2022]NZCA</w:t>
            </w:r>
            <w:proofErr w:type="gramEnd"/>
            <w:r w:rsidRPr="00E815E7">
              <w:rPr>
                <w:color w:val="000000" w:themeColor="text1"/>
                <w:szCs w:val="20"/>
              </w:rPr>
              <w:t xml:space="preserve"> 470. </w:t>
            </w:r>
          </w:p>
        </w:tc>
      </w:tr>
      <w:tr w:rsidR="00164CB5" w:rsidRPr="00E815E7" w14:paraId="59714649" w14:textId="77777777" w:rsidTr="00277E5F">
        <w:tc>
          <w:tcPr>
            <w:cnfStyle w:val="001000000000" w:firstRow="0" w:lastRow="0" w:firstColumn="1" w:lastColumn="0" w:oddVBand="0" w:evenVBand="0" w:oddHBand="0" w:evenHBand="0" w:firstRowFirstColumn="0" w:firstRowLastColumn="0" w:lastRowFirstColumn="0" w:lastRowLastColumn="0"/>
            <w:tcW w:w="509" w:type="dxa"/>
            <w:shd w:val="clear" w:color="auto" w:fill="E5B8B7" w:themeFill="accent2" w:themeFillTint="66"/>
          </w:tcPr>
          <w:p w14:paraId="039C5A25" w14:textId="77777777" w:rsidR="00164CB5" w:rsidRPr="00E815E7" w:rsidRDefault="00164CB5" w:rsidP="00B24ADF">
            <w:pPr>
              <w:rPr>
                <w:b w:val="0"/>
                <w:bCs w:val="0"/>
                <w:color w:val="000000" w:themeColor="text1"/>
                <w:szCs w:val="20"/>
              </w:rPr>
            </w:pPr>
          </w:p>
          <w:p w14:paraId="203AF69D" w14:textId="77777777" w:rsidR="00164CB5" w:rsidRPr="00E815E7" w:rsidRDefault="00164CB5" w:rsidP="00B24ADF">
            <w:pPr>
              <w:rPr>
                <w:b w:val="0"/>
                <w:bCs w:val="0"/>
                <w:color w:val="000000" w:themeColor="text1"/>
                <w:szCs w:val="20"/>
              </w:rPr>
            </w:pPr>
            <w:r w:rsidRPr="00E815E7">
              <w:rPr>
                <w:color w:val="000000" w:themeColor="text1"/>
                <w:szCs w:val="20"/>
              </w:rPr>
              <w:t>4</w:t>
            </w:r>
          </w:p>
        </w:tc>
        <w:tc>
          <w:tcPr>
            <w:tcW w:w="1747" w:type="dxa"/>
            <w:shd w:val="clear" w:color="auto" w:fill="auto"/>
          </w:tcPr>
          <w:p w14:paraId="1113AF38" w14:textId="77777777" w:rsidR="00164CB5" w:rsidRPr="00E815E7" w:rsidRDefault="00164CB5" w:rsidP="00B24ADF">
            <w:pPr>
              <w:cnfStyle w:val="000000000000" w:firstRow="0" w:lastRow="0" w:firstColumn="0" w:lastColumn="0" w:oddVBand="0" w:evenVBand="0" w:oddHBand="0" w:evenHBand="0" w:firstRowFirstColumn="0" w:firstRowLastColumn="0" w:lastRowFirstColumn="0" w:lastRowLastColumn="0"/>
              <w:rPr>
                <w:szCs w:val="20"/>
              </w:rPr>
            </w:pPr>
            <w:r w:rsidRPr="00E815E7">
              <w:rPr>
                <w:szCs w:val="20"/>
              </w:rPr>
              <w:t>Oaths and Declarations Act 1957</w:t>
            </w:r>
            <w:r w:rsidRPr="00E815E7">
              <w:rPr>
                <w:rStyle w:val="FootnoteReference"/>
                <w:color w:val="000000" w:themeColor="text1"/>
                <w:szCs w:val="20"/>
              </w:rPr>
              <w:footnoteReference w:id="145"/>
            </w:r>
          </w:p>
          <w:p w14:paraId="3B35A414" w14:textId="77777777" w:rsidR="00164CB5" w:rsidRPr="00E815E7" w:rsidRDefault="00164CB5" w:rsidP="00B24ADF">
            <w:pPr>
              <w:cnfStyle w:val="000000000000" w:firstRow="0" w:lastRow="0" w:firstColumn="0" w:lastColumn="0" w:oddVBand="0" w:evenVBand="0" w:oddHBand="0" w:evenHBand="0" w:firstRowFirstColumn="0" w:firstRowLastColumn="0" w:lastRowFirstColumn="0" w:lastRowLastColumn="0"/>
              <w:rPr>
                <w:szCs w:val="20"/>
              </w:rPr>
            </w:pPr>
          </w:p>
          <w:p w14:paraId="13E4579A" w14:textId="0BD9303E" w:rsidR="00164CB5" w:rsidRPr="00E815E7" w:rsidRDefault="00164CB5" w:rsidP="00B24ADF">
            <w:pPr>
              <w:cnfStyle w:val="000000000000" w:firstRow="0" w:lastRow="0" w:firstColumn="0" w:lastColumn="0" w:oddVBand="0" w:evenVBand="0" w:oddHBand="0" w:evenHBand="0" w:firstRowFirstColumn="0" w:firstRowLastColumn="0" w:lastRowFirstColumn="0" w:lastRowLastColumn="0"/>
              <w:rPr>
                <w:szCs w:val="20"/>
              </w:rPr>
            </w:pPr>
            <w:r w:rsidRPr="00E815E7">
              <w:rPr>
                <w:szCs w:val="20"/>
              </w:rPr>
              <w:t>(Justice)</w:t>
            </w:r>
          </w:p>
          <w:p w14:paraId="3A017B99" w14:textId="77777777" w:rsidR="00164CB5" w:rsidRPr="00E815E7" w:rsidRDefault="00164CB5" w:rsidP="00B24ADF">
            <w:pPr>
              <w:cnfStyle w:val="000000000000" w:firstRow="0" w:lastRow="0" w:firstColumn="0" w:lastColumn="0" w:oddVBand="0" w:evenVBand="0" w:oddHBand="0" w:evenHBand="0" w:firstRowFirstColumn="0" w:firstRowLastColumn="0" w:lastRowFirstColumn="0" w:lastRowLastColumn="0"/>
              <w:rPr>
                <w:color w:val="000000" w:themeColor="text1"/>
                <w:szCs w:val="20"/>
              </w:rPr>
            </w:pPr>
          </w:p>
        </w:tc>
        <w:tc>
          <w:tcPr>
            <w:tcW w:w="893" w:type="dxa"/>
            <w:shd w:val="clear" w:color="auto" w:fill="auto"/>
          </w:tcPr>
          <w:p w14:paraId="65EF6F73" w14:textId="77777777" w:rsidR="00164CB5" w:rsidRPr="00E815E7" w:rsidRDefault="00164CB5" w:rsidP="00B24ADF">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E815E7">
              <w:rPr>
                <w:color w:val="000000" w:themeColor="text1"/>
                <w:szCs w:val="20"/>
              </w:rPr>
              <w:t>16 April 2020</w:t>
            </w:r>
          </w:p>
        </w:tc>
        <w:tc>
          <w:tcPr>
            <w:tcW w:w="5918" w:type="dxa"/>
            <w:shd w:val="clear" w:color="auto" w:fill="auto"/>
          </w:tcPr>
          <w:p w14:paraId="2D938AEF" w14:textId="3A09BAD5" w:rsidR="00164CB5" w:rsidRPr="00E815E7" w:rsidRDefault="00164CB5" w:rsidP="00B24ADF">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E815E7">
              <w:rPr>
                <w:color w:val="000000" w:themeColor="text1"/>
                <w:szCs w:val="20"/>
                <w:u w:val="single"/>
              </w:rPr>
              <w:t xml:space="preserve">Provision </w:t>
            </w:r>
            <w:r w:rsidRPr="00E815E7">
              <w:rPr>
                <w:color w:val="000000" w:themeColor="text1"/>
                <w:szCs w:val="20"/>
                <w:u w:val="single"/>
              </w:rPr>
              <w:br/>
            </w:r>
            <w:r w:rsidRPr="00E815E7">
              <w:rPr>
                <w:color w:val="000000" w:themeColor="text1"/>
                <w:szCs w:val="20"/>
              </w:rPr>
              <w:t xml:space="preserve">Addresses provisions dealing with requirements for valid oaths, </w:t>
            </w:r>
            <w:proofErr w:type="gramStart"/>
            <w:r w:rsidRPr="00E815E7">
              <w:rPr>
                <w:color w:val="000000" w:themeColor="text1"/>
                <w:szCs w:val="20"/>
              </w:rPr>
              <w:t>affirmations</w:t>
            </w:r>
            <w:proofErr w:type="gramEnd"/>
            <w:r w:rsidRPr="00E815E7">
              <w:rPr>
                <w:color w:val="000000" w:themeColor="text1"/>
                <w:szCs w:val="20"/>
              </w:rPr>
              <w:t xml:space="preserve"> or declarations. One such requirement is that they must be administered in the presence of the person swearing the oath or making the affirmation or declaration. </w:t>
            </w:r>
          </w:p>
          <w:p w14:paraId="60A9C8DA" w14:textId="77777777" w:rsidR="00164CB5" w:rsidRPr="00E815E7" w:rsidRDefault="00164CB5" w:rsidP="00B24ADF">
            <w:pPr>
              <w:cnfStyle w:val="000000000000" w:firstRow="0" w:lastRow="0" w:firstColumn="0" w:lastColumn="0" w:oddVBand="0" w:evenVBand="0" w:oddHBand="0" w:evenHBand="0" w:firstRowFirstColumn="0" w:firstRowLastColumn="0" w:lastRowFirstColumn="0" w:lastRowLastColumn="0"/>
              <w:rPr>
                <w:color w:val="000000" w:themeColor="text1"/>
                <w:szCs w:val="20"/>
                <w:u w:val="single"/>
              </w:rPr>
            </w:pPr>
            <w:r w:rsidRPr="00E815E7">
              <w:rPr>
                <w:color w:val="000000" w:themeColor="text1"/>
                <w:szCs w:val="20"/>
                <w:u w:val="single"/>
              </w:rPr>
              <w:t>How modified</w:t>
            </w:r>
          </w:p>
          <w:p w14:paraId="0FFF8A82" w14:textId="2D4175D4" w:rsidR="00164CB5" w:rsidRPr="00E815E7" w:rsidRDefault="00164CB5" w:rsidP="00B24ADF">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E815E7">
              <w:rPr>
                <w:color w:val="000000" w:themeColor="text1"/>
                <w:szCs w:val="20"/>
              </w:rPr>
              <w:t xml:space="preserve">The modifications expressly allow an oath, an </w:t>
            </w:r>
            <w:proofErr w:type="gramStart"/>
            <w:r w:rsidRPr="00E815E7">
              <w:rPr>
                <w:color w:val="000000" w:themeColor="text1"/>
                <w:szCs w:val="20"/>
              </w:rPr>
              <w:t>affirmation</w:t>
            </w:r>
            <w:proofErr w:type="gramEnd"/>
            <w:r w:rsidRPr="00E815E7">
              <w:rPr>
                <w:color w:val="000000" w:themeColor="text1"/>
                <w:szCs w:val="20"/>
              </w:rPr>
              <w:t xml:space="preserve"> or a declaration to be administered or taken using an </w:t>
            </w:r>
            <w:proofErr w:type="spellStart"/>
            <w:r w:rsidRPr="00E815E7">
              <w:rPr>
                <w:color w:val="000000" w:themeColor="text1"/>
                <w:szCs w:val="20"/>
              </w:rPr>
              <w:t>audiovisual</w:t>
            </w:r>
            <w:proofErr w:type="spellEnd"/>
            <w:r w:rsidRPr="00E815E7">
              <w:rPr>
                <w:color w:val="000000" w:themeColor="text1"/>
                <w:szCs w:val="20"/>
              </w:rPr>
              <w:t xml:space="preserve"> or audio link. It also enable</w:t>
            </w:r>
            <w:r w:rsidR="007F20CB">
              <w:rPr>
                <w:color w:val="000000" w:themeColor="text1"/>
                <w:szCs w:val="20"/>
              </w:rPr>
              <w:t>s</w:t>
            </w:r>
            <w:r w:rsidRPr="00E815E7">
              <w:rPr>
                <w:color w:val="000000" w:themeColor="text1"/>
                <w:szCs w:val="20"/>
              </w:rPr>
              <w:t xml:space="preserve"> a declaration to be taken by any officer or employee of an entity who is authorised by the entity but only if an enactment authorises or requires the declaration to be provided to the entity.</w:t>
            </w:r>
          </w:p>
        </w:tc>
      </w:tr>
      <w:tr w:rsidR="00657BCC" w:rsidRPr="00E815E7" w14:paraId="2F9A406C" w14:textId="77777777" w:rsidTr="00277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shd w:val="clear" w:color="auto" w:fill="E5B8B7" w:themeFill="accent2" w:themeFillTint="66"/>
          </w:tcPr>
          <w:p w14:paraId="69A24D09" w14:textId="77777777" w:rsidR="00164CB5" w:rsidRPr="00E815E7" w:rsidRDefault="00164CB5" w:rsidP="00B24ADF">
            <w:pPr>
              <w:rPr>
                <w:b w:val="0"/>
                <w:bCs w:val="0"/>
                <w:color w:val="000000" w:themeColor="text1"/>
                <w:szCs w:val="20"/>
              </w:rPr>
            </w:pPr>
          </w:p>
          <w:p w14:paraId="12724F67" w14:textId="77777777" w:rsidR="00164CB5" w:rsidRPr="00E815E7" w:rsidRDefault="00164CB5" w:rsidP="00B24ADF">
            <w:pPr>
              <w:rPr>
                <w:b w:val="0"/>
                <w:bCs w:val="0"/>
                <w:color w:val="000000" w:themeColor="text1"/>
                <w:szCs w:val="20"/>
              </w:rPr>
            </w:pPr>
            <w:r w:rsidRPr="00E815E7">
              <w:rPr>
                <w:color w:val="000000" w:themeColor="text1"/>
                <w:szCs w:val="20"/>
              </w:rPr>
              <w:t>5</w:t>
            </w:r>
          </w:p>
        </w:tc>
        <w:tc>
          <w:tcPr>
            <w:tcW w:w="1747" w:type="dxa"/>
            <w:shd w:val="clear" w:color="auto" w:fill="auto"/>
          </w:tcPr>
          <w:p w14:paraId="465CE2EE" w14:textId="77777777"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E815E7">
              <w:rPr>
                <w:color w:val="000000" w:themeColor="text1"/>
                <w:szCs w:val="20"/>
              </w:rPr>
              <w:t>Sale and Supply of Alcohol Act 2012</w:t>
            </w:r>
            <w:r w:rsidRPr="00E815E7">
              <w:rPr>
                <w:rStyle w:val="FootnoteReference"/>
                <w:color w:val="000000" w:themeColor="text1"/>
                <w:szCs w:val="20"/>
              </w:rPr>
              <w:footnoteReference w:id="146"/>
            </w:r>
          </w:p>
          <w:p w14:paraId="747AAD5C" w14:textId="77777777"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p>
          <w:p w14:paraId="215987A7" w14:textId="77777777"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E815E7">
              <w:rPr>
                <w:color w:val="000000" w:themeColor="text1"/>
                <w:szCs w:val="20"/>
              </w:rPr>
              <w:t>(Justice)</w:t>
            </w:r>
          </w:p>
          <w:p w14:paraId="02B5D46F" w14:textId="77777777"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p>
        </w:tc>
        <w:tc>
          <w:tcPr>
            <w:tcW w:w="893" w:type="dxa"/>
            <w:shd w:val="clear" w:color="auto" w:fill="auto"/>
          </w:tcPr>
          <w:p w14:paraId="14A353BC" w14:textId="77777777"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E815E7">
              <w:rPr>
                <w:color w:val="000000" w:themeColor="text1"/>
                <w:szCs w:val="20"/>
              </w:rPr>
              <w:t>16 April 2020</w:t>
            </w:r>
          </w:p>
        </w:tc>
        <w:tc>
          <w:tcPr>
            <w:tcW w:w="5918" w:type="dxa"/>
            <w:shd w:val="clear" w:color="auto" w:fill="auto"/>
          </w:tcPr>
          <w:p w14:paraId="58D0099F" w14:textId="5346BC99"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E815E7">
              <w:rPr>
                <w:color w:val="000000" w:themeColor="text1"/>
                <w:szCs w:val="20"/>
                <w:u w:val="single"/>
              </w:rPr>
              <w:t xml:space="preserve">Provision </w:t>
            </w:r>
            <w:r w:rsidRPr="00E815E7">
              <w:rPr>
                <w:color w:val="000000" w:themeColor="text1"/>
                <w:szCs w:val="20"/>
              </w:rPr>
              <w:br/>
              <w:t xml:space="preserve">The relevant requirements are in s 103 (dealing with new alcohol licence applications) and </w:t>
            </w:r>
            <w:r w:rsidR="00FA792A">
              <w:rPr>
                <w:color w:val="000000" w:themeColor="text1"/>
                <w:szCs w:val="20"/>
              </w:rPr>
              <w:t xml:space="preserve">s </w:t>
            </w:r>
            <w:r w:rsidRPr="00E815E7">
              <w:rPr>
                <w:color w:val="000000" w:themeColor="text1"/>
                <w:szCs w:val="20"/>
              </w:rPr>
              <w:t xml:space="preserve">129 (dealing with application for renewal). For both kinds of applications, the Police, a </w:t>
            </w:r>
            <w:r w:rsidR="00843000">
              <w:rPr>
                <w:color w:val="000000" w:themeColor="text1"/>
                <w:szCs w:val="20"/>
              </w:rPr>
              <w:t>m</w:t>
            </w:r>
            <w:r w:rsidRPr="00E815E7">
              <w:rPr>
                <w:color w:val="000000" w:themeColor="text1"/>
                <w:szCs w:val="20"/>
              </w:rPr>
              <w:t xml:space="preserve">edical </w:t>
            </w:r>
            <w:r w:rsidR="00843000">
              <w:rPr>
                <w:color w:val="000000" w:themeColor="text1"/>
                <w:szCs w:val="20"/>
              </w:rPr>
              <w:t>o</w:t>
            </w:r>
            <w:r w:rsidRPr="00E815E7">
              <w:rPr>
                <w:color w:val="000000" w:themeColor="text1"/>
                <w:szCs w:val="20"/>
              </w:rPr>
              <w:t xml:space="preserve">fficer of </w:t>
            </w:r>
            <w:r w:rsidR="00843000">
              <w:rPr>
                <w:color w:val="000000" w:themeColor="text1"/>
                <w:szCs w:val="20"/>
              </w:rPr>
              <w:t>h</w:t>
            </w:r>
            <w:r w:rsidRPr="00E815E7">
              <w:rPr>
                <w:color w:val="000000" w:themeColor="text1"/>
                <w:szCs w:val="20"/>
              </w:rPr>
              <w:t xml:space="preserve">ealth and an inspector are required to inquire into the applications. If the Police or </w:t>
            </w:r>
            <w:r w:rsidR="00843000">
              <w:rPr>
                <w:color w:val="000000" w:themeColor="text1"/>
                <w:szCs w:val="20"/>
              </w:rPr>
              <w:t>m</w:t>
            </w:r>
            <w:r w:rsidRPr="00E815E7">
              <w:rPr>
                <w:color w:val="000000" w:themeColor="text1"/>
                <w:szCs w:val="20"/>
              </w:rPr>
              <w:t xml:space="preserve">edical </w:t>
            </w:r>
            <w:r w:rsidR="00843000">
              <w:rPr>
                <w:color w:val="000000" w:themeColor="text1"/>
                <w:szCs w:val="20"/>
              </w:rPr>
              <w:t>o</w:t>
            </w:r>
            <w:r w:rsidRPr="00E815E7">
              <w:rPr>
                <w:color w:val="000000" w:themeColor="text1"/>
                <w:szCs w:val="20"/>
              </w:rPr>
              <w:t>ffice</w:t>
            </w:r>
            <w:r w:rsidR="00843000">
              <w:rPr>
                <w:color w:val="000000" w:themeColor="text1"/>
                <w:szCs w:val="20"/>
              </w:rPr>
              <w:t>r</w:t>
            </w:r>
            <w:r w:rsidRPr="00E815E7">
              <w:rPr>
                <w:color w:val="000000" w:themeColor="text1"/>
                <w:szCs w:val="20"/>
              </w:rPr>
              <w:t xml:space="preserve"> of </w:t>
            </w:r>
            <w:r w:rsidR="00203FAA">
              <w:rPr>
                <w:color w:val="000000" w:themeColor="text1"/>
                <w:szCs w:val="20"/>
              </w:rPr>
              <w:t>h</w:t>
            </w:r>
            <w:r w:rsidRPr="00E815E7">
              <w:rPr>
                <w:color w:val="000000" w:themeColor="text1"/>
                <w:szCs w:val="20"/>
              </w:rPr>
              <w:t xml:space="preserve">ealth have any matters in opposition to the application, they must file within 15 working days. </w:t>
            </w:r>
          </w:p>
          <w:p w14:paraId="73CA3C79" w14:textId="77777777"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u w:val="single"/>
              </w:rPr>
            </w:pPr>
            <w:r w:rsidRPr="00E815E7">
              <w:rPr>
                <w:color w:val="000000" w:themeColor="text1"/>
                <w:szCs w:val="20"/>
                <w:u w:val="single"/>
              </w:rPr>
              <w:t>How modified</w:t>
            </w:r>
          </w:p>
          <w:p w14:paraId="307FBD9F" w14:textId="267D4217"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E815E7">
              <w:rPr>
                <w:color w:val="000000" w:themeColor="text1"/>
                <w:szCs w:val="20"/>
              </w:rPr>
              <w:t xml:space="preserve">The modification order simply extends this to 30 working days on the basis that </w:t>
            </w:r>
            <w:r w:rsidR="00FA792A">
              <w:rPr>
                <w:color w:val="000000" w:themeColor="text1"/>
                <w:szCs w:val="20"/>
              </w:rPr>
              <w:t>h</w:t>
            </w:r>
            <w:r w:rsidRPr="00E815E7">
              <w:rPr>
                <w:color w:val="000000" w:themeColor="text1"/>
                <w:szCs w:val="20"/>
              </w:rPr>
              <w:t xml:space="preserve">ealth and Police resources need to be focused on the pandemic. </w:t>
            </w:r>
          </w:p>
        </w:tc>
      </w:tr>
      <w:tr w:rsidR="00164CB5" w:rsidRPr="00E815E7" w14:paraId="737DA582" w14:textId="77777777" w:rsidTr="00277E5F">
        <w:tc>
          <w:tcPr>
            <w:cnfStyle w:val="001000000000" w:firstRow="0" w:lastRow="0" w:firstColumn="1" w:lastColumn="0" w:oddVBand="0" w:evenVBand="0" w:oddHBand="0" w:evenHBand="0" w:firstRowFirstColumn="0" w:firstRowLastColumn="0" w:lastRowFirstColumn="0" w:lastRowLastColumn="0"/>
            <w:tcW w:w="509" w:type="dxa"/>
            <w:shd w:val="clear" w:color="auto" w:fill="E5B8B7" w:themeFill="accent2" w:themeFillTint="66"/>
          </w:tcPr>
          <w:p w14:paraId="4BA649E6" w14:textId="77777777" w:rsidR="00164CB5" w:rsidRPr="00E815E7" w:rsidRDefault="00164CB5" w:rsidP="00B24ADF">
            <w:pPr>
              <w:rPr>
                <w:b w:val="0"/>
                <w:bCs w:val="0"/>
                <w:color w:val="000000" w:themeColor="text1"/>
                <w:szCs w:val="20"/>
              </w:rPr>
            </w:pPr>
          </w:p>
          <w:p w14:paraId="456DCE27" w14:textId="77777777" w:rsidR="00164CB5" w:rsidRPr="00E815E7" w:rsidRDefault="00164CB5" w:rsidP="00B24ADF">
            <w:pPr>
              <w:rPr>
                <w:b w:val="0"/>
                <w:bCs w:val="0"/>
                <w:color w:val="000000" w:themeColor="text1"/>
                <w:szCs w:val="20"/>
              </w:rPr>
            </w:pPr>
            <w:r w:rsidRPr="00E815E7">
              <w:rPr>
                <w:color w:val="000000" w:themeColor="text1"/>
                <w:szCs w:val="20"/>
              </w:rPr>
              <w:t>6</w:t>
            </w:r>
          </w:p>
        </w:tc>
        <w:tc>
          <w:tcPr>
            <w:tcW w:w="1747" w:type="dxa"/>
            <w:shd w:val="clear" w:color="auto" w:fill="auto"/>
          </w:tcPr>
          <w:p w14:paraId="208A8097" w14:textId="77777777" w:rsidR="00164CB5" w:rsidRPr="00E815E7" w:rsidRDefault="00164CB5" w:rsidP="00B24ADF">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E815E7">
              <w:rPr>
                <w:color w:val="000000" w:themeColor="text1"/>
                <w:szCs w:val="20"/>
              </w:rPr>
              <w:t>Wills Act 2007</w:t>
            </w:r>
            <w:r w:rsidRPr="00E815E7">
              <w:rPr>
                <w:rStyle w:val="FootnoteReference"/>
                <w:color w:val="000000" w:themeColor="text1"/>
                <w:szCs w:val="20"/>
              </w:rPr>
              <w:footnoteReference w:id="147"/>
            </w:r>
          </w:p>
          <w:p w14:paraId="7C73F333" w14:textId="77777777" w:rsidR="00164CB5" w:rsidRPr="00E815E7" w:rsidRDefault="00164CB5" w:rsidP="00B24ADF">
            <w:pPr>
              <w:cnfStyle w:val="000000000000" w:firstRow="0" w:lastRow="0" w:firstColumn="0" w:lastColumn="0" w:oddVBand="0" w:evenVBand="0" w:oddHBand="0" w:evenHBand="0" w:firstRowFirstColumn="0" w:firstRowLastColumn="0" w:lastRowFirstColumn="0" w:lastRowLastColumn="0"/>
              <w:rPr>
                <w:color w:val="000000" w:themeColor="text1"/>
                <w:szCs w:val="20"/>
              </w:rPr>
            </w:pPr>
          </w:p>
          <w:p w14:paraId="0745DD46" w14:textId="77777777" w:rsidR="00164CB5" w:rsidRPr="00E815E7" w:rsidRDefault="00164CB5" w:rsidP="00B24ADF">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E815E7">
              <w:rPr>
                <w:color w:val="000000" w:themeColor="text1"/>
                <w:szCs w:val="20"/>
              </w:rPr>
              <w:t>(Justice)</w:t>
            </w:r>
          </w:p>
          <w:p w14:paraId="1E466FB8" w14:textId="77777777" w:rsidR="00164CB5" w:rsidRPr="00E815E7" w:rsidRDefault="00164CB5" w:rsidP="00B24ADF">
            <w:pPr>
              <w:cnfStyle w:val="000000000000" w:firstRow="0" w:lastRow="0" w:firstColumn="0" w:lastColumn="0" w:oddVBand="0" w:evenVBand="0" w:oddHBand="0" w:evenHBand="0" w:firstRowFirstColumn="0" w:firstRowLastColumn="0" w:lastRowFirstColumn="0" w:lastRowLastColumn="0"/>
              <w:rPr>
                <w:color w:val="000000" w:themeColor="text1"/>
                <w:szCs w:val="20"/>
              </w:rPr>
            </w:pPr>
          </w:p>
        </w:tc>
        <w:tc>
          <w:tcPr>
            <w:tcW w:w="893" w:type="dxa"/>
            <w:shd w:val="clear" w:color="auto" w:fill="auto"/>
          </w:tcPr>
          <w:p w14:paraId="0F389C8B" w14:textId="77777777" w:rsidR="00164CB5" w:rsidRPr="00E815E7" w:rsidRDefault="00164CB5" w:rsidP="00B24ADF">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E815E7">
              <w:rPr>
                <w:color w:val="000000" w:themeColor="text1"/>
                <w:szCs w:val="20"/>
              </w:rPr>
              <w:t>16 April 2020</w:t>
            </w:r>
          </w:p>
        </w:tc>
        <w:tc>
          <w:tcPr>
            <w:tcW w:w="5918" w:type="dxa"/>
            <w:shd w:val="clear" w:color="auto" w:fill="auto"/>
          </w:tcPr>
          <w:p w14:paraId="09DA4AE7" w14:textId="7E59D263" w:rsidR="00164CB5" w:rsidRPr="00E815E7" w:rsidRDefault="00164CB5" w:rsidP="00B24ADF">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E815E7">
              <w:rPr>
                <w:color w:val="000000" w:themeColor="text1"/>
                <w:szCs w:val="20"/>
                <w:u w:val="single"/>
              </w:rPr>
              <w:t>Provision</w:t>
            </w:r>
            <w:r w:rsidRPr="00E815E7">
              <w:rPr>
                <w:color w:val="000000" w:themeColor="text1"/>
                <w:szCs w:val="20"/>
              </w:rPr>
              <w:br/>
              <w:t>Section 11 requires wills to be signed in person, with witnesses “in the will-maker</w:t>
            </w:r>
            <w:r w:rsidR="00FA792A">
              <w:rPr>
                <w:color w:val="000000" w:themeColor="text1"/>
                <w:szCs w:val="20"/>
              </w:rPr>
              <w:t>’</w:t>
            </w:r>
            <w:r w:rsidRPr="00E815E7">
              <w:rPr>
                <w:color w:val="000000" w:themeColor="text1"/>
                <w:szCs w:val="20"/>
              </w:rPr>
              <w:t>s presence”</w:t>
            </w:r>
            <w:r w:rsidR="00FA792A">
              <w:rPr>
                <w:color w:val="000000" w:themeColor="text1"/>
                <w:szCs w:val="20"/>
              </w:rPr>
              <w:t>.</w:t>
            </w:r>
          </w:p>
          <w:p w14:paraId="1678418F" w14:textId="55FF4BC5" w:rsidR="00164CB5" w:rsidRPr="00E815E7" w:rsidRDefault="00164CB5" w:rsidP="00B24ADF">
            <w:pPr>
              <w:cnfStyle w:val="000000000000" w:firstRow="0" w:lastRow="0" w:firstColumn="0" w:lastColumn="0" w:oddVBand="0" w:evenVBand="0" w:oddHBand="0" w:evenHBand="0" w:firstRowFirstColumn="0" w:firstRowLastColumn="0" w:lastRowFirstColumn="0" w:lastRowLastColumn="0"/>
              <w:rPr>
                <w:color w:val="000000" w:themeColor="text1"/>
                <w:szCs w:val="20"/>
                <w:u w:val="single"/>
              </w:rPr>
            </w:pPr>
            <w:r w:rsidRPr="00E815E7">
              <w:rPr>
                <w:color w:val="000000" w:themeColor="text1"/>
                <w:szCs w:val="20"/>
                <w:u w:val="single"/>
              </w:rPr>
              <w:t xml:space="preserve">How modified </w:t>
            </w:r>
          </w:p>
          <w:p w14:paraId="1E77C2EC" w14:textId="77777777" w:rsidR="00164CB5" w:rsidRPr="00E815E7" w:rsidRDefault="00164CB5" w:rsidP="00B24ADF">
            <w:pPr>
              <w:cnfStyle w:val="000000000000" w:firstRow="0" w:lastRow="0" w:firstColumn="0" w:lastColumn="0" w:oddVBand="0" w:evenVBand="0" w:oddHBand="0" w:evenHBand="0" w:firstRowFirstColumn="0" w:firstRowLastColumn="0" w:lastRowFirstColumn="0" w:lastRowLastColumn="0"/>
              <w:rPr>
                <w:color w:val="000000" w:themeColor="text1"/>
                <w:szCs w:val="20"/>
                <w:u w:val="single"/>
              </w:rPr>
            </w:pPr>
            <w:r w:rsidRPr="00E815E7">
              <w:rPr>
                <w:color w:val="000000" w:themeColor="text1"/>
                <w:szCs w:val="20"/>
              </w:rPr>
              <w:t xml:space="preserve">The modifications allow wills to be signed and witnessed using </w:t>
            </w:r>
            <w:proofErr w:type="spellStart"/>
            <w:r w:rsidRPr="00E815E7">
              <w:rPr>
                <w:color w:val="000000" w:themeColor="text1"/>
                <w:szCs w:val="20"/>
              </w:rPr>
              <w:t>audiovisual</w:t>
            </w:r>
            <w:proofErr w:type="spellEnd"/>
            <w:r w:rsidRPr="00E815E7">
              <w:rPr>
                <w:color w:val="000000" w:themeColor="text1"/>
                <w:szCs w:val="20"/>
              </w:rPr>
              <w:t xml:space="preserve"> links.</w:t>
            </w:r>
          </w:p>
        </w:tc>
      </w:tr>
      <w:tr w:rsidR="00657BCC" w:rsidRPr="00E815E7" w14:paraId="24BFC4DD" w14:textId="77777777" w:rsidTr="00277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shd w:val="clear" w:color="auto" w:fill="E5B8B7" w:themeFill="accent2" w:themeFillTint="66"/>
          </w:tcPr>
          <w:p w14:paraId="36435AE6" w14:textId="77777777" w:rsidR="00164CB5" w:rsidRPr="00E815E7" w:rsidRDefault="00164CB5" w:rsidP="00B24ADF">
            <w:pPr>
              <w:rPr>
                <w:b w:val="0"/>
                <w:bCs w:val="0"/>
                <w:color w:val="000000" w:themeColor="text1"/>
                <w:szCs w:val="20"/>
              </w:rPr>
            </w:pPr>
          </w:p>
          <w:p w14:paraId="5102E7F8" w14:textId="77777777" w:rsidR="00164CB5" w:rsidRPr="00E815E7" w:rsidRDefault="00164CB5" w:rsidP="00B24ADF">
            <w:pPr>
              <w:rPr>
                <w:b w:val="0"/>
                <w:bCs w:val="0"/>
                <w:color w:val="000000" w:themeColor="text1"/>
                <w:szCs w:val="20"/>
              </w:rPr>
            </w:pPr>
            <w:r w:rsidRPr="00E815E7">
              <w:rPr>
                <w:color w:val="000000" w:themeColor="text1"/>
                <w:szCs w:val="20"/>
              </w:rPr>
              <w:t>7</w:t>
            </w:r>
          </w:p>
        </w:tc>
        <w:tc>
          <w:tcPr>
            <w:tcW w:w="1747" w:type="dxa"/>
            <w:shd w:val="clear" w:color="auto" w:fill="auto"/>
          </w:tcPr>
          <w:p w14:paraId="7789FAB2" w14:textId="77777777"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bdr w:val="none" w:sz="0" w:space="0" w:color="auto" w:frame="1"/>
              </w:rPr>
            </w:pPr>
            <w:r w:rsidRPr="00E815E7">
              <w:rPr>
                <w:color w:val="000000" w:themeColor="text1"/>
                <w:szCs w:val="20"/>
                <w:bdr w:val="none" w:sz="0" w:space="0" w:color="auto" w:frame="1"/>
              </w:rPr>
              <w:t>Protection of Personal and Property Rights Act 1988</w:t>
            </w:r>
            <w:r w:rsidRPr="00E815E7">
              <w:rPr>
                <w:rStyle w:val="FootnoteReference"/>
                <w:color w:val="000000" w:themeColor="text1"/>
                <w:szCs w:val="20"/>
                <w:bdr w:val="none" w:sz="0" w:space="0" w:color="auto" w:frame="1"/>
              </w:rPr>
              <w:footnoteReference w:id="148"/>
            </w:r>
          </w:p>
          <w:p w14:paraId="03636432" w14:textId="77777777"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bdr w:val="none" w:sz="0" w:space="0" w:color="auto" w:frame="1"/>
              </w:rPr>
            </w:pPr>
          </w:p>
          <w:p w14:paraId="17078A70" w14:textId="77777777"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E815E7">
              <w:rPr>
                <w:color w:val="000000" w:themeColor="text1"/>
                <w:szCs w:val="20"/>
                <w:bdr w:val="none" w:sz="0" w:space="0" w:color="auto" w:frame="1"/>
              </w:rPr>
              <w:t>(Justice)</w:t>
            </w:r>
          </w:p>
          <w:p w14:paraId="1756ADFA" w14:textId="77777777"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p>
        </w:tc>
        <w:tc>
          <w:tcPr>
            <w:tcW w:w="893" w:type="dxa"/>
            <w:shd w:val="clear" w:color="auto" w:fill="auto"/>
          </w:tcPr>
          <w:p w14:paraId="735D07A4" w14:textId="77777777"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E815E7">
              <w:rPr>
                <w:color w:val="000000" w:themeColor="text1"/>
                <w:szCs w:val="20"/>
              </w:rPr>
              <w:t>23 April 2020</w:t>
            </w:r>
          </w:p>
        </w:tc>
        <w:tc>
          <w:tcPr>
            <w:tcW w:w="5918" w:type="dxa"/>
            <w:shd w:val="clear" w:color="auto" w:fill="auto"/>
          </w:tcPr>
          <w:p w14:paraId="02F33D35" w14:textId="2ADFBBA3"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E815E7">
              <w:rPr>
                <w:color w:val="000000" w:themeColor="text1"/>
                <w:szCs w:val="20"/>
                <w:u w:val="single"/>
              </w:rPr>
              <w:t>Provision</w:t>
            </w:r>
            <w:r w:rsidRPr="00E815E7">
              <w:rPr>
                <w:color w:val="000000" w:themeColor="text1"/>
                <w:szCs w:val="20"/>
                <w:u w:val="single"/>
              </w:rPr>
              <w:br/>
            </w:r>
            <w:r w:rsidRPr="00E815E7">
              <w:rPr>
                <w:color w:val="000000" w:themeColor="text1"/>
                <w:szCs w:val="20"/>
              </w:rPr>
              <w:t>The relevant requirements are to do with creating an enduring power of attorney</w:t>
            </w:r>
            <w:r w:rsidR="00FA792A">
              <w:rPr>
                <w:color w:val="000000" w:themeColor="text1"/>
                <w:szCs w:val="20"/>
              </w:rPr>
              <w:t xml:space="preserve"> (EPA)</w:t>
            </w:r>
            <w:r w:rsidRPr="00E815E7">
              <w:rPr>
                <w:color w:val="000000" w:themeColor="text1"/>
                <w:szCs w:val="20"/>
              </w:rPr>
              <w:t>. The requirements previously specified</w:t>
            </w:r>
            <w:r w:rsidR="00FA792A">
              <w:rPr>
                <w:color w:val="000000" w:themeColor="text1"/>
                <w:szCs w:val="20"/>
              </w:rPr>
              <w:t xml:space="preserve"> that</w:t>
            </w:r>
            <w:r w:rsidRPr="00E815E7">
              <w:rPr>
                <w:color w:val="000000" w:themeColor="text1"/>
                <w:szCs w:val="20"/>
              </w:rPr>
              <w:t xml:space="preserve">: </w:t>
            </w:r>
          </w:p>
          <w:p w14:paraId="487FD7D8" w14:textId="102EA55C" w:rsidR="00164CB5" w:rsidRPr="00245A75" w:rsidRDefault="00164CB5" w:rsidP="00556B28">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sz w:val="20"/>
                <w:szCs w:val="20"/>
              </w:rPr>
            </w:pPr>
            <w:r w:rsidRPr="00245A75">
              <w:rPr>
                <w:sz w:val="20"/>
                <w:szCs w:val="20"/>
              </w:rPr>
              <w:t xml:space="preserve">signatories must sign a single physical document; </w:t>
            </w:r>
            <w:r w:rsidR="00FA792A">
              <w:rPr>
                <w:sz w:val="20"/>
                <w:szCs w:val="20"/>
              </w:rPr>
              <w:t>and</w:t>
            </w:r>
          </w:p>
          <w:p w14:paraId="6B885F25" w14:textId="194102D8" w:rsidR="00164CB5" w:rsidRPr="00E815E7" w:rsidRDefault="00164CB5" w:rsidP="00556B28">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45A75">
              <w:rPr>
                <w:sz w:val="20"/>
                <w:szCs w:val="20"/>
              </w:rPr>
              <w:t>witnessin</w:t>
            </w:r>
            <w:r w:rsidRPr="00E815E7">
              <w:rPr>
                <w:color w:val="000000" w:themeColor="text1"/>
                <w:sz w:val="20"/>
                <w:szCs w:val="20"/>
              </w:rPr>
              <w:t>g to take place in the presence of the relevant part (donor or attorney)</w:t>
            </w:r>
            <w:r w:rsidR="00FA792A">
              <w:rPr>
                <w:color w:val="000000" w:themeColor="text1"/>
                <w:sz w:val="20"/>
                <w:szCs w:val="20"/>
              </w:rPr>
              <w:t>.</w:t>
            </w:r>
          </w:p>
          <w:p w14:paraId="2F381C00" w14:textId="77777777"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u w:val="single"/>
              </w:rPr>
            </w:pPr>
            <w:r w:rsidRPr="00E815E7">
              <w:rPr>
                <w:color w:val="000000" w:themeColor="text1"/>
                <w:szCs w:val="20"/>
                <w:u w:val="single"/>
              </w:rPr>
              <w:t>How modified</w:t>
            </w:r>
          </w:p>
          <w:p w14:paraId="37949FA3" w14:textId="77777777"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E815E7">
              <w:rPr>
                <w:color w:val="000000" w:themeColor="text1"/>
                <w:szCs w:val="20"/>
              </w:rPr>
              <w:t xml:space="preserve">The modification ensures EPAs can be created when the signatories (the donor, the </w:t>
            </w:r>
            <w:proofErr w:type="gramStart"/>
            <w:r w:rsidRPr="00E815E7">
              <w:rPr>
                <w:color w:val="000000" w:themeColor="text1"/>
                <w:szCs w:val="20"/>
              </w:rPr>
              <w:t>attorney</w:t>
            </w:r>
            <w:proofErr w:type="gramEnd"/>
            <w:r w:rsidRPr="00E815E7">
              <w:rPr>
                <w:color w:val="000000" w:themeColor="text1"/>
                <w:szCs w:val="20"/>
              </w:rPr>
              <w:t xml:space="preserve"> and witnesses) are in different places: </w:t>
            </w:r>
          </w:p>
          <w:p w14:paraId="5BBCFAD8" w14:textId="2E5D25C0" w:rsidR="00164CB5" w:rsidRPr="00E815E7" w:rsidRDefault="00164CB5" w:rsidP="00556B28">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45A75">
              <w:rPr>
                <w:sz w:val="20"/>
                <w:szCs w:val="20"/>
              </w:rPr>
              <w:t>allowing</w:t>
            </w:r>
            <w:r w:rsidRPr="00E815E7">
              <w:rPr>
                <w:color w:val="000000" w:themeColor="text1"/>
                <w:sz w:val="20"/>
                <w:szCs w:val="20"/>
              </w:rPr>
              <w:t xml:space="preserve"> the signatories to sign separate copies of the same </w:t>
            </w:r>
            <w:proofErr w:type="gramStart"/>
            <w:r w:rsidRPr="00E815E7">
              <w:rPr>
                <w:color w:val="000000" w:themeColor="text1"/>
                <w:sz w:val="20"/>
                <w:szCs w:val="20"/>
              </w:rPr>
              <w:t>document</w:t>
            </w:r>
            <w:r w:rsidR="00FA792A">
              <w:rPr>
                <w:color w:val="000000" w:themeColor="text1"/>
                <w:sz w:val="20"/>
                <w:szCs w:val="20"/>
              </w:rPr>
              <w:t>;</w:t>
            </w:r>
            <w:proofErr w:type="gramEnd"/>
          </w:p>
          <w:p w14:paraId="7BF00702" w14:textId="77777777" w:rsidR="00164CB5" w:rsidRPr="00E815E7" w:rsidRDefault="00164CB5" w:rsidP="00556B28">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815E7">
              <w:rPr>
                <w:color w:val="000000" w:themeColor="text1"/>
                <w:sz w:val="20"/>
                <w:szCs w:val="20"/>
              </w:rPr>
              <w:t xml:space="preserve">treating the full set of signed documents that are sent to a </w:t>
            </w:r>
            <w:r w:rsidRPr="00245A75">
              <w:rPr>
                <w:sz w:val="20"/>
                <w:szCs w:val="20"/>
              </w:rPr>
              <w:t>holder</w:t>
            </w:r>
            <w:r w:rsidRPr="00E815E7">
              <w:rPr>
                <w:color w:val="000000" w:themeColor="text1"/>
                <w:sz w:val="20"/>
                <w:szCs w:val="20"/>
              </w:rPr>
              <w:t xml:space="preserve"> (which may include photographs or scans) as comprising the complete instrument creating the EPA; and </w:t>
            </w:r>
          </w:p>
          <w:p w14:paraId="4249D010" w14:textId="278E0A0B" w:rsidR="00164CB5" w:rsidRPr="00E815E7" w:rsidRDefault="00164CB5" w:rsidP="00556B28">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815E7">
              <w:rPr>
                <w:color w:val="000000" w:themeColor="text1"/>
                <w:sz w:val="20"/>
                <w:szCs w:val="20"/>
              </w:rPr>
              <w:t xml:space="preserve">allowing signing and witnessing over </w:t>
            </w:r>
            <w:proofErr w:type="spellStart"/>
            <w:r w:rsidRPr="00E815E7">
              <w:rPr>
                <w:color w:val="000000" w:themeColor="text1"/>
                <w:sz w:val="20"/>
                <w:szCs w:val="20"/>
              </w:rPr>
              <w:t>audiovisual</w:t>
            </w:r>
            <w:proofErr w:type="spellEnd"/>
            <w:r w:rsidRPr="00E815E7">
              <w:rPr>
                <w:color w:val="000000" w:themeColor="text1"/>
                <w:sz w:val="20"/>
                <w:szCs w:val="20"/>
              </w:rPr>
              <w:t xml:space="preserve"> links</w:t>
            </w:r>
            <w:r w:rsidR="00FA792A">
              <w:rPr>
                <w:color w:val="000000" w:themeColor="text1"/>
                <w:sz w:val="20"/>
                <w:szCs w:val="20"/>
              </w:rPr>
              <w:t>.</w:t>
            </w:r>
          </w:p>
        </w:tc>
      </w:tr>
      <w:tr w:rsidR="00164CB5" w:rsidRPr="00E815E7" w14:paraId="141CC3AC" w14:textId="77777777" w:rsidTr="00277E5F">
        <w:tc>
          <w:tcPr>
            <w:cnfStyle w:val="001000000000" w:firstRow="0" w:lastRow="0" w:firstColumn="1" w:lastColumn="0" w:oddVBand="0" w:evenVBand="0" w:oddHBand="0" w:evenHBand="0" w:firstRowFirstColumn="0" w:firstRowLastColumn="0" w:lastRowFirstColumn="0" w:lastRowLastColumn="0"/>
            <w:tcW w:w="509" w:type="dxa"/>
            <w:shd w:val="clear" w:color="auto" w:fill="E5B8B7" w:themeFill="accent2" w:themeFillTint="66"/>
          </w:tcPr>
          <w:p w14:paraId="6BF01DF6" w14:textId="77777777" w:rsidR="00164CB5" w:rsidRPr="00E815E7" w:rsidRDefault="00164CB5" w:rsidP="00B24ADF">
            <w:pPr>
              <w:rPr>
                <w:b w:val="0"/>
                <w:bCs w:val="0"/>
                <w:color w:val="000000" w:themeColor="text1"/>
                <w:szCs w:val="20"/>
              </w:rPr>
            </w:pPr>
          </w:p>
          <w:p w14:paraId="75BA51BD" w14:textId="77777777" w:rsidR="00164CB5" w:rsidRPr="00E815E7" w:rsidRDefault="00164CB5" w:rsidP="00B24ADF">
            <w:pPr>
              <w:rPr>
                <w:b w:val="0"/>
                <w:bCs w:val="0"/>
                <w:color w:val="000000" w:themeColor="text1"/>
                <w:szCs w:val="20"/>
              </w:rPr>
            </w:pPr>
            <w:r w:rsidRPr="00E815E7">
              <w:rPr>
                <w:color w:val="000000" w:themeColor="text1"/>
                <w:szCs w:val="20"/>
              </w:rPr>
              <w:t>8</w:t>
            </w:r>
          </w:p>
        </w:tc>
        <w:tc>
          <w:tcPr>
            <w:tcW w:w="1747" w:type="dxa"/>
            <w:shd w:val="clear" w:color="auto" w:fill="auto"/>
          </w:tcPr>
          <w:p w14:paraId="07DEA4BE" w14:textId="77777777" w:rsidR="00164CB5" w:rsidRPr="00E815E7" w:rsidRDefault="00164CB5" w:rsidP="00B24ADF">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E815E7">
              <w:rPr>
                <w:color w:val="000000" w:themeColor="text1"/>
                <w:szCs w:val="20"/>
                <w:bdr w:val="none" w:sz="0" w:space="0" w:color="auto" w:frame="1"/>
              </w:rPr>
              <w:t>Customs and Excise Act 2018</w:t>
            </w:r>
            <w:r w:rsidRPr="00E815E7">
              <w:rPr>
                <w:rStyle w:val="FootnoteReference"/>
                <w:color w:val="000000" w:themeColor="text1"/>
                <w:szCs w:val="20"/>
                <w:bdr w:val="none" w:sz="0" w:space="0" w:color="auto" w:frame="1"/>
              </w:rPr>
              <w:footnoteReference w:id="149"/>
            </w:r>
          </w:p>
          <w:p w14:paraId="0362C1DA" w14:textId="77777777" w:rsidR="00164CB5" w:rsidRPr="00E815E7" w:rsidRDefault="00164CB5" w:rsidP="00B24ADF">
            <w:pPr>
              <w:cnfStyle w:val="000000000000" w:firstRow="0" w:lastRow="0" w:firstColumn="0" w:lastColumn="0" w:oddVBand="0" w:evenVBand="0" w:oddHBand="0" w:evenHBand="0" w:firstRowFirstColumn="0" w:firstRowLastColumn="0" w:lastRowFirstColumn="0" w:lastRowLastColumn="0"/>
              <w:rPr>
                <w:color w:val="000000" w:themeColor="text1"/>
                <w:szCs w:val="20"/>
              </w:rPr>
            </w:pPr>
          </w:p>
          <w:p w14:paraId="7EB37DD7" w14:textId="467E15D5" w:rsidR="00164CB5" w:rsidRPr="00E815E7" w:rsidRDefault="00164CB5" w:rsidP="00B24ADF">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E815E7">
              <w:rPr>
                <w:color w:val="000000" w:themeColor="text1"/>
                <w:szCs w:val="20"/>
              </w:rPr>
              <w:t xml:space="preserve">(Customs) </w:t>
            </w:r>
          </w:p>
        </w:tc>
        <w:tc>
          <w:tcPr>
            <w:tcW w:w="893" w:type="dxa"/>
            <w:shd w:val="clear" w:color="auto" w:fill="auto"/>
          </w:tcPr>
          <w:p w14:paraId="46EFA368" w14:textId="77777777" w:rsidR="00164CB5" w:rsidRPr="00E815E7" w:rsidRDefault="00164CB5" w:rsidP="00B24ADF">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E815E7">
              <w:rPr>
                <w:color w:val="000000" w:themeColor="text1"/>
                <w:szCs w:val="20"/>
              </w:rPr>
              <w:t>4 May 2020</w:t>
            </w:r>
          </w:p>
        </w:tc>
        <w:tc>
          <w:tcPr>
            <w:tcW w:w="5918" w:type="dxa"/>
            <w:shd w:val="clear" w:color="auto" w:fill="auto"/>
          </w:tcPr>
          <w:p w14:paraId="725CA1D2" w14:textId="77777777" w:rsidR="00164CB5" w:rsidRPr="00E815E7" w:rsidRDefault="00164CB5" w:rsidP="00B24ADF">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E815E7">
              <w:rPr>
                <w:color w:val="000000" w:themeColor="text1"/>
                <w:szCs w:val="20"/>
                <w:u w:val="single"/>
              </w:rPr>
              <w:t xml:space="preserve">Provision </w:t>
            </w:r>
          </w:p>
          <w:p w14:paraId="619D49DC" w14:textId="6E187979" w:rsidR="00164CB5" w:rsidRPr="00E815E7" w:rsidRDefault="00164CB5" w:rsidP="00B24ADF">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E815E7">
              <w:rPr>
                <w:color w:val="000000" w:themeColor="text1"/>
                <w:szCs w:val="20"/>
              </w:rPr>
              <w:t xml:space="preserve">Clause 15(2) of Sch 8 provides that a Customs Appeal Authority may only accept an application for an extension of time to bring an appeal if it is made within a specified timeframe. </w:t>
            </w:r>
          </w:p>
          <w:p w14:paraId="04B94BAD" w14:textId="77777777" w:rsidR="00164CB5" w:rsidRPr="00E815E7" w:rsidRDefault="00164CB5" w:rsidP="00B24ADF">
            <w:pPr>
              <w:cnfStyle w:val="000000000000" w:firstRow="0" w:lastRow="0" w:firstColumn="0" w:lastColumn="0" w:oddVBand="0" w:evenVBand="0" w:oddHBand="0" w:evenHBand="0" w:firstRowFirstColumn="0" w:firstRowLastColumn="0" w:lastRowFirstColumn="0" w:lastRowLastColumn="0"/>
              <w:rPr>
                <w:color w:val="000000" w:themeColor="text1"/>
                <w:szCs w:val="20"/>
                <w:u w:val="single"/>
              </w:rPr>
            </w:pPr>
            <w:r w:rsidRPr="00E815E7">
              <w:rPr>
                <w:color w:val="000000" w:themeColor="text1"/>
                <w:szCs w:val="20"/>
                <w:u w:val="single"/>
              </w:rPr>
              <w:t>How modified</w:t>
            </w:r>
          </w:p>
          <w:p w14:paraId="6656342E" w14:textId="3FF9B79F" w:rsidR="00164CB5" w:rsidRPr="00E815E7" w:rsidRDefault="00164CB5" w:rsidP="00B24ADF">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E815E7">
              <w:rPr>
                <w:color w:val="000000" w:themeColor="text1"/>
                <w:szCs w:val="20"/>
              </w:rPr>
              <w:t xml:space="preserve">The order extends the timeframe such that the Authority may accept an application within 20 working days after the </w:t>
            </w:r>
            <w:r w:rsidRPr="00E815E7">
              <w:rPr>
                <w:color w:val="000000" w:themeColor="text1"/>
                <w:szCs w:val="20"/>
              </w:rPr>
              <w:lastRenderedPageBreak/>
              <w:t>Epidemic Preparedness (C</w:t>
            </w:r>
            <w:r w:rsidR="00AB2337">
              <w:t>OVID</w:t>
            </w:r>
            <w:r w:rsidRPr="00E815E7">
              <w:rPr>
                <w:color w:val="000000" w:themeColor="text1"/>
                <w:szCs w:val="20"/>
              </w:rPr>
              <w:t>-19) Notice expires or is revoked (</w:t>
            </w:r>
            <w:proofErr w:type="gramStart"/>
            <w:r w:rsidRPr="00E815E7">
              <w:rPr>
                <w:color w:val="000000" w:themeColor="text1"/>
                <w:szCs w:val="20"/>
              </w:rPr>
              <w:t>as long as</w:t>
            </w:r>
            <w:proofErr w:type="gramEnd"/>
            <w:r w:rsidRPr="00E815E7">
              <w:rPr>
                <w:color w:val="000000" w:themeColor="text1"/>
                <w:szCs w:val="20"/>
              </w:rPr>
              <w:t xml:space="preserve"> </w:t>
            </w:r>
            <w:r w:rsidR="00FA792A">
              <w:rPr>
                <w:color w:val="000000" w:themeColor="text1"/>
                <w:szCs w:val="20"/>
              </w:rPr>
              <w:t xml:space="preserve">the </w:t>
            </w:r>
            <w:r w:rsidRPr="00E815E7">
              <w:rPr>
                <w:color w:val="000000" w:themeColor="text1"/>
                <w:szCs w:val="20"/>
              </w:rPr>
              <w:t>Authority is satisfied the effects of C</w:t>
            </w:r>
            <w:r w:rsidR="00AB2337">
              <w:t>OVID</w:t>
            </w:r>
            <w:r w:rsidRPr="00E815E7">
              <w:rPr>
                <w:color w:val="000000" w:themeColor="text1"/>
                <w:szCs w:val="20"/>
              </w:rPr>
              <w:t xml:space="preserve">-19 were such that the applicant was unable to file within the statutory timeframe. </w:t>
            </w:r>
          </w:p>
        </w:tc>
      </w:tr>
      <w:tr w:rsidR="00657BCC" w:rsidRPr="00E815E7" w14:paraId="3DBAF76E" w14:textId="77777777" w:rsidTr="00277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shd w:val="clear" w:color="auto" w:fill="E5B8B7" w:themeFill="accent2" w:themeFillTint="66"/>
          </w:tcPr>
          <w:p w14:paraId="2E8B53BC" w14:textId="77777777" w:rsidR="00164CB5" w:rsidRPr="00E815E7" w:rsidRDefault="00164CB5" w:rsidP="00B24ADF">
            <w:pPr>
              <w:rPr>
                <w:b w:val="0"/>
                <w:bCs w:val="0"/>
                <w:color w:val="000000" w:themeColor="text1"/>
                <w:szCs w:val="20"/>
              </w:rPr>
            </w:pPr>
          </w:p>
          <w:p w14:paraId="32181A41" w14:textId="77777777" w:rsidR="00164CB5" w:rsidRPr="00E815E7" w:rsidRDefault="00164CB5" w:rsidP="00B24ADF">
            <w:pPr>
              <w:rPr>
                <w:b w:val="0"/>
                <w:bCs w:val="0"/>
                <w:color w:val="000000" w:themeColor="text1"/>
                <w:szCs w:val="20"/>
              </w:rPr>
            </w:pPr>
            <w:r w:rsidRPr="00E815E7">
              <w:rPr>
                <w:color w:val="000000" w:themeColor="text1"/>
                <w:szCs w:val="20"/>
              </w:rPr>
              <w:t>9</w:t>
            </w:r>
          </w:p>
        </w:tc>
        <w:tc>
          <w:tcPr>
            <w:tcW w:w="1747" w:type="dxa"/>
            <w:shd w:val="clear" w:color="auto" w:fill="auto"/>
          </w:tcPr>
          <w:p w14:paraId="61B409FA" w14:textId="0C1EEA25"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proofErr w:type="spellStart"/>
            <w:r w:rsidRPr="00E815E7">
              <w:rPr>
                <w:color w:val="000000" w:themeColor="text1"/>
                <w:szCs w:val="20"/>
                <w:bdr w:val="none" w:sz="0" w:space="0" w:color="auto" w:frame="1"/>
              </w:rPr>
              <w:t>Te</w:t>
            </w:r>
            <w:proofErr w:type="spellEnd"/>
            <w:r w:rsidRPr="00E815E7">
              <w:rPr>
                <w:color w:val="000000" w:themeColor="text1"/>
                <w:szCs w:val="20"/>
                <w:bdr w:val="none" w:sz="0" w:space="0" w:color="auto" w:frame="1"/>
              </w:rPr>
              <w:t xml:space="preserve"> Awa Tupua (Whanganui River Claims Settlement) Act</w:t>
            </w:r>
            <w:r w:rsidRPr="00E815E7">
              <w:rPr>
                <w:rStyle w:val="FootnoteReference"/>
                <w:color w:val="000000" w:themeColor="text1"/>
                <w:szCs w:val="20"/>
                <w:bdr w:val="none" w:sz="0" w:space="0" w:color="auto" w:frame="1"/>
              </w:rPr>
              <w:footnoteReference w:id="150"/>
            </w:r>
          </w:p>
          <w:p w14:paraId="52EF97E8" w14:textId="77777777"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p>
          <w:p w14:paraId="4CA38230" w14:textId="19093202" w:rsidR="00164CB5" w:rsidRPr="00E815E7" w:rsidRDefault="00564A51"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r>
              <w:rPr>
                <w:color w:val="000000"/>
                <w:szCs w:val="20"/>
                <w:shd w:val="clear" w:color="auto" w:fill="FFFFFF"/>
              </w:rPr>
              <w:t>(</w:t>
            </w:r>
            <w:r w:rsidR="00164CB5" w:rsidRPr="00E815E7">
              <w:rPr>
                <w:color w:val="000000"/>
                <w:szCs w:val="20"/>
                <w:shd w:val="clear" w:color="auto" w:fill="FFFFFF"/>
              </w:rPr>
              <w:t xml:space="preserve">Māori Crown Relations: </w:t>
            </w:r>
            <w:proofErr w:type="spellStart"/>
            <w:r w:rsidR="00164CB5" w:rsidRPr="00E815E7">
              <w:rPr>
                <w:color w:val="000000"/>
                <w:szCs w:val="20"/>
                <w:shd w:val="clear" w:color="auto" w:fill="FFFFFF"/>
              </w:rPr>
              <w:t>Te</w:t>
            </w:r>
            <w:proofErr w:type="spellEnd"/>
            <w:r w:rsidR="00164CB5" w:rsidRPr="00E815E7">
              <w:rPr>
                <w:color w:val="000000"/>
                <w:szCs w:val="20"/>
                <w:shd w:val="clear" w:color="auto" w:fill="FFFFFF"/>
              </w:rPr>
              <w:t xml:space="preserve"> </w:t>
            </w:r>
            <w:proofErr w:type="spellStart"/>
            <w:r w:rsidR="00164CB5" w:rsidRPr="00E815E7">
              <w:rPr>
                <w:color w:val="000000"/>
                <w:szCs w:val="20"/>
                <w:shd w:val="clear" w:color="auto" w:fill="FFFFFF"/>
              </w:rPr>
              <w:t>Arawhiti</w:t>
            </w:r>
            <w:proofErr w:type="spellEnd"/>
            <w:r>
              <w:rPr>
                <w:color w:val="000000"/>
                <w:szCs w:val="20"/>
                <w:shd w:val="clear" w:color="auto" w:fill="FFFFFF"/>
              </w:rPr>
              <w:t>)</w:t>
            </w:r>
          </w:p>
        </w:tc>
        <w:tc>
          <w:tcPr>
            <w:tcW w:w="893" w:type="dxa"/>
            <w:shd w:val="clear" w:color="auto" w:fill="auto"/>
          </w:tcPr>
          <w:p w14:paraId="37C63C49" w14:textId="77777777"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E815E7">
              <w:rPr>
                <w:color w:val="000000" w:themeColor="text1"/>
                <w:szCs w:val="20"/>
              </w:rPr>
              <w:t>24 August 2020</w:t>
            </w:r>
          </w:p>
        </w:tc>
        <w:tc>
          <w:tcPr>
            <w:tcW w:w="5918" w:type="dxa"/>
            <w:shd w:val="clear" w:color="auto" w:fill="auto"/>
          </w:tcPr>
          <w:p w14:paraId="4B0395FC" w14:textId="77777777"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u w:val="single"/>
              </w:rPr>
            </w:pPr>
            <w:r w:rsidRPr="00E815E7">
              <w:rPr>
                <w:color w:val="000000" w:themeColor="text1"/>
                <w:szCs w:val="20"/>
                <w:u w:val="single"/>
              </w:rPr>
              <w:t xml:space="preserve">Provision </w:t>
            </w:r>
          </w:p>
          <w:p w14:paraId="34EB75A8" w14:textId="77777777"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proofErr w:type="spellStart"/>
            <w:r w:rsidRPr="00E815E7">
              <w:rPr>
                <w:color w:val="000000" w:themeColor="text1"/>
                <w:szCs w:val="20"/>
              </w:rPr>
              <w:t>Te</w:t>
            </w:r>
            <w:proofErr w:type="spellEnd"/>
            <w:r w:rsidRPr="00E815E7">
              <w:rPr>
                <w:color w:val="000000" w:themeColor="text1"/>
                <w:szCs w:val="20"/>
              </w:rPr>
              <w:t xml:space="preserve"> Pou Tupua is the legal representative of </w:t>
            </w:r>
            <w:proofErr w:type="spellStart"/>
            <w:r w:rsidRPr="00E815E7">
              <w:rPr>
                <w:color w:val="000000" w:themeColor="text1"/>
                <w:szCs w:val="20"/>
              </w:rPr>
              <w:t>Te</w:t>
            </w:r>
            <w:proofErr w:type="spellEnd"/>
            <w:r w:rsidRPr="00E815E7">
              <w:rPr>
                <w:color w:val="000000" w:themeColor="text1"/>
                <w:szCs w:val="20"/>
              </w:rPr>
              <w:t xml:space="preserve"> Awa Tupua, which is the legal person comprising the Whanganui River recognised under the Act. The term of office of the existing appointees (who are the first appointees) to </w:t>
            </w:r>
            <w:proofErr w:type="spellStart"/>
            <w:r w:rsidRPr="00E815E7">
              <w:rPr>
                <w:color w:val="000000" w:themeColor="text1"/>
                <w:szCs w:val="20"/>
              </w:rPr>
              <w:t>Te</w:t>
            </w:r>
            <w:proofErr w:type="spellEnd"/>
            <w:r w:rsidRPr="00E815E7">
              <w:rPr>
                <w:color w:val="000000" w:themeColor="text1"/>
                <w:szCs w:val="20"/>
              </w:rPr>
              <w:t xml:space="preserve"> Pou Tupua ends on 3</w:t>
            </w:r>
            <w:r w:rsidRPr="00E815E7">
              <w:rPr>
                <w:rFonts w:ascii="Calibri" w:hAnsi="Calibri" w:cs="Calibri"/>
                <w:color w:val="000000" w:themeColor="text1"/>
                <w:szCs w:val="20"/>
              </w:rPr>
              <w:t> </w:t>
            </w:r>
            <w:r w:rsidRPr="00E815E7">
              <w:rPr>
                <w:color w:val="000000" w:themeColor="text1"/>
                <w:szCs w:val="20"/>
              </w:rPr>
              <w:t xml:space="preserve">September 2020. This is because they are appointed for 3 years under the Act. There is no provision in the Act that enables the present members of </w:t>
            </w:r>
            <w:proofErr w:type="spellStart"/>
            <w:r w:rsidRPr="00E815E7">
              <w:rPr>
                <w:color w:val="000000" w:themeColor="text1"/>
                <w:szCs w:val="20"/>
              </w:rPr>
              <w:t>Te</w:t>
            </w:r>
            <w:proofErr w:type="spellEnd"/>
            <w:r w:rsidRPr="00E815E7">
              <w:rPr>
                <w:color w:val="000000" w:themeColor="text1"/>
                <w:szCs w:val="20"/>
              </w:rPr>
              <w:t xml:space="preserve"> Pou Tupua to continue to act beyond 3</w:t>
            </w:r>
            <w:r w:rsidRPr="00E815E7">
              <w:rPr>
                <w:rFonts w:ascii="Calibri" w:hAnsi="Calibri" w:cs="Calibri"/>
                <w:color w:val="000000" w:themeColor="text1"/>
                <w:szCs w:val="20"/>
              </w:rPr>
              <w:t> </w:t>
            </w:r>
            <w:r w:rsidRPr="00E815E7">
              <w:rPr>
                <w:color w:val="000000" w:themeColor="text1"/>
                <w:szCs w:val="20"/>
              </w:rPr>
              <w:t>September 2020.</w:t>
            </w:r>
          </w:p>
          <w:p w14:paraId="481CDEF6" w14:textId="77777777"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u w:val="single"/>
              </w:rPr>
            </w:pPr>
            <w:r w:rsidRPr="00E815E7">
              <w:rPr>
                <w:color w:val="000000" w:themeColor="text1"/>
                <w:szCs w:val="20"/>
                <w:u w:val="single"/>
              </w:rPr>
              <w:t>How modified</w:t>
            </w:r>
          </w:p>
          <w:p w14:paraId="6FBBB674" w14:textId="10D042C8"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E815E7">
              <w:rPr>
                <w:color w:val="000000" w:themeColor="text1"/>
                <w:szCs w:val="20"/>
              </w:rPr>
              <w:t xml:space="preserve">The effect of the modification is that those appointees are appointed for 3 years and 9 months instead of the usual 3 years. This is to facilitate </w:t>
            </w:r>
            <w:proofErr w:type="spellStart"/>
            <w:r w:rsidRPr="00E815E7">
              <w:rPr>
                <w:color w:val="000000" w:themeColor="text1"/>
                <w:szCs w:val="20"/>
              </w:rPr>
              <w:t>Te</w:t>
            </w:r>
            <w:proofErr w:type="spellEnd"/>
            <w:r w:rsidRPr="00E815E7">
              <w:rPr>
                <w:color w:val="000000" w:themeColor="text1"/>
                <w:szCs w:val="20"/>
              </w:rPr>
              <w:t xml:space="preserve"> Pou Tupua to continue to make decisions as the legal representative of </w:t>
            </w:r>
            <w:proofErr w:type="spellStart"/>
            <w:r w:rsidRPr="00E815E7">
              <w:rPr>
                <w:color w:val="000000" w:themeColor="text1"/>
                <w:szCs w:val="20"/>
              </w:rPr>
              <w:t>Te</w:t>
            </w:r>
            <w:proofErr w:type="spellEnd"/>
            <w:r w:rsidRPr="00E815E7">
              <w:rPr>
                <w:color w:val="000000" w:themeColor="text1"/>
                <w:szCs w:val="20"/>
              </w:rPr>
              <w:t xml:space="preserve"> Awa Tupua.</w:t>
            </w:r>
          </w:p>
          <w:p w14:paraId="1255775F" w14:textId="3DD97120"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E815E7">
              <w:rPr>
                <w:color w:val="000000" w:themeColor="text1"/>
                <w:szCs w:val="20"/>
              </w:rPr>
              <w:t xml:space="preserve">The effects of COVID-19 meant that initial meetings were not </w:t>
            </w:r>
            <w:proofErr w:type="gramStart"/>
            <w:r w:rsidRPr="00E815E7">
              <w:rPr>
                <w:color w:val="000000" w:themeColor="text1"/>
                <w:szCs w:val="20"/>
              </w:rPr>
              <w:t>held</w:t>
            </w:r>
            <w:proofErr w:type="gramEnd"/>
            <w:r w:rsidRPr="00E815E7">
              <w:rPr>
                <w:color w:val="000000" w:themeColor="text1"/>
                <w:szCs w:val="20"/>
              </w:rPr>
              <w:t xml:space="preserve"> and the iwi and the Crown could not get their internal processes under</w:t>
            </w:r>
            <w:r w:rsidR="00564A51">
              <w:rPr>
                <w:color w:val="000000" w:themeColor="text1"/>
                <w:szCs w:val="20"/>
              </w:rPr>
              <w:t xml:space="preserve"> </w:t>
            </w:r>
            <w:r w:rsidRPr="00E815E7">
              <w:rPr>
                <w:color w:val="000000" w:themeColor="text1"/>
                <w:szCs w:val="20"/>
              </w:rPr>
              <w:t xml:space="preserve">way in March 2020. Hui </w:t>
            </w:r>
            <w:proofErr w:type="gramStart"/>
            <w:r w:rsidRPr="00E815E7">
              <w:rPr>
                <w:color w:val="000000" w:themeColor="text1"/>
                <w:szCs w:val="20"/>
              </w:rPr>
              <w:t>were</w:t>
            </w:r>
            <w:proofErr w:type="gramEnd"/>
            <w:r w:rsidRPr="00E815E7">
              <w:rPr>
                <w:color w:val="000000" w:themeColor="text1"/>
                <w:szCs w:val="20"/>
              </w:rPr>
              <w:t xml:space="preserve"> not possible during this period, and both the Crown and iwi were focused on more</w:t>
            </w:r>
            <w:r w:rsidR="00564A51">
              <w:rPr>
                <w:color w:val="000000" w:themeColor="text1"/>
                <w:szCs w:val="20"/>
              </w:rPr>
              <w:t>-</w:t>
            </w:r>
            <w:r w:rsidRPr="00E815E7">
              <w:rPr>
                <w:color w:val="000000" w:themeColor="text1"/>
                <w:szCs w:val="20"/>
              </w:rPr>
              <w:t xml:space="preserve">immediate priorities </w:t>
            </w:r>
            <w:r w:rsidR="00564A51">
              <w:rPr>
                <w:color w:val="000000" w:themeColor="text1"/>
                <w:szCs w:val="20"/>
              </w:rPr>
              <w:t>s</w:t>
            </w:r>
            <w:r w:rsidRPr="00E815E7">
              <w:rPr>
                <w:color w:val="000000" w:themeColor="text1"/>
                <w:szCs w:val="20"/>
              </w:rPr>
              <w:t xml:space="preserve">o basically more time was needed for the statutory-prescribed nomination and joint appointment process for </w:t>
            </w:r>
            <w:proofErr w:type="spellStart"/>
            <w:r w:rsidRPr="00E815E7">
              <w:rPr>
                <w:color w:val="000000" w:themeColor="text1"/>
                <w:szCs w:val="20"/>
              </w:rPr>
              <w:t>Te</w:t>
            </w:r>
            <w:proofErr w:type="spellEnd"/>
            <w:r w:rsidRPr="00E815E7">
              <w:rPr>
                <w:color w:val="000000" w:themeColor="text1"/>
                <w:szCs w:val="20"/>
              </w:rPr>
              <w:t xml:space="preserve"> Pou Tupua, which the Explanatory Note says requires approximately 6</w:t>
            </w:r>
            <w:r w:rsidRPr="00E815E7">
              <w:rPr>
                <w:rFonts w:ascii="Calibri" w:hAnsi="Calibri" w:cs="Calibri"/>
                <w:color w:val="000000" w:themeColor="text1"/>
                <w:szCs w:val="20"/>
              </w:rPr>
              <w:t> </w:t>
            </w:r>
            <w:r w:rsidRPr="00E815E7">
              <w:rPr>
                <w:color w:val="000000" w:themeColor="text1"/>
                <w:szCs w:val="20"/>
              </w:rPr>
              <w:t xml:space="preserve">months to complete. A 9-month extension is considered reasonable and appropriate to allow for both the general election (which ensures that a government is </w:t>
            </w:r>
            <w:proofErr w:type="gramStart"/>
            <w:r w:rsidRPr="00E815E7">
              <w:rPr>
                <w:color w:val="000000" w:themeColor="text1"/>
                <w:szCs w:val="20"/>
              </w:rPr>
              <w:t>formed</w:t>
            </w:r>
            <w:proofErr w:type="gramEnd"/>
            <w:r w:rsidRPr="00E815E7">
              <w:rPr>
                <w:color w:val="000000" w:themeColor="text1"/>
                <w:szCs w:val="20"/>
              </w:rPr>
              <w:t xml:space="preserve"> and a Minister warranted) and a subsequent 6-month process for appointment. This extension is supported by all parties involved. </w:t>
            </w:r>
          </w:p>
          <w:p w14:paraId="73D14117" w14:textId="77777777" w:rsidR="00164CB5" w:rsidRPr="00E815E7" w:rsidRDefault="00164CB5" w:rsidP="00B24ADF">
            <w:pPr>
              <w:cnfStyle w:val="000000100000" w:firstRow="0" w:lastRow="0" w:firstColumn="0" w:lastColumn="0" w:oddVBand="0" w:evenVBand="0" w:oddHBand="1" w:evenHBand="0" w:firstRowFirstColumn="0" w:firstRowLastColumn="0" w:lastRowFirstColumn="0" w:lastRowLastColumn="0"/>
              <w:rPr>
                <w:color w:val="000000" w:themeColor="text1"/>
                <w:szCs w:val="20"/>
              </w:rPr>
            </w:pPr>
          </w:p>
        </w:tc>
      </w:tr>
    </w:tbl>
    <w:p w14:paraId="48B31C57" w14:textId="77777777" w:rsidR="00164CB5" w:rsidRDefault="00164CB5" w:rsidP="00164CB5">
      <w:pPr>
        <w:contextualSpacing/>
        <w:rPr>
          <w:color w:val="000000" w:themeColor="text1"/>
        </w:rPr>
      </w:pPr>
    </w:p>
    <w:p w14:paraId="1A53063B" w14:textId="79F2CFCF" w:rsidR="00164CB5" w:rsidRPr="00522A7C" w:rsidRDefault="00A03621" w:rsidP="00164CB5">
      <w:pPr>
        <w:spacing w:line="276" w:lineRule="auto"/>
      </w:pPr>
      <w:r>
        <w:rPr>
          <w:noProof/>
        </w:rPr>
        <mc:AlternateContent>
          <mc:Choice Requires="wpg">
            <w:drawing>
              <wp:anchor distT="0" distB="0" distL="114300" distR="114300" simplePos="0" relativeHeight="251658262" behindDoc="1" locked="0" layoutInCell="1" allowOverlap="1" wp14:anchorId="68926D26" wp14:editId="2358E985">
                <wp:simplePos x="0" y="0"/>
                <wp:positionH relativeFrom="page">
                  <wp:posOffset>1061085</wp:posOffset>
                </wp:positionH>
                <wp:positionV relativeFrom="paragraph">
                  <wp:posOffset>348274</wp:posOffset>
                </wp:positionV>
                <wp:extent cx="1440000" cy="1270"/>
                <wp:effectExtent l="0" t="19050" r="27305" b="17780"/>
                <wp:wrapNone/>
                <wp:docPr id="46"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000" cy="1270"/>
                          <a:chOff x="1134" y="-469"/>
                          <a:chExt cx="2098" cy="2"/>
                        </a:xfrm>
                      </wpg:grpSpPr>
                      <wps:wsp>
                        <wps:cNvPr id="47"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74656A" id="Group 135" o:spid="_x0000_s1026" style="position:absolute;margin-left:83.55pt;margin-top:27.4pt;width:113.4pt;height:.1pt;z-index:-251658218;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" path="m,l2097,e" filled="f" strokecolor="#c96d61" strokeweight="3pt">
                  <v:path arrowok="t" o:connecttype="custom" o:connectlocs="0,0;2097,0" o:connectangles="0,0"/>
                </v:shape>
                <w10:wrap anchorx="page"/>
              </v:group>
            </w:pict>
          </mc:Fallback>
        </mc:AlternateContent>
      </w:r>
    </w:p>
    <w:p w14:paraId="45655237" w14:textId="30ABE549" w:rsidR="003817E1" w:rsidRPr="00E762BD" w:rsidRDefault="003817E1" w:rsidP="00583F0D">
      <w:pPr>
        <w:pStyle w:val="Quote"/>
        <w:numPr>
          <w:ilvl w:val="0"/>
          <w:numId w:val="0"/>
        </w:numPr>
        <w:ind w:left="709" w:hanging="709"/>
        <w:rPr>
          <w:rFonts w:eastAsia="Metropolis Light"/>
        </w:rPr>
      </w:pPr>
    </w:p>
    <w:p w14:paraId="72D380FE" w14:textId="77777777" w:rsidR="00D811B9" w:rsidRDefault="00D811B9" w:rsidP="00A03621">
      <w:pPr>
        <w:pStyle w:val="BodyTextnonum"/>
        <w:numPr>
          <w:ilvl w:val="0"/>
          <w:numId w:val="0"/>
        </w:numPr>
        <w:ind w:left="709" w:hanging="709"/>
        <w:rPr>
          <w:rFonts w:eastAsia="Metropolis Light"/>
        </w:rPr>
        <w:sectPr w:rsidR="00D811B9" w:rsidSect="00D50ACF">
          <w:headerReference w:type="default" r:id="rId55"/>
          <w:footnotePr>
            <w:numRestart w:val="eachSect"/>
          </w:footnotePr>
          <w:pgSz w:w="11920" w:h="16840"/>
          <w:pgMar w:top="1134" w:right="1134" w:bottom="1134" w:left="1701" w:header="499" w:footer="46" w:gutter="0"/>
          <w:cols w:space="720"/>
        </w:sectPr>
      </w:pPr>
    </w:p>
    <w:p w14:paraId="37088F47" w14:textId="77777777" w:rsidR="00D811B9" w:rsidRPr="00DB0600" w:rsidRDefault="00D811B9" w:rsidP="00D811B9"/>
    <w:p w14:paraId="5E6D6C22" w14:textId="77777777" w:rsidR="00D811B9" w:rsidRPr="00DB0600" w:rsidRDefault="00D811B9" w:rsidP="00D811B9"/>
    <w:p w14:paraId="26DA5049" w14:textId="4EA8883A" w:rsidR="00D811B9" w:rsidRDefault="00D811B9" w:rsidP="00D811B9"/>
    <w:p w14:paraId="327EFCF3" w14:textId="4CBAD4FC" w:rsidR="00D811B9" w:rsidRDefault="00D811B9" w:rsidP="00D811B9"/>
    <w:p w14:paraId="3689B82A" w14:textId="5C6AFD52" w:rsidR="00D811B9" w:rsidRDefault="00D811B9" w:rsidP="00D811B9"/>
    <w:p w14:paraId="0F85195F" w14:textId="002AF82E" w:rsidR="00D811B9" w:rsidRDefault="00D811B9" w:rsidP="00D811B9"/>
    <w:p w14:paraId="0B7FA5B3" w14:textId="3B048538" w:rsidR="00D811B9" w:rsidRDefault="00D811B9" w:rsidP="00D811B9"/>
    <w:p w14:paraId="3777783F" w14:textId="7D4CDB4E" w:rsidR="00D811B9" w:rsidRDefault="00D811B9" w:rsidP="00D811B9"/>
    <w:p w14:paraId="0886380D" w14:textId="2020EFD0" w:rsidR="00D811B9" w:rsidRDefault="00D811B9" w:rsidP="00D811B9"/>
    <w:p w14:paraId="2A9CD508" w14:textId="5DA55EE8" w:rsidR="00D811B9" w:rsidRDefault="00D811B9" w:rsidP="00D811B9"/>
    <w:p w14:paraId="2C36E3AB" w14:textId="50C8D47D" w:rsidR="00D811B9" w:rsidRDefault="00D811B9" w:rsidP="00D811B9"/>
    <w:p w14:paraId="438C902F" w14:textId="02842D93" w:rsidR="00D811B9" w:rsidRDefault="00D811B9" w:rsidP="00D811B9"/>
    <w:p w14:paraId="23D5135B" w14:textId="40545151" w:rsidR="00D811B9" w:rsidRDefault="00D811B9" w:rsidP="00D811B9"/>
    <w:p w14:paraId="7DC0774D" w14:textId="5BADADDF" w:rsidR="00D811B9" w:rsidRDefault="00D811B9" w:rsidP="00D811B9"/>
    <w:p w14:paraId="30F4293E" w14:textId="21DEF236" w:rsidR="00D811B9" w:rsidRDefault="00D811B9" w:rsidP="00D811B9"/>
    <w:p w14:paraId="00FECE6C" w14:textId="4A41BFAE" w:rsidR="00D811B9" w:rsidRDefault="00D811B9" w:rsidP="00D811B9"/>
    <w:p w14:paraId="576343C3" w14:textId="162B7512" w:rsidR="00D811B9" w:rsidRDefault="00D811B9" w:rsidP="00D811B9"/>
    <w:p w14:paraId="1C36F63A" w14:textId="0390DBE0" w:rsidR="00D811B9" w:rsidRDefault="00D811B9" w:rsidP="00D811B9"/>
    <w:p w14:paraId="674FDAD1" w14:textId="7D8A77D6" w:rsidR="00D811B9" w:rsidRDefault="00D811B9" w:rsidP="00D811B9"/>
    <w:p w14:paraId="44244CDF" w14:textId="2EEF1429" w:rsidR="00D811B9" w:rsidRDefault="00D811B9" w:rsidP="00D811B9"/>
    <w:p w14:paraId="24E5310D" w14:textId="77777777" w:rsidR="006473C9" w:rsidRPr="00DB0600" w:rsidRDefault="006473C9" w:rsidP="00D811B9"/>
    <w:p w14:paraId="2046C4A2" w14:textId="77777777" w:rsidR="00D811B9" w:rsidRPr="00DB0600" w:rsidRDefault="00D811B9" w:rsidP="00D811B9"/>
    <w:p w14:paraId="55F23299" w14:textId="1B483540" w:rsidR="00D811B9" w:rsidRPr="00DB0600" w:rsidRDefault="00376AC0" w:rsidP="00D811B9">
      <w:r>
        <w:rPr>
          <w:noProof/>
        </w:rPr>
        <mc:AlternateContent>
          <mc:Choice Requires="wpg">
            <w:drawing>
              <wp:anchor distT="0" distB="0" distL="114300" distR="114300" simplePos="0" relativeHeight="251658263" behindDoc="1" locked="0" layoutInCell="1" allowOverlap="1" wp14:anchorId="20C17575" wp14:editId="73E54381">
                <wp:simplePos x="0" y="0"/>
                <wp:positionH relativeFrom="page">
                  <wp:posOffset>1080135</wp:posOffset>
                </wp:positionH>
                <wp:positionV relativeFrom="paragraph">
                  <wp:posOffset>230356</wp:posOffset>
                </wp:positionV>
                <wp:extent cx="1439545" cy="1270"/>
                <wp:effectExtent l="0" t="19050" r="27305" b="17780"/>
                <wp:wrapNone/>
                <wp:docPr id="48"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9545" cy="1270"/>
                          <a:chOff x="1134" y="-469"/>
                          <a:chExt cx="2098" cy="2"/>
                        </a:xfrm>
                      </wpg:grpSpPr>
                      <wps:wsp>
                        <wps:cNvPr id="49"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C21A2" id="Group 135" o:spid="_x0000_s1026" style="position:absolute;margin-left:85.05pt;margin-top:18.15pt;width:113.35pt;height:.1pt;z-index:-251658217;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" path="m,l2097,e" filled="f" strokecolor="#c96d61" strokeweight="3pt">
                  <v:path arrowok="t" o:connecttype="custom" o:connectlocs="0,0;2097,0" o:connectangles="0,0"/>
                </v:shape>
                <w10:wrap anchorx="page"/>
              </v:group>
            </w:pict>
          </mc:Fallback>
        </mc:AlternateContent>
      </w:r>
    </w:p>
    <w:p w14:paraId="478BF6D1" w14:textId="1FC9C99C" w:rsidR="00D811B9" w:rsidRPr="00DB0600" w:rsidRDefault="00D811B9" w:rsidP="00D811B9"/>
    <w:p w14:paraId="5F888498" w14:textId="77777777" w:rsidR="00D811B9" w:rsidRPr="00DB0600" w:rsidRDefault="00D811B9" w:rsidP="00556B28">
      <w:pPr>
        <w:pStyle w:val="ListParagraph"/>
        <w:numPr>
          <w:ilvl w:val="0"/>
          <w:numId w:val="22"/>
        </w:numPr>
      </w:pPr>
    </w:p>
    <w:p w14:paraId="13539ECD" w14:textId="77777777" w:rsidR="00D811B9" w:rsidRPr="00DB0600" w:rsidRDefault="00D811B9" w:rsidP="00556B28">
      <w:pPr>
        <w:pStyle w:val="ListParagraph"/>
        <w:numPr>
          <w:ilvl w:val="0"/>
          <w:numId w:val="22"/>
        </w:numPr>
      </w:pPr>
      <w:r w:rsidRPr="00DB0600">
        <w:rPr>
          <w:rFonts w:ascii="ZWAdobeF" w:hAnsi="ZWAdobeF" w:cs="ZWAdobeF"/>
          <w:sz w:val="2"/>
          <w:szCs w:val="2"/>
        </w:rPr>
        <w:t>1238B1238B1238B</w:t>
      </w:r>
      <w:r w:rsidRPr="00DB0600">
        <w:rPr>
          <w:noProof/>
        </w:rPr>
        <w:drawing>
          <wp:inline distT="0" distB="0" distL="0" distR="0" wp14:anchorId="4263DDCA" wp14:editId="0C4056D8">
            <wp:extent cx="2489689" cy="998768"/>
            <wp:effectExtent l="0" t="0" r="6350" b="0"/>
            <wp:docPr id="764517973" name="Picture 76451797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32236" cy="1015836"/>
                    </a:xfrm>
                    <a:prstGeom prst="rect">
                      <a:avLst/>
                    </a:prstGeom>
                    <a:noFill/>
                    <a:ln>
                      <a:noFill/>
                    </a:ln>
                  </pic:spPr>
                </pic:pic>
              </a:graphicData>
            </a:graphic>
          </wp:inline>
        </w:drawing>
      </w:r>
    </w:p>
    <w:p w14:paraId="09FFE150" w14:textId="77777777" w:rsidR="00D811B9" w:rsidRPr="00DB0600" w:rsidRDefault="00D811B9" w:rsidP="00556B28">
      <w:pPr>
        <w:pStyle w:val="ListParagraph"/>
        <w:numPr>
          <w:ilvl w:val="0"/>
          <w:numId w:val="22"/>
        </w:numPr>
        <w:spacing w:before="360"/>
        <w:ind w:right="3243"/>
        <w:rPr>
          <w:rFonts w:eastAsia="Times"/>
          <w:b/>
          <w:bCs/>
          <w:sz w:val="2"/>
          <w:szCs w:val="6"/>
        </w:rPr>
      </w:pPr>
    </w:p>
    <w:p w14:paraId="38736E70" w14:textId="77777777" w:rsidR="00D811B9" w:rsidRPr="00DB0600" w:rsidRDefault="00D811B9" w:rsidP="00556B28">
      <w:pPr>
        <w:pStyle w:val="ListParagraph"/>
        <w:numPr>
          <w:ilvl w:val="0"/>
          <w:numId w:val="22"/>
        </w:numPr>
        <w:ind w:right="3243"/>
        <w:rPr>
          <w:rFonts w:eastAsia="Times"/>
          <w:sz w:val="18"/>
        </w:rPr>
      </w:pPr>
    </w:p>
    <w:p w14:paraId="3F609741" w14:textId="77777777" w:rsidR="00D811B9" w:rsidRPr="00DB0600" w:rsidRDefault="00D811B9" w:rsidP="00D811B9">
      <w:pPr>
        <w:tabs>
          <w:tab w:val="left" w:pos="5387"/>
        </w:tabs>
        <w:ind w:right="567"/>
        <w:rPr>
          <w:sz w:val="18"/>
          <w:szCs w:val="18"/>
        </w:rPr>
      </w:pPr>
      <w:r w:rsidRPr="00DB0600">
        <w:rPr>
          <w:sz w:val="18"/>
          <w:szCs w:val="18"/>
        </w:rPr>
        <w:t xml:space="preserve">Level 9, </w:t>
      </w:r>
      <w:proofErr w:type="spellStart"/>
      <w:r w:rsidRPr="00DB0600">
        <w:rPr>
          <w:sz w:val="18"/>
          <w:szCs w:val="18"/>
        </w:rPr>
        <w:t>Solnet</w:t>
      </w:r>
      <w:proofErr w:type="spellEnd"/>
      <w:r w:rsidRPr="00DB0600">
        <w:rPr>
          <w:sz w:val="18"/>
          <w:szCs w:val="18"/>
        </w:rPr>
        <w:t xml:space="preserve"> House, 70 The Terrace, Wellington 6011</w:t>
      </w:r>
    </w:p>
    <w:p w14:paraId="779766E9" w14:textId="77777777" w:rsidR="00D811B9" w:rsidRPr="00DB0600" w:rsidRDefault="00D811B9" w:rsidP="00D811B9">
      <w:pPr>
        <w:tabs>
          <w:tab w:val="left" w:pos="5387"/>
        </w:tabs>
        <w:ind w:right="567"/>
        <w:rPr>
          <w:sz w:val="18"/>
          <w:szCs w:val="18"/>
        </w:rPr>
      </w:pPr>
      <w:r w:rsidRPr="00DB0600">
        <w:rPr>
          <w:sz w:val="18"/>
          <w:szCs w:val="18"/>
        </w:rPr>
        <w:t>PO Box 2590, Wellington 6140</w:t>
      </w:r>
    </w:p>
    <w:p w14:paraId="0653F1BC" w14:textId="77777777" w:rsidR="00D811B9" w:rsidRPr="00DB0600" w:rsidRDefault="00D811B9" w:rsidP="00D811B9">
      <w:pPr>
        <w:tabs>
          <w:tab w:val="left" w:pos="5387"/>
        </w:tabs>
        <w:ind w:right="567"/>
        <w:rPr>
          <w:sz w:val="18"/>
          <w:szCs w:val="18"/>
        </w:rPr>
      </w:pPr>
      <w:r w:rsidRPr="00DB0600">
        <w:rPr>
          <w:sz w:val="18"/>
          <w:szCs w:val="18"/>
        </w:rPr>
        <w:t>Telephone: 0800 832 526</w:t>
      </w:r>
    </w:p>
    <w:p w14:paraId="5D6D5ACA" w14:textId="77777777" w:rsidR="00D811B9" w:rsidRPr="00DB0600" w:rsidRDefault="00D811B9" w:rsidP="00D811B9">
      <w:pPr>
        <w:tabs>
          <w:tab w:val="left" w:pos="5387"/>
        </w:tabs>
        <w:ind w:right="567"/>
        <w:rPr>
          <w:sz w:val="18"/>
          <w:szCs w:val="18"/>
        </w:rPr>
      </w:pPr>
      <w:r w:rsidRPr="00DB0600">
        <w:rPr>
          <w:sz w:val="18"/>
          <w:szCs w:val="18"/>
        </w:rPr>
        <w:t>Email: com@lawcom.govt.nz</w:t>
      </w:r>
    </w:p>
    <w:p w14:paraId="2C85BC51" w14:textId="77777777" w:rsidR="003817E1" w:rsidRDefault="003817E1" w:rsidP="00FB32D6">
      <w:pPr>
        <w:pStyle w:val="BodyTextnonum"/>
        <w:numPr>
          <w:ilvl w:val="0"/>
          <w:numId w:val="0"/>
        </w:numPr>
        <w:ind w:left="709"/>
        <w:rPr>
          <w:rFonts w:eastAsia="Metropolis Light"/>
        </w:rPr>
      </w:pPr>
    </w:p>
    <w:sectPr w:rsidR="003817E1" w:rsidSect="00583F0D">
      <w:headerReference w:type="even" r:id="rId57"/>
      <w:headerReference w:type="default" r:id="rId58"/>
      <w:footnotePr>
        <w:numRestart w:val="eachSect"/>
      </w:footnotePr>
      <w:pgSz w:w="11907" w:h="16840" w:code="9"/>
      <w:pgMar w:top="1134" w:right="1134" w:bottom="1134" w:left="1701" w:header="499" w:footer="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6074B" w14:textId="77777777" w:rsidR="00B36BBA" w:rsidRDefault="00B36BBA">
      <w:pPr>
        <w:spacing w:after="0" w:line="240" w:lineRule="auto"/>
      </w:pPr>
      <w:r>
        <w:separator/>
      </w:r>
    </w:p>
    <w:p w14:paraId="7AF2859C" w14:textId="77777777" w:rsidR="00B36BBA" w:rsidRDefault="00B36BBA"/>
  </w:endnote>
  <w:endnote w:type="continuationSeparator" w:id="0">
    <w:p w14:paraId="2BE4DFD9" w14:textId="77777777" w:rsidR="00B36BBA" w:rsidRDefault="00B36BBA">
      <w:pPr>
        <w:spacing w:after="0" w:line="240" w:lineRule="auto"/>
      </w:pPr>
      <w:r>
        <w:continuationSeparator/>
      </w:r>
    </w:p>
    <w:p w14:paraId="066C48B9" w14:textId="77777777" w:rsidR="00B36BBA" w:rsidRDefault="00B36BBA"/>
  </w:endnote>
  <w:endnote w:type="continuationNotice" w:id="1">
    <w:p w14:paraId="2EC57B55" w14:textId="77777777" w:rsidR="00B36BBA" w:rsidRDefault="00B36B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47BA10C9-55C0-497C-8F17-7204FA8B173D}"/>
    <w:embedBold r:id="rId2" w:fontKey="{440E7B36-A4AB-4979-9EC6-0D96592E3AC6}"/>
  </w:font>
  <w:font w:name="Arial">
    <w:panose1 w:val="020B0604020202020204"/>
    <w:charset w:val="00"/>
    <w:family w:val="swiss"/>
    <w:pitch w:val="variable"/>
    <w:sig w:usb0="E0002EFF" w:usb1="C000785B" w:usb2="00000009" w:usb3="00000000" w:csb0="000001FF" w:csb1="00000000"/>
  </w:font>
  <w:font w:name="Bookshelf Symbol 7">
    <w:panose1 w:val="05010101010101010101"/>
    <w:charset w:val="02"/>
    <w:family w:val="auto"/>
    <w:pitch w:val="variable"/>
    <w:sig w:usb0="00000000" w:usb1="10000000" w:usb2="00000000" w:usb3="00000000" w:csb0="80000000" w:csb1="00000000"/>
    <w:embedRegular r:id="rId3" w:fontKey="{AD373C07-4AEB-42E2-92E5-033093C19A68}"/>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4" w:fontKey="{8A609792-18DE-4050-A4A2-8DE6736001CC}"/>
    <w:embedBold r:id="rId5" w:fontKey="{C9314258-705B-4CD2-AF2E-AD0BE85EE842}"/>
    <w:embedItalic r:id="rId6" w:fontKey="{F6E053FB-FE2B-4147-A280-CB412F44DBAC}"/>
    <w:embedBoldItalic r:id="rId7" w:fontKey="{D7B78272-B914-442E-B515-F075F5F3864A}"/>
  </w:font>
  <w:font w:name="Cordia New">
    <w:panose1 w:val="020B0304020202020204"/>
    <w:charset w:val="DE"/>
    <w:family w:val="swiss"/>
    <w:pitch w:val="variable"/>
    <w:sig w:usb0="81000003" w:usb1="00000000" w:usb2="00000000" w:usb3="00000000" w:csb0="00010001" w:csb1="00000000"/>
    <w:embedRegular r:id="rId8" w:fontKey="{1194B841-EB8E-4E97-A540-25B2956B0274}"/>
    <w:embedBold r:id="rId9" w:fontKey="{DCC1DCF3-D2AA-4072-BE2B-F0F37D198BB7}"/>
    <w:embedItalic r:id="rId10" w:fontKey="{563164FE-D84A-4FC5-A159-10D2A824F3C3}"/>
    <w:embedBoldItalic r:id="rId11" w:fontKey="{D34CC395-C85A-40EE-A3DF-A18F88D4E150}"/>
  </w:font>
  <w:font w:name="Metropolis Light">
    <w:altName w:val="Calibri"/>
    <w:panose1 w:val="00000500000000000000"/>
    <w:charset w:val="00"/>
    <w:family w:val="modern"/>
    <w:notTrueType/>
    <w:pitch w:val="variable"/>
    <w:sig w:usb0="00000007" w:usb1="00000000" w:usb2="00000000" w:usb3="00000000" w:csb0="00000093" w:csb1="00000000"/>
  </w:font>
  <w:font w:name="Metropolis Black">
    <w:altName w:val="Calibri"/>
    <w:panose1 w:val="00000A00000000000000"/>
    <w:charset w:val="00"/>
    <w:family w:val="modern"/>
    <w:notTrueType/>
    <w:pitch w:val="variable"/>
    <w:sig w:usb0="00000007" w:usb1="00000000" w:usb2="00000000" w:usb3="00000000" w:csb0="00000093" w:csb1="00000000"/>
  </w:font>
  <w:font w:name="Metropolis">
    <w:altName w:val="Calibri"/>
    <w:panose1 w:val="000005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12" w:fontKey="{68CE9493-2DDB-4073-91A5-D95FEC451E1F}"/>
  </w:font>
  <w:font w:name="Angsana New">
    <w:altName w:val="Angsana New"/>
    <w:panose1 w:val="02020603050405020304"/>
    <w:charset w:val="DE"/>
    <w:family w:val="roman"/>
    <w:pitch w:val="variable"/>
    <w:sig w:usb0="81000003" w:usb1="00000000" w:usb2="00000000" w:usb3="00000000" w:csb0="00010001" w:csb1="00000000"/>
    <w:embedRegular r:id="rId13" w:fontKey="{DE6A52F6-C069-4748-84D6-4F2CD98C8A31}"/>
    <w:embedBold r:id="rId14" w:fontKey="{ACDF7513-9B16-4C40-8A14-FB4360D09551}"/>
  </w:font>
  <w:font w:name="Consolas">
    <w:panose1 w:val="020B0609020204030204"/>
    <w:charset w:val="00"/>
    <w:family w:val="modern"/>
    <w:pitch w:val="fixed"/>
    <w:sig w:usb0="E00006FF" w:usb1="0000FCFF" w:usb2="00000001" w:usb3="00000000" w:csb0="0000019F" w:csb1="00000000"/>
    <w:embedRegular r:id="rId15" w:fontKey="{71699629-F17B-4FBD-A9BF-23899173298B}"/>
  </w:font>
  <w:font w:name="SimHei">
    <w:altName w:val="黑体"/>
    <w:panose1 w:val="02010600030101010101"/>
    <w:charset w:val="86"/>
    <w:family w:val="modern"/>
    <w:pitch w:val="fixed"/>
    <w:sig w:usb0="800002BF" w:usb1="38CF7CFA" w:usb2="00000016" w:usb3="00000000" w:csb0="00040001"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embedRegular r:id="rId16" w:fontKey="{1FDC8BFF-8501-4229-A35F-1D9121A12CFF}"/>
  </w:font>
  <w:font w:name="Segoe UI">
    <w:panose1 w:val="020B0502040204020203"/>
    <w:charset w:val="00"/>
    <w:family w:val="swiss"/>
    <w:pitch w:val="variable"/>
    <w:sig w:usb0="E4002EFF" w:usb1="C000E47F" w:usb2="00000009" w:usb3="00000000" w:csb0="000001FF" w:csb1="00000000"/>
    <w:embedRegular r:id="rId17" w:fontKey="{5C2B45D2-A007-4C6F-B0B6-46E6425ED85F}"/>
    <w:embedItalic r:id="rId18" w:fontKey="{AAADC88E-E661-43BE-A3C4-759DBDFD442D}"/>
  </w:font>
  <w:font w:name="Metropolis Extra Bold">
    <w:panose1 w:val="00000900000000000000"/>
    <w:charset w:val="00"/>
    <w:family w:val="modern"/>
    <w:notTrueType/>
    <w:pitch w:val="variable"/>
    <w:sig w:usb0="00000007" w:usb1="00000000" w:usb2="00000000" w:usb3="00000000" w:csb0="00000093" w:csb1="00000000"/>
  </w:font>
  <w:font w:name="Times">
    <w:altName w:val="Sylfaen"/>
    <w:panose1 w:val="02020603050405020304"/>
    <w:charset w:val="00"/>
    <w:family w:val="roman"/>
    <w:pitch w:val="variable"/>
    <w:sig w:usb0="E0002EFF" w:usb1="C000785B" w:usb2="00000009" w:usb3="00000000" w:csb0="000001FF" w:csb1="00000000"/>
    <w:embedRegular r:id="rId19" w:fontKey="{E23C054B-A1AD-48ED-8E79-DC35544A7A84}"/>
    <w:embedBold r:id="rId20" w:fontKey="{A3E8D903-C214-49A1-ADEF-A9B47C55987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embedRegular r:id="rId21" w:fontKey="{B0117C67-6D44-4796-A9F4-B6E5A2B9921D}"/>
  </w:font>
  <w:font w:name="ZWAdobeF">
    <w:panose1 w:val="00000000000000000000"/>
    <w:charset w:val="00"/>
    <w:family w:val="auto"/>
    <w:pitch w:val="variable"/>
    <w:sig w:usb0="20002A87" w:usb1="00000000" w:usb2="00000000" w:usb3="00000000" w:csb0="000001FF" w:csb1="00000000"/>
    <w:embedRegular r:id="rId22" w:fontKey="{2CD02184-F801-4B92-8365-9014E34F326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688D0" w14:textId="77777777" w:rsidR="00B36BBA" w:rsidRDefault="00B36BBA">
      <w:pPr>
        <w:spacing w:after="0" w:line="240" w:lineRule="auto"/>
      </w:pPr>
      <w:r>
        <w:separator/>
      </w:r>
    </w:p>
    <w:p w14:paraId="70BB453D" w14:textId="77777777" w:rsidR="00B36BBA" w:rsidRPr="008804BC" w:rsidRDefault="00B36BBA">
      <w:pPr>
        <w:spacing w:after="0" w:line="240" w:lineRule="auto"/>
        <w:rPr>
          <w:sz w:val="10"/>
          <w:szCs w:val="12"/>
        </w:rPr>
      </w:pPr>
    </w:p>
  </w:footnote>
  <w:footnote w:type="continuationSeparator" w:id="0">
    <w:p w14:paraId="782DC87F" w14:textId="77777777" w:rsidR="00B36BBA" w:rsidRDefault="00B36BBA">
      <w:pPr>
        <w:spacing w:after="0" w:line="240" w:lineRule="auto"/>
      </w:pPr>
      <w:r>
        <w:continuationSeparator/>
      </w:r>
    </w:p>
    <w:p w14:paraId="0F71A9AC" w14:textId="77777777" w:rsidR="00B36BBA" w:rsidRDefault="00B36BBA"/>
  </w:footnote>
  <w:footnote w:type="continuationNotice" w:id="1">
    <w:p w14:paraId="52BC2BA7" w14:textId="77777777" w:rsidR="00B36BBA" w:rsidRDefault="00B36BBA">
      <w:pPr>
        <w:spacing w:after="0" w:line="240" w:lineRule="auto"/>
      </w:pPr>
    </w:p>
  </w:footnote>
  <w:footnote w:id="2">
    <w:p w14:paraId="4F8AB74E" w14:textId="64B9459B" w:rsidR="00F233B8" w:rsidRPr="000E34E3" w:rsidRDefault="00F233B8" w:rsidP="000E34E3">
      <w:pPr>
        <w:pStyle w:val="FootnoteText"/>
      </w:pPr>
      <w:r w:rsidRPr="000E34E3">
        <w:rPr>
          <w:rStyle w:val="FootnoteReference"/>
          <w:vertAlign w:val="baseline"/>
        </w:rPr>
        <w:footnoteRef/>
      </w:r>
      <w:r w:rsidRPr="000E34E3">
        <w:t xml:space="preserve"> </w:t>
      </w:r>
      <w:r w:rsidR="00505E63" w:rsidRPr="000E34E3">
        <w:tab/>
      </w:r>
      <w:r w:rsidRPr="000E34E3">
        <w:t xml:space="preserve">Louise Delany </w:t>
      </w:r>
      <w:r w:rsidRPr="00667CED">
        <w:rPr>
          <w:i/>
          <w:iCs/>
        </w:rPr>
        <w:t>Covid and the Law in Aotearoa New Zealand</w:t>
      </w:r>
      <w:r w:rsidRPr="000E34E3">
        <w:t xml:space="preserve"> (Thomson Reuters, Wellington, 2021).</w:t>
      </w:r>
    </w:p>
  </w:footnote>
  <w:footnote w:id="3">
    <w:p w14:paraId="17A70C12" w14:textId="32B04345" w:rsidR="00F233B8" w:rsidRPr="000E34E3" w:rsidRDefault="00F233B8" w:rsidP="000E34E3">
      <w:pPr>
        <w:pStyle w:val="FootnoteText"/>
      </w:pPr>
      <w:r w:rsidRPr="000E34E3">
        <w:rPr>
          <w:rStyle w:val="FootnoteReference"/>
          <w:vertAlign w:val="baseline"/>
        </w:rPr>
        <w:footnoteRef/>
      </w:r>
      <w:r w:rsidRPr="000E34E3">
        <w:t xml:space="preserve"> </w:t>
      </w:r>
      <w:r w:rsidR="00505E63" w:rsidRPr="000E34E3">
        <w:tab/>
      </w:r>
      <w:r w:rsidRPr="000E34E3">
        <w:t xml:space="preserve">My thanks to Dr Delany for her generosity in sharing early drafts and her insights with me. </w:t>
      </w:r>
    </w:p>
  </w:footnote>
  <w:footnote w:id="4">
    <w:p w14:paraId="7E86D51E" w14:textId="53AE7CB0" w:rsidR="00F233B8" w:rsidRPr="000E34E3" w:rsidRDefault="00F233B8" w:rsidP="000E34E3">
      <w:pPr>
        <w:pStyle w:val="FootnoteText"/>
      </w:pPr>
      <w:r w:rsidRPr="000E34E3">
        <w:rPr>
          <w:rStyle w:val="FootnoteReference"/>
          <w:vertAlign w:val="baseline"/>
        </w:rPr>
        <w:footnoteRef/>
      </w:r>
      <w:r w:rsidRPr="000E34E3">
        <w:t xml:space="preserve"> </w:t>
      </w:r>
      <w:r w:rsidR="00505E63" w:rsidRPr="000E34E3">
        <w:tab/>
      </w:r>
      <w:r w:rsidRPr="000E34E3">
        <w:t xml:space="preserve">See </w:t>
      </w:r>
      <w:r w:rsidRPr="00667CED">
        <w:rPr>
          <w:i/>
          <w:iCs/>
        </w:rPr>
        <w:t>Four Aviation Security Service Employees v Minister of COVID-19 Response</w:t>
      </w:r>
      <w:r w:rsidRPr="000E34E3">
        <w:t xml:space="preserve"> [2021] NZHC 3012; </w:t>
      </w:r>
      <w:r w:rsidRPr="00667CED">
        <w:rPr>
          <w:i/>
          <w:iCs/>
        </w:rPr>
        <w:t>GF v Minister of COVID-19 Response</w:t>
      </w:r>
      <w:r w:rsidRPr="000E34E3">
        <w:t xml:space="preserve"> [2021] NZHC 2526; </w:t>
      </w:r>
      <w:r w:rsidRPr="00667CED">
        <w:rPr>
          <w:i/>
          <w:iCs/>
        </w:rPr>
        <w:t>Four Midwives v Minister for COVID-19 Response</w:t>
      </w:r>
      <w:r w:rsidRPr="000E34E3">
        <w:t xml:space="preserve"> [2021] NZHC 3064 and </w:t>
      </w:r>
      <w:r w:rsidRPr="00667CED">
        <w:rPr>
          <w:i/>
          <w:iCs/>
        </w:rPr>
        <w:t>Yardley v Minister for Workplace Relations and Safety</w:t>
      </w:r>
      <w:r w:rsidRPr="000E34E3">
        <w:t xml:space="preserve"> [2022] NZHC 291.</w:t>
      </w:r>
    </w:p>
  </w:footnote>
  <w:footnote w:id="5">
    <w:p w14:paraId="15AAE426" w14:textId="33D2083C" w:rsidR="00F233B8" w:rsidRPr="00CB7DFA" w:rsidRDefault="00F233B8" w:rsidP="000E34E3">
      <w:pPr>
        <w:pStyle w:val="FootnoteText"/>
        <w:rPr>
          <w:rFonts w:ascii="Verdana" w:hAnsi="Verdana"/>
          <w:color w:val="444444"/>
          <w:sz w:val="16"/>
          <w:szCs w:val="16"/>
          <w:lang w:eastAsia="en-NZ"/>
        </w:rPr>
      </w:pPr>
      <w:r w:rsidRPr="000E34E3">
        <w:rPr>
          <w:rStyle w:val="FootnoteReference"/>
          <w:vertAlign w:val="baseline"/>
        </w:rPr>
        <w:footnoteRef/>
      </w:r>
      <w:r w:rsidRPr="000E34E3">
        <w:t xml:space="preserve"> </w:t>
      </w:r>
      <w:r w:rsidR="00EC23F9" w:rsidRPr="000E34E3">
        <w:tab/>
      </w:r>
      <w:r w:rsidRPr="000E34E3">
        <w:t xml:space="preserve">See </w:t>
      </w:r>
      <w:r w:rsidRPr="00667CED">
        <w:rPr>
          <w:i/>
          <w:iCs/>
        </w:rPr>
        <w:t>Sendai Framework for Disaster Risk Reduction</w:t>
      </w:r>
      <w:r w:rsidRPr="000E34E3">
        <w:t xml:space="preserve"> </w:t>
      </w:r>
      <w:r w:rsidRPr="003E0A36">
        <w:rPr>
          <w:i/>
          <w:iCs/>
        </w:rPr>
        <w:t>2015-2030</w:t>
      </w:r>
      <w:r w:rsidRPr="000E34E3">
        <w:t xml:space="preserve"> GA Res 69/283 (2015).</w:t>
      </w:r>
    </w:p>
  </w:footnote>
  <w:footnote w:id="6">
    <w:p w14:paraId="21705588" w14:textId="5631BD0D" w:rsidR="00414013" w:rsidRDefault="00414013">
      <w:pPr>
        <w:pStyle w:val="FootnoteText"/>
      </w:pPr>
      <w:r>
        <w:rPr>
          <w:rStyle w:val="FootnoteReference"/>
        </w:rPr>
        <w:footnoteRef/>
      </w:r>
      <w:r>
        <w:t xml:space="preserve"> </w:t>
      </w:r>
      <w:r>
        <w:tab/>
      </w:r>
      <w:r w:rsidR="00725C49">
        <w:t xml:space="preserve">Te Aka Matua o te Ture | </w:t>
      </w:r>
      <w:r w:rsidRPr="000E34E3">
        <w:t xml:space="preserve">Law Commission </w:t>
      </w:r>
      <w:r w:rsidRPr="006606F5">
        <w:rPr>
          <w:i/>
          <w:iCs/>
        </w:rPr>
        <w:t>Final Report on Emergencies</w:t>
      </w:r>
      <w:r w:rsidRPr="000E34E3">
        <w:t xml:space="preserve"> (NZLC R22, 1991).</w:t>
      </w:r>
    </w:p>
  </w:footnote>
  <w:footnote w:id="7">
    <w:p w14:paraId="6CD09D99" w14:textId="4C4F82AA" w:rsidR="00484D86" w:rsidRPr="000E34E3" w:rsidRDefault="00484D86" w:rsidP="000E34E3">
      <w:pPr>
        <w:pStyle w:val="FootnoteText"/>
      </w:pPr>
      <w:r w:rsidRPr="000E34E3">
        <w:rPr>
          <w:rStyle w:val="FootnoteReference"/>
          <w:vertAlign w:val="baseline"/>
        </w:rPr>
        <w:footnoteRef/>
      </w:r>
      <w:r w:rsidRPr="000E34E3">
        <w:t xml:space="preserve"> </w:t>
      </w:r>
      <w:r w:rsidR="00CA5B9B" w:rsidRPr="000E34E3">
        <w:tab/>
      </w:r>
      <w:r w:rsidR="00725C49">
        <w:t xml:space="preserve">Te Aka Matua o te Ture | </w:t>
      </w:r>
      <w:r w:rsidR="006D2629" w:rsidRPr="000E34E3">
        <w:t xml:space="preserve">Law Commission </w:t>
      </w:r>
      <w:r w:rsidR="006D2629" w:rsidRPr="006606F5">
        <w:rPr>
          <w:i/>
          <w:iCs/>
        </w:rPr>
        <w:t>Final Report on Emergencies</w:t>
      </w:r>
      <w:r w:rsidR="006D2629" w:rsidRPr="000E34E3">
        <w:t xml:space="preserve"> (NZLC R22, 1991).</w:t>
      </w:r>
    </w:p>
  </w:footnote>
  <w:footnote w:id="8">
    <w:p w14:paraId="1A3AEE18" w14:textId="67F24CE5" w:rsidR="00484D86" w:rsidRPr="000E34E3" w:rsidRDefault="00484D86" w:rsidP="000E34E3">
      <w:pPr>
        <w:pStyle w:val="FootnoteText"/>
      </w:pPr>
      <w:r w:rsidRPr="000E34E3">
        <w:rPr>
          <w:rStyle w:val="FootnoteReference"/>
          <w:vertAlign w:val="baseline"/>
        </w:rPr>
        <w:footnoteRef/>
      </w:r>
      <w:r w:rsidRPr="000E34E3">
        <w:t xml:space="preserve"> </w:t>
      </w:r>
      <w:r w:rsidR="00520808" w:rsidRPr="000E34E3">
        <w:tab/>
      </w:r>
      <w:r w:rsidRPr="000E34E3">
        <w:t xml:space="preserve">See for example </w:t>
      </w:r>
      <w:r w:rsidRPr="00BC58D2">
        <w:rPr>
          <w:i/>
          <w:iCs/>
        </w:rPr>
        <w:t>Brader v Ministry of Transport</w:t>
      </w:r>
      <w:r w:rsidRPr="000E34E3">
        <w:t xml:space="preserve"> [1981] 1 NZLR 73 (CA); </w:t>
      </w:r>
      <w:r w:rsidRPr="00BC58D2">
        <w:rPr>
          <w:i/>
          <w:iCs/>
        </w:rPr>
        <w:t>New Zealand Drivers’ Association v New Zealand Road Carriers</w:t>
      </w:r>
      <w:r w:rsidRPr="000E34E3">
        <w:t xml:space="preserve"> [1982] 1 NZLR 374 (CA)</w:t>
      </w:r>
      <w:r w:rsidR="00C97921">
        <w:t>;</w:t>
      </w:r>
      <w:r w:rsidRPr="000E34E3">
        <w:t xml:space="preserve"> </w:t>
      </w:r>
      <w:r w:rsidRPr="00BC58D2">
        <w:rPr>
          <w:i/>
          <w:iCs/>
        </w:rPr>
        <w:t>and Fraser v State Services Commission</w:t>
      </w:r>
      <w:r w:rsidRPr="000E34E3">
        <w:t xml:space="preserve"> [1984] 1 NZLR 116 (CA). </w:t>
      </w:r>
    </w:p>
  </w:footnote>
  <w:footnote w:id="9">
    <w:p w14:paraId="61CCDDC4" w14:textId="557CC8AE" w:rsidR="00484D86" w:rsidRPr="00706778" w:rsidRDefault="00484D86" w:rsidP="000E34E3">
      <w:pPr>
        <w:pStyle w:val="FootnoteText"/>
      </w:pPr>
      <w:r w:rsidRPr="000E34E3">
        <w:rPr>
          <w:rStyle w:val="FootnoteReference"/>
          <w:vertAlign w:val="baseline"/>
        </w:rPr>
        <w:footnoteRef/>
      </w:r>
      <w:r w:rsidRPr="000E34E3">
        <w:t xml:space="preserve"> </w:t>
      </w:r>
      <w:r w:rsidR="00520808" w:rsidRPr="000E34E3">
        <w:tab/>
      </w:r>
      <w:r w:rsidR="001D032C">
        <w:t xml:space="preserve">Te Aka Matua o te Ture | </w:t>
      </w:r>
      <w:r w:rsidR="001D032C" w:rsidRPr="000E34E3">
        <w:t xml:space="preserve">Law Commission </w:t>
      </w:r>
      <w:r w:rsidR="001D032C" w:rsidRPr="006606F5">
        <w:rPr>
          <w:i/>
          <w:iCs/>
        </w:rPr>
        <w:t>Final Report on Emergencies</w:t>
      </w:r>
      <w:r w:rsidR="001D032C" w:rsidRPr="000E34E3">
        <w:t xml:space="preserve"> (NZLC R22, 1991)</w:t>
      </w:r>
      <w:r w:rsidR="001D032C">
        <w:t xml:space="preserve"> </w:t>
      </w:r>
      <w:r w:rsidR="00960DE7">
        <w:t>a</w:t>
      </w:r>
      <w:r w:rsidR="007115C5">
        <w:t xml:space="preserve">t </w:t>
      </w:r>
      <w:r w:rsidRPr="000E34E3">
        <w:t>1.17 and 1.18.</w:t>
      </w:r>
      <w:r>
        <w:t xml:space="preserve"> </w:t>
      </w:r>
    </w:p>
  </w:footnote>
  <w:footnote w:id="10">
    <w:p w14:paraId="0B649A3F" w14:textId="34C2D3C0" w:rsidR="00484D86" w:rsidRPr="000E34E3" w:rsidRDefault="00484D86" w:rsidP="000E34E3">
      <w:pPr>
        <w:pStyle w:val="FootnoteText"/>
      </w:pPr>
      <w:r w:rsidRPr="000E34E3">
        <w:rPr>
          <w:rStyle w:val="FootnoteReference"/>
          <w:vertAlign w:val="baseline"/>
        </w:rPr>
        <w:footnoteRef/>
      </w:r>
      <w:r w:rsidRPr="000E34E3">
        <w:t xml:space="preserve"> </w:t>
      </w:r>
      <w:r w:rsidR="00031776" w:rsidRPr="000E34E3">
        <w:tab/>
      </w:r>
      <w:r w:rsidRPr="000E34E3">
        <w:t xml:space="preserve">Civil Defence Emergency Management Act 2002, s 67. There are still gaps </w:t>
      </w:r>
      <w:r w:rsidR="004C7B35">
        <w:t>that</w:t>
      </w:r>
      <w:r w:rsidR="004C7B35" w:rsidRPr="000E34E3">
        <w:t xml:space="preserve"> </w:t>
      </w:r>
      <w:r w:rsidRPr="000E34E3">
        <w:t xml:space="preserve">need to be addressed </w:t>
      </w:r>
      <w:r w:rsidR="004C7B35">
        <w:t xml:space="preserve">as </w:t>
      </w:r>
      <w:r w:rsidRPr="000E34E3">
        <w:t xml:space="preserve">discussed in Part </w:t>
      </w:r>
      <w:r w:rsidR="008E19A9">
        <w:t>Three</w:t>
      </w:r>
      <w:r w:rsidRPr="000E34E3">
        <w:t xml:space="preserve">. Most emergencies are local and are subject to different requirements. </w:t>
      </w:r>
    </w:p>
  </w:footnote>
  <w:footnote w:id="11">
    <w:p w14:paraId="2D7E27E6" w14:textId="20E72B41" w:rsidR="00484D86" w:rsidRDefault="00484D86" w:rsidP="000E34E3">
      <w:pPr>
        <w:pStyle w:val="FootnoteText"/>
        <w:rPr>
          <w:lang w:val="en-CA"/>
        </w:rPr>
      </w:pPr>
      <w:r w:rsidRPr="000E34E3">
        <w:rPr>
          <w:rStyle w:val="FootnoteReference"/>
          <w:vertAlign w:val="baseline"/>
        </w:rPr>
        <w:footnoteRef/>
      </w:r>
      <w:r w:rsidRPr="000E34E3">
        <w:t xml:space="preserve"> </w:t>
      </w:r>
      <w:r w:rsidR="00031776" w:rsidRPr="000E34E3">
        <w:tab/>
      </w:r>
      <w:r w:rsidRPr="000E34E3">
        <w:t xml:space="preserve">See </w:t>
      </w:r>
      <w:r w:rsidR="00620885" w:rsidRPr="000E34E3">
        <w:t>generally</w:t>
      </w:r>
      <w:r w:rsidRPr="000E34E3">
        <w:t xml:space="preserve"> the Hurunui/Kaikōura Earthquakes Recovery Act 2016</w:t>
      </w:r>
      <w:r w:rsidR="00C97921">
        <w:t>;</w:t>
      </w:r>
      <w:r w:rsidRPr="000E34E3">
        <w:t xml:space="preserve"> Canterbury Earthquake Recovery Act 2011</w:t>
      </w:r>
      <w:r w:rsidR="00C97921">
        <w:t>;</w:t>
      </w:r>
      <w:r w:rsidRPr="000E34E3">
        <w:t xml:space="preserve"> Canterbury Earthquake Response and Recovery Act 2010 and COVID-19 Public Health Response Act 2020.</w:t>
      </w:r>
      <w:r>
        <w:rPr>
          <w:lang w:val="en-CA"/>
        </w:rPr>
        <w:t xml:space="preserve"> </w:t>
      </w:r>
    </w:p>
  </w:footnote>
  <w:footnote w:id="12">
    <w:p w14:paraId="0D034B79" w14:textId="5C571F94" w:rsidR="00213E80" w:rsidRPr="000E34E3" w:rsidRDefault="00213E80" w:rsidP="000E34E3">
      <w:pPr>
        <w:pStyle w:val="FootnoteText"/>
        <w:rPr>
          <w:rFonts w:eastAsiaTheme="minorHAnsi"/>
        </w:rPr>
      </w:pPr>
      <w:r w:rsidRPr="00E90368">
        <w:footnoteRef/>
      </w:r>
      <w:r w:rsidRPr="000E34E3">
        <w:t xml:space="preserve">     </w:t>
      </w:r>
      <w:r w:rsidRPr="000E34E3">
        <w:tab/>
        <w:t>Te Aka Matua o te Ture | Law Commission is currently undertaking a study of tikanga Māori as a system of ethics and law.</w:t>
      </w:r>
    </w:p>
  </w:footnote>
  <w:footnote w:id="13">
    <w:p w14:paraId="4FBFD11D" w14:textId="5E32BCAE" w:rsidR="005273B6" w:rsidRPr="000E34E3" w:rsidRDefault="005273B6" w:rsidP="000E34E3">
      <w:pPr>
        <w:pStyle w:val="FootnoteText"/>
      </w:pPr>
      <w:r w:rsidRPr="00E90368">
        <w:footnoteRef/>
      </w:r>
      <w:r w:rsidRPr="00E90368">
        <w:t xml:space="preserve"> </w:t>
      </w:r>
      <w:r w:rsidRPr="000E34E3">
        <w:t xml:space="preserve">    </w:t>
      </w:r>
      <w:r w:rsidRPr="000E34E3">
        <w:tab/>
        <w:t xml:space="preserve">Ani Mikaere “The Treaty of Waitangi and Recognition of Tikanga Māori” in Michael Belgrave, Merata Kawharu and David V Williams (eds) </w:t>
      </w:r>
      <w:r w:rsidRPr="00215251">
        <w:rPr>
          <w:i/>
          <w:iCs/>
        </w:rPr>
        <w:t>Waitangi Revisited: Perspectives on the Treaty of Waitangi</w:t>
      </w:r>
      <w:r w:rsidRPr="000E34E3">
        <w:t xml:space="preserve"> (2nd ed, Oxford University Press, Auckland, 2005) 330 at 331 and 334; and Joseph Williams “Lex Aotearoa: An Heroic Attempt to Map the Māori Dimension in Modern New Zealand Law” (2013) 21 Taumauri | Waikato L Rev 1 at 2–5. See also </w:t>
      </w:r>
      <w:r w:rsidRPr="004D7E07">
        <w:rPr>
          <w:i/>
          <w:iCs/>
        </w:rPr>
        <w:t>Trans-Tasman Resources Ltd v Taranaki-Whanganui Conservation Board</w:t>
      </w:r>
      <w:r w:rsidRPr="000E34E3">
        <w:t xml:space="preserve"> [2021] NZSC 127, particularly the reasons given by William Young and Ellen France JJ at [166]–[169], Glazebrook J at [237], Williams J at [297] and Winkelmann CJ at [332].</w:t>
      </w:r>
    </w:p>
  </w:footnote>
  <w:footnote w:id="14">
    <w:p w14:paraId="65DA2733" w14:textId="5F732C7C" w:rsidR="0015075F" w:rsidRPr="000E34E3" w:rsidRDefault="0015075F" w:rsidP="000E34E3">
      <w:pPr>
        <w:pStyle w:val="FootnoteText"/>
      </w:pPr>
      <w:r w:rsidRPr="00E90368">
        <w:footnoteRef/>
      </w:r>
      <w:r w:rsidRPr="00E90368">
        <w:t xml:space="preserve"> </w:t>
      </w:r>
      <w:r w:rsidRPr="000E34E3">
        <w:t xml:space="preserve">    </w:t>
      </w:r>
      <w:r w:rsidRPr="000E34E3">
        <w:tab/>
        <w:t xml:space="preserve">As recognised by te Kōti Mana Nui | Supreme Court in </w:t>
      </w:r>
      <w:r w:rsidRPr="00D056F0">
        <w:rPr>
          <w:i/>
          <w:iCs/>
        </w:rPr>
        <w:t>Takamore v Clarke</w:t>
      </w:r>
      <w:r w:rsidRPr="000E34E3">
        <w:t xml:space="preserve"> [2012] NZSC 116, [2013] 2 NZLR 733 at [94]–[95]</w:t>
      </w:r>
      <w:r w:rsidR="00ED7529">
        <w:t>;</w:t>
      </w:r>
      <w:r w:rsidRPr="000E34E3">
        <w:t xml:space="preserve"> and </w:t>
      </w:r>
      <w:r w:rsidRPr="00D056F0">
        <w:rPr>
          <w:i/>
          <w:iCs/>
        </w:rPr>
        <w:t>Trans-Tasman Resources Ltd v Taranaki-Whanganui Conservation Board</w:t>
      </w:r>
      <w:r w:rsidRPr="000E34E3">
        <w:t xml:space="preserve"> [2021] NZSC 127 at [9] and [169]. In </w:t>
      </w:r>
      <w:r w:rsidRPr="0069776B">
        <w:rPr>
          <w:i/>
          <w:iCs/>
        </w:rPr>
        <w:t>Ellis v R</w:t>
      </w:r>
      <w:r w:rsidRPr="000E34E3">
        <w:t xml:space="preserve"> [2020] NZSC 89, submissions were sought on the application of tikanga on the question of whether the Court has jurisdiction to hear an appeal against conviction after the death of the appellant. The Court issued its judgment allowing the appeal to proceed, but reasons for that decision are to be provided with the judgment on the substantive appeal: at [5]. See also </w:t>
      </w:r>
      <w:r w:rsidRPr="0069776B">
        <w:rPr>
          <w:i/>
          <w:iCs/>
        </w:rPr>
        <w:t>Ngawaka v Ngāti Rehua-Ngātiwai ki Aotea Trust Board (No 2)</w:t>
      </w:r>
      <w:r w:rsidRPr="000E34E3">
        <w:t xml:space="preserve"> [2021] NZHC 291 at [43]–[47] and [58].</w:t>
      </w:r>
    </w:p>
  </w:footnote>
  <w:footnote w:id="15">
    <w:p w14:paraId="2C547AF6" w14:textId="7074EE7E" w:rsidR="0015075F" w:rsidRPr="000E34E3" w:rsidRDefault="0015075F" w:rsidP="000E34E3">
      <w:pPr>
        <w:pStyle w:val="FootnoteText"/>
      </w:pPr>
      <w:r w:rsidRPr="00E90368">
        <w:footnoteRef/>
      </w:r>
      <w:r w:rsidRPr="00E90368">
        <w:t xml:space="preserve"> </w:t>
      </w:r>
      <w:r w:rsidRPr="000E34E3">
        <w:t xml:space="preserve">    </w:t>
      </w:r>
      <w:r w:rsidRPr="000E34E3">
        <w:tab/>
        <w:t>Statutes referencing tikanga include the Oranga Tamariki Act 1989 (see s 2 definitions of “tikanga Māori” and “mana tamaiti (tamariki)”); Resource Management Act 1991; and Taumata Arowai–the Water Services Regulator Act 2020. See also Christian N Whata “Evolution of legal issues facing M</w:t>
      </w:r>
      <w:r w:rsidR="00E33A19">
        <w:t>ā</w:t>
      </w:r>
      <w:r w:rsidRPr="000E34E3">
        <w:t>ori” (paper presented to M</w:t>
      </w:r>
      <w:r w:rsidR="00E33A19">
        <w:t>ā</w:t>
      </w:r>
      <w:r w:rsidRPr="000E34E3">
        <w:t xml:space="preserve">ori Legal Issues Conference, Legal Research Foundation, Auckland, 29 November 2013). </w:t>
      </w:r>
    </w:p>
  </w:footnote>
  <w:footnote w:id="16">
    <w:p w14:paraId="3DA58D47" w14:textId="5F3C8B66" w:rsidR="0015075F" w:rsidRDefault="0015075F" w:rsidP="000E34E3">
      <w:pPr>
        <w:pStyle w:val="FootnoteText"/>
      </w:pPr>
      <w:r w:rsidRPr="00351397">
        <w:footnoteRef/>
      </w:r>
      <w:r w:rsidRPr="00351397">
        <w:t xml:space="preserve"> </w:t>
      </w:r>
      <w:r w:rsidRPr="000E34E3">
        <w:t xml:space="preserve">    </w:t>
      </w:r>
      <w:r w:rsidRPr="000E34E3">
        <w:tab/>
        <w:t>Aotearoa New Zealand affirmed Te Whakapuakitanga o te Rūnanga Whakakotahi i ngā Iwi o te Ao mō ngā Tika o ngā Iwi Taketake | United Nations Declaration on the Rights of Indigenous Peoples GA Res 61/295 (2007) (UNDRIP) in 2010. UNDRIP recognises the importance of protecting the collective rights of indigenous peoples and addresses the rights to self-determination, preservation of culture and institutions, participation in decision</w:t>
      </w:r>
      <w:r w:rsidR="00D451D6">
        <w:t xml:space="preserve"> </w:t>
      </w:r>
      <w:r w:rsidRPr="000E34E3">
        <w:t xml:space="preserve">making and consultation, and rights to lands and resources. As a declaration rather than a convention, UNDRIP does not have legally binding force attached to it in international law. However, UNDRIP is widely viewed as not creating new rights but rather elaborating on internationally recognised human rights as they apply to indigenous peoples and individuals, thus in this way having a binding effect: see Te Rōpū Whakamana i te Tiriti o Waitangi | Waitangi </w:t>
      </w:r>
      <w:r w:rsidRPr="00DE1FC4">
        <w:rPr>
          <w:i/>
          <w:iCs/>
        </w:rPr>
        <w:t>Tribunal Whaia te Mana Motuhake | In Pursuit of Mana Motuhake: Report on the Māori Community Development Act Claim</w:t>
      </w:r>
      <w:r w:rsidRPr="000E34E3">
        <w:t xml:space="preserve"> (Wai 2417, 2015) at 34–35 and 38–44; Te Rōpū Whakamana </w:t>
      </w:r>
      <w:r w:rsidR="006E23F2">
        <w:t>i</w:t>
      </w:r>
      <w:r w:rsidR="00431633">
        <w:t xml:space="preserve"> te Ti</w:t>
      </w:r>
      <w:r w:rsidR="006E23F2">
        <w:t xml:space="preserve">riti o Waitangi </w:t>
      </w:r>
      <w:r w:rsidRPr="000E34E3">
        <w:t xml:space="preserve">| Waitangi Tribunal </w:t>
      </w:r>
      <w:r w:rsidRPr="00190824">
        <w:rPr>
          <w:i/>
          <w:iCs/>
        </w:rPr>
        <w:t>Ko Aotearoa Tēnei: A Report into Claims Concerning New Zealand Law and Policy Affecting M</w:t>
      </w:r>
      <w:r w:rsidR="00E33A19">
        <w:rPr>
          <w:i/>
          <w:iCs/>
        </w:rPr>
        <w:t>ā</w:t>
      </w:r>
      <w:r w:rsidRPr="00190824">
        <w:rPr>
          <w:i/>
          <w:iCs/>
        </w:rPr>
        <w:t>ori Culture and Identity — Te Taumata Tuatahi</w:t>
      </w:r>
      <w:r w:rsidRPr="000E34E3">
        <w:t xml:space="preserve"> (Wai 262, 2011) at 42 and 233–234; and Claire Charters “The UN Declaration on the Rights of Indigenous Peoples in New Zealand Courts: A Case for Cautious Optimism” in </w:t>
      </w:r>
      <w:r w:rsidRPr="003E0A36">
        <w:rPr>
          <w:i/>
          <w:iCs/>
        </w:rPr>
        <w:t>UNDRIP</w:t>
      </w:r>
      <w:r w:rsidRPr="000E34E3">
        <w:t xml:space="preserve"> </w:t>
      </w:r>
      <w:r w:rsidRPr="004A178C">
        <w:rPr>
          <w:i/>
          <w:iCs/>
        </w:rPr>
        <w:t>Implementation: Comparative Approaches, Indigenous Voices from CANZUS — Special Report</w:t>
      </w:r>
      <w:r w:rsidRPr="000E34E3">
        <w:t xml:space="preserve"> (Centre for International Governance Innovation, 2020) 43 at 48–50.</w:t>
      </w:r>
    </w:p>
  </w:footnote>
  <w:footnote w:id="17">
    <w:p w14:paraId="27243F41" w14:textId="51142EEC" w:rsidR="00484D86" w:rsidRPr="000E34E3" w:rsidRDefault="00484D86" w:rsidP="000E34E3">
      <w:pPr>
        <w:pStyle w:val="FootnoteText"/>
      </w:pPr>
      <w:r w:rsidRPr="000E34E3">
        <w:rPr>
          <w:rStyle w:val="FootnoteReference"/>
          <w:vertAlign w:val="baseline"/>
        </w:rPr>
        <w:footnoteRef/>
      </w:r>
      <w:r w:rsidRPr="000E34E3">
        <w:t xml:space="preserve"> </w:t>
      </w:r>
      <w:r w:rsidR="00693681" w:rsidRPr="000E34E3">
        <w:tab/>
      </w:r>
      <w:r w:rsidRPr="000E34E3">
        <w:t>Many have argued that road</w:t>
      </w:r>
      <w:r w:rsidR="00C909A8">
        <w:t xml:space="preserve"> </w:t>
      </w:r>
      <w:r w:rsidRPr="000E34E3">
        <w:t>blocks were an exercise in te tino rangatiratanga</w:t>
      </w:r>
      <w:r w:rsidR="0043489D">
        <w:t>.</w:t>
      </w:r>
      <w:r w:rsidRPr="000E34E3">
        <w:t xml:space="preserve"> I have described these as cooperative arrangements given that both state law and tikanga were being used to preserve health and life and both Māori and state institutions were involved. </w:t>
      </w:r>
    </w:p>
  </w:footnote>
  <w:footnote w:id="18">
    <w:p w14:paraId="349B6673" w14:textId="0E58EA5B" w:rsidR="00484D86" w:rsidRPr="000E34E3" w:rsidRDefault="00484D86" w:rsidP="000E34E3">
      <w:pPr>
        <w:pStyle w:val="FootnoteText"/>
      </w:pPr>
      <w:r w:rsidRPr="000E34E3">
        <w:rPr>
          <w:rStyle w:val="FootnoteReference"/>
          <w:vertAlign w:val="baseline"/>
        </w:rPr>
        <w:footnoteRef/>
      </w:r>
      <w:r w:rsidRPr="000E34E3">
        <w:t xml:space="preserve"> </w:t>
      </w:r>
      <w:r w:rsidR="00693681" w:rsidRPr="000E34E3">
        <w:tab/>
      </w:r>
      <w:r w:rsidRPr="0054124A">
        <w:rPr>
          <w:i/>
          <w:iCs/>
        </w:rPr>
        <w:t>Te Pou Matakana Ltd v Attorney-General</w:t>
      </w:r>
      <w:r w:rsidRPr="000E34E3">
        <w:t xml:space="preserve"> (No 2) [2021] NZHC 3319, [2022] 2 NZLR 178 in relation to Māori health data sharing with Wh</w:t>
      </w:r>
      <w:r w:rsidR="00E33A19">
        <w:t>ā</w:t>
      </w:r>
      <w:r w:rsidRPr="000E34E3">
        <w:t>nau Ora in a pandemic.</w:t>
      </w:r>
    </w:p>
  </w:footnote>
  <w:footnote w:id="19">
    <w:p w14:paraId="48B60858" w14:textId="67876FFA" w:rsidR="00484D86" w:rsidRPr="000E34E3" w:rsidRDefault="00484D86" w:rsidP="000E34E3">
      <w:pPr>
        <w:pStyle w:val="FootnoteText"/>
      </w:pPr>
      <w:r w:rsidRPr="000E34E3">
        <w:rPr>
          <w:rStyle w:val="FootnoteReference"/>
          <w:vertAlign w:val="baseline"/>
        </w:rPr>
        <w:footnoteRef/>
      </w:r>
      <w:r w:rsidRPr="000E34E3">
        <w:t xml:space="preserve"> </w:t>
      </w:r>
      <w:r w:rsidR="00693681" w:rsidRPr="000E34E3">
        <w:tab/>
      </w:r>
      <w:r w:rsidRPr="000E34E3">
        <w:t xml:space="preserve">Edward Durie “Custom Law” (unpublished discussion paper for the Waitangi Tribunal, 1994) at 39. Published online after use in: </w:t>
      </w:r>
      <w:r w:rsidR="0053488F">
        <w:t xml:space="preserve">Te Aka Matua o te Ture | </w:t>
      </w:r>
      <w:r w:rsidRPr="000E34E3">
        <w:t xml:space="preserve">Law Commission </w:t>
      </w:r>
      <w:r w:rsidRPr="0054124A">
        <w:rPr>
          <w:i/>
          <w:iCs/>
        </w:rPr>
        <w:t>Māori Custom and Values in New Zealand Law</w:t>
      </w:r>
      <w:r w:rsidRPr="000E34E3">
        <w:t xml:space="preserve"> (NZLC SP9, 2001). </w:t>
      </w:r>
    </w:p>
  </w:footnote>
  <w:footnote w:id="20">
    <w:p w14:paraId="0A6AE526" w14:textId="5AE5D2FE" w:rsidR="00484D86" w:rsidRPr="000E34E3" w:rsidRDefault="00484D86" w:rsidP="000E34E3">
      <w:pPr>
        <w:pStyle w:val="FootnoteText"/>
      </w:pPr>
      <w:r w:rsidRPr="000E34E3">
        <w:rPr>
          <w:rStyle w:val="FootnoteReference"/>
          <w:vertAlign w:val="baseline"/>
        </w:rPr>
        <w:footnoteRef/>
      </w:r>
      <w:r w:rsidRPr="000E34E3">
        <w:t xml:space="preserve"> </w:t>
      </w:r>
      <w:r w:rsidR="00693681" w:rsidRPr="000E34E3">
        <w:tab/>
      </w:r>
      <w:r w:rsidRPr="000E34E3">
        <w:t>Michael King</w:t>
      </w:r>
      <w:r w:rsidRPr="0054124A">
        <w:rPr>
          <w:i/>
          <w:iCs/>
        </w:rPr>
        <w:t xml:space="preserve"> Te Puea </w:t>
      </w:r>
      <w:r w:rsidRPr="003E0A36">
        <w:t>(Hodder and Stoughton, Auckland)</w:t>
      </w:r>
      <w:r w:rsidRPr="000E34E3">
        <w:t xml:space="preserve"> </w:t>
      </w:r>
      <w:r w:rsidR="00C97921">
        <w:t>at</w:t>
      </w:r>
      <w:r w:rsidR="00C97921" w:rsidRPr="000E34E3">
        <w:t xml:space="preserve"> </w:t>
      </w:r>
      <w:r w:rsidRPr="000E34E3">
        <w:t>72.</w:t>
      </w:r>
    </w:p>
  </w:footnote>
  <w:footnote w:id="21">
    <w:p w14:paraId="41E599BA" w14:textId="17E49D1F" w:rsidR="00484D86" w:rsidRPr="000E34E3" w:rsidRDefault="00484D86" w:rsidP="000E34E3">
      <w:pPr>
        <w:pStyle w:val="FootnoteText"/>
      </w:pPr>
      <w:r w:rsidRPr="000E34E3">
        <w:rPr>
          <w:rStyle w:val="FootnoteReference"/>
          <w:vertAlign w:val="baseline"/>
        </w:rPr>
        <w:footnoteRef/>
      </w:r>
      <w:r w:rsidRPr="000E34E3">
        <w:t xml:space="preserve"> </w:t>
      </w:r>
      <w:r w:rsidR="000A062E" w:rsidRPr="000E34E3">
        <w:tab/>
      </w:r>
      <w:r w:rsidRPr="005F734E">
        <w:rPr>
          <w:i/>
          <w:iCs/>
        </w:rPr>
        <w:t>Te Pou Matakana Ltd</w:t>
      </w:r>
      <w:r w:rsidR="00DB2B56" w:rsidRPr="00DB2B56">
        <w:rPr>
          <w:i/>
          <w:iCs/>
        </w:rPr>
        <w:t xml:space="preserve"> </w:t>
      </w:r>
      <w:r w:rsidR="00DB2B56" w:rsidRPr="0054124A">
        <w:rPr>
          <w:i/>
          <w:iCs/>
        </w:rPr>
        <w:t>v Attorney-General</w:t>
      </w:r>
      <w:r w:rsidR="00DB2B56" w:rsidRPr="000E34E3">
        <w:t xml:space="preserve"> (No 2) [2021] NZHC 3319, [2022] 2 NZLR 178 </w:t>
      </w:r>
      <w:r w:rsidRPr="000E34E3">
        <w:t xml:space="preserve"> at [108]. See also the evidence of Lady Tureiti Haromi Moxon at [110].</w:t>
      </w:r>
    </w:p>
  </w:footnote>
  <w:footnote w:id="22">
    <w:p w14:paraId="204753E2" w14:textId="3DFC6D50" w:rsidR="00484D86" w:rsidRPr="000E34E3" w:rsidRDefault="00484D86" w:rsidP="000E34E3">
      <w:pPr>
        <w:pStyle w:val="FootnoteText"/>
      </w:pPr>
      <w:r w:rsidRPr="000E34E3">
        <w:rPr>
          <w:rStyle w:val="FootnoteReference"/>
          <w:vertAlign w:val="baseline"/>
        </w:rPr>
        <w:footnoteRef/>
      </w:r>
      <w:r w:rsidRPr="000E34E3">
        <w:t xml:space="preserve"> </w:t>
      </w:r>
      <w:r w:rsidR="000A062E" w:rsidRPr="000E34E3">
        <w:tab/>
      </w:r>
      <w:r w:rsidRPr="000E34E3">
        <w:t xml:space="preserve">Sub-national participation in international law processes </w:t>
      </w:r>
      <w:r w:rsidR="00A21E47">
        <w:t>is</w:t>
      </w:r>
      <w:r w:rsidRPr="000E34E3">
        <w:t xml:space="preserve"> evolving.</w:t>
      </w:r>
    </w:p>
  </w:footnote>
  <w:footnote w:id="23">
    <w:p w14:paraId="6B69BA60" w14:textId="391432CE" w:rsidR="00484D86" w:rsidRDefault="00484D86" w:rsidP="000E34E3">
      <w:pPr>
        <w:pStyle w:val="FootnoteText"/>
      </w:pPr>
      <w:r w:rsidRPr="000E34E3">
        <w:rPr>
          <w:rStyle w:val="FootnoteReference"/>
          <w:vertAlign w:val="baseline"/>
        </w:rPr>
        <w:footnoteRef/>
      </w:r>
      <w:r w:rsidRPr="000E34E3">
        <w:t xml:space="preserve"> </w:t>
      </w:r>
      <w:r w:rsidR="000A062E" w:rsidRPr="000E34E3">
        <w:tab/>
      </w:r>
      <w:r w:rsidRPr="000E34E3">
        <w:t>Claire Charters “The Relevance of Te Tiriti o Waitangi in the COVID-19 Era” (2020) 9 MAI Journal 17.</w:t>
      </w:r>
    </w:p>
  </w:footnote>
  <w:footnote w:id="24">
    <w:p w14:paraId="521FD455" w14:textId="771AC95A" w:rsidR="00484D86" w:rsidRPr="000E34E3" w:rsidRDefault="00484D86" w:rsidP="000E34E3">
      <w:pPr>
        <w:pStyle w:val="FootnoteText"/>
      </w:pPr>
      <w:r w:rsidRPr="000E34E3">
        <w:rPr>
          <w:rStyle w:val="FootnoteReference"/>
          <w:vertAlign w:val="baseline"/>
        </w:rPr>
        <w:footnoteRef/>
      </w:r>
      <w:r w:rsidRPr="000E34E3">
        <w:t xml:space="preserve"> </w:t>
      </w:r>
      <w:r w:rsidR="000E34E3">
        <w:tab/>
      </w:r>
      <w:r w:rsidR="0053488F">
        <w:t xml:space="preserve">Te Aka Matua o te Ture | </w:t>
      </w:r>
      <w:r w:rsidRPr="000E34E3">
        <w:t xml:space="preserve">Law Commission </w:t>
      </w:r>
      <w:r w:rsidRPr="00911EA4">
        <w:rPr>
          <w:i/>
          <w:iCs/>
        </w:rPr>
        <w:t>Review of Succession Law: Rights to a person’s property on death</w:t>
      </w:r>
      <w:r w:rsidRPr="000E34E3">
        <w:t xml:space="preserve"> (NZLC IP46, 2021) at 2.33.</w:t>
      </w:r>
    </w:p>
  </w:footnote>
  <w:footnote w:id="25">
    <w:p w14:paraId="2A21AA9B" w14:textId="49EC9C91" w:rsidR="00484D86" w:rsidRPr="000E34E3" w:rsidRDefault="00484D86" w:rsidP="000E34E3">
      <w:pPr>
        <w:pStyle w:val="FootnoteText"/>
      </w:pPr>
      <w:r w:rsidRPr="000E34E3">
        <w:rPr>
          <w:rStyle w:val="FootnoteReference"/>
          <w:vertAlign w:val="baseline"/>
        </w:rPr>
        <w:footnoteRef/>
      </w:r>
      <w:r w:rsidRPr="000E34E3">
        <w:t xml:space="preserve"> </w:t>
      </w:r>
      <w:r w:rsidR="000E34E3">
        <w:tab/>
      </w:r>
      <w:r w:rsidRPr="000E34E3">
        <w:t xml:space="preserve">Waitangi Tribunal </w:t>
      </w:r>
      <w:r w:rsidRPr="00911EA4">
        <w:rPr>
          <w:i/>
          <w:iCs/>
        </w:rPr>
        <w:t>Haumaru: The COVID-19 Priority Report – Pre-publication Version</w:t>
      </w:r>
      <w:r w:rsidRPr="000E34E3">
        <w:t xml:space="preserve"> (Wai 2575, 2021).</w:t>
      </w:r>
    </w:p>
  </w:footnote>
  <w:footnote w:id="26">
    <w:p w14:paraId="689ABB19" w14:textId="027DDCE9" w:rsidR="00484D86" w:rsidRPr="005308DF" w:rsidRDefault="00484D86" w:rsidP="0066716C">
      <w:pPr>
        <w:pStyle w:val="FootnoteText"/>
        <w:rPr>
          <w:rStyle w:val="Hyperlink"/>
          <w:color w:val="404040" w:themeColor="text1" w:themeTint="BF"/>
          <w:u w:val="none"/>
        </w:rPr>
      </w:pPr>
      <w:r w:rsidRPr="000E34E3">
        <w:rPr>
          <w:rStyle w:val="FootnoteReference"/>
          <w:vertAlign w:val="baseline"/>
        </w:rPr>
        <w:footnoteRef/>
      </w:r>
      <w:r w:rsidR="0047263F">
        <w:t xml:space="preserve"> </w:t>
      </w:r>
      <w:r w:rsidR="0047263F">
        <w:tab/>
      </w:r>
      <w:r w:rsidR="006A5C51" w:rsidRPr="00FD4818">
        <w:t xml:space="preserve">Cabinet Paper " Proposed Government response to the Technical Advisory Group’s report </w:t>
      </w:r>
      <w:r w:rsidR="006A5C51" w:rsidRPr="00FD4818">
        <w:rPr>
          <w:i/>
          <w:iCs/>
        </w:rPr>
        <w:t>Better Responses to Natural Disaster and Other Emergencies</w:t>
      </w:r>
      <w:r w:rsidR="006A5C51" w:rsidRPr="00FD4818">
        <w:t>" (30 August 2018) at [52</w:t>
      </w:r>
      <w:r w:rsidRPr="00AF344E">
        <w:t>]</w:t>
      </w:r>
      <w:r w:rsidR="005968A5">
        <w:t xml:space="preserve"> and</w:t>
      </w:r>
      <w:r w:rsidRPr="00AF344E">
        <w:t xml:space="preserve"> [84]; </w:t>
      </w:r>
      <w:r w:rsidR="004B2D72">
        <w:t xml:space="preserve">Cabinet </w:t>
      </w:r>
      <w:r w:rsidR="005F2DB6">
        <w:t>Paper</w:t>
      </w:r>
      <w:r w:rsidR="004B2D72">
        <w:t xml:space="preserve"> "Emergency Management System Reform" GOV-21-SUB-0043 (15 March 2022); Cabinet Minute " Emergency Management System Reform" GOV-21-MIN-0043 (15 March 2022).</w:t>
      </w:r>
    </w:p>
  </w:footnote>
  <w:footnote w:id="27">
    <w:p w14:paraId="1308902B" w14:textId="783AE958" w:rsidR="00484D86" w:rsidRPr="00113234" w:rsidRDefault="00484D86" w:rsidP="00113234">
      <w:pPr>
        <w:pStyle w:val="FootnoteText"/>
      </w:pPr>
      <w:r w:rsidRPr="00113234">
        <w:rPr>
          <w:rStyle w:val="FootnoteReference"/>
          <w:vertAlign w:val="baseline"/>
        </w:rPr>
        <w:footnoteRef/>
      </w:r>
      <w:r w:rsidRPr="00113234">
        <w:t xml:space="preserve"> </w:t>
      </w:r>
      <w:r w:rsidR="009D7D08" w:rsidRPr="00113234">
        <w:tab/>
      </w:r>
      <w:r w:rsidR="00985B83" w:rsidRPr="000E34E3">
        <w:t xml:space="preserve">Waitangi Tribunal </w:t>
      </w:r>
      <w:r w:rsidR="00985B83" w:rsidRPr="00911EA4">
        <w:rPr>
          <w:i/>
          <w:iCs/>
        </w:rPr>
        <w:t>Haumaru: The COVID-19 Priority Report – Pre-publication Version</w:t>
      </w:r>
      <w:r w:rsidR="00985B83" w:rsidRPr="000E34E3">
        <w:t xml:space="preserve"> (Wai 2575, 2021) </w:t>
      </w:r>
      <w:r w:rsidRPr="00113234">
        <w:t>at 59.</w:t>
      </w:r>
    </w:p>
  </w:footnote>
  <w:footnote w:id="28">
    <w:p w14:paraId="4A8F6C2E" w14:textId="0F08CCAC" w:rsidR="00484D86" w:rsidRPr="000E34E3" w:rsidRDefault="00484D86" w:rsidP="000E34E3">
      <w:pPr>
        <w:pStyle w:val="FootnoteText"/>
      </w:pPr>
      <w:r w:rsidRPr="000E34E3">
        <w:rPr>
          <w:rStyle w:val="FootnoteReference"/>
          <w:vertAlign w:val="baseline"/>
        </w:rPr>
        <w:footnoteRef/>
      </w:r>
      <w:r w:rsidRPr="000E34E3">
        <w:t xml:space="preserve"> </w:t>
      </w:r>
      <w:r w:rsidR="009D7D08" w:rsidRPr="000E34E3">
        <w:tab/>
      </w:r>
      <w:r w:rsidRPr="000E34E3">
        <w:t xml:space="preserve">Michael Webster “Government decision making during a crisis: The New Zealand experience during the Covid-19 </w:t>
      </w:r>
      <w:r w:rsidR="00CC3187">
        <w:t>p</w:t>
      </w:r>
      <w:r w:rsidRPr="000E34E3">
        <w:t>andemic” (2021) 17 Policy Quarterly 11 at 11–14.</w:t>
      </w:r>
    </w:p>
  </w:footnote>
  <w:footnote w:id="29">
    <w:p w14:paraId="7B360124" w14:textId="19FB542F" w:rsidR="00484D86" w:rsidRPr="000E34E3" w:rsidRDefault="00484D86" w:rsidP="000E34E3">
      <w:pPr>
        <w:pStyle w:val="FootnoteText"/>
      </w:pPr>
      <w:r w:rsidRPr="000E34E3">
        <w:rPr>
          <w:rStyle w:val="FootnoteReference"/>
          <w:vertAlign w:val="baseline"/>
        </w:rPr>
        <w:footnoteRef/>
      </w:r>
      <w:r w:rsidRPr="000E34E3">
        <w:t xml:space="preserve"> </w:t>
      </w:r>
      <w:r w:rsidR="009D7D08" w:rsidRPr="000E34E3">
        <w:tab/>
      </w:r>
      <w:r w:rsidRPr="000E34E3">
        <w:t>One issue is that such Ministers were not necessarily those in whom statute vested powers to act.</w:t>
      </w:r>
    </w:p>
  </w:footnote>
  <w:footnote w:id="30">
    <w:p w14:paraId="61D6B983" w14:textId="5FA09F2D" w:rsidR="00484D86" w:rsidRPr="000E34E3" w:rsidRDefault="00484D86" w:rsidP="000E34E3">
      <w:pPr>
        <w:pStyle w:val="FootnoteText"/>
      </w:pPr>
      <w:r w:rsidRPr="000E34E3">
        <w:rPr>
          <w:rStyle w:val="FootnoteReference"/>
          <w:vertAlign w:val="baseline"/>
        </w:rPr>
        <w:footnoteRef/>
      </w:r>
      <w:r w:rsidRPr="000E34E3">
        <w:t xml:space="preserve"> </w:t>
      </w:r>
      <w:r w:rsidR="009D7D08" w:rsidRPr="000E34E3">
        <w:tab/>
      </w:r>
      <w:r w:rsidR="00C45608" w:rsidRPr="00FD22E4">
        <w:rPr>
          <w:i/>
          <w:iCs/>
        </w:rPr>
        <w:t>Borrowdale v Director-General of Health</w:t>
      </w:r>
      <w:r w:rsidR="00C45608" w:rsidRPr="00B73372">
        <w:t xml:space="preserve"> [2020] NZHC 2090, [2020] 2 NZLR 864</w:t>
      </w:r>
      <w:r w:rsidR="00C45608">
        <w:t xml:space="preserve"> a</w:t>
      </w:r>
      <w:r w:rsidRPr="000E34E3">
        <w:t>t [147].</w:t>
      </w:r>
    </w:p>
  </w:footnote>
  <w:footnote w:id="31">
    <w:p w14:paraId="0597C51D" w14:textId="30076022" w:rsidR="00484D86" w:rsidRPr="000E34E3" w:rsidRDefault="00484D86" w:rsidP="000E34E3">
      <w:pPr>
        <w:pStyle w:val="FootnoteText"/>
      </w:pPr>
      <w:r w:rsidRPr="000E34E3">
        <w:rPr>
          <w:rStyle w:val="FootnoteReference"/>
          <w:vertAlign w:val="baseline"/>
        </w:rPr>
        <w:footnoteRef/>
      </w:r>
      <w:r w:rsidRPr="000E34E3">
        <w:t xml:space="preserve"> </w:t>
      </w:r>
      <w:r w:rsidR="009D7D08" w:rsidRPr="000E34E3">
        <w:tab/>
      </w:r>
      <w:r w:rsidRPr="000E34E3">
        <w:t>Authorities include the Iwi Chairs Forum, New Zealand Māori Council, National Urban Māori Authority, Federation of Māori Authorities and Māori Women’s Welfare League.</w:t>
      </w:r>
    </w:p>
  </w:footnote>
  <w:footnote w:id="32">
    <w:p w14:paraId="2A7199F1" w14:textId="7F7D973C" w:rsidR="00484D86" w:rsidRPr="000E34E3" w:rsidRDefault="00484D86" w:rsidP="000E34E3">
      <w:pPr>
        <w:pStyle w:val="FootnoteText"/>
      </w:pPr>
      <w:r w:rsidRPr="000E34E3">
        <w:rPr>
          <w:rStyle w:val="FootnoteReference"/>
          <w:vertAlign w:val="baseline"/>
        </w:rPr>
        <w:footnoteRef/>
      </w:r>
      <w:r w:rsidRPr="000E34E3">
        <w:t xml:space="preserve"> </w:t>
      </w:r>
      <w:r w:rsidR="009D7D08" w:rsidRPr="000E34E3">
        <w:tab/>
      </w:r>
      <w:r w:rsidR="00985B83" w:rsidRPr="000E34E3">
        <w:t xml:space="preserve">Waitangi Tribunal </w:t>
      </w:r>
      <w:r w:rsidR="00985B83" w:rsidRPr="00911EA4">
        <w:rPr>
          <w:i/>
          <w:iCs/>
        </w:rPr>
        <w:t>Haumaru: The COVID-19 Priority Report – Pre-publication Version</w:t>
      </w:r>
      <w:r w:rsidR="00985B83" w:rsidRPr="000E34E3">
        <w:t xml:space="preserve"> (Wai 2575, 2021) </w:t>
      </w:r>
      <w:r w:rsidRPr="000E34E3">
        <w:t xml:space="preserve"> at 47.</w:t>
      </w:r>
    </w:p>
  </w:footnote>
  <w:footnote w:id="33">
    <w:p w14:paraId="632B7310" w14:textId="233EDC45" w:rsidR="00484D86" w:rsidRDefault="00484D86" w:rsidP="000E34E3">
      <w:pPr>
        <w:pStyle w:val="FootnoteText"/>
      </w:pPr>
      <w:r w:rsidRPr="000E34E3">
        <w:rPr>
          <w:rStyle w:val="FootnoteReference"/>
          <w:vertAlign w:val="baseline"/>
        </w:rPr>
        <w:footnoteRef/>
      </w:r>
      <w:r w:rsidRPr="000E34E3">
        <w:t xml:space="preserve"> </w:t>
      </w:r>
      <w:r w:rsidR="009D7D08" w:rsidRPr="000E34E3">
        <w:tab/>
      </w:r>
      <w:r w:rsidR="00D323F1" w:rsidRPr="000E34E3">
        <w:t xml:space="preserve">Waitangi Tribunal </w:t>
      </w:r>
      <w:r w:rsidR="00D323F1" w:rsidRPr="00911EA4">
        <w:rPr>
          <w:i/>
          <w:iCs/>
        </w:rPr>
        <w:t>Haumaru: The COVID-19 Priority Report – Pre-publication Version</w:t>
      </w:r>
      <w:r w:rsidR="00D323F1" w:rsidRPr="000E34E3">
        <w:t xml:space="preserve"> (Wai 2575, 2021) [</w:t>
      </w:r>
      <w:r w:rsidRPr="000E34E3">
        <w:t>at 113.</w:t>
      </w:r>
    </w:p>
  </w:footnote>
  <w:footnote w:id="34">
    <w:p w14:paraId="14EA15B7" w14:textId="6A5A22E2" w:rsidR="00484D86" w:rsidRPr="000E34E3" w:rsidRDefault="00484D86" w:rsidP="000E34E3">
      <w:pPr>
        <w:pStyle w:val="FootnoteText"/>
      </w:pPr>
      <w:r w:rsidRPr="000E34E3">
        <w:rPr>
          <w:rStyle w:val="FootnoteReference"/>
          <w:vertAlign w:val="baseline"/>
        </w:rPr>
        <w:footnoteRef/>
      </w:r>
      <w:r w:rsidRPr="000E34E3">
        <w:t xml:space="preserve"> </w:t>
      </w:r>
      <w:r w:rsidR="004B092E" w:rsidRPr="000E34E3">
        <w:tab/>
      </w:r>
      <w:r w:rsidRPr="000E34E3">
        <w:t xml:space="preserve">Mark Walters </w:t>
      </w:r>
      <w:r w:rsidRPr="00B8051C">
        <w:rPr>
          <w:i/>
          <w:iCs/>
        </w:rPr>
        <w:t>AV</w:t>
      </w:r>
      <w:r w:rsidRPr="000E34E3">
        <w:t xml:space="preserve"> </w:t>
      </w:r>
      <w:r w:rsidRPr="00E31656">
        <w:rPr>
          <w:i/>
          <w:iCs/>
        </w:rPr>
        <w:t>Dicey and the Common Law Constitutional Tradition</w:t>
      </w:r>
      <w:r w:rsidRPr="000E34E3">
        <w:t xml:space="preserve"> (Cambridge University Press, Cambridge, 2021). </w:t>
      </w:r>
    </w:p>
  </w:footnote>
  <w:footnote w:id="35">
    <w:p w14:paraId="734FCC58" w14:textId="1EF91FF4" w:rsidR="00484D86" w:rsidRPr="000E34E3" w:rsidRDefault="00484D86" w:rsidP="000E34E3">
      <w:pPr>
        <w:pStyle w:val="FootnoteText"/>
      </w:pPr>
      <w:r w:rsidRPr="000E34E3">
        <w:rPr>
          <w:rStyle w:val="FootnoteReference"/>
          <w:vertAlign w:val="baseline"/>
        </w:rPr>
        <w:footnoteRef/>
      </w:r>
      <w:r w:rsidRPr="000E34E3">
        <w:t xml:space="preserve"> </w:t>
      </w:r>
      <w:r w:rsidR="004B092E" w:rsidRPr="000E34E3">
        <w:tab/>
      </w:r>
      <w:r w:rsidRPr="000E34E3">
        <w:t>New Zealand Bill of Rights Act 1990, s 7.</w:t>
      </w:r>
    </w:p>
  </w:footnote>
  <w:footnote w:id="36">
    <w:p w14:paraId="575F3504" w14:textId="3D95127E" w:rsidR="00484D86" w:rsidRDefault="00484D86" w:rsidP="000E34E3">
      <w:pPr>
        <w:pStyle w:val="FootnoteText"/>
      </w:pPr>
      <w:r w:rsidRPr="000E34E3">
        <w:rPr>
          <w:rStyle w:val="FootnoteReference"/>
          <w:vertAlign w:val="baseline"/>
        </w:rPr>
        <w:footnoteRef/>
      </w:r>
      <w:r w:rsidRPr="000E34E3">
        <w:t xml:space="preserve"> </w:t>
      </w:r>
      <w:r w:rsidR="004B092E" w:rsidRPr="000E34E3">
        <w:tab/>
      </w:r>
      <w:r w:rsidRPr="000E34E3">
        <w:t xml:space="preserve">Claudia Geiringer, Polly Higbee and Elizabeth McLeay </w:t>
      </w:r>
      <w:r w:rsidRPr="00EC104B">
        <w:rPr>
          <w:i/>
          <w:iCs/>
        </w:rPr>
        <w:t>What’s the Hurry? Urgency in the New Zealand Legislative Process 1987–2010</w:t>
      </w:r>
      <w:r w:rsidRPr="000E34E3">
        <w:t xml:space="preserve"> (Victoria University Press, Wellington, 2011).</w:t>
      </w:r>
      <w:r>
        <w:t xml:space="preserve"> </w:t>
      </w:r>
    </w:p>
  </w:footnote>
  <w:footnote w:id="37">
    <w:p w14:paraId="7A81CDC4" w14:textId="736BBDBA" w:rsidR="00484D86" w:rsidRPr="000E34E3" w:rsidRDefault="00484D86" w:rsidP="000E34E3">
      <w:pPr>
        <w:pStyle w:val="FootnoteText"/>
      </w:pPr>
      <w:r w:rsidRPr="000E34E3">
        <w:rPr>
          <w:rStyle w:val="FootnoteReference"/>
          <w:vertAlign w:val="baseline"/>
        </w:rPr>
        <w:footnoteRef/>
      </w:r>
      <w:r w:rsidRPr="000E34E3">
        <w:t xml:space="preserve"> </w:t>
      </w:r>
      <w:r w:rsidR="004B092E" w:rsidRPr="000E34E3">
        <w:tab/>
      </w:r>
      <w:r w:rsidRPr="000E34E3">
        <w:t>Legislation Act 2019, sub-pt 2.</w:t>
      </w:r>
    </w:p>
  </w:footnote>
  <w:footnote w:id="38">
    <w:p w14:paraId="60BFC6F2" w14:textId="7F1C0839" w:rsidR="00484D86" w:rsidRPr="000E34E3" w:rsidRDefault="00484D86" w:rsidP="000E34E3">
      <w:pPr>
        <w:pStyle w:val="FootnoteText"/>
      </w:pPr>
      <w:r w:rsidRPr="000E34E3">
        <w:rPr>
          <w:rStyle w:val="FootnoteReference"/>
          <w:vertAlign w:val="baseline"/>
        </w:rPr>
        <w:footnoteRef/>
      </w:r>
      <w:r w:rsidRPr="000E34E3">
        <w:t xml:space="preserve"> </w:t>
      </w:r>
      <w:r w:rsidR="004B092E" w:rsidRPr="000E34E3">
        <w:tab/>
      </w:r>
      <w:r w:rsidRPr="000E34E3">
        <w:t xml:space="preserve">See for example </w:t>
      </w:r>
      <w:r w:rsidRPr="00E31656">
        <w:rPr>
          <w:i/>
          <w:iCs/>
        </w:rPr>
        <w:t>Four Aviation Security Service Employees v Attorney</w:t>
      </w:r>
      <w:r w:rsidR="008E19A9">
        <w:rPr>
          <w:i/>
          <w:iCs/>
        </w:rPr>
        <w:t>-</w:t>
      </w:r>
      <w:r w:rsidRPr="00E31656">
        <w:rPr>
          <w:i/>
          <w:iCs/>
        </w:rPr>
        <w:t>General</w:t>
      </w:r>
      <w:r w:rsidRPr="000E34E3">
        <w:t xml:space="preserve"> [2021] NZHC 3012 at [129], where Cooke J expressed surprise that vaccination mandates were not addressed in primary legislation. The COVID-19 Response (Vaccinations) Legislation Act 2021 was subsequently enacted in November 202</w:t>
      </w:r>
      <w:r w:rsidR="00014E24">
        <w:t>1</w:t>
      </w:r>
      <w:r w:rsidRPr="000E34E3">
        <w:t xml:space="preserve">. </w:t>
      </w:r>
    </w:p>
  </w:footnote>
  <w:footnote w:id="39">
    <w:p w14:paraId="38401DBD" w14:textId="360D3363" w:rsidR="00484D86" w:rsidRPr="000E34E3" w:rsidRDefault="00484D86" w:rsidP="000E34E3">
      <w:pPr>
        <w:pStyle w:val="FootnoteText"/>
      </w:pPr>
      <w:r w:rsidRPr="000E34E3">
        <w:rPr>
          <w:rStyle w:val="FootnoteReference"/>
          <w:vertAlign w:val="baseline"/>
        </w:rPr>
        <w:footnoteRef/>
      </w:r>
      <w:r w:rsidRPr="000E34E3">
        <w:t xml:space="preserve"> </w:t>
      </w:r>
      <w:r w:rsidR="004B092E" w:rsidRPr="000E34E3">
        <w:tab/>
      </w:r>
      <w:r w:rsidRPr="000E34E3">
        <w:t xml:space="preserve">Civil Defence Emergency Management Act 2002, s 67. </w:t>
      </w:r>
    </w:p>
  </w:footnote>
  <w:footnote w:id="40">
    <w:p w14:paraId="0EC19DC0" w14:textId="337925CC" w:rsidR="00484D86" w:rsidRPr="000E34E3" w:rsidRDefault="00484D86" w:rsidP="000E34E3">
      <w:pPr>
        <w:pStyle w:val="FootnoteText"/>
      </w:pPr>
      <w:r w:rsidRPr="000E34E3">
        <w:rPr>
          <w:rStyle w:val="FootnoteReference"/>
          <w:vertAlign w:val="baseline"/>
        </w:rPr>
        <w:footnoteRef/>
      </w:r>
      <w:r w:rsidRPr="000E34E3">
        <w:t xml:space="preserve"> </w:t>
      </w:r>
      <w:r w:rsidR="004B092E" w:rsidRPr="000E34E3">
        <w:tab/>
      </w:r>
      <w:r w:rsidRPr="000E34E3">
        <w:t>Section 67(3)(a)(ii).</w:t>
      </w:r>
    </w:p>
  </w:footnote>
  <w:footnote w:id="41">
    <w:p w14:paraId="34CD8A2B" w14:textId="28745EF7" w:rsidR="00484D86" w:rsidRPr="000E34E3" w:rsidRDefault="00484D86" w:rsidP="000E34E3">
      <w:pPr>
        <w:pStyle w:val="FootnoteText"/>
      </w:pPr>
      <w:r w:rsidRPr="000E34E3">
        <w:rPr>
          <w:rStyle w:val="FootnoteReference"/>
          <w:vertAlign w:val="baseline"/>
        </w:rPr>
        <w:footnoteRef/>
      </w:r>
      <w:r w:rsidRPr="000E34E3">
        <w:t xml:space="preserve"> </w:t>
      </w:r>
      <w:r w:rsidR="00D96AAA" w:rsidRPr="000E34E3">
        <w:tab/>
      </w:r>
      <w:r w:rsidRPr="000E34E3">
        <w:t xml:space="preserve">Section 18(1A). </w:t>
      </w:r>
    </w:p>
  </w:footnote>
  <w:footnote w:id="42">
    <w:p w14:paraId="4C3A6F08" w14:textId="136BFBEE" w:rsidR="00484D86" w:rsidRPr="000E34E3" w:rsidRDefault="00484D86" w:rsidP="000E34E3">
      <w:pPr>
        <w:pStyle w:val="FootnoteText"/>
      </w:pPr>
      <w:r w:rsidRPr="000E34E3">
        <w:rPr>
          <w:rStyle w:val="FootnoteReference"/>
          <w:vertAlign w:val="baseline"/>
        </w:rPr>
        <w:footnoteRef/>
      </w:r>
      <w:r w:rsidRPr="000E34E3">
        <w:t xml:space="preserve"> </w:t>
      </w:r>
      <w:r w:rsidR="00D96AAA" w:rsidRPr="000E34E3">
        <w:tab/>
      </w:r>
      <w:r w:rsidRPr="000E34E3">
        <w:t>25 March 2020.</w:t>
      </w:r>
    </w:p>
  </w:footnote>
  <w:footnote w:id="43">
    <w:p w14:paraId="78C276D2" w14:textId="25960D47" w:rsidR="00484D86" w:rsidRPr="000E34E3" w:rsidRDefault="00484D86" w:rsidP="000E34E3">
      <w:pPr>
        <w:pStyle w:val="FootnoteText"/>
      </w:pPr>
      <w:r w:rsidRPr="000E34E3">
        <w:rPr>
          <w:rStyle w:val="FootnoteReference"/>
          <w:vertAlign w:val="baseline"/>
        </w:rPr>
        <w:footnoteRef/>
      </w:r>
      <w:r w:rsidRPr="000E34E3">
        <w:t xml:space="preserve"> </w:t>
      </w:r>
      <w:r w:rsidR="00D96AAA" w:rsidRPr="000E34E3">
        <w:tab/>
      </w:r>
      <w:r w:rsidRPr="000E34E3">
        <w:t xml:space="preserve">Graeme Edgeler and Andrew Geddis </w:t>
      </w:r>
      <w:r w:rsidR="00D91617">
        <w:t>“</w:t>
      </w:r>
      <w:r w:rsidRPr="000E34E3">
        <w:t>The powerless(ness) of New Zealand</w:t>
      </w:r>
      <w:r w:rsidR="00D91617">
        <w:t>’</w:t>
      </w:r>
      <w:r w:rsidRPr="000E34E3">
        <w:t>s House of Representatives to summons the Crown</w:t>
      </w:r>
      <w:r w:rsidR="00D91617">
        <w:t>’</w:t>
      </w:r>
      <w:r w:rsidRPr="000E34E3">
        <w:t>s legal advice</w:t>
      </w:r>
      <w:r w:rsidR="00D91617">
        <w:t>”</w:t>
      </w:r>
      <w:r w:rsidRPr="000E34E3">
        <w:t xml:space="preserve"> (2020) 31 PLR 229; and Jelena Gligorijević “Government Accountability for the Lawfulness of Lockdown: New Zealand Parliamentary Scrutiny and Privileged Legal Advice” (11 May 2020) UK Constitutional Law Blog &lt;ukconstitutionallaw.org&gt;.</w:t>
      </w:r>
    </w:p>
  </w:footnote>
  <w:footnote w:id="44">
    <w:p w14:paraId="57554C3A" w14:textId="066DF59C" w:rsidR="00484D86" w:rsidRPr="001E6604" w:rsidRDefault="00484D86" w:rsidP="000E34E3">
      <w:pPr>
        <w:pStyle w:val="FootnoteText"/>
      </w:pPr>
      <w:r w:rsidRPr="000E34E3">
        <w:rPr>
          <w:rStyle w:val="FootnoteReference"/>
          <w:vertAlign w:val="baseline"/>
        </w:rPr>
        <w:footnoteRef/>
      </w:r>
      <w:r w:rsidRPr="000E34E3">
        <w:t xml:space="preserve"> </w:t>
      </w:r>
      <w:r w:rsidR="00D96AAA" w:rsidRPr="000E34E3">
        <w:tab/>
      </w:r>
      <w:r w:rsidRPr="000E34E3">
        <w:t xml:space="preserve">Cabinet </w:t>
      </w:r>
      <w:r w:rsidR="007F1C3F">
        <w:t xml:space="preserve">Office </w:t>
      </w:r>
      <w:r w:rsidRPr="00B8051C">
        <w:rPr>
          <w:i/>
          <w:iCs/>
        </w:rPr>
        <w:t xml:space="preserve">Cabinet Manual </w:t>
      </w:r>
      <w:r w:rsidR="007F1C3F" w:rsidRPr="00B8051C">
        <w:rPr>
          <w:i/>
          <w:iCs/>
        </w:rPr>
        <w:t>2017</w:t>
      </w:r>
      <w:r w:rsidRPr="000E34E3">
        <w:t xml:space="preserve"> </w:t>
      </w:r>
      <w:r w:rsidR="00463A13">
        <w:t>at [</w:t>
      </w:r>
      <w:r w:rsidRPr="000E34E3">
        <w:t>6.67</w:t>
      </w:r>
      <w:r w:rsidR="00463A13">
        <w:t>]</w:t>
      </w:r>
      <w:r w:rsidRPr="000E34E3">
        <w:t>.</w:t>
      </w:r>
    </w:p>
  </w:footnote>
  <w:footnote w:id="45">
    <w:p w14:paraId="7E5A234F" w14:textId="6C3729B2" w:rsidR="00484D86" w:rsidRPr="000E34E3" w:rsidRDefault="00484D86" w:rsidP="000E34E3">
      <w:pPr>
        <w:pStyle w:val="FootnoteText"/>
      </w:pPr>
      <w:r w:rsidRPr="000E34E3">
        <w:rPr>
          <w:rStyle w:val="FootnoteReference"/>
          <w:vertAlign w:val="baseline"/>
        </w:rPr>
        <w:footnoteRef/>
      </w:r>
      <w:r w:rsidRPr="000E34E3">
        <w:t xml:space="preserve"> </w:t>
      </w:r>
      <w:r w:rsidR="000B1749" w:rsidRPr="000E34E3">
        <w:tab/>
      </w:r>
      <w:r w:rsidRPr="000E34E3">
        <w:t>(5 December 2006) 636 NZPD 6900 (Epidemic Preparedness Bill – Second Reading, Shane Ardern).</w:t>
      </w:r>
    </w:p>
  </w:footnote>
  <w:footnote w:id="46">
    <w:p w14:paraId="63099086" w14:textId="08881EBC" w:rsidR="00484D86" w:rsidRPr="000E34E3" w:rsidRDefault="00484D86" w:rsidP="000E34E3">
      <w:pPr>
        <w:pStyle w:val="FootnoteText"/>
      </w:pPr>
      <w:r w:rsidRPr="000E34E3">
        <w:rPr>
          <w:rStyle w:val="FootnoteReference"/>
          <w:vertAlign w:val="baseline"/>
        </w:rPr>
        <w:footnoteRef/>
      </w:r>
      <w:r w:rsidRPr="000E34E3">
        <w:t xml:space="preserve"> </w:t>
      </w:r>
      <w:r w:rsidR="000B1749" w:rsidRPr="000E34E3">
        <w:tab/>
      </w:r>
      <w:r w:rsidRPr="000E34E3">
        <w:t>At the time of the outbreak of the 2020 pandemic</w:t>
      </w:r>
      <w:r w:rsidR="00A20274">
        <w:t>,</w:t>
      </w:r>
      <w:r w:rsidRPr="000E34E3">
        <w:t xml:space="preserve"> there was already a three</w:t>
      </w:r>
      <w:r w:rsidR="00A20274">
        <w:t>-</w:t>
      </w:r>
      <w:r w:rsidRPr="000E34E3">
        <w:t>party government.</w:t>
      </w:r>
    </w:p>
  </w:footnote>
  <w:footnote w:id="47">
    <w:p w14:paraId="00FA4438" w14:textId="237A45FC" w:rsidR="00484D86" w:rsidRPr="000E34E3" w:rsidRDefault="00484D86" w:rsidP="000E34E3">
      <w:pPr>
        <w:pStyle w:val="FootnoteText"/>
      </w:pPr>
      <w:r w:rsidRPr="000E34E3">
        <w:rPr>
          <w:rStyle w:val="FootnoteReference"/>
          <w:vertAlign w:val="baseline"/>
        </w:rPr>
        <w:footnoteRef/>
      </w:r>
      <w:r w:rsidRPr="000E34E3">
        <w:t xml:space="preserve"> </w:t>
      </w:r>
      <w:r w:rsidR="000B1749" w:rsidRPr="000E34E3">
        <w:tab/>
      </w:r>
      <w:r w:rsidRPr="000E34E3">
        <w:t>This was the most severe of the initial lockdown categories, before the introduction of a new “traffic light system”.</w:t>
      </w:r>
    </w:p>
  </w:footnote>
  <w:footnote w:id="48">
    <w:p w14:paraId="1C17BC29" w14:textId="1DA8E5D8" w:rsidR="00484D86" w:rsidRDefault="00484D86" w:rsidP="000E34E3">
      <w:pPr>
        <w:pStyle w:val="FootnoteText"/>
      </w:pPr>
      <w:r w:rsidRPr="000E34E3">
        <w:rPr>
          <w:rStyle w:val="FootnoteReference"/>
          <w:vertAlign w:val="baseline"/>
        </w:rPr>
        <w:footnoteRef/>
      </w:r>
      <w:r w:rsidRPr="000E34E3">
        <w:t xml:space="preserve"> </w:t>
      </w:r>
      <w:r w:rsidR="000B1749" w:rsidRPr="000E34E3">
        <w:tab/>
      </w:r>
      <w:r w:rsidRPr="000E34E3">
        <w:t>28 October 2021.</w:t>
      </w:r>
    </w:p>
  </w:footnote>
  <w:footnote w:id="49">
    <w:p w14:paraId="559A43FD" w14:textId="73863FDF" w:rsidR="00484D86" w:rsidRPr="000E34E3" w:rsidRDefault="00484D86" w:rsidP="000E34E3">
      <w:pPr>
        <w:pStyle w:val="FootnoteText"/>
      </w:pPr>
      <w:r w:rsidRPr="000E34E3">
        <w:rPr>
          <w:rStyle w:val="FootnoteReference"/>
          <w:vertAlign w:val="baseline"/>
        </w:rPr>
        <w:footnoteRef/>
      </w:r>
      <w:r w:rsidRPr="000E34E3">
        <w:t xml:space="preserve"> </w:t>
      </w:r>
      <w:r w:rsidR="000B1749" w:rsidRPr="000E34E3">
        <w:tab/>
      </w:r>
      <w:r w:rsidRPr="000E34E3">
        <w:t>Legislation Act 2019, pt 3.</w:t>
      </w:r>
    </w:p>
  </w:footnote>
  <w:footnote w:id="50">
    <w:p w14:paraId="1A2F371D" w14:textId="68A3E0B0" w:rsidR="00484D86" w:rsidRPr="000E34E3" w:rsidRDefault="00484D86" w:rsidP="000E34E3">
      <w:pPr>
        <w:pStyle w:val="FootnoteText"/>
      </w:pPr>
      <w:r w:rsidRPr="000E34E3">
        <w:rPr>
          <w:rStyle w:val="FootnoteReference"/>
          <w:vertAlign w:val="baseline"/>
        </w:rPr>
        <w:footnoteRef/>
      </w:r>
      <w:r w:rsidRPr="000E34E3">
        <w:t xml:space="preserve"> </w:t>
      </w:r>
      <w:r w:rsidR="000B1749" w:rsidRPr="000E34E3">
        <w:tab/>
      </w:r>
      <w:r w:rsidRPr="000E34E3">
        <w:t>When Parliament was able to meet immediately after the initial lockdown, it passed 14 explicitly C</w:t>
      </w:r>
      <w:r w:rsidR="00CC3187">
        <w:t>OVID</w:t>
      </w:r>
      <w:r w:rsidRPr="000E34E3">
        <w:t>-19</w:t>
      </w:r>
      <w:r w:rsidR="009345BD">
        <w:t>-</w:t>
      </w:r>
      <w:r w:rsidRPr="000E34E3">
        <w:t xml:space="preserve">related </w:t>
      </w:r>
      <w:r w:rsidR="009345BD">
        <w:t>B</w:t>
      </w:r>
      <w:r w:rsidRPr="000E34E3">
        <w:t xml:space="preserve">ills and considered 51 </w:t>
      </w:r>
      <w:r w:rsidR="009345BD">
        <w:t>B</w:t>
      </w:r>
      <w:r w:rsidRPr="000E34E3">
        <w:t xml:space="preserve">ills under urgency, </w:t>
      </w:r>
      <w:r w:rsidR="009345BD">
        <w:t>nine</w:t>
      </w:r>
      <w:r w:rsidRPr="000E34E3">
        <w:t xml:space="preserve"> of which bypassed the select committee stage. Three of the C</w:t>
      </w:r>
      <w:r w:rsidR="00CC3187">
        <w:t>OVID</w:t>
      </w:r>
      <w:r w:rsidRPr="000E34E3">
        <w:t>-</w:t>
      </w:r>
      <w:r w:rsidR="009345BD">
        <w:t>19-</w:t>
      </w:r>
      <w:r w:rsidRPr="000E34E3">
        <w:t xml:space="preserve">related </w:t>
      </w:r>
      <w:r w:rsidR="00CC3187">
        <w:t>B</w:t>
      </w:r>
      <w:r w:rsidRPr="000E34E3">
        <w:t>ills were passed under a special process by leave of the House without invoking urgency. The most significant of the enactments was the C</w:t>
      </w:r>
      <w:r w:rsidR="00CC3187">
        <w:t>OVID</w:t>
      </w:r>
      <w:r w:rsidRPr="000E34E3">
        <w:t>-19 Public Health Response Act 2020</w:t>
      </w:r>
      <w:r w:rsidR="009345BD">
        <w:t>,</w:t>
      </w:r>
      <w:r w:rsidRPr="000E34E3">
        <w:t xml:space="preserve"> which was passed without prior select committee scrutiny. In a novel process, after its passage, the Act was sent to the Finance and Expenditure Committee on the government’s motion and a short time was allowed for review. See for a full discussion Gabor Hellyer “Assessing Parliament’s Response to the Covid-19 Pandemic” (2021) 17 Policy Quarterly 20 at 21–22. </w:t>
      </w:r>
    </w:p>
  </w:footnote>
  <w:footnote w:id="51">
    <w:p w14:paraId="20620870" w14:textId="78247E01" w:rsidR="00484D86" w:rsidRDefault="00484D86" w:rsidP="000E34E3">
      <w:pPr>
        <w:pStyle w:val="FootnoteText"/>
      </w:pPr>
      <w:r w:rsidRPr="000E34E3">
        <w:rPr>
          <w:rStyle w:val="FootnoteReference"/>
          <w:vertAlign w:val="baseline"/>
        </w:rPr>
        <w:footnoteRef/>
      </w:r>
      <w:r w:rsidRPr="000E34E3">
        <w:t xml:space="preserve"> </w:t>
      </w:r>
      <w:r w:rsidR="000B1749" w:rsidRPr="000E34E3">
        <w:tab/>
      </w:r>
      <w:r w:rsidRPr="000E34E3">
        <w:t>Some argue the presumption limits “unreasonable” restrictions</w:t>
      </w:r>
      <w:r w:rsidR="00B37A02">
        <w:t>:</w:t>
      </w:r>
      <w:r w:rsidRPr="000E34E3">
        <w:t xml:space="preserve"> see Hanna Wilberg “Interpreting pandemic powers: qualifications to the principle of legality” (2020) 31 PLR 384; </w:t>
      </w:r>
      <w:r w:rsidRPr="00CC3ADC">
        <w:rPr>
          <w:i/>
          <w:iCs/>
        </w:rPr>
        <w:t>R</w:t>
      </w:r>
      <w:r w:rsidRPr="000E34E3">
        <w:t xml:space="preserve"> </w:t>
      </w:r>
      <w:r w:rsidRPr="00225635">
        <w:rPr>
          <w:i/>
          <w:iCs/>
        </w:rPr>
        <w:t>(on the application of UNISON) v Lord Chancellor</w:t>
      </w:r>
      <w:r w:rsidRPr="000E34E3">
        <w:t xml:space="preserve"> [2017] UKSC 51.</w:t>
      </w:r>
    </w:p>
  </w:footnote>
  <w:footnote w:id="52">
    <w:p w14:paraId="6BEA6D4D" w14:textId="06FCBAF4" w:rsidR="00484D86" w:rsidRPr="00B73372" w:rsidRDefault="00484D86" w:rsidP="00B73372">
      <w:pPr>
        <w:pStyle w:val="FootnoteText"/>
      </w:pPr>
      <w:r w:rsidRPr="00B73372">
        <w:rPr>
          <w:rStyle w:val="FootnoteReference"/>
          <w:vertAlign w:val="baseline"/>
        </w:rPr>
        <w:footnoteRef/>
      </w:r>
      <w:r w:rsidRPr="00B73372">
        <w:t xml:space="preserve"> </w:t>
      </w:r>
      <w:r w:rsidR="00827224" w:rsidRPr="00B73372">
        <w:tab/>
      </w:r>
      <w:r w:rsidRPr="00FD22E4">
        <w:rPr>
          <w:i/>
          <w:iCs/>
        </w:rPr>
        <w:t>Borrowdale v Director-General of Health</w:t>
      </w:r>
      <w:r w:rsidRPr="00B73372">
        <w:t xml:space="preserve"> [2020] NZHC 2090, [2020] 2 NZLR 864.</w:t>
      </w:r>
    </w:p>
  </w:footnote>
  <w:footnote w:id="53">
    <w:p w14:paraId="1B702128" w14:textId="1CE11989" w:rsidR="00484D86" w:rsidRPr="00B73372" w:rsidRDefault="00484D86" w:rsidP="00B73372">
      <w:pPr>
        <w:pStyle w:val="FootnoteText"/>
      </w:pPr>
      <w:r w:rsidRPr="00B73372">
        <w:rPr>
          <w:rStyle w:val="FootnoteReference"/>
          <w:vertAlign w:val="baseline"/>
        </w:rPr>
        <w:footnoteRef/>
      </w:r>
      <w:r w:rsidRPr="00B73372">
        <w:t xml:space="preserve"> </w:t>
      </w:r>
      <w:r w:rsidR="00827224" w:rsidRPr="00B73372">
        <w:tab/>
      </w:r>
      <w:r w:rsidRPr="00FD22E4">
        <w:rPr>
          <w:i/>
          <w:iCs/>
        </w:rPr>
        <w:t>Borrowdale</w:t>
      </w:r>
      <w:r w:rsidR="00985B83" w:rsidRPr="00FD22E4">
        <w:rPr>
          <w:i/>
          <w:iCs/>
        </w:rPr>
        <w:t xml:space="preserve"> v Director-General of Health</w:t>
      </w:r>
      <w:r w:rsidR="00985B83" w:rsidRPr="00B73372">
        <w:t xml:space="preserve"> [2020] NZHC 2090, [2020] 2 NZLR 864</w:t>
      </w:r>
      <w:r w:rsidRPr="00B73372">
        <w:t>. The High Court’s finding that</w:t>
      </w:r>
      <w:r w:rsidR="00B37A02">
        <w:t>,</w:t>
      </w:r>
      <w:r w:rsidRPr="00B73372">
        <w:t xml:space="preserve"> in the first 9 days of the initial lockdown, certain of the government’s restrictions on rights protected by the </w:t>
      </w:r>
      <w:r w:rsidR="009D20E6" w:rsidRPr="001F497A">
        <w:t>N</w:t>
      </w:r>
      <w:r w:rsidR="009D20E6">
        <w:t xml:space="preserve">ew </w:t>
      </w:r>
      <w:r w:rsidR="009D20E6" w:rsidRPr="001F497A">
        <w:t>Z</w:t>
      </w:r>
      <w:r w:rsidR="009D20E6">
        <w:t>ealand</w:t>
      </w:r>
      <w:r w:rsidR="009D20E6" w:rsidRPr="001F497A">
        <w:t xml:space="preserve"> Bill of Rights Act </w:t>
      </w:r>
      <w:r w:rsidRPr="00B73372">
        <w:t xml:space="preserve">were reasonable but not prescribed by law was not the subject of a cross-appeal by the Crown in </w:t>
      </w:r>
      <w:r w:rsidRPr="00FD22E4">
        <w:rPr>
          <w:i/>
          <w:iCs/>
        </w:rPr>
        <w:t>Borrowdale v Director-General of Health</w:t>
      </w:r>
      <w:r w:rsidRPr="00B73372">
        <w:t xml:space="preserve"> [2021] NZCA 520.</w:t>
      </w:r>
    </w:p>
  </w:footnote>
  <w:footnote w:id="54">
    <w:p w14:paraId="37B4AA83" w14:textId="029D62AF" w:rsidR="00484D86" w:rsidRPr="00B73372" w:rsidRDefault="00484D86" w:rsidP="00B73372">
      <w:pPr>
        <w:pStyle w:val="FootnoteText"/>
      </w:pPr>
      <w:r w:rsidRPr="00B73372">
        <w:rPr>
          <w:rStyle w:val="FootnoteReference"/>
          <w:vertAlign w:val="baseline"/>
        </w:rPr>
        <w:footnoteRef/>
      </w:r>
      <w:r w:rsidRPr="00B73372">
        <w:t xml:space="preserve"> </w:t>
      </w:r>
      <w:r w:rsidR="00827224" w:rsidRPr="00B73372">
        <w:tab/>
      </w:r>
      <w:r w:rsidRPr="00CC3ADC">
        <w:t>International Covenant on Economic, Social and Cultural Rights</w:t>
      </w:r>
      <w:r w:rsidRPr="00B73372">
        <w:t xml:space="preserve"> GA Res 2200A (</w:t>
      </w:r>
      <w:r w:rsidR="00CD438E">
        <w:t xml:space="preserve">adopted 16 December </w:t>
      </w:r>
      <w:r w:rsidRPr="00B73372">
        <w:t>1966</w:t>
      </w:r>
      <w:r w:rsidR="00CD438E">
        <w:t xml:space="preserve">, </w:t>
      </w:r>
      <w:r w:rsidR="000647EA">
        <w:t xml:space="preserve">entered into force </w:t>
      </w:r>
      <w:r w:rsidR="00CD438E">
        <w:t xml:space="preserve">3 January </w:t>
      </w:r>
      <w:r w:rsidRPr="00B73372">
        <w:t>19</w:t>
      </w:r>
      <w:r w:rsidR="00CD438E">
        <w:t>7</w:t>
      </w:r>
      <w:r w:rsidRPr="00B73372">
        <w:t>6), art 12.2(c).</w:t>
      </w:r>
    </w:p>
  </w:footnote>
  <w:footnote w:id="55">
    <w:p w14:paraId="28FE3929" w14:textId="6ADF72BE" w:rsidR="00484D86" w:rsidRPr="00B73372" w:rsidRDefault="00484D86" w:rsidP="00B73372">
      <w:pPr>
        <w:pStyle w:val="FootnoteText"/>
      </w:pPr>
      <w:r w:rsidRPr="00B73372">
        <w:rPr>
          <w:rStyle w:val="FootnoteReference"/>
          <w:vertAlign w:val="baseline"/>
        </w:rPr>
        <w:footnoteRef/>
      </w:r>
      <w:r w:rsidRPr="00B73372">
        <w:t xml:space="preserve"> </w:t>
      </w:r>
      <w:r w:rsidR="00827224" w:rsidRPr="00B73372">
        <w:tab/>
      </w:r>
      <w:r w:rsidR="00CD438E" w:rsidRPr="00CC3ADC">
        <w:t>International Covenant on Economic, Social and Cultural Rights</w:t>
      </w:r>
      <w:r w:rsidR="00CD438E" w:rsidRPr="00310D32">
        <w:t xml:space="preserve"> </w:t>
      </w:r>
      <w:r w:rsidR="00CD438E" w:rsidRPr="00B73372">
        <w:t>GA Res 2200A (</w:t>
      </w:r>
      <w:r w:rsidR="00CD438E">
        <w:t xml:space="preserve">adopted 16 December 1966, entered into force 3 January </w:t>
      </w:r>
      <w:r w:rsidR="00CD438E" w:rsidRPr="00B73372">
        <w:t>19</w:t>
      </w:r>
      <w:r w:rsidR="00CD438E">
        <w:t>7</w:t>
      </w:r>
      <w:r w:rsidR="00CD438E" w:rsidRPr="00B73372">
        <w:t>6)</w:t>
      </w:r>
      <w:r w:rsidR="00CD438E">
        <w:t>, art</w:t>
      </w:r>
      <w:r w:rsidRPr="00B73372">
        <w:t xml:space="preserve"> 7(b).</w:t>
      </w:r>
    </w:p>
  </w:footnote>
  <w:footnote w:id="56">
    <w:p w14:paraId="3BE39E01" w14:textId="1941D272" w:rsidR="00484D86" w:rsidRDefault="00484D86" w:rsidP="00B73372">
      <w:pPr>
        <w:pStyle w:val="FootnoteText"/>
      </w:pPr>
      <w:r w:rsidRPr="00B73372">
        <w:rPr>
          <w:rStyle w:val="FootnoteReference"/>
          <w:vertAlign w:val="baseline"/>
        </w:rPr>
        <w:footnoteRef/>
      </w:r>
      <w:r w:rsidRPr="00B73372">
        <w:t xml:space="preserve"> </w:t>
      </w:r>
      <w:r w:rsidR="00827224" w:rsidRPr="00B73372">
        <w:tab/>
      </w:r>
      <w:r w:rsidR="00310D32" w:rsidRPr="00F71137">
        <w:t>International Covenant on Economic, Social and Cultural Rights</w:t>
      </w:r>
      <w:r w:rsidR="00310D32" w:rsidRPr="00310D32">
        <w:t xml:space="preserve"> </w:t>
      </w:r>
      <w:r w:rsidR="00310D32" w:rsidRPr="00B73372">
        <w:t>GA Res 2200A (</w:t>
      </w:r>
      <w:r w:rsidR="00310D32">
        <w:t xml:space="preserve">adopted 16 December 1966, entered into force 3 January </w:t>
      </w:r>
      <w:r w:rsidR="00310D32" w:rsidRPr="00B73372">
        <w:t>19</w:t>
      </w:r>
      <w:r w:rsidR="00310D32">
        <w:t>7</w:t>
      </w:r>
      <w:r w:rsidR="00310D32" w:rsidRPr="00B73372">
        <w:t>6)</w:t>
      </w:r>
      <w:r w:rsidR="00310D32">
        <w:t>, art</w:t>
      </w:r>
      <w:r w:rsidRPr="00B73372">
        <w:t xml:space="preserve"> 12.2(d).</w:t>
      </w:r>
    </w:p>
  </w:footnote>
  <w:footnote w:id="57">
    <w:p w14:paraId="26316A7A" w14:textId="4E65B5F0" w:rsidR="00484D86" w:rsidRPr="00B73372" w:rsidRDefault="00484D86" w:rsidP="00B73372">
      <w:pPr>
        <w:pStyle w:val="FootnoteText"/>
      </w:pPr>
      <w:r w:rsidRPr="00B73372">
        <w:rPr>
          <w:rStyle w:val="FootnoteReference"/>
          <w:vertAlign w:val="baseline"/>
        </w:rPr>
        <w:footnoteRef/>
      </w:r>
      <w:r w:rsidRPr="00B73372">
        <w:t xml:space="preserve"> </w:t>
      </w:r>
      <w:r w:rsidR="00827224" w:rsidRPr="00B73372">
        <w:tab/>
      </w:r>
      <w:r w:rsidRPr="00FD22E4">
        <w:rPr>
          <w:i/>
          <w:iCs/>
        </w:rPr>
        <w:t>A v Secretary of State for the Home Department</w:t>
      </w:r>
      <w:r w:rsidRPr="00B73372">
        <w:t xml:space="preserve"> [2004] UKHL 56, [2005] 2 AC 68 at [91] per Lord Hoffmann.</w:t>
      </w:r>
      <w:r w:rsidRPr="00B73372" w:rsidDel="006F7A3B">
        <w:t xml:space="preserve"> </w:t>
      </w:r>
    </w:p>
  </w:footnote>
  <w:footnote w:id="58">
    <w:p w14:paraId="50CE8331" w14:textId="2F018C7C" w:rsidR="00484D86" w:rsidRPr="00B73372" w:rsidRDefault="00484D86" w:rsidP="00B73372">
      <w:pPr>
        <w:pStyle w:val="FootnoteText"/>
      </w:pPr>
      <w:r w:rsidRPr="00B73372">
        <w:rPr>
          <w:rStyle w:val="FootnoteReference"/>
          <w:vertAlign w:val="baseline"/>
        </w:rPr>
        <w:footnoteRef/>
      </w:r>
      <w:r w:rsidRPr="00B73372">
        <w:t xml:space="preserve"> </w:t>
      </w:r>
      <w:r w:rsidR="00827224" w:rsidRPr="00B73372">
        <w:tab/>
      </w:r>
      <w:r w:rsidRPr="00F35552">
        <w:rPr>
          <w:i/>
          <w:iCs/>
        </w:rPr>
        <w:t>Fitzgerald v R</w:t>
      </w:r>
      <w:r w:rsidRPr="00B73372">
        <w:t xml:space="preserve"> [2021] NZSC 131, [2021] 1 NZLR 551 (inhumane treatment); </w:t>
      </w:r>
      <w:r w:rsidRPr="00F35552">
        <w:rPr>
          <w:i/>
          <w:iCs/>
        </w:rPr>
        <w:t>R v Poumako</w:t>
      </w:r>
      <w:r w:rsidRPr="00B73372">
        <w:t xml:space="preserve"> [2000] 2 NZLR 695 (CA); </w:t>
      </w:r>
      <w:r w:rsidRPr="00F35552">
        <w:rPr>
          <w:i/>
          <w:iCs/>
        </w:rPr>
        <w:t>R v Pora</w:t>
      </w:r>
      <w:r w:rsidRPr="00B73372">
        <w:t xml:space="preserve"> [2001] 2 NZLR 37 (CA) (retrospective penalty) but compare </w:t>
      </w:r>
      <w:r w:rsidRPr="00F35552">
        <w:rPr>
          <w:i/>
          <w:iCs/>
        </w:rPr>
        <w:t>Glazebrook J in D v Police</w:t>
      </w:r>
      <w:r w:rsidRPr="00B73372">
        <w:t xml:space="preserve"> [2021] NZSC 2 who considers that the imposition of retrospective penalties may be justified under s 5.</w:t>
      </w:r>
    </w:p>
  </w:footnote>
  <w:footnote w:id="59">
    <w:p w14:paraId="1D8BC379" w14:textId="697731C8" w:rsidR="00484D86" w:rsidRDefault="00484D86" w:rsidP="00B73372">
      <w:pPr>
        <w:pStyle w:val="FootnoteText"/>
      </w:pPr>
      <w:r w:rsidRPr="00B73372">
        <w:rPr>
          <w:rStyle w:val="FootnoteReference"/>
          <w:vertAlign w:val="baseline"/>
        </w:rPr>
        <w:footnoteRef/>
      </w:r>
      <w:r w:rsidRPr="00B73372">
        <w:t xml:space="preserve"> </w:t>
      </w:r>
      <w:r w:rsidR="00827224" w:rsidRPr="00B73372">
        <w:tab/>
      </w:r>
      <w:r w:rsidRPr="00B73372">
        <w:t>New Zealand Bill of Rights (Declarations of Inconsistency) Amendment Act 2022.</w:t>
      </w:r>
      <w:r>
        <w:t xml:space="preserve"> </w:t>
      </w:r>
    </w:p>
  </w:footnote>
  <w:footnote w:id="60">
    <w:p w14:paraId="15D6B62D" w14:textId="5D92E2B8" w:rsidR="00484D86" w:rsidRPr="00B73372" w:rsidRDefault="00484D86" w:rsidP="00B73372">
      <w:pPr>
        <w:pStyle w:val="FootnoteText"/>
      </w:pPr>
      <w:r w:rsidRPr="00B73372">
        <w:rPr>
          <w:rStyle w:val="FootnoteReference"/>
          <w:vertAlign w:val="baseline"/>
        </w:rPr>
        <w:footnoteRef/>
      </w:r>
      <w:r w:rsidR="00827224" w:rsidRPr="00B73372">
        <w:t xml:space="preserve"> </w:t>
      </w:r>
      <w:r w:rsidR="00827224" w:rsidRPr="00B73372">
        <w:tab/>
      </w:r>
      <w:r w:rsidRPr="00B73372">
        <w:t xml:space="preserve">Discussed by Gwyn J in </w:t>
      </w:r>
      <w:r w:rsidRPr="00664B4C">
        <w:rPr>
          <w:i/>
          <w:iCs/>
        </w:rPr>
        <w:t>Orewa Community Church v Minister for COVID-19 Response</w:t>
      </w:r>
      <w:r w:rsidRPr="00B73372">
        <w:t xml:space="preserve"> [2022] NZHC 2026 [</w:t>
      </w:r>
      <w:r w:rsidRPr="00F84567">
        <w:t>108]</w:t>
      </w:r>
      <w:r w:rsidR="00186FA3" w:rsidRPr="00F84567">
        <w:t>–[</w:t>
      </w:r>
      <w:r w:rsidRPr="00F84567">
        <w:t>115</w:t>
      </w:r>
      <w:r w:rsidR="00186FA3" w:rsidRPr="00F84567">
        <w:t>]</w:t>
      </w:r>
      <w:r w:rsidRPr="00F84567">
        <w:t>.</w:t>
      </w:r>
      <w:r w:rsidRPr="00B73372">
        <w:t xml:space="preserve"> See also, by analogy, </w:t>
      </w:r>
      <w:r w:rsidRPr="00664B4C">
        <w:rPr>
          <w:i/>
          <w:iCs/>
        </w:rPr>
        <w:t>New Health NZ v South Taranaki District Council</w:t>
      </w:r>
      <w:r w:rsidRPr="00B73372">
        <w:t xml:space="preserve"> [2018] NZSC 59; </w:t>
      </w:r>
      <w:r w:rsidRPr="00CC3ADC">
        <w:rPr>
          <w:i/>
          <w:iCs/>
        </w:rPr>
        <w:t>R v Sharpe</w:t>
      </w:r>
      <w:r w:rsidRPr="00B73372">
        <w:t xml:space="preserve"> [2001] 1 SCR 45 (Canada), </w:t>
      </w:r>
      <w:r w:rsidRPr="004409CD">
        <w:rPr>
          <w:i/>
          <w:iCs/>
        </w:rPr>
        <w:t>Scottish Whiskey Association v Lord Advocate</w:t>
      </w:r>
      <w:r w:rsidRPr="00B73372">
        <w:t xml:space="preserve"> [2017] UKSC 76</w:t>
      </w:r>
      <w:r w:rsidR="004E1C25">
        <w:t>,</w:t>
      </w:r>
      <w:r w:rsidRPr="00B73372">
        <w:t xml:space="preserve"> which recogni</w:t>
      </w:r>
      <w:r w:rsidR="004E1C25">
        <w:t>s</w:t>
      </w:r>
      <w:r w:rsidRPr="00B73372">
        <w:t>e that it may sometimes be appropriate for policy</w:t>
      </w:r>
      <w:r w:rsidR="004E1C25">
        <w:t xml:space="preserve"> </w:t>
      </w:r>
      <w:r w:rsidRPr="00B73372">
        <w:t xml:space="preserve">makers to take protective measures in the absence of overwhelming scientific proof. </w:t>
      </w:r>
    </w:p>
  </w:footnote>
  <w:footnote w:id="61">
    <w:p w14:paraId="69179F2E" w14:textId="17EE2803" w:rsidR="00484D86" w:rsidRPr="00B73372" w:rsidRDefault="00484D86" w:rsidP="00B73372">
      <w:pPr>
        <w:pStyle w:val="FootnoteText"/>
      </w:pPr>
      <w:r w:rsidRPr="00B73372">
        <w:rPr>
          <w:rStyle w:val="FootnoteReference"/>
          <w:vertAlign w:val="baseline"/>
        </w:rPr>
        <w:footnoteRef/>
      </w:r>
      <w:r w:rsidRPr="00B73372">
        <w:t xml:space="preserve"> </w:t>
      </w:r>
      <w:r w:rsidR="00827224" w:rsidRPr="00B73372">
        <w:tab/>
      </w:r>
      <w:r w:rsidR="001436C5">
        <w:t>Mā</w:t>
      </w:r>
      <w:r w:rsidRPr="00B73372">
        <w:t xml:space="preserve">mari Stephens “Fires Still Burning? Māori Jurisprudence and Human Rights Protection in Aotearoa New Zealand” in M Bedggood, K Gledhill and I McIntosh (eds) </w:t>
      </w:r>
      <w:r w:rsidRPr="004409CD">
        <w:rPr>
          <w:i/>
          <w:iCs/>
        </w:rPr>
        <w:t>International Human Rights Law in Aotearoa New Zealand</w:t>
      </w:r>
      <w:r w:rsidRPr="00B73372">
        <w:t xml:space="preserve"> (Thomson Reuters, Wellington, 2017) 99 at 116. M</w:t>
      </w:r>
      <w:r w:rsidR="001436C5">
        <w:t>ā</w:t>
      </w:r>
      <w:r w:rsidRPr="00B73372">
        <w:t>mari Stephens regards this as one of the key tasks of rangatira.</w:t>
      </w:r>
    </w:p>
  </w:footnote>
  <w:footnote w:id="62">
    <w:p w14:paraId="4A42A8D0" w14:textId="53D7AF89" w:rsidR="00484D86" w:rsidRPr="00B73372" w:rsidRDefault="00484D86" w:rsidP="00B73372">
      <w:pPr>
        <w:pStyle w:val="FootnoteText"/>
      </w:pPr>
      <w:r w:rsidRPr="00B73372">
        <w:rPr>
          <w:rStyle w:val="FootnoteReference"/>
          <w:vertAlign w:val="baseline"/>
        </w:rPr>
        <w:footnoteRef/>
      </w:r>
      <w:r w:rsidRPr="00B73372">
        <w:t xml:space="preserve"> </w:t>
      </w:r>
      <w:r w:rsidR="00827224" w:rsidRPr="00B73372">
        <w:tab/>
      </w:r>
      <w:r w:rsidR="00186FA3" w:rsidRPr="00B73372">
        <w:t>M</w:t>
      </w:r>
      <w:r w:rsidR="001436C5">
        <w:t>ā</w:t>
      </w:r>
      <w:r w:rsidR="00186FA3" w:rsidRPr="00B73372">
        <w:t xml:space="preserve">mari Stephens “Fires Still Burning? Māori Jurisprudence and Human Rights Protection in Aotearoa New Zealand” in M Bedggood, K Gledhill and I McIntosh (eds) </w:t>
      </w:r>
      <w:r w:rsidR="00186FA3" w:rsidRPr="004409CD">
        <w:rPr>
          <w:i/>
          <w:iCs/>
        </w:rPr>
        <w:t>International Human Rights Law in Aotearoa New Zealand</w:t>
      </w:r>
      <w:r w:rsidR="00186FA3" w:rsidRPr="00B73372">
        <w:t xml:space="preserve"> (Thomson Reuters, Wellington, 2017) 99</w:t>
      </w:r>
      <w:r w:rsidRPr="00B73372">
        <w:t xml:space="preserve">,at 110–111. </w:t>
      </w:r>
    </w:p>
  </w:footnote>
  <w:footnote w:id="63">
    <w:p w14:paraId="7A530C20" w14:textId="03386394" w:rsidR="00484D86" w:rsidRDefault="00484D86" w:rsidP="00B73372">
      <w:pPr>
        <w:pStyle w:val="FootnoteText"/>
      </w:pPr>
      <w:r w:rsidRPr="00B73372">
        <w:rPr>
          <w:rStyle w:val="FootnoteReference"/>
          <w:vertAlign w:val="baseline"/>
        </w:rPr>
        <w:footnoteRef/>
      </w:r>
      <w:r w:rsidRPr="00B73372">
        <w:t xml:space="preserve"> </w:t>
      </w:r>
      <w:r w:rsidR="00827224" w:rsidRPr="00B73372">
        <w:tab/>
      </w:r>
      <w:r w:rsidRPr="00B73372">
        <w:t xml:space="preserve">Email </w:t>
      </w:r>
      <w:r w:rsidR="005D562F">
        <w:t xml:space="preserve">from </w:t>
      </w:r>
      <w:r w:rsidR="005D562F" w:rsidRPr="005D562F">
        <w:t>Professor Papaarangi Reid</w:t>
      </w:r>
      <w:r w:rsidRPr="00B73372">
        <w:t xml:space="preserve"> to author </w:t>
      </w:r>
      <w:r w:rsidR="00A07006">
        <w:t>(</w:t>
      </w:r>
      <w:r w:rsidRPr="00B73372">
        <w:t>18 May 2022</w:t>
      </w:r>
      <w:r w:rsidR="00A07006">
        <w:t>)</w:t>
      </w:r>
      <w:r w:rsidRPr="00B73372">
        <w:t>.</w:t>
      </w:r>
    </w:p>
  </w:footnote>
  <w:footnote w:id="64">
    <w:p w14:paraId="5F051C49" w14:textId="314D71A0" w:rsidR="00484D86" w:rsidRPr="00B73372" w:rsidRDefault="00484D86" w:rsidP="00B73372">
      <w:pPr>
        <w:pStyle w:val="FootnoteText"/>
      </w:pPr>
      <w:r w:rsidRPr="00B73372">
        <w:rPr>
          <w:rStyle w:val="FootnoteReference"/>
          <w:vertAlign w:val="baseline"/>
        </w:rPr>
        <w:footnoteRef/>
      </w:r>
      <w:r w:rsidRPr="00B73372">
        <w:t xml:space="preserve"> </w:t>
      </w:r>
      <w:r w:rsidR="004A0E3E" w:rsidRPr="00B73372">
        <w:tab/>
      </w:r>
      <w:r w:rsidRPr="00664B4C">
        <w:rPr>
          <w:i/>
          <w:iCs/>
        </w:rPr>
        <w:t>Borrowdale v Director-General of Health</w:t>
      </w:r>
      <w:r w:rsidRPr="00B73372">
        <w:t xml:space="preserve"> [2021] NZCA 520 at [118].</w:t>
      </w:r>
    </w:p>
  </w:footnote>
  <w:footnote w:id="65">
    <w:p w14:paraId="621B15AD" w14:textId="030CDF9F" w:rsidR="00484D86" w:rsidRPr="00B73372" w:rsidRDefault="00484D86" w:rsidP="00B73372">
      <w:pPr>
        <w:pStyle w:val="FootnoteText"/>
      </w:pPr>
      <w:r w:rsidRPr="00B73372">
        <w:rPr>
          <w:rStyle w:val="FootnoteReference"/>
          <w:vertAlign w:val="baseline"/>
        </w:rPr>
        <w:footnoteRef/>
      </w:r>
      <w:r w:rsidRPr="00B73372">
        <w:t xml:space="preserve"> </w:t>
      </w:r>
      <w:r w:rsidR="004A0E3E" w:rsidRPr="00B73372">
        <w:tab/>
      </w:r>
      <w:r w:rsidRPr="00B73372">
        <w:t>New Zealand Bill of Rights Act 1990, s 7.</w:t>
      </w:r>
    </w:p>
  </w:footnote>
  <w:footnote w:id="66">
    <w:p w14:paraId="441B8309" w14:textId="1FEB77BC" w:rsidR="00484D86" w:rsidRPr="00B73372" w:rsidRDefault="00484D86" w:rsidP="00B73372">
      <w:pPr>
        <w:pStyle w:val="FootnoteText"/>
      </w:pPr>
      <w:r w:rsidRPr="00B73372">
        <w:rPr>
          <w:rStyle w:val="FootnoteReference"/>
          <w:vertAlign w:val="baseline"/>
        </w:rPr>
        <w:footnoteRef/>
      </w:r>
      <w:r w:rsidRPr="00B73372">
        <w:t xml:space="preserve"> </w:t>
      </w:r>
      <w:r w:rsidR="004A0E3E" w:rsidRPr="00B73372">
        <w:tab/>
      </w:r>
      <w:r w:rsidRPr="00B73372">
        <w:t xml:space="preserve">Legislation Act 2019, s 19. See for a judicial review example </w:t>
      </w:r>
      <w:r w:rsidRPr="00700AFE">
        <w:rPr>
          <w:i/>
          <w:iCs/>
        </w:rPr>
        <w:t>Grounded Kiwis Group Inc v Minister of Health</w:t>
      </w:r>
      <w:r w:rsidRPr="00B73372">
        <w:t xml:space="preserve"> [2022] NZHC 832. </w:t>
      </w:r>
    </w:p>
  </w:footnote>
  <w:footnote w:id="67">
    <w:p w14:paraId="6E7ECD67" w14:textId="6F0ED9E0" w:rsidR="00484D86" w:rsidRDefault="00484D86" w:rsidP="00B73372">
      <w:pPr>
        <w:pStyle w:val="FootnoteText"/>
      </w:pPr>
      <w:r w:rsidRPr="00B73372">
        <w:rPr>
          <w:rStyle w:val="FootnoteReference"/>
          <w:vertAlign w:val="baseline"/>
        </w:rPr>
        <w:footnoteRef/>
      </w:r>
      <w:r w:rsidRPr="00B73372">
        <w:t xml:space="preserve"> </w:t>
      </w:r>
      <w:r w:rsidR="00250546" w:rsidRPr="00B73372">
        <w:tab/>
      </w:r>
      <w:r w:rsidRPr="00B73372">
        <w:t xml:space="preserve">See for example </w:t>
      </w:r>
      <w:r w:rsidRPr="00700AFE">
        <w:rPr>
          <w:i/>
          <w:iCs/>
        </w:rPr>
        <w:t>GF v Minister of COVID-19 Response</w:t>
      </w:r>
      <w:r w:rsidRPr="00B73372">
        <w:t xml:space="preserve"> [2021] NZHC 2526.</w:t>
      </w:r>
    </w:p>
  </w:footnote>
  <w:footnote w:id="68">
    <w:p w14:paraId="119AE028" w14:textId="0F2CB434" w:rsidR="00484D86" w:rsidRPr="00B73372" w:rsidRDefault="00484D86" w:rsidP="00B73372">
      <w:pPr>
        <w:pStyle w:val="FootnoteText"/>
      </w:pPr>
      <w:r w:rsidRPr="00B73372">
        <w:rPr>
          <w:rStyle w:val="FootnoteReference"/>
          <w:vertAlign w:val="baseline"/>
        </w:rPr>
        <w:footnoteRef/>
      </w:r>
      <w:r w:rsidRPr="00B73372">
        <w:t xml:space="preserve"> </w:t>
      </w:r>
      <w:r w:rsidR="00250546" w:rsidRPr="00B73372">
        <w:tab/>
      </w:r>
      <w:r w:rsidRPr="00B73372">
        <w:t>International Covenant on Civil and Political Rights</w:t>
      </w:r>
      <w:r w:rsidR="007647E9">
        <w:t xml:space="preserve"> 999 UNTS 171</w:t>
      </w:r>
      <w:r w:rsidR="00710295">
        <w:t xml:space="preserve"> </w:t>
      </w:r>
      <w:r w:rsidR="001341D1">
        <w:t>(opened</w:t>
      </w:r>
      <w:r w:rsidR="00710295">
        <w:t xml:space="preserve"> </w:t>
      </w:r>
      <w:r w:rsidR="00CE78DF">
        <w:t xml:space="preserve">for signature </w:t>
      </w:r>
      <w:r w:rsidR="0000250A">
        <w:t xml:space="preserve">16 December 1966, entry into force </w:t>
      </w:r>
      <w:r w:rsidR="005468A8">
        <w:t xml:space="preserve">23 March 1976), </w:t>
      </w:r>
      <w:r w:rsidR="00710295">
        <w:t>art 17.</w:t>
      </w:r>
    </w:p>
  </w:footnote>
  <w:footnote w:id="69">
    <w:p w14:paraId="7D961C32" w14:textId="6FE20204" w:rsidR="00484D86" w:rsidRPr="00B73372" w:rsidRDefault="00484D86" w:rsidP="00B73372">
      <w:pPr>
        <w:pStyle w:val="FootnoteText"/>
      </w:pPr>
      <w:r w:rsidRPr="00B73372">
        <w:rPr>
          <w:rStyle w:val="FootnoteReference"/>
          <w:vertAlign w:val="baseline"/>
        </w:rPr>
        <w:footnoteRef/>
      </w:r>
      <w:r w:rsidRPr="00B73372">
        <w:t xml:space="preserve"> </w:t>
      </w:r>
      <w:r w:rsidR="00250546" w:rsidRPr="00B73372">
        <w:tab/>
      </w:r>
      <w:r w:rsidRPr="00B73372">
        <w:t xml:space="preserve">Privacy Act 2020, s 22. See the discussion of this test in </w:t>
      </w:r>
      <w:r w:rsidRPr="00504A9C">
        <w:rPr>
          <w:i/>
          <w:iCs/>
        </w:rPr>
        <w:t>Te Pou Matakana Ltd v Attorney-General</w:t>
      </w:r>
      <w:r w:rsidRPr="00B73372">
        <w:t xml:space="preserve"> [2021] NZHC 2942, [2022] 2 NZLR 248 at [36] per Gwyn J. </w:t>
      </w:r>
    </w:p>
  </w:footnote>
  <w:footnote w:id="70">
    <w:p w14:paraId="02C496D0" w14:textId="4C744B57" w:rsidR="00484D86" w:rsidRPr="00B73372" w:rsidRDefault="00484D86" w:rsidP="00B73372">
      <w:pPr>
        <w:pStyle w:val="FootnoteText"/>
      </w:pPr>
      <w:r w:rsidRPr="00B73372">
        <w:rPr>
          <w:rStyle w:val="FootnoteReference"/>
          <w:vertAlign w:val="baseline"/>
        </w:rPr>
        <w:footnoteRef/>
      </w:r>
      <w:r w:rsidRPr="00B73372">
        <w:t xml:space="preserve"> </w:t>
      </w:r>
      <w:r w:rsidR="00250546" w:rsidRPr="00B73372">
        <w:tab/>
      </w:r>
      <w:r w:rsidRPr="00B73372">
        <w:t xml:space="preserve">Privacy Act 2020, s 22. </w:t>
      </w:r>
    </w:p>
  </w:footnote>
  <w:footnote w:id="71">
    <w:p w14:paraId="4ADA6BB9" w14:textId="247B140F" w:rsidR="00484D86" w:rsidRPr="00B73372" w:rsidRDefault="00484D86" w:rsidP="00B73372">
      <w:pPr>
        <w:pStyle w:val="FootnoteText"/>
      </w:pPr>
      <w:r w:rsidRPr="00B73372">
        <w:rPr>
          <w:rStyle w:val="FootnoteReference"/>
          <w:vertAlign w:val="baseline"/>
        </w:rPr>
        <w:footnoteRef/>
      </w:r>
      <w:r w:rsidRPr="00B73372">
        <w:t xml:space="preserve"> </w:t>
      </w:r>
      <w:r w:rsidR="00250546" w:rsidRPr="00B73372">
        <w:tab/>
      </w:r>
      <w:r w:rsidRPr="00B73372">
        <w:t xml:space="preserve">Privacy Act 2020, s 30. </w:t>
      </w:r>
    </w:p>
  </w:footnote>
  <w:footnote w:id="72">
    <w:p w14:paraId="386380F6" w14:textId="2169DF79" w:rsidR="00484D86" w:rsidRPr="00B73372" w:rsidRDefault="00484D86" w:rsidP="00B73372">
      <w:pPr>
        <w:pStyle w:val="FootnoteText"/>
      </w:pPr>
      <w:r w:rsidRPr="00B73372">
        <w:rPr>
          <w:rStyle w:val="FootnoteReference"/>
          <w:vertAlign w:val="baseline"/>
        </w:rPr>
        <w:footnoteRef/>
      </w:r>
      <w:r w:rsidRPr="00B73372">
        <w:t xml:space="preserve"> </w:t>
      </w:r>
      <w:r w:rsidR="00250546" w:rsidRPr="00B73372">
        <w:tab/>
      </w:r>
      <w:r w:rsidRPr="00B73372">
        <w:t xml:space="preserve">See the discussion in </w:t>
      </w:r>
      <w:r w:rsidR="00964ADD" w:rsidRPr="000E34E3">
        <w:t xml:space="preserve">Louise Delany </w:t>
      </w:r>
      <w:r w:rsidR="00964ADD" w:rsidRPr="00667CED">
        <w:rPr>
          <w:i/>
          <w:iCs/>
        </w:rPr>
        <w:t>Covid and the Law in Aotearoa New Zealand</w:t>
      </w:r>
      <w:r w:rsidR="00964ADD" w:rsidRPr="000E34E3">
        <w:t xml:space="preserve"> (Thomson Reuters, Wellington, 2021)</w:t>
      </w:r>
      <w:r w:rsidRPr="00B73372">
        <w:t xml:space="preserve">at 213. </w:t>
      </w:r>
    </w:p>
  </w:footnote>
  <w:footnote w:id="73">
    <w:p w14:paraId="5C57254C" w14:textId="75AEF8B9" w:rsidR="00484D86" w:rsidRPr="00B73372" w:rsidRDefault="00484D86" w:rsidP="00B73372">
      <w:pPr>
        <w:pStyle w:val="FootnoteText"/>
      </w:pPr>
      <w:r w:rsidRPr="00B73372">
        <w:rPr>
          <w:rStyle w:val="FootnoteReference"/>
          <w:vertAlign w:val="baseline"/>
        </w:rPr>
        <w:footnoteRef/>
      </w:r>
      <w:r w:rsidRPr="00B73372">
        <w:t xml:space="preserve"> </w:t>
      </w:r>
      <w:r w:rsidR="00250546" w:rsidRPr="00B73372">
        <w:tab/>
      </w:r>
      <w:r w:rsidR="00964ADD" w:rsidRPr="000E34E3">
        <w:t xml:space="preserve">Louise Delany </w:t>
      </w:r>
      <w:r w:rsidR="00964ADD" w:rsidRPr="00667CED">
        <w:rPr>
          <w:i/>
          <w:iCs/>
        </w:rPr>
        <w:t>Covid and the Law in Aotearoa New Zealand</w:t>
      </w:r>
      <w:r w:rsidR="00964ADD" w:rsidRPr="000E34E3">
        <w:t xml:space="preserve"> (Thomson Reuters, Wellington, 2021)</w:t>
      </w:r>
      <w:r w:rsidRPr="00B73372">
        <w:t xml:space="preserve"> at 216. </w:t>
      </w:r>
    </w:p>
  </w:footnote>
  <w:footnote w:id="74">
    <w:p w14:paraId="163EBCD6" w14:textId="0237D0E6" w:rsidR="00484D86" w:rsidRDefault="00484D86" w:rsidP="00B73372">
      <w:pPr>
        <w:pStyle w:val="FootnoteText"/>
        <w:rPr>
          <w:lang w:val="en-CA"/>
        </w:rPr>
      </w:pPr>
      <w:r w:rsidRPr="00B73372">
        <w:rPr>
          <w:rStyle w:val="FootnoteReference"/>
          <w:vertAlign w:val="baseline"/>
        </w:rPr>
        <w:footnoteRef/>
      </w:r>
      <w:r w:rsidRPr="00B73372">
        <w:t xml:space="preserve"> </w:t>
      </w:r>
      <w:r w:rsidR="00250546" w:rsidRPr="00B73372">
        <w:tab/>
      </w:r>
      <w:r w:rsidRPr="00B73372">
        <w:t>Office of the Privacy Commissioner “Guidance on mandatory record keeping for supporting COVID-19 contact tracing” (1 September 2021) &lt;www.privacy.org.nz&gt;.</w:t>
      </w:r>
    </w:p>
  </w:footnote>
  <w:footnote w:id="75">
    <w:p w14:paraId="7FDF2A9D" w14:textId="3D3CBB21" w:rsidR="00484D86" w:rsidRPr="00B73372" w:rsidRDefault="00484D86" w:rsidP="00B73372">
      <w:pPr>
        <w:pStyle w:val="FootnoteText"/>
      </w:pPr>
      <w:r w:rsidRPr="00B73372">
        <w:rPr>
          <w:rStyle w:val="FootnoteReference"/>
          <w:vertAlign w:val="baseline"/>
        </w:rPr>
        <w:footnoteRef/>
      </w:r>
      <w:r w:rsidRPr="00B73372">
        <w:t xml:space="preserve"> </w:t>
      </w:r>
      <w:r w:rsidR="00250546" w:rsidRPr="00B73372">
        <w:tab/>
      </w:r>
      <w:r w:rsidRPr="00B73372">
        <w:t xml:space="preserve">Helen O’Connor, W John Hopkins and David Johnston “For the greater good? Data and disasters in a post-COVID world” (2021) 51(sup1) Journal of the Royal Society of New Zealand </w:t>
      </w:r>
      <w:r w:rsidR="00490E45">
        <w:t xml:space="preserve">at </w:t>
      </w:r>
      <w:r w:rsidRPr="00B73372">
        <w:t xml:space="preserve">S214. </w:t>
      </w:r>
    </w:p>
  </w:footnote>
  <w:footnote w:id="76">
    <w:p w14:paraId="2F72D72D" w14:textId="5488D441" w:rsidR="00484D86" w:rsidRDefault="00484D86" w:rsidP="00B73372">
      <w:pPr>
        <w:pStyle w:val="FootnoteText"/>
      </w:pPr>
      <w:r w:rsidRPr="00B73372">
        <w:rPr>
          <w:rStyle w:val="FootnoteReference"/>
          <w:vertAlign w:val="baseline"/>
        </w:rPr>
        <w:footnoteRef/>
      </w:r>
      <w:r w:rsidRPr="00B73372">
        <w:t xml:space="preserve"> </w:t>
      </w:r>
      <w:r w:rsidR="00250546" w:rsidRPr="00B73372">
        <w:tab/>
      </w:r>
      <w:r w:rsidR="00490E45" w:rsidRPr="00B73372">
        <w:t xml:space="preserve">Helen O’Connor, W John Hopkins and David Johnston “For the greater good? Data and disasters in a post-COVID world” (2021) 51(sup1) Journal of the Royal Society of New Zealand </w:t>
      </w:r>
      <w:r w:rsidR="00490E45">
        <w:t>at</w:t>
      </w:r>
      <w:r w:rsidRPr="00B73372">
        <w:t>S226.</w:t>
      </w:r>
      <w:r>
        <w:t xml:space="preserve"> </w:t>
      </w:r>
    </w:p>
  </w:footnote>
  <w:footnote w:id="77">
    <w:p w14:paraId="5A8B195C" w14:textId="2043B5FB" w:rsidR="009D2AA1" w:rsidRPr="00B73372" w:rsidRDefault="009D2AA1" w:rsidP="00B73372">
      <w:pPr>
        <w:pStyle w:val="FootnoteText"/>
      </w:pPr>
      <w:r w:rsidRPr="00B73372">
        <w:rPr>
          <w:rStyle w:val="FootnoteReference"/>
          <w:vertAlign w:val="baseline"/>
        </w:rPr>
        <w:footnoteRef/>
      </w:r>
      <w:r w:rsidRPr="00B73372">
        <w:t xml:space="preserve"> </w:t>
      </w:r>
      <w:r w:rsidR="006A62AA" w:rsidRPr="00B73372">
        <w:tab/>
      </w:r>
      <w:r w:rsidRPr="00CC3ADC">
        <w:rPr>
          <w:i/>
          <w:iCs/>
        </w:rPr>
        <w:t>Inquiry into Parliament’s legislative response to future national emergencies</w:t>
      </w:r>
      <w:r w:rsidR="008C268E">
        <w:t>:</w:t>
      </w:r>
      <w:r w:rsidRPr="00B73372">
        <w:t xml:space="preserve"> </w:t>
      </w:r>
      <w:r w:rsidRPr="00FD6292">
        <w:rPr>
          <w:i/>
          <w:iCs/>
        </w:rPr>
        <w:t>Report of the Regulations Review Committee</w:t>
      </w:r>
      <w:r w:rsidRPr="00B73372">
        <w:t xml:space="preserve"> (December 2016). The report can be accessed </w:t>
      </w:r>
      <w:hyperlink r:id="rId1" w:history="1">
        <w:r w:rsidR="00604E53">
          <w:rPr>
            <w:rStyle w:val="Hyperlink"/>
          </w:rPr>
          <w:t>here</w:t>
        </w:r>
      </w:hyperlink>
      <w:r w:rsidRPr="00B73372">
        <w:t xml:space="preserve">. </w:t>
      </w:r>
    </w:p>
  </w:footnote>
  <w:footnote w:id="78">
    <w:p w14:paraId="5A7053AE" w14:textId="60A91508" w:rsidR="009D2AA1" w:rsidRPr="00B73372" w:rsidRDefault="009D2AA1" w:rsidP="00B73372">
      <w:pPr>
        <w:pStyle w:val="FootnoteText"/>
        <w:rPr>
          <w:rFonts w:eastAsia="Calibri"/>
        </w:rPr>
      </w:pPr>
      <w:r w:rsidRPr="00B73372">
        <w:rPr>
          <w:rStyle w:val="FootnoteReference"/>
          <w:vertAlign w:val="baseline"/>
        </w:rPr>
        <w:footnoteRef/>
      </w:r>
      <w:r w:rsidRPr="00B73372">
        <w:t xml:space="preserve"> </w:t>
      </w:r>
      <w:r w:rsidR="006A62AA" w:rsidRPr="00B73372">
        <w:tab/>
      </w:r>
      <w:r w:rsidRPr="00CC3ADC">
        <w:rPr>
          <w:i/>
          <w:iCs/>
        </w:rPr>
        <w:t>Briefing to review secondary legislation made in response to COVID-19</w:t>
      </w:r>
      <w:r w:rsidR="008C268E">
        <w:rPr>
          <w:i/>
          <w:iCs/>
        </w:rPr>
        <w:t>:</w:t>
      </w:r>
      <w:r w:rsidRPr="00B73372">
        <w:t xml:space="preserve"> </w:t>
      </w:r>
      <w:r w:rsidRPr="0095781C">
        <w:rPr>
          <w:i/>
          <w:iCs/>
        </w:rPr>
        <w:t>Final report of the Regulations Review Committee</w:t>
      </w:r>
      <w:r w:rsidRPr="00B73372">
        <w:t xml:space="preserve"> (August 2020). The report can be accessed </w:t>
      </w:r>
      <w:hyperlink r:id="rId2" w:history="1">
        <w:r w:rsidR="006B63BA" w:rsidRPr="006B63BA">
          <w:rPr>
            <w:rStyle w:val="Hyperlink"/>
            <w:szCs w:val="15"/>
          </w:rPr>
          <w:t>here</w:t>
        </w:r>
      </w:hyperlink>
      <w:r w:rsidRPr="00B73372">
        <w:t xml:space="preserve">. </w:t>
      </w:r>
      <w:r w:rsidRPr="00B73372">
        <w:rPr>
          <w:rFonts w:eastAsia="Calibri"/>
        </w:rPr>
        <w:t xml:space="preserve">The Regulations Review Committee plays an important parliamentary role in scrutinising the powers conferred in primary legislation on the executive to make secondary legislation and the regulations </w:t>
      </w:r>
      <w:r w:rsidR="003E6F16">
        <w:rPr>
          <w:rFonts w:eastAsia="Calibri"/>
        </w:rPr>
        <w:t>that</w:t>
      </w:r>
      <w:r w:rsidR="003E6F16" w:rsidRPr="00B73372">
        <w:rPr>
          <w:rFonts w:eastAsia="Calibri"/>
        </w:rPr>
        <w:t xml:space="preserve"> </w:t>
      </w:r>
      <w:r w:rsidRPr="00B73372">
        <w:rPr>
          <w:rFonts w:eastAsia="Calibri"/>
        </w:rPr>
        <w:t xml:space="preserve">are made under such provisions. </w:t>
      </w:r>
    </w:p>
  </w:footnote>
  <w:footnote w:id="79">
    <w:p w14:paraId="22471926" w14:textId="0FA2A23C" w:rsidR="009D2AA1" w:rsidRPr="00552156" w:rsidRDefault="009D2AA1" w:rsidP="00B73372">
      <w:pPr>
        <w:pStyle w:val="FootnoteText"/>
      </w:pPr>
      <w:r w:rsidRPr="00B73372">
        <w:rPr>
          <w:rStyle w:val="FootnoteReference"/>
          <w:vertAlign w:val="baseline"/>
        </w:rPr>
        <w:footnoteRef/>
      </w:r>
      <w:r w:rsidRPr="00B73372">
        <w:t xml:space="preserve"> </w:t>
      </w:r>
      <w:r w:rsidR="007E0644" w:rsidRPr="00B73372">
        <w:tab/>
      </w:r>
      <w:r w:rsidRPr="00B73372">
        <w:t>During the Global Financial Crisis, for example, the Public Finance Act 1989 was used to grant an urgent deposit guarantee because bespoke legislation was not able to be introduced when Parliament was not sitting. This led to ongoing difficulties.</w:t>
      </w:r>
      <w:r>
        <w:t xml:space="preserve"> </w:t>
      </w:r>
    </w:p>
  </w:footnote>
  <w:footnote w:id="80">
    <w:p w14:paraId="1C9C7F9A" w14:textId="6914CCA5" w:rsidR="009D2AA1" w:rsidRPr="00B73372" w:rsidRDefault="009D2AA1" w:rsidP="00B73372">
      <w:pPr>
        <w:pStyle w:val="FootnoteText"/>
      </w:pPr>
      <w:r w:rsidRPr="00B73372">
        <w:rPr>
          <w:rStyle w:val="FootnoteReference"/>
          <w:vertAlign w:val="baseline"/>
        </w:rPr>
        <w:footnoteRef/>
      </w:r>
      <w:r w:rsidRPr="00B73372">
        <w:t xml:space="preserve"> </w:t>
      </w:r>
      <w:r w:rsidR="007E0644" w:rsidRPr="00B73372">
        <w:tab/>
      </w:r>
      <w:r w:rsidRPr="00B73372">
        <w:t xml:space="preserve">Regulation-making powers under the Public Safety Conservation Act 1932, passed during the Depression, were used </w:t>
      </w:r>
      <w:r w:rsidR="001565F5">
        <w:t>7</w:t>
      </w:r>
      <w:r w:rsidR="001565F5" w:rsidRPr="00B73372">
        <w:t xml:space="preserve"> </w:t>
      </w:r>
      <w:r w:rsidRPr="00B73372">
        <w:t>years later at the outbreak of war and 19 years later for suppressing industrial action. Regulation-making powers under the Economic Stabilisation Act 1948 were used 34 years later to institute a national wage and price freeze. The Acts were not repealed until 1987.</w:t>
      </w:r>
    </w:p>
  </w:footnote>
  <w:footnote w:id="81">
    <w:p w14:paraId="78E821A9" w14:textId="77777777" w:rsidR="00511D02" w:rsidRDefault="00511D02" w:rsidP="00511D02">
      <w:pPr>
        <w:pStyle w:val="FootnoteText"/>
      </w:pPr>
      <w:r w:rsidRPr="009F5F79">
        <w:rPr>
          <w:rStyle w:val="FootnoteReference"/>
          <w:vertAlign w:val="baseline"/>
        </w:rPr>
        <w:footnoteRef/>
      </w:r>
      <w:r>
        <w:t xml:space="preserve"> </w:t>
      </w:r>
      <w:r>
        <w:tab/>
      </w:r>
      <w:r w:rsidRPr="009F5F79">
        <w:rPr>
          <w:i/>
          <w:iCs/>
          <w:szCs w:val="15"/>
        </w:rPr>
        <w:t>I</w:t>
      </w:r>
      <w:r w:rsidRPr="009F5F79">
        <w:rPr>
          <w:rStyle w:val="cf01"/>
          <w:rFonts w:ascii="Metropolis Light" w:hAnsi="Metropolis Light"/>
          <w:sz w:val="15"/>
          <w:szCs w:val="15"/>
        </w:rPr>
        <w:t>nquiry into Parliament’s legislative response to future national emergencies:</w:t>
      </w:r>
      <w:r w:rsidRPr="009F5F79">
        <w:rPr>
          <w:rStyle w:val="cf11"/>
          <w:rFonts w:ascii="Metropolis Light" w:hAnsi="Metropolis Light"/>
          <w:sz w:val="15"/>
          <w:szCs w:val="15"/>
        </w:rPr>
        <w:t xml:space="preserve"> </w:t>
      </w:r>
      <w:r w:rsidRPr="009F5F79">
        <w:rPr>
          <w:rStyle w:val="cf01"/>
          <w:rFonts w:ascii="Metropolis Light" w:hAnsi="Metropolis Light"/>
          <w:sz w:val="15"/>
          <w:szCs w:val="15"/>
        </w:rPr>
        <w:t>Report of the Regulations Review Committee</w:t>
      </w:r>
      <w:r w:rsidRPr="009F5F79">
        <w:rPr>
          <w:rStyle w:val="cf11"/>
          <w:rFonts w:ascii="Metropolis Light" w:hAnsi="Metropolis Light"/>
          <w:sz w:val="15"/>
          <w:szCs w:val="15"/>
        </w:rPr>
        <w:t xml:space="preserve"> (December 2016) at 24.</w:t>
      </w:r>
    </w:p>
  </w:footnote>
  <w:footnote w:id="82">
    <w:p w14:paraId="3AD804A6" w14:textId="1C5C9447" w:rsidR="009D2AA1" w:rsidRDefault="009D2AA1" w:rsidP="00B73372">
      <w:pPr>
        <w:pStyle w:val="FootnoteText"/>
      </w:pPr>
      <w:r w:rsidRPr="00B73372">
        <w:rPr>
          <w:rStyle w:val="FootnoteReference"/>
          <w:vertAlign w:val="baseline"/>
        </w:rPr>
        <w:footnoteRef/>
      </w:r>
      <w:r w:rsidRPr="00B73372">
        <w:t xml:space="preserve"> </w:t>
      </w:r>
      <w:r w:rsidR="007E0644" w:rsidRPr="00B73372">
        <w:tab/>
      </w:r>
      <w:r w:rsidR="00FD1030" w:rsidRPr="00CC3ADC">
        <w:rPr>
          <w:i/>
          <w:iCs/>
        </w:rPr>
        <w:t>Inquiry into Parliament’s legislative response to future national emergencies: Report of the Regulations Review Committee</w:t>
      </w:r>
      <w:r w:rsidR="00FD1030" w:rsidRPr="00FD1030">
        <w:t xml:space="preserve"> (December 2016</w:t>
      </w:r>
      <w:r w:rsidR="00FD1030">
        <w:t>)</w:t>
      </w:r>
      <w:r w:rsidR="002D6A37">
        <w:t xml:space="preserve"> </w:t>
      </w:r>
      <w:r w:rsidRPr="00B73372">
        <w:t>at 24.</w:t>
      </w:r>
    </w:p>
  </w:footnote>
  <w:footnote w:id="83">
    <w:p w14:paraId="0C3715A5" w14:textId="26B12D41" w:rsidR="009D2AA1" w:rsidRPr="00B73372" w:rsidRDefault="009D2AA1" w:rsidP="00B73372">
      <w:pPr>
        <w:pStyle w:val="FootnoteText"/>
      </w:pPr>
      <w:r w:rsidRPr="00B73372">
        <w:rPr>
          <w:rStyle w:val="FootnoteReference"/>
          <w:vertAlign w:val="baseline"/>
        </w:rPr>
        <w:footnoteRef/>
      </w:r>
      <w:r w:rsidRPr="00B73372">
        <w:t xml:space="preserve"> </w:t>
      </w:r>
      <w:r w:rsidR="00056D6C" w:rsidRPr="00B73372">
        <w:tab/>
      </w:r>
      <w:r w:rsidR="00D511CC" w:rsidRPr="00CC3ADC">
        <w:rPr>
          <w:i/>
          <w:iCs/>
        </w:rPr>
        <w:t>Inquiry into Parliament’s legislative response to future national emergencies: Report of the Regulations Review Committee</w:t>
      </w:r>
      <w:r w:rsidR="00D511CC" w:rsidRPr="00D511CC">
        <w:t xml:space="preserve"> (December 2016) </w:t>
      </w:r>
      <w:r w:rsidR="00D511CC">
        <w:t>a</w:t>
      </w:r>
      <w:r w:rsidRPr="00B73372">
        <w:t>t 19.</w:t>
      </w:r>
    </w:p>
  </w:footnote>
  <w:footnote w:id="84">
    <w:p w14:paraId="38461D67" w14:textId="7621D8B2" w:rsidR="009D2AA1" w:rsidRPr="00B73372" w:rsidRDefault="009D2AA1" w:rsidP="00B73372">
      <w:pPr>
        <w:pStyle w:val="FootnoteText"/>
      </w:pPr>
      <w:r w:rsidRPr="00B73372">
        <w:rPr>
          <w:rStyle w:val="FootnoteReference"/>
          <w:vertAlign w:val="baseline"/>
        </w:rPr>
        <w:footnoteRef/>
      </w:r>
      <w:r w:rsidRPr="00B73372">
        <w:t xml:space="preserve"> </w:t>
      </w:r>
      <w:r w:rsidR="00056D6C" w:rsidRPr="00B73372">
        <w:tab/>
      </w:r>
      <w:r w:rsidR="00D511CC" w:rsidRPr="00D511CC">
        <w:t xml:space="preserve"> Inquiry into Parliament’s legislative response to future national emergencies: Report of the Regulations Review Committee (December 2016) </w:t>
      </w:r>
      <w:r w:rsidR="00D511CC">
        <w:t>a</w:t>
      </w:r>
      <w:r w:rsidRPr="00B73372">
        <w:t>t 20.</w:t>
      </w:r>
    </w:p>
  </w:footnote>
  <w:footnote w:id="85">
    <w:p w14:paraId="74E2D6AD" w14:textId="0B832CD0" w:rsidR="009D2AA1" w:rsidRDefault="009D2AA1" w:rsidP="00B73372">
      <w:pPr>
        <w:pStyle w:val="FootnoteText"/>
      </w:pPr>
      <w:r w:rsidRPr="00B73372">
        <w:rPr>
          <w:rStyle w:val="FootnoteReference"/>
          <w:vertAlign w:val="baseline"/>
        </w:rPr>
        <w:footnoteRef/>
      </w:r>
      <w:r w:rsidRPr="00B73372">
        <w:t xml:space="preserve"> </w:t>
      </w:r>
      <w:r w:rsidR="00056D6C" w:rsidRPr="00B73372">
        <w:tab/>
      </w:r>
      <w:r w:rsidR="00D511CC" w:rsidRPr="00D511CC">
        <w:t xml:space="preserve">Inquiry into Parliament’s legislative response to future national emergencies: Report of the Regulations Review Committee (December 2016) </w:t>
      </w:r>
      <w:r w:rsidR="00D511CC">
        <w:t>a</w:t>
      </w:r>
      <w:r w:rsidRPr="00B73372">
        <w:t>t 20.</w:t>
      </w:r>
    </w:p>
  </w:footnote>
  <w:footnote w:id="86">
    <w:p w14:paraId="3D529805" w14:textId="39D6E1B8" w:rsidR="009D2AA1" w:rsidRPr="00B73372" w:rsidRDefault="009D2AA1" w:rsidP="00B73372">
      <w:pPr>
        <w:pStyle w:val="FootnoteText"/>
      </w:pPr>
      <w:r w:rsidRPr="00B73372">
        <w:rPr>
          <w:rStyle w:val="FootnoteReference"/>
          <w:vertAlign w:val="baseline"/>
        </w:rPr>
        <w:footnoteRef/>
      </w:r>
      <w:r w:rsidRPr="00B73372">
        <w:t xml:space="preserve"> </w:t>
      </w:r>
      <w:r w:rsidR="00056D6C" w:rsidRPr="00B73372">
        <w:tab/>
      </w:r>
      <w:r w:rsidRPr="00495D4C">
        <w:rPr>
          <w:i/>
          <w:iCs/>
        </w:rPr>
        <w:t>Four Aviation Security Service Employees v Minister of COVID-19 Response</w:t>
      </w:r>
      <w:r w:rsidRPr="00B73372">
        <w:t xml:space="preserve"> [2021] NZHC 3012 at [129] per Cooke J.</w:t>
      </w:r>
    </w:p>
  </w:footnote>
  <w:footnote w:id="87">
    <w:p w14:paraId="249EC452" w14:textId="039E14C8" w:rsidR="009D2AA1" w:rsidRPr="00B73372" w:rsidRDefault="009D2AA1" w:rsidP="00B73372">
      <w:pPr>
        <w:pStyle w:val="FootnoteText"/>
      </w:pPr>
      <w:r w:rsidRPr="00B73372">
        <w:rPr>
          <w:rStyle w:val="FootnoteReference"/>
          <w:vertAlign w:val="baseline"/>
        </w:rPr>
        <w:footnoteRef/>
      </w:r>
      <w:r w:rsidRPr="00B73372">
        <w:t xml:space="preserve"> </w:t>
      </w:r>
      <w:r w:rsidR="00056D6C" w:rsidRPr="00B73372">
        <w:tab/>
      </w:r>
      <w:r w:rsidRPr="00B73372">
        <w:t xml:space="preserve">Legislation Act 2019, pt 3. </w:t>
      </w:r>
    </w:p>
  </w:footnote>
  <w:footnote w:id="88">
    <w:p w14:paraId="08DD6F49" w14:textId="003486CE" w:rsidR="0055345A" w:rsidRPr="00FA3CA9" w:rsidRDefault="0055345A">
      <w:pPr>
        <w:pStyle w:val="FootnoteText"/>
        <w:rPr>
          <w:szCs w:val="15"/>
        </w:rPr>
      </w:pPr>
      <w:r w:rsidRPr="00FA3CA9">
        <w:rPr>
          <w:rStyle w:val="FootnoteReference"/>
          <w:vertAlign w:val="baseline"/>
        </w:rPr>
        <w:footnoteRef/>
      </w:r>
      <w:r w:rsidRPr="00FA3CA9">
        <w:t xml:space="preserve"> </w:t>
      </w:r>
      <w:r w:rsidR="00FA3CA9" w:rsidRPr="00FA3CA9">
        <w:tab/>
      </w:r>
      <w:r w:rsidR="00FA3CA9" w:rsidRPr="00FA3CA9">
        <w:rPr>
          <w:rStyle w:val="cf01"/>
          <w:rFonts w:ascii="Metropolis Light" w:hAnsi="Metropolis Light"/>
          <w:sz w:val="15"/>
          <w:szCs w:val="15"/>
        </w:rPr>
        <w:t>Briefing to review secondary legislation made in response to COVID-19:</w:t>
      </w:r>
      <w:r w:rsidR="00FA3CA9" w:rsidRPr="00FA3CA9">
        <w:rPr>
          <w:rStyle w:val="cf11"/>
          <w:rFonts w:ascii="Metropolis Light" w:hAnsi="Metropolis Light"/>
          <w:sz w:val="15"/>
          <w:szCs w:val="15"/>
        </w:rPr>
        <w:t xml:space="preserve"> </w:t>
      </w:r>
      <w:r w:rsidR="00FA3CA9" w:rsidRPr="00FA3CA9">
        <w:rPr>
          <w:rStyle w:val="cf01"/>
          <w:rFonts w:ascii="Metropolis Light" w:hAnsi="Metropolis Light"/>
          <w:sz w:val="15"/>
          <w:szCs w:val="15"/>
        </w:rPr>
        <w:t>Final report of the Regulations Review Committee</w:t>
      </w:r>
      <w:r w:rsidR="00FA3CA9" w:rsidRPr="00FA3CA9">
        <w:rPr>
          <w:rStyle w:val="cf11"/>
          <w:rFonts w:ascii="Metropolis Light" w:hAnsi="Metropolis Light"/>
          <w:sz w:val="15"/>
          <w:szCs w:val="15"/>
        </w:rPr>
        <w:t xml:space="preserve"> (August 2020) at 2.</w:t>
      </w:r>
    </w:p>
  </w:footnote>
  <w:footnote w:id="89">
    <w:p w14:paraId="79DE42B8" w14:textId="6E026778" w:rsidR="009D2AA1" w:rsidRPr="00B73372" w:rsidRDefault="009D2AA1" w:rsidP="00B73372">
      <w:pPr>
        <w:pStyle w:val="FootnoteText"/>
      </w:pPr>
      <w:r w:rsidRPr="00B73372">
        <w:rPr>
          <w:rStyle w:val="FootnoteReference"/>
          <w:vertAlign w:val="baseline"/>
        </w:rPr>
        <w:footnoteRef/>
      </w:r>
      <w:r w:rsidRPr="00B73372">
        <w:t xml:space="preserve"> </w:t>
      </w:r>
      <w:r w:rsidR="00056D6C" w:rsidRPr="00B73372">
        <w:tab/>
      </w:r>
      <w:r w:rsidRPr="00B73372">
        <w:t>Hurunui/Kaik</w:t>
      </w:r>
      <w:r w:rsidR="002C17E6">
        <w:t>ō</w:t>
      </w:r>
      <w:r w:rsidRPr="00B73372">
        <w:t>ura Earthquakes Recovery Act 2016, s 8(1)(c)(i).</w:t>
      </w:r>
    </w:p>
  </w:footnote>
  <w:footnote w:id="90">
    <w:p w14:paraId="5EB2913E" w14:textId="479D12C8" w:rsidR="009D2AA1" w:rsidRPr="00B73372" w:rsidRDefault="009D2AA1" w:rsidP="00B73372">
      <w:pPr>
        <w:pStyle w:val="FootnoteText"/>
      </w:pPr>
      <w:r w:rsidRPr="00B73372">
        <w:rPr>
          <w:rStyle w:val="FootnoteReference"/>
          <w:vertAlign w:val="baseline"/>
        </w:rPr>
        <w:footnoteRef/>
      </w:r>
      <w:r w:rsidRPr="00B73372">
        <w:t xml:space="preserve"> </w:t>
      </w:r>
      <w:r w:rsidR="00056D6C" w:rsidRPr="00B73372">
        <w:tab/>
      </w:r>
      <w:r w:rsidRPr="00B73372">
        <w:t xml:space="preserve">Standing Orders of the House of Representatives 2020, SO 326. Previously SO 318(2) in the 2017 Standing Orders. </w:t>
      </w:r>
    </w:p>
  </w:footnote>
  <w:footnote w:id="91">
    <w:p w14:paraId="563510E2" w14:textId="1B640353" w:rsidR="00481F32" w:rsidRPr="00644485" w:rsidRDefault="00481F32" w:rsidP="00481F32">
      <w:pPr>
        <w:pStyle w:val="FootnoteText"/>
        <w:rPr>
          <w:lang w:val="en-AU"/>
        </w:rPr>
      </w:pPr>
      <w:r w:rsidRPr="00B73372">
        <w:rPr>
          <w:rStyle w:val="FootnoteReference"/>
          <w:vertAlign w:val="baseline"/>
        </w:rPr>
        <w:footnoteRef/>
      </w:r>
      <w:r w:rsidRPr="00B73372">
        <w:t xml:space="preserve"> </w:t>
      </w:r>
      <w:r w:rsidRPr="00B73372">
        <w:tab/>
      </w:r>
      <w:r w:rsidR="00E45655" w:rsidRPr="00CC3ADC">
        <w:rPr>
          <w:i/>
          <w:iCs/>
        </w:rPr>
        <w:t xml:space="preserve">Briefing to review secondary legislation made in response to COVID-19: Final report of the Regulations Review Committee </w:t>
      </w:r>
      <w:r w:rsidR="00E45655" w:rsidRPr="00E45655">
        <w:t xml:space="preserve">(August 2020) </w:t>
      </w:r>
      <w:r w:rsidRPr="00B73372">
        <w:t>at 3.</w:t>
      </w:r>
      <w:r>
        <w:rPr>
          <w:lang w:val="en-AU"/>
        </w:rPr>
        <w:t xml:space="preserve"> </w:t>
      </w:r>
    </w:p>
  </w:footnote>
  <w:footnote w:id="92">
    <w:p w14:paraId="1985310C" w14:textId="66E03741" w:rsidR="009D2AA1" w:rsidRPr="00B73372" w:rsidRDefault="009D2AA1" w:rsidP="00B73372">
      <w:pPr>
        <w:pStyle w:val="FootnoteText"/>
      </w:pPr>
      <w:r w:rsidRPr="00B73372">
        <w:rPr>
          <w:rStyle w:val="FootnoteReference"/>
          <w:vertAlign w:val="baseline"/>
        </w:rPr>
        <w:footnoteRef/>
      </w:r>
      <w:r w:rsidRPr="00B73372">
        <w:t xml:space="preserve"> </w:t>
      </w:r>
      <w:r w:rsidR="00FA30EF" w:rsidRPr="00B73372">
        <w:tab/>
      </w:r>
      <w:r w:rsidR="001C6588" w:rsidRPr="001C6588">
        <w:t xml:space="preserve">COVID-19 Public Health Response Act </w:t>
      </w:r>
      <w:r w:rsidR="00765290">
        <w:t>2020, s</w:t>
      </w:r>
      <w:r w:rsidRPr="00B73372">
        <w:t xml:space="preserve"> 14(4).</w:t>
      </w:r>
    </w:p>
  </w:footnote>
  <w:footnote w:id="93">
    <w:p w14:paraId="25B75215" w14:textId="27E9D535" w:rsidR="009D2AA1" w:rsidRDefault="009D2AA1" w:rsidP="00B73372">
      <w:pPr>
        <w:pStyle w:val="FootnoteText"/>
      </w:pPr>
      <w:r w:rsidRPr="00B73372">
        <w:rPr>
          <w:rStyle w:val="FootnoteReference"/>
          <w:vertAlign w:val="baseline"/>
        </w:rPr>
        <w:footnoteRef/>
      </w:r>
      <w:r w:rsidRPr="00B73372">
        <w:t xml:space="preserve"> </w:t>
      </w:r>
      <w:r w:rsidR="00FA30EF" w:rsidRPr="00B73372">
        <w:tab/>
      </w:r>
      <w:r w:rsidR="00703902" w:rsidRPr="001C6588">
        <w:t xml:space="preserve">COVID-19 Public Health Response Act </w:t>
      </w:r>
      <w:r w:rsidR="00703902">
        <w:t>2020, s</w:t>
      </w:r>
      <w:r w:rsidRPr="00B73372">
        <w:t>16.</w:t>
      </w:r>
    </w:p>
  </w:footnote>
  <w:footnote w:id="94">
    <w:p w14:paraId="04D4B65D" w14:textId="1620D63D" w:rsidR="009D2AA1" w:rsidRPr="00B73372" w:rsidRDefault="009D2AA1" w:rsidP="00B73372">
      <w:pPr>
        <w:pStyle w:val="FootnoteText"/>
      </w:pPr>
      <w:r w:rsidRPr="00B73372">
        <w:rPr>
          <w:rStyle w:val="FootnoteReference"/>
          <w:vertAlign w:val="baseline"/>
        </w:rPr>
        <w:footnoteRef/>
      </w:r>
      <w:r w:rsidRPr="00B73372">
        <w:t xml:space="preserve"> </w:t>
      </w:r>
      <w:r w:rsidR="008C24D4" w:rsidRPr="00B73372">
        <w:tab/>
      </w:r>
      <w:r w:rsidRPr="00B73372">
        <w:t>See generally, Sarah Kerkin “Earthquake Recovery Legislation: learning from experience” (2018) 14 Policy Quarterly 53.</w:t>
      </w:r>
    </w:p>
  </w:footnote>
  <w:footnote w:id="95">
    <w:p w14:paraId="6F64D33E" w14:textId="50A50F9F" w:rsidR="009D2AA1" w:rsidRPr="001D3F45" w:rsidRDefault="009D2AA1" w:rsidP="00B73372">
      <w:pPr>
        <w:pStyle w:val="FootnoteText"/>
        <w:rPr>
          <w:sz w:val="20"/>
        </w:rPr>
      </w:pPr>
      <w:r w:rsidRPr="00B73372">
        <w:rPr>
          <w:rStyle w:val="FootnoteReference"/>
          <w:vertAlign w:val="baseline"/>
        </w:rPr>
        <w:footnoteRef/>
      </w:r>
      <w:r w:rsidRPr="00B73372">
        <w:t xml:space="preserve"> </w:t>
      </w:r>
      <w:r w:rsidR="008C24D4" w:rsidRPr="00B73372">
        <w:tab/>
      </w:r>
      <w:r w:rsidRPr="00B73372">
        <w:t xml:space="preserve">The </w:t>
      </w:r>
      <w:r w:rsidR="00DE3BE1">
        <w:t>RRC</w:t>
      </w:r>
      <w:r w:rsidR="00DE3BE1" w:rsidRPr="00B73372">
        <w:t xml:space="preserve"> </w:t>
      </w:r>
      <w:r w:rsidRPr="00B73372">
        <w:t>also helpfully reported on which statutes had actually been modified in response to the Canterbury earthquakes in 2010 and 2011.</w:t>
      </w:r>
      <w:r>
        <w:rPr>
          <w:sz w:val="20"/>
        </w:rPr>
        <w:t xml:space="preserve"> </w:t>
      </w:r>
    </w:p>
  </w:footnote>
  <w:footnote w:id="96">
    <w:p w14:paraId="5491AA04" w14:textId="7A758CAD" w:rsidR="006777D3" w:rsidRDefault="006777D3">
      <w:pPr>
        <w:pStyle w:val="FootnoteText"/>
      </w:pPr>
      <w:r w:rsidRPr="006777D3">
        <w:rPr>
          <w:rStyle w:val="FootnoteReference"/>
          <w:vertAlign w:val="baseline"/>
        </w:rPr>
        <w:footnoteRef/>
      </w:r>
      <w:r w:rsidRPr="006777D3">
        <w:t xml:space="preserve"> </w:t>
      </w:r>
      <w:r w:rsidRPr="006777D3">
        <w:tab/>
      </w:r>
      <w:r w:rsidRPr="006777D3">
        <w:rPr>
          <w:rStyle w:val="cf01"/>
          <w:rFonts w:ascii="Metropolis Light" w:hAnsi="Metropolis Light"/>
          <w:sz w:val="15"/>
          <w:szCs w:val="15"/>
        </w:rPr>
        <w:t>Inquiry into Parliament’s legislative response to future national emergencies:</w:t>
      </w:r>
      <w:r w:rsidRPr="006777D3">
        <w:rPr>
          <w:rStyle w:val="cf11"/>
          <w:rFonts w:ascii="Metropolis Light" w:hAnsi="Metropolis Light"/>
          <w:sz w:val="15"/>
          <w:szCs w:val="15"/>
        </w:rPr>
        <w:t xml:space="preserve"> </w:t>
      </w:r>
      <w:r w:rsidRPr="006777D3">
        <w:rPr>
          <w:rStyle w:val="cf01"/>
          <w:rFonts w:ascii="Metropolis Light" w:hAnsi="Metropolis Light"/>
          <w:sz w:val="15"/>
          <w:szCs w:val="15"/>
        </w:rPr>
        <w:t>Report of the Regulations Review Committee</w:t>
      </w:r>
      <w:r w:rsidRPr="006777D3">
        <w:rPr>
          <w:rStyle w:val="cf11"/>
          <w:rFonts w:ascii="Metropolis Light" w:hAnsi="Metropolis Light"/>
          <w:sz w:val="15"/>
          <w:szCs w:val="15"/>
        </w:rPr>
        <w:t xml:space="preserve"> (December 2016) at 21.</w:t>
      </w:r>
    </w:p>
  </w:footnote>
  <w:footnote w:id="97">
    <w:p w14:paraId="0A08D9FA" w14:textId="754B9976" w:rsidR="009D2AA1" w:rsidRPr="00B73372" w:rsidRDefault="009D2AA1" w:rsidP="00B73372">
      <w:pPr>
        <w:pStyle w:val="FootnoteText"/>
      </w:pPr>
      <w:r w:rsidRPr="00B73372">
        <w:rPr>
          <w:rStyle w:val="FootnoteReference"/>
          <w:vertAlign w:val="baseline"/>
        </w:rPr>
        <w:footnoteRef/>
      </w:r>
      <w:r w:rsidRPr="00B73372">
        <w:t xml:space="preserve"> </w:t>
      </w:r>
      <w:r w:rsidR="008C24D4" w:rsidRPr="00B73372">
        <w:tab/>
      </w:r>
      <w:r w:rsidR="00765290" w:rsidRPr="00765290">
        <w:t>Hurunui/Kaikōura Earthquakes Recovery Act</w:t>
      </w:r>
      <w:r w:rsidR="00D8379E">
        <w:t xml:space="preserve"> 2016</w:t>
      </w:r>
      <w:r w:rsidR="00765290">
        <w:t>, s</w:t>
      </w:r>
      <w:r w:rsidRPr="00B73372">
        <w:t xml:space="preserve"> 18. </w:t>
      </w:r>
    </w:p>
  </w:footnote>
  <w:footnote w:id="98">
    <w:p w14:paraId="109F0764" w14:textId="036609F4" w:rsidR="009D2AA1" w:rsidRPr="00B73372" w:rsidRDefault="009D2AA1" w:rsidP="00B73372">
      <w:pPr>
        <w:pStyle w:val="FootnoteText"/>
      </w:pPr>
      <w:r w:rsidRPr="00B73372">
        <w:rPr>
          <w:rStyle w:val="FootnoteReference"/>
          <w:vertAlign w:val="baseline"/>
        </w:rPr>
        <w:footnoteRef/>
      </w:r>
      <w:r w:rsidRPr="00B73372">
        <w:t xml:space="preserve"> </w:t>
      </w:r>
      <w:r w:rsidR="008C24D4" w:rsidRPr="00B73372">
        <w:tab/>
      </w:r>
      <w:r w:rsidRPr="00B73372">
        <w:t>Hurunui/Kaikōura Earthquakes Recovery Act 2016, s 8.</w:t>
      </w:r>
    </w:p>
  </w:footnote>
  <w:footnote w:id="99">
    <w:p w14:paraId="3FEB4A50" w14:textId="7C987E79" w:rsidR="009D2AA1" w:rsidRPr="00B73372" w:rsidRDefault="009D2AA1" w:rsidP="00B73372">
      <w:pPr>
        <w:pStyle w:val="FootnoteText"/>
      </w:pPr>
      <w:r w:rsidRPr="00B73372">
        <w:rPr>
          <w:rStyle w:val="FootnoteReference"/>
          <w:vertAlign w:val="baseline"/>
        </w:rPr>
        <w:footnoteRef/>
      </w:r>
      <w:r w:rsidRPr="00B73372">
        <w:t xml:space="preserve"> </w:t>
      </w:r>
      <w:r w:rsidR="008C24D4" w:rsidRPr="00B73372">
        <w:tab/>
      </w:r>
      <w:r w:rsidRPr="00B73372">
        <w:t>Canterbury Earthquake Recovery Act 2011, s 71.</w:t>
      </w:r>
    </w:p>
  </w:footnote>
  <w:footnote w:id="100">
    <w:p w14:paraId="408EC7BD" w14:textId="4674B544" w:rsidR="009D2AA1" w:rsidRDefault="009D2AA1" w:rsidP="00B73372">
      <w:pPr>
        <w:pStyle w:val="FootnoteText"/>
      </w:pPr>
      <w:r w:rsidRPr="00B73372">
        <w:rPr>
          <w:rStyle w:val="FootnoteReference"/>
          <w:vertAlign w:val="baseline"/>
        </w:rPr>
        <w:footnoteRef/>
      </w:r>
      <w:r w:rsidRPr="00B73372">
        <w:t xml:space="preserve"> </w:t>
      </w:r>
      <w:r w:rsidR="008C24D4" w:rsidRPr="00B73372">
        <w:tab/>
      </w:r>
      <w:r w:rsidRPr="00B73372">
        <w:t xml:space="preserve">Epidemic Preparedness Act </w:t>
      </w:r>
      <w:r w:rsidR="00C07E51">
        <w:t>2006</w:t>
      </w:r>
      <w:r w:rsidRPr="00B73372">
        <w:t>, s 11(3)(b)(ii).</w:t>
      </w:r>
      <w:r>
        <w:t xml:space="preserve"> </w:t>
      </w:r>
    </w:p>
  </w:footnote>
  <w:footnote w:id="101">
    <w:p w14:paraId="26352B99" w14:textId="642B4612" w:rsidR="009D2AA1" w:rsidRPr="00B73372" w:rsidRDefault="009D2AA1" w:rsidP="00190EF4">
      <w:pPr>
        <w:pStyle w:val="FootnoteText"/>
      </w:pPr>
      <w:r w:rsidRPr="00B73372">
        <w:rPr>
          <w:rStyle w:val="FootnoteReference"/>
          <w:vertAlign w:val="baseline"/>
        </w:rPr>
        <w:footnoteRef/>
      </w:r>
      <w:r w:rsidRPr="00B73372">
        <w:t xml:space="preserve"> </w:t>
      </w:r>
      <w:r w:rsidR="00A11536" w:rsidRPr="00B73372">
        <w:tab/>
      </w:r>
      <w:r w:rsidR="004176D8">
        <w:t>Christchurch</w:t>
      </w:r>
      <w:r w:rsidR="004176D8" w:rsidRPr="00B73372">
        <w:t xml:space="preserve"> </w:t>
      </w:r>
      <w:r w:rsidRPr="00B73372">
        <w:t xml:space="preserve">City Council’s submission to the 2020 RRC inquiry suggested that a further 35 Acts should be excluded from Order in Council amendment because of their fundamentally constitutional nature in protecting the rights and freedoms and transparent governance. </w:t>
      </w:r>
    </w:p>
  </w:footnote>
  <w:footnote w:id="102">
    <w:p w14:paraId="689A95D1" w14:textId="15729BE6" w:rsidR="007D1352" w:rsidRDefault="007D1352" w:rsidP="007D1352">
      <w:pPr>
        <w:pStyle w:val="FootnoteText"/>
      </w:pPr>
      <w:r w:rsidRPr="00B73372">
        <w:rPr>
          <w:rStyle w:val="FootnoteReference"/>
          <w:vertAlign w:val="baseline"/>
        </w:rPr>
        <w:footnoteRef/>
      </w:r>
      <w:r w:rsidRPr="00B73372">
        <w:t xml:space="preserve"> </w:t>
      </w:r>
      <w:r w:rsidRPr="00B73372">
        <w:tab/>
      </w:r>
      <w:r w:rsidRPr="00CC3ADC">
        <w:rPr>
          <w:i/>
          <w:iCs/>
        </w:rPr>
        <w:t>Finance and Expenditure Committee Inquiry into the operation of the COVID-19 Public Health Response Act 2020</w:t>
      </w:r>
      <w:r w:rsidRPr="00B73372">
        <w:t xml:space="preserve"> (July 2020) </w:t>
      </w:r>
      <w:r w:rsidR="0046016A">
        <w:t>a</w:t>
      </w:r>
      <w:r w:rsidRPr="00B73372">
        <w:t>t 12.</w:t>
      </w:r>
    </w:p>
  </w:footnote>
  <w:footnote w:id="103">
    <w:p w14:paraId="0D7C24F6" w14:textId="23FE01A2" w:rsidR="007D1352" w:rsidRPr="00B73372" w:rsidRDefault="007D1352" w:rsidP="007D1352">
      <w:pPr>
        <w:pStyle w:val="FootnoteText"/>
      </w:pPr>
      <w:r w:rsidRPr="00B73372">
        <w:rPr>
          <w:rStyle w:val="FootnoteReference"/>
          <w:vertAlign w:val="baseline"/>
        </w:rPr>
        <w:footnoteRef/>
      </w:r>
      <w:r w:rsidRPr="00B73372">
        <w:t xml:space="preserve"> </w:t>
      </w:r>
      <w:r w:rsidRPr="00B73372">
        <w:tab/>
      </w:r>
      <w:r w:rsidR="00515E20" w:rsidRPr="00CC3ADC">
        <w:rPr>
          <w:i/>
          <w:iCs/>
        </w:rPr>
        <w:t>Inquiry into Parliament’s legislative response to future national emergencies: Report of the Regulations Review Committee</w:t>
      </w:r>
      <w:r w:rsidR="00515E20" w:rsidRPr="00515E20">
        <w:t xml:space="preserve"> (December 2016) </w:t>
      </w:r>
      <w:r w:rsidRPr="00B73372">
        <w:t>at 25.</w:t>
      </w:r>
    </w:p>
  </w:footnote>
  <w:footnote w:id="104">
    <w:p w14:paraId="4C53C460" w14:textId="58EAEB20" w:rsidR="00481F32" w:rsidRPr="00547A0C" w:rsidRDefault="00481F32" w:rsidP="00481F32">
      <w:pPr>
        <w:pStyle w:val="FootnoteText"/>
        <w:rPr>
          <w:rStyle w:val="FootnoteTextChar"/>
          <w:rFonts w:eastAsiaTheme="minorHAnsi"/>
        </w:rPr>
      </w:pPr>
      <w:r w:rsidRPr="00547A0C">
        <w:rPr>
          <w:rStyle w:val="FootnoteReference"/>
          <w:vertAlign w:val="baseline"/>
        </w:rPr>
        <w:footnoteRef/>
      </w:r>
      <w:r w:rsidRPr="00547A0C">
        <w:t xml:space="preserve"> </w:t>
      </w:r>
      <w:r w:rsidRPr="00547A0C">
        <w:tab/>
      </w:r>
      <w:r w:rsidR="0046016A" w:rsidRPr="00CC3ADC">
        <w:rPr>
          <w:rStyle w:val="FootnoteTextChar"/>
          <w:rFonts w:eastAsia="Calibri"/>
          <w:i/>
          <w:iCs/>
        </w:rPr>
        <w:t>Inquiry into Parliament’s legislative response to future national emergencies: Report of the Regulations Review Committee</w:t>
      </w:r>
      <w:r w:rsidR="0046016A" w:rsidRPr="0046016A">
        <w:rPr>
          <w:rStyle w:val="FootnoteTextChar"/>
          <w:rFonts w:eastAsia="Calibri"/>
        </w:rPr>
        <w:t xml:space="preserve"> (December 2016) </w:t>
      </w:r>
      <w:r w:rsidRPr="00547A0C">
        <w:rPr>
          <w:rStyle w:val="FootnoteTextChar"/>
          <w:rFonts w:eastAsia="Calibri"/>
        </w:rPr>
        <w:t>at 23.</w:t>
      </w:r>
    </w:p>
  </w:footnote>
  <w:footnote w:id="105">
    <w:p w14:paraId="460E6563" w14:textId="03714EFE" w:rsidR="009D2AA1" w:rsidRPr="00547A0C" w:rsidRDefault="009D2AA1" w:rsidP="00547A0C">
      <w:pPr>
        <w:pStyle w:val="FootnoteText"/>
        <w:rPr>
          <w:rFonts w:eastAsia="Calibri"/>
        </w:rPr>
      </w:pPr>
      <w:r w:rsidRPr="00547A0C">
        <w:rPr>
          <w:rStyle w:val="FootnoteReference"/>
          <w:vertAlign w:val="baseline"/>
        </w:rPr>
        <w:footnoteRef/>
      </w:r>
      <w:r w:rsidRPr="00547A0C">
        <w:t xml:space="preserve"> </w:t>
      </w:r>
      <w:r w:rsidR="000F72CC" w:rsidRPr="00547A0C">
        <w:tab/>
      </w:r>
      <w:r w:rsidRPr="00547A0C">
        <w:rPr>
          <w:rFonts w:eastAsia="Calibri"/>
        </w:rPr>
        <w:t xml:space="preserve">See further the discussion in </w:t>
      </w:r>
      <w:r w:rsidR="008714E7" w:rsidRPr="000E34E3">
        <w:t xml:space="preserve">Louise Delany </w:t>
      </w:r>
      <w:r w:rsidR="008714E7" w:rsidRPr="00667CED">
        <w:rPr>
          <w:i/>
          <w:iCs/>
        </w:rPr>
        <w:t>Covid and the Law in Aotearoa New Zealand</w:t>
      </w:r>
      <w:r w:rsidR="008714E7" w:rsidRPr="000E34E3">
        <w:t xml:space="preserve"> (Thomson Reuters, Wellington, 2021)</w:t>
      </w:r>
      <w:r w:rsidRPr="00547A0C">
        <w:rPr>
          <w:rFonts w:eastAsia="Calibri"/>
        </w:rPr>
        <w:t xml:space="preserve"> at [13.2]</w:t>
      </w:r>
      <w:r w:rsidR="003761EB">
        <w:rPr>
          <w:rFonts w:eastAsia="Calibri"/>
        </w:rPr>
        <w:t>,</w:t>
      </w:r>
      <w:r w:rsidRPr="00547A0C">
        <w:rPr>
          <w:rFonts w:eastAsia="Calibri"/>
        </w:rPr>
        <w:t xml:space="preserve"> which summarises various points of intersection between the C</w:t>
      </w:r>
      <w:r w:rsidR="00CC3187">
        <w:rPr>
          <w:rFonts w:eastAsia="Calibri"/>
        </w:rPr>
        <w:t>OVID</w:t>
      </w:r>
      <w:r w:rsidRPr="00547A0C">
        <w:rPr>
          <w:rFonts w:eastAsia="Calibri"/>
        </w:rPr>
        <w:t xml:space="preserve">-19 response and international law. </w:t>
      </w:r>
    </w:p>
  </w:footnote>
  <w:footnote w:id="106">
    <w:p w14:paraId="7937FC80" w14:textId="21A6CDAC" w:rsidR="00D455A3" w:rsidRDefault="001D10A4">
      <w:pPr>
        <w:pStyle w:val="FootnoteText"/>
      </w:pPr>
      <w:r w:rsidRPr="00D455A3">
        <w:rPr>
          <w:rStyle w:val="FootnoteReference"/>
          <w:vertAlign w:val="baseline"/>
        </w:rPr>
        <w:footnoteRef/>
      </w:r>
      <w:r w:rsidRPr="00D455A3">
        <w:t xml:space="preserve"> </w:t>
      </w:r>
      <w:r w:rsidR="00D455A3" w:rsidRPr="00D455A3">
        <w:tab/>
      </w:r>
      <w:r w:rsidR="00D455A3" w:rsidRPr="00D455A3">
        <w:rPr>
          <w:rFonts w:cs="Segoe UI"/>
          <w:i/>
          <w:iCs/>
          <w:szCs w:val="15"/>
          <w:lang w:eastAsia="zh-CN" w:bidi="th-TH"/>
        </w:rPr>
        <w:t>Inquiry into Parliament’s legislative response to future national emergencies</w:t>
      </w:r>
      <w:r w:rsidR="00D455A3" w:rsidRPr="00D455A3">
        <w:rPr>
          <w:rFonts w:cs="Segoe UI"/>
          <w:color w:val="0000FF"/>
          <w:szCs w:val="15"/>
          <w:lang w:eastAsia="zh-CN" w:bidi="th-TH"/>
        </w:rPr>
        <w:t>:</w:t>
      </w:r>
      <w:r w:rsidR="00D455A3" w:rsidRPr="00D455A3">
        <w:rPr>
          <w:rFonts w:cs="Segoe UI"/>
          <w:szCs w:val="15"/>
          <w:lang w:eastAsia="zh-CN" w:bidi="th-TH"/>
        </w:rPr>
        <w:t xml:space="preserve">” </w:t>
      </w:r>
      <w:r w:rsidR="00D455A3" w:rsidRPr="00D455A3">
        <w:rPr>
          <w:rFonts w:cs="Segoe UI"/>
          <w:i/>
          <w:iCs/>
          <w:szCs w:val="15"/>
          <w:lang w:eastAsia="zh-CN" w:bidi="th-TH"/>
        </w:rPr>
        <w:t>Report of the Regulations Review Committee</w:t>
      </w:r>
      <w:r w:rsidR="00D455A3" w:rsidRPr="00D455A3">
        <w:rPr>
          <w:rFonts w:cs="Segoe UI"/>
          <w:szCs w:val="15"/>
          <w:lang w:eastAsia="zh-CN" w:bidi="th-TH"/>
        </w:rPr>
        <w:t xml:space="preserve"> (December 2016) at 3</w:t>
      </w:r>
      <w:r w:rsidR="00D455A3">
        <w:rPr>
          <w:rFonts w:cs="Segoe UI"/>
          <w:szCs w:val="15"/>
          <w:lang w:eastAsia="zh-CN" w:bidi="th-TH"/>
        </w:rPr>
        <w:t>.</w:t>
      </w:r>
    </w:p>
  </w:footnote>
  <w:footnote w:id="107">
    <w:p w14:paraId="31546021" w14:textId="3C21D722" w:rsidR="009D2AA1" w:rsidRPr="00547A0C" w:rsidRDefault="009D2AA1" w:rsidP="00547A0C">
      <w:pPr>
        <w:pStyle w:val="FootnoteText"/>
      </w:pPr>
      <w:r w:rsidRPr="00547A0C">
        <w:rPr>
          <w:rStyle w:val="FootnoteReference"/>
          <w:vertAlign w:val="baseline"/>
        </w:rPr>
        <w:footnoteRef/>
      </w:r>
      <w:r w:rsidRPr="00547A0C">
        <w:t xml:space="preserve"> </w:t>
      </w:r>
      <w:r w:rsidR="000F72CC" w:rsidRPr="00547A0C">
        <w:tab/>
      </w:r>
      <w:r w:rsidR="0046016A" w:rsidRPr="00F71137">
        <w:rPr>
          <w:rStyle w:val="FootnoteTextChar"/>
          <w:rFonts w:eastAsia="Calibri"/>
          <w:i/>
          <w:iCs/>
        </w:rPr>
        <w:t>Inquiry into Parliament’s legislative response to future national emergencies: Report of the Regulations Review Committee</w:t>
      </w:r>
      <w:r w:rsidR="0046016A" w:rsidRPr="0046016A">
        <w:rPr>
          <w:rStyle w:val="FootnoteTextChar"/>
          <w:rFonts w:eastAsia="Calibri"/>
        </w:rPr>
        <w:t xml:space="preserve"> (December 2016) </w:t>
      </w:r>
      <w:r w:rsidRPr="00547A0C">
        <w:t>at 36</w:t>
      </w:r>
      <w:r w:rsidR="003761EB">
        <w:t>.</w:t>
      </w:r>
      <w:r w:rsidRPr="00547A0C">
        <w:t xml:space="preserve"> </w:t>
      </w:r>
      <w:r w:rsidR="003761EB">
        <w:t>T</w:t>
      </w:r>
      <w:r w:rsidRPr="00547A0C">
        <w:t>he framework is described in detail.</w:t>
      </w:r>
    </w:p>
  </w:footnote>
  <w:footnote w:id="108">
    <w:p w14:paraId="4CD53096" w14:textId="770BECA8" w:rsidR="00481F32" w:rsidRPr="00436E51" w:rsidRDefault="00481F32" w:rsidP="00481F32">
      <w:pPr>
        <w:pStyle w:val="FootnoteText"/>
        <w:rPr>
          <w:lang w:val="en-AU"/>
        </w:rPr>
      </w:pPr>
      <w:r w:rsidRPr="00547A0C">
        <w:rPr>
          <w:rStyle w:val="FootnoteReference"/>
          <w:vertAlign w:val="baseline"/>
        </w:rPr>
        <w:footnoteRef/>
      </w:r>
      <w:r w:rsidRPr="00547A0C">
        <w:t xml:space="preserve"> </w:t>
      </w:r>
      <w:r w:rsidRPr="00547A0C">
        <w:tab/>
      </w:r>
      <w:r w:rsidR="00CB6965" w:rsidRPr="00CC3ADC">
        <w:rPr>
          <w:i/>
          <w:iCs/>
        </w:rPr>
        <w:t>Briefing to review secondary legislation made in response to COVID-19: Final report of the Regulations Review Committee</w:t>
      </w:r>
      <w:r w:rsidR="00CB6965" w:rsidRPr="00CB6965">
        <w:t xml:space="preserve"> (August 2020) </w:t>
      </w:r>
      <w:r w:rsidRPr="00547A0C">
        <w:t>at 2.</w:t>
      </w:r>
      <w:r>
        <w:rPr>
          <w:lang w:val="en-AU"/>
        </w:rPr>
        <w:t xml:space="preserve"> </w:t>
      </w:r>
    </w:p>
  </w:footnote>
  <w:footnote w:id="109">
    <w:p w14:paraId="2CC0F0DE" w14:textId="1F82F0CE" w:rsidR="004D77DB" w:rsidRPr="006A3C43" w:rsidRDefault="004D77DB" w:rsidP="006A3C43">
      <w:pPr>
        <w:pStyle w:val="FootnoteText"/>
      </w:pPr>
      <w:r w:rsidRPr="006A3C43">
        <w:rPr>
          <w:rStyle w:val="FootnoteReference"/>
          <w:vertAlign w:val="baseline"/>
        </w:rPr>
        <w:footnoteRef/>
      </w:r>
      <w:r w:rsidRPr="006A3C43">
        <w:t xml:space="preserve"> </w:t>
      </w:r>
      <w:r w:rsidR="006A3C43" w:rsidRPr="006A3C43">
        <w:tab/>
      </w:r>
      <w:r w:rsidRPr="006A3C43">
        <w:t xml:space="preserve">Civil Defence Emergency Management Act 2002, s 25. Section 69 provides that the Minister may only declare a state of local emergency if “it appears to the Minister that an emergency has occurred or may occur in the area of any [CDEM] </w:t>
      </w:r>
      <w:r w:rsidR="000D337B">
        <w:t>G</w:t>
      </w:r>
      <w:r w:rsidRPr="006A3C43">
        <w:t xml:space="preserve">roup and a state of emergency has been declared under section 68.” </w:t>
      </w:r>
    </w:p>
  </w:footnote>
  <w:footnote w:id="110">
    <w:p w14:paraId="00E536B4" w14:textId="6B5ABFF0" w:rsidR="004D77DB" w:rsidRPr="006A3C43" w:rsidRDefault="004D77DB" w:rsidP="006A3C43">
      <w:pPr>
        <w:pStyle w:val="FootnoteText"/>
      </w:pPr>
      <w:r w:rsidRPr="006A3C43">
        <w:rPr>
          <w:rStyle w:val="FootnoteReference"/>
          <w:vertAlign w:val="baseline"/>
        </w:rPr>
        <w:footnoteRef/>
      </w:r>
      <w:r w:rsidRPr="006A3C43">
        <w:t xml:space="preserve"> </w:t>
      </w:r>
      <w:r w:rsidR="006A3C43" w:rsidRPr="006A3C43">
        <w:tab/>
      </w:r>
      <w:r w:rsidR="00D4560C" w:rsidRPr="00D4560C">
        <w:t>COVID-19 Public Health Response Act 2020</w:t>
      </w:r>
      <w:r w:rsidR="00D4560C">
        <w:t xml:space="preserve">, </w:t>
      </w:r>
      <w:r w:rsidRPr="006A3C43">
        <w:t>s</w:t>
      </w:r>
      <w:r w:rsidR="00D4560C">
        <w:t>s</w:t>
      </w:r>
      <w:r w:rsidRPr="006A3C43">
        <w:t xml:space="preserve"> 8, 38 and 39.</w:t>
      </w:r>
    </w:p>
  </w:footnote>
  <w:footnote w:id="111">
    <w:p w14:paraId="74703C24" w14:textId="13824E68" w:rsidR="004D77DB" w:rsidRPr="006A3C43" w:rsidRDefault="004D77DB" w:rsidP="006A3C43">
      <w:pPr>
        <w:pStyle w:val="FootnoteText"/>
      </w:pPr>
      <w:r w:rsidRPr="006A3C43">
        <w:rPr>
          <w:rStyle w:val="FootnoteReference"/>
          <w:vertAlign w:val="baseline"/>
        </w:rPr>
        <w:footnoteRef/>
      </w:r>
      <w:r w:rsidRPr="006A3C43">
        <w:t xml:space="preserve"> </w:t>
      </w:r>
      <w:r w:rsidR="006A3C43" w:rsidRPr="006A3C43">
        <w:tab/>
      </w:r>
      <w:r w:rsidR="001254BF" w:rsidRPr="001254BF">
        <w:t xml:space="preserve">Biosecurity Act </w:t>
      </w:r>
      <w:r w:rsidR="001254BF">
        <w:t xml:space="preserve">1993, s </w:t>
      </w:r>
      <w:r w:rsidRPr="006A3C43">
        <w:t xml:space="preserve">146. </w:t>
      </w:r>
    </w:p>
  </w:footnote>
  <w:footnote w:id="112">
    <w:p w14:paraId="10C021BD" w14:textId="090694C5" w:rsidR="004D77DB" w:rsidRPr="006A3C43" w:rsidRDefault="004D77DB" w:rsidP="006A3C43">
      <w:pPr>
        <w:pStyle w:val="FootnoteText"/>
      </w:pPr>
      <w:r w:rsidRPr="006A3C43">
        <w:rPr>
          <w:rStyle w:val="FootnoteReference"/>
          <w:vertAlign w:val="baseline"/>
        </w:rPr>
        <w:footnoteRef/>
      </w:r>
      <w:r w:rsidRPr="006A3C43">
        <w:t xml:space="preserve"> </w:t>
      </w:r>
      <w:r w:rsidR="006A3C43">
        <w:tab/>
      </w:r>
      <w:r w:rsidR="005D2EE0" w:rsidRPr="005D2EE0">
        <w:t>World Health Organisation International Health Regulations 2005</w:t>
      </w:r>
      <w:r w:rsidR="005D2EE0">
        <w:t xml:space="preserve">, </w:t>
      </w:r>
      <w:r w:rsidR="00D9237B">
        <w:t>art</w:t>
      </w:r>
      <w:r w:rsidRPr="006A3C43">
        <w:t>s 7 and 10.</w:t>
      </w:r>
    </w:p>
  </w:footnote>
  <w:footnote w:id="113">
    <w:p w14:paraId="35DAFF3E" w14:textId="5C860AC1" w:rsidR="004D77DB" w:rsidRDefault="004D77DB" w:rsidP="006A3C43">
      <w:pPr>
        <w:pStyle w:val="FootnoteText"/>
      </w:pPr>
      <w:r w:rsidRPr="006A3C43">
        <w:rPr>
          <w:rStyle w:val="FootnoteReference"/>
          <w:vertAlign w:val="baseline"/>
        </w:rPr>
        <w:footnoteRef/>
      </w:r>
      <w:r w:rsidRPr="006A3C43">
        <w:t xml:space="preserve"> </w:t>
      </w:r>
      <w:r w:rsidR="006A3C43">
        <w:tab/>
      </w:r>
      <w:r w:rsidR="005D2EE0" w:rsidRPr="005D2EE0">
        <w:t>World Health Organisation International Health Regulations 2005</w:t>
      </w:r>
      <w:r w:rsidR="005D2EE0">
        <w:t>, art</w:t>
      </w:r>
      <w:r w:rsidRPr="006A3C43">
        <w:t xml:space="preserve"> 12.</w:t>
      </w:r>
    </w:p>
  </w:footnote>
  <w:footnote w:id="114">
    <w:p w14:paraId="2D7EAE1D" w14:textId="1D576901" w:rsidR="004D77DB" w:rsidRPr="00C92E7D" w:rsidRDefault="004D77DB" w:rsidP="00C92E7D">
      <w:pPr>
        <w:pStyle w:val="FootnoteText"/>
      </w:pPr>
      <w:r w:rsidRPr="00C92E7D">
        <w:rPr>
          <w:rStyle w:val="FootnoteReference"/>
          <w:vertAlign w:val="baseline"/>
        </w:rPr>
        <w:footnoteRef/>
      </w:r>
      <w:r w:rsidRPr="00C92E7D">
        <w:t xml:space="preserve"> </w:t>
      </w:r>
      <w:r w:rsidR="003B4979" w:rsidRPr="00C92E7D">
        <w:tab/>
      </w:r>
      <w:r w:rsidRPr="00CC3ADC">
        <w:t>Michael Lewis</w:t>
      </w:r>
      <w:r w:rsidRPr="00C92E7D">
        <w:rPr>
          <w:i/>
          <w:iCs/>
        </w:rPr>
        <w:t xml:space="preserve"> </w:t>
      </w:r>
      <w:r w:rsidR="0082113E">
        <w:rPr>
          <w:i/>
          <w:iCs/>
        </w:rPr>
        <w:t xml:space="preserve">The </w:t>
      </w:r>
      <w:r w:rsidRPr="00C92E7D">
        <w:rPr>
          <w:i/>
          <w:iCs/>
        </w:rPr>
        <w:t>Premonition: A Pandemic Story</w:t>
      </w:r>
      <w:r w:rsidRPr="00C92E7D">
        <w:t xml:space="preserve"> (Penguin Books Limited, 2021). See also the treatment of the responsible medical officer in the Isle of Man: Helen Pidd “Isle of Man medical director faced ‘disgraceful’ bullying, tribunal finds” </w:t>
      </w:r>
      <w:r w:rsidRPr="007E2BD3">
        <w:rPr>
          <w:i/>
          <w:iCs/>
        </w:rPr>
        <w:t>The Guardian</w:t>
      </w:r>
      <w:r w:rsidRPr="00C92E7D">
        <w:t xml:space="preserve"> (online ed, London, 17 May 2022).</w:t>
      </w:r>
    </w:p>
  </w:footnote>
  <w:footnote w:id="115">
    <w:p w14:paraId="6FEA580A" w14:textId="6F2DAC2E" w:rsidR="004D77DB" w:rsidRPr="003B4979" w:rsidRDefault="004D77DB" w:rsidP="003B4979">
      <w:pPr>
        <w:pStyle w:val="FootnoteText"/>
      </w:pPr>
      <w:r w:rsidRPr="003B4979">
        <w:rPr>
          <w:rStyle w:val="FootnoteReference"/>
          <w:vertAlign w:val="baseline"/>
        </w:rPr>
        <w:footnoteRef/>
      </w:r>
      <w:r w:rsidRPr="003B4979">
        <w:t xml:space="preserve"> </w:t>
      </w:r>
      <w:r w:rsidR="007670A8" w:rsidRPr="003B4979">
        <w:tab/>
      </w:r>
      <w:r w:rsidRPr="003B4979">
        <w:t xml:space="preserve">Khylee Quince “Māori concepts and privacy” in Rosemary Tobin and Stephen Penk (eds) </w:t>
      </w:r>
      <w:r w:rsidRPr="00C92E7D">
        <w:rPr>
          <w:i/>
          <w:iCs/>
        </w:rPr>
        <w:t>Privacy law in New Zealand</w:t>
      </w:r>
      <w:r w:rsidRPr="003B4979">
        <w:t xml:space="preserve"> (2nd ed, Thomson Reuters, Wellington, 2016) 29 at 43. Marae are, for example, exempted from warrantless searches under s 109(2) of the Biosecurity Act 1993.</w:t>
      </w:r>
    </w:p>
  </w:footnote>
  <w:footnote w:id="116">
    <w:p w14:paraId="0C4058BE" w14:textId="37C91261" w:rsidR="004D77DB" w:rsidRPr="003B4979" w:rsidRDefault="004D77DB" w:rsidP="003B4979">
      <w:pPr>
        <w:pStyle w:val="FootnoteText"/>
      </w:pPr>
      <w:r w:rsidRPr="003B4979">
        <w:rPr>
          <w:rStyle w:val="FootnoteReference"/>
          <w:vertAlign w:val="baseline"/>
        </w:rPr>
        <w:footnoteRef/>
      </w:r>
      <w:r w:rsidRPr="003B4979">
        <w:t xml:space="preserve"> </w:t>
      </w:r>
      <w:r w:rsidR="007670A8" w:rsidRPr="003B4979">
        <w:tab/>
      </w:r>
      <w:r w:rsidRPr="003B4979">
        <w:t>Health Act 1956, s 22(1). Every person who holds the office of Director-General of Health shall, if that person is a medical practitioner suitably experienced and qualified in public health medicine, have all the functions of a medical officer of health, and may exercise those functions in any part of New Zealand.</w:t>
      </w:r>
    </w:p>
  </w:footnote>
  <w:footnote w:id="117">
    <w:p w14:paraId="1B993416" w14:textId="3853EE35" w:rsidR="004D77DB" w:rsidRDefault="004D77DB" w:rsidP="003B4979">
      <w:pPr>
        <w:pStyle w:val="FootnoteText"/>
      </w:pPr>
      <w:r w:rsidRPr="003B4979">
        <w:rPr>
          <w:rStyle w:val="FootnoteReference"/>
          <w:vertAlign w:val="baseline"/>
        </w:rPr>
        <w:footnoteRef/>
      </w:r>
      <w:r w:rsidRPr="003B4979">
        <w:t xml:space="preserve"> </w:t>
      </w:r>
      <w:r w:rsidR="007670A8" w:rsidRPr="003B4979">
        <w:tab/>
      </w:r>
      <w:r w:rsidRPr="00F33796">
        <w:rPr>
          <w:i/>
          <w:iCs/>
        </w:rPr>
        <w:t>Borrowdale v Director-General of Health</w:t>
      </w:r>
      <w:r w:rsidRPr="003B4979">
        <w:t xml:space="preserve"> [2020] NZHC 2090, [2020] 2 NZLR 864. </w:t>
      </w:r>
      <w:r w:rsidRPr="00272DEC">
        <w:rPr>
          <w:i/>
          <w:iCs/>
        </w:rPr>
        <w:t>Borrowdale v Director-General of Health</w:t>
      </w:r>
      <w:r w:rsidRPr="003B4979">
        <w:t xml:space="preserve"> [2021] NZCA 520, [2022] 2 NZLR 356.</w:t>
      </w:r>
      <w:r>
        <w:t xml:space="preserve"> </w:t>
      </w:r>
    </w:p>
  </w:footnote>
  <w:footnote w:id="118">
    <w:p w14:paraId="5F6FF945" w14:textId="0FCFB248" w:rsidR="004D77DB" w:rsidRPr="003B4979" w:rsidRDefault="004D77DB" w:rsidP="003B4979">
      <w:pPr>
        <w:pStyle w:val="FootnoteText"/>
      </w:pPr>
      <w:r w:rsidRPr="003B4979">
        <w:rPr>
          <w:rStyle w:val="FootnoteReference"/>
          <w:vertAlign w:val="baseline"/>
        </w:rPr>
        <w:footnoteRef/>
      </w:r>
      <w:r w:rsidRPr="003B4979">
        <w:t xml:space="preserve"> </w:t>
      </w:r>
      <w:r w:rsidR="007670A8" w:rsidRPr="003B4979">
        <w:tab/>
      </w:r>
      <w:r w:rsidRPr="003B4979">
        <w:t>For the consequences of which</w:t>
      </w:r>
      <w:r w:rsidR="00B55273">
        <w:t>,</w:t>
      </w:r>
      <w:r w:rsidRPr="003B4979">
        <w:t xml:space="preserve"> see the Legislation Act 2019.</w:t>
      </w:r>
    </w:p>
  </w:footnote>
  <w:footnote w:id="119">
    <w:p w14:paraId="65BABEA1" w14:textId="1C45C438" w:rsidR="004D77DB" w:rsidRPr="00A95193" w:rsidRDefault="004D77DB" w:rsidP="003B4979">
      <w:pPr>
        <w:pStyle w:val="FootnoteText"/>
      </w:pPr>
      <w:r w:rsidRPr="003B4979">
        <w:rPr>
          <w:rStyle w:val="FootnoteReference"/>
          <w:vertAlign w:val="baseline"/>
        </w:rPr>
        <w:footnoteRef/>
      </w:r>
      <w:r w:rsidRPr="003B4979">
        <w:t xml:space="preserve"> </w:t>
      </w:r>
      <w:r w:rsidR="007670A8" w:rsidRPr="003B4979">
        <w:tab/>
      </w:r>
      <w:r w:rsidRPr="003B4979">
        <w:t>The provision in s 9 requires the advice of the Director-General</w:t>
      </w:r>
      <w:r w:rsidR="00AF220D">
        <w:t>,</w:t>
      </w:r>
      <w:r w:rsidRPr="003B4979">
        <w:t xml:space="preserve"> but as noted</w:t>
      </w:r>
      <w:r w:rsidR="00AF220D">
        <w:t>,</w:t>
      </w:r>
      <w:r w:rsidRPr="003B4979">
        <w:t xml:space="preserve"> the Director-General may not be an expert in public health.</w:t>
      </w:r>
      <w:r w:rsidRPr="00A95193">
        <w:t xml:space="preserve"> </w:t>
      </w:r>
    </w:p>
  </w:footnote>
  <w:footnote w:id="120">
    <w:p w14:paraId="48301C46" w14:textId="74CF2010" w:rsidR="004D77DB" w:rsidRPr="003B4979" w:rsidRDefault="004D77DB" w:rsidP="003B4979">
      <w:pPr>
        <w:pStyle w:val="FootnoteText"/>
      </w:pPr>
      <w:r w:rsidRPr="003B4979">
        <w:rPr>
          <w:rStyle w:val="FootnoteReference"/>
          <w:vertAlign w:val="baseline"/>
        </w:rPr>
        <w:footnoteRef/>
      </w:r>
      <w:r w:rsidRPr="003B4979">
        <w:t xml:space="preserve"> </w:t>
      </w:r>
      <w:r w:rsidR="00010453" w:rsidRPr="003B4979">
        <w:tab/>
      </w:r>
      <w:r w:rsidRPr="00F33796">
        <w:rPr>
          <w:i/>
          <w:iCs/>
        </w:rPr>
        <w:t>Borrowdale</w:t>
      </w:r>
      <w:r w:rsidR="00D36306" w:rsidRPr="00272DEC">
        <w:rPr>
          <w:i/>
          <w:iCs/>
        </w:rPr>
        <w:t xml:space="preserve"> v Director-General of Health</w:t>
      </w:r>
      <w:r w:rsidR="00D36306" w:rsidRPr="003B4979">
        <w:t xml:space="preserve"> [2021] NZCA 520, [2022] 2 NZLR 356</w:t>
      </w:r>
      <w:r w:rsidR="00D36306">
        <w:t>.</w:t>
      </w:r>
      <w:r w:rsidRPr="003B4979">
        <w:t>.</w:t>
      </w:r>
    </w:p>
  </w:footnote>
  <w:footnote w:id="121">
    <w:p w14:paraId="78B997F2" w14:textId="490E0AA9" w:rsidR="004D77DB" w:rsidRPr="003B4979" w:rsidRDefault="004D77DB" w:rsidP="003B4979">
      <w:pPr>
        <w:pStyle w:val="FootnoteText"/>
      </w:pPr>
      <w:r w:rsidRPr="003B4979">
        <w:rPr>
          <w:rStyle w:val="FootnoteReference"/>
          <w:vertAlign w:val="baseline"/>
        </w:rPr>
        <w:footnoteRef/>
      </w:r>
      <w:r w:rsidRPr="003B4979">
        <w:t xml:space="preserve"> </w:t>
      </w:r>
      <w:r w:rsidR="00C15FC2" w:rsidRPr="003B4979">
        <w:tab/>
      </w:r>
      <w:r w:rsidRPr="003B4979">
        <w:t xml:space="preserve">The outbreak can be occurring in </w:t>
      </w:r>
      <w:r w:rsidR="00851AD6">
        <w:t>Aotearoa</w:t>
      </w:r>
      <w:r w:rsidR="00851AD6" w:rsidRPr="003B4979">
        <w:t xml:space="preserve"> </w:t>
      </w:r>
      <w:r w:rsidRPr="003B4979">
        <w:t xml:space="preserve">New Zealand or overseas: </w:t>
      </w:r>
      <w:r w:rsidR="00D9237B" w:rsidRPr="00D9237B">
        <w:t>Epidemic Preparedness Act</w:t>
      </w:r>
      <w:r w:rsidR="007072AF">
        <w:t xml:space="preserve"> 2006</w:t>
      </w:r>
      <w:r w:rsidR="00D9237B">
        <w:t xml:space="preserve">, </w:t>
      </w:r>
      <w:r w:rsidRPr="003B4979">
        <w:t xml:space="preserve">s </w:t>
      </w:r>
      <w:r w:rsidR="007072AF">
        <w:t>5</w:t>
      </w:r>
      <w:r w:rsidRPr="003B4979">
        <w:t xml:space="preserve">(2). </w:t>
      </w:r>
    </w:p>
  </w:footnote>
  <w:footnote w:id="122">
    <w:p w14:paraId="03071C0C" w14:textId="3ABBD12F" w:rsidR="004D77DB" w:rsidRPr="003B4979" w:rsidRDefault="004D77DB" w:rsidP="003B4979">
      <w:pPr>
        <w:pStyle w:val="FootnoteText"/>
      </w:pPr>
      <w:r w:rsidRPr="003B4979">
        <w:rPr>
          <w:rStyle w:val="FootnoteReference"/>
          <w:vertAlign w:val="baseline"/>
        </w:rPr>
        <w:footnoteRef/>
      </w:r>
      <w:r w:rsidRPr="003B4979">
        <w:t xml:space="preserve"> </w:t>
      </w:r>
      <w:r w:rsidR="00C15FC2" w:rsidRPr="003B4979">
        <w:tab/>
      </w:r>
      <w:r w:rsidRPr="003B4979">
        <w:t>The Epidemic Preparedness Act 2006</w:t>
      </w:r>
      <w:r w:rsidR="0084518C">
        <w:t>,</w:t>
      </w:r>
      <w:r w:rsidRPr="003B4979">
        <w:t xml:space="preserve"> s 25 preserves common law defences such as impossibility or necessity. </w:t>
      </w:r>
    </w:p>
  </w:footnote>
  <w:footnote w:id="123">
    <w:p w14:paraId="1C85EBA8" w14:textId="29F34D0C" w:rsidR="004D77DB" w:rsidRPr="00A95193" w:rsidRDefault="004D77DB" w:rsidP="004D77DB">
      <w:pPr>
        <w:pStyle w:val="FootnoteText"/>
      </w:pPr>
      <w:r w:rsidRPr="003B4979">
        <w:rPr>
          <w:rStyle w:val="FootnoteReference"/>
          <w:vertAlign w:val="baseline"/>
        </w:rPr>
        <w:footnoteRef/>
      </w:r>
      <w:r w:rsidRPr="003B4979">
        <w:t xml:space="preserve"> </w:t>
      </w:r>
      <w:r w:rsidR="00C15FC2" w:rsidRPr="003B4979">
        <w:tab/>
      </w:r>
      <w:r w:rsidRPr="003B4979">
        <w:t>The one exception is the final order, which modifies the Te Awa Tupua (Whanganui River Claims Settlement) Act 2017 in a very specific way.</w:t>
      </w:r>
    </w:p>
  </w:footnote>
  <w:footnote w:id="124">
    <w:p w14:paraId="58AE59A8" w14:textId="75DF8246" w:rsidR="004D77DB" w:rsidRPr="00803677" w:rsidRDefault="004D77DB" w:rsidP="00803677">
      <w:pPr>
        <w:pStyle w:val="FootnoteText"/>
      </w:pPr>
      <w:r w:rsidRPr="00803677">
        <w:rPr>
          <w:rStyle w:val="FootnoteReference"/>
          <w:vertAlign w:val="baseline"/>
        </w:rPr>
        <w:footnoteRef/>
      </w:r>
      <w:r w:rsidRPr="00803677">
        <w:t xml:space="preserve"> </w:t>
      </w:r>
      <w:r w:rsidR="00C15FC2" w:rsidRPr="00803677">
        <w:tab/>
      </w:r>
      <w:r w:rsidRPr="00803677">
        <w:t xml:space="preserve">For the invalidation of an </w:t>
      </w:r>
      <w:r w:rsidR="00D30824">
        <w:t>immediate modification order</w:t>
      </w:r>
      <w:r w:rsidRPr="00803677">
        <w:t xml:space="preserve"> on the basis that it did not modify either a requirement or restriction</w:t>
      </w:r>
      <w:r w:rsidR="00D30824">
        <w:t>,</w:t>
      </w:r>
      <w:r w:rsidRPr="00803677">
        <w:t xml:space="preserve"> see </w:t>
      </w:r>
      <w:r w:rsidRPr="00CC3ADC">
        <w:rPr>
          <w:i/>
          <w:iCs/>
        </w:rPr>
        <w:t>Idea</w:t>
      </w:r>
      <w:r w:rsidRPr="00803677">
        <w:t xml:space="preserve"> </w:t>
      </w:r>
      <w:r w:rsidRPr="00803677">
        <w:rPr>
          <w:i/>
          <w:iCs/>
        </w:rPr>
        <w:t>Services v Attorney-General</w:t>
      </w:r>
      <w:r w:rsidRPr="00803677">
        <w:t xml:space="preserve">  [2022] NZCA 470. </w:t>
      </w:r>
    </w:p>
  </w:footnote>
  <w:footnote w:id="125">
    <w:p w14:paraId="33B262C4" w14:textId="6BCD0660" w:rsidR="004D77DB" w:rsidRPr="00F136FD" w:rsidRDefault="004D77DB" w:rsidP="00F136FD">
      <w:pPr>
        <w:pStyle w:val="FootnoteText"/>
      </w:pPr>
      <w:r w:rsidRPr="00F136FD">
        <w:rPr>
          <w:rStyle w:val="FootnoteReference"/>
          <w:vertAlign w:val="baseline"/>
        </w:rPr>
        <w:footnoteRef/>
      </w:r>
      <w:r w:rsidRPr="00F136FD">
        <w:t xml:space="preserve"> </w:t>
      </w:r>
      <w:r w:rsidR="00C15FC2" w:rsidRPr="00F136FD">
        <w:tab/>
      </w:r>
      <w:r w:rsidRPr="00F136FD">
        <w:rPr>
          <w:rFonts w:eastAsia="Calibri"/>
          <w:i/>
          <w:iCs/>
        </w:rPr>
        <w:t>Grounded Kiwis Group v Minister of Health</w:t>
      </w:r>
      <w:r w:rsidRPr="00F136FD">
        <w:rPr>
          <w:rFonts w:eastAsia="Calibri"/>
        </w:rPr>
        <w:t xml:space="preserve"> [2022] NZHC 832.</w:t>
      </w:r>
    </w:p>
  </w:footnote>
  <w:footnote w:id="126">
    <w:p w14:paraId="5D83BFC9" w14:textId="33CAA927" w:rsidR="004D77DB" w:rsidRPr="00F136FD" w:rsidRDefault="004D77DB" w:rsidP="00F136FD">
      <w:pPr>
        <w:pStyle w:val="FootnoteText"/>
      </w:pPr>
      <w:r w:rsidRPr="00F136FD">
        <w:rPr>
          <w:rStyle w:val="FootnoteReference"/>
          <w:vertAlign w:val="baseline"/>
        </w:rPr>
        <w:footnoteRef/>
      </w:r>
      <w:r w:rsidRPr="00F136FD">
        <w:t xml:space="preserve"> </w:t>
      </w:r>
      <w:r w:rsidR="00C15FC2" w:rsidRPr="00F136FD">
        <w:tab/>
      </w:r>
      <w:r w:rsidRPr="00F136FD">
        <w:rPr>
          <w:i/>
          <w:iCs/>
        </w:rPr>
        <w:t>Borrowdale</w:t>
      </w:r>
      <w:r w:rsidR="00C479F6" w:rsidRPr="00F33796">
        <w:rPr>
          <w:i/>
          <w:iCs/>
        </w:rPr>
        <w:t xml:space="preserve"> v Director-General of Health</w:t>
      </w:r>
      <w:r w:rsidR="00C479F6" w:rsidRPr="003B4979">
        <w:t xml:space="preserve"> [2020] NZHC 2090, [2020] 2 NZLR 864. </w:t>
      </w:r>
      <w:r w:rsidRPr="00F136FD">
        <w:t xml:space="preserve"> at [221].</w:t>
      </w:r>
    </w:p>
  </w:footnote>
  <w:footnote w:id="127">
    <w:p w14:paraId="22615FE8" w14:textId="373CC6D0" w:rsidR="004D77DB" w:rsidRDefault="004D77DB" w:rsidP="00F136FD">
      <w:pPr>
        <w:pStyle w:val="FootnoteText"/>
      </w:pPr>
      <w:r w:rsidRPr="00F136FD">
        <w:rPr>
          <w:rStyle w:val="FootnoteReference"/>
          <w:vertAlign w:val="baseline"/>
        </w:rPr>
        <w:footnoteRef/>
      </w:r>
      <w:r w:rsidRPr="00F136FD">
        <w:t xml:space="preserve"> </w:t>
      </w:r>
      <w:r w:rsidR="00770571" w:rsidRPr="00F136FD">
        <w:tab/>
      </w:r>
      <w:r w:rsidRPr="00F136FD">
        <w:rPr>
          <w:i/>
          <w:iCs/>
        </w:rPr>
        <w:t>Maddigan v New Zealand Police</w:t>
      </w:r>
      <w:r w:rsidRPr="00F136FD">
        <w:t xml:space="preserve"> [2021] NZHC 1035 at [64].</w:t>
      </w:r>
    </w:p>
  </w:footnote>
  <w:footnote w:id="128">
    <w:p w14:paraId="0CA9119D" w14:textId="6F335571" w:rsidR="004D77DB" w:rsidRPr="00930884" w:rsidRDefault="004D77DB" w:rsidP="00930884">
      <w:pPr>
        <w:pStyle w:val="FootnoteText"/>
      </w:pPr>
      <w:r w:rsidRPr="00930884">
        <w:rPr>
          <w:rStyle w:val="FootnoteReference"/>
          <w:vertAlign w:val="baseline"/>
        </w:rPr>
        <w:footnoteRef/>
      </w:r>
      <w:r w:rsidRPr="00930884">
        <w:t xml:space="preserve"> </w:t>
      </w:r>
      <w:r w:rsidR="00930884" w:rsidRPr="00930884">
        <w:tab/>
      </w:r>
      <w:r w:rsidR="0053488F">
        <w:t xml:space="preserve">Te Aka Matua o te Ture | </w:t>
      </w:r>
      <w:r w:rsidRPr="00CC3ADC">
        <w:t xml:space="preserve">Law Commission </w:t>
      </w:r>
      <w:r w:rsidRPr="007B0003">
        <w:rPr>
          <w:i/>
          <w:iCs/>
        </w:rPr>
        <w:t>First Report on Emergencies</w:t>
      </w:r>
      <w:r w:rsidRPr="00930884">
        <w:t xml:space="preserve"> (NZLC R12, 1991) at [13] and [79]. </w:t>
      </w:r>
    </w:p>
  </w:footnote>
  <w:footnote w:id="129">
    <w:p w14:paraId="4D156EB4" w14:textId="2592E034" w:rsidR="004D77DB" w:rsidRPr="00930884" w:rsidRDefault="004D77DB" w:rsidP="00930884">
      <w:pPr>
        <w:pStyle w:val="FootnoteText"/>
      </w:pPr>
      <w:r w:rsidRPr="00930884">
        <w:rPr>
          <w:rStyle w:val="FootnoteReference"/>
          <w:vertAlign w:val="baseline"/>
        </w:rPr>
        <w:footnoteRef/>
      </w:r>
      <w:r w:rsidRPr="00930884">
        <w:t xml:space="preserve"> </w:t>
      </w:r>
      <w:r w:rsidR="00165EE7" w:rsidRPr="00930884">
        <w:tab/>
      </w:r>
      <w:r w:rsidRPr="00930884">
        <w:t xml:space="preserve">As defined by s 5 of the Customs and Excise Act 2018. The persons must also be employed and engaged by the New Zealand Customs Service. </w:t>
      </w:r>
    </w:p>
  </w:footnote>
  <w:footnote w:id="130">
    <w:p w14:paraId="4A44D1D9" w14:textId="0EAFE2DE" w:rsidR="004D77DB" w:rsidRPr="00930884" w:rsidRDefault="004D77DB" w:rsidP="00930884">
      <w:pPr>
        <w:pStyle w:val="FootnoteText"/>
      </w:pPr>
      <w:r w:rsidRPr="00930884">
        <w:rPr>
          <w:rStyle w:val="FootnoteReference"/>
          <w:vertAlign w:val="baseline"/>
        </w:rPr>
        <w:footnoteRef/>
      </w:r>
      <w:r w:rsidRPr="00930884">
        <w:t xml:space="preserve"> </w:t>
      </w:r>
      <w:r w:rsidR="00165EE7" w:rsidRPr="00930884">
        <w:tab/>
      </w:r>
      <w:r w:rsidRPr="00930884">
        <w:t xml:space="preserve">Specifically, the COVID-19 Public Health Response (Air Border) Order (No 2) 2020 (Order) (or any order that modifies, replaces or corresponds to that Order). </w:t>
      </w:r>
    </w:p>
    <w:p w14:paraId="4D333F3C" w14:textId="77777777" w:rsidR="004D77DB" w:rsidRPr="009F33CB" w:rsidRDefault="004D77DB" w:rsidP="004D77DB">
      <w:pPr>
        <w:pStyle w:val="FootnoteText"/>
        <w:rPr>
          <w:lang w:val="en-AU"/>
        </w:rPr>
      </w:pPr>
    </w:p>
  </w:footnote>
  <w:footnote w:id="131">
    <w:p w14:paraId="14D53E37" w14:textId="00C7FC43" w:rsidR="00291768" w:rsidRPr="00930884" w:rsidRDefault="00291768" w:rsidP="00930884">
      <w:pPr>
        <w:pStyle w:val="FootnoteText"/>
      </w:pPr>
      <w:r w:rsidRPr="00930884">
        <w:rPr>
          <w:rStyle w:val="FootnoteReference"/>
          <w:vertAlign w:val="baseline"/>
        </w:rPr>
        <w:footnoteRef/>
      </w:r>
      <w:r w:rsidRPr="00930884">
        <w:t xml:space="preserve"> </w:t>
      </w:r>
      <w:r w:rsidR="00B4412B" w:rsidRPr="00930884">
        <w:tab/>
      </w:r>
      <w:r w:rsidRPr="00930884">
        <w:t xml:space="preserve">All the </w:t>
      </w:r>
      <w:r w:rsidR="00483AD5">
        <w:t>n</w:t>
      </w:r>
      <w:r w:rsidRPr="00930884">
        <w:t xml:space="preserve">otices actually say, at </w:t>
      </w:r>
      <w:r w:rsidRPr="00A85517">
        <w:t xml:space="preserve">the </w:t>
      </w:r>
      <w:r w:rsidR="009114DE" w:rsidRPr="00A85517">
        <w:t xml:space="preserve">same </w:t>
      </w:r>
      <w:r w:rsidRPr="00A85517">
        <w:t>time as</w:t>
      </w:r>
      <w:r w:rsidRPr="00930884">
        <w:t xml:space="preserve"> specifying an end date, “unless earlier revoked in accordance with section 18(4) of the Act”. </w:t>
      </w:r>
    </w:p>
  </w:footnote>
  <w:footnote w:id="132">
    <w:p w14:paraId="30C88124" w14:textId="33616C90" w:rsidR="00291768" w:rsidRPr="009F33CB" w:rsidRDefault="00291768" w:rsidP="00930884">
      <w:pPr>
        <w:pStyle w:val="FootnoteText"/>
        <w:rPr>
          <w:lang w:val="en-AU"/>
        </w:rPr>
      </w:pPr>
      <w:r w:rsidRPr="00930884">
        <w:rPr>
          <w:rStyle w:val="FootnoteReference"/>
          <w:vertAlign w:val="baseline"/>
        </w:rPr>
        <w:footnoteRef/>
      </w:r>
      <w:r w:rsidRPr="00930884">
        <w:t xml:space="preserve"> </w:t>
      </w:r>
      <w:r w:rsidR="00B4412B" w:rsidRPr="00930884">
        <w:tab/>
      </w:r>
      <w:r w:rsidRPr="00930884">
        <w:t>Specifically, the COVID-19 Public Health Response (Maritime Border) Order 2020 (Order) (or any order that modifies, replaces or corresponds to that order).</w:t>
      </w:r>
      <w:r>
        <w:rPr>
          <w:lang w:val="en-AU"/>
        </w:rPr>
        <w:t xml:space="preserve"> </w:t>
      </w:r>
    </w:p>
  </w:footnote>
  <w:footnote w:id="133">
    <w:p w14:paraId="3694144D" w14:textId="636B2374" w:rsidR="004D77DB" w:rsidRPr="00C1151B" w:rsidRDefault="004D77DB" w:rsidP="00C1151B">
      <w:pPr>
        <w:pStyle w:val="FootnoteText"/>
      </w:pPr>
      <w:r w:rsidRPr="00C1151B">
        <w:rPr>
          <w:rStyle w:val="FootnoteReference"/>
          <w:vertAlign w:val="baseline"/>
        </w:rPr>
        <w:footnoteRef/>
      </w:r>
      <w:r w:rsidRPr="00C1151B">
        <w:t xml:space="preserve"> </w:t>
      </w:r>
      <w:r w:rsidR="00FF257A" w:rsidRPr="00C1151B">
        <w:tab/>
      </w:r>
      <w:r w:rsidRPr="00C1151B">
        <w:t xml:space="preserve">Constitution Act 1986; Electoral Act 1993. </w:t>
      </w:r>
    </w:p>
  </w:footnote>
  <w:footnote w:id="134">
    <w:p w14:paraId="69DBA2DD" w14:textId="41FC8973" w:rsidR="004D77DB" w:rsidRPr="00930884" w:rsidRDefault="004D77DB" w:rsidP="00930884">
      <w:pPr>
        <w:pStyle w:val="FootnoteText"/>
      </w:pPr>
      <w:r w:rsidRPr="00930884">
        <w:rPr>
          <w:rStyle w:val="FootnoteReference"/>
          <w:vertAlign w:val="baseline"/>
        </w:rPr>
        <w:footnoteRef/>
      </w:r>
      <w:r w:rsidRPr="00930884">
        <w:t xml:space="preserve"> </w:t>
      </w:r>
      <w:r w:rsidR="00930884" w:rsidRPr="00930884">
        <w:tab/>
      </w:r>
      <w:r w:rsidRPr="00930884">
        <w:t>Electoral Act 1993, s 125.</w:t>
      </w:r>
    </w:p>
  </w:footnote>
  <w:footnote w:id="135">
    <w:p w14:paraId="2A03F0C6" w14:textId="1031DC1E" w:rsidR="004D77DB" w:rsidRDefault="004D77DB" w:rsidP="00930884">
      <w:pPr>
        <w:pStyle w:val="FootnoteText"/>
      </w:pPr>
      <w:r w:rsidRPr="00930884">
        <w:rPr>
          <w:rStyle w:val="FootnoteReference"/>
          <w:vertAlign w:val="baseline"/>
        </w:rPr>
        <w:footnoteRef/>
      </w:r>
      <w:r w:rsidRPr="00930884">
        <w:t xml:space="preserve"> </w:t>
      </w:r>
      <w:r w:rsidR="00930884" w:rsidRPr="00930884">
        <w:tab/>
      </w:r>
      <w:r w:rsidRPr="00930884">
        <w:t>Constitution Act 1986, s 19.</w:t>
      </w:r>
    </w:p>
  </w:footnote>
  <w:footnote w:id="136">
    <w:p w14:paraId="74389266" w14:textId="4A51D272" w:rsidR="004D77DB" w:rsidRPr="000F42AC" w:rsidRDefault="004D77DB" w:rsidP="000F42AC">
      <w:pPr>
        <w:pStyle w:val="FootnoteText"/>
      </w:pPr>
      <w:r w:rsidRPr="000F42AC">
        <w:rPr>
          <w:rStyle w:val="FootnoteReference"/>
          <w:vertAlign w:val="baseline"/>
        </w:rPr>
        <w:footnoteRef/>
      </w:r>
      <w:r w:rsidRPr="000F42AC">
        <w:t xml:space="preserve"> </w:t>
      </w:r>
      <w:r w:rsidR="00930884" w:rsidRPr="000F42AC">
        <w:tab/>
      </w:r>
      <w:r w:rsidRPr="000F42AC">
        <w:t xml:space="preserve">Cabinet Office </w:t>
      </w:r>
      <w:r w:rsidRPr="00CC3ADC">
        <w:rPr>
          <w:i/>
          <w:iCs/>
        </w:rPr>
        <w:t>Cabinet Manual 2017</w:t>
      </w:r>
      <w:r w:rsidRPr="000F42AC">
        <w:t xml:space="preserve"> at [6.9]</w:t>
      </w:r>
      <w:r w:rsidR="008316E5">
        <w:t>.</w:t>
      </w:r>
    </w:p>
  </w:footnote>
  <w:footnote w:id="137">
    <w:p w14:paraId="39555548" w14:textId="13254792" w:rsidR="004D77DB" w:rsidRDefault="004D77DB" w:rsidP="000F42AC">
      <w:pPr>
        <w:pStyle w:val="FootnoteText"/>
      </w:pPr>
      <w:r w:rsidRPr="000F42AC">
        <w:rPr>
          <w:rStyle w:val="FootnoteReference"/>
          <w:vertAlign w:val="baseline"/>
        </w:rPr>
        <w:footnoteRef/>
      </w:r>
      <w:r w:rsidRPr="000F42AC">
        <w:t xml:space="preserve"> </w:t>
      </w:r>
      <w:r w:rsidR="00930884" w:rsidRPr="000F42AC">
        <w:tab/>
      </w:r>
      <w:r w:rsidR="00BB52B3" w:rsidRPr="000F42AC">
        <w:t xml:space="preserve">Cabinet Office </w:t>
      </w:r>
      <w:r w:rsidR="00BB52B3" w:rsidRPr="00CC3ADC">
        <w:rPr>
          <w:i/>
          <w:iCs/>
        </w:rPr>
        <w:t>Cabinet Manual 2017</w:t>
      </w:r>
      <w:r w:rsidR="00BB52B3" w:rsidRPr="000F42AC">
        <w:t xml:space="preserve"> </w:t>
      </w:r>
      <w:r w:rsidR="00BB52B3">
        <w:t>a</w:t>
      </w:r>
      <w:r w:rsidRPr="000F42AC">
        <w:t>t [6.24].</w:t>
      </w:r>
    </w:p>
  </w:footnote>
  <w:footnote w:id="138">
    <w:p w14:paraId="19B5794F" w14:textId="5577EA79" w:rsidR="004D77DB" w:rsidRPr="000F42AC" w:rsidRDefault="004D77DB" w:rsidP="000F42AC">
      <w:pPr>
        <w:pStyle w:val="FootnoteText"/>
      </w:pPr>
      <w:r w:rsidRPr="000F42AC">
        <w:rPr>
          <w:rStyle w:val="FootnoteReference"/>
          <w:vertAlign w:val="baseline"/>
        </w:rPr>
        <w:footnoteRef/>
      </w:r>
      <w:r w:rsidRPr="000F42AC">
        <w:t xml:space="preserve"> </w:t>
      </w:r>
      <w:r w:rsidR="00930884" w:rsidRPr="000F42AC">
        <w:tab/>
      </w:r>
      <w:r w:rsidRPr="000F42AC">
        <w:t xml:space="preserve">The timing of </w:t>
      </w:r>
      <w:r w:rsidR="007848BC">
        <w:t>l</w:t>
      </w:r>
      <w:r w:rsidRPr="000F42AC">
        <w:t xml:space="preserve">ocal </w:t>
      </w:r>
      <w:r w:rsidR="007848BC">
        <w:t>b</w:t>
      </w:r>
      <w:r w:rsidRPr="000F42AC">
        <w:t xml:space="preserve">ody </w:t>
      </w:r>
      <w:r w:rsidR="007848BC">
        <w:t>e</w:t>
      </w:r>
      <w:r w:rsidRPr="000F42AC">
        <w:t>lections was changed by the C</w:t>
      </w:r>
      <w:r w:rsidR="00CC3187">
        <w:rPr>
          <w:rFonts w:eastAsia="Calibri"/>
        </w:rPr>
        <w:t>OVID</w:t>
      </w:r>
      <w:r w:rsidRPr="000F42AC">
        <w:t>-19 Response (Management Measure</w:t>
      </w:r>
      <w:r w:rsidR="00CC3187">
        <w:t>s</w:t>
      </w:r>
      <w:r w:rsidRPr="000F42AC">
        <w:t xml:space="preserve">) Legislation Act </w:t>
      </w:r>
      <w:r w:rsidR="00CC3187">
        <w:t xml:space="preserve">2021 </w:t>
      </w:r>
      <w:r w:rsidRPr="000F42AC">
        <w:t xml:space="preserve">allowing extensions of 6 weeks at a time. </w:t>
      </w:r>
    </w:p>
    <w:p w14:paraId="61FB907B" w14:textId="77777777" w:rsidR="004D77DB" w:rsidRDefault="004D77DB" w:rsidP="004D77DB">
      <w:pPr>
        <w:pStyle w:val="FootnoteText"/>
      </w:pPr>
    </w:p>
  </w:footnote>
  <w:footnote w:id="139">
    <w:p w14:paraId="144B23CD" w14:textId="225A9DB2" w:rsidR="00BC604A" w:rsidRPr="00DF1680" w:rsidRDefault="00BC604A" w:rsidP="00DF1680">
      <w:pPr>
        <w:pStyle w:val="FootnoteText"/>
      </w:pPr>
      <w:r w:rsidRPr="00DF1680">
        <w:rPr>
          <w:rStyle w:val="FootnoteReference"/>
          <w:vertAlign w:val="baseline"/>
        </w:rPr>
        <w:footnoteRef/>
      </w:r>
      <w:r w:rsidRPr="00DF1680">
        <w:t xml:space="preserve"> </w:t>
      </w:r>
      <w:r w:rsidR="00504C4B" w:rsidRPr="00DF1680">
        <w:tab/>
      </w:r>
      <w:r w:rsidR="006A23D7">
        <w:t>T</w:t>
      </w:r>
      <w:r w:rsidRPr="00DF1680">
        <w:t xml:space="preserve">he s 70 power has to be exercised “for the purpose of preventing the outbreak or spread of any infectious disease”. There is a distinction, however, between a trigger </w:t>
      </w:r>
      <w:r w:rsidR="006A23D7">
        <w:t>that</w:t>
      </w:r>
      <w:r w:rsidR="006A23D7" w:rsidRPr="00DF1680">
        <w:t xml:space="preserve"> </w:t>
      </w:r>
      <w:r w:rsidRPr="00DF1680">
        <w:t xml:space="preserve">unlocks a power and a purpose governing the exercise of that power. </w:t>
      </w:r>
    </w:p>
  </w:footnote>
  <w:footnote w:id="140">
    <w:p w14:paraId="56F47F42" w14:textId="09608936" w:rsidR="00E23DA8" w:rsidRPr="00DF1680" w:rsidRDefault="00E23DA8" w:rsidP="00DF1680">
      <w:pPr>
        <w:pStyle w:val="FootnoteText"/>
      </w:pPr>
      <w:r w:rsidRPr="00DF1680">
        <w:rPr>
          <w:rStyle w:val="FootnoteReference"/>
          <w:vertAlign w:val="baseline"/>
        </w:rPr>
        <w:footnoteRef/>
      </w:r>
      <w:r w:rsidRPr="00DF1680">
        <w:t xml:space="preserve"> </w:t>
      </w:r>
      <w:r w:rsidR="00DF1680" w:rsidRPr="00DF1680">
        <w:tab/>
      </w:r>
      <w:r w:rsidRPr="00DF1680">
        <w:t>14</w:t>
      </w:r>
      <w:r w:rsidR="00360F8E">
        <w:t>-</w:t>
      </w:r>
      <w:r w:rsidRPr="00DF1680">
        <w:t>day period, unless revoked or modified earlier. May be renewed for further 14-day periods.</w:t>
      </w:r>
    </w:p>
  </w:footnote>
  <w:footnote w:id="141">
    <w:p w14:paraId="407FA7D5" w14:textId="577CA466" w:rsidR="00164CB5" w:rsidRPr="00277964" w:rsidRDefault="00164CB5" w:rsidP="00277964">
      <w:pPr>
        <w:pStyle w:val="FootnoteText"/>
      </w:pPr>
      <w:r w:rsidRPr="00277964">
        <w:rPr>
          <w:rStyle w:val="FootnoteReference"/>
          <w:vertAlign w:val="baseline"/>
        </w:rPr>
        <w:footnoteRef/>
      </w:r>
      <w:r w:rsidRPr="00277964">
        <w:t xml:space="preserve"> </w:t>
      </w:r>
      <w:r w:rsidR="006B3297" w:rsidRPr="00277964">
        <w:tab/>
      </w:r>
      <w:r w:rsidRPr="00277964">
        <w:t xml:space="preserve">For instance, paying benefits to people otherwise disentitled because of stand-down periods or suspensions; reinstating cancelled benefits; paying benefits at a higher rate despite the lower rate otherwise being justified by, for instance, a reduction, deduction or penalty imposed on a spouse or partner; or refraining from exercising powers to cancel, suspend or vary benefits. </w:t>
      </w:r>
    </w:p>
  </w:footnote>
  <w:footnote w:id="142">
    <w:p w14:paraId="7C5677C8" w14:textId="1B4EAC93" w:rsidR="00164CB5" w:rsidRPr="006B3297" w:rsidRDefault="00164CB5" w:rsidP="006B3297">
      <w:pPr>
        <w:pStyle w:val="FootnoteText"/>
      </w:pPr>
      <w:r w:rsidRPr="006B3297">
        <w:rPr>
          <w:rStyle w:val="FootnoteReference"/>
          <w:vertAlign w:val="baseline"/>
        </w:rPr>
        <w:footnoteRef/>
      </w:r>
      <w:r w:rsidR="00657BCC" w:rsidRPr="006B3297">
        <w:t xml:space="preserve"> </w:t>
      </w:r>
      <w:r w:rsidR="00657BCC" w:rsidRPr="006B3297">
        <w:tab/>
      </w:r>
      <w:hyperlink r:id="rId3" w:history="1">
        <w:r w:rsidRPr="006B3297">
          <w:rPr>
            <w:rStyle w:val="Hyperlink"/>
            <w:color w:val="404040" w:themeColor="text1" w:themeTint="BF"/>
            <w:u w:val="none"/>
          </w:rPr>
          <w:t>Epidemic Preparedness (Social Security Act 2018—Temporary Additional Support) Immediate Modification Order 2020</w:t>
        </w:r>
      </w:hyperlink>
      <w:r w:rsidRPr="006B3297">
        <w:rPr>
          <w:rStyle w:val="Hyperlink"/>
          <w:color w:val="404040" w:themeColor="text1" w:themeTint="BF"/>
          <w:u w:val="none"/>
        </w:rPr>
        <w:t xml:space="preserve">. </w:t>
      </w:r>
    </w:p>
  </w:footnote>
  <w:footnote w:id="143">
    <w:p w14:paraId="1C3E38F5" w14:textId="2AF24064" w:rsidR="00164CB5" w:rsidRPr="006B3297" w:rsidRDefault="00164CB5" w:rsidP="006B3297">
      <w:pPr>
        <w:pStyle w:val="FootnoteText"/>
      </w:pPr>
      <w:r w:rsidRPr="006B3297">
        <w:rPr>
          <w:rStyle w:val="FootnoteReference"/>
          <w:vertAlign w:val="baseline"/>
        </w:rPr>
        <w:footnoteRef/>
      </w:r>
      <w:r w:rsidRPr="006B3297">
        <w:t xml:space="preserve"> </w:t>
      </w:r>
      <w:r w:rsidR="00657BCC" w:rsidRPr="006B3297">
        <w:tab/>
      </w:r>
      <w:hyperlink r:id="rId4" w:history="1">
        <w:r w:rsidRPr="006B3297">
          <w:rPr>
            <w:rStyle w:val="Hyperlink"/>
            <w:color w:val="404040" w:themeColor="text1" w:themeTint="BF"/>
            <w:u w:val="none"/>
          </w:rPr>
          <w:t>Epidemic Preparedness (Local Government Act 2002) Immediate Modification Order 2020</w:t>
        </w:r>
      </w:hyperlink>
      <w:r w:rsidR="007F20CB">
        <w:rPr>
          <w:rStyle w:val="Hyperlink"/>
          <w:color w:val="404040" w:themeColor="text1" w:themeTint="BF"/>
          <w:u w:val="none"/>
        </w:rPr>
        <w:t>.</w:t>
      </w:r>
    </w:p>
  </w:footnote>
  <w:footnote w:id="144">
    <w:p w14:paraId="1A1BC7E1" w14:textId="41EB4AEE" w:rsidR="00164CB5" w:rsidRPr="007E539C" w:rsidRDefault="00164CB5" w:rsidP="006B3297">
      <w:pPr>
        <w:pStyle w:val="FootnoteText"/>
      </w:pPr>
      <w:r w:rsidRPr="006B3297">
        <w:rPr>
          <w:rStyle w:val="FootnoteReference"/>
          <w:vertAlign w:val="baseline"/>
        </w:rPr>
        <w:footnoteRef/>
      </w:r>
      <w:r w:rsidRPr="006B3297">
        <w:t xml:space="preserve"> </w:t>
      </w:r>
      <w:r w:rsidR="00657BCC" w:rsidRPr="006B3297">
        <w:tab/>
      </w:r>
      <w:hyperlink r:id="rId5" w:history="1">
        <w:r w:rsidRPr="006B3297">
          <w:rPr>
            <w:rStyle w:val="Hyperlink"/>
            <w:color w:val="404040" w:themeColor="text1" w:themeTint="BF"/>
            <w:u w:val="none"/>
          </w:rPr>
          <w:t>Epidemic Preparedness (Employment Relations Act 2000—Collective Bargaining) Immediate Modification Order 2020</w:t>
        </w:r>
      </w:hyperlink>
      <w:r w:rsidR="007F20CB">
        <w:rPr>
          <w:rStyle w:val="Hyperlink"/>
          <w:color w:val="404040" w:themeColor="text1" w:themeTint="BF"/>
          <w:u w:val="none"/>
        </w:rPr>
        <w:t>.</w:t>
      </w:r>
    </w:p>
  </w:footnote>
  <w:footnote w:id="145">
    <w:p w14:paraId="36CFB10B" w14:textId="6689958E" w:rsidR="00164CB5" w:rsidRPr="00277964" w:rsidRDefault="00164CB5" w:rsidP="00277964">
      <w:pPr>
        <w:pStyle w:val="FootnoteText"/>
      </w:pPr>
      <w:r w:rsidRPr="00277964">
        <w:rPr>
          <w:rStyle w:val="FootnoteReference"/>
          <w:vertAlign w:val="baseline"/>
        </w:rPr>
        <w:footnoteRef/>
      </w:r>
      <w:r w:rsidRPr="00277964">
        <w:t xml:space="preserve"> </w:t>
      </w:r>
      <w:r w:rsidR="00657BCC" w:rsidRPr="00277964">
        <w:tab/>
      </w:r>
      <w:hyperlink r:id="rId6" w:history="1">
        <w:r w:rsidRPr="00277964">
          <w:rPr>
            <w:rStyle w:val="Hyperlink"/>
            <w:color w:val="404040" w:themeColor="text1" w:themeTint="BF"/>
            <w:u w:val="none"/>
          </w:rPr>
          <w:t>Epidemic Preparedness (Oaths and Declarations Act 1957) Immediate Modification Order 2020</w:t>
        </w:r>
      </w:hyperlink>
      <w:r w:rsidR="00FA792A">
        <w:rPr>
          <w:rStyle w:val="Hyperlink"/>
          <w:color w:val="404040" w:themeColor="text1" w:themeTint="BF"/>
          <w:u w:val="none"/>
        </w:rPr>
        <w:t>.</w:t>
      </w:r>
    </w:p>
  </w:footnote>
  <w:footnote w:id="146">
    <w:p w14:paraId="58C7D693" w14:textId="46BF9F49" w:rsidR="00164CB5" w:rsidRPr="007E539C" w:rsidRDefault="00164CB5" w:rsidP="00277964">
      <w:pPr>
        <w:pStyle w:val="FootnoteText"/>
      </w:pPr>
      <w:r w:rsidRPr="00277964">
        <w:rPr>
          <w:rStyle w:val="FootnoteReference"/>
          <w:vertAlign w:val="baseline"/>
        </w:rPr>
        <w:footnoteRef/>
      </w:r>
      <w:r w:rsidRPr="00277964">
        <w:t xml:space="preserve"> </w:t>
      </w:r>
      <w:r w:rsidR="00852722" w:rsidRPr="00277964">
        <w:tab/>
      </w:r>
      <w:hyperlink r:id="rId7" w:history="1">
        <w:r w:rsidRPr="00277964">
          <w:rPr>
            <w:rStyle w:val="Hyperlink"/>
            <w:color w:val="404040" w:themeColor="text1" w:themeTint="BF"/>
            <w:u w:val="none"/>
          </w:rPr>
          <w:t>Epidemic Preparedness (Sale and Supply of Alcohol Act 2012—Licence Application Inquiries) Immediate Modification Order 2020</w:t>
        </w:r>
      </w:hyperlink>
      <w:r w:rsidR="00FA792A">
        <w:rPr>
          <w:rStyle w:val="Hyperlink"/>
          <w:color w:val="404040" w:themeColor="text1" w:themeTint="BF"/>
          <w:u w:val="none"/>
        </w:rPr>
        <w:t>.</w:t>
      </w:r>
    </w:p>
  </w:footnote>
  <w:footnote w:id="147">
    <w:p w14:paraId="057FAE9B" w14:textId="26BD3F7B" w:rsidR="00164CB5" w:rsidRPr="00657BCC" w:rsidRDefault="00164CB5" w:rsidP="00657BCC">
      <w:pPr>
        <w:pStyle w:val="FootnoteText"/>
      </w:pPr>
      <w:r w:rsidRPr="00657BCC">
        <w:rPr>
          <w:rStyle w:val="FootnoteReference"/>
          <w:vertAlign w:val="baseline"/>
        </w:rPr>
        <w:footnoteRef/>
      </w:r>
      <w:r w:rsidRPr="00657BCC">
        <w:t xml:space="preserve"> </w:t>
      </w:r>
      <w:r w:rsidR="00852722" w:rsidRPr="00657BCC">
        <w:tab/>
      </w:r>
      <w:hyperlink r:id="rId8" w:history="1">
        <w:r w:rsidRPr="00657BCC">
          <w:rPr>
            <w:rStyle w:val="Hyperlink"/>
            <w:color w:val="404040" w:themeColor="text1" w:themeTint="BF"/>
            <w:u w:val="none"/>
          </w:rPr>
          <w:t>Epidemic Preparedness (Wills Act 2007—Signing and Witnessing of Wills) Immediate Modification Order 2020</w:t>
        </w:r>
      </w:hyperlink>
      <w:r w:rsidR="00FA792A">
        <w:rPr>
          <w:rStyle w:val="Hyperlink"/>
          <w:color w:val="404040" w:themeColor="text1" w:themeTint="BF"/>
          <w:u w:val="none"/>
        </w:rPr>
        <w:t>.</w:t>
      </w:r>
    </w:p>
  </w:footnote>
  <w:footnote w:id="148">
    <w:p w14:paraId="0E5A24B0" w14:textId="5F8CC7DA" w:rsidR="00164CB5" w:rsidRPr="00657BCC" w:rsidRDefault="00164CB5" w:rsidP="00657BCC">
      <w:pPr>
        <w:pStyle w:val="FootnoteText"/>
      </w:pPr>
      <w:r w:rsidRPr="00657BCC">
        <w:rPr>
          <w:rStyle w:val="FootnoteReference"/>
          <w:vertAlign w:val="baseline"/>
        </w:rPr>
        <w:footnoteRef/>
      </w:r>
      <w:r w:rsidRPr="00657BCC">
        <w:t xml:space="preserve"> </w:t>
      </w:r>
      <w:r w:rsidR="00657BCC" w:rsidRPr="00657BCC">
        <w:tab/>
      </w:r>
      <w:hyperlink r:id="rId9" w:history="1">
        <w:r w:rsidRPr="00657BCC">
          <w:rPr>
            <w:rStyle w:val="Hyperlink"/>
            <w:color w:val="404040" w:themeColor="text1" w:themeTint="BF"/>
            <w:u w:val="none"/>
          </w:rPr>
          <w:t>Epidemic Preparedness (Protection of Personal and Property Rights Act 1988—Enduring Powers of Attorney) Immediate Modification Order 202</w:t>
        </w:r>
      </w:hyperlink>
      <w:r w:rsidR="00564A51">
        <w:rPr>
          <w:rStyle w:val="Hyperlink"/>
          <w:color w:val="404040" w:themeColor="text1" w:themeTint="BF"/>
          <w:u w:val="none"/>
        </w:rPr>
        <w:t>0.</w:t>
      </w:r>
    </w:p>
  </w:footnote>
  <w:footnote w:id="149">
    <w:p w14:paraId="333E2624" w14:textId="109851DE" w:rsidR="00164CB5" w:rsidRPr="007E539C" w:rsidRDefault="00164CB5" w:rsidP="00657BCC">
      <w:pPr>
        <w:pStyle w:val="FootnoteText"/>
        <w:rPr>
          <w:color w:val="000000" w:themeColor="text1"/>
          <w:sz w:val="20"/>
        </w:rPr>
      </w:pPr>
      <w:r w:rsidRPr="00657BCC">
        <w:rPr>
          <w:rStyle w:val="FootnoteReference"/>
          <w:vertAlign w:val="baseline"/>
        </w:rPr>
        <w:footnoteRef/>
      </w:r>
      <w:r w:rsidRPr="00657BCC">
        <w:t xml:space="preserve"> </w:t>
      </w:r>
      <w:r w:rsidR="00852722" w:rsidRPr="00657BCC">
        <w:tab/>
      </w:r>
      <w:hyperlink r:id="rId10" w:history="1">
        <w:r w:rsidRPr="00657BCC">
          <w:rPr>
            <w:rStyle w:val="Hyperlink"/>
            <w:color w:val="404040" w:themeColor="text1" w:themeTint="BF"/>
            <w:u w:val="none"/>
          </w:rPr>
          <w:t>Epidemic Preparedness (Customs and Excise Act 2018—Appeals) Immediate Modification Order 2020</w:t>
        </w:r>
      </w:hyperlink>
      <w:r w:rsidR="00564A51">
        <w:rPr>
          <w:rStyle w:val="Hyperlink"/>
          <w:color w:val="404040" w:themeColor="text1" w:themeTint="BF"/>
          <w:u w:val="none"/>
        </w:rPr>
        <w:t>.</w:t>
      </w:r>
    </w:p>
  </w:footnote>
  <w:footnote w:id="150">
    <w:p w14:paraId="724A0160" w14:textId="1CAFA805" w:rsidR="00164CB5" w:rsidRPr="00657BCC" w:rsidRDefault="00164CB5" w:rsidP="00657BCC">
      <w:pPr>
        <w:pStyle w:val="FootnoteText"/>
      </w:pPr>
      <w:r w:rsidRPr="00657BCC">
        <w:rPr>
          <w:rStyle w:val="FootnoteReference"/>
          <w:vertAlign w:val="baseline"/>
        </w:rPr>
        <w:footnoteRef/>
      </w:r>
      <w:r w:rsidRPr="00657BCC">
        <w:t xml:space="preserve"> </w:t>
      </w:r>
      <w:r w:rsidR="00852722" w:rsidRPr="00657BCC">
        <w:tab/>
      </w:r>
      <w:hyperlink r:id="rId11" w:history="1">
        <w:r w:rsidRPr="00657BCC">
          <w:rPr>
            <w:rStyle w:val="Hyperlink"/>
            <w:color w:val="404040" w:themeColor="text1" w:themeTint="BF"/>
            <w:u w:val="none"/>
          </w:rPr>
          <w:t>Epidemic Preparedness (COVID-19—Te Awa Tupua (Whanganui River Claims Settlement) Act 2017—Term of Appointments to Te Pou Tupua) Immediate Modification Order 2020</w:t>
        </w:r>
      </w:hyperlink>
      <w:r w:rsidR="00825419">
        <w:rPr>
          <w:rStyle w:val="Hyperlink"/>
          <w:color w:val="404040" w:themeColor="text1" w:themeTint="BF"/>
          <w:u w:val="non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EE5B9" w14:textId="45AD1B68" w:rsidR="00862DF8" w:rsidRDefault="006A1EDD">
    <w:pPr>
      <w:spacing w:after="0" w:line="200" w:lineRule="exact"/>
      <w:rPr>
        <w:szCs w:val="20"/>
      </w:rPr>
    </w:pPr>
    <w:r>
      <w:rPr>
        <w:noProof/>
      </w:rPr>
      <mc:AlternateContent>
        <mc:Choice Requires="wpg">
          <w:drawing>
            <wp:anchor distT="0" distB="0" distL="114300" distR="114300" simplePos="0" relativeHeight="251658240" behindDoc="1" locked="0" layoutInCell="1" allowOverlap="1" wp14:anchorId="1F9EE5C3" wp14:editId="097E19B6">
              <wp:simplePos x="0" y="0"/>
              <wp:positionH relativeFrom="page">
                <wp:posOffset>0</wp:posOffset>
              </wp:positionH>
              <wp:positionV relativeFrom="page">
                <wp:posOffset>0</wp:posOffset>
              </wp:positionV>
              <wp:extent cx="7560310" cy="10692130"/>
              <wp:effectExtent l="0" t="0" r="2540" b="444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24" name="Freeform 24"/>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F6EA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3225F" id="Group 23" o:spid="_x0000_s1026" style="position:absolute;margin-left:0;margin-top:0;width:595.3pt;height:841.9pt;z-index:-251658240;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">
              <v:shape id="Freeform 24"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" path="m,16838r11906,l11906,,,,,16838e" fillcolor="#f6eae6" stroked="f">
                <v:path arrowok="t" o:connecttype="custom" o:connectlocs="0,16838;11906,16838;11906,0;0,0;0,16838" o:connectangles="0,0,0,0,0"/>
              </v:shape>
              <w10:wrap anchorx="page" anchory="page"/>
            </v:group>
          </w:pict>
        </mc:Fallback>
      </mc:AlternateContent>
    </w:r>
    <w:r>
      <w:rPr>
        <w:noProof/>
      </w:rPr>
      <mc:AlternateContent>
        <mc:Choice Requires="wps">
          <w:drawing>
            <wp:anchor distT="0" distB="0" distL="114300" distR="114300" simplePos="0" relativeHeight="251658241" behindDoc="1" locked="0" layoutInCell="1" allowOverlap="1" wp14:anchorId="1F9EE5C4" wp14:editId="1BDD9DA7">
              <wp:simplePos x="0" y="0"/>
              <wp:positionH relativeFrom="page">
                <wp:posOffset>707390</wp:posOffset>
              </wp:positionH>
              <wp:positionV relativeFrom="page">
                <wp:posOffset>348615</wp:posOffset>
              </wp:positionV>
              <wp:extent cx="73660" cy="107950"/>
              <wp:effectExtent l="2540" t="0" r="0" b="6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EE5DA" w14:textId="1E10C2C4" w:rsidR="00862DF8" w:rsidRDefault="00B51D38">
                          <w:pPr>
                            <w:spacing w:before="18" w:after="0" w:line="240" w:lineRule="auto"/>
                            <w:ind w:left="20" w:right="-20"/>
                            <w:rPr>
                              <w:rFonts w:eastAsia="Metropolis Light" w:cs="Metropolis Light"/>
                              <w:sz w:val="13"/>
                              <w:szCs w:val="13"/>
                            </w:rPr>
                          </w:pPr>
                          <w:r>
                            <w:rPr>
                              <w:rFonts w:eastAsia="Metropolis Light" w:cs="Metropolis Light"/>
                              <w:color w:val="231F20"/>
                              <w:sz w:val="13"/>
                              <w:szCs w:val="13"/>
                            </w:rPr>
                            <w: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9EE5C4" id="_x0000_t202" coordsize="21600,21600" o:spt="202" path="m,l,21600r21600,l21600,xe">
              <v:stroke joinstyle="miter"/>
              <v:path gradientshapeok="t" o:connecttype="rect"/>
            </v:shapetype>
            <v:shape id="Text Box 22" o:spid="_x0000_s1030" type="#_x0000_t202" style="position:absolute;margin-left:55.7pt;margin-top:27.45pt;width:5.8pt;height: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" filled="f" stroked="f">
              <v:textbox inset="0,0,0,0">
                <w:txbxContent>
                  <w:p w14:paraId="1F9EE5DA" w14:textId="1E10C2C4" w:rsidR="00862DF8" w:rsidRDefault="00B51D38">
                    <w:pPr>
                      <w:spacing w:before="18" w:after="0" w:line="240" w:lineRule="auto"/>
                      <w:ind w:left="20" w:right="-20"/>
                      <w:rPr>
                        <w:rFonts w:eastAsia="Metropolis Light" w:cs="Metropolis Light"/>
                        <w:sz w:val="13"/>
                        <w:szCs w:val="13"/>
                      </w:rPr>
                    </w:pPr>
                    <w:r>
                      <w:rPr>
                        <w:rFonts w:eastAsia="Metropolis Light" w:cs="Metropolis Light"/>
                        <w:color w:val="231F20"/>
                        <w:sz w:val="13"/>
                        <w:szCs w:val="13"/>
                      </w:rPr>
                      <w:t>iv</w:t>
                    </w:r>
                  </w:p>
                </w:txbxContent>
              </v:textbox>
              <w10:wrap anchorx="page" anchory="page"/>
            </v:shape>
          </w:pict>
        </mc:Fallback>
      </mc:AlternateContent>
    </w:r>
    <w:r>
      <w:rPr>
        <w:noProof/>
      </w:rPr>
      <mc:AlternateContent>
        <mc:Choice Requires="wps">
          <w:drawing>
            <wp:anchor distT="0" distB="0" distL="114300" distR="114300" simplePos="0" relativeHeight="251658242" behindDoc="1" locked="0" layoutInCell="1" allowOverlap="1" wp14:anchorId="1F9EE5C5" wp14:editId="501A5822">
              <wp:simplePos x="0" y="0"/>
              <wp:positionH relativeFrom="page">
                <wp:posOffset>1090295</wp:posOffset>
              </wp:positionH>
              <wp:positionV relativeFrom="page">
                <wp:posOffset>348615</wp:posOffset>
              </wp:positionV>
              <wp:extent cx="515620" cy="107950"/>
              <wp:effectExtent l="4445" t="0" r="381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EE5DB" w14:textId="77777777" w:rsidR="00862DF8" w:rsidRDefault="002A1421">
                          <w:pPr>
                            <w:spacing w:before="18" w:after="0" w:line="240" w:lineRule="auto"/>
                            <w:ind w:left="20" w:right="-20"/>
                            <w:rPr>
                              <w:rFonts w:eastAsia="Metropolis Light" w:cs="Metropolis Light"/>
                              <w:sz w:val="13"/>
                              <w:szCs w:val="13"/>
                            </w:rPr>
                          </w:pPr>
                          <w:r>
                            <w:rPr>
                              <w:rFonts w:eastAsia="Metropolis Light" w:cs="Metropolis Light"/>
                              <w:color w:val="231F20"/>
                              <w:sz w:val="13"/>
                              <w:szCs w:val="13"/>
                            </w:rPr>
                            <w:t>FOREWORD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EE5C5" id="Text Box 21" o:spid="_x0000_s1031" type="#_x0000_t202" style="position:absolute;margin-left:85.85pt;margin-top:27.45pt;width:40.6pt;height: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" filled="f" stroked="f">
              <v:textbox inset="0,0,0,0">
                <w:txbxContent>
                  <w:p w14:paraId="1F9EE5DB" w14:textId="77777777" w:rsidR="00862DF8" w:rsidRDefault="002A1421">
                    <w:pPr>
                      <w:spacing w:before="18" w:after="0" w:line="240" w:lineRule="auto"/>
                      <w:ind w:left="20" w:right="-20"/>
                      <w:rPr>
                        <w:rFonts w:eastAsia="Metropolis Light" w:cs="Metropolis Light"/>
                        <w:sz w:val="13"/>
                        <w:szCs w:val="13"/>
                      </w:rPr>
                    </w:pPr>
                    <w:r>
                      <w:rPr>
                        <w:rFonts w:eastAsia="Metropolis Light" w:cs="Metropolis Light"/>
                        <w:color w:val="231F20"/>
                        <w:sz w:val="13"/>
                        <w:szCs w:val="13"/>
                      </w:rPr>
                      <w:t>FOREWORD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43059" w14:textId="5DAF3AF1" w:rsidR="001130DF" w:rsidRPr="001130DF" w:rsidRDefault="001130DF" w:rsidP="001130DF">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 xml:space="preserve">                   </w:t>
    </w:r>
    <w:r>
      <w:rPr>
        <w:szCs w:val="13"/>
      </w:rPr>
      <w:tab/>
    </w:r>
    <w:r>
      <w:rPr>
        <w:szCs w:val="13"/>
      </w:rPr>
      <w:tab/>
    </w:r>
    <w:bookmarkStart w:id="107" w:name="_Toc116464812"/>
    <w:r w:rsidRPr="00257508">
      <w:t>PART TWO: PRINCIPLES GOVERNING EMERGENCY LEGISLATION</w:t>
    </w:r>
    <w:bookmarkEnd w:id="107"/>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32</w:t>
    </w:r>
    <w:r w:rsidRPr="001D3DD6">
      <w:rPr>
        <w:szCs w:val="13"/>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FE875" w14:textId="411FCBC9" w:rsidR="00142936" w:rsidRPr="00E651E4" w:rsidRDefault="00142936" w:rsidP="00E651E4">
    <w:pPr>
      <w:pStyle w:val="Header"/>
      <w:tabs>
        <w:tab w:val="clear" w:pos="9072"/>
        <w:tab w:val="right" w:pos="4536"/>
        <w:tab w:val="right" w:pos="8931"/>
        <w:tab w:val="right" w:pos="15026"/>
      </w:tabs>
      <w:rPr>
        <w:szCs w:val="13"/>
      </w:rPr>
    </w:pPr>
    <w:r w:rsidRPr="00287AFD">
      <w:rPr>
        <w:szCs w:val="13"/>
      </w:rPr>
      <w:t>LAW COMMISSION</w:t>
    </w:r>
    <w:r w:rsidRPr="001D3DD6">
      <w:rPr>
        <w:szCs w:val="13"/>
      </w:rPr>
      <w:t xml:space="preserve"> </w:t>
    </w:r>
    <w:r>
      <w:rPr>
        <w:szCs w:val="13"/>
      </w:rPr>
      <w:t xml:space="preserve">            </w:t>
    </w:r>
    <w:r w:rsidR="00494EA1">
      <w:rPr>
        <w:szCs w:val="13"/>
      </w:rPr>
      <w:t xml:space="preserve"> </w:t>
    </w:r>
    <w:r>
      <w:rPr>
        <w:szCs w:val="13"/>
      </w:rPr>
      <w:tab/>
    </w:r>
    <w:r w:rsidR="00494EA1" w:rsidRPr="00257508">
      <w:t xml:space="preserve">PART </w:t>
    </w:r>
    <w:r w:rsidR="00440225" w:rsidRPr="00257508">
      <w:t>T</w:t>
    </w:r>
    <w:r w:rsidR="00440225">
      <w:t>HREE</w:t>
    </w:r>
    <w:r w:rsidR="00440225" w:rsidRPr="00257508">
      <w:t xml:space="preserve">: </w:t>
    </w:r>
    <w:r w:rsidR="00440225" w:rsidRPr="00440225">
      <w:t>UNDERSTANDING AND IMPROVING THE CURRENT LEGISLATIVE FRAMEWORK FOR EMERGENCIES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sidR="00762F88">
      <w:rPr>
        <w:noProof/>
        <w:szCs w:val="13"/>
      </w:rPr>
      <w:t>43</w:t>
    </w:r>
    <w:r w:rsidRPr="001D3DD6">
      <w:rPr>
        <w:szCs w:val="13"/>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9A996" w14:textId="6D3313AA" w:rsidR="003817E1" w:rsidRPr="00E651E4" w:rsidRDefault="003817E1" w:rsidP="00E651E4">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 xml:space="preserve">                   </w:t>
    </w:r>
    <w:r>
      <w:rPr>
        <w:szCs w:val="13"/>
      </w:rPr>
      <w:tab/>
    </w:r>
    <w:r>
      <w:rPr>
        <w:szCs w:val="13"/>
      </w:rPr>
      <w:tab/>
    </w:r>
    <w:r w:rsidR="004632A0">
      <w:rPr>
        <w:szCs w:val="13"/>
      </w:rPr>
      <w:t>APPENDIX ONE</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3A7C5" w14:textId="6C568429" w:rsidR="003817E1" w:rsidRPr="00E651E4" w:rsidRDefault="003817E1" w:rsidP="00E651E4">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 xml:space="preserve">                   </w:t>
    </w:r>
    <w:r>
      <w:rPr>
        <w:szCs w:val="13"/>
      </w:rPr>
      <w:tab/>
    </w:r>
    <w:r>
      <w:rPr>
        <w:szCs w:val="13"/>
      </w:rPr>
      <w:tab/>
    </w:r>
    <w:r w:rsidR="006A7606">
      <w:rPr>
        <w:szCs w:val="13"/>
      </w:rPr>
      <w:t>APPENDIX</w:t>
    </w:r>
    <w:r w:rsidR="00F66AFD">
      <w:rPr>
        <w:szCs w:val="13"/>
      </w:rPr>
      <w:t xml:space="preserve"> TWO</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8F94A" w14:textId="36D84A6A" w:rsidR="00245A75" w:rsidRPr="00E651E4" w:rsidRDefault="00245A75" w:rsidP="00245A75">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 xml:space="preserve">                   </w:t>
    </w:r>
    <w:r>
      <w:rPr>
        <w:szCs w:val="13"/>
      </w:rPr>
      <w:tab/>
    </w:r>
    <w:r>
      <w:rPr>
        <w:szCs w:val="13"/>
      </w:rPr>
      <w:tab/>
      <w:t xml:space="preserve">APPENDIX THREE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73</w:t>
    </w:r>
    <w:r w:rsidRPr="001D3DD6">
      <w:rPr>
        <w:szCs w:val="13"/>
      </w:rPr>
      <w:fldChar w:fldCharType="end"/>
    </w:r>
  </w:p>
  <w:p w14:paraId="04DB33CF" w14:textId="77777777" w:rsidR="009A6CC4" w:rsidRDefault="009A6CC4"/>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628F6" w14:textId="13B86EC7" w:rsidR="003D1635" w:rsidRPr="002D0F4F" w:rsidRDefault="002D0F4F" w:rsidP="002D0F4F">
    <w:pPr>
      <w:pStyle w:val="Header"/>
      <w:rPr>
        <w:szCs w:val="20"/>
      </w:rPr>
    </w:pPr>
    <w:r w:rsidRPr="004C1069">
      <w:rPr>
        <w:szCs w:val="13"/>
      </w:rPr>
      <w:fldChar w:fldCharType="begin"/>
    </w:r>
    <w:r w:rsidRPr="004C1069">
      <w:rPr>
        <w:szCs w:val="13"/>
      </w:rPr>
      <w:instrText xml:space="preserve"> PAGE   \* MERGEFORMAT </w:instrText>
    </w:r>
    <w:r w:rsidRPr="004C1069">
      <w:rPr>
        <w:szCs w:val="13"/>
      </w:rPr>
      <w:fldChar w:fldCharType="separate"/>
    </w:r>
    <w:r>
      <w:rPr>
        <w:szCs w:val="13"/>
      </w:rPr>
      <w:t>89</w:t>
    </w:r>
    <w:r w:rsidRPr="004C1069">
      <w:rPr>
        <w:szCs w:val="13"/>
      </w:rPr>
      <w:fldChar w:fldCharType="end"/>
    </w:r>
    <w:r w:rsidRPr="004C1069">
      <w:rPr>
        <w:szCs w:val="13"/>
      </w:rPr>
      <w:t xml:space="preserve">    </w:t>
    </w:r>
    <w:r>
      <w:rPr>
        <w:szCs w:val="13"/>
      </w:rPr>
      <w:t>SP23</w:t>
    </w:r>
    <w:r w:rsidRPr="00E651E4">
      <w:rPr>
        <w:szCs w:val="13"/>
      </w:rPr>
      <w:t xml:space="preserve"> - THE LEGAL FRAMEWORK FOR EMERGENCIES IN AOTEAROA NEW ZEALAND</w:t>
    </w:r>
    <w:r w:rsidRPr="004C1069">
      <w:rPr>
        <w:szCs w:val="13"/>
      </w:rPr>
      <w:tab/>
      <w:t>TE AKA MATUA O TE TURE | LAW COMMISSION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1F7EF" w14:textId="48D1E0F7" w:rsidR="003D1635" w:rsidRPr="00B55DAF" w:rsidRDefault="00B55DAF" w:rsidP="00CC3ADC">
    <w:pPr>
      <w:pStyle w:val="Header"/>
      <w:rPr>
        <w:szCs w:val="20"/>
      </w:rPr>
    </w:pPr>
    <w:r w:rsidRPr="004C1069">
      <w:rPr>
        <w:szCs w:val="13"/>
      </w:rPr>
      <w:fldChar w:fldCharType="begin"/>
    </w:r>
    <w:r w:rsidRPr="004C1069">
      <w:rPr>
        <w:szCs w:val="13"/>
      </w:rPr>
      <w:instrText xml:space="preserve"> PAGE   \* MERGEFORMAT </w:instrText>
    </w:r>
    <w:r w:rsidRPr="004C1069">
      <w:rPr>
        <w:szCs w:val="13"/>
      </w:rPr>
      <w:fldChar w:fldCharType="separate"/>
    </w:r>
    <w:r>
      <w:rPr>
        <w:szCs w:val="13"/>
      </w:rPr>
      <w:t>84</w:t>
    </w:r>
    <w:r w:rsidRPr="004C1069">
      <w:rPr>
        <w:szCs w:val="13"/>
      </w:rPr>
      <w:fldChar w:fldCharType="end"/>
    </w:r>
    <w:r w:rsidRPr="004C1069">
      <w:rPr>
        <w:szCs w:val="13"/>
      </w:rPr>
      <w:t xml:space="preserve">    </w:t>
    </w:r>
    <w:r>
      <w:rPr>
        <w:szCs w:val="13"/>
      </w:rPr>
      <w:t>SP23</w:t>
    </w:r>
    <w:r w:rsidRPr="00E651E4">
      <w:rPr>
        <w:szCs w:val="13"/>
      </w:rPr>
      <w:t xml:space="preserve"> - THE LEGAL FRAMEWORK FOR EMERGENCIES IN AOTEAROA NEW ZEALAND</w:t>
    </w:r>
    <w:r w:rsidRPr="004C1069">
      <w:rPr>
        <w:szCs w:val="13"/>
      </w:rPr>
      <w:tab/>
      <w:t>TE AKA MATUA O TE TURE | LAW COMMISSION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D234C" w14:textId="77777777" w:rsidR="00D25A8D" w:rsidRDefault="00D25A8D" w:rsidP="00D25A8D">
    <w:pPr>
      <w:spacing w:after="0" w:line="200" w:lineRule="exact"/>
      <w:rPr>
        <w:szCs w:val="20"/>
      </w:rPr>
    </w:pPr>
    <w:r>
      <w:rPr>
        <w:noProof/>
      </w:rPr>
      <mc:AlternateContent>
        <mc:Choice Requires="wpg">
          <w:drawing>
            <wp:anchor distT="0" distB="0" distL="114300" distR="114300" simplePos="0" relativeHeight="251658243" behindDoc="1" locked="0" layoutInCell="1" allowOverlap="1" wp14:anchorId="1DBFEDB5" wp14:editId="670EFD16">
              <wp:simplePos x="0" y="0"/>
              <wp:positionH relativeFrom="page">
                <wp:posOffset>0</wp:posOffset>
              </wp:positionH>
              <wp:positionV relativeFrom="page">
                <wp:posOffset>0</wp:posOffset>
              </wp:positionV>
              <wp:extent cx="7560310" cy="10692130"/>
              <wp:effectExtent l="0" t="0" r="2540" b="4445"/>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251" name="Freeform 16"/>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F6EA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A4E51" id="Group 250" o:spid="_x0000_s1026" style="position:absolute;margin-left:0;margin-top:0;width:595.3pt;height:841.9pt;z-index:-251658237;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">
              <v:shape id="Freeform 16"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" path="m,16838r11906,l11906,,,,,16838e" fillcolor="#f6eae6" stroked="f">
                <v:path arrowok="t" o:connecttype="custom" o:connectlocs="0,16838;11906,16838;11906,0;0,0;0,16838" o:connectangles="0,0,0,0,0"/>
              </v:shape>
              <w10:wrap anchorx="page" anchory="page"/>
            </v:group>
          </w:pict>
        </mc:Fallback>
      </mc:AlternateContent>
    </w:r>
    <w:r>
      <w:rPr>
        <w:noProof/>
      </w:rPr>
      <mc:AlternateContent>
        <mc:Choice Requires="wps">
          <w:drawing>
            <wp:anchor distT="0" distB="0" distL="114300" distR="114300" simplePos="0" relativeHeight="251658244" behindDoc="1" locked="0" layoutInCell="1" allowOverlap="1" wp14:anchorId="45102802" wp14:editId="17DBA79A">
              <wp:simplePos x="0" y="0"/>
              <wp:positionH relativeFrom="page">
                <wp:posOffset>707390</wp:posOffset>
              </wp:positionH>
              <wp:positionV relativeFrom="page">
                <wp:posOffset>348615</wp:posOffset>
              </wp:positionV>
              <wp:extent cx="104775" cy="107950"/>
              <wp:effectExtent l="2540" t="0" r="0" b="635"/>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99411" w14:textId="464896B4" w:rsidR="00D25A8D" w:rsidRDefault="0004563A" w:rsidP="00D25A8D">
                          <w:pPr>
                            <w:spacing w:before="18" w:after="0" w:line="240" w:lineRule="auto"/>
                            <w:ind w:left="20" w:right="-20"/>
                            <w:rPr>
                              <w:rFonts w:eastAsia="Metropolis Light" w:cs="Metropolis Light"/>
                              <w:sz w:val="13"/>
                              <w:szCs w:val="13"/>
                            </w:rPr>
                          </w:pPr>
                          <w:r>
                            <w:rPr>
                              <w:rFonts w:eastAsia="Metropolis Light" w:cs="Metropolis Light"/>
                              <w:color w:val="231F20"/>
                              <w:sz w:val="13"/>
                              <w:szCs w:val="13"/>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02802" id="_x0000_t202" coordsize="21600,21600" o:spt="202" path="m,l,21600r21600,l21600,xe">
              <v:stroke joinstyle="miter"/>
              <v:path gradientshapeok="t" o:connecttype="rect"/>
            </v:shapetype>
            <v:shape id="Text Box 252" o:spid="_x0000_s1032" type="#_x0000_t202" style="position:absolute;margin-left:55.7pt;margin-top:27.45pt;width:8.25pt;height: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" filled="f" stroked="f">
              <v:textbox inset="0,0,0,0">
                <w:txbxContent>
                  <w:p w14:paraId="5A999411" w14:textId="464896B4" w:rsidR="00D25A8D" w:rsidRDefault="0004563A" w:rsidP="00D25A8D">
                    <w:pPr>
                      <w:spacing w:before="18" w:after="0" w:line="240" w:lineRule="auto"/>
                      <w:ind w:left="20" w:right="-20"/>
                      <w:rPr>
                        <w:rFonts w:eastAsia="Metropolis Light" w:cs="Metropolis Light"/>
                        <w:sz w:val="13"/>
                        <w:szCs w:val="13"/>
                      </w:rPr>
                    </w:pPr>
                    <w:r>
                      <w:rPr>
                        <w:rFonts w:eastAsia="Metropolis Light" w:cs="Metropolis Light"/>
                        <w:color w:val="231F20"/>
                        <w:sz w:val="13"/>
                        <w:szCs w:val="13"/>
                      </w:rPr>
                      <w:t>iii</w:t>
                    </w:r>
                  </w:p>
                </w:txbxContent>
              </v:textbox>
              <w10:wrap anchorx="page" anchory="page"/>
            </v:shape>
          </w:pict>
        </mc:Fallback>
      </mc:AlternateContent>
    </w:r>
    <w:r>
      <w:rPr>
        <w:noProof/>
      </w:rPr>
      <mc:AlternateContent>
        <mc:Choice Requires="wps">
          <w:drawing>
            <wp:anchor distT="0" distB="0" distL="114300" distR="114300" simplePos="0" relativeHeight="251658245" behindDoc="1" locked="0" layoutInCell="1" allowOverlap="1" wp14:anchorId="60B96E60" wp14:editId="44CC31E4">
              <wp:simplePos x="0" y="0"/>
              <wp:positionH relativeFrom="page">
                <wp:posOffset>1090295</wp:posOffset>
              </wp:positionH>
              <wp:positionV relativeFrom="page">
                <wp:posOffset>348615</wp:posOffset>
              </wp:positionV>
              <wp:extent cx="965835" cy="107950"/>
              <wp:effectExtent l="4445" t="0" r="1270" b="635"/>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22FB5" w14:textId="3AFBBCEE" w:rsidR="00D25A8D" w:rsidRDefault="00D25A8D" w:rsidP="00D25A8D">
                          <w:pPr>
                            <w:spacing w:before="18" w:after="0" w:line="240" w:lineRule="auto"/>
                            <w:ind w:left="20" w:right="-20"/>
                            <w:rPr>
                              <w:rFonts w:eastAsia="Metropolis Light" w:cs="Metropolis Light"/>
                              <w:sz w:val="13"/>
                              <w:szCs w:val="13"/>
                            </w:rPr>
                          </w:pPr>
                          <w:r>
                            <w:rPr>
                              <w:rFonts w:eastAsia="Metropolis Light" w:cs="Metropolis Light"/>
                              <w:color w:val="231F20"/>
                              <w:w w:val="105"/>
                              <w:sz w:val="13"/>
                              <w:szCs w:val="13"/>
                            </w:rPr>
                            <w:t>FOR</w:t>
                          </w:r>
                          <w:r w:rsidR="00AA6891">
                            <w:rPr>
                              <w:rFonts w:eastAsia="Metropolis Light" w:cs="Metropolis Light"/>
                              <w:color w:val="231F20"/>
                              <w:w w:val="105"/>
                              <w:sz w:val="13"/>
                              <w:szCs w:val="13"/>
                            </w:rPr>
                            <w:t>EWORD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96E60" id="Text Box 253" o:spid="_x0000_s1033" type="#_x0000_t202" style="position:absolute;margin-left:85.85pt;margin-top:27.45pt;width:76.05pt;height: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" filled="f" stroked="f">
              <v:textbox inset="0,0,0,0">
                <w:txbxContent>
                  <w:p w14:paraId="50D22FB5" w14:textId="3AFBBCEE" w:rsidR="00D25A8D" w:rsidRDefault="00D25A8D" w:rsidP="00D25A8D">
                    <w:pPr>
                      <w:spacing w:before="18" w:after="0" w:line="240" w:lineRule="auto"/>
                      <w:ind w:left="20" w:right="-20"/>
                      <w:rPr>
                        <w:rFonts w:eastAsia="Metropolis Light" w:cs="Metropolis Light"/>
                        <w:sz w:val="13"/>
                        <w:szCs w:val="13"/>
                      </w:rPr>
                    </w:pPr>
                    <w:r>
                      <w:rPr>
                        <w:rFonts w:eastAsia="Metropolis Light" w:cs="Metropolis Light"/>
                        <w:color w:val="231F20"/>
                        <w:w w:val="105"/>
                        <w:sz w:val="13"/>
                        <w:szCs w:val="13"/>
                      </w:rPr>
                      <w:t>FOR</w:t>
                    </w:r>
                    <w:r w:rsidR="00AA6891">
                      <w:rPr>
                        <w:rFonts w:eastAsia="Metropolis Light" w:cs="Metropolis Light"/>
                        <w:color w:val="231F20"/>
                        <w:w w:val="105"/>
                        <w:sz w:val="13"/>
                        <w:szCs w:val="13"/>
                      </w:rPr>
                      <w:t>EWORD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EE5BB" w14:textId="6D4D2679" w:rsidR="00862DF8" w:rsidRPr="00556B28" w:rsidRDefault="00556B28" w:rsidP="004C4D62">
    <w:pPr>
      <w:tabs>
        <w:tab w:val="left" w:pos="720"/>
        <w:tab w:val="left" w:pos="1170"/>
        <w:tab w:val="left" w:pos="1440"/>
        <w:tab w:val="left" w:pos="1716"/>
        <w:tab w:val="left" w:pos="3069"/>
      </w:tabs>
      <w:spacing w:after="0" w:line="200" w:lineRule="exact"/>
      <w:rPr>
        <w:szCs w:val="20"/>
      </w:rPr>
    </w:pPr>
    <w:r>
      <w:rPr>
        <w:noProof/>
      </w:rPr>
      <mc:AlternateContent>
        <mc:Choice Requires="wpg">
          <w:drawing>
            <wp:anchor distT="0" distB="0" distL="114300" distR="114300" simplePos="0" relativeHeight="251658249" behindDoc="1" locked="0" layoutInCell="1" allowOverlap="1" wp14:anchorId="36F0CCBC" wp14:editId="4EEB27FB">
              <wp:simplePos x="0" y="0"/>
              <wp:positionH relativeFrom="page">
                <wp:posOffset>0</wp:posOffset>
              </wp:positionH>
              <wp:positionV relativeFrom="page">
                <wp:posOffset>0</wp:posOffset>
              </wp:positionV>
              <wp:extent cx="7560310" cy="10692130"/>
              <wp:effectExtent l="0" t="0" r="2540" b="44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50" name="Freeform 16"/>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F6EA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C1CCFB" id="Group 2" o:spid="_x0000_s1026" style="position:absolute;margin-left:0;margin-top:0;width:595.3pt;height:841.9pt;z-index:-251658231;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">
              <v:shape id="Freeform 16"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" path="m,16838r11906,l11906,,,,,16838e" fillcolor="#f6eae6" stroked="f">
                <v:path arrowok="t" o:connecttype="custom" o:connectlocs="0,16838;11906,16838;11906,0;0,0;0,16838" o:connectangles="0,0,0,0,0"/>
              </v:shape>
              <w10:wrap anchorx="page" anchory="page"/>
            </v:group>
          </w:pict>
        </mc:Fallback>
      </mc:AlternateContent>
    </w:r>
    <w:r>
      <w:rPr>
        <w:noProof/>
      </w:rPr>
      <mc:AlternateContent>
        <mc:Choice Requires="wps">
          <w:drawing>
            <wp:anchor distT="0" distB="0" distL="114300" distR="114300" simplePos="0" relativeHeight="251658250" behindDoc="1" locked="0" layoutInCell="1" allowOverlap="1" wp14:anchorId="2E69A04D" wp14:editId="253774D4">
              <wp:simplePos x="0" y="0"/>
              <wp:positionH relativeFrom="page">
                <wp:posOffset>707390</wp:posOffset>
              </wp:positionH>
              <wp:positionV relativeFrom="page">
                <wp:posOffset>348615</wp:posOffset>
              </wp:positionV>
              <wp:extent cx="104775" cy="107950"/>
              <wp:effectExtent l="2540" t="0" r="0" b="63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9523F" w14:textId="77777777" w:rsidR="00556B28" w:rsidRDefault="00556B28" w:rsidP="00556B28">
                          <w:pPr>
                            <w:spacing w:before="18" w:after="0" w:line="240" w:lineRule="auto"/>
                            <w:ind w:left="20" w:right="-20"/>
                            <w:rPr>
                              <w:rFonts w:eastAsia="Metropolis Light" w:cs="Metropolis Light"/>
                              <w:sz w:val="13"/>
                              <w:szCs w:val="13"/>
                            </w:rPr>
                          </w:pPr>
                          <w:r>
                            <w:rPr>
                              <w:rFonts w:eastAsia="Metropolis Light" w:cs="Metropolis Light"/>
                              <w:color w:val="231F20"/>
                              <w:w w:val="132"/>
                              <w:sz w:val="13"/>
                              <w:szCs w:val="13"/>
                            </w:rPr>
                            <w: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9A04D" id="_x0000_t202" coordsize="21600,21600" o:spt="202" path="m,l,21600r21600,l21600,xe">
              <v:stroke joinstyle="miter"/>
              <v:path gradientshapeok="t" o:connecttype="rect"/>
            </v:shapetype>
            <v:shape id="Text Box 51" o:spid="_x0000_s1034" type="#_x0000_t202" style="position:absolute;margin-left:55.7pt;margin-top:27.45pt;width:8.25pt;height: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" filled="f" stroked="f">
              <v:textbox inset="0,0,0,0">
                <w:txbxContent>
                  <w:p w14:paraId="5699523F" w14:textId="77777777" w:rsidR="00556B28" w:rsidRDefault="00556B28" w:rsidP="00556B28">
                    <w:pPr>
                      <w:spacing w:before="18" w:after="0" w:line="240" w:lineRule="auto"/>
                      <w:ind w:left="20" w:right="-20"/>
                      <w:rPr>
                        <w:rFonts w:eastAsia="Metropolis Light" w:cs="Metropolis Light"/>
                        <w:sz w:val="13"/>
                        <w:szCs w:val="13"/>
                      </w:rPr>
                    </w:pPr>
                    <w:r>
                      <w:rPr>
                        <w:rFonts w:eastAsia="Metropolis Light" w:cs="Metropolis Light"/>
                        <w:color w:val="231F20"/>
                        <w:w w:val="132"/>
                        <w:sz w:val="13"/>
                        <w:szCs w:val="13"/>
                      </w:rPr>
                      <w:t>iv</w:t>
                    </w:r>
                  </w:p>
                </w:txbxContent>
              </v:textbox>
              <w10:wrap anchorx="page" anchory="page"/>
            </v:shape>
          </w:pict>
        </mc:Fallback>
      </mc:AlternateContent>
    </w:r>
    <w:r>
      <w:rPr>
        <w:noProof/>
      </w:rPr>
      <mc:AlternateContent>
        <mc:Choice Requires="wps">
          <w:drawing>
            <wp:anchor distT="0" distB="0" distL="114300" distR="114300" simplePos="0" relativeHeight="251658251" behindDoc="1" locked="0" layoutInCell="1" allowOverlap="1" wp14:anchorId="5B89AE19" wp14:editId="31070487">
              <wp:simplePos x="0" y="0"/>
              <wp:positionH relativeFrom="page">
                <wp:posOffset>1090295</wp:posOffset>
              </wp:positionH>
              <wp:positionV relativeFrom="page">
                <wp:posOffset>348615</wp:posOffset>
              </wp:positionV>
              <wp:extent cx="965835" cy="107950"/>
              <wp:effectExtent l="0" t="0" r="5715" b="635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96B79" w14:textId="2E30631F" w:rsidR="00556B28" w:rsidRDefault="00126996" w:rsidP="00556B28">
                          <w:pPr>
                            <w:spacing w:before="18" w:after="0" w:line="240" w:lineRule="auto"/>
                            <w:ind w:left="20" w:right="-20"/>
                            <w:rPr>
                              <w:rFonts w:eastAsia="Metropolis Light" w:cs="Metropolis Light"/>
                              <w:sz w:val="13"/>
                              <w:szCs w:val="13"/>
                            </w:rPr>
                          </w:pPr>
                          <w:r w:rsidRPr="00126996">
                            <w:rPr>
                              <w:rFonts w:eastAsia="Metropolis Light" w:cs="Metropolis Light"/>
                              <w:color w:val="231F20"/>
                              <w:w w:val="105"/>
                              <w:sz w:val="13"/>
                              <w:szCs w:val="13"/>
                            </w:rPr>
                            <w:t>AUTHOR’S PREFACE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9AE19" id="Text Box 52" o:spid="_x0000_s1035" type="#_x0000_t202" style="position:absolute;margin-left:85.85pt;margin-top:27.45pt;width:76.05pt;height: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" filled="f" stroked="f">
              <v:textbox inset="0,0,0,0">
                <w:txbxContent>
                  <w:p w14:paraId="22C96B79" w14:textId="2E30631F" w:rsidR="00556B28" w:rsidRDefault="00126996" w:rsidP="00556B28">
                    <w:pPr>
                      <w:spacing w:before="18" w:after="0" w:line="240" w:lineRule="auto"/>
                      <w:ind w:left="20" w:right="-20"/>
                      <w:rPr>
                        <w:rFonts w:eastAsia="Metropolis Light" w:cs="Metropolis Light"/>
                        <w:sz w:val="13"/>
                        <w:szCs w:val="13"/>
                      </w:rPr>
                    </w:pPr>
                    <w:r w:rsidRPr="00126996">
                      <w:rPr>
                        <w:rFonts w:eastAsia="Metropolis Light" w:cs="Metropolis Light"/>
                        <w:color w:val="231F20"/>
                        <w:w w:val="105"/>
                        <w:sz w:val="13"/>
                        <w:szCs w:val="13"/>
                      </w:rPr>
                      <w:t>AUTHOR’S PREFACE</w:t>
                    </w:r>
                  </w:p>
                </w:txbxContent>
              </v:textbox>
              <w10:wrap anchorx="page" anchory="page"/>
            </v:shape>
          </w:pict>
        </mc:Fallback>
      </mc:AlternateContent>
    </w:r>
    <w:r>
      <w:tab/>
    </w:r>
    <w:r>
      <w:tab/>
    </w:r>
    <w:r>
      <w:tab/>
    </w: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EE5BC" w14:textId="7853982D" w:rsidR="00862DF8" w:rsidRPr="00BF16CE" w:rsidRDefault="00BF16CE" w:rsidP="00BF16CE">
    <w:pPr>
      <w:tabs>
        <w:tab w:val="left" w:pos="720"/>
        <w:tab w:val="left" w:pos="1440"/>
        <w:tab w:val="left" w:pos="1716"/>
        <w:tab w:val="left" w:pos="3069"/>
      </w:tabs>
      <w:spacing w:after="0" w:line="200" w:lineRule="exact"/>
      <w:rPr>
        <w:szCs w:val="20"/>
      </w:rPr>
    </w:pPr>
    <w:r>
      <w:rPr>
        <w:noProof/>
      </w:rPr>
      <mc:AlternateContent>
        <mc:Choice Requires="wpg">
          <w:drawing>
            <wp:anchor distT="0" distB="0" distL="114300" distR="114300" simplePos="0" relativeHeight="251658246" behindDoc="1" locked="0" layoutInCell="1" allowOverlap="1" wp14:anchorId="364B8B7C" wp14:editId="0B32DBD5">
              <wp:simplePos x="0" y="0"/>
              <wp:positionH relativeFrom="page">
                <wp:posOffset>0</wp:posOffset>
              </wp:positionH>
              <wp:positionV relativeFrom="page">
                <wp:posOffset>0</wp:posOffset>
              </wp:positionV>
              <wp:extent cx="7560310" cy="10692130"/>
              <wp:effectExtent l="0" t="0" r="2540" b="4445"/>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255" name="Freeform 16"/>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F6EA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90FBD" id="Group 254" o:spid="_x0000_s1026" style="position:absolute;margin-left:0;margin-top:0;width:595.3pt;height:841.9pt;z-index:-251658234;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">
              <v:shape id="Freeform 16"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" path="m,16838r11906,l11906,,,,,16838e" fillcolor="#f6eae6" stroked="f">
                <v:path arrowok="t" o:connecttype="custom" o:connectlocs="0,16838;11906,16838;11906,0;0,0;0,16838" o:connectangles="0,0,0,0,0"/>
              </v:shape>
              <w10:wrap anchorx="page" anchory="page"/>
            </v:group>
          </w:pict>
        </mc:Fallback>
      </mc:AlternateContent>
    </w:r>
    <w:r>
      <w:rPr>
        <w:noProof/>
      </w:rPr>
      <mc:AlternateContent>
        <mc:Choice Requires="wps">
          <w:drawing>
            <wp:anchor distT="0" distB="0" distL="114300" distR="114300" simplePos="0" relativeHeight="251658247" behindDoc="1" locked="0" layoutInCell="1" allowOverlap="1" wp14:anchorId="39282E4E" wp14:editId="55853B74">
              <wp:simplePos x="0" y="0"/>
              <wp:positionH relativeFrom="page">
                <wp:posOffset>707390</wp:posOffset>
              </wp:positionH>
              <wp:positionV relativeFrom="page">
                <wp:posOffset>348615</wp:posOffset>
              </wp:positionV>
              <wp:extent cx="104775" cy="107950"/>
              <wp:effectExtent l="2540" t="0" r="0" b="635"/>
              <wp:wrapNone/>
              <wp:docPr id="764519360" name="Text Box 764519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4311B" w14:textId="71A2C2C5" w:rsidR="00BF16CE" w:rsidRDefault="0004563A" w:rsidP="00BF16CE">
                          <w:pPr>
                            <w:spacing w:before="18" w:after="0" w:line="240" w:lineRule="auto"/>
                            <w:ind w:left="20" w:right="-20"/>
                            <w:rPr>
                              <w:rFonts w:eastAsia="Metropolis Light" w:cs="Metropolis Light"/>
                              <w:sz w:val="13"/>
                              <w:szCs w:val="13"/>
                            </w:rPr>
                          </w:pPr>
                          <w:r>
                            <w:rPr>
                              <w:rFonts w:eastAsia="Metropolis Light" w:cs="Metropolis Light"/>
                              <w:color w:val="231F20"/>
                              <w:w w:val="132"/>
                              <w:sz w:val="13"/>
                              <w:szCs w:val="13"/>
                            </w:rPr>
                            <w: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282E4E" id="_x0000_t202" coordsize="21600,21600" o:spt="202" path="m,l,21600r21600,l21600,xe">
              <v:stroke joinstyle="miter"/>
              <v:path gradientshapeok="t" o:connecttype="rect"/>
            </v:shapetype>
            <v:shape id="Text Box 764519360" o:spid="_x0000_s1036" type="#_x0000_t202" style="position:absolute;margin-left:55.7pt;margin-top:27.45pt;width:8.25pt;height: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" filled="f" stroked="f">
              <v:textbox inset="0,0,0,0">
                <w:txbxContent>
                  <w:p w14:paraId="1B84311B" w14:textId="71A2C2C5" w:rsidR="00BF16CE" w:rsidRDefault="0004563A" w:rsidP="00BF16CE">
                    <w:pPr>
                      <w:spacing w:before="18" w:after="0" w:line="240" w:lineRule="auto"/>
                      <w:ind w:left="20" w:right="-20"/>
                      <w:rPr>
                        <w:rFonts w:eastAsia="Metropolis Light" w:cs="Metropolis Light"/>
                        <w:sz w:val="13"/>
                        <w:szCs w:val="13"/>
                      </w:rPr>
                    </w:pPr>
                    <w:r>
                      <w:rPr>
                        <w:rFonts w:eastAsia="Metropolis Light" w:cs="Metropolis Light"/>
                        <w:color w:val="231F20"/>
                        <w:w w:val="132"/>
                        <w:sz w:val="13"/>
                        <w:szCs w:val="13"/>
                      </w:rPr>
                      <w:t>iv</w:t>
                    </w:r>
                  </w:p>
                </w:txbxContent>
              </v:textbox>
              <w10:wrap anchorx="page" anchory="page"/>
            </v:shape>
          </w:pict>
        </mc:Fallback>
      </mc:AlternateContent>
    </w:r>
    <w:r>
      <w:rPr>
        <w:noProof/>
      </w:rPr>
      <mc:AlternateContent>
        <mc:Choice Requires="wps">
          <w:drawing>
            <wp:anchor distT="0" distB="0" distL="114300" distR="114300" simplePos="0" relativeHeight="251658248" behindDoc="1" locked="0" layoutInCell="1" allowOverlap="1" wp14:anchorId="7346B82A" wp14:editId="7B141A17">
              <wp:simplePos x="0" y="0"/>
              <wp:positionH relativeFrom="page">
                <wp:posOffset>1090295</wp:posOffset>
              </wp:positionH>
              <wp:positionV relativeFrom="page">
                <wp:posOffset>348615</wp:posOffset>
              </wp:positionV>
              <wp:extent cx="965835" cy="107950"/>
              <wp:effectExtent l="4445" t="0" r="1270" b="635"/>
              <wp:wrapNone/>
              <wp:docPr id="764519361" name="Text Box 764519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CA204" w14:textId="77777777" w:rsidR="00BF16CE" w:rsidRDefault="00BF16CE" w:rsidP="00BF16CE">
                          <w:pPr>
                            <w:spacing w:before="18" w:after="0" w:line="240" w:lineRule="auto"/>
                            <w:ind w:left="20" w:right="-20"/>
                            <w:rPr>
                              <w:rFonts w:eastAsia="Metropolis Light" w:cs="Metropolis Light"/>
                              <w:sz w:val="13"/>
                              <w:szCs w:val="13"/>
                            </w:rPr>
                          </w:pPr>
                          <w:r>
                            <w:rPr>
                              <w:rFonts w:eastAsia="Metropolis Light" w:cs="Metropolis Light"/>
                              <w:color w:val="231F20"/>
                              <w:w w:val="105"/>
                              <w:sz w:val="13"/>
                              <w:szCs w:val="13"/>
                            </w:rPr>
                            <w:t>ACKN</w:t>
                          </w:r>
                          <w:r>
                            <w:rPr>
                              <w:rFonts w:eastAsia="Metropolis Light" w:cs="Metropolis Light"/>
                              <w:color w:val="231F20"/>
                              <w:spacing w:val="-3"/>
                              <w:w w:val="105"/>
                              <w:sz w:val="13"/>
                              <w:szCs w:val="13"/>
                            </w:rPr>
                            <w:t>O</w:t>
                          </w:r>
                          <w:r>
                            <w:rPr>
                              <w:rFonts w:eastAsia="Metropolis Light" w:cs="Metropolis Light"/>
                              <w:color w:val="231F20"/>
                              <w:sz w:val="13"/>
                              <w:szCs w:val="13"/>
                            </w:rPr>
                            <w:t>WLEDGEMENTS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6B82A" id="Text Box 764519361" o:spid="_x0000_s1037" type="#_x0000_t202" style="position:absolute;margin-left:85.85pt;margin-top:27.45pt;width:76.05pt;height: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" filled="f" stroked="f">
              <v:textbox inset="0,0,0,0">
                <w:txbxContent>
                  <w:p w14:paraId="395CA204" w14:textId="77777777" w:rsidR="00BF16CE" w:rsidRDefault="00BF16CE" w:rsidP="00BF16CE">
                    <w:pPr>
                      <w:spacing w:before="18" w:after="0" w:line="240" w:lineRule="auto"/>
                      <w:ind w:left="20" w:right="-20"/>
                      <w:rPr>
                        <w:rFonts w:eastAsia="Metropolis Light" w:cs="Metropolis Light"/>
                        <w:sz w:val="13"/>
                        <w:szCs w:val="13"/>
                      </w:rPr>
                    </w:pPr>
                    <w:r>
                      <w:rPr>
                        <w:rFonts w:eastAsia="Metropolis Light" w:cs="Metropolis Light"/>
                        <w:color w:val="231F20"/>
                        <w:w w:val="105"/>
                        <w:sz w:val="13"/>
                        <w:szCs w:val="13"/>
                      </w:rPr>
                      <w:t>ACKN</w:t>
                    </w:r>
                    <w:r>
                      <w:rPr>
                        <w:rFonts w:eastAsia="Metropolis Light" w:cs="Metropolis Light"/>
                        <w:color w:val="231F20"/>
                        <w:spacing w:val="-3"/>
                        <w:w w:val="105"/>
                        <w:sz w:val="13"/>
                        <w:szCs w:val="13"/>
                      </w:rPr>
                      <w:t>O</w:t>
                    </w:r>
                    <w:r>
                      <w:rPr>
                        <w:rFonts w:eastAsia="Metropolis Light" w:cs="Metropolis Light"/>
                        <w:color w:val="231F20"/>
                        <w:sz w:val="13"/>
                        <w:szCs w:val="13"/>
                      </w:rPr>
                      <w:t>WLEDGEMENTS</w:t>
                    </w:r>
                  </w:p>
                </w:txbxContent>
              </v:textbox>
              <w10:wrap anchorx="page" anchory="page"/>
            </v:shape>
          </w:pict>
        </mc:Fallback>
      </mc:AlternateContent>
    </w:r>
    <w:r>
      <w:tab/>
    </w:r>
    <w:r>
      <w:tab/>
    </w: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EE5BD" w14:textId="121F3E87" w:rsidR="00862DF8" w:rsidRPr="00725464" w:rsidRDefault="00725464" w:rsidP="00A2087E">
    <w:pPr>
      <w:pStyle w:val="Header"/>
      <w:tabs>
        <w:tab w:val="clear" w:pos="4536"/>
        <w:tab w:val="left" w:pos="6521"/>
      </w:tabs>
      <w:rPr>
        <w:szCs w:val="20"/>
      </w:rPr>
    </w:pPr>
    <w:r w:rsidRPr="004C1069">
      <w:rPr>
        <w:szCs w:val="13"/>
      </w:rPr>
      <w:fldChar w:fldCharType="begin"/>
    </w:r>
    <w:r w:rsidRPr="004C1069">
      <w:rPr>
        <w:szCs w:val="13"/>
      </w:rPr>
      <w:instrText xml:space="preserve"> PAGE   \* MERGEFORMAT </w:instrText>
    </w:r>
    <w:r w:rsidRPr="004C1069">
      <w:rPr>
        <w:szCs w:val="13"/>
      </w:rPr>
      <w:fldChar w:fldCharType="separate"/>
    </w:r>
    <w:r>
      <w:rPr>
        <w:szCs w:val="13"/>
      </w:rPr>
      <w:t>12</w:t>
    </w:r>
    <w:r w:rsidRPr="004C1069">
      <w:rPr>
        <w:szCs w:val="13"/>
      </w:rPr>
      <w:fldChar w:fldCharType="end"/>
    </w:r>
    <w:r w:rsidRPr="004C1069">
      <w:rPr>
        <w:szCs w:val="13"/>
      </w:rPr>
      <w:t xml:space="preserve">    </w:t>
    </w:r>
    <w:r>
      <w:rPr>
        <w:szCs w:val="13"/>
      </w:rPr>
      <w:t>SP23</w:t>
    </w:r>
    <w:r w:rsidRPr="00E651E4">
      <w:rPr>
        <w:szCs w:val="13"/>
      </w:rPr>
      <w:t xml:space="preserve"> </w:t>
    </w:r>
    <w:r w:rsidR="00A2087E">
      <w:rPr>
        <w:szCs w:val="13"/>
      </w:rPr>
      <w:t>–</w:t>
    </w:r>
    <w:r w:rsidRPr="00E651E4">
      <w:rPr>
        <w:szCs w:val="13"/>
      </w:rPr>
      <w:t xml:space="preserve"> THE LEGAL FRAMEWORK FOR EMERGENCIES IN AOTEAROA NEW ZEALAND</w:t>
    </w:r>
    <w:r w:rsidR="008472D4">
      <w:rPr>
        <w:szCs w:val="13"/>
      </w:rPr>
      <w:t xml:space="preserve">             </w:t>
    </w:r>
    <w:r w:rsidRPr="004C1069">
      <w:rPr>
        <w:szCs w:val="13"/>
      </w:rPr>
      <w:t>TE AKA MATUA O TE TURE | LAW COMMISSION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EE5BE" w14:textId="48872AF5" w:rsidR="00862DF8" w:rsidRPr="0096360A" w:rsidRDefault="0096360A" w:rsidP="0096360A">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 xml:space="preserve">                   </w:t>
    </w:r>
    <w:r>
      <w:rPr>
        <w:szCs w:val="13"/>
      </w:rPr>
      <w:tab/>
    </w:r>
    <w:r>
      <w:rPr>
        <w:szCs w:val="13"/>
      </w:rPr>
      <w:tab/>
      <w:t xml:space="preserve">CONTENTS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11</w:t>
    </w:r>
    <w:r w:rsidRPr="001D3DD6">
      <w:rPr>
        <w:szCs w:val="13"/>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29337" w14:textId="395E6606" w:rsidR="00725464" w:rsidRPr="00E651E4" w:rsidRDefault="00725464" w:rsidP="00E651E4">
    <w:pPr>
      <w:pStyle w:val="Header"/>
      <w:tabs>
        <w:tab w:val="clear" w:pos="9072"/>
        <w:tab w:val="right" w:pos="4536"/>
        <w:tab w:val="right" w:pos="8931"/>
        <w:tab w:val="right" w:pos="15026"/>
      </w:tabs>
      <w:rPr>
        <w:szCs w:val="13"/>
      </w:rPr>
    </w:pPr>
    <w:r w:rsidRPr="00287AFD">
      <w:rPr>
        <w:szCs w:val="13"/>
      </w:rPr>
      <w:t>TE AKA MATUA O TE TURE | LAW COMMISSION</w:t>
    </w:r>
    <w:r>
      <w:rPr>
        <w:szCs w:val="13"/>
      </w:rPr>
      <w:t xml:space="preserve"> </w:t>
    </w:r>
    <w:r>
      <w:rPr>
        <w:szCs w:val="13"/>
      </w:rPr>
      <w:tab/>
    </w:r>
    <w:r>
      <w:rPr>
        <w:szCs w:val="13"/>
      </w:rPr>
      <w:tab/>
      <w:t xml:space="preserve">EXECUTIVE SUMMARY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1AA8D" w14:textId="65CF1A32" w:rsidR="000645F2" w:rsidRPr="00B12970" w:rsidRDefault="00B12970" w:rsidP="00B12970">
    <w:pPr>
      <w:pStyle w:val="Header"/>
    </w:pPr>
    <w:r w:rsidRPr="00287AFD">
      <w:rPr>
        <w:szCs w:val="13"/>
      </w:rPr>
      <w:t>TE AKA MATUA O TE TURE | LAW COMMISSION</w:t>
    </w:r>
    <w:r w:rsidRPr="001D3DD6">
      <w:rPr>
        <w:szCs w:val="13"/>
      </w:rPr>
      <w:t xml:space="preserve"> </w:t>
    </w:r>
    <w:r>
      <w:rPr>
        <w:szCs w:val="13"/>
      </w:rPr>
      <w:t xml:space="preserve">    </w:t>
    </w:r>
    <w:r>
      <w:rPr>
        <w:szCs w:val="13"/>
      </w:rPr>
      <w:tab/>
    </w:r>
    <w:r w:rsidR="0058379F">
      <w:rPr>
        <w:szCs w:val="13"/>
      </w:rPr>
      <w:tab/>
    </w:r>
    <w:r>
      <w:rPr>
        <w:szCs w:val="13"/>
      </w:rPr>
      <w:t xml:space="preserve">INTRODUCTION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16</w:t>
    </w:r>
    <w:r w:rsidRPr="001D3DD6">
      <w:rPr>
        <w:szCs w:val="13"/>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75AD9" w14:textId="26D46233" w:rsidR="00325991" w:rsidRPr="00325991" w:rsidRDefault="00325991" w:rsidP="00325991">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 xml:space="preserve">      </w:t>
    </w:r>
    <w:r>
      <w:rPr>
        <w:szCs w:val="13"/>
      </w:rPr>
      <w:tab/>
    </w:r>
    <w:r w:rsidRPr="00860191">
      <w:t>PART ONE: AOTEAROA NEW ZEALAND’</w:t>
    </w:r>
    <w:r w:rsidRPr="001D11D0">
      <w:t>S EVOLVING CONSTITUTIONAL FRAMEWORK</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14</w:t>
    </w:r>
    <w:r w:rsidRPr="001D3DD6">
      <w:rPr>
        <w:szCs w:val="13"/>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1C8766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multilevel"/>
    <w:tmpl w:val="E4E83DC4"/>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89"/>
    <w:multiLevelType w:val="multilevel"/>
    <w:tmpl w:val="4E84A59A"/>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D0334D"/>
    <w:multiLevelType w:val="multilevel"/>
    <w:tmpl w:val="8866535E"/>
    <w:styleLink w:val="Chapter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4" w15:restartNumberingAfterBreak="0">
    <w:nsid w:val="051C210C"/>
    <w:multiLevelType w:val="hybridMultilevel"/>
    <w:tmpl w:val="02082752"/>
    <w:lvl w:ilvl="0" w:tplc="16923E84">
      <w:start w:val="11"/>
      <w:numFmt w:val="bullet"/>
      <w:lvlText w:val="-"/>
      <w:lvlJc w:val="left"/>
      <w:pPr>
        <w:ind w:left="1080" w:hanging="360"/>
      </w:pPr>
      <w:rPr>
        <w:rFonts w:ascii="Times New Roman" w:eastAsia="Times New Roman" w:hAnsi="Times New Roman" w:cs="Times New Roman" w:hint="default"/>
      </w:rPr>
    </w:lvl>
    <w:lvl w:ilvl="1" w:tplc="08090003">
      <w:start w:val="1"/>
      <w:numFmt w:val="bullet"/>
      <w:lvlText w:val="o"/>
      <w:lvlJc w:val="left"/>
      <w:pPr>
        <w:ind w:left="1593" w:hanging="360"/>
      </w:pPr>
      <w:rPr>
        <w:rFonts w:ascii="Courier New" w:hAnsi="Courier New" w:cs="Courier New" w:hint="default"/>
      </w:rPr>
    </w:lvl>
    <w:lvl w:ilvl="2" w:tplc="08090005" w:tentative="1">
      <w:start w:val="1"/>
      <w:numFmt w:val="bullet"/>
      <w:lvlText w:val=""/>
      <w:lvlJc w:val="left"/>
      <w:pPr>
        <w:ind w:left="2313" w:hanging="360"/>
      </w:pPr>
      <w:rPr>
        <w:rFonts w:ascii="Wingdings" w:hAnsi="Wingdings" w:hint="default"/>
      </w:rPr>
    </w:lvl>
    <w:lvl w:ilvl="3" w:tplc="08090001" w:tentative="1">
      <w:start w:val="1"/>
      <w:numFmt w:val="bullet"/>
      <w:lvlText w:val=""/>
      <w:lvlJc w:val="left"/>
      <w:pPr>
        <w:ind w:left="3033" w:hanging="360"/>
      </w:pPr>
      <w:rPr>
        <w:rFonts w:ascii="Symbol" w:hAnsi="Symbol" w:hint="default"/>
      </w:rPr>
    </w:lvl>
    <w:lvl w:ilvl="4" w:tplc="08090003" w:tentative="1">
      <w:start w:val="1"/>
      <w:numFmt w:val="bullet"/>
      <w:lvlText w:val="o"/>
      <w:lvlJc w:val="left"/>
      <w:pPr>
        <w:ind w:left="3753" w:hanging="360"/>
      </w:pPr>
      <w:rPr>
        <w:rFonts w:ascii="Courier New" w:hAnsi="Courier New" w:cs="Courier New" w:hint="default"/>
      </w:rPr>
    </w:lvl>
    <w:lvl w:ilvl="5" w:tplc="08090005" w:tentative="1">
      <w:start w:val="1"/>
      <w:numFmt w:val="bullet"/>
      <w:lvlText w:val=""/>
      <w:lvlJc w:val="left"/>
      <w:pPr>
        <w:ind w:left="4473" w:hanging="360"/>
      </w:pPr>
      <w:rPr>
        <w:rFonts w:ascii="Wingdings" w:hAnsi="Wingdings" w:hint="default"/>
      </w:rPr>
    </w:lvl>
    <w:lvl w:ilvl="6" w:tplc="08090001" w:tentative="1">
      <w:start w:val="1"/>
      <w:numFmt w:val="bullet"/>
      <w:lvlText w:val=""/>
      <w:lvlJc w:val="left"/>
      <w:pPr>
        <w:ind w:left="5193" w:hanging="360"/>
      </w:pPr>
      <w:rPr>
        <w:rFonts w:ascii="Symbol" w:hAnsi="Symbol" w:hint="default"/>
      </w:rPr>
    </w:lvl>
    <w:lvl w:ilvl="7" w:tplc="08090003" w:tentative="1">
      <w:start w:val="1"/>
      <w:numFmt w:val="bullet"/>
      <w:lvlText w:val="o"/>
      <w:lvlJc w:val="left"/>
      <w:pPr>
        <w:ind w:left="5913" w:hanging="360"/>
      </w:pPr>
      <w:rPr>
        <w:rFonts w:ascii="Courier New" w:hAnsi="Courier New" w:cs="Courier New" w:hint="default"/>
      </w:rPr>
    </w:lvl>
    <w:lvl w:ilvl="8" w:tplc="08090005" w:tentative="1">
      <w:start w:val="1"/>
      <w:numFmt w:val="bullet"/>
      <w:lvlText w:val=""/>
      <w:lvlJc w:val="left"/>
      <w:pPr>
        <w:ind w:left="6633" w:hanging="360"/>
      </w:pPr>
      <w:rPr>
        <w:rFonts w:ascii="Wingdings" w:hAnsi="Wingdings" w:hint="default"/>
      </w:rPr>
    </w:lvl>
  </w:abstractNum>
  <w:abstractNum w:abstractNumId="5" w15:restartNumberingAfterBreak="0">
    <w:nsid w:val="08084A8E"/>
    <w:multiLevelType w:val="multilevel"/>
    <w:tmpl w:val="9AD2E294"/>
    <w:lvl w:ilvl="0">
      <w:start w:val="1"/>
      <w:numFmt w:val="bullet"/>
      <w:lvlText w:val=""/>
      <w:lvlJc w:val="left"/>
      <w:pPr>
        <w:ind w:left="360" w:hanging="360"/>
      </w:pPr>
      <w:rPr>
        <w:rFonts w:ascii="Symbol" w:hAnsi="Symbol" w:hint="default"/>
        <w:sz w:val="20"/>
      </w:rPr>
    </w:lvl>
    <w:lvl w:ilvl="1">
      <w:start w:val="1"/>
      <w:numFmt w:val="lowerLetter"/>
      <w:lvlText w:val="(%2)"/>
      <w:lvlJc w:val="left"/>
      <w:pPr>
        <w:ind w:left="1080" w:hanging="360"/>
      </w:pPr>
      <w:rPr>
        <w:rFonts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0A784FF8"/>
    <w:multiLevelType w:val="hybridMultilevel"/>
    <w:tmpl w:val="2F0891BE"/>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7" w15:restartNumberingAfterBreak="0">
    <w:nsid w:val="0E271AB4"/>
    <w:multiLevelType w:val="multilevel"/>
    <w:tmpl w:val="F3A83208"/>
    <w:lvl w:ilvl="0">
      <w:start w:val="1"/>
      <w:numFmt w:val="decimal"/>
      <w:pStyle w:val="RecommendationText"/>
      <w:lvlText w:val="R%1"/>
      <w:lvlJc w:val="left"/>
      <w:pPr>
        <w:ind w:left="709" w:hanging="425"/>
      </w:pPr>
      <w:rPr>
        <w:rFonts w:asciiTheme="majorHAnsi" w:hAnsiTheme="majorHAnsi" w:hint="default"/>
      </w:rPr>
    </w:lvl>
    <w:lvl w:ilvl="1">
      <w:start w:val="1"/>
      <w:numFmt w:val="none"/>
      <w:pStyle w:val="RecommendationText2"/>
      <w:suff w:val="nothing"/>
      <w:lvlText w:val=""/>
      <w:lvlJc w:val="left"/>
      <w:pPr>
        <w:ind w:left="1134" w:hanging="425"/>
      </w:pPr>
      <w:rPr>
        <w:rFonts w:hint="default"/>
      </w:rPr>
    </w:lvl>
    <w:lvl w:ilvl="2">
      <w:start w:val="1"/>
      <w:numFmt w:val="none"/>
      <w:pStyle w:val="RecommendationText3"/>
      <w:suff w:val="nothing"/>
      <w:lvlText w:val=""/>
      <w:lvlJc w:val="left"/>
      <w:pPr>
        <w:ind w:left="1559" w:hanging="425"/>
      </w:pPr>
      <w:rPr>
        <w:rFonts w:asciiTheme="majorHAnsi" w:hAnsiTheme="majorHAnsi" w:hint="default"/>
      </w:rPr>
    </w:lvl>
    <w:lvl w:ilvl="3">
      <w:start w:val="1"/>
      <w:numFmt w:val="none"/>
      <w:pStyle w:val="RecommendationText4"/>
      <w:suff w:val="nothing"/>
      <w:lvlText w:val="%4"/>
      <w:lvlJc w:val="left"/>
      <w:pPr>
        <w:ind w:left="1984" w:hanging="425"/>
      </w:pPr>
      <w:rPr>
        <w:rFonts w:hint="default"/>
      </w:rPr>
    </w:lvl>
    <w:lvl w:ilvl="4">
      <w:start w:val="1"/>
      <w:numFmt w:val="none"/>
      <w:pStyle w:val="RecommendationText5"/>
      <w:suff w:val="nothing"/>
      <w:lvlText w:val="%5"/>
      <w:lvlJc w:val="left"/>
      <w:pPr>
        <w:ind w:left="2409" w:hanging="425"/>
      </w:pPr>
      <w:rPr>
        <w:rFonts w:hint="default"/>
      </w:rPr>
    </w:lvl>
    <w:lvl w:ilvl="5">
      <w:start w:val="1"/>
      <w:numFmt w:val="lowerRoman"/>
      <w:lvlText w:val="%6."/>
      <w:lvlJc w:val="right"/>
      <w:pPr>
        <w:ind w:left="2834" w:hanging="425"/>
      </w:pPr>
      <w:rPr>
        <w:rFonts w:hint="default"/>
      </w:rPr>
    </w:lvl>
    <w:lvl w:ilvl="6">
      <w:start w:val="1"/>
      <w:numFmt w:val="decimal"/>
      <w:lvlText w:val="%7."/>
      <w:lvlJc w:val="left"/>
      <w:pPr>
        <w:ind w:left="3259" w:hanging="425"/>
      </w:pPr>
      <w:rPr>
        <w:rFonts w:hint="default"/>
      </w:rPr>
    </w:lvl>
    <w:lvl w:ilvl="7">
      <w:start w:val="1"/>
      <w:numFmt w:val="lowerLetter"/>
      <w:lvlText w:val="%8."/>
      <w:lvlJc w:val="left"/>
      <w:pPr>
        <w:ind w:left="3684" w:hanging="425"/>
      </w:pPr>
      <w:rPr>
        <w:rFonts w:hint="default"/>
      </w:rPr>
    </w:lvl>
    <w:lvl w:ilvl="8">
      <w:start w:val="1"/>
      <w:numFmt w:val="lowerRoman"/>
      <w:lvlText w:val="%9."/>
      <w:lvlJc w:val="right"/>
      <w:pPr>
        <w:ind w:left="4109" w:hanging="425"/>
      </w:pPr>
      <w:rPr>
        <w:rFonts w:hint="default"/>
      </w:rPr>
    </w:lvl>
  </w:abstractNum>
  <w:abstractNum w:abstractNumId="8" w15:restartNumberingAfterBreak="0">
    <w:nsid w:val="162E2828"/>
    <w:multiLevelType w:val="multilevel"/>
    <w:tmpl w:val="EFC61BBC"/>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709"/>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9" w15:restartNumberingAfterBreak="0">
    <w:nsid w:val="17C05F59"/>
    <w:multiLevelType w:val="multilevel"/>
    <w:tmpl w:val="CC92A4A8"/>
    <w:lvl w:ilvl="0">
      <w:start w:val="1"/>
      <w:numFmt w:val="bullet"/>
      <w:pStyle w:val="ListBullet"/>
      <w:lvlText w:val="•"/>
      <w:lvlJc w:val="left"/>
      <w:pPr>
        <w:ind w:left="992" w:hanging="425"/>
      </w:pPr>
      <w:rPr>
        <w:rFonts w:ascii="Arial" w:hAnsi="Arial" w:hint="default"/>
      </w:rPr>
    </w:lvl>
    <w:lvl w:ilvl="1">
      <w:start w:val="1"/>
      <w:numFmt w:val="bullet"/>
      <w:lvlText w:val=""/>
      <w:lvlJc w:val="left"/>
      <w:pPr>
        <w:ind w:left="1417" w:hanging="425"/>
      </w:pPr>
      <w:rPr>
        <w:rFonts w:ascii="Bookshelf Symbol 7" w:hAnsi="Bookshelf Symbol 7" w:hint="default"/>
      </w:rPr>
    </w:lvl>
    <w:lvl w:ilvl="2">
      <w:start w:val="1"/>
      <w:numFmt w:val="bullet"/>
      <w:lvlText w:val="•"/>
      <w:lvlJc w:val="left"/>
      <w:pPr>
        <w:ind w:left="1842" w:hanging="425"/>
      </w:pPr>
      <w:rPr>
        <w:rFonts w:ascii="Arial" w:hAnsi="Arial" w:hint="default"/>
      </w:rPr>
    </w:lvl>
    <w:lvl w:ilvl="3">
      <w:start w:val="1"/>
      <w:numFmt w:val="bullet"/>
      <w:lvlText w:val="•"/>
      <w:lvlJc w:val="left"/>
      <w:pPr>
        <w:ind w:left="2267" w:hanging="425"/>
      </w:pPr>
      <w:rPr>
        <w:rFonts w:ascii="Arial" w:hAnsi="Arial" w:hint="default"/>
      </w:rPr>
    </w:lvl>
    <w:lvl w:ilvl="4">
      <w:start w:val="1"/>
      <w:numFmt w:val="bullet"/>
      <w:lvlText w:val="•"/>
      <w:lvlJc w:val="left"/>
      <w:pPr>
        <w:ind w:left="2692" w:hanging="425"/>
      </w:pPr>
      <w:rPr>
        <w:rFonts w:ascii="Arial" w:hAnsi="Arial" w:hint="default"/>
      </w:rPr>
    </w:lvl>
    <w:lvl w:ilvl="5">
      <w:start w:val="1"/>
      <w:numFmt w:val="bullet"/>
      <w:lvlText w:val="•"/>
      <w:lvlJc w:val="left"/>
      <w:pPr>
        <w:ind w:left="3117" w:hanging="425"/>
      </w:pPr>
      <w:rPr>
        <w:rFonts w:ascii="Arial" w:hAnsi="Arial" w:hint="default"/>
      </w:rPr>
    </w:lvl>
    <w:lvl w:ilvl="6">
      <w:start w:val="1"/>
      <w:numFmt w:val="bullet"/>
      <w:lvlText w:val="•"/>
      <w:lvlJc w:val="left"/>
      <w:pPr>
        <w:ind w:left="3542" w:hanging="425"/>
      </w:pPr>
      <w:rPr>
        <w:rFonts w:ascii="Arial" w:hAnsi="Arial" w:hint="default"/>
      </w:rPr>
    </w:lvl>
    <w:lvl w:ilvl="7">
      <w:start w:val="1"/>
      <w:numFmt w:val="bullet"/>
      <w:lvlText w:val="•"/>
      <w:lvlJc w:val="left"/>
      <w:pPr>
        <w:ind w:left="3967" w:hanging="425"/>
      </w:pPr>
      <w:rPr>
        <w:rFonts w:ascii="Arial" w:hAnsi="Arial" w:hint="default"/>
      </w:rPr>
    </w:lvl>
    <w:lvl w:ilvl="8">
      <w:start w:val="1"/>
      <w:numFmt w:val="bullet"/>
      <w:lvlText w:val="•"/>
      <w:lvlJc w:val="left"/>
      <w:pPr>
        <w:ind w:left="4392" w:hanging="425"/>
      </w:pPr>
      <w:rPr>
        <w:rFonts w:ascii="Arial" w:hAnsi="Arial" w:hint="default"/>
      </w:rPr>
    </w:lvl>
  </w:abstractNum>
  <w:abstractNum w:abstractNumId="10" w15:restartNumberingAfterBreak="0">
    <w:nsid w:val="19EB0378"/>
    <w:multiLevelType w:val="multilevel"/>
    <w:tmpl w:val="BFC6C286"/>
    <w:lvl w:ilvl="0">
      <w:start w:val="1"/>
      <w:numFmt w:val="none"/>
      <w:pStyle w:val="FootnoteNumbered"/>
      <w:suff w:val="nothing"/>
      <w:lvlText w:val=""/>
      <w:lvlJc w:val="left"/>
      <w:pPr>
        <w:ind w:left="851" w:hanging="284"/>
      </w:pPr>
      <w:rPr>
        <w:rFonts w:hint="default"/>
      </w:rPr>
    </w:lvl>
    <w:lvl w:ilvl="1">
      <w:start w:val="1"/>
      <w:numFmt w:val="none"/>
      <w:pStyle w:val="FootnoteNumbered2"/>
      <w:suff w:val="nothing"/>
      <w:lvlText w:val=""/>
      <w:lvlJc w:val="left"/>
      <w:pPr>
        <w:ind w:left="1135" w:hanging="284"/>
      </w:pPr>
      <w:rPr>
        <w:rFonts w:hint="default"/>
      </w:rPr>
    </w:lvl>
    <w:lvl w:ilvl="2">
      <w:start w:val="1"/>
      <w:numFmt w:val="none"/>
      <w:pStyle w:val="FootnoteNumbered3"/>
      <w:suff w:val="nothing"/>
      <w:lvlText w:val=""/>
      <w:lvlJc w:val="left"/>
      <w:pPr>
        <w:ind w:left="1419" w:hanging="284"/>
      </w:pPr>
      <w:rPr>
        <w:rFonts w:hint="default"/>
      </w:rPr>
    </w:lvl>
    <w:lvl w:ilvl="3">
      <w:start w:val="1"/>
      <w:numFmt w:val="none"/>
      <w:lvlText w:val="%4"/>
      <w:lvlJc w:val="left"/>
      <w:pPr>
        <w:ind w:left="1703" w:hanging="284"/>
      </w:pPr>
      <w:rPr>
        <w:rFonts w:hint="default"/>
      </w:rPr>
    </w:lvl>
    <w:lvl w:ilvl="4">
      <w:start w:val="1"/>
      <w:numFmt w:val="none"/>
      <w:lvlText w:val=""/>
      <w:lvlJc w:val="left"/>
      <w:pPr>
        <w:ind w:left="1987" w:hanging="284"/>
      </w:pPr>
      <w:rPr>
        <w:rFonts w:hint="default"/>
      </w:rPr>
    </w:lvl>
    <w:lvl w:ilvl="5">
      <w:start w:val="1"/>
      <w:numFmt w:val="none"/>
      <w:lvlText w:val=""/>
      <w:lvlJc w:val="left"/>
      <w:pPr>
        <w:ind w:left="2271" w:hanging="284"/>
      </w:pPr>
      <w:rPr>
        <w:rFonts w:hint="default"/>
      </w:rPr>
    </w:lvl>
    <w:lvl w:ilvl="6">
      <w:start w:val="1"/>
      <w:numFmt w:val="none"/>
      <w:lvlText w:val=""/>
      <w:lvlJc w:val="left"/>
      <w:pPr>
        <w:ind w:left="2555" w:hanging="284"/>
      </w:pPr>
      <w:rPr>
        <w:rFonts w:hint="default"/>
      </w:rPr>
    </w:lvl>
    <w:lvl w:ilvl="7">
      <w:start w:val="1"/>
      <w:numFmt w:val="none"/>
      <w:lvlText w:val=""/>
      <w:lvlJc w:val="left"/>
      <w:pPr>
        <w:ind w:left="2839" w:hanging="284"/>
      </w:pPr>
      <w:rPr>
        <w:rFonts w:hint="default"/>
      </w:rPr>
    </w:lvl>
    <w:lvl w:ilvl="8">
      <w:start w:val="1"/>
      <w:numFmt w:val="none"/>
      <w:lvlText w:val=""/>
      <w:lvlJc w:val="left"/>
      <w:pPr>
        <w:ind w:left="3123" w:hanging="284"/>
      </w:pPr>
      <w:rPr>
        <w:rFonts w:hint="default"/>
      </w:rPr>
    </w:lvl>
  </w:abstractNum>
  <w:abstractNum w:abstractNumId="11" w15:restartNumberingAfterBreak="0">
    <w:nsid w:val="1BEA09E3"/>
    <w:multiLevelType w:val="hybridMultilevel"/>
    <w:tmpl w:val="F426F8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C046CE0"/>
    <w:multiLevelType w:val="hybridMultilevel"/>
    <w:tmpl w:val="4CFA6F1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1CC32DC6"/>
    <w:multiLevelType w:val="multilevel"/>
    <w:tmpl w:val="933E20EE"/>
    <w:lvl w:ilvl="0">
      <w:start w:val="1"/>
      <w:numFmt w:val="bullet"/>
      <w:lvlText w:val="•"/>
      <w:lvlJc w:val="left"/>
      <w:pPr>
        <w:ind w:left="1134" w:hanging="425"/>
      </w:pPr>
      <w:rPr>
        <w:rFonts w:ascii="Arial" w:hAnsi="Arial" w:hint="default"/>
      </w:rPr>
    </w:lvl>
    <w:lvl w:ilvl="1">
      <w:start w:val="1"/>
      <w:numFmt w:val="bullet"/>
      <w:pStyle w:val="BoxBullet2"/>
      <w:lvlText w:val=""/>
      <w:lvlJc w:val="left"/>
      <w:pPr>
        <w:ind w:left="1559" w:hanging="425"/>
      </w:pPr>
      <w:rPr>
        <w:rFonts w:ascii="Bookshelf Symbol 7" w:hAnsi="Bookshelf Symbol 7" w:hint="default"/>
      </w:rPr>
    </w:lvl>
    <w:lvl w:ilvl="2">
      <w:start w:val="1"/>
      <w:numFmt w:val="bullet"/>
      <w:lvlText w:val="•"/>
      <w:lvlJc w:val="left"/>
      <w:pPr>
        <w:ind w:left="1984" w:hanging="425"/>
      </w:pPr>
      <w:rPr>
        <w:rFonts w:ascii="Arial" w:hAnsi="Arial" w:hint="default"/>
      </w:rPr>
    </w:lvl>
    <w:lvl w:ilvl="3">
      <w:start w:val="1"/>
      <w:numFmt w:val="bullet"/>
      <w:lvlText w:val="•"/>
      <w:lvlJc w:val="left"/>
      <w:pPr>
        <w:ind w:left="2409" w:hanging="425"/>
      </w:pPr>
      <w:rPr>
        <w:rFonts w:ascii="Arial" w:hAnsi="Arial" w:hint="default"/>
      </w:rPr>
    </w:lvl>
    <w:lvl w:ilvl="4">
      <w:start w:val="1"/>
      <w:numFmt w:val="bullet"/>
      <w:lvlText w:val="•"/>
      <w:lvlJc w:val="left"/>
      <w:pPr>
        <w:ind w:left="2834" w:hanging="425"/>
      </w:pPr>
      <w:rPr>
        <w:rFonts w:ascii="Arial" w:hAnsi="Arial" w:hint="default"/>
      </w:rPr>
    </w:lvl>
    <w:lvl w:ilvl="5">
      <w:start w:val="1"/>
      <w:numFmt w:val="bullet"/>
      <w:lvlText w:val="•"/>
      <w:lvlJc w:val="left"/>
      <w:pPr>
        <w:ind w:left="3259" w:hanging="425"/>
      </w:pPr>
      <w:rPr>
        <w:rFonts w:ascii="Arial" w:hAnsi="Arial" w:hint="default"/>
      </w:rPr>
    </w:lvl>
    <w:lvl w:ilvl="6">
      <w:start w:val="1"/>
      <w:numFmt w:val="bullet"/>
      <w:lvlText w:val="•"/>
      <w:lvlJc w:val="left"/>
      <w:pPr>
        <w:ind w:left="3684" w:hanging="425"/>
      </w:pPr>
      <w:rPr>
        <w:rFonts w:ascii="Arial" w:hAnsi="Arial" w:hint="default"/>
      </w:rPr>
    </w:lvl>
    <w:lvl w:ilvl="7">
      <w:start w:val="1"/>
      <w:numFmt w:val="bullet"/>
      <w:lvlText w:val="•"/>
      <w:lvlJc w:val="left"/>
      <w:pPr>
        <w:ind w:left="4109" w:hanging="425"/>
      </w:pPr>
      <w:rPr>
        <w:rFonts w:ascii="Arial" w:hAnsi="Arial" w:hint="default"/>
      </w:rPr>
    </w:lvl>
    <w:lvl w:ilvl="8">
      <w:start w:val="1"/>
      <w:numFmt w:val="bullet"/>
      <w:lvlText w:val="•"/>
      <w:lvlJc w:val="left"/>
      <w:pPr>
        <w:ind w:left="4534" w:hanging="425"/>
      </w:pPr>
      <w:rPr>
        <w:rFonts w:ascii="Arial" w:hAnsi="Arial" w:hint="default"/>
      </w:rPr>
    </w:lvl>
  </w:abstractNum>
  <w:abstractNum w:abstractNumId="14" w15:restartNumberingAfterBreak="0">
    <w:nsid w:val="1D086867"/>
    <w:multiLevelType w:val="multilevel"/>
    <w:tmpl w:val="438262E4"/>
    <w:lvl w:ilvl="0">
      <w:start w:val="1"/>
      <w:numFmt w:val="lowerLetter"/>
      <w:lvlText w:val="%1)"/>
      <w:lvlJc w:val="left"/>
      <w:pPr>
        <w:tabs>
          <w:tab w:val="num" w:pos="1154"/>
        </w:tabs>
        <w:ind w:left="1154" w:hanging="360"/>
      </w:pPr>
      <w:rPr>
        <w:rFonts w:hint="default"/>
      </w:rPr>
    </w:lvl>
    <w:lvl w:ilvl="1">
      <w:start w:val="1"/>
      <w:numFmt w:val="lowerLetter"/>
      <w:pStyle w:val="ListContinue"/>
      <w:lvlText w:val="%2)"/>
      <w:lvlJc w:val="left"/>
      <w:pPr>
        <w:tabs>
          <w:tab w:val="num" w:pos="1514"/>
        </w:tabs>
        <w:ind w:left="1514" w:hanging="360"/>
      </w:pPr>
      <w:rPr>
        <w:rFonts w:hint="default"/>
      </w:rPr>
    </w:lvl>
    <w:lvl w:ilvl="2">
      <w:start w:val="1"/>
      <w:numFmt w:val="lowerRoman"/>
      <w:lvlText w:val="%3)"/>
      <w:lvlJc w:val="left"/>
      <w:pPr>
        <w:tabs>
          <w:tab w:val="num" w:pos="1874"/>
        </w:tabs>
        <w:ind w:left="1874" w:hanging="36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15" w15:restartNumberingAfterBreak="0">
    <w:nsid w:val="2B825CCD"/>
    <w:multiLevelType w:val="hybridMultilevel"/>
    <w:tmpl w:val="D2B2ADE6"/>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C782CEA"/>
    <w:multiLevelType w:val="multilevel"/>
    <w:tmpl w:val="9AD2E294"/>
    <w:lvl w:ilvl="0">
      <w:start w:val="1"/>
      <w:numFmt w:val="bullet"/>
      <w:lvlText w:val=""/>
      <w:lvlJc w:val="left"/>
      <w:pPr>
        <w:ind w:left="360" w:hanging="360"/>
      </w:pPr>
      <w:rPr>
        <w:rFonts w:ascii="Symbol" w:hAnsi="Symbol" w:hint="default"/>
        <w:sz w:val="20"/>
      </w:rPr>
    </w:lvl>
    <w:lvl w:ilvl="1">
      <w:start w:val="1"/>
      <w:numFmt w:val="lowerLetter"/>
      <w:lvlText w:val="(%2)"/>
      <w:lvlJc w:val="left"/>
      <w:pPr>
        <w:ind w:left="1080" w:hanging="360"/>
      </w:pPr>
      <w:rPr>
        <w:rFonts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37BE3610"/>
    <w:multiLevelType w:val="hybridMultilevel"/>
    <w:tmpl w:val="206AEB8A"/>
    <w:lvl w:ilvl="0" w:tplc="59F0BFFA">
      <w:start w:val="1"/>
      <w:numFmt w:val="bullet"/>
      <w:pStyle w:val="FootnoteBullet"/>
      <w:lvlText w:val="•"/>
      <w:lvlJc w:val="left"/>
      <w:pPr>
        <w:ind w:left="851" w:hanging="284"/>
      </w:pPr>
      <w:rPr>
        <w:rFonts w:ascii="Arial" w:hAnsi="Arial" w:hint="default"/>
      </w:rPr>
    </w:lvl>
    <w:lvl w:ilvl="1" w:tplc="64A6D3B8">
      <w:start w:val="1"/>
      <w:numFmt w:val="bullet"/>
      <w:lvlText w:val="•"/>
      <w:lvlJc w:val="left"/>
      <w:pPr>
        <w:ind w:left="1135" w:hanging="284"/>
      </w:pPr>
      <w:rPr>
        <w:rFonts w:ascii="Arial" w:hAnsi="Arial" w:hint="default"/>
      </w:rPr>
    </w:lvl>
    <w:lvl w:ilvl="2" w:tplc="C2607050">
      <w:start w:val="1"/>
      <w:numFmt w:val="bullet"/>
      <w:lvlText w:val="•"/>
      <w:lvlJc w:val="left"/>
      <w:pPr>
        <w:ind w:left="1419" w:hanging="284"/>
      </w:pPr>
      <w:rPr>
        <w:rFonts w:ascii="Arial" w:hAnsi="Arial" w:hint="default"/>
      </w:rPr>
    </w:lvl>
    <w:lvl w:ilvl="3" w:tplc="0C546980">
      <w:start w:val="1"/>
      <w:numFmt w:val="bullet"/>
      <w:lvlText w:val="•"/>
      <w:lvlJc w:val="left"/>
      <w:pPr>
        <w:ind w:left="1703" w:hanging="284"/>
      </w:pPr>
      <w:rPr>
        <w:rFonts w:ascii="Arial" w:hAnsi="Arial" w:hint="default"/>
      </w:rPr>
    </w:lvl>
    <w:lvl w:ilvl="4" w:tplc="BA3AEC76">
      <w:start w:val="1"/>
      <w:numFmt w:val="bullet"/>
      <w:lvlText w:val="•"/>
      <w:lvlJc w:val="left"/>
      <w:pPr>
        <w:ind w:left="1987" w:hanging="284"/>
      </w:pPr>
      <w:rPr>
        <w:rFonts w:ascii="Arial" w:hAnsi="Arial" w:hint="default"/>
      </w:rPr>
    </w:lvl>
    <w:lvl w:ilvl="5" w:tplc="E7E27C38">
      <w:start w:val="1"/>
      <w:numFmt w:val="bullet"/>
      <w:lvlText w:val="•"/>
      <w:lvlJc w:val="left"/>
      <w:pPr>
        <w:ind w:left="2268" w:hanging="281"/>
      </w:pPr>
      <w:rPr>
        <w:rFonts w:ascii="Arial" w:hAnsi="Arial" w:hint="default"/>
      </w:rPr>
    </w:lvl>
    <w:lvl w:ilvl="6" w:tplc="01D6EC32">
      <w:start w:val="1"/>
      <w:numFmt w:val="bullet"/>
      <w:lvlText w:val="•"/>
      <w:lvlJc w:val="left"/>
      <w:pPr>
        <w:ind w:left="2552" w:hanging="284"/>
      </w:pPr>
      <w:rPr>
        <w:rFonts w:ascii="Arial" w:hAnsi="Arial" w:hint="default"/>
      </w:rPr>
    </w:lvl>
    <w:lvl w:ilvl="7" w:tplc="E848A9E6">
      <w:start w:val="1"/>
      <w:numFmt w:val="bullet"/>
      <w:lvlText w:val="•"/>
      <w:lvlJc w:val="left"/>
      <w:pPr>
        <w:ind w:left="2835" w:hanging="283"/>
      </w:pPr>
      <w:rPr>
        <w:rFonts w:ascii="Arial" w:hAnsi="Arial" w:hint="default"/>
      </w:rPr>
    </w:lvl>
    <w:lvl w:ilvl="8" w:tplc="4A04081C">
      <w:start w:val="1"/>
      <w:numFmt w:val="bullet"/>
      <w:lvlText w:val="•"/>
      <w:lvlJc w:val="left"/>
      <w:pPr>
        <w:ind w:left="3119" w:hanging="284"/>
      </w:pPr>
      <w:rPr>
        <w:rFonts w:ascii="Arial" w:hAnsi="Arial" w:hint="default"/>
      </w:rPr>
    </w:lvl>
  </w:abstractNum>
  <w:abstractNum w:abstractNumId="18" w15:restartNumberingAfterBreak="0">
    <w:nsid w:val="38FF5A4D"/>
    <w:multiLevelType w:val="hybridMultilevel"/>
    <w:tmpl w:val="7B5CE562"/>
    <w:lvl w:ilvl="0" w:tplc="50309CE6">
      <w:start w:val="1"/>
      <w:numFmt w:val="bullet"/>
      <w:pStyle w:val="RecommendationBullet"/>
      <w:lvlText w:val="•"/>
      <w:lvlJc w:val="left"/>
      <w:pPr>
        <w:ind w:left="1134" w:hanging="425"/>
      </w:pPr>
      <w:rPr>
        <w:rFonts w:ascii="Arial" w:hAnsi="Arial" w:hint="default"/>
      </w:rPr>
    </w:lvl>
    <w:lvl w:ilvl="1" w:tplc="9FD8A9FC">
      <w:start w:val="1"/>
      <w:numFmt w:val="bullet"/>
      <w:pStyle w:val="RecommendationBullet2"/>
      <w:lvlText w:val="•"/>
      <w:lvlJc w:val="left"/>
      <w:pPr>
        <w:ind w:left="1559" w:hanging="425"/>
      </w:pPr>
      <w:rPr>
        <w:rFonts w:ascii="Arial" w:hAnsi="Arial" w:hint="default"/>
      </w:rPr>
    </w:lvl>
    <w:lvl w:ilvl="2" w:tplc="9B662BE0">
      <w:start w:val="1"/>
      <w:numFmt w:val="bullet"/>
      <w:pStyle w:val="RecommendationBullet3"/>
      <w:lvlText w:val="•"/>
      <w:lvlJc w:val="left"/>
      <w:pPr>
        <w:ind w:left="1984" w:hanging="425"/>
      </w:pPr>
      <w:rPr>
        <w:rFonts w:ascii="Arial" w:hAnsi="Arial" w:hint="default"/>
      </w:rPr>
    </w:lvl>
    <w:lvl w:ilvl="3" w:tplc="7CB83A6A">
      <w:start w:val="1"/>
      <w:numFmt w:val="bullet"/>
      <w:lvlText w:val="•"/>
      <w:lvlJc w:val="left"/>
      <w:pPr>
        <w:ind w:left="2409" w:hanging="425"/>
      </w:pPr>
      <w:rPr>
        <w:rFonts w:ascii="Arial" w:hAnsi="Arial" w:hint="default"/>
      </w:rPr>
    </w:lvl>
    <w:lvl w:ilvl="4" w:tplc="415CDF8E">
      <w:start w:val="1"/>
      <w:numFmt w:val="bullet"/>
      <w:lvlText w:val="•"/>
      <w:lvlJc w:val="left"/>
      <w:pPr>
        <w:ind w:left="2834" w:hanging="425"/>
      </w:pPr>
      <w:rPr>
        <w:rFonts w:ascii="Arial" w:hAnsi="Arial" w:hint="default"/>
      </w:rPr>
    </w:lvl>
    <w:lvl w:ilvl="5" w:tplc="FDD8F136">
      <w:start w:val="1"/>
      <w:numFmt w:val="bullet"/>
      <w:lvlText w:val="•"/>
      <w:lvlJc w:val="left"/>
      <w:pPr>
        <w:ind w:left="3259" w:hanging="425"/>
      </w:pPr>
      <w:rPr>
        <w:rFonts w:ascii="Arial" w:hAnsi="Arial" w:hint="default"/>
      </w:rPr>
    </w:lvl>
    <w:lvl w:ilvl="6" w:tplc="6FA8E2A0">
      <w:start w:val="1"/>
      <w:numFmt w:val="bullet"/>
      <w:lvlText w:val="•"/>
      <w:lvlJc w:val="left"/>
      <w:pPr>
        <w:ind w:left="3684" w:hanging="425"/>
      </w:pPr>
      <w:rPr>
        <w:rFonts w:ascii="Arial" w:hAnsi="Arial" w:hint="default"/>
      </w:rPr>
    </w:lvl>
    <w:lvl w:ilvl="7" w:tplc="A92807A4">
      <w:start w:val="1"/>
      <w:numFmt w:val="bullet"/>
      <w:lvlText w:val="•"/>
      <w:lvlJc w:val="left"/>
      <w:pPr>
        <w:ind w:left="4109" w:hanging="425"/>
      </w:pPr>
      <w:rPr>
        <w:rFonts w:ascii="Arial" w:hAnsi="Arial" w:hint="default"/>
      </w:rPr>
    </w:lvl>
    <w:lvl w:ilvl="8" w:tplc="89F858E6">
      <w:start w:val="1"/>
      <w:numFmt w:val="bullet"/>
      <w:lvlText w:val="•"/>
      <w:lvlJc w:val="left"/>
      <w:pPr>
        <w:ind w:left="4534" w:hanging="425"/>
      </w:pPr>
      <w:rPr>
        <w:rFonts w:ascii="Arial" w:hAnsi="Arial" w:hint="default"/>
      </w:rPr>
    </w:lvl>
  </w:abstractNum>
  <w:abstractNum w:abstractNumId="19" w15:restartNumberingAfterBreak="0">
    <w:nsid w:val="4072259A"/>
    <w:multiLevelType w:val="hybridMultilevel"/>
    <w:tmpl w:val="58041C90"/>
    <w:lvl w:ilvl="0" w:tplc="617091BC">
      <w:start w:val="1"/>
      <w:numFmt w:val="decimal"/>
      <w:pStyle w:val="Summarybodytext"/>
      <w:lvlText w:val="%1"/>
      <w:lvlJc w:val="left"/>
      <w:pPr>
        <w:ind w:left="833" w:hanging="360"/>
      </w:pPr>
      <w:rPr>
        <w:rFonts w:hint="default"/>
      </w:rPr>
    </w:lvl>
    <w:lvl w:ilvl="1" w:tplc="14090019">
      <w:start w:val="1"/>
      <w:numFmt w:val="lowerLetter"/>
      <w:pStyle w:val="Summarybodytext"/>
      <w:lvlText w:val="%2."/>
      <w:lvlJc w:val="left"/>
      <w:pPr>
        <w:ind w:left="1553" w:hanging="360"/>
      </w:pPr>
    </w:lvl>
    <w:lvl w:ilvl="2" w:tplc="1409001B" w:tentative="1">
      <w:start w:val="1"/>
      <w:numFmt w:val="lowerRoman"/>
      <w:lvlText w:val="%3."/>
      <w:lvlJc w:val="right"/>
      <w:pPr>
        <w:ind w:left="2273" w:hanging="180"/>
      </w:pPr>
    </w:lvl>
    <w:lvl w:ilvl="3" w:tplc="1409000F" w:tentative="1">
      <w:start w:val="1"/>
      <w:numFmt w:val="decimal"/>
      <w:lvlText w:val="%4."/>
      <w:lvlJc w:val="left"/>
      <w:pPr>
        <w:ind w:left="2993" w:hanging="360"/>
      </w:pPr>
    </w:lvl>
    <w:lvl w:ilvl="4" w:tplc="14090019" w:tentative="1">
      <w:start w:val="1"/>
      <w:numFmt w:val="lowerLetter"/>
      <w:lvlText w:val="%5."/>
      <w:lvlJc w:val="left"/>
      <w:pPr>
        <w:ind w:left="3713" w:hanging="360"/>
      </w:pPr>
    </w:lvl>
    <w:lvl w:ilvl="5" w:tplc="1409001B" w:tentative="1">
      <w:start w:val="1"/>
      <w:numFmt w:val="lowerRoman"/>
      <w:lvlText w:val="%6."/>
      <w:lvlJc w:val="right"/>
      <w:pPr>
        <w:ind w:left="4433" w:hanging="180"/>
      </w:pPr>
    </w:lvl>
    <w:lvl w:ilvl="6" w:tplc="1409000F" w:tentative="1">
      <w:start w:val="1"/>
      <w:numFmt w:val="decimal"/>
      <w:lvlText w:val="%7."/>
      <w:lvlJc w:val="left"/>
      <w:pPr>
        <w:ind w:left="5153" w:hanging="360"/>
      </w:pPr>
    </w:lvl>
    <w:lvl w:ilvl="7" w:tplc="14090019" w:tentative="1">
      <w:start w:val="1"/>
      <w:numFmt w:val="lowerLetter"/>
      <w:lvlText w:val="%8."/>
      <w:lvlJc w:val="left"/>
      <w:pPr>
        <w:ind w:left="5873" w:hanging="360"/>
      </w:pPr>
    </w:lvl>
    <w:lvl w:ilvl="8" w:tplc="1409001B" w:tentative="1">
      <w:start w:val="1"/>
      <w:numFmt w:val="lowerRoman"/>
      <w:lvlText w:val="%9."/>
      <w:lvlJc w:val="right"/>
      <w:pPr>
        <w:ind w:left="6593" w:hanging="180"/>
      </w:pPr>
    </w:lvl>
  </w:abstractNum>
  <w:abstractNum w:abstractNumId="20" w15:restartNumberingAfterBreak="0">
    <w:nsid w:val="409C70AA"/>
    <w:multiLevelType w:val="hybridMultilevel"/>
    <w:tmpl w:val="5DDC4084"/>
    <w:lvl w:ilvl="0" w:tplc="C1B4D030">
      <w:start w:val="1"/>
      <w:numFmt w:val="decimal"/>
      <w:lvlText w:val="(%1)"/>
      <w:lvlJc w:val="left"/>
      <w:pPr>
        <w:ind w:left="1447" w:hanging="88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1" w15:restartNumberingAfterBreak="0">
    <w:nsid w:val="411B6EE6"/>
    <w:multiLevelType w:val="multilevel"/>
    <w:tmpl w:val="9AD2E294"/>
    <w:lvl w:ilvl="0">
      <w:start w:val="1"/>
      <w:numFmt w:val="bullet"/>
      <w:lvlText w:val=""/>
      <w:lvlJc w:val="left"/>
      <w:pPr>
        <w:ind w:left="720" w:hanging="360"/>
      </w:pPr>
      <w:rPr>
        <w:rFonts w:ascii="Symbol" w:hAnsi="Symbol" w:hint="default"/>
        <w:sz w:val="20"/>
      </w:rPr>
    </w:lvl>
    <w:lvl w:ilvl="1">
      <w:start w:val="1"/>
      <w:numFmt w:val="lowerLetter"/>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2E46FCB"/>
    <w:multiLevelType w:val="hybridMultilevel"/>
    <w:tmpl w:val="5C40845A"/>
    <w:lvl w:ilvl="0" w:tplc="10DC2E74">
      <w:start w:val="1"/>
      <w:numFmt w:val="decimal"/>
      <w:lvlText w:val="(%1)"/>
      <w:lvlJc w:val="left"/>
      <w:pPr>
        <w:ind w:left="927" w:hanging="360"/>
      </w:pPr>
      <w:rPr>
        <w:rFonts w:eastAsiaTheme="majorEastAsia" w:hint="default"/>
        <w:color w:val="000000"/>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3" w15:restartNumberingAfterBreak="0">
    <w:nsid w:val="45C025E5"/>
    <w:multiLevelType w:val="multilevel"/>
    <w:tmpl w:val="8866535E"/>
    <w:numStyleLink w:val="Chapter1"/>
  </w:abstractNum>
  <w:abstractNum w:abstractNumId="24" w15:restartNumberingAfterBreak="0">
    <w:nsid w:val="478F6F39"/>
    <w:multiLevelType w:val="hybridMultilevel"/>
    <w:tmpl w:val="AC0A9126"/>
    <w:lvl w:ilvl="0" w:tplc="04908054">
      <w:start w:val="1"/>
      <w:numFmt w:val="bullet"/>
      <w:lvlText w:val=""/>
      <w:lvlJc w:val="left"/>
      <w:pPr>
        <w:ind w:left="1080" w:hanging="360"/>
      </w:pPr>
      <w:rPr>
        <w:rFonts w:ascii="Symbol" w:eastAsiaTheme="minorHAnsi" w:hAnsi="Symbol" w:cstheme="minorBid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5" w15:restartNumberingAfterBreak="0">
    <w:nsid w:val="48B2128C"/>
    <w:multiLevelType w:val="hybridMultilevel"/>
    <w:tmpl w:val="831E902E"/>
    <w:lvl w:ilvl="0" w:tplc="E7C87D18">
      <w:start w:val="1"/>
      <w:numFmt w:val="decimal"/>
      <w:pStyle w:val="G1GuidelinesText"/>
      <w:lvlText w:val="G%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FB27D9"/>
    <w:multiLevelType w:val="multilevel"/>
    <w:tmpl w:val="9AD2E294"/>
    <w:lvl w:ilvl="0">
      <w:start w:val="1"/>
      <w:numFmt w:val="bullet"/>
      <w:lvlText w:val=""/>
      <w:lvlJc w:val="left"/>
      <w:pPr>
        <w:ind w:left="360" w:hanging="360"/>
      </w:pPr>
      <w:rPr>
        <w:rFonts w:ascii="Symbol" w:hAnsi="Symbol" w:hint="default"/>
        <w:sz w:val="20"/>
      </w:rPr>
    </w:lvl>
    <w:lvl w:ilvl="1">
      <w:start w:val="1"/>
      <w:numFmt w:val="lowerLetter"/>
      <w:lvlText w:val="(%2)"/>
      <w:lvlJc w:val="left"/>
      <w:pPr>
        <w:ind w:left="1080" w:hanging="360"/>
      </w:pPr>
      <w:rPr>
        <w:rFonts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4CF765D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A27885"/>
    <w:multiLevelType w:val="multilevel"/>
    <w:tmpl w:val="C5A84D40"/>
    <w:lvl w:ilvl="0">
      <w:start w:val="1"/>
      <w:numFmt w:val="lowerRoman"/>
      <w:lvlText w:val="(%1)"/>
      <w:lvlJc w:val="right"/>
      <w:pPr>
        <w:ind w:left="1134" w:hanging="198"/>
      </w:pPr>
      <w:rPr>
        <w:rFonts w:hint="default"/>
      </w:rPr>
    </w:lvl>
    <w:lvl w:ilvl="1">
      <w:start w:val="1"/>
      <w:numFmt w:val="lowerLetter"/>
      <w:lvlText w:val="%2)"/>
      <w:lvlJc w:val="left"/>
      <w:pPr>
        <w:ind w:left="1332" w:hanging="198"/>
      </w:pPr>
      <w:rPr>
        <w:rFonts w:hint="default"/>
      </w:rPr>
    </w:lvl>
    <w:lvl w:ilvl="2">
      <w:start w:val="1"/>
      <w:numFmt w:val="lowerRoman"/>
      <w:lvlText w:val="%3)"/>
      <w:lvlJc w:val="left"/>
      <w:pPr>
        <w:ind w:left="1530" w:hanging="198"/>
      </w:pPr>
      <w:rPr>
        <w:rFonts w:hint="default"/>
      </w:rPr>
    </w:lvl>
    <w:lvl w:ilvl="3">
      <w:start w:val="1"/>
      <w:numFmt w:val="decimal"/>
      <w:lvlText w:val="(%4)"/>
      <w:lvlJc w:val="left"/>
      <w:pPr>
        <w:ind w:left="1728" w:hanging="198"/>
      </w:pPr>
      <w:rPr>
        <w:rFonts w:hint="default"/>
      </w:rPr>
    </w:lvl>
    <w:lvl w:ilvl="4">
      <w:start w:val="1"/>
      <w:numFmt w:val="lowerLetter"/>
      <w:lvlText w:val="(%5)"/>
      <w:lvlJc w:val="left"/>
      <w:pPr>
        <w:ind w:left="1926" w:hanging="198"/>
      </w:pPr>
      <w:rPr>
        <w:rFonts w:hint="default"/>
      </w:rPr>
    </w:lvl>
    <w:lvl w:ilvl="5">
      <w:start w:val="1"/>
      <w:numFmt w:val="lowerRoman"/>
      <w:lvlText w:val="(%6)"/>
      <w:lvlJc w:val="left"/>
      <w:pPr>
        <w:ind w:left="2124" w:hanging="198"/>
      </w:pPr>
      <w:rPr>
        <w:rFonts w:hint="default"/>
      </w:rPr>
    </w:lvl>
    <w:lvl w:ilvl="6">
      <w:start w:val="1"/>
      <w:numFmt w:val="decimal"/>
      <w:lvlText w:val="%7."/>
      <w:lvlJc w:val="left"/>
      <w:pPr>
        <w:ind w:left="2322" w:hanging="198"/>
      </w:pPr>
      <w:rPr>
        <w:rFonts w:hint="default"/>
      </w:rPr>
    </w:lvl>
    <w:lvl w:ilvl="7">
      <w:start w:val="1"/>
      <w:numFmt w:val="lowerLetter"/>
      <w:lvlText w:val="%8."/>
      <w:lvlJc w:val="left"/>
      <w:pPr>
        <w:ind w:left="2520" w:hanging="198"/>
      </w:pPr>
      <w:rPr>
        <w:rFonts w:hint="default"/>
      </w:rPr>
    </w:lvl>
    <w:lvl w:ilvl="8">
      <w:start w:val="1"/>
      <w:numFmt w:val="lowerRoman"/>
      <w:lvlText w:val="%9."/>
      <w:lvlJc w:val="left"/>
      <w:pPr>
        <w:ind w:left="2718" w:hanging="198"/>
      </w:pPr>
      <w:rPr>
        <w:rFonts w:hint="default"/>
      </w:rPr>
    </w:lvl>
  </w:abstractNum>
  <w:abstractNum w:abstractNumId="29" w15:restartNumberingAfterBreak="0">
    <w:nsid w:val="519C275B"/>
    <w:multiLevelType w:val="multilevel"/>
    <w:tmpl w:val="D2521496"/>
    <w:lvl w:ilvl="0">
      <w:start w:val="1"/>
      <w:numFmt w:val="decimal"/>
      <w:pStyle w:val="Heading1"/>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pStyle w:val="BodyTextIndent"/>
      <w:suff w:val="nothing"/>
      <w:lvlText w:val=""/>
      <w:lvlJc w:val="left"/>
      <w:pPr>
        <w:ind w:left="709" w:firstLine="0"/>
      </w:pPr>
      <w:rPr>
        <w:rFonts w:hint="default"/>
      </w:rPr>
    </w:lvl>
    <w:lvl w:ilvl="3">
      <w:start w:val="1"/>
      <w:numFmt w:val="lowerLetter"/>
      <w:pStyle w:val="BodyText2"/>
      <w:lvlText w:val="(%4)"/>
      <w:lvlJc w:val="left"/>
      <w:pPr>
        <w:tabs>
          <w:tab w:val="num" w:pos="1134"/>
        </w:tabs>
        <w:ind w:left="1134" w:hanging="425"/>
      </w:pPr>
      <w:rPr>
        <w:rFonts w:hint="default"/>
      </w:rPr>
    </w:lvl>
    <w:lvl w:ilvl="4">
      <w:start w:val="1"/>
      <w:numFmt w:val="none"/>
      <w:pStyle w:val="BodyTextIndent2"/>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30" w15:restartNumberingAfterBreak="0">
    <w:nsid w:val="56B94C38"/>
    <w:multiLevelType w:val="multilevel"/>
    <w:tmpl w:val="744AACCA"/>
    <w:lvl w:ilvl="0">
      <w:start w:val="1"/>
      <w:numFmt w:val="decimal"/>
      <w:lvlText w:val="%1."/>
      <w:lvlJc w:val="left"/>
      <w:pPr>
        <w:ind w:left="360" w:hanging="360"/>
      </w:pPr>
      <w:rPr>
        <w:rFonts w:hint="default"/>
        <w:b w:val="0"/>
        <w:caps w:val="0"/>
        <w:strike w:val="0"/>
        <w:dstrike w:val="0"/>
        <w:vanish/>
        <w:color w:val="FFFFFF"/>
        <w:sz w:val="2"/>
        <w:szCs w:val="16"/>
        <w:vertAlign w:val="baseline"/>
      </w:rPr>
    </w:lvl>
    <w:lvl w:ilvl="1">
      <w:start w:val="1"/>
      <w:numFmt w:val="decimal"/>
      <w:pStyle w:val="BodyText"/>
      <w:lvlText w:val="%1.%2"/>
      <w:lvlJc w:val="left"/>
      <w:pPr>
        <w:tabs>
          <w:tab w:val="num" w:pos="0"/>
        </w:tabs>
        <w:ind w:left="709" w:hanging="70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BodyTextalphalist"/>
      <w:lvlText w:val="(%3)"/>
      <w:lvlJc w:val="left"/>
      <w:pPr>
        <w:tabs>
          <w:tab w:val="num" w:pos="1134"/>
        </w:tabs>
        <w:ind w:left="1134" w:hanging="425"/>
      </w:pPr>
      <w:rPr>
        <w:rFonts w:hint="default"/>
        <w:sz w:val="18"/>
        <w:szCs w:val="18"/>
      </w:rPr>
    </w:lvl>
    <w:lvl w:ilvl="3">
      <w:start w:val="1"/>
      <w:numFmt w:val="lowerRoman"/>
      <w:pStyle w:val="ListRomanNumeral"/>
      <w:lvlText w:val="(%4)"/>
      <w:lvlJc w:val="left"/>
      <w:pPr>
        <w:ind w:left="1559" w:hanging="425"/>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90E2F47"/>
    <w:multiLevelType w:val="multilevel"/>
    <w:tmpl w:val="32DC6D04"/>
    <w:lvl w:ilvl="0">
      <w:start w:val="1"/>
      <w:numFmt w:val="decimal"/>
      <w:lvlText w:val="%1."/>
      <w:lvlJc w:val="left"/>
      <w:pPr>
        <w:ind w:left="360" w:hanging="360"/>
      </w:pPr>
      <w:rPr>
        <w:rFonts w:hint="default"/>
        <w:b w:val="0"/>
        <w:caps w:val="0"/>
        <w:strike w:val="0"/>
        <w:dstrike w:val="0"/>
        <w:vanish/>
        <w:color w:val="FFFFFF"/>
        <w:sz w:val="2"/>
        <w:szCs w:val="16"/>
        <w:vertAlign w:val="baseline"/>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A9135E6"/>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15:restartNumberingAfterBreak="0">
    <w:nsid w:val="5C976384"/>
    <w:multiLevelType w:val="multilevel"/>
    <w:tmpl w:val="D7080BBA"/>
    <w:lvl w:ilvl="0">
      <w:start w:val="1"/>
      <w:numFmt w:val="bullet"/>
      <w:pStyle w:val="QuoteBullet"/>
      <w:lvlText w:val="•"/>
      <w:lvlJc w:val="left"/>
      <w:pPr>
        <w:ind w:left="1418" w:hanging="284"/>
      </w:pPr>
      <w:rPr>
        <w:rFonts w:ascii="Arial" w:hAnsi="Arial" w:hint="default"/>
      </w:rPr>
    </w:lvl>
    <w:lvl w:ilvl="1">
      <w:start w:val="1"/>
      <w:numFmt w:val="bullet"/>
      <w:pStyle w:val="QuoteBullet2"/>
      <w:lvlText w:val="•"/>
      <w:lvlJc w:val="left"/>
      <w:pPr>
        <w:ind w:left="1702" w:hanging="284"/>
      </w:pPr>
      <w:rPr>
        <w:rFonts w:ascii="Arial" w:hAnsi="Arial" w:hint="default"/>
      </w:rPr>
    </w:lvl>
    <w:lvl w:ilvl="2">
      <w:start w:val="1"/>
      <w:numFmt w:val="bullet"/>
      <w:pStyle w:val="QuoteBullet3"/>
      <w:lvlText w:val="•"/>
      <w:lvlJc w:val="left"/>
      <w:pPr>
        <w:ind w:left="1986" w:hanging="284"/>
      </w:pPr>
      <w:rPr>
        <w:rFonts w:ascii="Arial" w:hAnsi="Arial" w:hint="default"/>
      </w:rPr>
    </w:lvl>
    <w:lvl w:ilvl="3">
      <w:start w:val="1"/>
      <w:numFmt w:val="bullet"/>
      <w:lvlText w:val="•"/>
      <w:lvlJc w:val="left"/>
      <w:pPr>
        <w:ind w:left="2270" w:hanging="284"/>
      </w:pPr>
      <w:rPr>
        <w:rFonts w:ascii="Arial" w:hAnsi="Arial" w:hint="default"/>
      </w:rPr>
    </w:lvl>
    <w:lvl w:ilvl="4">
      <w:start w:val="1"/>
      <w:numFmt w:val="bullet"/>
      <w:lvlText w:val="•"/>
      <w:lvlJc w:val="left"/>
      <w:pPr>
        <w:ind w:left="2554" w:hanging="284"/>
      </w:pPr>
      <w:rPr>
        <w:rFonts w:ascii="Arial" w:hAnsi="Arial" w:hint="default"/>
      </w:rPr>
    </w:lvl>
    <w:lvl w:ilvl="5">
      <w:start w:val="1"/>
      <w:numFmt w:val="bullet"/>
      <w:lvlText w:val="•"/>
      <w:lvlJc w:val="left"/>
      <w:pPr>
        <w:ind w:left="2838" w:hanging="284"/>
      </w:pPr>
      <w:rPr>
        <w:rFonts w:ascii="Arial" w:hAnsi="Arial" w:hint="default"/>
      </w:rPr>
    </w:lvl>
    <w:lvl w:ilvl="6">
      <w:start w:val="1"/>
      <w:numFmt w:val="bullet"/>
      <w:lvlText w:val="•"/>
      <w:lvlJc w:val="left"/>
      <w:pPr>
        <w:ind w:left="3122" w:hanging="284"/>
      </w:pPr>
      <w:rPr>
        <w:rFonts w:ascii="Arial" w:hAnsi="Arial" w:hint="default"/>
      </w:rPr>
    </w:lvl>
    <w:lvl w:ilvl="7">
      <w:start w:val="1"/>
      <w:numFmt w:val="bullet"/>
      <w:lvlText w:val="•"/>
      <w:lvlJc w:val="left"/>
      <w:pPr>
        <w:ind w:left="3406" w:hanging="284"/>
      </w:pPr>
      <w:rPr>
        <w:rFonts w:ascii="Arial" w:hAnsi="Arial" w:hint="default"/>
      </w:rPr>
    </w:lvl>
    <w:lvl w:ilvl="8">
      <w:start w:val="1"/>
      <w:numFmt w:val="bullet"/>
      <w:lvlText w:val="•"/>
      <w:lvlJc w:val="left"/>
      <w:pPr>
        <w:ind w:left="3690" w:hanging="284"/>
      </w:pPr>
      <w:rPr>
        <w:rFonts w:ascii="Arial" w:hAnsi="Arial" w:hint="default"/>
      </w:rPr>
    </w:lvl>
  </w:abstractNum>
  <w:abstractNum w:abstractNumId="34" w15:restartNumberingAfterBreak="0">
    <w:nsid w:val="5DFA0EF2"/>
    <w:multiLevelType w:val="hybridMultilevel"/>
    <w:tmpl w:val="77764932"/>
    <w:lvl w:ilvl="0" w:tplc="0A780A4C">
      <w:start w:val="1"/>
      <w:numFmt w:val="decimal"/>
      <w:lvlText w:val="2.%1"/>
      <w:lvlJc w:val="left"/>
      <w:pPr>
        <w:ind w:left="360" w:hanging="360"/>
      </w:pPr>
      <w:rPr>
        <w:rFonts w:hint="default"/>
      </w:r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5E8F5927"/>
    <w:multiLevelType w:val="hybridMultilevel"/>
    <w:tmpl w:val="6B889CC6"/>
    <w:lvl w:ilvl="0" w:tplc="E26ABBE2">
      <w:start w:val="1"/>
      <w:numFmt w:val="decimal"/>
      <w:pStyle w:val="QuestionText"/>
      <w:lvlText w:val="Q%1"/>
      <w:lvlJc w:val="left"/>
      <w:pPr>
        <w:ind w:left="709" w:hanging="425"/>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6" w15:restartNumberingAfterBreak="0">
    <w:nsid w:val="610D0C23"/>
    <w:multiLevelType w:val="multilevel"/>
    <w:tmpl w:val="A3B610DE"/>
    <w:lvl w:ilvl="0">
      <w:start w:val="1"/>
      <w:numFmt w:val="decimal"/>
      <w:pStyle w:val="ListNumber"/>
      <w:lvlText w:val="%1."/>
      <w:lvlJc w:val="left"/>
      <w:pPr>
        <w:ind w:left="1134" w:hanging="425"/>
      </w:pPr>
      <w:rPr>
        <w:rFonts w:hint="default"/>
      </w:rPr>
    </w:lvl>
    <w:lvl w:ilvl="1">
      <w:start w:val="1"/>
      <w:numFmt w:val="decimal"/>
      <w:pStyle w:val="ListNumber2"/>
      <w:lvlText w:val="%1.%2."/>
      <w:lvlJc w:val="left"/>
      <w:pPr>
        <w:ind w:left="1559" w:hanging="425"/>
      </w:pPr>
      <w:rPr>
        <w:rFonts w:hint="default"/>
        <w:sz w:val="22"/>
      </w:rPr>
    </w:lvl>
    <w:lvl w:ilvl="2">
      <w:start w:val="1"/>
      <w:numFmt w:val="decimal"/>
      <w:pStyle w:val="ListNumber3"/>
      <w:lvlText w:val="%1.%2.%3."/>
      <w:lvlJc w:val="left"/>
      <w:pPr>
        <w:ind w:left="1984" w:hanging="425"/>
      </w:pPr>
      <w:rPr>
        <w:rFonts w:hint="default"/>
        <w:sz w:val="20"/>
      </w:rPr>
    </w:lvl>
    <w:lvl w:ilvl="3">
      <w:start w:val="1"/>
      <w:numFmt w:val="decimal"/>
      <w:pStyle w:val="ListNumber4"/>
      <w:lvlText w:val="%1.%2.%3.%4."/>
      <w:lvlJc w:val="left"/>
      <w:pPr>
        <w:ind w:left="2409" w:hanging="425"/>
      </w:pPr>
      <w:rPr>
        <w:rFonts w:hint="default"/>
        <w:sz w:val="20"/>
      </w:rPr>
    </w:lvl>
    <w:lvl w:ilvl="4">
      <w:start w:val="1"/>
      <w:numFmt w:val="decimal"/>
      <w:pStyle w:val="ListNumber5"/>
      <w:lvlText w:val="%1.%2.%3.%4.%5."/>
      <w:lvlJc w:val="left"/>
      <w:pPr>
        <w:ind w:left="2834" w:hanging="425"/>
      </w:pPr>
      <w:rPr>
        <w:rFonts w:hint="default"/>
        <w:sz w:val="20"/>
      </w:rPr>
    </w:lvl>
    <w:lvl w:ilvl="5">
      <w:start w:val="1"/>
      <w:numFmt w:val="decimal"/>
      <w:lvlText w:val="%1.%2.%3.%4.%5.%6."/>
      <w:lvlJc w:val="left"/>
      <w:pPr>
        <w:ind w:left="3259" w:hanging="425"/>
      </w:pPr>
      <w:rPr>
        <w:rFonts w:hint="default"/>
      </w:rPr>
    </w:lvl>
    <w:lvl w:ilvl="6">
      <w:start w:val="1"/>
      <w:numFmt w:val="decimal"/>
      <w:lvlText w:val="%1.%2.%3.%4.%5.%6.%7."/>
      <w:lvlJc w:val="left"/>
      <w:pPr>
        <w:ind w:left="3684" w:hanging="425"/>
      </w:pPr>
      <w:rPr>
        <w:rFonts w:hint="default"/>
      </w:rPr>
    </w:lvl>
    <w:lvl w:ilvl="7">
      <w:start w:val="1"/>
      <w:numFmt w:val="decimal"/>
      <w:lvlText w:val="%1.%2.%3.%4.%5.%6.%7.%8."/>
      <w:lvlJc w:val="left"/>
      <w:pPr>
        <w:ind w:left="4109" w:hanging="425"/>
      </w:pPr>
      <w:rPr>
        <w:rFonts w:hint="default"/>
      </w:rPr>
    </w:lvl>
    <w:lvl w:ilvl="8">
      <w:start w:val="1"/>
      <w:numFmt w:val="decimal"/>
      <w:lvlText w:val="%1.%2.%3.%4.%5.%6.%7.%8.%9."/>
      <w:lvlJc w:val="left"/>
      <w:pPr>
        <w:ind w:left="4534" w:hanging="425"/>
      </w:pPr>
      <w:rPr>
        <w:rFonts w:hint="default"/>
      </w:rPr>
    </w:lvl>
  </w:abstractNum>
  <w:abstractNum w:abstractNumId="37" w15:restartNumberingAfterBreak="0">
    <w:nsid w:val="6E55155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8" w15:restartNumberingAfterBreak="0">
    <w:nsid w:val="6F6C61AA"/>
    <w:multiLevelType w:val="hybridMultilevel"/>
    <w:tmpl w:val="4060072A"/>
    <w:lvl w:ilvl="0" w:tplc="28AA682E">
      <w:start w:val="1"/>
      <w:numFmt w:val="decimal"/>
      <w:pStyle w:val="CommentsText"/>
      <w:lvlText w:val="C%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2091BBE"/>
    <w:multiLevelType w:val="hybridMultilevel"/>
    <w:tmpl w:val="DF8A5470"/>
    <w:lvl w:ilvl="0" w:tplc="B51687AA">
      <w:start w:val="1"/>
      <w:numFmt w:val="bullet"/>
      <w:pStyle w:val="Flowchartbullets"/>
      <w:lvlText w:val=""/>
      <w:lvlJc w:val="left"/>
      <w:pPr>
        <w:ind w:left="1440" w:hanging="360"/>
      </w:pPr>
      <w:rPr>
        <w:rFonts w:ascii="Symbol" w:hAnsi="Symbol" w:hint="default"/>
        <w:sz w:val="18"/>
        <w:szCs w:val="18"/>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0" w15:restartNumberingAfterBreak="0">
    <w:nsid w:val="74C9151B"/>
    <w:multiLevelType w:val="multilevel"/>
    <w:tmpl w:val="05B43110"/>
    <w:lvl w:ilvl="0">
      <w:start w:val="1"/>
      <w:numFmt w:val="none"/>
      <w:pStyle w:val="Quote"/>
      <w:suff w:val="nothing"/>
      <w:lvlText w:val=""/>
      <w:lvlJc w:val="left"/>
      <w:pPr>
        <w:ind w:left="1418" w:hanging="284"/>
      </w:pPr>
      <w:rPr>
        <w:rFonts w:hint="default"/>
      </w:rPr>
    </w:lvl>
    <w:lvl w:ilvl="1">
      <w:start w:val="1"/>
      <w:numFmt w:val="decimal"/>
      <w:pStyle w:val="QuoteIndent1"/>
      <w:suff w:val="nothing"/>
      <w:lvlText w:val="%1"/>
      <w:lvlJc w:val="left"/>
      <w:pPr>
        <w:ind w:left="1702" w:hanging="284"/>
      </w:pPr>
      <w:rPr>
        <w:rFonts w:hint="default"/>
      </w:rPr>
    </w:lvl>
    <w:lvl w:ilvl="2">
      <w:start w:val="1"/>
      <w:numFmt w:val="none"/>
      <w:pStyle w:val="QuoteIndent2"/>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num w:numId="1" w16cid:durableId="871267309">
    <w:abstractNumId w:val="14"/>
  </w:num>
  <w:num w:numId="2" w16cid:durableId="1381977850">
    <w:abstractNumId w:val="37"/>
  </w:num>
  <w:num w:numId="3" w16cid:durableId="156700042">
    <w:abstractNumId w:val="27"/>
  </w:num>
  <w:num w:numId="4" w16cid:durableId="387727934">
    <w:abstractNumId w:val="32"/>
  </w:num>
  <w:num w:numId="5" w16cid:durableId="41759849">
    <w:abstractNumId w:val="29"/>
  </w:num>
  <w:num w:numId="6" w16cid:durableId="1266187713">
    <w:abstractNumId w:val="9"/>
  </w:num>
  <w:num w:numId="7" w16cid:durableId="1105227842">
    <w:abstractNumId w:val="40"/>
  </w:num>
  <w:num w:numId="8" w16cid:durableId="69685209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525406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153664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0720567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8397839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7845568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7400411">
    <w:abstractNumId w:val="20"/>
  </w:num>
  <w:num w:numId="15" w16cid:durableId="1933927578">
    <w:abstractNumId w:val="16"/>
  </w:num>
  <w:num w:numId="16" w16cid:durableId="1018461365">
    <w:abstractNumId w:val="26"/>
  </w:num>
  <w:num w:numId="17" w16cid:durableId="1968008382">
    <w:abstractNumId w:val="21"/>
  </w:num>
  <w:num w:numId="18" w16cid:durableId="263655630">
    <w:abstractNumId w:val="5"/>
  </w:num>
  <w:num w:numId="19" w16cid:durableId="1051810530">
    <w:abstractNumId w:val="22"/>
  </w:num>
  <w:num w:numId="20" w16cid:durableId="1196692480">
    <w:abstractNumId w:val="4"/>
  </w:num>
  <w:num w:numId="21" w16cid:durableId="89206022">
    <w:abstractNumId w:val="11"/>
  </w:num>
  <w:num w:numId="22" w16cid:durableId="2119252075">
    <w:abstractNumId w:val="8"/>
  </w:num>
  <w:num w:numId="23" w16cid:durableId="866717870">
    <w:abstractNumId w:val="7"/>
  </w:num>
  <w:num w:numId="24" w16cid:durableId="1573660344">
    <w:abstractNumId w:val="33"/>
  </w:num>
  <w:num w:numId="25" w16cid:durableId="195386099">
    <w:abstractNumId w:val="18"/>
  </w:num>
  <w:num w:numId="26" w16cid:durableId="1788426247">
    <w:abstractNumId w:val="35"/>
  </w:num>
  <w:num w:numId="27" w16cid:durableId="560753340">
    <w:abstractNumId w:val="38"/>
  </w:num>
  <w:num w:numId="28" w16cid:durableId="143936775">
    <w:abstractNumId w:val="17"/>
  </w:num>
  <w:num w:numId="29" w16cid:durableId="1291663376">
    <w:abstractNumId w:val="10"/>
  </w:num>
  <w:num w:numId="30" w16cid:durableId="1145313784">
    <w:abstractNumId w:val="3"/>
  </w:num>
  <w:num w:numId="31" w16cid:durableId="1455445641">
    <w:abstractNumId w:val="25"/>
  </w:num>
  <w:num w:numId="32" w16cid:durableId="1060522510">
    <w:abstractNumId w:val="13"/>
  </w:num>
  <w:num w:numId="33" w16cid:durableId="1221945421">
    <w:abstractNumId w:val="39"/>
  </w:num>
  <w:num w:numId="34" w16cid:durableId="394200899">
    <w:abstractNumId w:val="19"/>
  </w:num>
  <w:num w:numId="35" w16cid:durableId="190436587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95796724">
    <w:abstractNumId w:val="36"/>
  </w:num>
  <w:num w:numId="37" w16cid:durableId="2084255239">
    <w:abstractNumId w:val="28"/>
  </w:num>
  <w:num w:numId="38" w16cid:durableId="1544714704">
    <w:abstractNumId w:val="23"/>
  </w:num>
  <w:num w:numId="39" w16cid:durableId="967012523">
    <w:abstractNumId w:val="23"/>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0" w16cid:durableId="17126810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09546221">
    <w:abstractNumId w:val="23"/>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rPr>
          <w:rFonts w:hint="default"/>
        </w:rPr>
      </w:lvl>
    </w:lvlOverride>
    <w:lvlOverride w:ilvl="2">
      <w:lvl w:ilvl="2">
        <w:start w:val="1"/>
        <w:numFmt w:val="none"/>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color w:val="auto"/>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2" w16cid:durableId="1674838477">
    <w:abstractNumId w:val="23"/>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rPr>
          <w:rFonts w:hint="default"/>
        </w:rPr>
      </w:lvl>
    </w:lvlOverride>
    <w:lvlOverride w:ilvl="2">
      <w:lvl w:ilvl="2">
        <w:start w:val="1"/>
        <w:numFmt w:val="none"/>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3" w16cid:durableId="768936819">
    <w:abstractNumId w:val="15"/>
  </w:num>
  <w:num w:numId="44" w16cid:durableId="520122790">
    <w:abstractNumId w:val="23"/>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rPr>
          <w:rFonts w:hint="default"/>
        </w:rPr>
      </w:lvl>
    </w:lvlOverride>
    <w:lvlOverride w:ilvl="2">
      <w:lvl w:ilvl="2">
        <w:start w:val="1"/>
        <w:numFmt w:val="none"/>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5" w16cid:durableId="1980331868">
    <w:abstractNumId w:val="23"/>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rPr>
          <w:rFonts w:hint="default"/>
        </w:rPr>
      </w:lvl>
    </w:lvlOverride>
    <w:lvlOverride w:ilvl="2">
      <w:lvl w:ilvl="2">
        <w:start w:val="1"/>
        <w:numFmt w:val="none"/>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6" w16cid:durableId="270210892">
    <w:abstractNumId w:val="34"/>
  </w:num>
  <w:num w:numId="47" w16cid:durableId="2075008023">
    <w:abstractNumId w:val="23"/>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1080"/>
          </w:tabs>
          <w:ind w:left="792" w:hanging="432"/>
        </w:pPr>
      </w:lvl>
    </w:lvlOverride>
    <w:lvlOverride w:ilvl="2">
      <w:lvl w:ilvl="2">
        <w:start w:val="1"/>
        <w:numFmt w:val="decimal"/>
        <w:lvlText w:val="%1.%2.%3."/>
        <w:lvlJc w:val="left"/>
        <w:pPr>
          <w:tabs>
            <w:tab w:val="num" w:pos="180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880"/>
          </w:tabs>
          <w:ind w:left="2232" w:hanging="792"/>
        </w:pPr>
      </w:lvl>
    </w:lvlOverride>
    <w:lvlOverride w:ilvl="5">
      <w:lvl w:ilvl="5">
        <w:start w:val="1"/>
        <w:numFmt w:val="decimal"/>
        <w:lvlText w:val="%1.%2.%3.%4.%5.%6."/>
        <w:lvlJc w:val="left"/>
        <w:pPr>
          <w:tabs>
            <w:tab w:val="num" w:pos="3600"/>
          </w:tabs>
          <w:ind w:left="2736" w:hanging="936"/>
        </w:pPr>
      </w:lvl>
    </w:lvlOverride>
    <w:lvlOverride w:ilvl="6">
      <w:lvl w:ilvl="6">
        <w:start w:val="1"/>
        <w:numFmt w:val="decimal"/>
        <w:lvlText w:val="%1.%2.%3.%4.%5.%6.%7."/>
        <w:lvlJc w:val="left"/>
        <w:pPr>
          <w:tabs>
            <w:tab w:val="num" w:pos="4320"/>
          </w:tabs>
          <w:ind w:left="3240" w:hanging="1080"/>
        </w:pPr>
      </w:lvl>
    </w:lvlOverride>
    <w:lvlOverride w:ilvl="7">
      <w:lvl w:ilvl="7">
        <w:start w:val="1"/>
        <w:numFmt w:val="decimal"/>
        <w:lvlText w:val="%1.%2.%3.%4.%5.%6.%7.%8."/>
        <w:lvlJc w:val="left"/>
        <w:pPr>
          <w:tabs>
            <w:tab w:val="num" w:pos="4680"/>
          </w:tabs>
          <w:ind w:left="3744" w:hanging="1224"/>
        </w:pPr>
      </w:lvl>
    </w:lvlOverride>
    <w:lvlOverride w:ilvl="8">
      <w:lvl w:ilvl="8">
        <w:start w:val="1"/>
        <w:numFmt w:val="decimal"/>
        <w:lvlText w:val="%1.%2.%3.%4.%5.%6.%7.%8.%9."/>
        <w:lvlJc w:val="left"/>
        <w:pPr>
          <w:tabs>
            <w:tab w:val="num" w:pos="5400"/>
          </w:tabs>
          <w:ind w:left="4320" w:hanging="1440"/>
        </w:pPr>
      </w:lvl>
    </w:lvlOverride>
  </w:num>
  <w:num w:numId="48" w16cid:durableId="1820884372">
    <w:abstractNumId w:val="30"/>
  </w:num>
  <w:num w:numId="49" w16cid:durableId="1953123556">
    <w:abstractNumId w:val="31"/>
  </w:num>
  <w:num w:numId="50" w16cid:durableId="2072917934">
    <w:abstractNumId w:val="0"/>
  </w:num>
  <w:num w:numId="51" w16cid:durableId="1615088194">
    <w:abstractNumId w:val="2"/>
  </w:num>
  <w:num w:numId="52" w16cid:durableId="445925449">
    <w:abstractNumId w:val="12"/>
  </w:num>
  <w:num w:numId="53" w16cid:durableId="1295015074">
    <w:abstractNumId w:val="24"/>
  </w:num>
  <w:num w:numId="54" w16cid:durableId="1946767834">
    <w:abstractNumId w:val="6"/>
  </w:num>
  <w:num w:numId="55" w16cid:durableId="1572885664">
    <w:abstractNumId w:val="1"/>
  </w:num>
  <w:num w:numId="56" w16cid:durableId="86397940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6962719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528599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8253206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6480139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8474065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319247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3177358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334044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5385476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7645744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5614072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90"/>
  <w:embedTrueTypeFonts/>
  <w:hideSpellingErrors/>
  <w:hideGrammaticalErrors/>
  <w:proofState w:spelling="clean" w:grammar="clean"/>
  <w:attachedTemplate r:id="rId1"/>
  <w:linkStyles/>
  <w:documentProtection w:formatting="1" w:enforcement="1" w:cryptProviderType="rsaAES" w:cryptAlgorithmClass="hash" w:cryptAlgorithmType="typeAny" w:cryptAlgorithmSid="14" w:cryptSpinCount="100000" w:hash="pAU2NovHGlwyENliAO86aqVbqgTCJ/Xhl4Uuq1vBP4G0m42SFPpO7nQO6M9mJnzuCwzbLsnH6vzR5UCSY61wNg==" w:salt="eHSxll03us6HSM9xabVDdQ=="/>
  <w:defaultTabStop w:val="720"/>
  <w:evenAndOddHeaders/>
  <w:drawingGridHorizontalSpacing w:val="110"/>
  <w:displayHorizont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F8"/>
    <w:rsid w:val="00001827"/>
    <w:rsid w:val="0000250A"/>
    <w:rsid w:val="0000359D"/>
    <w:rsid w:val="00005B38"/>
    <w:rsid w:val="00006BBE"/>
    <w:rsid w:val="00006DE1"/>
    <w:rsid w:val="00010453"/>
    <w:rsid w:val="0001045F"/>
    <w:rsid w:val="00014E24"/>
    <w:rsid w:val="000165F2"/>
    <w:rsid w:val="00016B03"/>
    <w:rsid w:val="00016B9D"/>
    <w:rsid w:val="00021080"/>
    <w:rsid w:val="00025547"/>
    <w:rsid w:val="00030AA5"/>
    <w:rsid w:val="000310D4"/>
    <w:rsid w:val="00031776"/>
    <w:rsid w:val="00032BE0"/>
    <w:rsid w:val="00032FD7"/>
    <w:rsid w:val="000332BE"/>
    <w:rsid w:val="00034FA0"/>
    <w:rsid w:val="00035A57"/>
    <w:rsid w:val="00037C1F"/>
    <w:rsid w:val="000402FB"/>
    <w:rsid w:val="00040F1A"/>
    <w:rsid w:val="00041568"/>
    <w:rsid w:val="0004563A"/>
    <w:rsid w:val="00051D4A"/>
    <w:rsid w:val="00052753"/>
    <w:rsid w:val="00052EF8"/>
    <w:rsid w:val="00053314"/>
    <w:rsid w:val="00054497"/>
    <w:rsid w:val="000545DC"/>
    <w:rsid w:val="0005648D"/>
    <w:rsid w:val="00056A85"/>
    <w:rsid w:val="00056D6C"/>
    <w:rsid w:val="00057422"/>
    <w:rsid w:val="00060720"/>
    <w:rsid w:val="000645F2"/>
    <w:rsid w:val="000647EA"/>
    <w:rsid w:val="00065CC5"/>
    <w:rsid w:val="000667DD"/>
    <w:rsid w:val="00074008"/>
    <w:rsid w:val="00074224"/>
    <w:rsid w:val="0007537A"/>
    <w:rsid w:val="000776BF"/>
    <w:rsid w:val="00080909"/>
    <w:rsid w:val="00081F2E"/>
    <w:rsid w:val="000839FE"/>
    <w:rsid w:val="00083E27"/>
    <w:rsid w:val="0008452D"/>
    <w:rsid w:val="00084BF2"/>
    <w:rsid w:val="00084E7D"/>
    <w:rsid w:val="00085B57"/>
    <w:rsid w:val="00087CE1"/>
    <w:rsid w:val="00090596"/>
    <w:rsid w:val="00093751"/>
    <w:rsid w:val="00094045"/>
    <w:rsid w:val="000945E0"/>
    <w:rsid w:val="000966DC"/>
    <w:rsid w:val="000A062E"/>
    <w:rsid w:val="000A20EE"/>
    <w:rsid w:val="000A5318"/>
    <w:rsid w:val="000A6990"/>
    <w:rsid w:val="000B161F"/>
    <w:rsid w:val="000B1749"/>
    <w:rsid w:val="000B3114"/>
    <w:rsid w:val="000B384A"/>
    <w:rsid w:val="000B3F47"/>
    <w:rsid w:val="000B536D"/>
    <w:rsid w:val="000B75C2"/>
    <w:rsid w:val="000C0669"/>
    <w:rsid w:val="000C2AE9"/>
    <w:rsid w:val="000C409A"/>
    <w:rsid w:val="000C4425"/>
    <w:rsid w:val="000C5F28"/>
    <w:rsid w:val="000C784F"/>
    <w:rsid w:val="000D0027"/>
    <w:rsid w:val="000D03C8"/>
    <w:rsid w:val="000D337B"/>
    <w:rsid w:val="000D47E5"/>
    <w:rsid w:val="000D672F"/>
    <w:rsid w:val="000D676D"/>
    <w:rsid w:val="000E0D24"/>
    <w:rsid w:val="000E34E3"/>
    <w:rsid w:val="000E35F2"/>
    <w:rsid w:val="000E4D64"/>
    <w:rsid w:val="000E5E7F"/>
    <w:rsid w:val="000E6CDA"/>
    <w:rsid w:val="000F3D61"/>
    <w:rsid w:val="000F42AC"/>
    <w:rsid w:val="000F4671"/>
    <w:rsid w:val="000F72CC"/>
    <w:rsid w:val="00106588"/>
    <w:rsid w:val="001122EF"/>
    <w:rsid w:val="0011278E"/>
    <w:rsid w:val="001130DF"/>
    <w:rsid w:val="00113234"/>
    <w:rsid w:val="00117774"/>
    <w:rsid w:val="00122B43"/>
    <w:rsid w:val="001254BF"/>
    <w:rsid w:val="00126996"/>
    <w:rsid w:val="00126AF0"/>
    <w:rsid w:val="001341D1"/>
    <w:rsid w:val="001364C1"/>
    <w:rsid w:val="00137388"/>
    <w:rsid w:val="00137BF0"/>
    <w:rsid w:val="00142936"/>
    <w:rsid w:val="00143066"/>
    <w:rsid w:val="001436C5"/>
    <w:rsid w:val="00144BED"/>
    <w:rsid w:val="00145A20"/>
    <w:rsid w:val="00145C8F"/>
    <w:rsid w:val="0015075F"/>
    <w:rsid w:val="00153DDA"/>
    <w:rsid w:val="00154353"/>
    <w:rsid w:val="001560F1"/>
    <w:rsid w:val="001565F5"/>
    <w:rsid w:val="00161E3E"/>
    <w:rsid w:val="0016303F"/>
    <w:rsid w:val="00163FC5"/>
    <w:rsid w:val="00164CB5"/>
    <w:rsid w:val="00164D98"/>
    <w:rsid w:val="00165EE7"/>
    <w:rsid w:val="00171330"/>
    <w:rsid w:val="0017172B"/>
    <w:rsid w:val="00173548"/>
    <w:rsid w:val="00174AD4"/>
    <w:rsid w:val="00176C2F"/>
    <w:rsid w:val="00186FA3"/>
    <w:rsid w:val="001877E7"/>
    <w:rsid w:val="001905DD"/>
    <w:rsid w:val="00190824"/>
    <w:rsid w:val="00190EF4"/>
    <w:rsid w:val="0019100A"/>
    <w:rsid w:val="00191F38"/>
    <w:rsid w:val="001946BD"/>
    <w:rsid w:val="0019689D"/>
    <w:rsid w:val="00197F12"/>
    <w:rsid w:val="001A2683"/>
    <w:rsid w:val="001A4653"/>
    <w:rsid w:val="001A7059"/>
    <w:rsid w:val="001B3AD8"/>
    <w:rsid w:val="001B5AB7"/>
    <w:rsid w:val="001B6317"/>
    <w:rsid w:val="001B76AD"/>
    <w:rsid w:val="001C391F"/>
    <w:rsid w:val="001C40F7"/>
    <w:rsid w:val="001C4CCD"/>
    <w:rsid w:val="001C6588"/>
    <w:rsid w:val="001C7069"/>
    <w:rsid w:val="001D032C"/>
    <w:rsid w:val="001D10A4"/>
    <w:rsid w:val="001D1C69"/>
    <w:rsid w:val="001D2211"/>
    <w:rsid w:val="001E4D91"/>
    <w:rsid w:val="001F1576"/>
    <w:rsid w:val="001F4189"/>
    <w:rsid w:val="00203FAA"/>
    <w:rsid w:val="002055D7"/>
    <w:rsid w:val="00207796"/>
    <w:rsid w:val="002116DF"/>
    <w:rsid w:val="002137CE"/>
    <w:rsid w:val="00213E80"/>
    <w:rsid w:val="00215251"/>
    <w:rsid w:val="002172DD"/>
    <w:rsid w:val="0022050B"/>
    <w:rsid w:val="00221F6C"/>
    <w:rsid w:val="00225605"/>
    <w:rsid w:val="00225635"/>
    <w:rsid w:val="00227B48"/>
    <w:rsid w:val="00230FC5"/>
    <w:rsid w:val="00231F15"/>
    <w:rsid w:val="00233E23"/>
    <w:rsid w:val="002365EC"/>
    <w:rsid w:val="00240686"/>
    <w:rsid w:val="002411AE"/>
    <w:rsid w:val="00244E5A"/>
    <w:rsid w:val="00245A75"/>
    <w:rsid w:val="002460A7"/>
    <w:rsid w:val="00246E3D"/>
    <w:rsid w:val="00246EEE"/>
    <w:rsid w:val="00247BE4"/>
    <w:rsid w:val="00250546"/>
    <w:rsid w:val="0025246E"/>
    <w:rsid w:val="00257791"/>
    <w:rsid w:val="00257BD5"/>
    <w:rsid w:val="00260F57"/>
    <w:rsid w:val="00261EEA"/>
    <w:rsid w:val="0026245D"/>
    <w:rsid w:val="00266F8F"/>
    <w:rsid w:val="002727A5"/>
    <w:rsid w:val="00272DEC"/>
    <w:rsid w:val="00273FF3"/>
    <w:rsid w:val="0027716E"/>
    <w:rsid w:val="00277964"/>
    <w:rsid w:val="00277E5F"/>
    <w:rsid w:val="00277EE7"/>
    <w:rsid w:val="0028184D"/>
    <w:rsid w:val="00282049"/>
    <w:rsid w:val="0028463E"/>
    <w:rsid w:val="00285851"/>
    <w:rsid w:val="00287AC3"/>
    <w:rsid w:val="00291156"/>
    <w:rsid w:val="00291768"/>
    <w:rsid w:val="00292445"/>
    <w:rsid w:val="002940BD"/>
    <w:rsid w:val="00294AEE"/>
    <w:rsid w:val="00294FFC"/>
    <w:rsid w:val="0029587E"/>
    <w:rsid w:val="00297E92"/>
    <w:rsid w:val="002A06BE"/>
    <w:rsid w:val="002A1421"/>
    <w:rsid w:val="002A1B1E"/>
    <w:rsid w:val="002A1F8E"/>
    <w:rsid w:val="002A45C2"/>
    <w:rsid w:val="002A7E55"/>
    <w:rsid w:val="002B0551"/>
    <w:rsid w:val="002B0EDC"/>
    <w:rsid w:val="002B282F"/>
    <w:rsid w:val="002B4633"/>
    <w:rsid w:val="002B7CDE"/>
    <w:rsid w:val="002C17E6"/>
    <w:rsid w:val="002C3364"/>
    <w:rsid w:val="002D0F4F"/>
    <w:rsid w:val="002D1F57"/>
    <w:rsid w:val="002D242E"/>
    <w:rsid w:val="002D4D5A"/>
    <w:rsid w:val="002D6A37"/>
    <w:rsid w:val="002E17DF"/>
    <w:rsid w:val="002E200B"/>
    <w:rsid w:val="002E56D9"/>
    <w:rsid w:val="002E7709"/>
    <w:rsid w:val="002E7CA2"/>
    <w:rsid w:val="002F05BB"/>
    <w:rsid w:val="002F0AF4"/>
    <w:rsid w:val="002F16FA"/>
    <w:rsid w:val="002F6C2C"/>
    <w:rsid w:val="002F7E27"/>
    <w:rsid w:val="00300633"/>
    <w:rsid w:val="00302AFC"/>
    <w:rsid w:val="00302D35"/>
    <w:rsid w:val="00304AED"/>
    <w:rsid w:val="00306469"/>
    <w:rsid w:val="00306CBF"/>
    <w:rsid w:val="00310D32"/>
    <w:rsid w:val="00313A29"/>
    <w:rsid w:val="003166A0"/>
    <w:rsid w:val="003219BE"/>
    <w:rsid w:val="003227F6"/>
    <w:rsid w:val="00325991"/>
    <w:rsid w:val="00326ACE"/>
    <w:rsid w:val="0032775C"/>
    <w:rsid w:val="003339E7"/>
    <w:rsid w:val="00334EE0"/>
    <w:rsid w:val="00336FCB"/>
    <w:rsid w:val="00340065"/>
    <w:rsid w:val="00340BF5"/>
    <w:rsid w:val="00341A8B"/>
    <w:rsid w:val="003428E0"/>
    <w:rsid w:val="00351397"/>
    <w:rsid w:val="00351B1A"/>
    <w:rsid w:val="00356608"/>
    <w:rsid w:val="00357C48"/>
    <w:rsid w:val="00357C9F"/>
    <w:rsid w:val="00360235"/>
    <w:rsid w:val="00360F8E"/>
    <w:rsid w:val="0036493D"/>
    <w:rsid w:val="00366788"/>
    <w:rsid w:val="0036705E"/>
    <w:rsid w:val="00370B59"/>
    <w:rsid w:val="00371AE3"/>
    <w:rsid w:val="00372172"/>
    <w:rsid w:val="003761EB"/>
    <w:rsid w:val="003763C2"/>
    <w:rsid w:val="00376AC0"/>
    <w:rsid w:val="003817E1"/>
    <w:rsid w:val="00381D6D"/>
    <w:rsid w:val="00385D22"/>
    <w:rsid w:val="00386DD8"/>
    <w:rsid w:val="0039021E"/>
    <w:rsid w:val="003926BB"/>
    <w:rsid w:val="00392EE8"/>
    <w:rsid w:val="00393B35"/>
    <w:rsid w:val="00394F89"/>
    <w:rsid w:val="00395427"/>
    <w:rsid w:val="003A136E"/>
    <w:rsid w:val="003A349D"/>
    <w:rsid w:val="003A4DB2"/>
    <w:rsid w:val="003A7A58"/>
    <w:rsid w:val="003B0C88"/>
    <w:rsid w:val="003B2B04"/>
    <w:rsid w:val="003B432D"/>
    <w:rsid w:val="003B4979"/>
    <w:rsid w:val="003C0831"/>
    <w:rsid w:val="003C20FE"/>
    <w:rsid w:val="003C28AA"/>
    <w:rsid w:val="003C30F3"/>
    <w:rsid w:val="003C3FD9"/>
    <w:rsid w:val="003C5561"/>
    <w:rsid w:val="003C597A"/>
    <w:rsid w:val="003C78A6"/>
    <w:rsid w:val="003C7AE2"/>
    <w:rsid w:val="003D049D"/>
    <w:rsid w:val="003D1635"/>
    <w:rsid w:val="003D3F32"/>
    <w:rsid w:val="003D455C"/>
    <w:rsid w:val="003D702E"/>
    <w:rsid w:val="003D70C2"/>
    <w:rsid w:val="003E0321"/>
    <w:rsid w:val="003E0A36"/>
    <w:rsid w:val="003E3C97"/>
    <w:rsid w:val="003E5BF6"/>
    <w:rsid w:val="003E62C4"/>
    <w:rsid w:val="003E6F16"/>
    <w:rsid w:val="003E7A78"/>
    <w:rsid w:val="003F27B1"/>
    <w:rsid w:val="003F36E4"/>
    <w:rsid w:val="003F5945"/>
    <w:rsid w:val="003F747D"/>
    <w:rsid w:val="00401F92"/>
    <w:rsid w:val="00412F1D"/>
    <w:rsid w:val="00414013"/>
    <w:rsid w:val="0041488A"/>
    <w:rsid w:val="004153D5"/>
    <w:rsid w:val="00416546"/>
    <w:rsid w:val="00416B7D"/>
    <w:rsid w:val="004176D8"/>
    <w:rsid w:val="00417C3A"/>
    <w:rsid w:val="00420F70"/>
    <w:rsid w:val="004254CD"/>
    <w:rsid w:val="00431633"/>
    <w:rsid w:val="00431BD2"/>
    <w:rsid w:val="00431CF2"/>
    <w:rsid w:val="0043489D"/>
    <w:rsid w:val="00440225"/>
    <w:rsid w:val="004409CD"/>
    <w:rsid w:val="004420DA"/>
    <w:rsid w:val="00443094"/>
    <w:rsid w:val="00443B88"/>
    <w:rsid w:val="00443E12"/>
    <w:rsid w:val="00445433"/>
    <w:rsid w:val="004472B7"/>
    <w:rsid w:val="00452339"/>
    <w:rsid w:val="0046016A"/>
    <w:rsid w:val="004605BB"/>
    <w:rsid w:val="00461E6F"/>
    <w:rsid w:val="004632A0"/>
    <w:rsid w:val="00463A13"/>
    <w:rsid w:val="0046650F"/>
    <w:rsid w:val="00470B51"/>
    <w:rsid w:val="0047263F"/>
    <w:rsid w:val="0047380E"/>
    <w:rsid w:val="004807DA"/>
    <w:rsid w:val="00480C04"/>
    <w:rsid w:val="00480F01"/>
    <w:rsid w:val="0048188A"/>
    <w:rsid w:val="00481F32"/>
    <w:rsid w:val="00483AD5"/>
    <w:rsid w:val="00484D86"/>
    <w:rsid w:val="0048576D"/>
    <w:rsid w:val="00487BAE"/>
    <w:rsid w:val="00490E45"/>
    <w:rsid w:val="00491D06"/>
    <w:rsid w:val="00492B4E"/>
    <w:rsid w:val="004934DA"/>
    <w:rsid w:val="004937B0"/>
    <w:rsid w:val="00494EA1"/>
    <w:rsid w:val="004957AE"/>
    <w:rsid w:val="00495D4C"/>
    <w:rsid w:val="004A0E3E"/>
    <w:rsid w:val="004A15EB"/>
    <w:rsid w:val="004A178C"/>
    <w:rsid w:val="004A17D5"/>
    <w:rsid w:val="004A4744"/>
    <w:rsid w:val="004A50D9"/>
    <w:rsid w:val="004B092E"/>
    <w:rsid w:val="004B1227"/>
    <w:rsid w:val="004B2624"/>
    <w:rsid w:val="004B28A5"/>
    <w:rsid w:val="004B2D72"/>
    <w:rsid w:val="004B6646"/>
    <w:rsid w:val="004C02A6"/>
    <w:rsid w:val="004C4191"/>
    <w:rsid w:val="004C4D62"/>
    <w:rsid w:val="004C55BE"/>
    <w:rsid w:val="004C7B35"/>
    <w:rsid w:val="004D1F58"/>
    <w:rsid w:val="004D449B"/>
    <w:rsid w:val="004D6A7B"/>
    <w:rsid w:val="004D77DB"/>
    <w:rsid w:val="004D7E07"/>
    <w:rsid w:val="004E0178"/>
    <w:rsid w:val="004E068C"/>
    <w:rsid w:val="004E1316"/>
    <w:rsid w:val="004E1C25"/>
    <w:rsid w:val="004E55ED"/>
    <w:rsid w:val="004F01B1"/>
    <w:rsid w:val="004F1894"/>
    <w:rsid w:val="004F2CB0"/>
    <w:rsid w:val="004F2FCA"/>
    <w:rsid w:val="004F4052"/>
    <w:rsid w:val="004F6CCA"/>
    <w:rsid w:val="00503E76"/>
    <w:rsid w:val="00503FD9"/>
    <w:rsid w:val="005048D4"/>
    <w:rsid w:val="00504A9C"/>
    <w:rsid w:val="00504C4B"/>
    <w:rsid w:val="005054DC"/>
    <w:rsid w:val="00505E63"/>
    <w:rsid w:val="00506796"/>
    <w:rsid w:val="00507FB5"/>
    <w:rsid w:val="00511C12"/>
    <w:rsid w:val="00511D02"/>
    <w:rsid w:val="00513C06"/>
    <w:rsid w:val="00515E20"/>
    <w:rsid w:val="00516ADB"/>
    <w:rsid w:val="005179AD"/>
    <w:rsid w:val="00517CA0"/>
    <w:rsid w:val="00517DE4"/>
    <w:rsid w:val="00520808"/>
    <w:rsid w:val="005213D1"/>
    <w:rsid w:val="00522ED8"/>
    <w:rsid w:val="00522F5C"/>
    <w:rsid w:val="0052305C"/>
    <w:rsid w:val="005273B6"/>
    <w:rsid w:val="005301F8"/>
    <w:rsid w:val="005308DF"/>
    <w:rsid w:val="005322BF"/>
    <w:rsid w:val="00534331"/>
    <w:rsid w:val="0053488F"/>
    <w:rsid w:val="00535E69"/>
    <w:rsid w:val="00536DD4"/>
    <w:rsid w:val="005402F7"/>
    <w:rsid w:val="0054124A"/>
    <w:rsid w:val="00543790"/>
    <w:rsid w:val="00543858"/>
    <w:rsid w:val="00543A5B"/>
    <w:rsid w:val="00543FE1"/>
    <w:rsid w:val="005459E0"/>
    <w:rsid w:val="005468A8"/>
    <w:rsid w:val="00547A0C"/>
    <w:rsid w:val="00550884"/>
    <w:rsid w:val="00552357"/>
    <w:rsid w:val="00552791"/>
    <w:rsid w:val="0055345A"/>
    <w:rsid w:val="00554731"/>
    <w:rsid w:val="00556B28"/>
    <w:rsid w:val="0056174F"/>
    <w:rsid w:val="005620C7"/>
    <w:rsid w:val="0056325E"/>
    <w:rsid w:val="00564A51"/>
    <w:rsid w:val="00565821"/>
    <w:rsid w:val="00566F19"/>
    <w:rsid w:val="00567549"/>
    <w:rsid w:val="00567697"/>
    <w:rsid w:val="00574EB0"/>
    <w:rsid w:val="00575F3A"/>
    <w:rsid w:val="0057633E"/>
    <w:rsid w:val="00581C54"/>
    <w:rsid w:val="0058379F"/>
    <w:rsid w:val="00583F0D"/>
    <w:rsid w:val="00584727"/>
    <w:rsid w:val="00590045"/>
    <w:rsid w:val="0059109B"/>
    <w:rsid w:val="005918AB"/>
    <w:rsid w:val="005934D0"/>
    <w:rsid w:val="00594555"/>
    <w:rsid w:val="00594A0D"/>
    <w:rsid w:val="00594E5E"/>
    <w:rsid w:val="005968A5"/>
    <w:rsid w:val="00596DCD"/>
    <w:rsid w:val="005A0E8C"/>
    <w:rsid w:val="005A125C"/>
    <w:rsid w:val="005A21D4"/>
    <w:rsid w:val="005A245C"/>
    <w:rsid w:val="005A29F3"/>
    <w:rsid w:val="005A4822"/>
    <w:rsid w:val="005A5863"/>
    <w:rsid w:val="005A5E1E"/>
    <w:rsid w:val="005A60C6"/>
    <w:rsid w:val="005B0348"/>
    <w:rsid w:val="005B17D4"/>
    <w:rsid w:val="005B225B"/>
    <w:rsid w:val="005B4463"/>
    <w:rsid w:val="005B6A1F"/>
    <w:rsid w:val="005B7B25"/>
    <w:rsid w:val="005B7C6C"/>
    <w:rsid w:val="005C21F0"/>
    <w:rsid w:val="005C328C"/>
    <w:rsid w:val="005C4034"/>
    <w:rsid w:val="005C5888"/>
    <w:rsid w:val="005C6351"/>
    <w:rsid w:val="005D090E"/>
    <w:rsid w:val="005D2EE0"/>
    <w:rsid w:val="005D392F"/>
    <w:rsid w:val="005D55D7"/>
    <w:rsid w:val="005D562F"/>
    <w:rsid w:val="005D62D3"/>
    <w:rsid w:val="005D76D2"/>
    <w:rsid w:val="005D78C1"/>
    <w:rsid w:val="005E2EA2"/>
    <w:rsid w:val="005E56D0"/>
    <w:rsid w:val="005E66B5"/>
    <w:rsid w:val="005E6A30"/>
    <w:rsid w:val="005F2A62"/>
    <w:rsid w:val="005F2DB6"/>
    <w:rsid w:val="005F31FD"/>
    <w:rsid w:val="005F4362"/>
    <w:rsid w:val="005F67FB"/>
    <w:rsid w:val="005F734E"/>
    <w:rsid w:val="006001DE"/>
    <w:rsid w:val="00604E53"/>
    <w:rsid w:val="00607E80"/>
    <w:rsid w:val="006101F5"/>
    <w:rsid w:val="0061070F"/>
    <w:rsid w:val="00613CE6"/>
    <w:rsid w:val="006140C5"/>
    <w:rsid w:val="00614748"/>
    <w:rsid w:val="00617F58"/>
    <w:rsid w:val="00620885"/>
    <w:rsid w:val="00622C5A"/>
    <w:rsid w:val="00625669"/>
    <w:rsid w:val="0063189C"/>
    <w:rsid w:val="006325CD"/>
    <w:rsid w:val="00634753"/>
    <w:rsid w:val="00635525"/>
    <w:rsid w:val="0064091A"/>
    <w:rsid w:val="006471AC"/>
    <w:rsid w:val="006473C9"/>
    <w:rsid w:val="00650E87"/>
    <w:rsid w:val="00652A18"/>
    <w:rsid w:val="006548F5"/>
    <w:rsid w:val="00654E78"/>
    <w:rsid w:val="00657BCC"/>
    <w:rsid w:val="006606F5"/>
    <w:rsid w:val="00661142"/>
    <w:rsid w:val="00661C20"/>
    <w:rsid w:val="00662AE0"/>
    <w:rsid w:val="00662AFF"/>
    <w:rsid w:val="00662CF8"/>
    <w:rsid w:val="0066326D"/>
    <w:rsid w:val="006639F8"/>
    <w:rsid w:val="00664897"/>
    <w:rsid w:val="00664B4C"/>
    <w:rsid w:val="00664F9B"/>
    <w:rsid w:val="00665D09"/>
    <w:rsid w:val="0066716C"/>
    <w:rsid w:val="00667CED"/>
    <w:rsid w:val="00671B93"/>
    <w:rsid w:val="00671D21"/>
    <w:rsid w:val="00671D3D"/>
    <w:rsid w:val="006739AD"/>
    <w:rsid w:val="0067446C"/>
    <w:rsid w:val="00675161"/>
    <w:rsid w:val="006777D3"/>
    <w:rsid w:val="006814B9"/>
    <w:rsid w:val="0068556B"/>
    <w:rsid w:val="00686C9A"/>
    <w:rsid w:val="00687E12"/>
    <w:rsid w:val="006935B5"/>
    <w:rsid w:val="00693681"/>
    <w:rsid w:val="006960DF"/>
    <w:rsid w:val="00696DCA"/>
    <w:rsid w:val="0069719C"/>
    <w:rsid w:val="0069776B"/>
    <w:rsid w:val="006A1EDD"/>
    <w:rsid w:val="006A23D7"/>
    <w:rsid w:val="006A3C43"/>
    <w:rsid w:val="006A3F2C"/>
    <w:rsid w:val="006A5C51"/>
    <w:rsid w:val="006A62AA"/>
    <w:rsid w:val="006A74A6"/>
    <w:rsid w:val="006A7606"/>
    <w:rsid w:val="006B0000"/>
    <w:rsid w:val="006B3297"/>
    <w:rsid w:val="006B6235"/>
    <w:rsid w:val="006B63BA"/>
    <w:rsid w:val="006B7FC3"/>
    <w:rsid w:val="006C082C"/>
    <w:rsid w:val="006C1692"/>
    <w:rsid w:val="006C54A7"/>
    <w:rsid w:val="006C5816"/>
    <w:rsid w:val="006C592E"/>
    <w:rsid w:val="006D13F6"/>
    <w:rsid w:val="006D1E5C"/>
    <w:rsid w:val="006D2629"/>
    <w:rsid w:val="006D3C69"/>
    <w:rsid w:val="006D6208"/>
    <w:rsid w:val="006D7E55"/>
    <w:rsid w:val="006E23F2"/>
    <w:rsid w:val="006E351A"/>
    <w:rsid w:val="006E3A87"/>
    <w:rsid w:val="006F06D3"/>
    <w:rsid w:val="006F2A53"/>
    <w:rsid w:val="006F2F1E"/>
    <w:rsid w:val="006F4FB0"/>
    <w:rsid w:val="006F7096"/>
    <w:rsid w:val="00700AFE"/>
    <w:rsid w:val="00703902"/>
    <w:rsid w:val="007049B1"/>
    <w:rsid w:val="007056C5"/>
    <w:rsid w:val="007072AF"/>
    <w:rsid w:val="00710295"/>
    <w:rsid w:val="007111FD"/>
    <w:rsid w:val="007115C5"/>
    <w:rsid w:val="00715F66"/>
    <w:rsid w:val="007165FA"/>
    <w:rsid w:val="0071783B"/>
    <w:rsid w:val="007219E0"/>
    <w:rsid w:val="00723587"/>
    <w:rsid w:val="00725464"/>
    <w:rsid w:val="00725631"/>
    <w:rsid w:val="00725C49"/>
    <w:rsid w:val="00740018"/>
    <w:rsid w:val="00741C11"/>
    <w:rsid w:val="0074244E"/>
    <w:rsid w:val="0074520C"/>
    <w:rsid w:val="00750A2A"/>
    <w:rsid w:val="00755A25"/>
    <w:rsid w:val="0075740A"/>
    <w:rsid w:val="00757AE6"/>
    <w:rsid w:val="0076196A"/>
    <w:rsid w:val="00762F88"/>
    <w:rsid w:val="007647E9"/>
    <w:rsid w:val="00764FA4"/>
    <w:rsid w:val="00765290"/>
    <w:rsid w:val="00765B8E"/>
    <w:rsid w:val="00766335"/>
    <w:rsid w:val="007670A8"/>
    <w:rsid w:val="00770571"/>
    <w:rsid w:val="007710C5"/>
    <w:rsid w:val="00773741"/>
    <w:rsid w:val="007801E8"/>
    <w:rsid w:val="00782FAD"/>
    <w:rsid w:val="00783164"/>
    <w:rsid w:val="007848BC"/>
    <w:rsid w:val="00790AA9"/>
    <w:rsid w:val="007913F5"/>
    <w:rsid w:val="00792876"/>
    <w:rsid w:val="00792C31"/>
    <w:rsid w:val="0079644C"/>
    <w:rsid w:val="0079700F"/>
    <w:rsid w:val="007A3442"/>
    <w:rsid w:val="007A71F3"/>
    <w:rsid w:val="007B0003"/>
    <w:rsid w:val="007B16D4"/>
    <w:rsid w:val="007B5A18"/>
    <w:rsid w:val="007B7412"/>
    <w:rsid w:val="007C1297"/>
    <w:rsid w:val="007C6422"/>
    <w:rsid w:val="007C6E7F"/>
    <w:rsid w:val="007D1352"/>
    <w:rsid w:val="007D1FF4"/>
    <w:rsid w:val="007D3C53"/>
    <w:rsid w:val="007D4054"/>
    <w:rsid w:val="007E0644"/>
    <w:rsid w:val="007E18C0"/>
    <w:rsid w:val="007E2BD3"/>
    <w:rsid w:val="007E3BF3"/>
    <w:rsid w:val="007E4FF8"/>
    <w:rsid w:val="007E720E"/>
    <w:rsid w:val="007F0444"/>
    <w:rsid w:val="007F0AB6"/>
    <w:rsid w:val="007F0D10"/>
    <w:rsid w:val="007F0E6A"/>
    <w:rsid w:val="007F1C3F"/>
    <w:rsid w:val="007F20CB"/>
    <w:rsid w:val="007F386C"/>
    <w:rsid w:val="007F39D8"/>
    <w:rsid w:val="007F4ED1"/>
    <w:rsid w:val="008004BD"/>
    <w:rsid w:val="00803677"/>
    <w:rsid w:val="00803698"/>
    <w:rsid w:val="008052F6"/>
    <w:rsid w:val="008074EA"/>
    <w:rsid w:val="008076D9"/>
    <w:rsid w:val="008110B9"/>
    <w:rsid w:val="00812BC7"/>
    <w:rsid w:val="008136C7"/>
    <w:rsid w:val="00815A00"/>
    <w:rsid w:val="0082113E"/>
    <w:rsid w:val="00825419"/>
    <w:rsid w:val="00827224"/>
    <w:rsid w:val="00827638"/>
    <w:rsid w:val="00827D04"/>
    <w:rsid w:val="00827E90"/>
    <w:rsid w:val="008314D1"/>
    <w:rsid w:val="008316E5"/>
    <w:rsid w:val="00835210"/>
    <w:rsid w:val="00837674"/>
    <w:rsid w:val="00843000"/>
    <w:rsid w:val="0084518C"/>
    <w:rsid w:val="008455E1"/>
    <w:rsid w:val="008463E3"/>
    <w:rsid w:val="008472D4"/>
    <w:rsid w:val="008474ED"/>
    <w:rsid w:val="0085147F"/>
    <w:rsid w:val="00851AD6"/>
    <w:rsid w:val="008520A6"/>
    <w:rsid w:val="00852722"/>
    <w:rsid w:val="008550C4"/>
    <w:rsid w:val="008555C4"/>
    <w:rsid w:val="0085569E"/>
    <w:rsid w:val="00857BC0"/>
    <w:rsid w:val="008611BC"/>
    <w:rsid w:val="008618C5"/>
    <w:rsid w:val="00862DF8"/>
    <w:rsid w:val="008714E7"/>
    <w:rsid w:val="00872C7A"/>
    <w:rsid w:val="00873523"/>
    <w:rsid w:val="00874D0D"/>
    <w:rsid w:val="00877EB9"/>
    <w:rsid w:val="008804BC"/>
    <w:rsid w:val="00881DAF"/>
    <w:rsid w:val="00882440"/>
    <w:rsid w:val="00882792"/>
    <w:rsid w:val="00882951"/>
    <w:rsid w:val="008863D0"/>
    <w:rsid w:val="00886456"/>
    <w:rsid w:val="008873C6"/>
    <w:rsid w:val="0089304B"/>
    <w:rsid w:val="00896F09"/>
    <w:rsid w:val="008A2364"/>
    <w:rsid w:val="008A274F"/>
    <w:rsid w:val="008A3BF9"/>
    <w:rsid w:val="008A5210"/>
    <w:rsid w:val="008A66B3"/>
    <w:rsid w:val="008B0181"/>
    <w:rsid w:val="008B3A90"/>
    <w:rsid w:val="008B4D15"/>
    <w:rsid w:val="008B4FDF"/>
    <w:rsid w:val="008B5DE1"/>
    <w:rsid w:val="008B610C"/>
    <w:rsid w:val="008B644A"/>
    <w:rsid w:val="008B6C20"/>
    <w:rsid w:val="008B7BAE"/>
    <w:rsid w:val="008C06E0"/>
    <w:rsid w:val="008C24D4"/>
    <w:rsid w:val="008C268E"/>
    <w:rsid w:val="008C2966"/>
    <w:rsid w:val="008C40F4"/>
    <w:rsid w:val="008C4C83"/>
    <w:rsid w:val="008C5E11"/>
    <w:rsid w:val="008C6380"/>
    <w:rsid w:val="008C6A88"/>
    <w:rsid w:val="008D3F21"/>
    <w:rsid w:val="008D5B36"/>
    <w:rsid w:val="008D5B49"/>
    <w:rsid w:val="008D7534"/>
    <w:rsid w:val="008E0351"/>
    <w:rsid w:val="008E19A9"/>
    <w:rsid w:val="008E4549"/>
    <w:rsid w:val="008E74A3"/>
    <w:rsid w:val="008F0274"/>
    <w:rsid w:val="008F034C"/>
    <w:rsid w:val="008F1600"/>
    <w:rsid w:val="008F4365"/>
    <w:rsid w:val="008F69E5"/>
    <w:rsid w:val="008F7CEB"/>
    <w:rsid w:val="00900746"/>
    <w:rsid w:val="00901D14"/>
    <w:rsid w:val="00905DA4"/>
    <w:rsid w:val="00906FFC"/>
    <w:rsid w:val="009114DE"/>
    <w:rsid w:val="00911EA4"/>
    <w:rsid w:val="0091456E"/>
    <w:rsid w:val="00917859"/>
    <w:rsid w:val="0092002E"/>
    <w:rsid w:val="009204C3"/>
    <w:rsid w:val="00921EBF"/>
    <w:rsid w:val="0092227C"/>
    <w:rsid w:val="00930884"/>
    <w:rsid w:val="009312CB"/>
    <w:rsid w:val="0093254A"/>
    <w:rsid w:val="009345BD"/>
    <w:rsid w:val="00947680"/>
    <w:rsid w:val="00950867"/>
    <w:rsid w:val="00950A86"/>
    <w:rsid w:val="009517E2"/>
    <w:rsid w:val="00951EC0"/>
    <w:rsid w:val="009532AC"/>
    <w:rsid w:val="00954304"/>
    <w:rsid w:val="009574CF"/>
    <w:rsid w:val="0095781C"/>
    <w:rsid w:val="00957ED4"/>
    <w:rsid w:val="0096032C"/>
    <w:rsid w:val="00960DE7"/>
    <w:rsid w:val="00962DF8"/>
    <w:rsid w:val="0096360A"/>
    <w:rsid w:val="00963F91"/>
    <w:rsid w:val="00964ADD"/>
    <w:rsid w:val="00964E30"/>
    <w:rsid w:val="00967362"/>
    <w:rsid w:val="00967DDE"/>
    <w:rsid w:val="0097052C"/>
    <w:rsid w:val="00971806"/>
    <w:rsid w:val="00972F18"/>
    <w:rsid w:val="00973CF0"/>
    <w:rsid w:val="00976F4A"/>
    <w:rsid w:val="00983267"/>
    <w:rsid w:val="00984BDE"/>
    <w:rsid w:val="00984F05"/>
    <w:rsid w:val="00985B83"/>
    <w:rsid w:val="0099469F"/>
    <w:rsid w:val="009948AC"/>
    <w:rsid w:val="009A1528"/>
    <w:rsid w:val="009A41CC"/>
    <w:rsid w:val="009A6CC4"/>
    <w:rsid w:val="009B1443"/>
    <w:rsid w:val="009B24C4"/>
    <w:rsid w:val="009B5549"/>
    <w:rsid w:val="009B64FD"/>
    <w:rsid w:val="009C0EC0"/>
    <w:rsid w:val="009C1396"/>
    <w:rsid w:val="009C13D6"/>
    <w:rsid w:val="009C43FC"/>
    <w:rsid w:val="009C5FC6"/>
    <w:rsid w:val="009D1A5D"/>
    <w:rsid w:val="009D20E6"/>
    <w:rsid w:val="009D2AA1"/>
    <w:rsid w:val="009D7D08"/>
    <w:rsid w:val="009E1BDD"/>
    <w:rsid w:val="009E3B04"/>
    <w:rsid w:val="009E47AF"/>
    <w:rsid w:val="009F3283"/>
    <w:rsid w:val="009F3B30"/>
    <w:rsid w:val="009F5F79"/>
    <w:rsid w:val="009F69F4"/>
    <w:rsid w:val="009F6AF7"/>
    <w:rsid w:val="00A01C43"/>
    <w:rsid w:val="00A01DDB"/>
    <w:rsid w:val="00A020A5"/>
    <w:rsid w:val="00A03621"/>
    <w:rsid w:val="00A0537D"/>
    <w:rsid w:val="00A05DCE"/>
    <w:rsid w:val="00A063FB"/>
    <w:rsid w:val="00A06C58"/>
    <w:rsid w:val="00A07006"/>
    <w:rsid w:val="00A11536"/>
    <w:rsid w:val="00A1578E"/>
    <w:rsid w:val="00A16BCF"/>
    <w:rsid w:val="00A171F3"/>
    <w:rsid w:val="00A20274"/>
    <w:rsid w:val="00A2087E"/>
    <w:rsid w:val="00A21E47"/>
    <w:rsid w:val="00A27792"/>
    <w:rsid w:val="00A27ADA"/>
    <w:rsid w:val="00A304BC"/>
    <w:rsid w:val="00A32F9F"/>
    <w:rsid w:val="00A34C64"/>
    <w:rsid w:val="00A356EF"/>
    <w:rsid w:val="00A35973"/>
    <w:rsid w:val="00A4095D"/>
    <w:rsid w:val="00A42806"/>
    <w:rsid w:val="00A428DC"/>
    <w:rsid w:val="00A44345"/>
    <w:rsid w:val="00A454D2"/>
    <w:rsid w:val="00A47A9C"/>
    <w:rsid w:val="00A50241"/>
    <w:rsid w:val="00A6058F"/>
    <w:rsid w:val="00A60EEB"/>
    <w:rsid w:val="00A637F9"/>
    <w:rsid w:val="00A7007D"/>
    <w:rsid w:val="00A71523"/>
    <w:rsid w:val="00A72085"/>
    <w:rsid w:val="00A72873"/>
    <w:rsid w:val="00A77852"/>
    <w:rsid w:val="00A80795"/>
    <w:rsid w:val="00A828AD"/>
    <w:rsid w:val="00A848CC"/>
    <w:rsid w:val="00A85517"/>
    <w:rsid w:val="00A863BC"/>
    <w:rsid w:val="00A90B67"/>
    <w:rsid w:val="00A92DE1"/>
    <w:rsid w:val="00A933AE"/>
    <w:rsid w:val="00A93F3B"/>
    <w:rsid w:val="00A94B7C"/>
    <w:rsid w:val="00A97214"/>
    <w:rsid w:val="00AA5C76"/>
    <w:rsid w:val="00AA6891"/>
    <w:rsid w:val="00AB212E"/>
    <w:rsid w:val="00AB2337"/>
    <w:rsid w:val="00AB2CAE"/>
    <w:rsid w:val="00AB5216"/>
    <w:rsid w:val="00AB6AAB"/>
    <w:rsid w:val="00AC02B2"/>
    <w:rsid w:val="00AC0B25"/>
    <w:rsid w:val="00AC4577"/>
    <w:rsid w:val="00AC7583"/>
    <w:rsid w:val="00AD109E"/>
    <w:rsid w:val="00AD1631"/>
    <w:rsid w:val="00AD1D54"/>
    <w:rsid w:val="00AD35A2"/>
    <w:rsid w:val="00AD4D90"/>
    <w:rsid w:val="00AD4ECF"/>
    <w:rsid w:val="00AD524A"/>
    <w:rsid w:val="00AD7343"/>
    <w:rsid w:val="00AD7713"/>
    <w:rsid w:val="00AE18EA"/>
    <w:rsid w:val="00AE2061"/>
    <w:rsid w:val="00AE46C2"/>
    <w:rsid w:val="00AF0F84"/>
    <w:rsid w:val="00AF220D"/>
    <w:rsid w:val="00AF344E"/>
    <w:rsid w:val="00AF692D"/>
    <w:rsid w:val="00B00126"/>
    <w:rsid w:val="00B06468"/>
    <w:rsid w:val="00B12970"/>
    <w:rsid w:val="00B12B5E"/>
    <w:rsid w:val="00B13128"/>
    <w:rsid w:val="00B135FB"/>
    <w:rsid w:val="00B15BDA"/>
    <w:rsid w:val="00B15E15"/>
    <w:rsid w:val="00B16186"/>
    <w:rsid w:val="00B21310"/>
    <w:rsid w:val="00B2131F"/>
    <w:rsid w:val="00B22EB3"/>
    <w:rsid w:val="00B24ADF"/>
    <w:rsid w:val="00B27BED"/>
    <w:rsid w:val="00B30A09"/>
    <w:rsid w:val="00B31EDB"/>
    <w:rsid w:val="00B36BBA"/>
    <w:rsid w:val="00B37A02"/>
    <w:rsid w:val="00B41B08"/>
    <w:rsid w:val="00B4378A"/>
    <w:rsid w:val="00B4412B"/>
    <w:rsid w:val="00B44B0C"/>
    <w:rsid w:val="00B45243"/>
    <w:rsid w:val="00B4747F"/>
    <w:rsid w:val="00B475D0"/>
    <w:rsid w:val="00B513E1"/>
    <w:rsid w:val="00B51D38"/>
    <w:rsid w:val="00B52CDD"/>
    <w:rsid w:val="00B52EA9"/>
    <w:rsid w:val="00B55273"/>
    <w:rsid w:val="00B55DAF"/>
    <w:rsid w:val="00B57708"/>
    <w:rsid w:val="00B61376"/>
    <w:rsid w:val="00B64AF8"/>
    <w:rsid w:val="00B73372"/>
    <w:rsid w:val="00B76B1B"/>
    <w:rsid w:val="00B8051C"/>
    <w:rsid w:val="00B82AA8"/>
    <w:rsid w:val="00B83581"/>
    <w:rsid w:val="00B92E3B"/>
    <w:rsid w:val="00B95313"/>
    <w:rsid w:val="00B953B9"/>
    <w:rsid w:val="00B95C79"/>
    <w:rsid w:val="00B95E9B"/>
    <w:rsid w:val="00B97E36"/>
    <w:rsid w:val="00BA0416"/>
    <w:rsid w:val="00BA125A"/>
    <w:rsid w:val="00BA3265"/>
    <w:rsid w:val="00BA5C20"/>
    <w:rsid w:val="00BA7267"/>
    <w:rsid w:val="00BB1AB7"/>
    <w:rsid w:val="00BB232C"/>
    <w:rsid w:val="00BB2B03"/>
    <w:rsid w:val="00BB509A"/>
    <w:rsid w:val="00BB5124"/>
    <w:rsid w:val="00BB52B3"/>
    <w:rsid w:val="00BB6B1C"/>
    <w:rsid w:val="00BB7D43"/>
    <w:rsid w:val="00BC0749"/>
    <w:rsid w:val="00BC1DD6"/>
    <w:rsid w:val="00BC2770"/>
    <w:rsid w:val="00BC3439"/>
    <w:rsid w:val="00BC3A43"/>
    <w:rsid w:val="00BC4713"/>
    <w:rsid w:val="00BC56A2"/>
    <w:rsid w:val="00BC58D2"/>
    <w:rsid w:val="00BC604A"/>
    <w:rsid w:val="00BC6A52"/>
    <w:rsid w:val="00BC6B35"/>
    <w:rsid w:val="00BD0BFA"/>
    <w:rsid w:val="00BD126E"/>
    <w:rsid w:val="00BD46A2"/>
    <w:rsid w:val="00BE0123"/>
    <w:rsid w:val="00BE0BAC"/>
    <w:rsid w:val="00BE1ACB"/>
    <w:rsid w:val="00BE1F2A"/>
    <w:rsid w:val="00BE2F27"/>
    <w:rsid w:val="00BE44A5"/>
    <w:rsid w:val="00BE5180"/>
    <w:rsid w:val="00BE7DC1"/>
    <w:rsid w:val="00BF04FF"/>
    <w:rsid w:val="00BF16CE"/>
    <w:rsid w:val="00BF24EF"/>
    <w:rsid w:val="00BF4917"/>
    <w:rsid w:val="00BF4DA1"/>
    <w:rsid w:val="00BF5C98"/>
    <w:rsid w:val="00BF6EDE"/>
    <w:rsid w:val="00BF796D"/>
    <w:rsid w:val="00BF7F75"/>
    <w:rsid w:val="00C01324"/>
    <w:rsid w:val="00C03750"/>
    <w:rsid w:val="00C04087"/>
    <w:rsid w:val="00C0429D"/>
    <w:rsid w:val="00C07249"/>
    <w:rsid w:val="00C07E51"/>
    <w:rsid w:val="00C103F6"/>
    <w:rsid w:val="00C10D34"/>
    <w:rsid w:val="00C1151B"/>
    <w:rsid w:val="00C13DD5"/>
    <w:rsid w:val="00C141D5"/>
    <w:rsid w:val="00C141F0"/>
    <w:rsid w:val="00C15FC2"/>
    <w:rsid w:val="00C16C3C"/>
    <w:rsid w:val="00C17AD8"/>
    <w:rsid w:val="00C17D69"/>
    <w:rsid w:val="00C200EF"/>
    <w:rsid w:val="00C20222"/>
    <w:rsid w:val="00C219CC"/>
    <w:rsid w:val="00C22A80"/>
    <w:rsid w:val="00C23627"/>
    <w:rsid w:val="00C25088"/>
    <w:rsid w:val="00C25E17"/>
    <w:rsid w:val="00C26815"/>
    <w:rsid w:val="00C27100"/>
    <w:rsid w:val="00C274A0"/>
    <w:rsid w:val="00C3414B"/>
    <w:rsid w:val="00C36F44"/>
    <w:rsid w:val="00C375B6"/>
    <w:rsid w:val="00C43E19"/>
    <w:rsid w:val="00C44873"/>
    <w:rsid w:val="00C45608"/>
    <w:rsid w:val="00C46C78"/>
    <w:rsid w:val="00C479F6"/>
    <w:rsid w:val="00C526D2"/>
    <w:rsid w:val="00C56D03"/>
    <w:rsid w:val="00C56E98"/>
    <w:rsid w:val="00C600FB"/>
    <w:rsid w:val="00C65001"/>
    <w:rsid w:val="00C65F9F"/>
    <w:rsid w:val="00C7088B"/>
    <w:rsid w:val="00C726BC"/>
    <w:rsid w:val="00C72A8E"/>
    <w:rsid w:val="00C748EB"/>
    <w:rsid w:val="00C75E63"/>
    <w:rsid w:val="00C77698"/>
    <w:rsid w:val="00C87AFB"/>
    <w:rsid w:val="00C908FA"/>
    <w:rsid w:val="00C909A8"/>
    <w:rsid w:val="00C92E7D"/>
    <w:rsid w:val="00C9304F"/>
    <w:rsid w:val="00C931E1"/>
    <w:rsid w:val="00C96329"/>
    <w:rsid w:val="00C96C39"/>
    <w:rsid w:val="00C97921"/>
    <w:rsid w:val="00C97FBB"/>
    <w:rsid w:val="00CA2E8B"/>
    <w:rsid w:val="00CA3520"/>
    <w:rsid w:val="00CA36E4"/>
    <w:rsid w:val="00CA5B9B"/>
    <w:rsid w:val="00CA6B4D"/>
    <w:rsid w:val="00CA7A55"/>
    <w:rsid w:val="00CB05F7"/>
    <w:rsid w:val="00CB0CB7"/>
    <w:rsid w:val="00CB44B6"/>
    <w:rsid w:val="00CB6965"/>
    <w:rsid w:val="00CB763C"/>
    <w:rsid w:val="00CB7CED"/>
    <w:rsid w:val="00CC3187"/>
    <w:rsid w:val="00CC3ADC"/>
    <w:rsid w:val="00CC610D"/>
    <w:rsid w:val="00CD0DEC"/>
    <w:rsid w:val="00CD1BA2"/>
    <w:rsid w:val="00CD2CAD"/>
    <w:rsid w:val="00CD438E"/>
    <w:rsid w:val="00CD6DD5"/>
    <w:rsid w:val="00CD6E23"/>
    <w:rsid w:val="00CE2488"/>
    <w:rsid w:val="00CE4A00"/>
    <w:rsid w:val="00CE5F8F"/>
    <w:rsid w:val="00CE6D7A"/>
    <w:rsid w:val="00CE78DF"/>
    <w:rsid w:val="00CE7D18"/>
    <w:rsid w:val="00CF009A"/>
    <w:rsid w:val="00CF0984"/>
    <w:rsid w:val="00CF1DBC"/>
    <w:rsid w:val="00CF2684"/>
    <w:rsid w:val="00CF405E"/>
    <w:rsid w:val="00CF7643"/>
    <w:rsid w:val="00D023A6"/>
    <w:rsid w:val="00D030EB"/>
    <w:rsid w:val="00D030FA"/>
    <w:rsid w:val="00D0440B"/>
    <w:rsid w:val="00D056F0"/>
    <w:rsid w:val="00D05DB6"/>
    <w:rsid w:val="00D06145"/>
    <w:rsid w:val="00D07FF3"/>
    <w:rsid w:val="00D1015D"/>
    <w:rsid w:val="00D11FF9"/>
    <w:rsid w:val="00D12444"/>
    <w:rsid w:val="00D12A1C"/>
    <w:rsid w:val="00D25A8D"/>
    <w:rsid w:val="00D275B2"/>
    <w:rsid w:val="00D30824"/>
    <w:rsid w:val="00D31197"/>
    <w:rsid w:val="00D323F1"/>
    <w:rsid w:val="00D33CB4"/>
    <w:rsid w:val="00D33FA9"/>
    <w:rsid w:val="00D342EA"/>
    <w:rsid w:val="00D34A4A"/>
    <w:rsid w:val="00D34F86"/>
    <w:rsid w:val="00D36306"/>
    <w:rsid w:val="00D36E6C"/>
    <w:rsid w:val="00D37B66"/>
    <w:rsid w:val="00D4092A"/>
    <w:rsid w:val="00D44487"/>
    <w:rsid w:val="00D451D6"/>
    <w:rsid w:val="00D455A3"/>
    <w:rsid w:val="00D4560C"/>
    <w:rsid w:val="00D50ACF"/>
    <w:rsid w:val="00D511CC"/>
    <w:rsid w:val="00D5580E"/>
    <w:rsid w:val="00D55E22"/>
    <w:rsid w:val="00D601B1"/>
    <w:rsid w:val="00D6056E"/>
    <w:rsid w:val="00D60B10"/>
    <w:rsid w:val="00D62625"/>
    <w:rsid w:val="00D67641"/>
    <w:rsid w:val="00D67F32"/>
    <w:rsid w:val="00D71F8E"/>
    <w:rsid w:val="00D77D19"/>
    <w:rsid w:val="00D811B9"/>
    <w:rsid w:val="00D8379E"/>
    <w:rsid w:val="00D8455D"/>
    <w:rsid w:val="00D86AEE"/>
    <w:rsid w:val="00D8756F"/>
    <w:rsid w:val="00D90C36"/>
    <w:rsid w:val="00D91617"/>
    <w:rsid w:val="00D9237B"/>
    <w:rsid w:val="00D92A2E"/>
    <w:rsid w:val="00D940AD"/>
    <w:rsid w:val="00D96AAA"/>
    <w:rsid w:val="00DA11D4"/>
    <w:rsid w:val="00DA1352"/>
    <w:rsid w:val="00DA6C34"/>
    <w:rsid w:val="00DB1592"/>
    <w:rsid w:val="00DB1CE5"/>
    <w:rsid w:val="00DB2B56"/>
    <w:rsid w:val="00DB2CCD"/>
    <w:rsid w:val="00DB4CC7"/>
    <w:rsid w:val="00DC21E6"/>
    <w:rsid w:val="00DC2776"/>
    <w:rsid w:val="00DC4119"/>
    <w:rsid w:val="00DC4A1A"/>
    <w:rsid w:val="00DC4EAA"/>
    <w:rsid w:val="00DC71C6"/>
    <w:rsid w:val="00DD419F"/>
    <w:rsid w:val="00DE1FC4"/>
    <w:rsid w:val="00DE223C"/>
    <w:rsid w:val="00DE3BE1"/>
    <w:rsid w:val="00DE5987"/>
    <w:rsid w:val="00DE68C6"/>
    <w:rsid w:val="00DE711E"/>
    <w:rsid w:val="00DF1680"/>
    <w:rsid w:val="00DF360C"/>
    <w:rsid w:val="00DF399B"/>
    <w:rsid w:val="00DF75FA"/>
    <w:rsid w:val="00E00260"/>
    <w:rsid w:val="00E05845"/>
    <w:rsid w:val="00E066BD"/>
    <w:rsid w:val="00E07D65"/>
    <w:rsid w:val="00E11147"/>
    <w:rsid w:val="00E1280B"/>
    <w:rsid w:val="00E14BC1"/>
    <w:rsid w:val="00E14ED8"/>
    <w:rsid w:val="00E160EC"/>
    <w:rsid w:val="00E204EA"/>
    <w:rsid w:val="00E23664"/>
    <w:rsid w:val="00E23DA8"/>
    <w:rsid w:val="00E24982"/>
    <w:rsid w:val="00E258B4"/>
    <w:rsid w:val="00E2704F"/>
    <w:rsid w:val="00E30992"/>
    <w:rsid w:val="00E314AC"/>
    <w:rsid w:val="00E31656"/>
    <w:rsid w:val="00E33A19"/>
    <w:rsid w:val="00E37813"/>
    <w:rsid w:val="00E40076"/>
    <w:rsid w:val="00E4231E"/>
    <w:rsid w:val="00E44084"/>
    <w:rsid w:val="00E452C4"/>
    <w:rsid w:val="00E45655"/>
    <w:rsid w:val="00E45829"/>
    <w:rsid w:val="00E4629F"/>
    <w:rsid w:val="00E54964"/>
    <w:rsid w:val="00E54A9D"/>
    <w:rsid w:val="00E6221F"/>
    <w:rsid w:val="00E62952"/>
    <w:rsid w:val="00E630C5"/>
    <w:rsid w:val="00E63474"/>
    <w:rsid w:val="00E63B9B"/>
    <w:rsid w:val="00E651E4"/>
    <w:rsid w:val="00E6548A"/>
    <w:rsid w:val="00E65506"/>
    <w:rsid w:val="00E6691B"/>
    <w:rsid w:val="00E6718F"/>
    <w:rsid w:val="00E734A9"/>
    <w:rsid w:val="00E73CFF"/>
    <w:rsid w:val="00E762BD"/>
    <w:rsid w:val="00E76422"/>
    <w:rsid w:val="00E7695C"/>
    <w:rsid w:val="00E776A1"/>
    <w:rsid w:val="00E8000D"/>
    <w:rsid w:val="00E8018B"/>
    <w:rsid w:val="00E815E7"/>
    <w:rsid w:val="00E8163D"/>
    <w:rsid w:val="00E82734"/>
    <w:rsid w:val="00E8380B"/>
    <w:rsid w:val="00E902A2"/>
    <w:rsid w:val="00E90368"/>
    <w:rsid w:val="00E94648"/>
    <w:rsid w:val="00E9557D"/>
    <w:rsid w:val="00E97783"/>
    <w:rsid w:val="00E97832"/>
    <w:rsid w:val="00EA0327"/>
    <w:rsid w:val="00EA0E08"/>
    <w:rsid w:val="00EA70BA"/>
    <w:rsid w:val="00EA7D1F"/>
    <w:rsid w:val="00EB0201"/>
    <w:rsid w:val="00EB02C3"/>
    <w:rsid w:val="00EB0860"/>
    <w:rsid w:val="00EB4E68"/>
    <w:rsid w:val="00EB6280"/>
    <w:rsid w:val="00EC104B"/>
    <w:rsid w:val="00EC1D7C"/>
    <w:rsid w:val="00EC23F9"/>
    <w:rsid w:val="00EC389B"/>
    <w:rsid w:val="00EC73E8"/>
    <w:rsid w:val="00ED18F7"/>
    <w:rsid w:val="00ED5658"/>
    <w:rsid w:val="00ED5EB6"/>
    <w:rsid w:val="00ED7529"/>
    <w:rsid w:val="00EE0295"/>
    <w:rsid w:val="00EE437C"/>
    <w:rsid w:val="00EE4B3D"/>
    <w:rsid w:val="00EE4C3E"/>
    <w:rsid w:val="00EE7694"/>
    <w:rsid w:val="00EF18FE"/>
    <w:rsid w:val="00EF2C5E"/>
    <w:rsid w:val="00EF3926"/>
    <w:rsid w:val="00F00BCD"/>
    <w:rsid w:val="00F010DD"/>
    <w:rsid w:val="00F02909"/>
    <w:rsid w:val="00F03B47"/>
    <w:rsid w:val="00F03E0B"/>
    <w:rsid w:val="00F05A09"/>
    <w:rsid w:val="00F06151"/>
    <w:rsid w:val="00F074CE"/>
    <w:rsid w:val="00F07F52"/>
    <w:rsid w:val="00F136FD"/>
    <w:rsid w:val="00F17764"/>
    <w:rsid w:val="00F22720"/>
    <w:rsid w:val="00F23001"/>
    <w:rsid w:val="00F233B8"/>
    <w:rsid w:val="00F24C9B"/>
    <w:rsid w:val="00F27474"/>
    <w:rsid w:val="00F275E2"/>
    <w:rsid w:val="00F27710"/>
    <w:rsid w:val="00F33796"/>
    <w:rsid w:val="00F35552"/>
    <w:rsid w:val="00F36B51"/>
    <w:rsid w:val="00F37A22"/>
    <w:rsid w:val="00F402FA"/>
    <w:rsid w:val="00F41E67"/>
    <w:rsid w:val="00F42A0A"/>
    <w:rsid w:val="00F42CE1"/>
    <w:rsid w:val="00F43044"/>
    <w:rsid w:val="00F47322"/>
    <w:rsid w:val="00F47EB5"/>
    <w:rsid w:val="00F51EFA"/>
    <w:rsid w:val="00F52D12"/>
    <w:rsid w:val="00F5372F"/>
    <w:rsid w:val="00F55E0A"/>
    <w:rsid w:val="00F5702E"/>
    <w:rsid w:val="00F6055C"/>
    <w:rsid w:val="00F61A25"/>
    <w:rsid w:val="00F620EB"/>
    <w:rsid w:val="00F635BC"/>
    <w:rsid w:val="00F6409C"/>
    <w:rsid w:val="00F66AFD"/>
    <w:rsid w:val="00F67FBB"/>
    <w:rsid w:val="00F71937"/>
    <w:rsid w:val="00F726BC"/>
    <w:rsid w:val="00F84567"/>
    <w:rsid w:val="00F86FC3"/>
    <w:rsid w:val="00F91F7D"/>
    <w:rsid w:val="00F961EC"/>
    <w:rsid w:val="00F9637E"/>
    <w:rsid w:val="00FA121A"/>
    <w:rsid w:val="00FA2559"/>
    <w:rsid w:val="00FA30EF"/>
    <w:rsid w:val="00FA3CA9"/>
    <w:rsid w:val="00FA5C49"/>
    <w:rsid w:val="00FA6270"/>
    <w:rsid w:val="00FA7640"/>
    <w:rsid w:val="00FA792A"/>
    <w:rsid w:val="00FA7F6C"/>
    <w:rsid w:val="00FB2AF6"/>
    <w:rsid w:val="00FB32D6"/>
    <w:rsid w:val="00FC01D1"/>
    <w:rsid w:val="00FC060D"/>
    <w:rsid w:val="00FC3A83"/>
    <w:rsid w:val="00FC3C1C"/>
    <w:rsid w:val="00FC4361"/>
    <w:rsid w:val="00FC5A5E"/>
    <w:rsid w:val="00FD0594"/>
    <w:rsid w:val="00FD0801"/>
    <w:rsid w:val="00FD1030"/>
    <w:rsid w:val="00FD168E"/>
    <w:rsid w:val="00FD2093"/>
    <w:rsid w:val="00FD22E4"/>
    <w:rsid w:val="00FD3C1F"/>
    <w:rsid w:val="00FD4818"/>
    <w:rsid w:val="00FD6292"/>
    <w:rsid w:val="00FE010A"/>
    <w:rsid w:val="00FE3CC3"/>
    <w:rsid w:val="00FE4095"/>
    <w:rsid w:val="00FE635F"/>
    <w:rsid w:val="00FE7454"/>
    <w:rsid w:val="00FE7F23"/>
    <w:rsid w:val="00FF257A"/>
    <w:rsid w:val="00FF2C92"/>
    <w:rsid w:val="00FF5030"/>
    <w:rsid w:val="00FF5A5D"/>
    <w:rsid w:val="00FF71D6"/>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EE369"/>
  <w15:docId w15:val="{376D0919-3D4F-466B-8A92-A72FFF8E7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0" w:defSemiHidden="0" w:defUnhideWhenUsed="0" w:defQFormat="0" w:count="376">
    <w:lsdException w:name="Normal" w:qFormat="1"/>
    <w:lsdException w:name="heading 1" w:uiPriority="10" w:qFormat="1"/>
    <w:lsdException w:name="heading 2" w:semiHidden="1" w:uiPriority="5" w:unhideWhenUsed="1" w:qFormat="1"/>
    <w:lsdException w:name="heading 3" w:semiHidden="1" w:uiPriority="5" w:unhideWhenUsed="1" w:qFormat="1"/>
    <w:lsdException w:name="heading 4" w:semiHidden="1" w:uiPriority="5" w:unhideWhenUsed="1" w:qFormat="1"/>
    <w:lsdException w:name="heading 5" w:semiHidden="1" w:uiPriority="10" w:unhideWhenUsed="1" w:qFormat="1"/>
    <w:lsdException w:name="heading 6" w:semiHidden="1" w:uiPriority="1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iPriority="34" w:unhideWhenUsed="1"/>
    <w:lsdException w:name="index 2" w:semiHidden="1" w:uiPriority="34" w:unhideWhenUsed="1"/>
    <w:lsdException w:name="index 3" w:semiHidden="1" w:uiPriority="34" w:unhideWhenUsed="1"/>
    <w:lsdException w:name="index 4" w:semiHidden="1" w:uiPriority="34" w:unhideWhenUsed="1"/>
    <w:lsdException w:name="index 5" w:semiHidden="1" w:uiPriority="34" w:unhideWhenUsed="1"/>
    <w:lsdException w:name="index 6" w:semiHidden="1" w:uiPriority="34" w:unhideWhenUsed="1"/>
    <w:lsdException w:name="index 7" w:semiHidden="1" w:uiPriority="34" w:unhideWhenUsed="1"/>
    <w:lsdException w:name="index 8" w:semiHidden="1" w:uiPriority="34" w:unhideWhenUsed="1"/>
    <w:lsdException w:name="index 9" w:semiHidden="1" w:uiPriority="34"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iPriority="8"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58" w:unhideWhenUsed="1"/>
    <w:lsdException w:name="index heading" w:semiHidden="1" w:uiPriority="34" w:unhideWhenUsed="1"/>
    <w:lsdException w:name="caption" w:semiHidden="1" w:uiPriority="8" w:unhideWhenUsed="1" w:qFormat="1"/>
    <w:lsdException w:name="table of figures" w:semiHidden="1" w:uiPriority="34"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34" w:unhideWhenUsed="1" w:qFormat="1"/>
    <w:lsdException w:name="endnote text" w:semiHidden="1" w:uiPriority="34" w:unhideWhenUsed="1"/>
    <w:lsdException w:name="table of authorities" w:semiHidden="1" w:uiPriority="34" w:unhideWhenUsed="1"/>
    <w:lsdException w:name="macro" w:semiHidden="1" w:uiPriority="34" w:unhideWhenUsed="1"/>
    <w:lsdException w:name="toa heading" w:semiHidden="1" w:uiPriority="34" w:unhideWhenUsed="1"/>
    <w:lsdException w:name="List" w:semiHidden="1" w:uiPriority="99" w:unhideWhenUsed="1"/>
    <w:lsdException w:name="List Bullet" w:semiHidden="1" w:uiPriority="4" w:unhideWhenUsed="1" w:qFormat="1"/>
    <w:lsdException w:name="List Number" w:semiHidden="1" w:uiPriority="4" w:unhideWhenUsed="1" w:qFormat="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2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21" w:qFormat="1"/>
    <w:lsdException w:name="Salutation" w:semiHidden="1" w:uiPriority="99" w:unhideWhenUsed="1"/>
    <w:lsdException w:name="Date" w:semiHidden="1" w:uiPriority="2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1" w:unhideWhenUsed="1" w:qFormat="1"/>
    <w:lsdException w:name="Body Text 3" w:semiHidden="1" w:uiPriority="1" w:unhideWhenUsed="1"/>
    <w:lsdException w:name="Body Text Indent 2" w:semiHidden="1" w:uiPriority="1" w:unhideWhenUsed="1" w:qFormat="1"/>
    <w:lsdException w:name="Body Text Indent 3" w:semiHidden="1" w:uiPriority="2" w:unhideWhenUsed="1"/>
    <w:lsdException w:name="Block Text" w:semiHidden="1" w:uiPriority="99" w:unhideWhenUsed="1"/>
    <w:lsdException w:name="Hyperlink" w:semiHidden="1" w:uiPriority="99" w:unhideWhenUsed="1"/>
    <w:lsdException w:name="FollowedHyperlink" w:semiHidden="1" w:uiPriority="59" w:unhideWhenUsed="1"/>
    <w:lsdException w:name="Strong" w:uiPriority="5" w:qFormat="1"/>
    <w:lsdException w:name="Emphasis" w:uiPriority="5" w:qFormat="1"/>
    <w:lsdException w:name="Document Map" w:semiHidden="1" w:uiPriority="34"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34"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34"/>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4" w:qFormat="1"/>
    <w:lsdException w:name="Subtle Reference" w:uiPriority="31" w:qFormat="1"/>
    <w:lsdException w:name="Intense Reference" w:uiPriority="34" w:qFormat="1"/>
    <w:lsdException w:name="Book Title" w:uiPriority="29" w:qFormat="1"/>
    <w:lsdException w:name="Bibliography" w:semiHidden="1" w:uiPriority="34"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55C4"/>
    <w:pPr>
      <w:widowControl/>
      <w:spacing w:before="120" w:after="120" w:line="360" w:lineRule="auto"/>
    </w:pPr>
    <w:rPr>
      <w:rFonts w:ascii="Metropolis Light" w:hAnsi="Metropolis Light"/>
      <w:sz w:val="20"/>
      <w:lang w:val="en-NZ"/>
    </w:rPr>
  </w:style>
  <w:style w:type="paragraph" w:styleId="Heading1">
    <w:name w:val="heading 1"/>
    <w:link w:val="Heading1Char"/>
    <w:uiPriority w:val="10"/>
    <w:qFormat/>
    <w:rsid w:val="008555C4"/>
    <w:pPr>
      <w:keepNext/>
      <w:widowControl/>
      <w:numPr>
        <w:numId w:val="5"/>
      </w:numPr>
      <w:spacing w:before="600" w:after="240" w:line="240" w:lineRule="auto"/>
      <w:outlineLvl w:val="0"/>
    </w:pPr>
    <w:rPr>
      <w:rFonts w:ascii="Metropolis Black" w:eastAsia="Metropolis Black" w:hAnsi="Metropolis Black" w:cs="Times New Roman"/>
      <w:b/>
      <w:color w:val="C96D61"/>
      <w:sz w:val="66"/>
      <w:szCs w:val="66"/>
      <w:lang w:val="en-NZ"/>
    </w:rPr>
  </w:style>
  <w:style w:type="paragraph" w:styleId="Heading2">
    <w:name w:val="heading 2"/>
    <w:next w:val="BodyText"/>
    <w:link w:val="Heading2Char"/>
    <w:uiPriority w:val="5"/>
    <w:qFormat/>
    <w:rsid w:val="008555C4"/>
    <w:pPr>
      <w:keepNext/>
      <w:widowControl/>
      <w:spacing w:before="360" w:line="360" w:lineRule="auto"/>
      <w:outlineLvl w:val="1"/>
    </w:pPr>
    <w:rPr>
      <w:rFonts w:ascii="Metropolis" w:eastAsia="Times New Roman" w:hAnsi="Metropolis" w:cs="Times New Roman"/>
      <w:b/>
      <w:caps/>
      <w:color w:val="C96D61"/>
      <w:szCs w:val="24"/>
      <w:lang w:val="en-NZ" w:eastAsia="en-AU"/>
    </w:rPr>
  </w:style>
  <w:style w:type="paragraph" w:styleId="Heading3">
    <w:name w:val="heading 3"/>
    <w:next w:val="BodyText"/>
    <w:link w:val="Heading3Char"/>
    <w:uiPriority w:val="5"/>
    <w:qFormat/>
    <w:rsid w:val="008555C4"/>
    <w:pPr>
      <w:keepNext/>
      <w:widowControl/>
      <w:spacing w:before="200" w:line="240" w:lineRule="auto"/>
      <w:outlineLvl w:val="2"/>
    </w:pPr>
    <w:rPr>
      <w:rFonts w:ascii="Metropolis" w:eastAsia="Times New Roman" w:hAnsi="Metropolis" w:cs="Times New Roman"/>
      <w:b/>
      <w:color w:val="C96D61"/>
      <w:szCs w:val="24"/>
      <w:lang w:val="en-NZ" w:eastAsia="en-AU"/>
    </w:rPr>
  </w:style>
  <w:style w:type="paragraph" w:styleId="Heading4">
    <w:name w:val="heading 4"/>
    <w:next w:val="BodyText"/>
    <w:link w:val="Heading4Char"/>
    <w:uiPriority w:val="5"/>
    <w:qFormat/>
    <w:rsid w:val="008555C4"/>
    <w:pPr>
      <w:keepNext/>
      <w:widowControl/>
      <w:spacing w:before="200" w:line="360" w:lineRule="auto"/>
      <w:outlineLvl w:val="3"/>
    </w:pPr>
    <w:rPr>
      <w:rFonts w:ascii="Metropolis" w:eastAsia="Times New Roman" w:hAnsi="Metropolis" w:cs="Times New Roman"/>
      <w:b/>
      <w:i/>
      <w:color w:val="C96D61"/>
      <w:sz w:val="20"/>
      <w:szCs w:val="20"/>
      <w:lang w:val="en-NZ" w:eastAsia="en-AU"/>
    </w:rPr>
  </w:style>
  <w:style w:type="paragraph" w:styleId="Heading5">
    <w:name w:val="heading 5"/>
    <w:basedOn w:val="Normal"/>
    <w:next w:val="Normal"/>
    <w:link w:val="Heading5Char"/>
    <w:uiPriority w:val="10"/>
    <w:qFormat/>
    <w:rsid w:val="008555C4"/>
    <w:pPr>
      <w:keepNext/>
      <w:spacing w:before="200" w:after="200"/>
      <w:outlineLvl w:val="4"/>
    </w:pPr>
    <w:rPr>
      <w:rFonts w:ascii="Metropolis" w:hAnsi="Metropolis"/>
      <w:color w:val="C96D61"/>
    </w:rPr>
  </w:style>
  <w:style w:type="paragraph" w:styleId="Heading6">
    <w:name w:val="heading 6"/>
    <w:link w:val="Heading6Char"/>
    <w:uiPriority w:val="10"/>
    <w:qFormat/>
    <w:rsid w:val="008555C4"/>
    <w:pPr>
      <w:keepNext/>
      <w:widowControl/>
      <w:shd w:val="clear" w:color="auto" w:fill="404040" w:themeFill="text1" w:themeFillTint="BF"/>
      <w:spacing w:before="200" w:line="360" w:lineRule="auto"/>
      <w:jc w:val="both"/>
      <w:outlineLvl w:val="5"/>
    </w:pPr>
    <w:rPr>
      <w:rFonts w:ascii="Metropolis" w:eastAsia="Times New Roman" w:hAnsi="Metropolis" w:cs="Times New Roman"/>
      <w:caps/>
      <w:color w:val="FFFFFF" w:themeColor="background1"/>
      <w:spacing w:val="24"/>
      <w:sz w:val="20"/>
      <w:lang w:val="en-NZ" w:eastAsia="en-AU"/>
    </w:rPr>
  </w:style>
  <w:style w:type="paragraph" w:styleId="Heading7">
    <w:name w:val="heading 7"/>
    <w:basedOn w:val="Normal"/>
    <w:next w:val="Normal"/>
    <w:link w:val="Heading7Char"/>
    <w:uiPriority w:val="10"/>
    <w:semiHidden/>
    <w:rsid w:val="008555C4"/>
    <w:pPr>
      <w:spacing w:before="240" w:after="60"/>
      <w:outlineLvl w:val="6"/>
    </w:pPr>
  </w:style>
  <w:style w:type="paragraph" w:styleId="Heading8">
    <w:name w:val="heading 8"/>
    <w:basedOn w:val="Normal"/>
    <w:next w:val="Normal"/>
    <w:link w:val="Heading8Char"/>
    <w:uiPriority w:val="10"/>
    <w:semiHidden/>
    <w:rsid w:val="008555C4"/>
    <w:pPr>
      <w:spacing w:before="240" w:after="60"/>
      <w:outlineLvl w:val="7"/>
    </w:pPr>
    <w:rPr>
      <w:i/>
      <w:iCs/>
    </w:rPr>
  </w:style>
  <w:style w:type="paragraph" w:styleId="Heading9">
    <w:name w:val="heading 9"/>
    <w:basedOn w:val="Normal"/>
    <w:next w:val="Normal"/>
    <w:link w:val="Heading9Char"/>
    <w:uiPriority w:val="10"/>
    <w:semiHidden/>
    <w:rsid w:val="008555C4"/>
    <w:pPr>
      <w:spacing w:before="240" w:after="60"/>
      <w:outlineLvl w:val="8"/>
    </w:pPr>
    <w:rPr>
      <w:rFonts w:ascii="Arial" w:hAnsi="Arial" w:cs="Arial"/>
    </w:rPr>
  </w:style>
  <w:style w:type="character" w:default="1" w:styleId="DefaultParagraphFont">
    <w:name w:val="Default Paragraph Font"/>
    <w:uiPriority w:val="1"/>
    <w:semiHidden/>
    <w:unhideWhenUsed/>
    <w:rsid w:val="008555C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555C4"/>
  </w:style>
  <w:style w:type="character" w:customStyle="1" w:styleId="Heading1Char">
    <w:name w:val="Heading 1 Char"/>
    <w:basedOn w:val="DefaultParagraphFont"/>
    <w:link w:val="Heading1"/>
    <w:uiPriority w:val="10"/>
    <w:rsid w:val="008555C4"/>
    <w:rPr>
      <w:rFonts w:ascii="Metropolis Black" w:eastAsia="Metropolis Black" w:hAnsi="Metropolis Black" w:cs="Times New Roman"/>
      <w:b/>
      <w:color w:val="C96D61"/>
      <w:sz w:val="66"/>
      <w:szCs w:val="66"/>
      <w:lang w:val="en-NZ"/>
    </w:rPr>
  </w:style>
  <w:style w:type="character" w:customStyle="1" w:styleId="Heading2Char">
    <w:name w:val="Heading 2 Char"/>
    <w:basedOn w:val="DefaultParagraphFont"/>
    <w:link w:val="Heading2"/>
    <w:uiPriority w:val="5"/>
    <w:rsid w:val="008555C4"/>
    <w:rPr>
      <w:rFonts w:ascii="Metropolis" w:eastAsia="Times New Roman" w:hAnsi="Metropolis" w:cs="Times New Roman"/>
      <w:b/>
      <w:caps/>
      <w:color w:val="C96D61"/>
      <w:szCs w:val="24"/>
      <w:lang w:val="en-NZ" w:eastAsia="en-AU"/>
    </w:rPr>
  </w:style>
  <w:style w:type="character" w:customStyle="1" w:styleId="Heading3Char">
    <w:name w:val="Heading 3 Char"/>
    <w:basedOn w:val="DefaultParagraphFont"/>
    <w:link w:val="Heading3"/>
    <w:uiPriority w:val="5"/>
    <w:rsid w:val="008555C4"/>
    <w:rPr>
      <w:rFonts w:ascii="Metropolis" w:eastAsia="Times New Roman" w:hAnsi="Metropolis" w:cs="Times New Roman"/>
      <w:b/>
      <w:color w:val="C96D61"/>
      <w:szCs w:val="24"/>
      <w:lang w:val="en-NZ" w:eastAsia="en-AU"/>
    </w:rPr>
  </w:style>
  <w:style w:type="character" w:customStyle="1" w:styleId="Heading4Char">
    <w:name w:val="Heading 4 Char"/>
    <w:basedOn w:val="DefaultParagraphFont"/>
    <w:link w:val="Heading4"/>
    <w:uiPriority w:val="5"/>
    <w:rsid w:val="008555C4"/>
    <w:rPr>
      <w:rFonts w:ascii="Metropolis" w:eastAsia="Times New Roman" w:hAnsi="Metropolis" w:cs="Times New Roman"/>
      <w:b/>
      <w:i/>
      <w:color w:val="C96D61"/>
      <w:sz w:val="20"/>
      <w:szCs w:val="20"/>
      <w:lang w:val="en-NZ" w:eastAsia="en-AU"/>
    </w:rPr>
  </w:style>
  <w:style w:type="character" w:customStyle="1" w:styleId="Heading5Char">
    <w:name w:val="Heading 5 Char"/>
    <w:basedOn w:val="DefaultParagraphFont"/>
    <w:link w:val="Heading5"/>
    <w:uiPriority w:val="10"/>
    <w:rsid w:val="008555C4"/>
    <w:rPr>
      <w:rFonts w:ascii="Metropolis" w:hAnsi="Metropolis"/>
      <w:color w:val="C96D61"/>
      <w:sz w:val="20"/>
      <w:lang w:val="en-NZ"/>
    </w:rPr>
  </w:style>
  <w:style w:type="character" w:customStyle="1" w:styleId="Heading6Char">
    <w:name w:val="Heading 6 Char"/>
    <w:basedOn w:val="DefaultParagraphFont"/>
    <w:link w:val="Heading6"/>
    <w:uiPriority w:val="10"/>
    <w:rsid w:val="008555C4"/>
    <w:rPr>
      <w:rFonts w:ascii="Metropolis" w:eastAsia="Times New Roman" w:hAnsi="Metropolis" w:cs="Times New Roman"/>
      <w:caps/>
      <w:color w:val="FFFFFF" w:themeColor="background1"/>
      <w:spacing w:val="24"/>
      <w:sz w:val="20"/>
      <w:shd w:val="clear" w:color="auto" w:fill="404040" w:themeFill="text1" w:themeFillTint="BF"/>
      <w:lang w:val="en-NZ" w:eastAsia="en-AU"/>
    </w:rPr>
  </w:style>
  <w:style w:type="character" w:customStyle="1" w:styleId="Heading7Char">
    <w:name w:val="Heading 7 Char"/>
    <w:basedOn w:val="DefaultParagraphFont"/>
    <w:link w:val="Heading7"/>
    <w:uiPriority w:val="10"/>
    <w:semiHidden/>
    <w:rsid w:val="008555C4"/>
    <w:rPr>
      <w:rFonts w:ascii="Metropolis Light" w:hAnsi="Metropolis Light"/>
      <w:sz w:val="20"/>
      <w:lang w:val="en-NZ"/>
    </w:rPr>
  </w:style>
  <w:style w:type="character" w:customStyle="1" w:styleId="Heading8Char">
    <w:name w:val="Heading 8 Char"/>
    <w:basedOn w:val="DefaultParagraphFont"/>
    <w:link w:val="Heading8"/>
    <w:uiPriority w:val="10"/>
    <w:semiHidden/>
    <w:rsid w:val="008555C4"/>
    <w:rPr>
      <w:rFonts w:ascii="Metropolis Light" w:hAnsi="Metropolis Light"/>
      <w:i/>
      <w:iCs/>
      <w:sz w:val="20"/>
      <w:lang w:val="en-NZ"/>
    </w:rPr>
  </w:style>
  <w:style w:type="character" w:customStyle="1" w:styleId="Heading9Char">
    <w:name w:val="Heading 9 Char"/>
    <w:basedOn w:val="DefaultParagraphFont"/>
    <w:link w:val="Heading9"/>
    <w:uiPriority w:val="10"/>
    <w:semiHidden/>
    <w:rsid w:val="008555C4"/>
    <w:rPr>
      <w:rFonts w:ascii="Arial" w:hAnsi="Arial" w:cs="Arial"/>
      <w:sz w:val="20"/>
      <w:lang w:val="en-NZ"/>
    </w:rPr>
  </w:style>
  <w:style w:type="paragraph" w:styleId="BalloonText">
    <w:name w:val="Balloon Text"/>
    <w:basedOn w:val="Normal"/>
    <w:link w:val="BalloonTextChar1"/>
    <w:uiPriority w:val="99"/>
    <w:semiHidden/>
    <w:rsid w:val="008555C4"/>
    <w:rPr>
      <w:rFonts w:ascii="Tahoma" w:hAnsi="Tahoma" w:cs="Tahoma"/>
      <w:sz w:val="16"/>
      <w:szCs w:val="16"/>
    </w:rPr>
  </w:style>
  <w:style w:type="character" w:customStyle="1" w:styleId="BalloonTextChar1">
    <w:name w:val="Balloon Text Char1"/>
    <w:basedOn w:val="DefaultParagraphFont"/>
    <w:link w:val="BalloonText"/>
    <w:uiPriority w:val="99"/>
    <w:semiHidden/>
    <w:rsid w:val="008555C4"/>
    <w:rPr>
      <w:rFonts w:ascii="Tahoma" w:hAnsi="Tahoma" w:cs="Tahoma"/>
      <w:sz w:val="16"/>
      <w:szCs w:val="16"/>
      <w:lang w:val="en-NZ"/>
    </w:rPr>
  </w:style>
  <w:style w:type="paragraph" w:styleId="Quote">
    <w:name w:val="Quote"/>
    <w:link w:val="QuoteChar"/>
    <w:uiPriority w:val="6"/>
    <w:qFormat/>
    <w:rsid w:val="008555C4"/>
    <w:pPr>
      <w:widowControl/>
      <w:numPr>
        <w:numId w:val="7"/>
      </w:numPr>
      <w:spacing w:before="80" w:after="80" w:line="360" w:lineRule="auto"/>
      <w:ind w:firstLine="0"/>
      <w:jc w:val="both"/>
    </w:pPr>
    <w:rPr>
      <w:rFonts w:ascii="Metropolis Light" w:eastAsia="Times New Roman" w:hAnsi="Metropolis Light" w:cs="Times New Roman"/>
      <w:sz w:val="18"/>
      <w:szCs w:val="24"/>
      <w:lang w:val="en-NZ" w:eastAsia="en-AU"/>
    </w:rPr>
  </w:style>
  <w:style w:type="character" w:customStyle="1" w:styleId="QuoteChar">
    <w:name w:val="Quote Char"/>
    <w:basedOn w:val="DefaultParagraphFont"/>
    <w:link w:val="Quote"/>
    <w:uiPriority w:val="6"/>
    <w:rsid w:val="008555C4"/>
    <w:rPr>
      <w:rFonts w:ascii="Metropolis Light" w:eastAsia="Times New Roman" w:hAnsi="Metropolis Light" w:cs="Times New Roman"/>
      <w:sz w:val="18"/>
      <w:szCs w:val="24"/>
      <w:lang w:val="en-NZ" w:eastAsia="en-AU"/>
    </w:rPr>
  </w:style>
  <w:style w:type="paragraph" w:styleId="List3">
    <w:name w:val="List 3"/>
    <w:basedOn w:val="Normal"/>
    <w:uiPriority w:val="99"/>
    <w:semiHidden/>
    <w:rsid w:val="008555C4"/>
    <w:pPr>
      <w:spacing w:before="80" w:after="80"/>
      <w:ind w:left="849" w:hanging="283"/>
    </w:pPr>
  </w:style>
  <w:style w:type="character" w:styleId="CommentReference">
    <w:name w:val="annotation reference"/>
    <w:basedOn w:val="DefaultParagraphFont"/>
    <w:uiPriority w:val="99"/>
    <w:rsid w:val="008555C4"/>
    <w:rPr>
      <w:sz w:val="16"/>
      <w:szCs w:val="16"/>
    </w:rPr>
  </w:style>
  <w:style w:type="paragraph" w:styleId="CommentText">
    <w:name w:val="annotation text"/>
    <w:basedOn w:val="Normal"/>
    <w:link w:val="CommentTextChar"/>
    <w:uiPriority w:val="99"/>
    <w:rsid w:val="008555C4"/>
    <w:rPr>
      <w:szCs w:val="20"/>
    </w:rPr>
  </w:style>
  <w:style w:type="character" w:customStyle="1" w:styleId="CommentTextChar">
    <w:name w:val="Comment Text Char"/>
    <w:basedOn w:val="DefaultParagraphFont"/>
    <w:link w:val="CommentText"/>
    <w:uiPriority w:val="99"/>
    <w:rsid w:val="008555C4"/>
    <w:rPr>
      <w:rFonts w:ascii="Metropolis Light" w:hAnsi="Metropolis Light"/>
      <w:sz w:val="20"/>
      <w:szCs w:val="20"/>
      <w:lang w:val="en-NZ"/>
    </w:rPr>
  </w:style>
  <w:style w:type="paragraph" w:styleId="Footer">
    <w:name w:val="footer"/>
    <w:basedOn w:val="Normal"/>
    <w:link w:val="FooterChar"/>
    <w:uiPriority w:val="58"/>
    <w:unhideWhenUsed/>
    <w:rsid w:val="008555C4"/>
    <w:pPr>
      <w:tabs>
        <w:tab w:val="center" w:pos="4536"/>
        <w:tab w:val="right" w:pos="9072"/>
      </w:tabs>
    </w:pPr>
  </w:style>
  <w:style w:type="character" w:customStyle="1" w:styleId="FooterChar">
    <w:name w:val="Footer Char"/>
    <w:basedOn w:val="DefaultParagraphFont"/>
    <w:link w:val="Footer"/>
    <w:uiPriority w:val="58"/>
    <w:rsid w:val="008555C4"/>
    <w:rPr>
      <w:rFonts w:ascii="Metropolis Light" w:hAnsi="Metropolis Light"/>
      <w:sz w:val="20"/>
      <w:lang w:val="en-NZ"/>
    </w:rPr>
  </w:style>
  <w:style w:type="character" w:styleId="FootnoteReference">
    <w:name w:val="footnote reference"/>
    <w:aliases w:val="4_G"/>
    <w:basedOn w:val="DefaultParagraphFont"/>
    <w:rsid w:val="008555C4"/>
    <w:rPr>
      <w:vertAlign w:val="superscript"/>
    </w:rPr>
  </w:style>
  <w:style w:type="paragraph" w:styleId="FootnoteText">
    <w:name w:val="footnote text"/>
    <w:aliases w:val="FN,Footnote Text Char1 Char,Footnote Text Char Char1,Footnote Text Char1 Char Char Char,Footnote Text Char1 Char Char1,Footnote Text Char Char Char,Footnote Text Char1 Char1 Char"/>
    <w:link w:val="FootnoteTextChar"/>
    <w:qFormat/>
    <w:rsid w:val="008555C4"/>
    <w:pPr>
      <w:widowControl/>
      <w:spacing w:before="57" w:after="57" w:line="360" w:lineRule="auto"/>
      <w:ind w:left="681" w:hanging="454"/>
      <w:jc w:val="both"/>
    </w:pPr>
    <w:rPr>
      <w:rFonts w:ascii="Metropolis Light" w:eastAsia="Times New Roman" w:hAnsi="Metropolis Light" w:cs="Times New Roman"/>
      <w:color w:val="404040" w:themeColor="text1" w:themeTint="BF"/>
      <w:sz w:val="15"/>
      <w:szCs w:val="20"/>
      <w:lang w:val="en-NZ"/>
    </w:rPr>
  </w:style>
  <w:style w:type="character" w:customStyle="1" w:styleId="FootnoteTextChar">
    <w:name w:val="Footnote Text Char"/>
    <w:aliases w:val="FN Char,Footnote Text Char1 Char Char,Footnote Text Char Char1 Char,Footnote Text Char1 Char Char Char Char,Footnote Text Char1 Char Char1 Char,Footnote Text Char Char Char Char,Footnote Text Char1 Char1 Char Char"/>
    <w:basedOn w:val="DefaultParagraphFont"/>
    <w:link w:val="FootnoteText"/>
    <w:rsid w:val="008555C4"/>
    <w:rPr>
      <w:rFonts w:ascii="Metropolis Light" w:eastAsia="Times New Roman" w:hAnsi="Metropolis Light" w:cs="Times New Roman"/>
      <w:color w:val="404040" w:themeColor="text1" w:themeTint="BF"/>
      <w:sz w:val="15"/>
      <w:szCs w:val="20"/>
      <w:lang w:val="en-NZ"/>
    </w:rPr>
  </w:style>
  <w:style w:type="paragraph" w:styleId="Header">
    <w:name w:val="header"/>
    <w:basedOn w:val="Normal"/>
    <w:link w:val="HeaderChar"/>
    <w:uiPriority w:val="99"/>
    <w:unhideWhenUsed/>
    <w:rsid w:val="008555C4"/>
    <w:pPr>
      <w:tabs>
        <w:tab w:val="center" w:pos="4536"/>
        <w:tab w:val="right" w:pos="9072"/>
      </w:tabs>
    </w:pPr>
    <w:rPr>
      <w:sz w:val="13"/>
    </w:rPr>
  </w:style>
  <w:style w:type="character" w:customStyle="1" w:styleId="HeaderChar">
    <w:name w:val="Header Char"/>
    <w:basedOn w:val="DefaultParagraphFont"/>
    <w:link w:val="Header"/>
    <w:uiPriority w:val="99"/>
    <w:rsid w:val="008555C4"/>
    <w:rPr>
      <w:rFonts w:ascii="Metropolis Light" w:hAnsi="Metropolis Light"/>
      <w:sz w:val="13"/>
      <w:lang w:val="en-NZ"/>
    </w:rPr>
  </w:style>
  <w:style w:type="paragraph" w:styleId="List4">
    <w:name w:val="List 4"/>
    <w:basedOn w:val="Normal"/>
    <w:uiPriority w:val="99"/>
    <w:semiHidden/>
    <w:rsid w:val="008555C4"/>
    <w:pPr>
      <w:ind w:left="1132" w:hanging="283"/>
    </w:pPr>
  </w:style>
  <w:style w:type="paragraph" w:styleId="ListBullet">
    <w:name w:val="List Bullet"/>
    <w:link w:val="ListBulletChar"/>
    <w:uiPriority w:val="4"/>
    <w:qFormat/>
    <w:rsid w:val="008555C4"/>
    <w:pPr>
      <w:widowControl/>
      <w:numPr>
        <w:numId w:val="6"/>
      </w:numPr>
      <w:spacing w:before="80" w:after="80" w:line="360" w:lineRule="auto"/>
      <w:ind w:left="1984"/>
      <w:jc w:val="both"/>
    </w:pPr>
    <w:rPr>
      <w:rFonts w:ascii="Metropolis Light" w:eastAsia="Times New Roman" w:hAnsi="Metropolis Light" w:cs="Times New Roman"/>
      <w:sz w:val="20"/>
      <w:szCs w:val="24"/>
      <w:lang w:val="en-NZ" w:eastAsia="en-AU"/>
    </w:rPr>
  </w:style>
  <w:style w:type="paragraph" w:styleId="ListBullet2">
    <w:name w:val="List Bullet 2"/>
    <w:basedOn w:val="ListBullet"/>
    <w:link w:val="ListBullet2Char"/>
    <w:uiPriority w:val="4"/>
    <w:rsid w:val="008555C4"/>
    <w:pPr>
      <w:numPr>
        <w:numId w:val="0"/>
      </w:numPr>
      <w:tabs>
        <w:tab w:val="num" w:pos="643"/>
      </w:tabs>
      <w:ind w:left="643" w:hanging="360"/>
    </w:pPr>
  </w:style>
  <w:style w:type="paragraph" w:styleId="ListBullet3">
    <w:name w:val="List Bullet 3"/>
    <w:basedOn w:val="ListBullet2"/>
    <w:uiPriority w:val="4"/>
    <w:rsid w:val="008555C4"/>
    <w:pPr>
      <w:numPr>
        <w:ilvl w:val="2"/>
      </w:numPr>
      <w:tabs>
        <w:tab w:val="num" w:pos="643"/>
      </w:tabs>
      <w:ind w:left="643" w:hanging="360"/>
    </w:pPr>
  </w:style>
  <w:style w:type="paragraph" w:styleId="ListBullet4">
    <w:name w:val="List Bullet 4"/>
    <w:basedOn w:val="ListBullet3"/>
    <w:uiPriority w:val="4"/>
    <w:semiHidden/>
    <w:rsid w:val="008555C4"/>
    <w:pPr>
      <w:numPr>
        <w:ilvl w:val="3"/>
      </w:numPr>
      <w:tabs>
        <w:tab w:val="num" w:pos="643"/>
      </w:tabs>
      <w:ind w:left="643" w:hanging="360"/>
    </w:pPr>
  </w:style>
  <w:style w:type="paragraph" w:styleId="ListContinue">
    <w:name w:val="List Continue"/>
    <w:basedOn w:val="Normal"/>
    <w:uiPriority w:val="99"/>
    <w:semiHidden/>
    <w:rsid w:val="008555C4"/>
    <w:pPr>
      <w:numPr>
        <w:ilvl w:val="1"/>
        <w:numId w:val="1"/>
      </w:numPr>
    </w:pPr>
  </w:style>
  <w:style w:type="paragraph" w:styleId="ListContinue2">
    <w:name w:val="List Continue 2"/>
    <w:basedOn w:val="Normal"/>
    <w:uiPriority w:val="99"/>
    <w:semiHidden/>
    <w:rsid w:val="008555C4"/>
    <w:pPr>
      <w:ind w:left="566"/>
    </w:pPr>
  </w:style>
  <w:style w:type="paragraph" w:styleId="ListContinue3">
    <w:name w:val="List Continue 3"/>
    <w:basedOn w:val="Normal"/>
    <w:uiPriority w:val="99"/>
    <w:semiHidden/>
    <w:rsid w:val="008555C4"/>
    <w:pPr>
      <w:ind w:left="849"/>
    </w:pPr>
  </w:style>
  <w:style w:type="paragraph" w:styleId="ListContinue4">
    <w:name w:val="List Continue 4"/>
    <w:basedOn w:val="Normal"/>
    <w:uiPriority w:val="99"/>
    <w:semiHidden/>
    <w:rsid w:val="008555C4"/>
    <w:pPr>
      <w:ind w:left="1132"/>
    </w:pPr>
  </w:style>
  <w:style w:type="paragraph" w:styleId="ListContinue5">
    <w:name w:val="List Continue 5"/>
    <w:basedOn w:val="Normal"/>
    <w:uiPriority w:val="99"/>
    <w:semiHidden/>
    <w:rsid w:val="008555C4"/>
    <w:pPr>
      <w:ind w:left="1415"/>
    </w:pPr>
  </w:style>
  <w:style w:type="paragraph" w:styleId="ListNumber2">
    <w:name w:val="List Number 2"/>
    <w:basedOn w:val="ListNumber"/>
    <w:uiPriority w:val="4"/>
    <w:semiHidden/>
    <w:rsid w:val="008555C4"/>
    <w:pPr>
      <w:numPr>
        <w:ilvl w:val="1"/>
      </w:numPr>
    </w:pPr>
  </w:style>
  <w:style w:type="paragraph" w:styleId="ListNumber3">
    <w:name w:val="List Number 3"/>
    <w:basedOn w:val="ListNumber"/>
    <w:uiPriority w:val="4"/>
    <w:semiHidden/>
    <w:rsid w:val="008555C4"/>
    <w:pPr>
      <w:numPr>
        <w:ilvl w:val="2"/>
      </w:numPr>
    </w:pPr>
  </w:style>
  <w:style w:type="paragraph" w:styleId="ListNumber4">
    <w:name w:val="List Number 4"/>
    <w:basedOn w:val="ListNumber3"/>
    <w:uiPriority w:val="4"/>
    <w:semiHidden/>
    <w:rsid w:val="008555C4"/>
    <w:pPr>
      <w:numPr>
        <w:ilvl w:val="3"/>
      </w:numPr>
    </w:pPr>
  </w:style>
  <w:style w:type="paragraph" w:styleId="ListNumber5">
    <w:name w:val="List Number 5"/>
    <w:basedOn w:val="ListNumber3"/>
    <w:uiPriority w:val="4"/>
    <w:semiHidden/>
    <w:rsid w:val="008555C4"/>
    <w:pPr>
      <w:numPr>
        <w:ilvl w:val="4"/>
      </w:numPr>
    </w:pPr>
  </w:style>
  <w:style w:type="paragraph" w:styleId="TOC1">
    <w:name w:val="toc 1"/>
    <w:basedOn w:val="Normal"/>
    <w:next w:val="Normal"/>
    <w:uiPriority w:val="39"/>
    <w:unhideWhenUsed/>
    <w:qFormat/>
    <w:rsid w:val="008555C4"/>
    <w:pPr>
      <w:tabs>
        <w:tab w:val="right" w:leader="dot" w:pos="9061"/>
      </w:tabs>
      <w:spacing w:before="300" w:after="100"/>
      <w:ind w:right="340"/>
    </w:pPr>
    <w:rPr>
      <w:rFonts w:ascii="Metropolis" w:hAnsi="Metropolis"/>
      <w:b/>
      <w:caps/>
      <w:noProof/>
      <w:color w:val="C96D61"/>
    </w:rPr>
  </w:style>
  <w:style w:type="paragraph" w:styleId="TOC2">
    <w:name w:val="toc 2"/>
    <w:basedOn w:val="TOC1"/>
    <w:next w:val="Normal"/>
    <w:uiPriority w:val="39"/>
    <w:unhideWhenUsed/>
    <w:qFormat/>
    <w:rsid w:val="008555C4"/>
    <w:pPr>
      <w:spacing w:before="120" w:after="120"/>
      <w:ind w:left="284"/>
    </w:pPr>
    <w:rPr>
      <w:rFonts w:ascii="Metropolis Light" w:hAnsi="Metropolis Light"/>
      <w:caps w:val="0"/>
      <w:color w:val="000000" w:themeColor="text1"/>
    </w:rPr>
  </w:style>
  <w:style w:type="paragraph" w:styleId="TOC3">
    <w:name w:val="toc 3"/>
    <w:basedOn w:val="Normal"/>
    <w:next w:val="Normal"/>
    <w:uiPriority w:val="39"/>
    <w:unhideWhenUsed/>
    <w:qFormat/>
    <w:rsid w:val="008555C4"/>
    <w:pPr>
      <w:tabs>
        <w:tab w:val="right" w:leader="dot" w:pos="9072"/>
      </w:tabs>
      <w:ind w:left="567" w:right="340"/>
    </w:pPr>
  </w:style>
  <w:style w:type="paragraph" w:styleId="NoSpacing">
    <w:name w:val="No Spacing"/>
    <w:uiPriority w:val="99"/>
    <w:rsid w:val="008555C4"/>
    <w:pPr>
      <w:widowControl/>
      <w:spacing w:after="0" w:line="240" w:lineRule="auto"/>
    </w:pPr>
    <w:rPr>
      <w:rFonts w:eastAsia="Times New Roman" w:cs="Times New Roman"/>
      <w:sz w:val="24"/>
      <w:szCs w:val="24"/>
      <w:lang w:val="en-NZ" w:eastAsia="en-AU"/>
    </w:rPr>
  </w:style>
  <w:style w:type="paragraph" w:styleId="Caption">
    <w:name w:val="caption"/>
    <w:basedOn w:val="Normal"/>
    <w:next w:val="Normal"/>
    <w:uiPriority w:val="8"/>
    <w:unhideWhenUsed/>
    <w:rsid w:val="008555C4"/>
    <w:pPr>
      <w:jc w:val="both"/>
    </w:pPr>
    <w:rPr>
      <w:rFonts w:asciiTheme="majorHAnsi" w:hAnsiTheme="majorHAnsi"/>
      <w:b/>
      <w:bCs/>
      <w:sz w:val="18"/>
      <w:szCs w:val="18"/>
    </w:rPr>
  </w:style>
  <w:style w:type="paragraph" w:customStyle="1" w:styleId="TableSubheadingGreen">
    <w:name w:val="Table Subheading Green"/>
    <w:basedOn w:val="Normal"/>
    <w:uiPriority w:val="8"/>
    <w:qFormat/>
    <w:rsid w:val="008555C4"/>
    <w:rPr>
      <w:b/>
      <w:color w:val="C96D61"/>
    </w:rPr>
  </w:style>
  <w:style w:type="character" w:styleId="Hyperlink">
    <w:name w:val="Hyperlink"/>
    <w:basedOn w:val="DefaultParagraphFont"/>
    <w:uiPriority w:val="99"/>
    <w:unhideWhenUsed/>
    <w:rsid w:val="008555C4"/>
    <w:rPr>
      <w:color w:val="1F497D" w:themeColor="text2"/>
      <w:u w:val="single"/>
    </w:rPr>
  </w:style>
  <w:style w:type="paragraph" w:styleId="BodyTextIndent3">
    <w:name w:val="Body Text Indent 3"/>
    <w:basedOn w:val="Normal"/>
    <w:link w:val="BodyTextIndent3Char"/>
    <w:uiPriority w:val="2"/>
    <w:semiHidden/>
    <w:rsid w:val="008555C4"/>
    <w:pPr>
      <w:ind w:left="283"/>
    </w:pPr>
    <w:rPr>
      <w:sz w:val="16"/>
      <w:szCs w:val="16"/>
    </w:rPr>
  </w:style>
  <w:style w:type="character" w:customStyle="1" w:styleId="BodyTextIndent3Char">
    <w:name w:val="Body Text Indent 3 Char"/>
    <w:basedOn w:val="DefaultParagraphFont"/>
    <w:link w:val="BodyTextIndent3"/>
    <w:uiPriority w:val="2"/>
    <w:semiHidden/>
    <w:rsid w:val="008555C4"/>
    <w:rPr>
      <w:rFonts w:ascii="Metropolis Light" w:hAnsi="Metropolis Light"/>
      <w:sz w:val="16"/>
      <w:szCs w:val="16"/>
      <w:lang w:val="en-NZ"/>
    </w:rPr>
  </w:style>
  <w:style w:type="paragraph" w:styleId="BodyTextIndent2">
    <w:name w:val="Body Text Indent 2"/>
    <w:basedOn w:val="BodyText2"/>
    <w:link w:val="BodyTextIndent2Char"/>
    <w:uiPriority w:val="1"/>
    <w:qFormat/>
    <w:rsid w:val="008555C4"/>
    <w:pPr>
      <w:numPr>
        <w:ilvl w:val="4"/>
      </w:numPr>
    </w:pPr>
    <w:rPr>
      <w:color w:val="404040" w:themeColor="text1" w:themeTint="BF"/>
    </w:rPr>
  </w:style>
  <w:style w:type="character" w:customStyle="1" w:styleId="BodyTextIndent2Char">
    <w:name w:val="Body Text Indent 2 Char"/>
    <w:basedOn w:val="DefaultParagraphFont"/>
    <w:link w:val="BodyTextIndent2"/>
    <w:uiPriority w:val="1"/>
    <w:rsid w:val="008555C4"/>
    <w:rPr>
      <w:rFonts w:ascii="Metropolis Light" w:eastAsia="Times New Roman" w:hAnsi="Metropolis Light" w:cs="Times New Roman"/>
      <w:color w:val="404040" w:themeColor="text1" w:themeTint="BF"/>
      <w:sz w:val="20"/>
      <w:szCs w:val="24"/>
      <w:lang w:val="en-NZ" w:eastAsia="en-AU"/>
    </w:rPr>
  </w:style>
  <w:style w:type="numbering" w:styleId="111111">
    <w:name w:val="Outline List 2"/>
    <w:basedOn w:val="NoList"/>
    <w:semiHidden/>
    <w:rsid w:val="008555C4"/>
    <w:pPr>
      <w:numPr>
        <w:numId w:val="2"/>
      </w:numPr>
    </w:pPr>
  </w:style>
  <w:style w:type="numbering" w:styleId="1ai">
    <w:name w:val="Outline List 1"/>
    <w:basedOn w:val="NoList"/>
    <w:semiHidden/>
    <w:rsid w:val="008555C4"/>
    <w:pPr>
      <w:numPr>
        <w:numId w:val="3"/>
      </w:numPr>
    </w:pPr>
  </w:style>
  <w:style w:type="numbering" w:styleId="ArticleSection">
    <w:name w:val="Outline List 3"/>
    <w:basedOn w:val="NoList"/>
    <w:semiHidden/>
    <w:rsid w:val="008555C4"/>
    <w:pPr>
      <w:numPr>
        <w:numId w:val="4"/>
      </w:numPr>
    </w:pPr>
  </w:style>
  <w:style w:type="paragraph" w:styleId="BlockText">
    <w:name w:val="Block Text"/>
    <w:basedOn w:val="Normal"/>
    <w:uiPriority w:val="99"/>
    <w:semiHidden/>
    <w:rsid w:val="008555C4"/>
    <w:pPr>
      <w:ind w:left="1440" w:right="1440"/>
    </w:pPr>
  </w:style>
  <w:style w:type="paragraph" w:styleId="BodyText">
    <w:name w:val="Body Text"/>
    <w:link w:val="BodyTextChar"/>
    <w:qFormat/>
    <w:rsid w:val="008555C4"/>
    <w:pPr>
      <w:widowControl/>
      <w:numPr>
        <w:ilvl w:val="1"/>
        <w:numId w:val="8"/>
      </w:numPr>
      <w:spacing w:after="120" w:line="360" w:lineRule="auto"/>
      <w:jc w:val="both"/>
    </w:pPr>
    <w:rPr>
      <w:rFonts w:ascii="Metropolis Light" w:eastAsia="Times New Roman" w:hAnsi="Metropolis Light" w:cs="Times New Roman"/>
      <w:sz w:val="20"/>
      <w:szCs w:val="24"/>
      <w:lang w:val="en-NZ" w:eastAsia="en-AU"/>
    </w:rPr>
  </w:style>
  <w:style w:type="character" w:customStyle="1" w:styleId="BodyTextChar">
    <w:name w:val="Body Text Char"/>
    <w:basedOn w:val="DefaultParagraphFont"/>
    <w:link w:val="BodyText"/>
    <w:rsid w:val="008555C4"/>
    <w:rPr>
      <w:rFonts w:ascii="Metropolis Light" w:eastAsia="Times New Roman" w:hAnsi="Metropolis Light" w:cs="Times New Roman"/>
      <w:sz w:val="20"/>
      <w:szCs w:val="24"/>
      <w:lang w:val="en-NZ" w:eastAsia="en-AU"/>
    </w:rPr>
  </w:style>
  <w:style w:type="paragraph" w:styleId="BodyText2">
    <w:name w:val="Body Text 2"/>
    <w:link w:val="BodyText2Char"/>
    <w:uiPriority w:val="1"/>
    <w:qFormat/>
    <w:rsid w:val="008555C4"/>
    <w:pPr>
      <w:widowControl/>
      <w:numPr>
        <w:ilvl w:val="3"/>
        <w:numId w:val="5"/>
      </w:numPr>
      <w:spacing w:before="80" w:after="80" w:line="360" w:lineRule="auto"/>
      <w:jc w:val="both"/>
    </w:pPr>
    <w:rPr>
      <w:rFonts w:ascii="Metropolis Light" w:eastAsia="Times New Roman" w:hAnsi="Metropolis Light" w:cs="Times New Roman"/>
      <w:sz w:val="20"/>
      <w:szCs w:val="24"/>
      <w:lang w:val="en-NZ" w:eastAsia="en-AU"/>
    </w:rPr>
  </w:style>
  <w:style w:type="character" w:customStyle="1" w:styleId="BodyText2Char">
    <w:name w:val="Body Text 2 Char"/>
    <w:basedOn w:val="DefaultParagraphFont"/>
    <w:link w:val="BodyText2"/>
    <w:uiPriority w:val="1"/>
    <w:rsid w:val="008555C4"/>
    <w:rPr>
      <w:rFonts w:ascii="Metropolis Light" w:eastAsia="Times New Roman" w:hAnsi="Metropolis Light" w:cs="Times New Roman"/>
      <w:sz w:val="20"/>
      <w:szCs w:val="24"/>
      <w:lang w:val="en-NZ" w:eastAsia="en-AU"/>
    </w:rPr>
  </w:style>
  <w:style w:type="paragraph" w:styleId="BodyText3">
    <w:name w:val="Body Text 3"/>
    <w:link w:val="BodyText3Char"/>
    <w:uiPriority w:val="1"/>
    <w:semiHidden/>
    <w:rsid w:val="008555C4"/>
    <w:pPr>
      <w:widowControl/>
      <w:spacing w:before="80" w:after="80" w:line="360" w:lineRule="auto"/>
    </w:pPr>
    <w:rPr>
      <w:rFonts w:eastAsia="Times New Roman" w:cs="Times New Roman"/>
      <w:sz w:val="24"/>
      <w:szCs w:val="24"/>
      <w:lang w:val="en-NZ" w:eastAsia="en-AU"/>
    </w:rPr>
  </w:style>
  <w:style w:type="character" w:customStyle="1" w:styleId="BodyText3Char">
    <w:name w:val="Body Text 3 Char"/>
    <w:basedOn w:val="DefaultParagraphFont"/>
    <w:link w:val="BodyText3"/>
    <w:uiPriority w:val="1"/>
    <w:semiHidden/>
    <w:rsid w:val="008555C4"/>
    <w:rPr>
      <w:rFonts w:eastAsia="Times New Roman" w:cs="Times New Roman"/>
      <w:sz w:val="24"/>
      <w:szCs w:val="24"/>
      <w:lang w:val="en-NZ" w:eastAsia="en-AU"/>
    </w:rPr>
  </w:style>
  <w:style w:type="paragraph" w:styleId="BodyTextFirstIndent">
    <w:name w:val="Body Text First Indent"/>
    <w:basedOn w:val="BodyText"/>
    <w:link w:val="BodyTextFirstIndentChar"/>
    <w:uiPriority w:val="99"/>
    <w:semiHidden/>
    <w:rsid w:val="008555C4"/>
    <w:pPr>
      <w:ind w:firstLine="210"/>
    </w:pPr>
  </w:style>
  <w:style w:type="character" w:customStyle="1" w:styleId="BodyTextFirstIndentChar">
    <w:name w:val="Body Text First Indent Char"/>
    <w:basedOn w:val="BodyTextChar"/>
    <w:link w:val="BodyTextFirstIndent"/>
    <w:uiPriority w:val="99"/>
    <w:semiHidden/>
    <w:rsid w:val="008555C4"/>
    <w:rPr>
      <w:rFonts w:ascii="Metropolis Light" w:eastAsia="Times New Roman" w:hAnsi="Metropolis Light" w:cs="Times New Roman"/>
      <w:sz w:val="20"/>
      <w:szCs w:val="24"/>
      <w:lang w:val="en-NZ" w:eastAsia="en-AU"/>
    </w:rPr>
  </w:style>
  <w:style w:type="paragraph" w:styleId="BodyTextIndent">
    <w:name w:val="Body Text Indent"/>
    <w:link w:val="BodyTextIndentChar"/>
    <w:rsid w:val="008555C4"/>
    <w:pPr>
      <w:widowControl/>
      <w:numPr>
        <w:ilvl w:val="2"/>
        <w:numId w:val="5"/>
      </w:numPr>
      <w:spacing w:before="80" w:after="80" w:line="360" w:lineRule="auto"/>
      <w:jc w:val="both"/>
    </w:pPr>
    <w:rPr>
      <w:rFonts w:ascii="Metropolis Light" w:eastAsia="Times New Roman" w:hAnsi="Metropolis Light" w:cs="Times New Roman"/>
      <w:sz w:val="20"/>
      <w:szCs w:val="24"/>
      <w:lang w:val="en-NZ" w:eastAsia="en-AU"/>
    </w:rPr>
  </w:style>
  <w:style w:type="character" w:customStyle="1" w:styleId="BodyTextIndentChar">
    <w:name w:val="Body Text Indent Char"/>
    <w:basedOn w:val="DefaultParagraphFont"/>
    <w:link w:val="BodyTextIndent"/>
    <w:rsid w:val="008555C4"/>
    <w:rPr>
      <w:rFonts w:ascii="Metropolis Light" w:eastAsia="Times New Roman" w:hAnsi="Metropolis Light" w:cs="Times New Roman"/>
      <w:sz w:val="20"/>
      <w:szCs w:val="24"/>
      <w:lang w:val="en-NZ" w:eastAsia="en-AU"/>
    </w:rPr>
  </w:style>
  <w:style w:type="paragraph" w:styleId="BodyTextFirstIndent2">
    <w:name w:val="Body Text First Indent 2"/>
    <w:basedOn w:val="BodyTextIndent"/>
    <w:link w:val="BodyTextFirstIndent2Char"/>
    <w:uiPriority w:val="99"/>
    <w:semiHidden/>
    <w:rsid w:val="008555C4"/>
    <w:pPr>
      <w:ind w:firstLine="210"/>
    </w:pPr>
  </w:style>
  <w:style w:type="character" w:customStyle="1" w:styleId="BodyTextFirstIndent2Char">
    <w:name w:val="Body Text First Indent 2 Char"/>
    <w:basedOn w:val="BodyTextIndentChar"/>
    <w:link w:val="BodyTextFirstIndent2"/>
    <w:uiPriority w:val="99"/>
    <w:semiHidden/>
    <w:rsid w:val="008555C4"/>
    <w:rPr>
      <w:rFonts w:ascii="Metropolis Light" w:eastAsia="Times New Roman" w:hAnsi="Metropolis Light" w:cs="Times New Roman"/>
      <w:sz w:val="20"/>
      <w:szCs w:val="24"/>
      <w:lang w:val="en-NZ" w:eastAsia="en-AU"/>
    </w:rPr>
  </w:style>
  <w:style w:type="paragraph" w:styleId="Closing">
    <w:name w:val="Closing"/>
    <w:basedOn w:val="Normal"/>
    <w:link w:val="ClosingChar"/>
    <w:uiPriority w:val="99"/>
    <w:semiHidden/>
    <w:rsid w:val="008555C4"/>
    <w:pPr>
      <w:ind w:left="4252"/>
    </w:pPr>
  </w:style>
  <w:style w:type="character" w:customStyle="1" w:styleId="ClosingChar">
    <w:name w:val="Closing Char"/>
    <w:basedOn w:val="DefaultParagraphFont"/>
    <w:link w:val="Closing"/>
    <w:uiPriority w:val="99"/>
    <w:semiHidden/>
    <w:rsid w:val="008555C4"/>
    <w:rPr>
      <w:rFonts w:ascii="Metropolis Light" w:hAnsi="Metropolis Light"/>
      <w:sz w:val="20"/>
      <w:lang w:val="en-NZ"/>
    </w:rPr>
  </w:style>
  <w:style w:type="paragraph" w:styleId="E-mailSignature">
    <w:name w:val="E-mail Signature"/>
    <w:basedOn w:val="Normal"/>
    <w:link w:val="E-mailSignatureChar"/>
    <w:uiPriority w:val="99"/>
    <w:semiHidden/>
    <w:rsid w:val="008555C4"/>
  </w:style>
  <w:style w:type="character" w:customStyle="1" w:styleId="E-mailSignatureChar">
    <w:name w:val="E-mail Signature Char"/>
    <w:basedOn w:val="DefaultParagraphFont"/>
    <w:link w:val="E-mailSignature"/>
    <w:uiPriority w:val="99"/>
    <w:semiHidden/>
    <w:rsid w:val="008555C4"/>
    <w:rPr>
      <w:rFonts w:ascii="Metropolis Light" w:hAnsi="Metropolis Light"/>
      <w:sz w:val="20"/>
      <w:lang w:val="en-NZ"/>
    </w:rPr>
  </w:style>
  <w:style w:type="character" w:styleId="Emphasis">
    <w:name w:val="Emphasis"/>
    <w:basedOn w:val="DefaultParagraphFont"/>
    <w:uiPriority w:val="5"/>
    <w:qFormat/>
    <w:rsid w:val="008555C4"/>
    <w:rPr>
      <w:rFonts w:ascii="Metropolis" w:hAnsi="Metropolis"/>
      <w:b/>
      <w:iCs/>
      <w:sz w:val="22"/>
      <w:szCs w:val="22"/>
    </w:rPr>
  </w:style>
  <w:style w:type="paragraph" w:styleId="EnvelopeAddress">
    <w:name w:val="envelope address"/>
    <w:basedOn w:val="Normal"/>
    <w:uiPriority w:val="99"/>
    <w:semiHidden/>
    <w:rsid w:val="008555C4"/>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8555C4"/>
    <w:rPr>
      <w:rFonts w:ascii="Arial" w:hAnsi="Arial" w:cs="Arial"/>
      <w:szCs w:val="20"/>
    </w:rPr>
  </w:style>
  <w:style w:type="character" w:styleId="FollowedHyperlink">
    <w:name w:val="FollowedHyperlink"/>
    <w:basedOn w:val="DefaultParagraphFont"/>
    <w:uiPriority w:val="59"/>
    <w:unhideWhenUsed/>
    <w:rsid w:val="008555C4"/>
    <w:rPr>
      <w:color w:val="265898" w:themeColor="text2" w:themeTint="E6"/>
      <w:u w:val="single"/>
    </w:rPr>
  </w:style>
  <w:style w:type="character" w:styleId="HTMLAcronym">
    <w:name w:val="HTML Acronym"/>
    <w:basedOn w:val="DefaultParagraphFont"/>
    <w:uiPriority w:val="99"/>
    <w:semiHidden/>
    <w:rsid w:val="008555C4"/>
  </w:style>
  <w:style w:type="paragraph" w:styleId="HTMLAddress">
    <w:name w:val="HTML Address"/>
    <w:basedOn w:val="Normal"/>
    <w:link w:val="HTMLAddressChar"/>
    <w:uiPriority w:val="99"/>
    <w:semiHidden/>
    <w:rsid w:val="008555C4"/>
    <w:rPr>
      <w:i/>
      <w:iCs/>
    </w:rPr>
  </w:style>
  <w:style w:type="character" w:customStyle="1" w:styleId="HTMLAddressChar">
    <w:name w:val="HTML Address Char"/>
    <w:basedOn w:val="DefaultParagraphFont"/>
    <w:link w:val="HTMLAddress"/>
    <w:uiPriority w:val="99"/>
    <w:semiHidden/>
    <w:rsid w:val="008555C4"/>
    <w:rPr>
      <w:rFonts w:ascii="Metropolis Light" w:hAnsi="Metropolis Light"/>
      <w:i/>
      <w:iCs/>
      <w:sz w:val="20"/>
      <w:lang w:val="en-NZ"/>
    </w:rPr>
  </w:style>
  <w:style w:type="character" w:styleId="HTMLCite">
    <w:name w:val="HTML Cite"/>
    <w:basedOn w:val="DefaultParagraphFont"/>
    <w:uiPriority w:val="99"/>
    <w:semiHidden/>
    <w:rsid w:val="008555C4"/>
    <w:rPr>
      <w:i/>
      <w:iCs/>
    </w:rPr>
  </w:style>
  <w:style w:type="character" w:styleId="HTMLCode">
    <w:name w:val="HTML Code"/>
    <w:basedOn w:val="DefaultParagraphFont"/>
    <w:uiPriority w:val="99"/>
    <w:semiHidden/>
    <w:rsid w:val="008555C4"/>
    <w:rPr>
      <w:rFonts w:ascii="Courier New" w:hAnsi="Courier New" w:cs="Courier New"/>
      <w:sz w:val="20"/>
      <w:szCs w:val="20"/>
    </w:rPr>
  </w:style>
  <w:style w:type="character" w:styleId="HTMLDefinition">
    <w:name w:val="HTML Definition"/>
    <w:basedOn w:val="DefaultParagraphFont"/>
    <w:uiPriority w:val="99"/>
    <w:semiHidden/>
    <w:rsid w:val="008555C4"/>
    <w:rPr>
      <w:i/>
      <w:iCs/>
    </w:rPr>
  </w:style>
  <w:style w:type="character" w:styleId="HTMLKeyboard">
    <w:name w:val="HTML Keyboard"/>
    <w:basedOn w:val="DefaultParagraphFont"/>
    <w:uiPriority w:val="99"/>
    <w:semiHidden/>
    <w:rsid w:val="008555C4"/>
    <w:rPr>
      <w:rFonts w:ascii="Courier New" w:hAnsi="Courier New" w:cs="Courier New"/>
      <w:sz w:val="20"/>
      <w:szCs w:val="20"/>
    </w:rPr>
  </w:style>
  <w:style w:type="paragraph" w:styleId="HTMLPreformatted">
    <w:name w:val="HTML Preformatted"/>
    <w:basedOn w:val="Normal"/>
    <w:link w:val="HTMLPreformattedChar"/>
    <w:uiPriority w:val="99"/>
    <w:semiHidden/>
    <w:rsid w:val="008555C4"/>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8555C4"/>
    <w:rPr>
      <w:rFonts w:ascii="Courier New" w:hAnsi="Courier New" w:cs="Courier New"/>
      <w:sz w:val="20"/>
      <w:szCs w:val="20"/>
      <w:lang w:val="en-NZ"/>
    </w:rPr>
  </w:style>
  <w:style w:type="character" w:styleId="HTMLSample">
    <w:name w:val="HTML Sample"/>
    <w:basedOn w:val="DefaultParagraphFont"/>
    <w:uiPriority w:val="99"/>
    <w:semiHidden/>
    <w:rsid w:val="008555C4"/>
    <w:rPr>
      <w:rFonts w:ascii="Courier New" w:hAnsi="Courier New" w:cs="Courier New"/>
    </w:rPr>
  </w:style>
  <w:style w:type="character" w:styleId="HTMLTypewriter">
    <w:name w:val="HTML Typewriter"/>
    <w:basedOn w:val="DefaultParagraphFont"/>
    <w:uiPriority w:val="99"/>
    <w:semiHidden/>
    <w:rsid w:val="008555C4"/>
    <w:rPr>
      <w:rFonts w:ascii="Courier New" w:hAnsi="Courier New" w:cs="Courier New"/>
      <w:sz w:val="20"/>
      <w:szCs w:val="20"/>
    </w:rPr>
  </w:style>
  <w:style w:type="character" w:styleId="HTMLVariable">
    <w:name w:val="HTML Variable"/>
    <w:basedOn w:val="DefaultParagraphFont"/>
    <w:uiPriority w:val="99"/>
    <w:semiHidden/>
    <w:rsid w:val="008555C4"/>
    <w:rPr>
      <w:i/>
      <w:iCs/>
    </w:rPr>
  </w:style>
  <w:style w:type="character" w:styleId="LineNumber">
    <w:name w:val="line number"/>
    <w:basedOn w:val="DefaultParagraphFont"/>
    <w:uiPriority w:val="99"/>
    <w:semiHidden/>
    <w:rsid w:val="008555C4"/>
  </w:style>
  <w:style w:type="paragraph" w:styleId="List">
    <w:name w:val="List"/>
    <w:basedOn w:val="Normal"/>
    <w:uiPriority w:val="99"/>
    <w:semiHidden/>
    <w:rsid w:val="008555C4"/>
    <w:pPr>
      <w:ind w:left="283" w:hanging="283"/>
    </w:pPr>
  </w:style>
  <w:style w:type="paragraph" w:styleId="List2">
    <w:name w:val="List 2"/>
    <w:basedOn w:val="Normal"/>
    <w:uiPriority w:val="99"/>
    <w:semiHidden/>
    <w:rsid w:val="008555C4"/>
    <w:pPr>
      <w:ind w:left="566" w:hanging="283"/>
    </w:pPr>
  </w:style>
  <w:style w:type="paragraph" w:styleId="List5">
    <w:name w:val="List 5"/>
    <w:basedOn w:val="Normal"/>
    <w:uiPriority w:val="99"/>
    <w:semiHidden/>
    <w:rsid w:val="008555C4"/>
    <w:pPr>
      <w:ind w:left="1415" w:hanging="283"/>
    </w:pPr>
  </w:style>
  <w:style w:type="paragraph" w:styleId="ListBullet5">
    <w:name w:val="List Bullet 5"/>
    <w:basedOn w:val="ListBullet3"/>
    <w:uiPriority w:val="4"/>
    <w:semiHidden/>
    <w:rsid w:val="008555C4"/>
    <w:pPr>
      <w:numPr>
        <w:ilvl w:val="4"/>
      </w:numPr>
      <w:tabs>
        <w:tab w:val="num" w:pos="643"/>
      </w:tabs>
      <w:ind w:left="643" w:hanging="360"/>
    </w:pPr>
  </w:style>
  <w:style w:type="paragraph" w:styleId="ListNumber">
    <w:name w:val="List Number"/>
    <w:uiPriority w:val="4"/>
    <w:qFormat/>
    <w:rsid w:val="008555C4"/>
    <w:pPr>
      <w:widowControl/>
      <w:numPr>
        <w:numId w:val="9"/>
      </w:numPr>
      <w:spacing w:before="80" w:after="120" w:line="360" w:lineRule="auto"/>
      <w:ind w:left="567" w:hanging="567"/>
      <w:jc w:val="both"/>
    </w:pPr>
    <w:rPr>
      <w:rFonts w:ascii="Metropolis Light" w:eastAsia="Times New Roman" w:hAnsi="Metropolis Light" w:cs="Times New Roman"/>
      <w:sz w:val="20"/>
      <w:szCs w:val="24"/>
      <w:lang w:val="en-NZ" w:eastAsia="en-AU"/>
    </w:rPr>
  </w:style>
  <w:style w:type="paragraph" w:styleId="MessageHeader">
    <w:name w:val="Message Header"/>
    <w:basedOn w:val="Normal"/>
    <w:link w:val="MessageHeaderChar"/>
    <w:uiPriority w:val="99"/>
    <w:semiHidden/>
    <w:rsid w:val="008555C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uiPriority w:val="99"/>
    <w:semiHidden/>
    <w:rsid w:val="008555C4"/>
    <w:rPr>
      <w:rFonts w:ascii="Arial" w:hAnsi="Arial" w:cs="Arial"/>
      <w:sz w:val="20"/>
      <w:shd w:val="pct20" w:color="auto" w:fill="auto"/>
      <w:lang w:val="en-NZ"/>
    </w:rPr>
  </w:style>
  <w:style w:type="paragraph" w:styleId="NormalWeb">
    <w:name w:val="Normal (Web)"/>
    <w:basedOn w:val="Normal"/>
    <w:uiPriority w:val="99"/>
    <w:rsid w:val="008555C4"/>
  </w:style>
  <w:style w:type="paragraph" w:styleId="NormalIndent">
    <w:name w:val="Normal Indent"/>
    <w:basedOn w:val="Normal"/>
    <w:uiPriority w:val="8"/>
    <w:semiHidden/>
    <w:rsid w:val="008555C4"/>
    <w:pPr>
      <w:ind w:left="720"/>
    </w:pPr>
  </w:style>
  <w:style w:type="paragraph" w:styleId="NoteHeading">
    <w:name w:val="Note Heading"/>
    <w:basedOn w:val="Normal"/>
    <w:next w:val="Normal"/>
    <w:link w:val="NoteHeadingChar"/>
    <w:uiPriority w:val="99"/>
    <w:semiHidden/>
    <w:rsid w:val="008555C4"/>
  </w:style>
  <w:style w:type="character" w:customStyle="1" w:styleId="NoteHeadingChar">
    <w:name w:val="Note Heading Char"/>
    <w:basedOn w:val="DefaultParagraphFont"/>
    <w:link w:val="NoteHeading"/>
    <w:uiPriority w:val="99"/>
    <w:semiHidden/>
    <w:rsid w:val="008555C4"/>
    <w:rPr>
      <w:rFonts w:ascii="Metropolis Light" w:hAnsi="Metropolis Light"/>
      <w:sz w:val="20"/>
      <w:lang w:val="en-NZ"/>
    </w:rPr>
  </w:style>
  <w:style w:type="character" w:styleId="PageNumber">
    <w:name w:val="page number"/>
    <w:uiPriority w:val="99"/>
    <w:rsid w:val="008555C4"/>
    <w:rPr>
      <w:rFonts w:ascii="Metropolis Light" w:hAnsi="Metropolis Light"/>
      <w:color w:val="1F497D" w:themeColor="text2"/>
      <w:sz w:val="13"/>
    </w:rPr>
  </w:style>
  <w:style w:type="paragraph" w:styleId="PlainText">
    <w:name w:val="Plain Text"/>
    <w:basedOn w:val="Normal"/>
    <w:link w:val="PlainTextChar"/>
    <w:uiPriority w:val="99"/>
    <w:semiHidden/>
    <w:rsid w:val="008555C4"/>
    <w:rPr>
      <w:rFonts w:ascii="Courier New" w:hAnsi="Courier New" w:cs="Courier New"/>
      <w:szCs w:val="20"/>
    </w:rPr>
  </w:style>
  <w:style w:type="character" w:customStyle="1" w:styleId="PlainTextChar">
    <w:name w:val="Plain Text Char"/>
    <w:basedOn w:val="DefaultParagraphFont"/>
    <w:link w:val="PlainText"/>
    <w:uiPriority w:val="99"/>
    <w:semiHidden/>
    <w:rsid w:val="008555C4"/>
    <w:rPr>
      <w:rFonts w:ascii="Courier New" w:hAnsi="Courier New" w:cs="Courier New"/>
      <w:sz w:val="20"/>
      <w:szCs w:val="20"/>
      <w:lang w:val="en-NZ"/>
    </w:rPr>
  </w:style>
  <w:style w:type="paragraph" w:styleId="Salutation">
    <w:name w:val="Salutation"/>
    <w:basedOn w:val="Normal"/>
    <w:next w:val="Normal"/>
    <w:link w:val="SalutationChar"/>
    <w:uiPriority w:val="99"/>
    <w:semiHidden/>
    <w:rsid w:val="008555C4"/>
  </w:style>
  <w:style w:type="character" w:customStyle="1" w:styleId="SalutationChar">
    <w:name w:val="Salutation Char"/>
    <w:basedOn w:val="DefaultParagraphFont"/>
    <w:link w:val="Salutation"/>
    <w:uiPriority w:val="99"/>
    <w:semiHidden/>
    <w:rsid w:val="008555C4"/>
    <w:rPr>
      <w:rFonts w:ascii="Metropolis Light" w:hAnsi="Metropolis Light"/>
      <w:sz w:val="20"/>
      <w:lang w:val="en-NZ"/>
    </w:rPr>
  </w:style>
  <w:style w:type="paragraph" w:styleId="Signature">
    <w:name w:val="Signature"/>
    <w:basedOn w:val="Normal"/>
    <w:link w:val="SignatureChar"/>
    <w:uiPriority w:val="99"/>
    <w:semiHidden/>
    <w:rsid w:val="008555C4"/>
    <w:pPr>
      <w:ind w:left="4252"/>
    </w:pPr>
  </w:style>
  <w:style w:type="character" w:customStyle="1" w:styleId="SignatureChar">
    <w:name w:val="Signature Char"/>
    <w:basedOn w:val="DefaultParagraphFont"/>
    <w:link w:val="Signature"/>
    <w:uiPriority w:val="99"/>
    <w:semiHidden/>
    <w:rsid w:val="008555C4"/>
    <w:rPr>
      <w:rFonts w:ascii="Metropolis Light" w:hAnsi="Metropolis Light"/>
      <w:sz w:val="20"/>
      <w:lang w:val="en-NZ"/>
    </w:rPr>
  </w:style>
  <w:style w:type="character" w:styleId="Strong">
    <w:name w:val="Strong"/>
    <w:basedOn w:val="DefaultParagraphFont"/>
    <w:uiPriority w:val="5"/>
    <w:qFormat/>
    <w:rsid w:val="008555C4"/>
    <w:rPr>
      <w:rFonts w:ascii="Metropolis" w:hAnsi="Metropolis"/>
      <w:b/>
      <w:bCs/>
    </w:rPr>
  </w:style>
  <w:style w:type="paragraph" w:styleId="Subtitle">
    <w:name w:val="Subtitle"/>
    <w:basedOn w:val="Title"/>
    <w:link w:val="SubtitleChar"/>
    <w:uiPriority w:val="21"/>
    <w:qFormat/>
    <w:rsid w:val="008555C4"/>
    <w:pPr>
      <w:pBdr>
        <w:top w:val="single" w:sz="4" w:space="12" w:color="1F497D" w:themeColor="text2"/>
      </w:pBdr>
    </w:pPr>
    <w:rPr>
      <w:sz w:val="48"/>
    </w:rPr>
  </w:style>
  <w:style w:type="character" w:customStyle="1" w:styleId="SubtitleChar">
    <w:name w:val="Subtitle Char"/>
    <w:basedOn w:val="DefaultParagraphFont"/>
    <w:link w:val="Subtitle"/>
    <w:uiPriority w:val="21"/>
    <w:rsid w:val="008555C4"/>
    <w:rPr>
      <w:rFonts w:ascii="Calibri" w:eastAsia="Times New Roman" w:hAnsi="Calibri" w:cs="Arial"/>
      <w:b/>
      <w:bCs/>
      <w:caps/>
      <w:color w:val="C96D61"/>
      <w:sz w:val="48"/>
      <w:szCs w:val="32"/>
      <w:lang w:val="en-NZ" w:eastAsia="en-AU"/>
    </w:rPr>
  </w:style>
  <w:style w:type="table" w:styleId="Table3Deffects1">
    <w:name w:val="Table 3D effects 1"/>
    <w:basedOn w:val="TableNormal"/>
    <w:semiHidden/>
    <w:rsid w:val="008555C4"/>
    <w:pPr>
      <w:widowControl/>
      <w:spacing w:after="0" w:line="240" w:lineRule="auto"/>
    </w:pPr>
    <w:rPr>
      <w:rFonts w:eastAsia="Times New Roman" w:cs="Times New Roman"/>
      <w:sz w:val="24"/>
      <w:szCs w:val="24"/>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555C4"/>
    <w:pPr>
      <w:widowControl/>
      <w:spacing w:after="0" w:line="240" w:lineRule="auto"/>
    </w:pPr>
    <w:rPr>
      <w:rFonts w:eastAsia="Times New Roman" w:cs="Times New Roman"/>
      <w:sz w:val="24"/>
      <w:szCs w:val="24"/>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555C4"/>
    <w:pPr>
      <w:widowControl/>
      <w:spacing w:after="0" w:line="240" w:lineRule="auto"/>
    </w:pPr>
    <w:rPr>
      <w:rFonts w:eastAsia="Times New Roman" w:cs="Times New Roman"/>
      <w:sz w:val="24"/>
      <w:szCs w:val="24"/>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555C4"/>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555C4"/>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555C4"/>
    <w:pPr>
      <w:widowControl/>
      <w:spacing w:after="0" w:line="240" w:lineRule="auto"/>
    </w:pPr>
    <w:rPr>
      <w:rFonts w:eastAsia="Times New Roman" w:cs="Times New Roman"/>
      <w:color w:val="000080"/>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555C4"/>
    <w:pPr>
      <w:widowControl/>
      <w:spacing w:after="0" w:line="240" w:lineRule="auto"/>
    </w:pPr>
    <w:rPr>
      <w:rFonts w:eastAsia="Times New Roman" w:cs="Times New Roman"/>
      <w:sz w:val="24"/>
      <w:szCs w:val="24"/>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555C4"/>
    <w:pPr>
      <w:widowControl/>
      <w:spacing w:after="0" w:line="240" w:lineRule="auto"/>
    </w:pPr>
    <w:rPr>
      <w:rFonts w:eastAsia="Times New Roman" w:cs="Times New Roman"/>
      <w:color w:val="FFFFFF"/>
      <w:sz w:val="24"/>
      <w:szCs w:val="24"/>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555C4"/>
    <w:pPr>
      <w:widowControl/>
      <w:spacing w:after="0" w:line="240" w:lineRule="auto"/>
    </w:pPr>
    <w:rPr>
      <w:rFonts w:eastAsia="Times New Roman" w:cs="Times New Roman"/>
      <w:sz w:val="24"/>
      <w:szCs w:val="24"/>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555C4"/>
    <w:pPr>
      <w:widowControl/>
      <w:spacing w:after="0" w:line="240" w:lineRule="auto"/>
    </w:pPr>
    <w:rPr>
      <w:rFonts w:eastAsia="Times New Roman" w:cs="Times New Roman"/>
      <w:sz w:val="24"/>
      <w:szCs w:val="24"/>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555C4"/>
    <w:pPr>
      <w:widowControl/>
      <w:spacing w:after="0" w:line="240" w:lineRule="auto"/>
    </w:pPr>
    <w:rPr>
      <w:rFonts w:eastAsia="Times New Roman" w:cs="Times New Roman"/>
      <w:b/>
      <w:bCs/>
      <w:sz w:val="24"/>
      <w:szCs w:val="24"/>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555C4"/>
    <w:pPr>
      <w:widowControl/>
      <w:spacing w:after="0" w:line="240" w:lineRule="auto"/>
    </w:pPr>
    <w:rPr>
      <w:rFonts w:eastAsia="Times New Roman" w:cs="Times New Roman"/>
      <w:b/>
      <w:bCs/>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555C4"/>
    <w:pPr>
      <w:widowControl/>
      <w:spacing w:after="0" w:line="240" w:lineRule="auto"/>
    </w:pPr>
    <w:rPr>
      <w:rFonts w:eastAsia="Times New Roman" w:cs="Times New Roman"/>
      <w:b/>
      <w:bCs/>
      <w:sz w:val="24"/>
      <w:szCs w:val="24"/>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555C4"/>
    <w:pPr>
      <w:widowControl/>
      <w:spacing w:after="0" w:line="240" w:lineRule="auto"/>
    </w:pPr>
    <w:rPr>
      <w:rFonts w:eastAsia="Times New Roman" w:cs="Times New Roman"/>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555C4"/>
    <w:pPr>
      <w:widowControl/>
      <w:spacing w:after="0" w:line="240" w:lineRule="auto"/>
    </w:pPr>
    <w:rPr>
      <w:rFonts w:eastAsia="Times New Roman" w:cs="Times New Roman"/>
      <w:sz w:val="24"/>
      <w:szCs w:val="24"/>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555C4"/>
    <w:pPr>
      <w:widowControl/>
      <w:spacing w:after="0" w:line="240" w:lineRule="auto"/>
    </w:pPr>
    <w:rPr>
      <w:rFonts w:eastAsia="Times New Roman" w:cs="Times New Roman"/>
      <w:sz w:val="24"/>
      <w:szCs w:val="24"/>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555C4"/>
    <w:pPr>
      <w:widowControl/>
      <w:spacing w:after="0" w:line="240" w:lineRule="auto"/>
    </w:pPr>
    <w:rPr>
      <w:rFonts w:eastAsia="Times New Roman" w:cs="Times New Roman"/>
      <w:sz w:val="24"/>
      <w:szCs w:val="24"/>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555C4"/>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8555C4"/>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555C4"/>
    <w:pPr>
      <w:widowControl/>
      <w:spacing w:after="0" w:line="240" w:lineRule="auto"/>
    </w:pPr>
    <w:rPr>
      <w:rFonts w:eastAsia="Times New Roman" w:cs="Times New Roman"/>
      <w:sz w:val="24"/>
      <w:szCs w:val="24"/>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555C4"/>
    <w:pPr>
      <w:widowControl/>
      <w:spacing w:after="0" w:line="240" w:lineRule="auto"/>
    </w:pPr>
    <w:rPr>
      <w:rFonts w:eastAsia="Times New Roman" w:cs="Times New Roman"/>
      <w:sz w:val="24"/>
      <w:szCs w:val="24"/>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555C4"/>
    <w:pPr>
      <w:widowControl/>
      <w:spacing w:after="0" w:line="240" w:lineRule="auto"/>
    </w:pPr>
    <w:rPr>
      <w:rFonts w:eastAsia="Times New Roman" w:cs="Times New Roman"/>
      <w:sz w:val="24"/>
      <w:szCs w:val="24"/>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555C4"/>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555C4"/>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555C4"/>
    <w:pPr>
      <w:widowControl/>
      <w:spacing w:after="0" w:line="240" w:lineRule="auto"/>
    </w:pPr>
    <w:rPr>
      <w:rFonts w:eastAsia="Times New Roman" w:cs="Times New Roman"/>
      <w:b/>
      <w:bCs/>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555C4"/>
    <w:pPr>
      <w:widowControl/>
      <w:spacing w:after="0" w:line="240" w:lineRule="auto"/>
    </w:pPr>
    <w:rPr>
      <w:rFonts w:eastAsia="Times New Roman" w:cs="Times New Roman"/>
      <w:sz w:val="24"/>
      <w:szCs w:val="24"/>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555C4"/>
    <w:pPr>
      <w:widowControl/>
      <w:spacing w:after="0" w:line="240" w:lineRule="auto"/>
    </w:pPr>
    <w:rPr>
      <w:rFonts w:eastAsia="Times New Roman" w:cs="Times New Roman"/>
      <w:sz w:val="24"/>
      <w:szCs w:val="24"/>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555C4"/>
    <w:pPr>
      <w:widowControl/>
      <w:spacing w:after="0" w:line="240" w:lineRule="auto"/>
    </w:pPr>
    <w:rPr>
      <w:rFonts w:eastAsia="Times New Roman" w:cs="Times New Roman"/>
      <w:sz w:val="24"/>
      <w:szCs w:val="24"/>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555C4"/>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555C4"/>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555C4"/>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555C4"/>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555C4"/>
    <w:pPr>
      <w:widowControl/>
      <w:spacing w:after="0" w:line="240" w:lineRule="auto"/>
    </w:pPr>
    <w:rPr>
      <w:rFonts w:eastAsia="Times New Roman" w:cs="Times New Roman"/>
      <w:sz w:val="24"/>
      <w:szCs w:val="24"/>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555C4"/>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555C4"/>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555C4"/>
    <w:pPr>
      <w:widowControl/>
      <w:spacing w:after="0" w:line="240" w:lineRule="auto"/>
    </w:pPr>
    <w:rPr>
      <w:rFonts w:eastAsia="Times New Roman" w:cs="Times New Roman"/>
      <w:sz w:val="24"/>
      <w:szCs w:val="24"/>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555C4"/>
    <w:pPr>
      <w:widowControl/>
      <w:spacing w:after="0" w:line="240" w:lineRule="auto"/>
    </w:pPr>
    <w:rPr>
      <w:rFonts w:eastAsia="Times New Roman" w:cs="Times New Roman"/>
      <w:sz w:val="24"/>
      <w:szCs w:val="24"/>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555C4"/>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555C4"/>
    <w:pPr>
      <w:widowControl/>
      <w:spacing w:after="0" w:line="240" w:lineRule="auto"/>
    </w:pPr>
    <w:rPr>
      <w:rFonts w:eastAsia="Times New Roman" w:cs="Times New Roman"/>
      <w:sz w:val="24"/>
      <w:szCs w:val="24"/>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555C4"/>
    <w:pPr>
      <w:widowControl/>
      <w:spacing w:after="0" w:line="240" w:lineRule="auto"/>
    </w:pPr>
    <w:rPr>
      <w:rFonts w:eastAsia="Times New Roman" w:cs="Times New Roman"/>
      <w:sz w:val="24"/>
      <w:szCs w:val="24"/>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555C4"/>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555C4"/>
    <w:pPr>
      <w:widowControl/>
      <w:spacing w:after="0" w:line="240" w:lineRule="auto"/>
    </w:pPr>
    <w:rPr>
      <w:rFonts w:eastAsia="Times New Roman" w:cs="Times New Roman"/>
      <w:sz w:val="24"/>
      <w:szCs w:val="24"/>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555C4"/>
    <w:pPr>
      <w:widowControl/>
      <w:spacing w:after="0" w:line="240" w:lineRule="auto"/>
    </w:pPr>
    <w:rPr>
      <w:rFonts w:eastAsia="Times New Roman" w:cs="Times New Roman"/>
      <w:sz w:val="24"/>
      <w:szCs w:val="24"/>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555C4"/>
    <w:pPr>
      <w:widowControl/>
      <w:spacing w:after="0" w:line="240" w:lineRule="auto"/>
    </w:pPr>
    <w:rPr>
      <w:rFonts w:eastAsia="Times New Roman" w:cs="Times New Roman"/>
      <w:sz w:val="24"/>
      <w:szCs w:val="24"/>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next w:val="Subtitle"/>
    <w:link w:val="TitleChar"/>
    <w:uiPriority w:val="20"/>
    <w:qFormat/>
    <w:rsid w:val="008555C4"/>
    <w:pPr>
      <w:spacing w:after="0" w:line="288" w:lineRule="auto"/>
      <w:jc w:val="right"/>
      <w:outlineLvl w:val="0"/>
    </w:pPr>
    <w:rPr>
      <w:rFonts w:ascii="Calibri" w:eastAsia="Times New Roman" w:hAnsi="Calibri" w:cs="Arial"/>
      <w:b/>
      <w:bCs/>
      <w:caps/>
      <w:color w:val="C96D61"/>
      <w:sz w:val="72"/>
      <w:szCs w:val="32"/>
      <w:lang w:val="en-NZ" w:eastAsia="en-AU"/>
    </w:rPr>
  </w:style>
  <w:style w:type="character" w:customStyle="1" w:styleId="TitleChar">
    <w:name w:val="Title Char"/>
    <w:basedOn w:val="DefaultParagraphFont"/>
    <w:link w:val="Title"/>
    <w:uiPriority w:val="20"/>
    <w:rsid w:val="008555C4"/>
    <w:rPr>
      <w:rFonts w:ascii="Calibri" w:eastAsia="Times New Roman" w:hAnsi="Calibri" w:cs="Arial"/>
      <w:b/>
      <w:bCs/>
      <w:caps/>
      <w:color w:val="C96D61"/>
      <w:sz w:val="72"/>
      <w:szCs w:val="32"/>
      <w:lang w:val="en-NZ" w:eastAsia="en-AU"/>
    </w:rPr>
  </w:style>
  <w:style w:type="paragraph" w:styleId="TOCHeading">
    <w:name w:val="TOC Heading"/>
    <w:basedOn w:val="Heading1"/>
    <w:next w:val="Normal"/>
    <w:link w:val="TOCHeadingChar"/>
    <w:uiPriority w:val="39"/>
    <w:unhideWhenUsed/>
    <w:qFormat/>
    <w:rsid w:val="008555C4"/>
    <w:pPr>
      <w:keepLines/>
      <w:numPr>
        <w:numId w:val="0"/>
      </w:numPr>
      <w:spacing w:before="480" w:after="360"/>
      <w:outlineLvl w:val="9"/>
    </w:pPr>
    <w:rPr>
      <w:rFonts w:ascii="Times New Roman" w:eastAsiaTheme="majorEastAsia" w:hAnsi="Times New Roman" w:cstheme="majorBidi"/>
      <w:bCs/>
      <w:caps/>
      <w:sz w:val="22"/>
      <w:szCs w:val="28"/>
      <w:lang w:eastAsia="ja-JP"/>
    </w:rPr>
  </w:style>
  <w:style w:type="paragraph" w:customStyle="1" w:styleId="Heading1nonum">
    <w:name w:val="Heading 1 (no num)"/>
    <w:link w:val="Heading1nonumChar"/>
    <w:uiPriority w:val="5"/>
    <w:qFormat/>
    <w:rsid w:val="008555C4"/>
    <w:pPr>
      <w:keepNext/>
      <w:pageBreakBefore/>
      <w:widowControl/>
      <w:spacing w:after="120" w:line="360" w:lineRule="auto"/>
      <w:ind w:left="17"/>
      <w:outlineLvl w:val="0"/>
    </w:pPr>
    <w:rPr>
      <w:rFonts w:ascii="Metropolis Black" w:eastAsia="Times New Roman" w:hAnsi="Metropolis Black" w:cs="Times New Roman"/>
      <w:b/>
      <w:color w:val="C96D61"/>
      <w:sz w:val="66"/>
      <w:szCs w:val="24"/>
      <w:lang w:val="en-NZ" w:eastAsia="en-AU"/>
    </w:rPr>
  </w:style>
  <w:style w:type="paragraph" w:customStyle="1" w:styleId="BodyTextnonum">
    <w:name w:val="Body Text (no num)"/>
    <w:basedOn w:val="BodyText"/>
    <w:link w:val="BodyTextnonumChar"/>
    <w:uiPriority w:val="1"/>
    <w:qFormat/>
    <w:rsid w:val="008555C4"/>
  </w:style>
  <w:style w:type="paragraph" w:customStyle="1" w:styleId="BodyTextalphalist">
    <w:name w:val="Body Text (alpha list)"/>
    <w:basedOn w:val="BodyText"/>
    <w:uiPriority w:val="1"/>
    <w:qFormat/>
    <w:rsid w:val="008555C4"/>
    <w:pPr>
      <w:numPr>
        <w:ilvl w:val="2"/>
      </w:numPr>
    </w:pPr>
  </w:style>
  <w:style w:type="paragraph" w:styleId="CommentSubject">
    <w:name w:val="annotation subject"/>
    <w:basedOn w:val="CommentText"/>
    <w:next w:val="CommentText"/>
    <w:link w:val="CommentSubjectChar"/>
    <w:uiPriority w:val="34"/>
    <w:rsid w:val="008555C4"/>
    <w:pPr>
      <w:spacing w:line="240" w:lineRule="auto"/>
    </w:pPr>
    <w:rPr>
      <w:b/>
      <w:bCs/>
    </w:rPr>
  </w:style>
  <w:style w:type="character" w:customStyle="1" w:styleId="CommentSubjectChar">
    <w:name w:val="Comment Subject Char"/>
    <w:basedOn w:val="CommentTextChar"/>
    <w:link w:val="CommentSubject"/>
    <w:uiPriority w:val="34"/>
    <w:rsid w:val="008555C4"/>
    <w:rPr>
      <w:rFonts w:ascii="Metropolis Light" w:hAnsi="Metropolis Light"/>
      <w:b/>
      <w:bCs/>
      <w:sz w:val="20"/>
      <w:szCs w:val="20"/>
      <w:lang w:val="en-NZ"/>
    </w:rPr>
  </w:style>
  <w:style w:type="paragraph" w:styleId="Revision">
    <w:name w:val="Revision"/>
    <w:hidden/>
    <w:rsid w:val="008555C4"/>
    <w:pPr>
      <w:widowControl/>
      <w:spacing w:after="0" w:line="240" w:lineRule="auto"/>
    </w:pPr>
    <w:rPr>
      <w:rFonts w:eastAsia="Times New Roman" w:cs="Times New Roman"/>
      <w:sz w:val="24"/>
      <w:szCs w:val="24"/>
      <w:lang w:val="en-NZ" w:eastAsia="en-AU"/>
    </w:rPr>
  </w:style>
  <w:style w:type="paragraph" w:styleId="ListParagraph">
    <w:name w:val="List Paragraph"/>
    <w:basedOn w:val="Normal"/>
    <w:link w:val="ListParagraphChar"/>
    <w:uiPriority w:val="34"/>
    <w:qFormat/>
    <w:rsid w:val="008555C4"/>
    <w:pPr>
      <w:ind w:left="720"/>
      <w:contextualSpacing/>
    </w:pPr>
    <w:rPr>
      <w:sz w:val="24"/>
    </w:rPr>
  </w:style>
  <w:style w:type="character" w:styleId="PlaceholderText">
    <w:name w:val="Placeholder Text"/>
    <w:basedOn w:val="DefaultParagraphFont"/>
    <w:uiPriority w:val="34"/>
    <w:rsid w:val="008555C4"/>
    <w:rPr>
      <w:color w:val="808080"/>
    </w:rPr>
  </w:style>
  <w:style w:type="character" w:styleId="BookTitle">
    <w:name w:val="Book Title"/>
    <w:basedOn w:val="DefaultParagraphFont"/>
    <w:uiPriority w:val="29"/>
    <w:rsid w:val="008555C4"/>
    <w:rPr>
      <w:rFonts w:ascii="Metropolis Light" w:hAnsi="Metropolis Light"/>
      <w:b/>
      <w:bCs/>
      <w:smallCaps/>
      <w:spacing w:val="5"/>
    </w:rPr>
  </w:style>
  <w:style w:type="paragraph" w:styleId="Date">
    <w:name w:val="Date"/>
    <w:basedOn w:val="Normal"/>
    <w:next w:val="Normal"/>
    <w:link w:val="DateChar"/>
    <w:uiPriority w:val="29"/>
    <w:rsid w:val="008555C4"/>
  </w:style>
  <w:style w:type="character" w:customStyle="1" w:styleId="DateChar">
    <w:name w:val="Date Char"/>
    <w:basedOn w:val="DefaultParagraphFont"/>
    <w:link w:val="Date"/>
    <w:uiPriority w:val="29"/>
    <w:rsid w:val="008555C4"/>
    <w:rPr>
      <w:rFonts w:ascii="Metropolis Light" w:hAnsi="Metropolis Light"/>
      <w:sz w:val="20"/>
      <w:lang w:val="en-NZ"/>
    </w:rPr>
  </w:style>
  <w:style w:type="paragraph" w:styleId="Bibliography">
    <w:name w:val="Bibliography"/>
    <w:basedOn w:val="Normal"/>
    <w:next w:val="Normal"/>
    <w:uiPriority w:val="34"/>
    <w:rsid w:val="008555C4"/>
  </w:style>
  <w:style w:type="character" w:styleId="EndnoteReference">
    <w:name w:val="endnote reference"/>
    <w:basedOn w:val="DefaultParagraphFont"/>
    <w:uiPriority w:val="34"/>
    <w:qFormat/>
    <w:rsid w:val="008555C4"/>
    <w:rPr>
      <w:rFonts w:ascii="Metropolis Light" w:hAnsi="Metropolis Light"/>
      <w:vertAlign w:val="superscript"/>
    </w:rPr>
  </w:style>
  <w:style w:type="paragraph" w:styleId="Index1">
    <w:name w:val="index 1"/>
    <w:basedOn w:val="Normal"/>
    <w:next w:val="Normal"/>
    <w:uiPriority w:val="34"/>
    <w:rsid w:val="008555C4"/>
    <w:pPr>
      <w:spacing w:after="0" w:line="240" w:lineRule="auto"/>
      <w:ind w:left="200" w:hanging="200"/>
    </w:pPr>
  </w:style>
  <w:style w:type="paragraph" w:styleId="IndexHeading">
    <w:name w:val="index heading"/>
    <w:basedOn w:val="Normal"/>
    <w:next w:val="Index1"/>
    <w:uiPriority w:val="34"/>
    <w:rsid w:val="008555C4"/>
    <w:rPr>
      <w:rFonts w:ascii="Metropolis" w:eastAsiaTheme="majorEastAsia" w:hAnsi="Metropolis" w:cstheme="majorBidi"/>
      <w:b/>
      <w:bCs/>
    </w:rPr>
  </w:style>
  <w:style w:type="character" w:styleId="IntenseEmphasis">
    <w:name w:val="Intense Emphasis"/>
    <w:basedOn w:val="DefaultParagraphFont"/>
    <w:uiPriority w:val="34"/>
    <w:rsid w:val="008555C4"/>
    <w:rPr>
      <w:rFonts w:ascii="Metropolis Light" w:hAnsi="Metropolis Light"/>
      <w:b/>
      <w:bCs/>
      <w:i/>
      <w:iCs/>
      <w:color w:val="4F81BD" w:themeColor="accent1"/>
    </w:rPr>
  </w:style>
  <w:style w:type="character" w:styleId="IntenseReference">
    <w:name w:val="Intense Reference"/>
    <w:basedOn w:val="DefaultParagraphFont"/>
    <w:uiPriority w:val="34"/>
    <w:rsid w:val="008555C4"/>
    <w:rPr>
      <w:rFonts w:ascii="Metropolis Light" w:hAnsi="Metropolis Light"/>
      <w:b/>
      <w:bCs/>
      <w:smallCaps/>
      <w:color w:val="C0504D" w:themeColor="accent2"/>
      <w:spacing w:val="5"/>
      <w:u w:val="single"/>
    </w:rPr>
  </w:style>
  <w:style w:type="paragraph" w:styleId="TOAHeading">
    <w:name w:val="toa heading"/>
    <w:basedOn w:val="Normal"/>
    <w:next w:val="Normal"/>
    <w:uiPriority w:val="34"/>
    <w:rsid w:val="008555C4"/>
    <w:rPr>
      <w:rFonts w:ascii="Metropolis" w:eastAsiaTheme="majorEastAsia" w:hAnsi="Metropolis" w:cstheme="majorBidi"/>
      <w:b/>
      <w:bCs/>
      <w:sz w:val="24"/>
    </w:rPr>
  </w:style>
  <w:style w:type="paragraph" w:styleId="TOC4">
    <w:name w:val="toc 4"/>
    <w:basedOn w:val="Normal"/>
    <w:next w:val="Normal"/>
    <w:uiPriority w:val="34"/>
    <w:rsid w:val="008555C4"/>
    <w:pPr>
      <w:spacing w:after="100"/>
      <w:ind w:left="600"/>
    </w:pPr>
  </w:style>
  <w:style w:type="paragraph" w:styleId="TOC5">
    <w:name w:val="toc 5"/>
    <w:basedOn w:val="Normal"/>
    <w:next w:val="Normal"/>
    <w:uiPriority w:val="34"/>
    <w:rsid w:val="008555C4"/>
    <w:pPr>
      <w:spacing w:after="100"/>
      <w:ind w:left="800"/>
    </w:pPr>
  </w:style>
  <w:style w:type="paragraph" w:styleId="TOC6">
    <w:name w:val="toc 6"/>
    <w:basedOn w:val="Normal"/>
    <w:next w:val="Normal"/>
    <w:uiPriority w:val="34"/>
    <w:rsid w:val="008555C4"/>
    <w:pPr>
      <w:spacing w:after="100"/>
      <w:ind w:left="1000"/>
    </w:pPr>
  </w:style>
  <w:style w:type="paragraph" w:styleId="TOC8">
    <w:name w:val="toc 8"/>
    <w:basedOn w:val="Normal"/>
    <w:next w:val="Normal"/>
    <w:uiPriority w:val="34"/>
    <w:rsid w:val="008555C4"/>
    <w:pPr>
      <w:spacing w:after="100"/>
      <w:ind w:left="1400"/>
    </w:pPr>
  </w:style>
  <w:style w:type="paragraph" w:styleId="TOC9">
    <w:name w:val="toc 9"/>
    <w:basedOn w:val="Normal"/>
    <w:next w:val="Normal"/>
    <w:uiPriority w:val="34"/>
    <w:rsid w:val="008555C4"/>
    <w:pPr>
      <w:spacing w:after="100"/>
      <w:ind w:left="1600"/>
    </w:pPr>
  </w:style>
  <w:style w:type="paragraph" w:styleId="TOC7">
    <w:name w:val="toc 7"/>
    <w:basedOn w:val="Normal"/>
    <w:next w:val="Normal"/>
    <w:uiPriority w:val="34"/>
    <w:rsid w:val="008555C4"/>
    <w:pPr>
      <w:spacing w:after="100"/>
      <w:ind w:left="1200"/>
    </w:pPr>
  </w:style>
  <w:style w:type="paragraph" w:styleId="DocumentMap">
    <w:name w:val="Document Map"/>
    <w:basedOn w:val="Normal"/>
    <w:link w:val="DocumentMapChar"/>
    <w:uiPriority w:val="34"/>
    <w:rsid w:val="008555C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34"/>
    <w:rsid w:val="008555C4"/>
    <w:rPr>
      <w:rFonts w:ascii="Tahoma" w:hAnsi="Tahoma" w:cs="Tahoma"/>
      <w:sz w:val="16"/>
      <w:szCs w:val="16"/>
      <w:lang w:val="en-NZ"/>
    </w:rPr>
  </w:style>
  <w:style w:type="paragraph" w:styleId="EndnoteText">
    <w:name w:val="endnote text"/>
    <w:basedOn w:val="Normal"/>
    <w:link w:val="EndnoteTextChar"/>
    <w:uiPriority w:val="34"/>
    <w:rsid w:val="008555C4"/>
    <w:pPr>
      <w:spacing w:after="0" w:line="240" w:lineRule="auto"/>
    </w:pPr>
    <w:rPr>
      <w:szCs w:val="20"/>
    </w:rPr>
  </w:style>
  <w:style w:type="character" w:customStyle="1" w:styleId="EndnoteTextChar">
    <w:name w:val="Endnote Text Char"/>
    <w:basedOn w:val="DefaultParagraphFont"/>
    <w:link w:val="EndnoteText"/>
    <w:uiPriority w:val="34"/>
    <w:rsid w:val="008555C4"/>
    <w:rPr>
      <w:rFonts w:ascii="Metropolis Light" w:hAnsi="Metropolis Light"/>
      <w:sz w:val="20"/>
      <w:szCs w:val="20"/>
      <w:lang w:val="en-NZ"/>
    </w:rPr>
  </w:style>
  <w:style w:type="paragraph" w:styleId="Index2">
    <w:name w:val="index 2"/>
    <w:basedOn w:val="Normal"/>
    <w:next w:val="Normal"/>
    <w:uiPriority w:val="34"/>
    <w:rsid w:val="008555C4"/>
    <w:pPr>
      <w:spacing w:after="0" w:line="240" w:lineRule="auto"/>
      <w:ind w:left="400" w:hanging="200"/>
    </w:pPr>
  </w:style>
  <w:style w:type="paragraph" w:styleId="Index3">
    <w:name w:val="index 3"/>
    <w:basedOn w:val="Normal"/>
    <w:next w:val="Normal"/>
    <w:uiPriority w:val="34"/>
    <w:rsid w:val="008555C4"/>
    <w:pPr>
      <w:spacing w:after="0" w:line="240" w:lineRule="auto"/>
      <w:ind w:left="600" w:hanging="200"/>
    </w:pPr>
  </w:style>
  <w:style w:type="paragraph" w:styleId="Index4">
    <w:name w:val="index 4"/>
    <w:basedOn w:val="Normal"/>
    <w:next w:val="Normal"/>
    <w:uiPriority w:val="34"/>
    <w:rsid w:val="008555C4"/>
    <w:pPr>
      <w:spacing w:after="0" w:line="240" w:lineRule="auto"/>
      <w:ind w:left="800" w:hanging="200"/>
    </w:pPr>
  </w:style>
  <w:style w:type="paragraph" w:styleId="Index5">
    <w:name w:val="index 5"/>
    <w:basedOn w:val="Normal"/>
    <w:next w:val="Normal"/>
    <w:uiPriority w:val="34"/>
    <w:rsid w:val="008555C4"/>
    <w:pPr>
      <w:spacing w:after="0" w:line="240" w:lineRule="auto"/>
      <w:ind w:left="1000" w:hanging="200"/>
    </w:pPr>
  </w:style>
  <w:style w:type="paragraph" w:styleId="Index6">
    <w:name w:val="index 6"/>
    <w:basedOn w:val="Normal"/>
    <w:next w:val="Normal"/>
    <w:uiPriority w:val="34"/>
    <w:rsid w:val="008555C4"/>
    <w:pPr>
      <w:spacing w:after="0" w:line="240" w:lineRule="auto"/>
      <w:ind w:left="1200" w:hanging="200"/>
    </w:pPr>
  </w:style>
  <w:style w:type="paragraph" w:styleId="Index7">
    <w:name w:val="index 7"/>
    <w:basedOn w:val="Normal"/>
    <w:next w:val="Normal"/>
    <w:uiPriority w:val="34"/>
    <w:rsid w:val="008555C4"/>
    <w:pPr>
      <w:spacing w:after="0" w:line="240" w:lineRule="auto"/>
      <w:ind w:left="1400" w:hanging="200"/>
    </w:pPr>
  </w:style>
  <w:style w:type="paragraph" w:styleId="Index8">
    <w:name w:val="index 8"/>
    <w:basedOn w:val="Normal"/>
    <w:next w:val="Normal"/>
    <w:uiPriority w:val="34"/>
    <w:rsid w:val="008555C4"/>
    <w:pPr>
      <w:spacing w:after="0" w:line="240" w:lineRule="auto"/>
      <w:ind w:left="1600" w:hanging="200"/>
    </w:pPr>
  </w:style>
  <w:style w:type="paragraph" w:styleId="Index9">
    <w:name w:val="index 9"/>
    <w:basedOn w:val="Normal"/>
    <w:next w:val="Normal"/>
    <w:uiPriority w:val="34"/>
    <w:rsid w:val="008555C4"/>
    <w:pPr>
      <w:spacing w:after="0" w:line="240" w:lineRule="auto"/>
      <w:ind w:left="1800" w:hanging="200"/>
    </w:pPr>
  </w:style>
  <w:style w:type="paragraph" w:styleId="IntenseQuote">
    <w:name w:val="Intense Quote"/>
    <w:basedOn w:val="Normal"/>
    <w:next w:val="Normal"/>
    <w:link w:val="IntenseQuoteChar"/>
    <w:uiPriority w:val="34"/>
    <w:rsid w:val="008555C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4"/>
    <w:rsid w:val="008555C4"/>
    <w:rPr>
      <w:rFonts w:ascii="Metropolis Light" w:hAnsi="Metropolis Light"/>
      <w:b/>
      <w:bCs/>
      <w:i/>
      <w:iCs/>
      <w:color w:val="4F81BD" w:themeColor="accent1"/>
      <w:sz w:val="20"/>
      <w:lang w:val="en-NZ"/>
    </w:rPr>
  </w:style>
  <w:style w:type="paragraph" w:styleId="MacroText">
    <w:name w:val="macro"/>
    <w:link w:val="MacroTextChar"/>
    <w:uiPriority w:val="34"/>
    <w:rsid w:val="008555C4"/>
    <w:pPr>
      <w:widowControl/>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nsolas" w:eastAsia="Times New Roman" w:hAnsi="Consolas" w:cs="Times New Roman"/>
      <w:sz w:val="20"/>
      <w:szCs w:val="20"/>
      <w:lang w:val="en-NZ" w:eastAsia="en-AU"/>
    </w:rPr>
  </w:style>
  <w:style w:type="character" w:customStyle="1" w:styleId="MacroTextChar">
    <w:name w:val="Macro Text Char"/>
    <w:basedOn w:val="DefaultParagraphFont"/>
    <w:link w:val="MacroText"/>
    <w:uiPriority w:val="34"/>
    <w:rsid w:val="008555C4"/>
    <w:rPr>
      <w:rFonts w:ascii="Consolas" w:eastAsia="Times New Roman" w:hAnsi="Consolas" w:cs="Times New Roman"/>
      <w:sz w:val="20"/>
      <w:szCs w:val="20"/>
      <w:lang w:val="en-NZ" w:eastAsia="en-AU"/>
    </w:rPr>
  </w:style>
  <w:style w:type="paragraph" w:styleId="TableofAuthorities">
    <w:name w:val="table of authorities"/>
    <w:basedOn w:val="Normal"/>
    <w:next w:val="Normal"/>
    <w:uiPriority w:val="34"/>
    <w:rsid w:val="008555C4"/>
    <w:pPr>
      <w:spacing w:after="0"/>
      <w:ind w:left="200" w:hanging="200"/>
    </w:pPr>
  </w:style>
  <w:style w:type="paragraph" w:styleId="TableofFigures">
    <w:name w:val="table of figures"/>
    <w:basedOn w:val="Normal"/>
    <w:next w:val="Normal"/>
    <w:uiPriority w:val="34"/>
    <w:rsid w:val="008555C4"/>
    <w:pPr>
      <w:spacing w:after="0"/>
    </w:pPr>
  </w:style>
  <w:style w:type="character" w:customStyle="1" w:styleId="BodyTextnonumChar">
    <w:name w:val="Body Text (no num) Char"/>
    <w:basedOn w:val="BodyTextChar"/>
    <w:link w:val="BodyTextnonum"/>
    <w:uiPriority w:val="1"/>
    <w:rsid w:val="008555C4"/>
    <w:rPr>
      <w:rFonts w:ascii="Metropolis Light" w:eastAsia="Times New Roman" w:hAnsi="Metropolis Light" w:cs="Times New Roman"/>
      <w:sz w:val="20"/>
      <w:szCs w:val="24"/>
      <w:lang w:val="en-NZ" w:eastAsia="en-AU"/>
    </w:rPr>
  </w:style>
  <w:style w:type="character" w:customStyle="1" w:styleId="ListBulletChar">
    <w:name w:val="List Bullet Char"/>
    <w:basedOn w:val="DefaultParagraphFont"/>
    <w:link w:val="ListBullet"/>
    <w:uiPriority w:val="4"/>
    <w:rsid w:val="008555C4"/>
    <w:rPr>
      <w:rFonts w:ascii="Metropolis Light" w:eastAsia="Times New Roman" w:hAnsi="Metropolis Light" w:cs="Times New Roman"/>
      <w:sz w:val="20"/>
      <w:szCs w:val="24"/>
      <w:lang w:val="en-NZ" w:eastAsia="en-AU"/>
    </w:rPr>
  </w:style>
  <w:style w:type="character" w:customStyle="1" w:styleId="ListBullet2Char">
    <w:name w:val="List Bullet 2 Char"/>
    <w:basedOn w:val="ListBulletChar"/>
    <w:link w:val="ListBullet2"/>
    <w:uiPriority w:val="4"/>
    <w:rsid w:val="008555C4"/>
    <w:rPr>
      <w:rFonts w:ascii="Metropolis Light" w:eastAsia="Times New Roman" w:hAnsi="Metropolis Light" w:cs="Times New Roman"/>
      <w:sz w:val="20"/>
      <w:szCs w:val="24"/>
      <w:lang w:val="en-NZ" w:eastAsia="en-AU"/>
    </w:rPr>
  </w:style>
  <w:style w:type="character" w:customStyle="1" w:styleId="ListParagraphChar">
    <w:name w:val="List Paragraph Char"/>
    <w:basedOn w:val="DefaultParagraphFont"/>
    <w:link w:val="ListParagraph"/>
    <w:uiPriority w:val="34"/>
    <w:rsid w:val="008555C4"/>
    <w:rPr>
      <w:rFonts w:ascii="Metropolis Light" w:hAnsi="Metropolis Light"/>
      <w:sz w:val="24"/>
      <w:lang w:val="en-NZ"/>
    </w:rPr>
  </w:style>
  <w:style w:type="character" w:styleId="UnresolvedMention">
    <w:name w:val="Unresolved Mention"/>
    <w:basedOn w:val="DefaultParagraphFont"/>
    <w:uiPriority w:val="99"/>
    <w:unhideWhenUsed/>
    <w:rsid w:val="008555C4"/>
    <w:rPr>
      <w:color w:val="605E5C"/>
      <w:shd w:val="clear" w:color="auto" w:fill="E1DFDD"/>
    </w:rPr>
  </w:style>
  <w:style w:type="character" w:styleId="Mention">
    <w:name w:val="Mention"/>
    <w:basedOn w:val="DefaultParagraphFont"/>
    <w:uiPriority w:val="99"/>
    <w:unhideWhenUsed/>
    <w:rsid w:val="008555C4"/>
    <w:rPr>
      <w:color w:val="2B579A"/>
      <w:shd w:val="clear" w:color="auto" w:fill="E1DFDD"/>
    </w:rPr>
  </w:style>
  <w:style w:type="table" w:styleId="LightList-Accent5">
    <w:name w:val="Light List Accent 5"/>
    <w:basedOn w:val="TableNormal"/>
    <w:rsid w:val="008555C4"/>
    <w:pPr>
      <w:widowControl/>
      <w:spacing w:after="0" w:line="240" w:lineRule="auto"/>
    </w:pPr>
    <w:rPr>
      <w:rFonts w:eastAsia="Times New Roman" w:cs="Times New Roman"/>
      <w:sz w:val="24"/>
      <w:szCs w:val="24"/>
      <w:lang w:val="en-AU" w:eastAsia="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dTable4-Accent2">
    <w:name w:val="Grid Table 4 Accent 2"/>
    <w:basedOn w:val="TableNormal"/>
    <w:uiPriority w:val="49"/>
    <w:rsid w:val="008555C4"/>
    <w:pPr>
      <w:widowControl/>
      <w:spacing w:after="0" w:line="240" w:lineRule="auto"/>
    </w:pPr>
    <w:rPr>
      <w:rFonts w:eastAsia="Times New Roman" w:cs="Times New Roman"/>
      <w:sz w:val="24"/>
      <w:szCs w:val="24"/>
      <w:lang w:val="en-AU" w:eastAsia="en-A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odyText1">
    <w:name w:val="Body Text1"/>
    <w:next w:val="BodyText"/>
    <w:link w:val="BodyText1Char"/>
    <w:qFormat/>
    <w:rsid w:val="00392EE8"/>
    <w:pPr>
      <w:widowControl/>
      <w:tabs>
        <w:tab w:val="num" w:pos="360"/>
      </w:tabs>
      <w:spacing w:before="80" w:after="80" w:line="360" w:lineRule="auto"/>
      <w:jc w:val="both"/>
    </w:pPr>
    <w:rPr>
      <w:rFonts w:ascii="Metropolis Light" w:eastAsia="Times New Roman" w:hAnsi="Metropolis Light" w:cs="Times New Roman"/>
      <w:sz w:val="20"/>
      <w:szCs w:val="24"/>
      <w:lang w:val="en-NZ" w:eastAsia="en-AU"/>
    </w:rPr>
  </w:style>
  <w:style w:type="character" w:customStyle="1" w:styleId="BodyText1Char">
    <w:name w:val="Body Text1 Char"/>
    <w:link w:val="BodyText1"/>
    <w:rsid w:val="00392EE8"/>
    <w:rPr>
      <w:rFonts w:ascii="Metropolis Light" w:eastAsia="Times New Roman" w:hAnsi="Metropolis Light" w:cs="Times New Roman"/>
      <w:sz w:val="20"/>
      <w:szCs w:val="24"/>
      <w:lang w:val="en-NZ" w:eastAsia="en-AU"/>
    </w:rPr>
  </w:style>
  <w:style w:type="character" w:customStyle="1" w:styleId="label">
    <w:name w:val="label"/>
    <w:basedOn w:val="DefaultParagraphFont"/>
    <w:rsid w:val="00484D86"/>
  </w:style>
  <w:style w:type="paragraph" w:customStyle="1" w:styleId="text">
    <w:name w:val="text"/>
    <w:basedOn w:val="Normal"/>
    <w:rsid w:val="00484D86"/>
    <w:pPr>
      <w:spacing w:before="100" w:beforeAutospacing="1" w:after="100" w:afterAutospacing="1" w:line="240" w:lineRule="auto"/>
      <w:jc w:val="both"/>
    </w:pPr>
    <w:rPr>
      <w:rFonts w:ascii="Times New Roman" w:eastAsia="Times New Roman" w:hAnsi="Times New Roman" w:cs="Times New Roman"/>
      <w:sz w:val="24"/>
      <w:szCs w:val="24"/>
      <w:lang w:val="en-US" w:eastAsia="en-NZ"/>
    </w:rPr>
  </w:style>
  <w:style w:type="paragraph" w:customStyle="1" w:styleId="subprov">
    <w:name w:val="subprov"/>
    <w:basedOn w:val="Normal"/>
    <w:rsid w:val="00484D86"/>
    <w:pPr>
      <w:spacing w:before="100" w:beforeAutospacing="1" w:after="100" w:afterAutospacing="1" w:line="240" w:lineRule="auto"/>
      <w:jc w:val="both"/>
    </w:pPr>
    <w:rPr>
      <w:rFonts w:ascii="Times New Roman" w:eastAsia="Times New Roman" w:hAnsi="Times New Roman" w:cs="Times New Roman"/>
      <w:sz w:val="24"/>
      <w:szCs w:val="24"/>
      <w:lang w:val="en-US" w:eastAsia="en-NZ"/>
    </w:rPr>
  </w:style>
  <w:style w:type="character" w:customStyle="1" w:styleId="insertwords">
    <w:name w:val="insertwords"/>
    <w:basedOn w:val="DefaultParagraphFont"/>
    <w:rsid w:val="00484D86"/>
  </w:style>
  <w:style w:type="paragraph" w:customStyle="1" w:styleId="user-subscription">
    <w:name w:val="user-subscription"/>
    <w:basedOn w:val="Normal"/>
    <w:rsid w:val="00484D86"/>
    <w:pPr>
      <w:spacing w:before="100" w:beforeAutospacing="1" w:after="100" w:afterAutospacing="1" w:line="240" w:lineRule="auto"/>
    </w:pPr>
    <w:rPr>
      <w:rFonts w:ascii="Times New Roman" w:eastAsia="Times New Roman" w:hAnsi="Times New Roman" w:cs="Times New Roman"/>
      <w:sz w:val="24"/>
      <w:szCs w:val="24"/>
      <w:lang w:eastAsia="en-NZ"/>
    </w:rPr>
  </w:style>
  <w:style w:type="table" w:styleId="GridTable5Dark-Accent2">
    <w:name w:val="Grid Table 5 Dark Accent 2"/>
    <w:basedOn w:val="TableNormal"/>
    <w:uiPriority w:val="50"/>
    <w:rsid w:val="003A34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MediumGrid3-Accent5">
    <w:name w:val="Medium Grid 3 Accent 5"/>
    <w:basedOn w:val="TableNormal"/>
    <w:uiPriority w:val="69"/>
    <w:rsid w:val="005918AB"/>
    <w:pPr>
      <w:widowControl/>
      <w:spacing w:after="0" w:line="240" w:lineRule="auto"/>
    </w:pPr>
    <w:rPr>
      <w:rFonts w:ascii="Times New Roman" w:eastAsia="Times New Roman" w:hAnsi="Times New Roman" w:cs="Times New Roman"/>
      <w:lang w:val="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Heading1nonumChar">
    <w:name w:val="Heading 1 (no num) Char"/>
    <w:link w:val="Heading1nonum"/>
    <w:uiPriority w:val="5"/>
    <w:rsid w:val="005918AB"/>
    <w:rPr>
      <w:rFonts w:ascii="Metropolis Black" w:eastAsia="Times New Roman" w:hAnsi="Metropolis Black" w:cs="Times New Roman"/>
      <w:b/>
      <w:color w:val="C96D61"/>
      <w:sz w:val="66"/>
      <w:szCs w:val="24"/>
      <w:lang w:val="en-NZ" w:eastAsia="en-AU"/>
    </w:rPr>
  </w:style>
  <w:style w:type="paragraph" w:customStyle="1" w:styleId="TOCPartdivider">
    <w:name w:val="TOC Part divider"/>
    <w:basedOn w:val="TOCHeading"/>
    <w:link w:val="TOCPartdividerChar"/>
    <w:uiPriority w:val="8"/>
    <w:qFormat/>
    <w:rsid w:val="005918AB"/>
    <w:pPr>
      <w:spacing w:before="360"/>
    </w:pPr>
    <w:rPr>
      <w:rFonts w:ascii="Metropolis" w:eastAsia="SimHei" w:hAnsi="Metropolis" w:cs="Times New Roman"/>
      <w:color w:val="5CA0B9"/>
    </w:rPr>
  </w:style>
  <w:style w:type="character" w:customStyle="1" w:styleId="TOCHeadingChar">
    <w:name w:val="TOC Heading Char"/>
    <w:link w:val="TOCHeading"/>
    <w:uiPriority w:val="39"/>
    <w:rsid w:val="005918AB"/>
    <w:rPr>
      <w:rFonts w:ascii="Times New Roman" w:eastAsiaTheme="majorEastAsia" w:hAnsi="Times New Roman" w:cstheme="majorBidi"/>
      <w:b/>
      <w:bCs/>
      <w:caps/>
      <w:color w:val="C96D61"/>
      <w:szCs w:val="28"/>
      <w:lang w:val="en-NZ" w:eastAsia="ja-JP"/>
    </w:rPr>
  </w:style>
  <w:style w:type="character" w:customStyle="1" w:styleId="TOCPartdividerChar">
    <w:name w:val="TOC Part divider Char"/>
    <w:link w:val="TOCPartdivider"/>
    <w:uiPriority w:val="8"/>
    <w:rsid w:val="005918AB"/>
    <w:rPr>
      <w:rFonts w:ascii="Metropolis" w:eastAsia="SimHei" w:hAnsi="Metropolis" w:cs="Times New Roman"/>
      <w:b/>
      <w:bCs/>
      <w:caps/>
      <w:color w:val="5CA0B9"/>
      <w:szCs w:val="28"/>
      <w:lang w:val="en-NZ" w:eastAsia="ja-JP"/>
    </w:rPr>
  </w:style>
  <w:style w:type="paragraph" w:customStyle="1" w:styleId="xmsobodytext">
    <w:name w:val="x_msobodytext"/>
    <w:basedOn w:val="Normal"/>
    <w:rsid w:val="005918AB"/>
    <w:pPr>
      <w:spacing w:line="240" w:lineRule="auto"/>
    </w:pPr>
    <w:rPr>
      <w:rFonts w:ascii="Calibri" w:hAnsi="Calibri"/>
      <w:lang w:eastAsia="en-NZ"/>
    </w:rPr>
  </w:style>
  <w:style w:type="character" w:customStyle="1" w:styleId="BalloonTextChar">
    <w:name w:val="Balloon Text Char"/>
    <w:basedOn w:val="DefaultParagraphFont"/>
    <w:uiPriority w:val="99"/>
    <w:semiHidden/>
    <w:rsid w:val="008555C4"/>
    <w:rPr>
      <w:rFonts w:ascii="Lucida Grande" w:hAnsi="Lucida Grande"/>
      <w:sz w:val="18"/>
      <w:szCs w:val="18"/>
    </w:rPr>
  </w:style>
  <w:style w:type="paragraph" w:customStyle="1" w:styleId="InsideCoverTextspacebefore">
    <w:name w:val="Inside Cover Text space before"/>
    <w:basedOn w:val="InsideCoverText"/>
    <w:next w:val="InsideCoverText"/>
    <w:uiPriority w:val="22"/>
    <w:qFormat/>
    <w:rsid w:val="008555C4"/>
    <w:pPr>
      <w:spacing w:before="280"/>
    </w:pPr>
  </w:style>
  <w:style w:type="paragraph" w:customStyle="1" w:styleId="RecommendationText">
    <w:name w:val="Recommendation Text"/>
    <w:uiPriority w:val="11"/>
    <w:qFormat/>
    <w:rsid w:val="008555C4"/>
    <w:pPr>
      <w:widowControl/>
      <w:numPr>
        <w:numId w:val="23"/>
      </w:numPr>
      <w:shd w:val="clear" w:color="auto" w:fill="E9C2BD"/>
      <w:suppressAutoHyphens/>
      <w:autoSpaceDE w:val="0"/>
      <w:autoSpaceDN w:val="0"/>
      <w:adjustRightInd w:val="0"/>
      <w:spacing w:before="80" w:after="80" w:line="360" w:lineRule="auto"/>
      <w:jc w:val="both"/>
      <w:textAlignment w:val="center"/>
    </w:pPr>
    <w:rPr>
      <w:rFonts w:ascii="Metropolis Light" w:eastAsia="Times New Roman" w:hAnsi="Metropolis Light" w:cs="Times New Roman"/>
      <w:sz w:val="20"/>
      <w:szCs w:val="20"/>
      <w:lang w:val="en-NZ"/>
    </w:rPr>
  </w:style>
  <w:style w:type="paragraph" w:customStyle="1" w:styleId="RecommendationText3">
    <w:name w:val="Recommendation Text 3"/>
    <w:basedOn w:val="RecommendationText"/>
    <w:uiPriority w:val="12"/>
    <w:qFormat/>
    <w:rsid w:val="008555C4"/>
    <w:pPr>
      <w:numPr>
        <w:ilvl w:val="2"/>
      </w:numPr>
    </w:pPr>
  </w:style>
  <w:style w:type="paragraph" w:customStyle="1" w:styleId="ListRomanNumeral">
    <w:name w:val="List Roman Numeral"/>
    <w:uiPriority w:val="4"/>
    <w:qFormat/>
    <w:rsid w:val="008555C4"/>
    <w:pPr>
      <w:widowControl/>
      <w:numPr>
        <w:ilvl w:val="3"/>
        <w:numId w:val="8"/>
      </w:numPr>
      <w:spacing w:before="80" w:after="80" w:line="360" w:lineRule="auto"/>
    </w:pPr>
    <w:rPr>
      <w:rFonts w:ascii="Metropolis Light" w:eastAsia="Times New Roman" w:hAnsi="Metropolis Light" w:cs="Times New Roman"/>
      <w:sz w:val="20"/>
      <w:szCs w:val="24"/>
      <w:lang w:val="en-NZ" w:eastAsia="en-AU"/>
    </w:rPr>
  </w:style>
  <w:style w:type="character" w:customStyle="1" w:styleId="QuoteBulletChar">
    <w:name w:val="Quote Bullet Char"/>
    <w:basedOn w:val="QuoteChar"/>
    <w:link w:val="QuoteBullet"/>
    <w:uiPriority w:val="7"/>
    <w:rsid w:val="008555C4"/>
    <w:rPr>
      <w:rFonts w:ascii="Metropolis Light" w:eastAsia="Times New Roman" w:hAnsi="Metropolis Light" w:cs="Times New Roman"/>
      <w:sz w:val="18"/>
      <w:szCs w:val="24"/>
      <w:lang w:val="en-NZ" w:eastAsia="en-AU"/>
    </w:rPr>
  </w:style>
  <w:style w:type="paragraph" w:customStyle="1" w:styleId="InsideCoverTextGreen">
    <w:name w:val="Inside Cover Text Green"/>
    <w:basedOn w:val="InsideCoverText"/>
    <w:uiPriority w:val="23"/>
    <w:qFormat/>
    <w:rsid w:val="008555C4"/>
    <w:pPr>
      <w:spacing w:before="280"/>
    </w:pPr>
    <w:rPr>
      <w:color w:val="C96D61"/>
    </w:rPr>
  </w:style>
  <w:style w:type="paragraph" w:customStyle="1" w:styleId="RecommendationQuote">
    <w:name w:val="Recommendation Quote"/>
    <w:basedOn w:val="RecommendationText2"/>
    <w:uiPriority w:val="14"/>
    <w:qFormat/>
    <w:rsid w:val="008555C4"/>
    <w:pPr>
      <w:spacing w:before="100" w:after="100"/>
    </w:pPr>
    <w:rPr>
      <w:i/>
    </w:rPr>
  </w:style>
  <w:style w:type="paragraph" w:customStyle="1" w:styleId="PartAppendicesHeading">
    <w:name w:val="Part/Appendices Heading"/>
    <w:next w:val="Heading1"/>
    <w:uiPriority w:val="10"/>
    <w:qFormat/>
    <w:rsid w:val="008555C4"/>
    <w:pPr>
      <w:keepNext/>
      <w:widowControl/>
      <w:spacing w:after="500" w:line="760" w:lineRule="atLeast"/>
    </w:pPr>
    <w:rPr>
      <w:rFonts w:ascii="Metropolis" w:eastAsia="Times New Roman" w:hAnsi="Metropolis" w:cs="Times New Roman"/>
      <w:b/>
      <w:caps/>
      <w:color w:val="003300"/>
      <w:spacing w:val="2"/>
      <w:sz w:val="50"/>
      <w:szCs w:val="24"/>
      <w:lang w:val="en-NZ" w:eastAsia="en-AU"/>
    </w:rPr>
  </w:style>
  <w:style w:type="paragraph" w:customStyle="1" w:styleId="RecommendationText2">
    <w:name w:val="Recommendation Text 2"/>
    <w:basedOn w:val="RecommendationText"/>
    <w:uiPriority w:val="12"/>
    <w:qFormat/>
    <w:rsid w:val="008555C4"/>
    <w:pPr>
      <w:numPr>
        <w:ilvl w:val="1"/>
      </w:numPr>
    </w:pPr>
  </w:style>
  <w:style w:type="paragraph" w:customStyle="1" w:styleId="RecommendationBullet">
    <w:name w:val="Recommendation Bullet"/>
    <w:basedOn w:val="RecommendationText2"/>
    <w:uiPriority w:val="15"/>
    <w:qFormat/>
    <w:rsid w:val="008555C4"/>
    <w:pPr>
      <w:numPr>
        <w:ilvl w:val="0"/>
        <w:numId w:val="25"/>
      </w:numPr>
    </w:pPr>
  </w:style>
  <w:style w:type="paragraph" w:customStyle="1" w:styleId="QuoteBullet">
    <w:name w:val="Quote Bullet"/>
    <w:basedOn w:val="Quote"/>
    <w:link w:val="QuoteBulletChar"/>
    <w:uiPriority w:val="7"/>
    <w:qFormat/>
    <w:rsid w:val="008555C4"/>
    <w:pPr>
      <w:numPr>
        <w:numId w:val="24"/>
      </w:numPr>
    </w:pPr>
  </w:style>
  <w:style w:type="paragraph" w:customStyle="1" w:styleId="QuoteBullet2">
    <w:name w:val="Quote Bullet 2"/>
    <w:basedOn w:val="QuoteBullet"/>
    <w:uiPriority w:val="7"/>
    <w:rsid w:val="008555C4"/>
    <w:pPr>
      <w:numPr>
        <w:ilvl w:val="1"/>
      </w:numPr>
    </w:pPr>
  </w:style>
  <w:style w:type="paragraph" w:customStyle="1" w:styleId="QuoteBullet3">
    <w:name w:val="Quote Bullet 3"/>
    <w:basedOn w:val="QuoteBullet"/>
    <w:uiPriority w:val="7"/>
    <w:rsid w:val="008555C4"/>
    <w:pPr>
      <w:numPr>
        <w:ilvl w:val="2"/>
      </w:numPr>
    </w:pPr>
  </w:style>
  <w:style w:type="paragraph" w:customStyle="1" w:styleId="RecommendationBullet2">
    <w:name w:val="Recommendation Bullet 2"/>
    <w:basedOn w:val="RecommendationBullet"/>
    <w:uiPriority w:val="15"/>
    <w:qFormat/>
    <w:rsid w:val="008555C4"/>
    <w:pPr>
      <w:numPr>
        <w:ilvl w:val="1"/>
      </w:numPr>
    </w:pPr>
  </w:style>
  <w:style w:type="paragraph" w:customStyle="1" w:styleId="RecommendationBullet3">
    <w:name w:val="Recommendation Bullet 3"/>
    <w:basedOn w:val="RecommendationBullet"/>
    <w:uiPriority w:val="15"/>
    <w:qFormat/>
    <w:rsid w:val="008555C4"/>
    <w:pPr>
      <w:numPr>
        <w:ilvl w:val="2"/>
      </w:numPr>
    </w:pPr>
  </w:style>
  <w:style w:type="paragraph" w:customStyle="1" w:styleId="RecommendationText4">
    <w:name w:val="Recommendation Text 4"/>
    <w:basedOn w:val="RecommendationText3"/>
    <w:uiPriority w:val="13"/>
    <w:qFormat/>
    <w:rsid w:val="008555C4"/>
    <w:pPr>
      <w:numPr>
        <w:ilvl w:val="3"/>
      </w:numPr>
    </w:pPr>
  </w:style>
  <w:style w:type="paragraph" w:customStyle="1" w:styleId="RecommendationText5">
    <w:name w:val="Recommendation Text 5"/>
    <w:basedOn w:val="RecommendationText4"/>
    <w:uiPriority w:val="13"/>
    <w:qFormat/>
    <w:rsid w:val="008555C4"/>
    <w:pPr>
      <w:numPr>
        <w:ilvl w:val="4"/>
      </w:numPr>
    </w:pPr>
  </w:style>
  <w:style w:type="paragraph" w:customStyle="1" w:styleId="QuestionText">
    <w:name w:val="Question Text"/>
    <w:basedOn w:val="RecommendationText"/>
    <w:uiPriority w:val="16"/>
    <w:qFormat/>
    <w:rsid w:val="008555C4"/>
    <w:pPr>
      <w:numPr>
        <w:numId w:val="26"/>
      </w:numPr>
    </w:pPr>
    <w:rPr>
      <w:lang w:val="en-US" w:eastAsia="en-AU"/>
    </w:rPr>
  </w:style>
  <w:style w:type="paragraph" w:customStyle="1" w:styleId="CommentsText">
    <w:name w:val="Comments Text"/>
    <w:basedOn w:val="RecommendationText"/>
    <w:uiPriority w:val="17"/>
    <w:qFormat/>
    <w:rsid w:val="008555C4"/>
    <w:pPr>
      <w:numPr>
        <w:numId w:val="27"/>
      </w:numPr>
      <w:ind w:left="709" w:hanging="425"/>
    </w:pPr>
    <w:rPr>
      <w:lang w:eastAsia="en-AU"/>
    </w:rPr>
  </w:style>
  <w:style w:type="paragraph" w:customStyle="1" w:styleId="ReferenceText">
    <w:name w:val="Reference Text"/>
    <w:uiPriority w:val="8"/>
    <w:qFormat/>
    <w:rsid w:val="008555C4"/>
    <w:pPr>
      <w:widowControl/>
      <w:spacing w:before="60" w:after="60" w:line="260" w:lineRule="atLeast"/>
      <w:ind w:left="113"/>
    </w:pPr>
    <w:rPr>
      <w:rFonts w:ascii="Calibri" w:eastAsia="Times New Roman" w:hAnsi="Calibri" w:cstheme="majorHAnsi"/>
      <w:color w:val="C96D61"/>
      <w:sz w:val="16"/>
      <w:szCs w:val="16"/>
      <w:lang w:val="en-NZ" w:eastAsia="en-AU"/>
    </w:rPr>
  </w:style>
  <w:style w:type="table" w:customStyle="1" w:styleId="LCTable">
    <w:name w:val="LC Table"/>
    <w:basedOn w:val="TableNormal"/>
    <w:uiPriority w:val="99"/>
    <w:rsid w:val="008555C4"/>
    <w:pPr>
      <w:widowControl/>
      <w:spacing w:before="60" w:after="60" w:line="260" w:lineRule="atLeast"/>
    </w:pPr>
    <w:rPr>
      <w:rFonts w:ascii="Calibri" w:eastAsia="Times New Roman" w:hAnsi="Calibri" w:cs="Times New Roman"/>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1F497D" w:themeColor="text2"/>
      </w:rPr>
      <w:tblPr/>
      <w:tcPr>
        <w:tcBorders>
          <w:top w:val="nil"/>
          <w:left w:val="nil"/>
          <w:bottom w:val="nil"/>
          <w:right w:val="nil"/>
          <w:insideH w:val="nil"/>
          <w:insideV w:val="nil"/>
          <w:tl2br w:val="nil"/>
          <w:tr2bl w:val="nil"/>
        </w:tcBorders>
      </w:tcPr>
    </w:tblStylePr>
    <w:tblStylePr w:type="lastCol">
      <w:rPr>
        <w:b w:val="0"/>
      </w:rPr>
    </w:tblStylePr>
  </w:style>
  <w:style w:type="paragraph" w:customStyle="1" w:styleId="Summaryboxtitle">
    <w:name w:val="Summary box title"/>
    <w:next w:val="Summaryboxtext"/>
    <w:uiPriority w:val="8"/>
    <w:qFormat/>
    <w:rsid w:val="008555C4"/>
    <w:pPr>
      <w:keepNext/>
      <w:widowControl/>
      <w:pBdr>
        <w:top w:val="single" w:sz="18" w:space="7" w:color="C96D61"/>
      </w:pBdr>
      <w:suppressAutoHyphens/>
      <w:kinsoku w:val="0"/>
      <w:adjustRightInd w:val="0"/>
      <w:spacing w:before="240" w:after="170" w:line="280" w:lineRule="atLeast"/>
      <w:jc w:val="both"/>
    </w:pPr>
    <w:rPr>
      <w:rFonts w:ascii="Calibri" w:eastAsia="Times New Roman" w:hAnsi="Calibri" w:cs="Times New Roman"/>
      <w:b/>
      <w:caps/>
      <w:color w:val="C96D61"/>
      <w:spacing w:val="14"/>
      <w:sz w:val="20"/>
      <w:szCs w:val="20"/>
      <w:lang w:val="en-NZ" w:eastAsia="en-AU"/>
    </w:rPr>
  </w:style>
  <w:style w:type="paragraph" w:customStyle="1" w:styleId="Summaryboxtext">
    <w:name w:val="Summary box text"/>
    <w:uiPriority w:val="9"/>
    <w:qFormat/>
    <w:rsid w:val="008555C4"/>
    <w:pPr>
      <w:widowControl/>
      <w:pBdr>
        <w:bottom w:val="single" w:sz="18" w:space="11" w:color="C96D61"/>
      </w:pBdr>
      <w:suppressAutoHyphens/>
      <w:kinsoku w:val="0"/>
      <w:adjustRightInd w:val="0"/>
      <w:spacing w:before="170" w:after="400" w:line="280" w:lineRule="atLeast"/>
      <w:jc w:val="both"/>
    </w:pPr>
    <w:rPr>
      <w:rFonts w:ascii="Calibri" w:eastAsia="Times New Roman" w:hAnsi="Calibri" w:cs="Times New Roman"/>
      <w:color w:val="C96D61"/>
      <w:sz w:val="20"/>
      <w:szCs w:val="20"/>
      <w:lang w:val="en-NZ" w:eastAsia="en-AU"/>
    </w:rPr>
  </w:style>
  <w:style w:type="character" w:customStyle="1" w:styleId="TableSubheadingWhite">
    <w:name w:val="Table Subheading White"/>
    <w:basedOn w:val="DefaultParagraphFont"/>
    <w:uiPriority w:val="1"/>
    <w:qFormat/>
    <w:rsid w:val="008555C4"/>
    <w:rPr>
      <w:rFonts w:ascii="Calibri" w:hAnsi="Calibri"/>
      <w:caps/>
      <w:color w:val="FFFFFF"/>
      <w:sz w:val="18"/>
    </w:rPr>
  </w:style>
  <w:style w:type="numbering" w:customStyle="1" w:styleId="Chapter1">
    <w:name w:val="Chapter1"/>
    <w:uiPriority w:val="99"/>
    <w:rsid w:val="008555C4"/>
    <w:pPr>
      <w:numPr>
        <w:numId w:val="30"/>
      </w:numPr>
    </w:pPr>
  </w:style>
  <w:style w:type="paragraph" w:customStyle="1" w:styleId="InsideCoverText">
    <w:name w:val="Inside Cover Text"/>
    <w:uiPriority w:val="22"/>
    <w:qFormat/>
    <w:rsid w:val="008555C4"/>
    <w:pPr>
      <w:widowControl/>
      <w:spacing w:before="60" w:after="20" w:line="280" w:lineRule="atLeast"/>
      <w:jc w:val="both"/>
    </w:pPr>
    <w:rPr>
      <w:rFonts w:ascii="Metropolis Light" w:eastAsia="Times New Roman" w:hAnsi="Metropolis Light" w:cs="Times New Roman"/>
      <w:sz w:val="20"/>
      <w:szCs w:val="24"/>
      <w:lang w:val="en-NZ" w:eastAsia="en-AU"/>
    </w:rPr>
  </w:style>
  <w:style w:type="paragraph" w:customStyle="1" w:styleId="Heading1anotinTOC">
    <w:name w:val="Heading 1a (not in TOC)"/>
    <w:uiPriority w:val="5"/>
    <w:qFormat/>
    <w:rsid w:val="008555C4"/>
    <w:pPr>
      <w:keepNext/>
      <w:pageBreakBefore/>
      <w:widowControl/>
      <w:spacing w:after="400" w:line="360" w:lineRule="auto"/>
    </w:pPr>
    <w:rPr>
      <w:rFonts w:ascii="Metropolis" w:eastAsia="Times New Roman" w:hAnsi="Metropolis" w:cs="Times New Roman"/>
      <w:b/>
      <w:color w:val="C96D61"/>
      <w:sz w:val="56"/>
      <w:szCs w:val="24"/>
      <w:lang w:val="en-NZ" w:eastAsia="en-AU"/>
    </w:rPr>
  </w:style>
  <w:style w:type="paragraph" w:customStyle="1" w:styleId="QuoteIndent1">
    <w:name w:val="Quote Indent 1"/>
    <w:basedOn w:val="Quote"/>
    <w:uiPriority w:val="6"/>
    <w:qFormat/>
    <w:rsid w:val="008555C4"/>
    <w:pPr>
      <w:numPr>
        <w:ilvl w:val="1"/>
      </w:numPr>
    </w:pPr>
  </w:style>
  <w:style w:type="paragraph" w:customStyle="1" w:styleId="QuoteIndent2">
    <w:name w:val="Quote Indent 2"/>
    <w:basedOn w:val="QuoteIndent1"/>
    <w:uiPriority w:val="6"/>
    <w:qFormat/>
    <w:rsid w:val="008555C4"/>
    <w:pPr>
      <w:numPr>
        <w:ilvl w:val="2"/>
      </w:numPr>
    </w:pPr>
  </w:style>
  <w:style w:type="paragraph" w:customStyle="1" w:styleId="FootnoteBullet">
    <w:name w:val="Footnote Bullet"/>
    <w:basedOn w:val="FootnoteText"/>
    <w:uiPriority w:val="34"/>
    <w:qFormat/>
    <w:rsid w:val="008555C4"/>
    <w:pPr>
      <w:numPr>
        <w:numId w:val="28"/>
      </w:numPr>
    </w:pPr>
    <w:rPr>
      <w:color w:val="005745"/>
      <w:szCs w:val="17"/>
    </w:rPr>
  </w:style>
  <w:style w:type="paragraph" w:customStyle="1" w:styleId="FootnoteQuote">
    <w:name w:val="Footnote Quote"/>
    <w:basedOn w:val="FootnoteText"/>
    <w:uiPriority w:val="34"/>
    <w:qFormat/>
    <w:rsid w:val="008555C4"/>
    <w:pPr>
      <w:ind w:left="851" w:firstLine="0"/>
    </w:pPr>
    <w:rPr>
      <w:rFonts w:asciiTheme="majorHAnsi" w:hAnsiTheme="majorHAnsi"/>
      <w:sz w:val="13"/>
    </w:rPr>
  </w:style>
  <w:style w:type="paragraph" w:customStyle="1" w:styleId="FootnoteNumbered">
    <w:name w:val="Footnote Numbered"/>
    <w:basedOn w:val="FootnoteText"/>
    <w:uiPriority w:val="34"/>
    <w:qFormat/>
    <w:rsid w:val="008555C4"/>
    <w:pPr>
      <w:numPr>
        <w:numId w:val="29"/>
      </w:numPr>
    </w:pPr>
  </w:style>
  <w:style w:type="paragraph" w:customStyle="1" w:styleId="FootnoteNumbered2">
    <w:name w:val="Footnote Numbered 2"/>
    <w:basedOn w:val="FootnoteNumbered"/>
    <w:uiPriority w:val="34"/>
    <w:qFormat/>
    <w:rsid w:val="008555C4"/>
    <w:pPr>
      <w:numPr>
        <w:ilvl w:val="1"/>
      </w:numPr>
    </w:pPr>
  </w:style>
  <w:style w:type="paragraph" w:customStyle="1" w:styleId="FootnoteNumbered3">
    <w:name w:val="Footnote Numbered 3"/>
    <w:basedOn w:val="FootnoteNumbered"/>
    <w:uiPriority w:val="34"/>
    <w:qFormat/>
    <w:rsid w:val="008555C4"/>
    <w:pPr>
      <w:numPr>
        <w:ilvl w:val="2"/>
      </w:numPr>
      <w:ind w:left="1418"/>
    </w:pPr>
  </w:style>
  <w:style w:type="paragraph" w:customStyle="1" w:styleId="Summarybodytext">
    <w:name w:val="Summary bodytext"/>
    <w:basedOn w:val="BodyText"/>
    <w:uiPriority w:val="8"/>
    <w:qFormat/>
    <w:rsid w:val="008555C4"/>
    <w:pPr>
      <w:numPr>
        <w:numId w:val="34"/>
      </w:numPr>
      <w:ind w:left="709" w:hanging="709"/>
    </w:pPr>
  </w:style>
  <w:style w:type="paragraph" w:customStyle="1" w:styleId="Recommendationheading">
    <w:name w:val="Recommendation heading"/>
    <w:next w:val="RecommendationText"/>
    <w:uiPriority w:val="8"/>
    <w:qFormat/>
    <w:rsid w:val="008555C4"/>
    <w:pPr>
      <w:widowControl/>
      <w:shd w:val="clear" w:color="auto" w:fill="C96D61"/>
      <w:spacing w:before="120" w:after="60" w:line="240" w:lineRule="auto"/>
    </w:pPr>
    <w:rPr>
      <w:rFonts w:ascii="Calibri" w:eastAsia="Times New Roman" w:hAnsi="Calibri" w:cs="Times New Roman"/>
      <w:b/>
      <w:caps/>
      <w:color w:val="FFFFFF" w:themeColor="background1"/>
      <w:spacing w:val="24"/>
      <w:sz w:val="20"/>
      <w:lang w:val="en-NZ" w:eastAsia="en-AU"/>
    </w:rPr>
  </w:style>
  <w:style w:type="character" w:customStyle="1" w:styleId="CoverPublicationTypeandNumber">
    <w:name w:val="Cover Publication Type and Number"/>
    <w:basedOn w:val="DefaultParagraphFont"/>
    <w:uiPriority w:val="9"/>
    <w:qFormat/>
    <w:rsid w:val="008555C4"/>
    <w:rPr>
      <w:rFonts w:ascii="Calibri" w:hAnsi="Calibri"/>
      <w:spacing w:val="54"/>
    </w:rPr>
  </w:style>
  <w:style w:type="paragraph" w:customStyle="1" w:styleId="CoverTitle">
    <w:name w:val="Cover Title"/>
    <w:basedOn w:val="Title"/>
    <w:uiPriority w:val="8"/>
    <w:qFormat/>
    <w:rsid w:val="008555C4"/>
    <w:rPr>
      <w:rFonts w:ascii="Metropolis" w:hAnsi="Metropolis"/>
    </w:rPr>
  </w:style>
  <w:style w:type="paragraph" w:customStyle="1" w:styleId="CoverSubtitle">
    <w:name w:val="Cover Subtitle"/>
    <w:basedOn w:val="Subtitle"/>
    <w:uiPriority w:val="8"/>
    <w:qFormat/>
    <w:rsid w:val="008555C4"/>
    <w:rPr>
      <w:rFonts w:ascii="Metropolis" w:hAnsi="Metropolis"/>
    </w:rPr>
  </w:style>
  <w:style w:type="paragraph" w:customStyle="1" w:styleId="CoverDate">
    <w:name w:val="Cover Date"/>
    <w:basedOn w:val="Normal"/>
    <w:uiPriority w:val="8"/>
    <w:qFormat/>
    <w:rsid w:val="008555C4"/>
    <w:pPr>
      <w:spacing w:before="57" w:after="57"/>
      <w:jc w:val="right"/>
    </w:pPr>
    <w:rPr>
      <w:color w:val="C96D61"/>
    </w:rPr>
  </w:style>
  <w:style w:type="table" w:customStyle="1" w:styleId="LCTableFinancial">
    <w:name w:val="LC Table Financial"/>
    <w:basedOn w:val="TableNormal"/>
    <w:uiPriority w:val="99"/>
    <w:rsid w:val="008555C4"/>
    <w:pPr>
      <w:widowControl/>
      <w:spacing w:before="60" w:after="60" w:line="260" w:lineRule="atLeast"/>
      <w:jc w:val="center"/>
    </w:pPr>
    <w:rPr>
      <w:rFonts w:ascii="Calibri" w:eastAsia="Times New Roman" w:hAnsi="Calibri" w:cs="Times New Roman"/>
      <w:color w:val="000000" w:themeColor="text1"/>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pPr>
      <w:rPr>
        <w:caps/>
        <w:smallCaps w:val="0"/>
        <w:color w:val="FFFFFF"/>
      </w:rPr>
      <w:tblPr/>
      <w:tcPr>
        <w:shd w:val="clear" w:color="auto" w:fill="6BA539"/>
      </w:tcPr>
    </w:tblStylePr>
    <w:tblStylePr w:type="lastRow">
      <w:rPr>
        <w:b/>
      </w:rPr>
    </w:tblStylePr>
    <w:tblStylePr w:type="firstCol">
      <w:pPr>
        <w:wordWrap/>
        <w:jc w:val="left"/>
      </w:pPr>
    </w:tblStylePr>
  </w:style>
  <w:style w:type="paragraph" w:customStyle="1" w:styleId="QuoteIndent0">
    <w:name w:val="Quote Indent 0"/>
    <w:basedOn w:val="Quote"/>
    <w:uiPriority w:val="6"/>
    <w:qFormat/>
    <w:rsid w:val="008555C4"/>
    <w:pPr>
      <w:ind w:hanging="284"/>
    </w:pPr>
  </w:style>
  <w:style w:type="paragraph" w:customStyle="1" w:styleId="TableHeading">
    <w:name w:val="Table Heading"/>
    <w:basedOn w:val="Normal"/>
    <w:uiPriority w:val="8"/>
    <w:qFormat/>
    <w:rsid w:val="008555C4"/>
    <w:pPr>
      <w:spacing w:before="60"/>
    </w:pPr>
    <w:rPr>
      <w:caps/>
      <w:color w:val="FFFFFF"/>
      <w:sz w:val="18"/>
    </w:rPr>
  </w:style>
  <w:style w:type="paragraph" w:customStyle="1" w:styleId="LegislationIndent0">
    <w:name w:val="Legislation Indent 0"/>
    <w:basedOn w:val="LegislationBodytext"/>
    <w:uiPriority w:val="8"/>
    <w:qFormat/>
    <w:rsid w:val="008555C4"/>
    <w:pPr>
      <w:ind w:left="1276" w:hanging="709"/>
    </w:pPr>
  </w:style>
  <w:style w:type="paragraph" w:customStyle="1" w:styleId="LegislationSubheading1">
    <w:name w:val="Legislation Subheading 1"/>
    <w:basedOn w:val="BodyText"/>
    <w:uiPriority w:val="8"/>
    <w:qFormat/>
    <w:rsid w:val="008555C4"/>
    <w:pPr>
      <w:ind w:left="0" w:firstLine="0"/>
    </w:pPr>
    <w:rPr>
      <w:b/>
    </w:rPr>
  </w:style>
  <w:style w:type="paragraph" w:customStyle="1" w:styleId="LegislationNumberedSubheading">
    <w:name w:val="Legislation Numbered Subheading"/>
    <w:basedOn w:val="LegislationSubheading1"/>
    <w:uiPriority w:val="8"/>
    <w:qFormat/>
    <w:rsid w:val="008555C4"/>
    <w:pPr>
      <w:ind w:left="709" w:hanging="709"/>
    </w:pPr>
  </w:style>
  <w:style w:type="paragraph" w:customStyle="1" w:styleId="LegislationBodytext">
    <w:name w:val="Legislation Bodytext"/>
    <w:basedOn w:val="Normal"/>
    <w:uiPriority w:val="8"/>
    <w:qFormat/>
    <w:rsid w:val="008555C4"/>
    <w:pPr>
      <w:ind w:left="567"/>
    </w:pPr>
  </w:style>
  <w:style w:type="paragraph" w:customStyle="1" w:styleId="LegislationIndent1">
    <w:name w:val="Legislation Indent 1"/>
    <w:basedOn w:val="LegislationIndent0"/>
    <w:uiPriority w:val="8"/>
    <w:qFormat/>
    <w:rsid w:val="008555C4"/>
    <w:pPr>
      <w:ind w:left="1843" w:hanging="567"/>
    </w:pPr>
  </w:style>
  <w:style w:type="paragraph" w:customStyle="1" w:styleId="LegislationSubheading2">
    <w:name w:val="Legislation Subheading 2"/>
    <w:basedOn w:val="LegislationSubheading1"/>
    <w:uiPriority w:val="8"/>
    <w:qFormat/>
    <w:rsid w:val="008555C4"/>
    <w:pPr>
      <w:jc w:val="center"/>
    </w:pPr>
    <w:rPr>
      <w:b w:val="0"/>
      <w:i/>
    </w:rPr>
  </w:style>
  <w:style w:type="paragraph" w:customStyle="1" w:styleId="LegislationIndent2">
    <w:name w:val="Legislation Indent 2"/>
    <w:basedOn w:val="LegislationIndent1"/>
    <w:uiPriority w:val="8"/>
    <w:qFormat/>
    <w:rsid w:val="008555C4"/>
    <w:pPr>
      <w:ind w:left="2268" w:hanging="425"/>
    </w:pPr>
  </w:style>
  <w:style w:type="paragraph" w:customStyle="1" w:styleId="G1GuidelinesText">
    <w:name w:val="G1 Guidelines Text"/>
    <w:basedOn w:val="RecommendationText"/>
    <w:uiPriority w:val="8"/>
    <w:qFormat/>
    <w:rsid w:val="008555C4"/>
    <w:pPr>
      <w:framePr w:wrap="around" w:vAnchor="text" w:hAnchor="text" w:y="1"/>
      <w:numPr>
        <w:numId w:val="31"/>
      </w:numPr>
    </w:pPr>
  </w:style>
  <w:style w:type="paragraph" w:customStyle="1" w:styleId="RecommendationText1">
    <w:name w:val="Recommendation Text 1"/>
    <w:basedOn w:val="RecommendationText"/>
    <w:uiPriority w:val="8"/>
    <w:qFormat/>
    <w:rsid w:val="008555C4"/>
    <w:pPr>
      <w:numPr>
        <w:numId w:val="0"/>
      </w:numPr>
      <w:ind w:left="709"/>
    </w:pPr>
  </w:style>
  <w:style w:type="paragraph" w:customStyle="1" w:styleId="Introindent">
    <w:name w:val="Intro indent"/>
    <w:basedOn w:val="Normal"/>
    <w:next w:val="Normal"/>
    <w:qFormat/>
    <w:rsid w:val="008555C4"/>
    <w:pPr>
      <w:widowControl w:val="0"/>
      <w:spacing w:after="200" w:line="276" w:lineRule="auto"/>
      <w:ind w:left="680"/>
      <w:jc w:val="both"/>
    </w:pPr>
    <w:rPr>
      <w:rFonts w:ascii="Calibri Light" w:hAnsi="Calibri Light"/>
      <w:lang w:val="en-US"/>
    </w:rPr>
  </w:style>
  <w:style w:type="paragraph" w:customStyle="1" w:styleId="paragraph">
    <w:name w:val="paragraph"/>
    <w:basedOn w:val="Normal"/>
    <w:rsid w:val="008555C4"/>
    <w:pPr>
      <w:spacing w:before="100" w:beforeAutospacing="1" w:after="100" w:afterAutospacing="1" w:line="240" w:lineRule="auto"/>
    </w:pPr>
    <w:rPr>
      <w:lang w:eastAsia="en-NZ"/>
    </w:rPr>
  </w:style>
  <w:style w:type="character" w:customStyle="1" w:styleId="normaltextrun">
    <w:name w:val="normaltextrun"/>
    <w:basedOn w:val="DefaultParagraphFont"/>
    <w:rsid w:val="008555C4"/>
  </w:style>
  <w:style w:type="character" w:customStyle="1" w:styleId="eop">
    <w:name w:val="eop"/>
    <w:basedOn w:val="DefaultParagraphFont"/>
    <w:rsid w:val="008555C4"/>
  </w:style>
  <w:style w:type="paragraph" w:customStyle="1" w:styleId="HEADING2topchapter-notinTOC">
    <w:name w:val="HEADING 2 ( top chapter - not in TOC)"/>
    <w:basedOn w:val="Normal"/>
    <w:link w:val="HEADING2topchapter-notinTOCChar"/>
    <w:uiPriority w:val="8"/>
    <w:qFormat/>
    <w:rsid w:val="008555C4"/>
    <w:pPr>
      <w:pageBreakBefore/>
      <w:spacing w:after="240" w:line="240" w:lineRule="auto"/>
      <w:ind w:right="-23"/>
    </w:pPr>
    <w:rPr>
      <w:rFonts w:ascii="Metropolis" w:eastAsia="Metropolis" w:hAnsi="Metropolis" w:cs="Metropolis"/>
      <w:b/>
      <w:bCs/>
      <w:color w:val="C96D61"/>
    </w:rPr>
  </w:style>
  <w:style w:type="character" w:customStyle="1" w:styleId="HEADING2topchapter-notinTOCChar">
    <w:name w:val="HEADING 2 ( top chapter - not in TOC) Char"/>
    <w:basedOn w:val="DefaultParagraphFont"/>
    <w:link w:val="HEADING2topchapter-notinTOC"/>
    <w:uiPriority w:val="8"/>
    <w:rsid w:val="008555C4"/>
    <w:rPr>
      <w:rFonts w:ascii="Metropolis" w:eastAsia="Metropolis" w:hAnsi="Metropolis" w:cs="Metropolis"/>
      <w:b/>
      <w:bCs/>
      <w:color w:val="C96D61"/>
      <w:sz w:val="20"/>
      <w:lang w:val="en-NZ"/>
    </w:rPr>
  </w:style>
  <w:style w:type="paragraph" w:customStyle="1" w:styleId="Boxbullet1">
    <w:name w:val="Box bullet 1"/>
    <w:basedOn w:val="BodyTextnonum"/>
    <w:link w:val="Boxbullet1Char"/>
    <w:uiPriority w:val="8"/>
    <w:qFormat/>
    <w:rsid w:val="008555C4"/>
    <w:pPr>
      <w:ind w:left="425" w:hanging="425"/>
    </w:pPr>
    <w:rPr>
      <w:sz w:val="18"/>
      <w:szCs w:val="18"/>
    </w:rPr>
  </w:style>
  <w:style w:type="paragraph" w:customStyle="1" w:styleId="BoxBullet2">
    <w:name w:val="Box Bullet 2"/>
    <w:basedOn w:val="ListBullet2"/>
    <w:link w:val="BoxBullet2Char"/>
    <w:uiPriority w:val="8"/>
    <w:qFormat/>
    <w:rsid w:val="008555C4"/>
    <w:pPr>
      <w:numPr>
        <w:ilvl w:val="1"/>
        <w:numId w:val="32"/>
      </w:numPr>
      <w:ind w:left="850"/>
    </w:pPr>
    <w:rPr>
      <w:sz w:val="18"/>
      <w:szCs w:val="18"/>
    </w:rPr>
  </w:style>
  <w:style w:type="character" w:customStyle="1" w:styleId="Boxbullet1Char">
    <w:name w:val="Box bullet 1 Char"/>
    <w:basedOn w:val="BodyTextnonumChar"/>
    <w:link w:val="Boxbullet1"/>
    <w:uiPriority w:val="8"/>
    <w:rsid w:val="008555C4"/>
    <w:rPr>
      <w:rFonts w:ascii="Metropolis Light" w:eastAsia="Times New Roman" w:hAnsi="Metropolis Light" w:cs="Times New Roman"/>
      <w:sz w:val="18"/>
      <w:szCs w:val="18"/>
      <w:lang w:val="en-NZ" w:eastAsia="en-AU"/>
    </w:rPr>
  </w:style>
  <w:style w:type="character" w:customStyle="1" w:styleId="BoxBullet2Char">
    <w:name w:val="Box Bullet 2 Char"/>
    <w:basedOn w:val="ListBullet2Char"/>
    <w:link w:val="BoxBullet2"/>
    <w:uiPriority w:val="8"/>
    <w:rsid w:val="008555C4"/>
    <w:rPr>
      <w:rFonts w:ascii="Metropolis Light" w:eastAsia="Times New Roman" w:hAnsi="Metropolis Light" w:cs="Times New Roman"/>
      <w:sz w:val="18"/>
      <w:szCs w:val="18"/>
      <w:lang w:val="en-NZ" w:eastAsia="en-AU"/>
    </w:rPr>
  </w:style>
  <w:style w:type="paragraph" w:customStyle="1" w:styleId="Flowchartbullets">
    <w:name w:val="Flow chart bullets"/>
    <w:basedOn w:val="ListParagraph"/>
    <w:link w:val="FlowchartbulletsChar"/>
    <w:uiPriority w:val="8"/>
    <w:qFormat/>
    <w:rsid w:val="008555C4"/>
    <w:pPr>
      <w:numPr>
        <w:numId w:val="33"/>
      </w:numPr>
      <w:spacing w:after="60"/>
      <w:ind w:left="284" w:right="-187" w:hanging="284"/>
    </w:pPr>
    <w:rPr>
      <w:rFonts w:ascii="Metropolis" w:hAnsi="Metropolis"/>
      <w:sz w:val="18"/>
      <w:szCs w:val="18"/>
    </w:rPr>
  </w:style>
  <w:style w:type="character" w:customStyle="1" w:styleId="FlowchartbulletsChar">
    <w:name w:val="Flow chart bullets Char"/>
    <w:basedOn w:val="ListParagraphChar"/>
    <w:link w:val="Flowchartbullets"/>
    <w:uiPriority w:val="8"/>
    <w:rsid w:val="008555C4"/>
    <w:rPr>
      <w:rFonts w:ascii="Metropolis" w:hAnsi="Metropolis"/>
      <w:sz w:val="18"/>
      <w:szCs w:val="18"/>
      <w:lang w:val="en-NZ"/>
    </w:rPr>
  </w:style>
  <w:style w:type="character" w:customStyle="1" w:styleId="cf01">
    <w:name w:val="cf01"/>
    <w:basedOn w:val="DefaultParagraphFont"/>
    <w:rsid w:val="009F5F79"/>
    <w:rPr>
      <w:rFonts w:ascii="Segoe UI" w:hAnsi="Segoe UI" w:cs="Segoe UI" w:hint="default"/>
      <w:i/>
      <w:iCs/>
      <w:sz w:val="18"/>
      <w:szCs w:val="18"/>
    </w:rPr>
  </w:style>
  <w:style w:type="character" w:customStyle="1" w:styleId="cf11">
    <w:name w:val="cf11"/>
    <w:basedOn w:val="DefaultParagraphFont"/>
    <w:rsid w:val="009F5F79"/>
    <w:rPr>
      <w:rFonts w:ascii="Segoe UI" w:hAnsi="Segoe UI" w:cs="Segoe UI" w:hint="default"/>
      <w:sz w:val="18"/>
      <w:szCs w:val="18"/>
    </w:rPr>
  </w:style>
  <w:style w:type="paragraph" w:customStyle="1" w:styleId="pf0">
    <w:name w:val="pf0"/>
    <w:basedOn w:val="Normal"/>
    <w:rsid w:val="006777D3"/>
    <w:pPr>
      <w:spacing w:before="100" w:beforeAutospacing="1" w:after="100" w:afterAutospacing="1" w:line="240" w:lineRule="auto"/>
    </w:pPr>
    <w:rPr>
      <w:rFonts w:ascii="Times New Roman" w:eastAsia="Times New Roman" w:hAnsi="Times New Roman" w:cs="Times New Roman"/>
      <w:sz w:val="24"/>
      <w:szCs w:val="24"/>
      <w:lang w:eastAsia="zh-CN" w:bidi="th-TH"/>
    </w:rPr>
  </w:style>
  <w:style w:type="character" w:customStyle="1" w:styleId="cf21">
    <w:name w:val="cf21"/>
    <w:basedOn w:val="DefaultParagraphFont"/>
    <w:rsid w:val="00D455A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752776">
      <w:bodyDiv w:val="1"/>
      <w:marLeft w:val="0"/>
      <w:marRight w:val="0"/>
      <w:marTop w:val="0"/>
      <w:marBottom w:val="0"/>
      <w:divBdr>
        <w:top w:val="none" w:sz="0" w:space="0" w:color="auto"/>
        <w:left w:val="none" w:sz="0" w:space="0" w:color="auto"/>
        <w:bottom w:val="none" w:sz="0" w:space="0" w:color="auto"/>
        <w:right w:val="none" w:sz="0" w:space="0" w:color="auto"/>
      </w:divBdr>
    </w:div>
    <w:div w:id="705255175">
      <w:bodyDiv w:val="1"/>
      <w:marLeft w:val="0"/>
      <w:marRight w:val="0"/>
      <w:marTop w:val="0"/>
      <w:marBottom w:val="0"/>
      <w:divBdr>
        <w:top w:val="none" w:sz="0" w:space="0" w:color="auto"/>
        <w:left w:val="none" w:sz="0" w:space="0" w:color="auto"/>
        <w:bottom w:val="none" w:sz="0" w:space="0" w:color="auto"/>
        <w:right w:val="none" w:sz="0" w:space="0" w:color="auto"/>
      </w:divBdr>
    </w:div>
    <w:div w:id="804011650">
      <w:bodyDiv w:val="1"/>
      <w:marLeft w:val="0"/>
      <w:marRight w:val="0"/>
      <w:marTop w:val="0"/>
      <w:marBottom w:val="0"/>
      <w:divBdr>
        <w:top w:val="none" w:sz="0" w:space="0" w:color="auto"/>
        <w:left w:val="none" w:sz="0" w:space="0" w:color="auto"/>
        <w:bottom w:val="none" w:sz="0" w:space="0" w:color="auto"/>
        <w:right w:val="none" w:sz="0" w:space="0" w:color="auto"/>
      </w:divBdr>
    </w:div>
    <w:div w:id="848910694">
      <w:bodyDiv w:val="1"/>
      <w:marLeft w:val="0"/>
      <w:marRight w:val="0"/>
      <w:marTop w:val="0"/>
      <w:marBottom w:val="0"/>
      <w:divBdr>
        <w:top w:val="none" w:sz="0" w:space="0" w:color="auto"/>
        <w:left w:val="none" w:sz="0" w:space="0" w:color="auto"/>
        <w:bottom w:val="none" w:sz="0" w:space="0" w:color="auto"/>
        <w:right w:val="none" w:sz="0" w:space="0" w:color="auto"/>
      </w:divBdr>
    </w:div>
    <w:div w:id="1456484511">
      <w:bodyDiv w:val="1"/>
      <w:marLeft w:val="0"/>
      <w:marRight w:val="0"/>
      <w:marTop w:val="0"/>
      <w:marBottom w:val="0"/>
      <w:divBdr>
        <w:top w:val="none" w:sz="0" w:space="0" w:color="auto"/>
        <w:left w:val="none" w:sz="0" w:space="0" w:color="auto"/>
        <w:bottom w:val="none" w:sz="0" w:space="0" w:color="auto"/>
        <w:right w:val="none" w:sz="0" w:space="0" w:color="auto"/>
      </w:divBdr>
    </w:div>
    <w:div w:id="1484466042">
      <w:bodyDiv w:val="1"/>
      <w:marLeft w:val="0"/>
      <w:marRight w:val="0"/>
      <w:marTop w:val="0"/>
      <w:marBottom w:val="0"/>
      <w:divBdr>
        <w:top w:val="none" w:sz="0" w:space="0" w:color="auto"/>
        <w:left w:val="none" w:sz="0" w:space="0" w:color="auto"/>
        <w:bottom w:val="none" w:sz="0" w:space="0" w:color="auto"/>
        <w:right w:val="none" w:sz="0" w:space="0" w:color="auto"/>
      </w:divBdr>
    </w:div>
    <w:div w:id="1556117578">
      <w:bodyDiv w:val="1"/>
      <w:marLeft w:val="0"/>
      <w:marRight w:val="0"/>
      <w:marTop w:val="0"/>
      <w:marBottom w:val="0"/>
      <w:divBdr>
        <w:top w:val="none" w:sz="0" w:space="0" w:color="auto"/>
        <w:left w:val="none" w:sz="0" w:space="0" w:color="auto"/>
        <w:bottom w:val="none" w:sz="0" w:space="0" w:color="auto"/>
        <w:right w:val="none" w:sz="0" w:space="0" w:color="auto"/>
      </w:divBdr>
    </w:div>
    <w:div w:id="19029101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creativecommons.org/licenses/by/4.0/" TargetMode="External"/><Relationship Id="rId26" Type="http://schemas.openxmlformats.org/officeDocument/2006/relationships/header" Target="header6.xml"/><Relationship Id="rId39" Type="http://schemas.openxmlformats.org/officeDocument/2006/relationships/hyperlink" Target="https://www.legislation.govt.nz/act/public/1956/0065/latest/whole.html" TargetMode="External"/><Relationship Id="rId21" Type="http://schemas.openxmlformats.org/officeDocument/2006/relationships/header" Target="header1.xml"/><Relationship Id="rId34" Type="http://schemas.openxmlformats.org/officeDocument/2006/relationships/hyperlink" Target="https://www.legislation.govt.nz/act/public/2020/0012/latest/link.aspx?id=DLM149788" TargetMode="External"/><Relationship Id="rId42" Type="http://schemas.openxmlformats.org/officeDocument/2006/relationships/hyperlink" Target="https://www.legislation.govt.nz/act/public/1956/0065/latest/whole.html" TargetMode="External"/><Relationship Id="rId47" Type="http://schemas.openxmlformats.org/officeDocument/2006/relationships/hyperlink" Target="https://www.legislation.govt.nz/act/public/1993/0087/latest/link.aspx?search=sw_096be8ed81c17e60_epidemic_25_se&amp;p=1&amp;id=DLM404483" TargetMode="External"/><Relationship Id="rId50" Type="http://schemas.openxmlformats.org/officeDocument/2006/relationships/hyperlink" Target="https://www.legislation.govt.nz/regulation/public/2020/0069/latest/whole.html" TargetMode="External"/><Relationship Id="rId55" Type="http://schemas.openxmlformats.org/officeDocument/2006/relationships/header" Target="header1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eader" Target="header9.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hyperlink" Target="https://www.legislation.govt.nz/act/public/2002/0033/51.0/whole.html" TargetMode="External"/><Relationship Id="rId37" Type="http://schemas.openxmlformats.org/officeDocument/2006/relationships/hyperlink" Target="https://www.legislation.govt.nz/act/public/1956/0065/latest/whole.html" TargetMode="External"/><Relationship Id="rId40" Type="http://schemas.openxmlformats.org/officeDocument/2006/relationships/hyperlink" Target="https://www.legislation.govt.nz/act/public/1956/0065/latest/whole.html" TargetMode="External"/><Relationship Id="rId45" Type="http://schemas.openxmlformats.org/officeDocument/2006/relationships/hyperlink" Target="https://www.legislation.govt.nz/act/public/1956/0065/latest/whole.html" TargetMode="External"/><Relationship Id="rId53" Type="http://schemas.openxmlformats.org/officeDocument/2006/relationships/hyperlink" Target="https://gazette.govt.nz/notice/id/2020-go1474" TargetMode="External"/><Relationship Id="rId58" Type="http://schemas.openxmlformats.org/officeDocument/2006/relationships/header" Target="header16.xml"/><Relationship Id="rId5" Type="http://schemas.openxmlformats.org/officeDocument/2006/relationships/customXml" Target="../customXml/item5.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header" Target="header7.xml"/><Relationship Id="rId30" Type="http://schemas.openxmlformats.org/officeDocument/2006/relationships/hyperlink" Target="https://www.legislation.govt.nz/act/public/2010/0114/31.0/whole.html" TargetMode="External"/><Relationship Id="rId35" Type="http://schemas.openxmlformats.org/officeDocument/2006/relationships/hyperlink" Target="https://www.legislation.govt.nz/act/public/1956/0065/latest/whole.html" TargetMode="External"/><Relationship Id="rId43" Type="http://schemas.openxmlformats.org/officeDocument/2006/relationships/hyperlink" Target="https://www.legislation.govt.nz/act/public/1956/0065/latest/whole.html" TargetMode="External"/><Relationship Id="rId48" Type="http://schemas.openxmlformats.org/officeDocument/2006/relationships/header" Target="header11.xml"/><Relationship Id="rId56" Type="http://schemas.openxmlformats.org/officeDocument/2006/relationships/image" Target="media/image8.png"/><Relationship Id="rId8" Type="http://schemas.openxmlformats.org/officeDocument/2006/relationships/settings" Target="settings.xml"/><Relationship Id="rId51"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lawcom.govt.nz" TargetMode="External"/><Relationship Id="rId25" Type="http://schemas.openxmlformats.org/officeDocument/2006/relationships/header" Target="header5.xml"/><Relationship Id="rId33" Type="http://schemas.openxmlformats.org/officeDocument/2006/relationships/hyperlink" Target="https://www.legislation.govt.nz/act/public/1956/0065/latest/link.aspx?id=DLM149788" TargetMode="External"/><Relationship Id="rId38" Type="http://schemas.openxmlformats.org/officeDocument/2006/relationships/hyperlink" Target="https://www.legislation.govt.nz/act/public/1956/0065/latest/whole.html" TargetMode="External"/><Relationship Id="rId46" Type="http://schemas.openxmlformats.org/officeDocument/2006/relationships/hyperlink" Target="https://www.legislation.govt.nz/act/public/1956/0065/latest/whole.html" TargetMode="External"/><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s://www.legislation.govt.nz/act/public/1956/0065/latest/whole.html" TargetMode="External"/><Relationship Id="rId54" Type="http://schemas.openxmlformats.org/officeDocument/2006/relationships/hyperlink" Target="https://gazette.govt.nz/notice/id/2020-go2806"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header" Target="header8.xml"/><Relationship Id="rId36" Type="http://schemas.openxmlformats.org/officeDocument/2006/relationships/hyperlink" Target="https://www.legislation.govt.nz/act/public/1956/0065/latest/whole.html" TargetMode="External"/><Relationship Id="rId49" Type="http://schemas.openxmlformats.org/officeDocument/2006/relationships/header" Target="header12.xml"/><Relationship Id="rId57" Type="http://schemas.openxmlformats.org/officeDocument/2006/relationships/header" Target="header15.xml"/><Relationship Id="rId10" Type="http://schemas.openxmlformats.org/officeDocument/2006/relationships/footnotes" Target="footnotes.xml"/><Relationship Id="rId31" Type="http://schemas.openxmlformats.org/officeDocument/2006/relationships/header" Target="header10.xml"/><Relationship Id="rId44" Type="http://schemas.openxmlformats.org/officeDocument/2006/relationships/hyperlink" Target="https://www.legislation.govt.nz/act/public/1956/0065/latest/whole.html" TargetMode="External"/><Relationship Id="rId52" Type="http://schemas.openxmlformats.org/officeDocument/2006/relationships/hyperlink" Target="https://gazette.govt.nz/notice/id/2020-go1369"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8" Type="http://schemas.openxmlformats.org/officeDocument/2006/relationships/hyperlink" Target="http://www.legislation.govt.nz/regulation/public/2020/0065/latest/LMS337342.html" TargetMode="External"/><Relationship Id="rId3" Type="http://schemas.openxmlformats.org/officeDocument/2006/relationships/hyperlink" Target="http://www.legislation.govt.nz/regulation/public/2020/0052/latest/LMS328172.html" TargetMode="External"/><Relationship Id="rId7" Type="http://schemas.openxmlformats.org/officeDocument/2006/relationships/hyperlink" Target="http://www.legislation.govt.nz/regulation/public/2020/0064/latest/LMS337224.html" TargetMode="External"/><Relationship Id="rId2" Type="http://schemas.openxmlformats.org/officeDocument/2006/relationships/hyperlink" Target="https://www.parliament.nz/resource/en-NZ/SCR_99950/b96a4c27af89de8a3e6abbfa955668439fc3da7c" TargetMode="External"/><Relationship Id="rId1" Type="http://schemas.openxmlformats.org/officeDocument/2006/relationships/hyperlink" Target="https://www.parliament.nz/resource/en-NZ/51DBSCH_SCR71932_1/4c3e70120c8c2d0189705b2f2b1e0575ed1746fa" TargetMode="External"/><Relationship Id="rId6" Type="http://schemas.openxmlformats.org/officeDocument/2006/relationships/hyperlink" Target="http://www.legislation.govt.nz/regulation/public/2020/0063/latest/LMS337268.html" TargetMode="External"/><Relationship Id="rId11" Type="http://schemas.openxmlformats.org/officeDocument/2006/relationships/hyperlink" Target="http://www.legislation.govt.nz/regulation/public/2020/0225/latest/LMS395097.html" TargetMode="External"/><Relationship Id="rId5" Type="http://schemas.openxmlformats.org/officeDocument/2006/relationships/hyperlink" Target="http://www.legislation.govt.nz/regulation/public/2020/0061/latest/LMS335875.html" TargetMode="External"/><Relationship Id="rId10" Type="http://schemas.openxmlformats.org/officeDocument/2006/relationships/hyperlink" Target="http://www.legislation.govt.nz/regulation/public/2020/0075/latest/LMS338949.html" TargetMode="External"/><Relationship Id="rId4" Type="http://schemas.openxmlformats.org/officeDocument/2006/relationships/hyperlink" Target="http://www.legislation.govt.nz/regulation/public/2020/0060/latest/LMS335308.html" TargetMode="External"/><Relationship Id="rId9" Type="http://schemas.openxmlformats.org/officeDocument/2006/relationships/hyperlink" Target="http://www.legislation.govt.nz/regulation/public/2020/0068/latest/LMS338518.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lawcomnz.sharepoint.com/resources/Templates%20%20Forms/Study%20Paper%20-%20Chapter%20-%20Templat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a85b4a20-75c1-47a1-b80d-c24888539def">EFJMHPFX6CZM-1345907454-15</_dlc_DocId>
    <_dlc_DocIdUrl xmlns="a85b4a20-75c1-47a1-b80d-c24888539def">
      <Url>https://lawcomnz.sharepoint.com/Projects/EPP/_layouts/15/DocIdRedir.aspx?ID=EFJMHPFX6CZM-1345907454-15</Url>
      <Description>EFJMHPFX6CZM-1345907454-15</Description>
    </_dlc_DocIdUrl>
    <Document_x0020_Type xmlns="C4B0D8E9-E3D8-48CD-B095-031BD6D97D0F">Full publication</Document_x0020_Type>
    <To_x002d_Address xmlns="C4B0D8E9-E3D8-48CD-B095-031BD6D97D0F" xsi:nil="true"/>
    <From xmlns="C4B0D8E9-E3D8-48CD-B095-031BD6D97D0F" xsi:nil="true"/>
    <Topic xmlns="C4B0D8E9-E3D8-48CD-B095-031BD6D97D0F">Writing</Topic>
    <Sent xmlns="C4B0D8E9-E3D8-48CD-B095-031BD6D97D0F" xsi:nil="true"/>
    <Description0 xmlns="C4B0D8E9-E3D8-48CD-B095-031BD6D97D0F" xsi:nil="true"/>
    <From_x002d_Address xmlns="C4B0D8E9-E3D8-48CD-B095-031BD6D97D0F" xsi:nil="true"/>
    <To xmlns="C4B0D8E9-E3D8-48CD-B095-031BD6D97D0F" xsi:nil="true"/>
    <TaxCatchAll xmlns="a85b4a20-75c1-47a1-b80d-c24888539def" xsi:nil="true"/>
    <Publication_x0020_Type xmlns="C4B0D8E9-E3D8-48CD-B095-031BD6D97D0F">Report</Publication_x0020_Type>
    <SharedWithUsers xmlns="8aef46b2-e9f9-4668-ba1f-6f3688fcd530">
      <UserInfo>
        <DisplayName>Amokura Kawharu</DisplayName>
        <AccountId>2891</AccountId>
        <AccountType/>
      </UserInfo>
      <UserInfo>
        <DisplayName>Janet McLean</DisplayName>
        <AccountId>6223</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65E4DD8524B3D40926F812586B6E37C" ma:contentTypeVersion="1" ma:contentTypeDescription="Create a new document." ma:contentTypeScope="" ma:versionID="3325ac2c9c8e713f5c086d83cd8e9d35">
  <xsd:schema xmlns:xsd="http://www.w3.org/2001/XMLSchema" xmlns:xs="http://www.w3.org/2001/XMLSchema" xmlns:p="http://schemas.microsoft.com/office/2006/metadata/properties" xmlns:ns2="a85b4a20-75c1-47a1-b80d-c24888539def" xmlns:ns3="C4B0D8E9-E3D8-48CD-B095-031BD6D97D0F" xmlns:ns4="8aef46b2-e9f9-4668-ba1f-6f3688fcd530" xmlns:ns5="c4b0d8e9-e3d8-48cd-b095-031bd6d97d0f" targetNamespace="http://schemas.microsoft.com/office/2006/metadata/properties" ma:root="true" ma:fieldsID="254043d789dfd0319641eb02a22d0f76" ns2:_="" ns3:_="" ns4:_="" ns5:_="">
    <xsd:import namespace="a85b4a20-75c1-47a1-b80d-c24888539def"/>
    <xsd:import namespace="C4B0D8E9-E3D8-48CD-B095-031BD6D97D0F"/>
    <xsd:import namespace="8aef46b2-e9f9-4668-ba1f-6f3688fcd530"/>
    <xsd:import namespace="c4b0d8e9-e3d8-48cd-b095-031bd6d97d0f"/>
    <xsd:element name="properties">
      <xsd:complexType>
        <xsd:sequence>
          <xsd:element name="documentManagement">
            <xsd:complexType>
              <xsd:all>
                <xsd:element ref="ns2:_dlc_DocId" minOccurs="0"/>
                <xsd:element ref="ns2:_dlc_DocIdUrl" minOccurs="0"/>
                <xsd:element ref="ns2:_dlc_DocIdPersistId" minOccurs="0"/>
                <xsd:element ref="ns3:Publication_x0020_Type"/>
                <xsd:element ref="ns3:Topic"/>
                <xsd:element ref="ns3:Document_x0020_Type"/>
                <xsd:element ref="ns3:Description0" minOccurs="0"/>
                <xsd:element ref="ns3:From" minOccurs="0"/>
                <xsd:element ref="ns3:From_x002d_Address" minOccurs="0"/>
                <xsd:element ref="ns3:To" minOccurs="0"/>
                <xsd:element ref="ns3:To_x002d_Address" minOccurs="0"/>
                <xsd:element ref="ns3:Sent" minOccurs="0"/>
                <xsd:element ref="ns2:TaxCatchAll" minOccurs="0"/>
                <xsd:element ref="ns3:MediaServiceMetadata" minOccurs="0"/>
                <xsd:element ref="ns3:MediaServiceFastMetadata" minOccurs="0"/>
                <xsd:element ref="ns4:SharedWithUsers" minOccurs="0"/>
                <xsd:element ref="ns4:SharedWithDetails" minOccurs="0"/>
                <xsd:element ref="ns3:MediaServiceEventHashCode" minOccurs="0"/>
                <xsd:element ref="ns3:MediaServiceGenerationTime" minOccurs="0"/>
                <xsd:element ref="ns3:MediaServiceAutoKeyPoints" minOccurs="0"/>
                <xsd:element ref="ns3:MediaServiceKeyPoint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b4a20-75c1-47a1-b80d-c24888539d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95880c4a-8671-4e7e-a0b6-a7224b920e9a}" ma:internalName="TaxCatchAll" ma:showField="CatchAllData" ma:web="a85b4a20-75c1-47a1-b80d-c24888539d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4B0D8E9-E3D8-48CD-B095-031BD6D97D0F" elementFormDefault="qualified">
    <xsd:import namespace="http://schemas.microsoft.com/office/2006/documentManagement/types"/>
    <xsd:import namespace="http://schemas.microsoft.com/office/infopath/2007/PartnerControls"/>
    <xsd:element name="Publication_x0020_Type" ma:index="11" ma:displayName="Stage" ma:format="Dropdown" ma:internalName="Publication_x0020_Type">
      <xsd:simpleType>
        <xsd:restriction base="dms:Choice">
          <xsd:enumeration value="TOR"/>
          <xsd:enumeration value="Issues Paper"/>
          <xsd:enumeration value="Report"/>
        </xsd:restriction>
      </xsd:simpleType>
    </xsd:element>
    <xsd:element name="Topic" ma:index="12" ma:displayName="Topic" ma:format="Dropdown" ma:indexed="true" ma:internalName="Topic">
      <xsd:simpleType>
        <xsd:restriction base="dms:Choice">
          <xsd:enumeration value="Policy making"/>
          <xsd:enumeration value="Writing"/>
          <xsd:enumeration value="Draft legislation"/>
          <xsd:enumeration value="Team comments"/>
          <xsd:enumeration value="Commissioner comments"/>
          <xsd:enumeration value="External comments"/>
          <xsd:enumeration value="Web content"/>
        </xsd:restriction>
      </xsd:simpleType>
    </xsd:element>
    <xsd:element name="Document_x0020_Type" ma:index="13" ma:displayName="Document Type" ma:format="Dropdown" ma:indexed="true" ma:internalName="Document_x0020_Type">
      <xsd:simpleType>
        <xsd:restriction base="dms:Choice">
          <xsd:enumeration value="Parts &amp; chapters"/>
          <xsd:enumeration value="Full publication"/>
          <xsd:enumeration value="Memo"/>
          <xsd:enumeration value="File note"/>
          <xsd:enumeration value="Correspondence"/>
          <xsd:enumeration value="Draft legislation"/>
          <xsd:enumeration value="Web content"/>
          <xsd:enumeration value="Design component"/>
          <xsd:enumeration value="Other"/>
        </xsd:restriction>
      </xsd:simpleType>
    </xsd:element>
    <xsd:element name="Description0" ma:index="14" nillable="true" ma:displayName="Description" ma:internalName="Description0">
      <xsd:simpleType>
        <xsd:restriction base="dms:Text">
          <xsd:maxLength value="255"/>
        </xsd:restriction>
      </xsd:simpleType>
    </xsd:element>
    <xsd:element name="From" ma:index="16" nillable="true" ma:displayName="From" ma:internalName="From">
      <xsd:simpleType>
        <xsd:restriction base="dms:Text">
          <xsd:maxLength value="255"/>
        </xsd:restriction>
      </xsd:simpleType>
    </xsd:element>
    <xsd:element name="From_x002d_Address" ma:index="17" nillable="true" ma:displayName="From-Address" ma:internalName="From_x002d_Address">
      <xsd:simpleType>
        <xsd:restriction base="dms:Text">
          <xsd:maxLength value="255"/>
        </xsd:restriction>
      </xsd:simpleType>
    </xsd:element>
    <xsd:element name="To" ma:index="18" nillable="true" ma:displayName="To" ma:internalName="To">
      <xsd:simpleType>
        <xsd:restriction base="dms:Text">
          <xsd:maxLength value="255"/>
        </xsd:restriction>
      </xsd:simpleType>
    </xsd:element>
    <xsd:element name="To_x002d_Address" ma:index="19" nillable="true" ma:displayName="To-Address" ma:internalName="To_x002d_Address">
      <xsd:simpleType>
        <xsd:restriction base="dms:Text">
          <xsd:maxLength value="255"/>
        </xsd:restriction>
      </xsd:simpleType>
    </xsd:element>
    <xsd:element name="Sent" ma:index="20" nillable="true" ma:displayName="Sent" ma:format="DateOnly" ma:internalName="Sent">
      <xsd:simpleType>
        <xsd:restriction base="dms:DateTime"/>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ef46b2-e9f9-4668-ba1f-6f3688fcd530"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b0d8e9-e3d8-48cd-b095-031bd6d97d0f" elementFormDefault="qualified">
    <xsd:import namespace="http://schemas.microsoft.com/office/2006/documentManagement/types"/>
    <xsd:import namespace="http://schemas.microsoft.com/office/infopath/2007/PartnerControls"/>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ma:index="1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431EA3-559A-42CA-8033-184FF82C4DFE}">
  <ds:schemaRefs>
    <ds:schemaRef ds:uri="http://schemas.openxmlformats.org/officeDocument/2006/bibliography"/>
  </ds:schemaRefs>
</ds:datastoreItem>
</file>

<file path=customXml/itemProps2.xml><?xml version="1.0" encoding="utf-8"?>
<ds:datastoreItem xmlns:ds="http://schemas.openxmlformats.org/officeDocument/2006/customXml" ds:itemID="{24FB608A-FE2A-4530-91DD-A4CBBF308728}">
  <ds:schemaRefs>
    <ds:schemaRef ds:uri="http://schemas.microsoft.com/sharepoint/v3/contenttype/forms"/>
  </ds:schemaRefs>
</ds:datastoreItem>
</file>

<file path=customXml/itemProps3.xml><?xml version="1.0" encoding="utf-8"?>
<ds:datastoreItem xmlns:ds="http://schemas.openxmlformats.org/officeDocument/2006/customXml" ds:itemID="{EF8224F5-9C31-453C-889D-548083A3C1CE}">
  <ds:schemaRefs>
    <ds:schemaRef ds:uri="http://schemas.microsoft.com/sharepoint/events"/>
  </ds:schemaRefs>
</ds:datastoreItem>
</file>

<file path=customXml/itemProps4.xml><?xml version="1.0" encoding="utf-8"?>
<ds:datastoreItem xmlns:ds="http://schemas.openxmlformats.org/officeDocument/2006/customXml" ds:itemID="{1940045C-C0E5-49F4-ABAF-974F0602E996}">
  <ds:schemaRefs>
    <ds:schemaRef ds:uri="http://schemas.microsoft.com/office/infopath/2007/PartnerControls"/>
    <ds:schemaRef ds:uri="http://schemas.microsoft.com/office/2006/metadata/properties"/>
    <ds:schemaRef ds:uri="http://schemas.openxmlformats.org/package/2006/metadata/core-properties"/>
    <ds:schemaRef ds:uri="http://purl.org/dc/terms/"/>
    <ds:schemaRef ds:uri="c4b0d8e9-e3d8-48cd-b095-031bd6d97d0f"/>
    <ds:schemaRef ds:uri="http://www.w3.org/XML/1998/namespace"/>
    <ds:schemaRef ds:uri="8aef46b2-e9f9-4668-ba1f-6f3688fcd530"/>
    <ds:schemaRef ds:uri="C4B0D8E9-E3D8-48CD-B095-031BD6D97D0F"/>
    <ds:schemaRef ds:uri="http://schemas.microsoft.com/office/2006/documentManagement/types"/>
    <ds:schemaRef ds:uri="a85b4a20-75c1-47a1-b80d-c24888539def"/>
    <ds:schemaRef ds:uri="http://purl.org/dc/dcmitype/"/>
    <ds:schemaRef ds:uri="http://purl.org/dc/elements/1.1/"/>
  </ds:schemaRefs>
</ds:datastoreItem>
</file>

<file path=customXml/itemProps5.xml><?xml version="1.0" encoding="utf-8"?>
<ds:datastoreItem xmlns:ds="http://schemas.openxmlformats.org/officeDocument/2006/customXml" ds:itemID="{914F8CAE-1916-4908-9DE1-5A81FE110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b4a20-75c1-47a1-b80d-c24888539def"/>
    <ds:schemaRef ds:uri="C4B0D8E9-E3D8-48CD-B095-031BD6D97D0F"/>
    <ds:schemaRef ds:uri="8aef46b2-e9f9-4668-ba1f-6f3688fcd530"/>
    <ds:schemaRef ds:uri="c4b0d8e9-e3d8-48cd-b095-031bd6d97d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Study%20Paper%20-%20Chapter%20-%20Template.docx</Template>
  <TotalTime>0</TotalTime>
  <Pages>88</Pages>
  <Words>33122</Words>
  <Characters>189461</Characters>
  <Application>Microsoft Office Word</Application>
  <DocSecurity>2</DocSecurity>
  <Lines>4305</Lines>
  <Paragraphs>1795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220788</CharactersWithSpaces>
  <SharedDoc>false</SharedDoc>
  <HLinks>
    <vt:vector size="576" baseType="variant">
      <vt:variant>
        <vt:i4>5570625</vt:i4>
      </vt:variant>
      <vt:variant>
        <vt:i4>414</vt:i4>
      </vt:variant>
      <vt:variant>
        <vt:i4>0</vt:i4>
      </vt:variant>
      <vt:variant>
        <vt:i4>5</vt:i4>
      </vt:variant>
      <vt:variant>
        <vt:lpwstr>https://gazette.govt.nz/notice/id/2020-go2806</vt:lpwstr>
      </vt:variant>
      <vt:variant>
        <vt:lpwstr/>
      </vt:variant>
      <vt:variant>
        <vt:i4>5308493</vt:i4>
      </vt:variant>
      <vt:variant>
        <vt:i4>411</vt:i4>
      </vt:variant>
      <vt:variant>
        <vt:i4>0</vt:i4>
      </vt:variant>
      <vt:variant>
        <vt:i4>5</vt:i4>
      </vt:variant>
      <vt:variant>
        <vt:lpwstr>https://gazette.govt.nz/notice/id/2020-go1474</vt:lpwstr>
      </vt:variant>
      <vt:variant>
        <vt:lpwstr/>
      </vt:variant>
      <vt:variant>
        <vt:i4>5242954</vt:i4>
      </vt:variant>
      <vt:variant>
        <vt:i4>408</vt:i4>
      </vt:variant>
      <vt:variant>
        <vt:i4>0</vt:i4>
      </vt:variant>
      <vt:variant>
        <vt:i4>5</vt:i4>
      </vt:variant>
      <vt:variant>
        <vt:lpwstr>https://gazette.govt.nz/notice/id/2020-go1369</vt:lpwstr>
      </vt:variant>
      <vt:variant>
        <vt:lpwstr/>
      </vt:variant>
      <vt:variant>
        <vt:i4>4456464</vt:i4>
      </vt:variant>
      <vt:variant>
        <vt:i4>405</vt:i4>
      </vt:variant>
      <vt:variant>
        <vt:i4>0</vt:i4>
      </vt:variant>
      <vt:variant>
        <vt:i4>5</vt:i4>
      </vt:variant>
      <vt:variant>
        <vt:lpwstr>https://www.legislation.govt.nz/regulation/public/2020/0069/latest/whole.html</vt:lpwstr>
      </vt:variant>
      <vt:variant>
        <vt:lpwstr/>
      </vt:variant>
      <vt:variant>
        <vt:i4>1179718</vt:i4>
      </vt:variant>
      <vt:variant>
        <vt:i4>402</vt:i4>
      </vt:variant>
      <vt:variant>
        <vt:i4>0</vt:i4>
      </vt:variant>
      <vt:variant>
        <vt:i4>5</vt:i4>
      </vt:variant>
      <vt:variant>
        <vt:lpwstr>https://www.legislation.govt.nz/act/public/1993/0087/latest/link.aspx?search=sw_096be8ed81c17e60_epidemic_25_se&amp;p=1&amp;id=DLM404483</vt:lpwstr>
      </vt:variant>
      <vt:variant>
        <vt:lpwstr>DLM404483</vt:lpwstr>
      </vt:variant>
      <vt:variant>
        <vt:i4>1966155</vt:i4>
      </vt:variant>
      <vt:variant>
        <vt:i4>399</vt:i4>
      </vt:variant>
      <vt:variant>
        <vt:i4>0</vt:i4>
      </vt:variant>
      <vt:variant>
        <vt:i4>5</vt:i4>
      </vt:variant>
      <vt:variant>
        <vt:lpwstr>https://www.legislation.govt.nz/act/public/1993/0087/latest/link.aspx?search=sw_096be8ed81c17e60_epidemic_25_se&amp;p=1&amp;id=DLM152702</vt:lpwstr>
      </vt:variant>
      <vt:variant>
        <vt:lpwstr>DLM152702</vt:lpwstr>
      </vt:variant>
      <vt:variant>
        <vt:i4>196689</vt:i4>
      </vt:variant>
      <vt:variant>
        <vt:i4>396</vt:i4>
      </vt:variant>
      <vt:variant>
        <vt:i4>0</vt:i4>
      </vt:variant>
      <vt:variant>
        <vt:i4>5</vt:i4>
      </vt:variant>
      <vt:variant>
        <vt:lpwstr>https://www.legislation.govt.nz/act/public/1993/0087/latest/link.aspx?search=sw_096be8ed81c17e60_epidemic_25_se&amp;p=1&amp;id=LMS323975</vt:lpwstr>
      </vt:variant>
      <vt:variant>
        <vt:lpwstr>LMS323975</vt:lpwstr>
      </vt:variant>
      <vt:variant>
        <vt:i4>327761</vt:i4>
      </vt:variant>
      <vt:variant>
        <vt:i4>393</vt:i4>
      </vt:variant>
      <vt:variant>
        <vt:i4>0</vt:i4>
      </vt:variant>
      <vt:variant>
        <vt:i4>5</vt:i4>
      </vt:variant>
      <vt:variant>
        <vt:lpwstr>https://www.legislation.govt.nz/act/public/1993/0087/latest/link.aspx?search=sw_096be8ed81c17e60_epidemic_25_se&amp;p=1&amp;id=LMS323973</vt:lpwstr>
      </vt:variant>
      <vt:variant>
        <vt:lpwstr>LMS323973</vt:lpwstr>
      </vt:variant>
      <vt:variant>
        <vt:i4>917584</vt:i4>
      </vt:variant>
      <vt:variant>
        <vt:i4>390</vt:i4>
      </vt:variant>
      <vt:variant>
        <vt:i4>0</vt:i4>
      </vt:variant>
      <vt:variant>
        <vt:i4>5</vt:i4>
      </vt:variant>
      <vt:variant>
        <vt:lpwstr>https://www.legislation.govt.nz/act/public/1993/0087/latest/link.aspx?search=sw_096be8ed81c17e60_epidemic_25_se&amp;p=1&amp;id=LMS323969</vt:lpwstr>
      </vt:variant>
      <vt:variant>
        <vt:lpwstr>LMS323969</vt:lpwstr>
      </vt:variant>
      <vt:variant>
        <vt:i4>131101</vt:i4>
      </vt:variant>
      <vt:variant>
        <vt:i4>387</vt:i4>
      </vt:variant>
      <vt:variant>
        <vt:i4>0</vt:i4>
      </vt:variant>
      <vt:variant>
        <vt:i4>5</vt:i4>
      </vt:variant>
      <vt:variant>
        <vt:lpwstr>https://www.legislation.govt.nz/act/public/1956/0065/latest/link.aspx?id=DLM2136893</vt:lpwstr>
      </vt:variant>
      <vt:variant>
        <vt:lpwstr>DLM2136893</vt:lpwstr>
      </vt:variant>
      <vt:variant>
        <vt:i4>720919</vt:i4>
      </vt:variant>
      <vt:variant>
        <vt:i4>384</vt:i4>
      </vt:variant>
      <vt:variant>
        <vt:i4>0</vt:i4>
      </vt:variant>
      <vt:variant>
        <vt:i4>5</vt:i4>
      </vt:variant>
      <vt:variant>
        <vt:lpwstr>https://www.legislation.govt.nz/act/public/1956/0065/latest/link.aspx?id=DLM2136830</vt:lpwstr>
      </vt:variant>
      <vt:variant>
        <vt:lpwstr>DLM2136830</vt:lpwstr>
      </vt:variant>
      <vt:variant>
        <vt:i4>720917</vt:i4>
      </vt:variant>
      <vt:variant>
        <vt:i4>381</vt:i4>
      </vt:variant>
      <vt:variant>
        <vt:i4>0</vt:i4>
      </vt:variant>
      <vt:variant>
        <vt:i4>5</vt:i4>
      </vt:variant>
      <vt:variant>
        <vt:lpwstr>https://www.legislation.govt.nz/act/public/1956/0065/latest/link.aspx?id=DLM4355802</vt:lpwstr>
      </vt:variant>
      <vt:variant>
        <vt:lpwstr>DLM4355802</vt:lpwstr>
      </vt:variant>
      <vt:variant>
        <vt:i4>7405695</vt:i4>
      </vt:variant>
      <vt:variant>
        <vt:i4>378</vt:i4>
      </vt:variant>
      <vt:variant>
        <vt:i4>0</vt:i4>
      </vt:variant>
      <vt:variant>
        <vt:i4>5</vt:i4>
      </vt:variant>
      <vt:variant>
        <vt:lpwstr>https://www.legislation.govt.nz/act/public/1956/0065/latest/whole.html</vt:lpwstr>
      </vt:variant>
      <vt:variant>
        <vt:lpwstr>DLM307201</vt:lpwstr>
      </vt:variant>
      <vt:variant>
        <vt:i4>7929981</vt:i4>
      </vt:variant>
      <vt:variant>
        <vt:i4>375</vt:i4>
      </vt:variant>
      <vt:variant>
        <vt:i4>0</vt:i4>
      </vt:variant>
      <vt:variant>
        <vt:i4>5</vt:i4>
      </vt:variant>
      <vt:variant>
        <vt:lpwstr>https://www.legislation.govt.nz/act/public/1956/0065/latest/whole.html</vt:lpwstr>
      </vt:variant>
      <vt:variant>
        <vt:lpwstr>DLM307083</vt:lpwstr>
      </vt:variant>
      <vt:variant>
        <vt:i4>7405695</vt:i4>
      </vt:variant>
      <vt:variant>
        <vt:i4>372</vt:i4>
      </vt:variant>
      <vt:variant>
        <vt:i4>0</vt:i4>
      </vt:variant>
      <vt:variant>
        <vt:i4>5</vt:i4>
      </vt:variant>
      <vt:variant>
        <vt:lpwstr>https://www.legislation.govt.nz/act/public/1956/0065/latest/whole.html</vt:lpwstr>
      </vt:variant>
      <vt:variant>
        <vt:lpwstr>DLM307201</vt:lpwstr>
      </vt:variant>
      <vt:variant>
        <vt:i4>7929981</vt:i4>
      </vt:variant>
      <vt:variant>
        <vt:i4>369</vt:i4>
      </vt:variant>
      <vt:variant>
        <vt:i4>0</vt:i4>
      </vt:variant>
      <vt:variant>
        <vt:i4>5</vt:i4>
      </vt:variant>
      <vt:variant>
        <vt:lpwstr>https://www.legislation.govt.nz/act/public/1956/0065/latest/whole.html</vt:lpwstr>
      </vt:variant>
      <vt:variant>
        <vt:lpwstr>DLM307083</vt:lpwstr>
      </vt:variant>
      <vt:variant>
        <vt:i4>7405695</vt:i4>
      </vt:variant>
      <vt:variant>
        <vt:i4>366</vt:i4>
      </vt:variant>
      <vt:variant>
        <vt:i4>0</vt:i4>
      </vt:variant>
      <vt:variant>
        <vt:i4>5</vt:i4>
      </vt:variant>
      <vt:variant>
        <vt:lpwstr>https://www.legislation.govt.nz/act/public/1956/0065/latest/whole.html</vt:lpwstr>
      </vt:variant>
      <vt:variant>
        <vt:lpwstr>DLM307201</vt:lpwstr>
      </vt:variant>
      <vt:variant>
        <vt:i4>7929981</vt:i4>
      </vt:variant>
      <vt:variant>
        <vt:i4>363</vt:i4>
      </vt:variant>
      <vt:variant>
        <vt:i4>0</vt:i4>
      </vt:variant>
      <vt:variant>
        <vt:i4>5</vt:i4>
      </vt:variant>
      <vt:variant>
        <vt:lpwstr>https://www.legislation.govt.nz/act/public/1956/0065/latest/whole.html</vt:lpwstr>
      </vt:variant>
      <vt:variant>
        <vt:lpwstr>DLM307083</vt:lpwstr>
      </vt:variant>
      <vt:variant>
        <vt:i4>7405695</vt:i4>
      </vt:variant>
      <vt:variant>
        <vt:i4>360</vt:i4>
      </vt:variant>
      <vt:variant>
        <vt:i4>0</vt:i4>
      </vt:variant>
      <vt:variant>
        <vt:i4>5</vt:i4>
      </vt:variant>
      <vt:variant>
        <vt:lpwstr>https://www.legislation.govt.nz/act/public/1956/0065/latest/whole.html</vt:lpwstr>
      </vt:variant>
      <vt:variant>
        <vt:lpwstr>DLM307201</vt:lpwstr>
      </vt:variant>
      <vt:variant>
        <vt:i4>7929981</vt:i4>
      </vt:variant>
      <vt:variant>
        <vt:i4>357</vt:i4>
      </vt:variant>
      <vt:variant>
        <vt:i4>0</vt:i4>
      </vt:variant>
      <vt:variant>
        <vt:i4>5</vt:i4>
      </vt:variant>
      <vt:variant>
        <vt:lpwstr>https://www.legislation.govt.nz/act/public/1956/0065/latest/whole.html</vt:lpwstr>
      </vt:variant>
      <vt:variant>
        <vt:lpwstr>DLM307083</vt:lpwstr>
      </vt:variant>
      <vt:variant>
        <vt:i4>7405695</vt:i4>
      </vt:variant>
      <vt:variant>
        <vt:i4>354</vt:i4>
      </vt:variant>
      <vt:variant>
        <vt:i4>0</vt:i4>
      </vt:variant>
      <vt:variant>
        <vt:i4>5</vt:i4>
      </vt:variant>
      <vt:variant>
        <vt:lpwstr>https://www.legislation.govt.nz/act/public/1956/0065/latest/whole.html</vt:lpwstr>
      </vt:variant>
      <vt:variant>
        <vt:lpwstr>DLM307201</vt:lpwstr>
      </vt:variant>
      <vt:variant>
        <vt:i4>7929981</vt:i4>
      </vt:variant>
      <vt:variant>
        <vt:i4>351</vt:i4>
      </vt:variant>
      <vt:variant>
        <vt:i4>0</vt:i4>
      </vt:variant>
      <vt:variant>
        <vt:i4>5</vt:i4>
      </vt:variant>
      <vt:variant>
        <vt:lpwstr>https://www.legislation.govt.nz/act/public/1956/0065/latest/whole.html</vt:lpwstr>
      </vt:variant>
      <vt:variant>
        <vt:lpwstr>DLM307083</vt:lpwstr>
      </vt:variant>
      <vt:variant>
        <vt:i4>7405695</vt:i4>
      </vt:variant>
      <vt:variant>
        <vt:i4>348</vt:i4>
      </vt:variant>
      <vt:variant>
        <vt:i4>0</vt:i4>
      </vt:variant>
      <vt:variant>
        <vt:i4>5</vt:i4>
      </vt:variant>
      <vt:variant>
        <vt:lpwstr>https://www.legislation.govt.nz/act/public/1956/0065/latest/whole.html</vt:lpwstr>
      </vt:variant>
      <vt:variant>
        <vt:lpwstr>DLM307201</vt:lpwstr>
      </vt:variant>
      <vt:variant>
        <vt:i4>7929981</vt:i4>
      </vt:variant>
      <vt:variant>
        <vt:i4>345</vt:i4>
      </vt:variant>
      <vt:variant>
        <vt:i4>0</vt:i4>
      </vt:variant>
      <vt:variant>
        <vt:i4>5</vt:i4>
      </vt:variant>
      <vt:variant>
        <vt:lpwstr>https://www.legislation.govt.nz/act/public/1956/0065/latest/whole.html</vt:lpwstr>
      </vt:variant>
      <vt:variant>
        <vt:lpwstr>DLM307083</vt:lpwstr>
      </vt:variant>
      <vt:variant>
        <vt:i4>3407905</vt:i4>
      </vt:variant>
      <vt:variant>
        <vt:i4>342</vt:i4>
      </vt:variant>
      <vt:variant>
        <vt:i4>0</vt:i4>
      </vt:variant>
      <vt:variant>
        <vt:i4>5</vt:i4>
      </vt:variant>
      <vt:variant>
        <vt:lpwstr>https://legislation.govt.nz/act/public/2006/0085/latest/link.aspx?id=DLM305839</vt:lpwstr>
      </vt:variant>
      <vt:variant>
        <vt:lpwstr/>
      </vt:variant>
      <vt:variant>
        <vt:i4>4128805</vt:i4>
      </vt:variant>
      <vt:variant>
        <vt:i4>339</vt:i4>
      </vt:variant>
      <vt:variant>
        <vt:i4>0</vt:i4>
      </vt:variant>
      <vt:variant>
        <vt:i4>5</vt:i4>
      </vt:variant>
      <vt:variant>
        <vt:lpwstr>https://www.legislation.govt.nz/act/public/1956/0065/latest/link.aspx?id=DLM307296</vt:lpwstr>
      </vt:variant>
      <vt:variant>
        <vt:lpwstr>DLM307296</vt:lpwstr>
      </vt:variant>
      <vt:variant>
        <vt:i4>6422571</vt:i4>
      </vt:variant>
      <vt:variant>
        <vt:i4>336</vt:i4>
      </vt:variant>
      <vt:variant>
        <vt:i4>0</vt:i4>
      </vt:variant>
      <vt:variant>
        <vt:i4>5</vt:i4>
      </vt:variant>
      <vt:variant>
        <vt:lpwstr>https://www.legislation.govt.nz/act/public/2020/0012/latest/link.aspx?id=DLM149788</vt:lpwstr>
      </vt:variant>
      <vt:variant>
        <vt:lpwstr/>
      </vt:variant>
      <vt:variant>
        <vt:i4>3801134</vt:i4>
      </vt:variant>
      <vt:variant>
        <vt:i4>333</vt:i4>
      </vt:variant>
      <vt:variant>
        <vt:i4>0</vt:i4>
      </vt:variant>
      <vt:variant>
        <vt:i4>5</vt:i4>
      </vt:variant>
      <vt:variant>
        <vt:lpwstr>https://www.legislation.govt.nz/act/public/2020/0012/latest/link.aspx?id=DLM404483</vt:lpwstr>
      </vt:variant>
      <vt:variant>
        <vt:lpwstr>DLM404483</vt:lpwstr>
      </vt:variant>
      <vt:variant>
        <vt:i4>6357027</vt:i4>
      </vt:variant>
      <vt:variant>
        <vt:i4>330</vt:i4>
      </vt:variant>
      <vt:variant>
        <vt:i4>0</vt:i4>
      </vt:variant>
      <vt:variant>
        <vt:i4>5</vt:i4>
      </vt:variant>
      <vt:variant>
        <vt:lpwstr>https://www.legislation.govt.nz/act/public/1956/0065/latest/link.aspx?id=DLM149788</vt:lpwstr>
      </vt:variant>
      <vt:variant>
        <vt:lpwstr/>
      </vt:variant>
      <vt:variant>
        <vt:i4>327686</vt:i4>
      </vt:variant>
      <vt:variant>
        <vt:i4>327</vt:i4>
      </vt:variant>
      <vt:variant>
        <vt:i4>0</vt:i4>
      </vt:variant>
      <vt:variant>
        <vt:i4>5</vt:i4>
      </vt:variant>
      <vt:variant>
        <vt:lpwstr>https://www.legislation.govt.nz/act/public/2002/0033/51.0/whole.html</vt:lpwstr>
      </vt:variant>
      <vt:variant>
        <vt:lpwstr>DLM150719</vt:lpwstr>
      </vt:variant>
      <vt:variant>
        <vt:i4>3276854</vt:i4>
      </vt:variant>
      <vt:variant>
        <vt:i4>324</vt:i4>
      </vt:variant>
      <vt:variant>
        <vt:i4>0</vt:i4>
      </vt:variant>
      <vt:variant>
        <vt:i4>5</vt:i4>
      </vt:variant>
      <vt:variant>
        <vt:lpwstr>https://www.legislation.govt.nz/act/public/2010/0114/31.0/whole.html</vt:lpwstr>
      </vt:variant>
      <vt:variant>
        <vt:lpwstr>DLM3233036</vt:lpwstr>
      </vt:variant>
      <vt:variant>
        <vt:i4>1048631</vt:i4>
      </vt:variant>
      <vt:variant>
        <vt:i4>317</vt:i4>
      </vt:variant>
      <vt:variant>
        <vt:i4>0</vt:i4>
      </vt:variant>
      <vt:variant>
        <vt:i4>5</vt:i4>
      </vt:variant>
      <vt:variant>
        <vt:lpwstr/>
      </vt:variant>
      <vt:variant>
        <vt:lpwstr>_Toc117063752</vt:lpwstr>
      </vt:variant>
      <vt:variant>
        <vt:i4>1048631</vt:i4>
      </vt:variant>
      <vt:variant>
        <vt:i4>311</vt:i4>
      </vt:variant>
      <vt:variant>
        <vt:i4>0</vt:i4>
      </vt:variant>
      <vt:variant>
        <vt:i4>5</vt:i4>
      </vt:variant>
      <vt:variant>
        <vt:lpwstr/>
      </vt:variant>
      <vt:variant>
        <vt:lpwstr>_Toc117063751</vt:lpwstr>
      </vt:variant>
      <vt:variant>
        <vt:i4>1048631</vt:i4>
      </vt:variant>
      <vt:variant>
        <vt:i4>305</vt:i4>
      </vt:variant>
      <vt:variant>
        <vt:i4>0</vt:i4>
      </vt:variant>
      <vt:variant>
        <vt:i4>5</vt:i4>
      </vt:variant>
      <vt:variant>
        <vt:lpwstr/>
      </vt:variant>
      <vt:variant>
        <vt:lpwstr>_Toc117063750</vt:lpwstr>
      </vt:variant>
      <vt:variant>
        <vt:i4>1114167</vt:i4>
      </vt:variant>
      <vt:variant>
        <vt:i4>299</vt:i4>
      </vt:variant>
      <vt:variant>
        <vt:i4>0</vt:i4>
      </vt:variant>
      <vt:variant>
        <vt:i4>5</vt:i4>
      </vt:variant>
      <vt:variant>
        <vt:lpwstr/>
      </vt:variant>
      <vt:variant>
        <vt:lpwstr>_Toc117063749</vt:lpwstr>
      </vt:variant>
      <vt:variant>
        <vt:i4>1114167</vt:i4>
      </vt:variant>
      <vt:variant>
        <vt:i4>293</vt:i4>
      </vt:variant>
      <vt:variant>
        <vt:i4>0</vt:i4>
      </vt:variant>
      <vt:variant>
        <vt:i4>5</vt:i4>
      </vt:variant>
      <vt:variant>
        <vt:lpwstr/>
      </vt:variant>
      <vt:variant>
        <vt:lpwstr>_Toc117063748</vt:lpwstr>
      </vt:variant>
      <vt:variant>
        <vt:i4>1114167</vt:i4>
      </vt:variant>
      <vt:variant>
        <vt:i4>287</vt:i4>
      </vt:variant>
      <vt:variant>
        <vt:i4>0</vt:i4>
      </vt:variant>
      <vt:variant>
        <vt:i4>5</vt:i4>
      </vt:variant>
      <vt:variant>
        <vt:lpwstr/>
      </vt:variant>
      <vt:variant>
        <vt:lpwstr>_Toc117063747</vt:lpwstr>
      </vt:variant>
      <vt:variant>
        <vt:i4>1114167</vt:i4>
      </vt:variant>
      <vt:variant>
        <vt:i4>281</vt:i4>
      </vt:variant>
      <vt:variant>
        <vt:i4>0</vt:i4>
      </vt:variant>
      <vt:variant>
        <vt:i4>5</vt:i4>
      </vt:variant>
      <vt:variant>
        <vt:lpwstr/>
      </vt:variant>
      <vt:variant>
        <vt:lpwstr>_Toc117063746</vt:lpwstr>
      </vt:variant>
      <vt:variant>
        <vt:i4>1114167</vt:i4>
      </vt:variant>
      <vt:variant>
        <vt:i4>275</vt:i4>
      </vt:variant>
      <vt:variant>
        <vt:i4>0</vt:i4>
      </vt:variant>
      <vt:variant>
        <vt:i4>5</vt:i4>
      </vt:variant>
      <vt:variant>
        <vt:lpwstr/>
      </vt:variant>
      <vt:variant>
        <vt:lpwstr>_Toc117063745</vt:lpwstr>
      </vt:variant>
      <vt:variant>
        <vt:i4>1114167</vt:i4>
      </vt:variant>
      <vt:variant>
        <vt:i4>269</vt:i4>
      </vt:variant>
      <vt:variant>
        <vt:i4>0</vt:i4>
      </vt:variant>
      <vt:variant>
        <vt:i4>5</vt:i4>
      </vt:variant>
      <vt:variant>
        <vt:lpwstr/>
      </vt:variant>
      <vt:variant>
        <vt:lpwstr>_Toc117063744</vt:lpwstr>
      </vt:variant>
      <vt:variant>
        <vt:i4>1114167</vt:i4>
      </vt:variant>
      <vt:variant>
        <vt:i4>263</vt:i4>
      </vt:variant>
      <vt:variant>
        <vt:i4>0</vt:i4>
      </vt:variant>
      <vt:variant>
        <vt:i4>5</vt:i4>
      </vt:variant>
      <vt:variant>
        <vt:lpwstr/>
      </vt:variant>
      <vt:variant>
        <vt:lpwstr>_Toc117063743</vt:lpwstr>
      </vt:variant>
      <vt:variant>
        <vt:i4>1114167</vt:i4>
      </vt:variant>
      <vt:variant>
        <vt:i4>257</vt:i4>
      </vt:variant>
      <vt:variant>
        <vt:i4>0</vt:i4>
      </vt:variant>
      <vt:variant>
        <vt:i4>5</vt:i4>
      </vt:variant>
      <vt:variant>
        <vt:lpwstr/>
      </vt:variant>
      <vt:variant>
        <vt:lpwstr>_Toc117063742</vt:lpwstr>
      </vt:variant>
      <vt:variant>
        <vt:i4>1114167</vt:i4>
      </vt:variant>
      <vt:variant>
        <vt:i4>251</vt:i4>
      </vt:variant>
      <vt:variant>
        <vt:i4>0</vt:i4>
      </vt:variant>
      <vt:variant>
        <vt:i4>5</vt:i4>
      </vt:variant>
      <vt:variant>
        <vt:lpwstr/>
      </vt:variant>
      <vt:variant>
        <vt:lpwstr>_Toc117063741</vt:lpwstr>
      </vt:variant>
      <vt:variant>
        <vt:i4>1114167</vt:i4>
      </vt:variant>
      <vt:variant>
        <vt:i4>245</vt:i4>
      </vt:variant>
      <vt:variant>
        <vt:i4>0</vt:i4>
      </vt:variant>
      <vt:variant>
        <vt:i4>5</vt:i4>
      </vt:variant>
      <vt:variant>
        <vt:lpwstr/>
      </vt:variant>
      <vt:variant>
        <vt:lpwstr>_Toc117063740</vt:lpwstr>
      </vt:variant>
      <vt:variant>
        <vt:i4>1441847</vt:i4>
      </vt:variant>
      <vt:variant>
        <vt:i4>239</vt:i4>
      </vt:variant>
      <vt:variant>
        <vt:i4>0</vt:i4>
      </vt:variant>
      <vt:variant>
        <vt:i4>5</vt:i4>
      </vt:variant>
      <vt:variant>
        <vt:lpwstr/>
      </vt:variant>
      <vt:variant>
        <vt:lpwstr>_Toc117063739</vt:lpwstr>
      </vt:variant>
      <vt:variant>
        <vt:i4>1441847</vt:i4>
      </vt:variant>
      <vt:variant>
        <vt:i4>233</vt:i4>
      </vt:variant>
      <vt:variant>
        <vt:i4>0</vt:i4>
      </vt:variant>
      <vt:variant>
        <vt:i4>5</vt:i4>
      </vt:variant>
      <vt:variant>
        <vt:lpwstr/>
      </vt:variant>
      <vt:variant>
        <vt:lpwstr>_Toc117063738</vt:lpwstr>
      </vt:variant>
      <vt:variant>
        <vt:i4>1441847</vt:i4>
      </vt:variant>
      <vt:variant>
        <vt:i4>227</vt:i4>
      </vt:variant>
      <vt:variant>
        <vt:i4>0</vt:i4>
      </vt:variant>
      <vt:variant>
        <vt:i4>5</vt:i4>
      </vt:variant>
      <vt:variant>
        <vt:lpwstr/>
      </vt:variant>
      <vt:variant>
        <vt:lpwstr>_Toc117063737</vt:lpwstr>
      </vt:variant>
      <vt:variant>
        <vt:i4>1441847</vt:i4>
      </vt:variant>
      <vt:variant>
        <vt:i4>221</vt:i4>
      </vt:variant>
      <vt:variant>
        <vt:i4>0</vt:i4>
      </vt:variant>
      <vt:variant>
        <vt:i4>5</vt:i4>
      </vt:variant>
      <vt:variant>
        <vt:lpwstr/>
      </vt:variant>
      <vt:variant>
        <vt:lpwstr>_Toc117063736</vt:lpwstr>
      </vt:variant>
      <vt:variant>
        <vt:i4>1441847</vt:i4>
      </vt:variant>
      <vt:variant>
        <vt:i4>215</vt:i4>
      </vt:variant>
      <vt:variant>
        <vt:i4>0</vt:i4>
      </vt:variant>
      <vt:variant>
        <vt:i4>5</vt:i4>
      </vt:variant>
      <vt:variant>
        <vt:lpwstr/>
      </vt:variant>
      <vt:variant>
        <vt:lpwstr>_Toc117063735</vt:lpwstr>
      </vt:variant>
      <vt:variant>
        <vt:i4>1441847</vt:i4>
      </vt:variant>
      <vt:variant>
        <vt:i4>209</vt:i4>
      </vt:variant>
      <vt:variant>
        <vt:i4>0</vt:i4>
      </vt:variant>
      <vt:variant>
        <vt:i4>5</vt:i4>
      </vt:variant>
      <vt:variant>
        <vt:lpwstr/>
      </vt:variant>
      <vt:variant>
        <vt:lpwstr>_Toc117063734</vt:lpwstr>
      </vt:variant>
      <vt:variant>
        <vt:i4>1441847</vt:i4>
      </vt:variant>
      <vt:variant>
        <vt:i4>203</vt:i4>
      </vt:variant>
      <vt:variant>
        <vt:i4>0</vt:i4>
      </vt:variant>
      <vt:variant>
        <vt:i4>5</vt:i4>
      </vt:variant>
      <vt:variant>
        <vt:lpwstr/>
      </vt:variant>
      <vt:variant>
        <vt:lpwstr>_Toc117063733</vt:lpwstr>
      </vt:variant>
      <vt:variant>
        <vt:i4>1441847</vt:i4>
      </vt:variant>
      <vt:variant>
        <vt:i4>197</vt:i4>
      </vt:variant>
      <vt:variant>
        <vt:i4>0</vt:i4>
      </vt:variant>
      <vt:variant>
        <vt:i4>5</vt:i4>
      </vt:variant>
      <vt:variant>
        <vt:lpwstr/>
      </vt:variant>
      <vt:variant>
        <vt:lpwstr>_Toc117063732</vt:lpwstr>
      </vt:variant>
      <vt:variant>
        <vt:i4>1441847</vt:i4>
      </vt:variant>
      <vt:variant>
        <vt:i4>191</vt:i4>
      </vt:variant>
      <vt:variant>
        <vt:i4>0</vt:i4>
      </vt:variant>
      <vt:variant>
        <vt:i4>5</vt:i4>
      </vt:variant>
      <vt:variant>
        <vt:lpwstr/>
      </vt:variant>
      <vt:variant>
        <vt:lpwstr>_Toc117063731</vt:lpwstr>
      </vt:variant>
      <vt:variant>
        <vt:i4>1441847</vt:i4>
      </vt:variant>
      <vt:variant>
        <vt:i4>185</vt:i4>
      </vt:variant>
      <vt:variant>
        <vt:i4>0</vt:i4>
      </vt:variant>
      <vt:variant>
        <vt:i4>5</vt:i4>
      </vt:variant>
      <vt:variant>
        <vt:lpwstr/>
      </vt:variant>
      <vt:variant>
        <vt:lpwstr>_Toc117063730</vt:lpwstr>
      </vt:variant>
      <vt:variant>
        <vt:i4>1507383</vt:i4>
      </vt:variant>
      <vt:variant>
        <vt:i4>179</vt:i4>
      </vt:variant>
      <vt:variant>
        <vt:i4>0</vt:i4>
      </vt:variant>
      <vt:variant>
        <vt:i4>5</vt:i4>
      </vt:variant>
      <vt:variant>
        <vt:lpwstr/>
      </vt:variant>
      <vt:variant>
        <vt:lpwstr>_Toc117063729</vt:lpwstr>
      </vt:variant>
      <vt:variant>
        <vt:i4>1507383</vt:i4>
      </vt:variant>
      <vt:variant>
        <vt:i4>173</vt:i4>
      </vt:variant>
      <vt:variant>
        <vt:i4>0</vt:i4>
      </vt:variant>
      <vt:variant>
        <vt:i4>5</vt:i4>
      </vt:variant>
      <vt:variant>
        <vt:lpwstr/>
      </vt:variant>
      <vt:variant>
        <vt:lpwstr>_Toc117063728</vt:lpwstr>
      </vt:variant>
      <vt:variant>
        <vt:i4>1507383</vt:i4>
      </vt:variant>
      <vt:variant>
        <vt:i4>167</vt:i4>
      </vt:variant>
      <vt:variant>
        <vt:i4>0</vt:i4>
      </vt:variant>
      <vt:variant>
        <vt:i4>5</vt:i4>
      </vt:variant>
      <vt:variant>
        <vt:lpwstr/>
      </vt:variant>
      <vt:variant>
        <vt:lpwstr>_Toc117063727</vt:lpwstr>
      </vt:variant>
      <vt:variant>
        <vt:i4>1507383</vt:i4>
      </vt:variant>
      <vt:variant>
        <vt:i4>161</vt:i4>
      </vt:variant>
      <vt:variant>
        <vt:i4>0</vt:i4>
      </vt:variant>
      <vt:variant>
        <vt:i4>5</vt:i4>
      </vt:variant>
      <vt:variant>
        <vt:lpwstr/>
      </vt:variant>
      <vt:variant>
        <vt:lpwstr>_Toc117063726</vt:lpwstr>
      </vt:variant>
      <vt:variant>
        <vt:i4>1507383</vt:i4>
      </vt:variant>
      <vt:variant>
        <vt:i4>155</vt:i4>
      </vt:variant>
      <vt:variant>
        <vt:i4>0</vt:i4>
      </vt:variant>
      <vt:variant>
        <vt:i4>5</vt:i4>
      </vt:variant>
      <vt:variant>
        <vt:lpwstr/>
      </vt:variant>
      <vt:variant>
        <vt:lpwstr>_Toc117063725</vt:lpwstr>
      </vt:variant>
      <vt:variant>
        <vt:i4>1507383</vt:i4>
      </vt:variant>
      <vt:variant>
        <vt:i4>149</vt:i4>
      </vt:variant>
      <vt:variant>
        <vt:i4>0</vt:i4>
      </vt:variant>
      <vt:variant>
        <vt:i4>5</vt:i4>
      </vt:variant>
      <vt:variant>
        <vt:lpwstr/>
      </vt:variant>
      <vt:variant>
        <vt:lpwstr>_Toc117063724</vt:lpwstr>
      </vt:variant>
      <vt:variant>
        <vt:i4>1507383</vt:i4>
      </vt:variant>
      <vt:variant>
        <vt:i4>143</vt:i4>
      </vt:variant>
      <vt:variant>
        <vt:i4>0</vt:i4>
      </vt:variant>
      <vt:variant>
        <vt:i4>5</vt:i4>
      </vt:variant>
      <vt:variant>
        <vt:lpwstr/>
      </vt:variant>
      <vt:variant>
        <vt:lpwstr>_Toc117063723</vt:lpwstr>
      </vt:variant>
      <vt:variant>
        <vt:i4>1507383</vt:i4>
      </vt:variant>
      <vt:variant>
        <vt:i4>137</vt:i4>
      </vt:variant>
      <vt:variant>
        <vt:i4>0</vt:i4>
      </vt:variant>
      <vt:variant>
        <vt:i4>5</vt:i4>
      </vt:variant>
      <vt:variant>
        <vt:lpwstr/>
      </vt:variant>
      <vt:variant>
        <vt:lpwstr>_Toc117063722</vt:lpwstr>
      </vt:variant>
      <vt:variant>
        <vt:i4>1507383</vt:i4>
      </vt:variant>
      <vt:variant>
        <vt:i4>131</vt:i4>
      </vt:variant>
      <vt:variant>
        <vt:i4>0</vt:i4>
      </vt:variant>
      <vt:variant>
        <vt:i4>5</vt:i4>
      </vt:variant>
      <vt:variant>
        <vt:lpwstr/>
      </vt:variant>
      <vt:variant>
        <vt:lpwstr>_Toc117063721</vt:lpwstr>
      </vt:variant>
      <vt:variant>
        <vt:i4>1507383</vt:i4>
      </vt:variant>
      <vt:variant>
        <vt:i4>125</vt:i4>
      </vt:variant>
      <vt:variant>
        <vt:i4>0</vt:i4>
      </vt:variant>
      <vt:variant>
        <vt:i4>5</vt:i4>
      </vt:variant>
      <vt:variant>
        <vt:lpwstr/>
      </vt:variant>
      <vt:variant>
        <vt:lpwstr>_Toc117063720</vt:lpwstr>
      </vt:variant>
      <vt:variant>
        <vt:i4>1310775</vt:i4>
      </vt:variant>
      <vt:variant>
        <vt:i4>119</vt:i4>
      </vt:variant>
      <vt:variant>
        <vt:i4>0</vt:i4>
      </vt:variant>
      <vt:variant>
        <vt:i4>5</vt:i4>
      </vt:variant>
      <vt:variant>
        <vt:lpwstr/>
      </vt:variant>
      <vt:variant>
        <vt:lpwstr>_Toc117063719</vt:lpwstr>
      </vt:variant>
      <vt:variant>
        <vt:i4>1310775</vt:i4>
      </vt:variant>
      <vt:variant>
        <vt:i4>113</vt:i4>
      </vt:variant>
      <vt:variant>
        <vt:i4>0</vt:i4>
      </vt:variant>
      <vt:variant>
        <vt:i4>5</vt:i4>
      </vt:variant>
      <vt:variant>
        <vt:lpwstr/>
      </vt:variant>
      <vt:variant>
        <vt:lpwstr>_Toc117063718</vt:lpwstr>
      </vt:variant>
      <vt:variant>
        <vt:i4>1310775</vt:i4>
      </vt:variant>
      <vt:variant>
        <vt:i4>107</vt:i4>
      </vt:variant>
      <vt:variant>
        <vt:i4>0</vt:i4>
      </vt:variant>
      <vt:variant>
        <vt:i4>5</vt:i4>
      </vt:variant>
      <vt:variant>
        <vt:lpwstr/>
      </vt:variant>
      <vt:variant>
        <vt:lpwstr>_Toc117063717</vt:lpwstr>
      </vt:variant>
      <vt:variant>
        <vt:i4>1310775</vt:i4>
      </vt:variant>
      <vt:variant>
        <vt:i4>101</vt:i4>
      </vt:variant>
      <vt:variant>
        <vt:i4>0</vt:i4>
      </vt:variant>
      <vt:variant>
        <vt:i4>5</vt:i4>
      </vt:variant>
      <vt:variant>
        <vt:lpwstr/>
      </vt:variant>
      <vt:variant>
        <vt:lpwstr>_Toc117063716</vt:lpwstr>
      </vt:variant>
      <vt:variant>
        <vt:i4>1310775</vt:i4>
      </vt:variant>
      <vt:variant>
        <vt:i4>95</vt:i4>
      </vt:variant>
      <vt:variant>
        <vt:i4>0</vt:i4>
      </vt:variant>
      <vt:variant>
        <vt:i4>5</vt:i4>
      </vt:variant>
      <vt:variant>
        <vt:lpwstr/>
      </vt:variant>
      <vt:variant>
        <vt:lpwstr>_Toc117063715</vt:lpwstr>
      </vt:variant>
      <vt:variant>
        <vt:i4>1310775</vt:i4>
      </vt:variant>
      <vt:variant>
        <vt:i4>89</vt:i4>
      </vt:variant>
      <vt:variant>
        <vt:i4>0</vt:i4>
      </vt:variant>
      <vt:variant>
        <vt:i4>5</vt:i4>
      </vt:variant>
      <vt:variant>
        <vt:lpwstr/>
      </vt:variant>
      <vt:variant>
        <vt:lpwstr>_Toc117063714</vt:lpwstr>
      </vt:variant>
      <vt:variant>
        <vt:i4>1310775</vt:i4>
      </vt:variant>
      <vt:variant>
        <vt:i4>83</vt:i4>
      </vt:variant>
      <vt:variant>
        <vt:i4>0</vt:i4>
      </vt:variant>
      <vt:variant>
        <vt:i4>5</vt:i4>
      </vt:variant>
      <vt:variant>
        <vt:lpwstr/>
      </vt:variant>
      <vt:variant>
        <vt:lpwstr>_Toc117063713</vt:lpwstr>
      </vt:variant>
      <vt:variant>
        <vt:i4>1310775</vt:i4>
      </vt:variant>
      <vt:variant>
        <vt:i4>77</vt:i4>
      </vt:variant>
      <vt:variant>
        <vt:i4>0</vt:i4>
      </vt:variant>
      <vt:variant>
        <vt:i4>5</vt:i4>
      </vt:variant>
      <vt:variant>
        <vt:lpwstr/>
      </vt:variant>
      <vt:variant>
        <vt:lpwstr>_Toc117063712</vt:lpwstr>
      </vt:variant>
      <vt:variant>
        <vt:i4>1310775</vt:i4>
      </vt:variant>
      <vt:variant>
        <vt:i4>71</vt:i4>
      </vt:variant>
      <vt:variant>
        <vt:i4>0</vt:i4>
      </vt:variant>
      <vt:variant>
        <vt:i4>5</vt:i4>
      </vt:variant>
      <vt:variant>
        <vt:lpwstr/>
      </vt:variant>
      <vt:variant>
        <vt:lpwstr>_Toc117063711</vt:lpwstr>
      </vt:variant>
      <vt:variant>
        <vt:i4>1310775</vt:i4>
      </vt:variant>
      <vt:variant>
        <vt:i4>65</vt:i4>
      </vt:variant>
      <vt:variant>
        <vt:i4>0</vt:i4>
      </vt:variant>
      <vt:variant>
        <vt:i4>5</vt:i4>
      </vt:variant>
      <vt:variant>
        <vt:lpwstr/>
      </vt:variant>
      <vt:variant>
        <vt:lpwstr>_Toc117063710</vt:lpwstr>
      </vt:variant>
      <vt:variant>
        <vt:i4>1376311</vt:i4>
      </vt:variant>
      <vt:variant>
        <vt:i4>59</vt:i4>
      </vt:variant>
      <vt:variant>
        <vt:i4>0</vt:i4>
      </vt:variant>
      <vt:variant>
        <vt:i4>5</vt:i4>
      </vt:variant>
      <vt:variant>
        <vt:lpwstr/>
      </vt:variant>
      <vt:variant>
        <vt:lpwstr>_Toc117063709</vt:lpwstr>
      </vt:variant>
      <vt:variant>
        <vt:i4>1376311</vt:i4>
      </vt:variant>
      <vt:variant>
        <vt:i4>53</vt:i4>
      </vt:variant>
      <vt:variant>
        <vt:i4>0</vt:i4>
      </vt:variant>
      <vt:variant>
        <vt:i4>5</vt:i4>
      </vt:variant>
      <vt:variant>
        <vt:lpwstr/>
      </vt:variant>
      <vt:variant>
        <vt:lpwstr>_Toc117063708</vt:lpwstr>
      </vt:variant>
      <vt:variant>
        <vt:i4>1376311</vt:i4>
      </vt:variant>
      <vt:variant>
        <vt:i4>47</vt:i4>
      </vt:variant>
      <vt:variant>
        <vt:i4>0</vt:i4>
      </vt:variant>
      <vt:variant>
        <vt:i4>5</vt:i4>
      </vt:variant>
      <vt:variant>
        <vt:lpwstr/>
      </vt:variant>
      <vt:variant>
        <vt:lpwstr>_Toc117063707</vt:lpwstr>
      </vt:variant>
      <vt:variant>
        <vt:i4>1376311</vt:i4>
      </vt:variant>
      <vt:variant>
        <vt:i4>41</vt:i4>
      </vt:variant>
      <vt:variant>
        <vt:i4>0</vt:i4>
      </vt:variant>
      <vt:variant>
        <vt:i4>5</vt:i4>
      </vt:variant>
      <vt:variant>
        <vt:lpwstr/>
      </vt:variant>
      <vt:variant>
        <vt:lpwstr>_Toc117063706</vt:lpwstr>
      </vt:variant>
      <vt:variant>
        <vt:i4>1376311</vt:i4>
      </vt:variant>
      <vt:variant>
        <vt:i4>35</vt:i4>
      </vt:variant>
      <vt:variant>
        <vt:i4>0</vt:i4>
      </vt:variant>
      <vt:variant>
        <vt:i4>5</vt:i4>
      </vt:variant>
      <vt:variant>
        <vt:lpwstr/>
      </vt:variant>
      <vt:variant>
        <vt:lpwstr>_Toc117063705</vt:lpwstr>
      </vt:variant>
      <vt:variant>
        <vt:i4>1376311</vt:i4>
      </vt:variant>
      <vt:variant>
        <vt:i4>29</vt:i4>
      </vt:variant>
      <vt:variant>
        <vt:i4>0</vt:i4>
      </vt:variant>
      <vt:variant>
        <vt:i4>5</vt:i4>
      </vt:variant>
      <vt:variant>
        <vt:lpwstr/>
      </vt:variant>
      <vt:variant>
        <vt:lpwstr>_Toc117063701</vt:lpwstr>
      </vt:variant>
      <vt:variant>
        <vt:i4>1376311</vt:i4>
      </vt:variant>
      <vt:variant>
        <vt:i4>23</vt:i4>
      </vt:variant>
      <vt:variant>
        <vt:i4>0</vt:i4>
      </vt:variant>
      <vt:variant>
        <vt:i4>5</vt:i4>
      </vt:variant>
      <vt:variant>
        <vt:lpwstr/>
      </vt:variant>
      <vt:variant>
        <vt:lpwstr>_Toc117063700</vt:lpwstr>
      </vt:variant>
      <vt:variant>
        <vt:i4>1835062</vt:i4>
      </vt:variant>
      <vt:variant>
        <vt:i4>17</vt:i4>
      </vt:variant>
      <vt:variant>
        <vt:i4>0</vt:i4>
      </vt:variant>
      <vt:variant>
        <vt:i4>5</vt:i4>
      </vt:variant>
      <vt:variant>
        <vt:lpwstr/>
      </vt:variant>
      <vt:variant>
        <vt:lpwstr>_Toc117063699</vt:lpwstr>
      </vt:variant>
      <vt:variant>
        <vt:i4>1835062</vt:i4>
      </vt:variant>
      <vt:variant>
        <vt:i4>11</vt:i4>
      </vt:variant>
      <vt:variant>
        <vt:i4>0</vt:i4>
      </vt:variant>
      <vt:variant>
        <vt:i4>5</vt:i4>
      </vt:variant>
      <vt:variant>
        <vt:lpwstr/>
      </vt:variant>
      <vt:variant>
        <vt:lpwstr>_Toc117063698</vt:lpwstr>
      </vt:variant>
      <vt:variant>
        <vt:i4>1835062</vt:i4>
      </vt:variant>
      <vt:variant>
        <vt:i4>5</vt:i4>
      </vt:variant>
      <vt:variant>
        <vt:i4>0</vt:i4>
      </vt:variant>
      <vt:variant>
        <vt:i4>5</vt:i4>
      </vt:variant>
      <vt:variant>
        <vt:lpwstr/>
      </vt:variant>
      <vt:variant>
        <vt:lpwstr>_Toc117063697</vt:lpwstr>
      </vt:variant>
      <vt:variant>
        <vt:i4>2818170</vt:i4>
      </vt:variant>
      <vt:variant>
        <vt:i4>0</vt:i4>
      </vt:variant>
      <vt:variant>
        <vt:i4>0</vt:i4>
      </vt:variant>
      <vt:variant>
        <vt:i4>5</vt:i4>
      </vt:variant>
      <vt:variant>
        <vt:lpwstr>http://www.lawcom.govt.nz/</vt:lpwstr>
      </vt:variant>
      <vt:variant>
        <vt:lpwstr/>
      </vt:variant>
      <vt:variant>
        <vt:i4>5177348</vt:i4>
      </vt:variant>
      <vt:variant>
        <vt:i4>30</vt:i4>
      </vt:variant>
      <vt:variant>
        <vt:i4>0</vt:i4>
      </vt:variant>
      <vt:variant>
        <vt:i4>5</vt:i4>
      </vt:variant>
      <vt:variant>
        <vt:lpwstr>http://www.legislation.govt.nz/regulation/public/2020/0225/latest/LMS395097.html</vt:lpwstr>
      </vt:variant>
      <vt:variant>
        <vt:lpwstr/>
      </vt:variant>
      <vt:variant>
        <vt:i4>5046284</vt:i4>
      </vt:variant>
      <vt:variant>
        <vt:i4>27</vt:i4>
      </vt:variant>
      <vt:variant>
        <vt:i4>0</vt:i4>
      </vt:variant>
      <vt:variant>
        <vt:i4>5</vt:i4>
      </vt:variant>
      <vt:variant>
        <vt:lpwstr>http://www.legislation.govt.nz/regulation/public/2020/0075/latest/LMS338949.html</vt:lpwstr>
      </vt:variant>
      <vt:variant>
        <vt:lpwstr/>
      </vt:variant>
      <vt:variant>
        <vt:i4>4521984</vt:i4>
      </vt:variant>
      <vt:variant>
        <vt:i4>24</vt:i4>
      </vt:variant>
      <vt:variant>
        <vt:i4>0</vt:i4>
      </vt:variant>
      <vt:variant>
        <vt:i4>5</vt:i4>
      </vt:variant>
      <vt:variant>
        <vt:lpwstr>http://www.legislation.govt.nz/regulation/public/2020/0068/latest/LMS338518.html</vt:lpwstr>
      </vt:variant>
      <vt:variant>
        <vt:lpwstr/>
      </vt:variant>
      <vt:variant>
        <vt:i4>4325388</vt:i4>
      </vt:variant>
      <vt:variant>
        <vt:i4>21</vt:i4>
      </vt:variant>
      <vt:variant>
        <vt:i4>0</vt:i4>
      </vt:variant>
      <vt:variant>
        <vt:i4>5</vt:i4>
      </vt:variant>
      <vt:variant>
        <vt:lpwstr>http://www.legislation.govt.nz/regulation/public/2020/0065/latest/LMS337342.html</vt:lpwstr>
      </vt:variant>
      <vt:variant>
        <vt:lpwstr/>
      </vt:variant>
      <vt:variant>
        <vt:i4>4521995</vt:i4>
      </vt:variant>
      <vt:variant>
        <vt:i4>18</vt:i4>
      </vt:variant>
      <vt:variant>
        <vt:i4>0</vt:i4>
      </vt:variant>
      <vt:variant>
        <vt:i4>5</vt:i4>
      </vt:variant>
      <vt:variant>
        <vt:lpwstr>http://www.legislation.govt.nz/regulation/public/2020/0064/latest/LMS337224.html</vt:lpwstr>
      </vt:variant>
      <vt:variant>
        <vt:lpwstr/>
      </vt:variant>
      <vt:variant>
        <vt:i4>4587527</vt:i4>
      </vt:variant>
      <vt:variant>
        <vt:i4>15</vt:i4>
      </vt:variant>
      <vt:variant>
        <vt:i4>0</vt:i4>
      </vt:variant>
      <vt:variant>
        <vt:i4>5</vt:i4>
      </vt:variant>
      <vt:variant>
        <vt:lpwstr>http://www.legislation.govt.nz/regulation/public/2020/0063/latest/LMS337268.html</vt:lpwstr>
      </vt:variant>
      <vt:variant>
        <vt:lpwstr/>
      </vt:variant>
      <vt:variant>
        <vt:i4>4653056</vt:i4>
      </vt:variant>
      <vt:variant>
        <vt:i4>12</vt:i4>
      </vt:variant>
      <vt:variant>
        <vt:i4>0</vt:i4>
      </vt:variant>
      <vt:variant>
        <vt:i4>5</vt:i4>
      </vt:variant>
      <vt:variant>
        <vt:lpwstr>http://www.legislation.govt.nz/regulation/public/2020/0061/latest/LMS335875.html</vt:lpwstr>
      </vt:variant>
      <vt:variant>
        <vt:lpwstr/>
      </vt:variant>
      <vt:variant>
        <vt:i4>4259846</vt:i4>
      </vt:variant>
      <vt:variant>
        <vt:i4>9</vt:i4>
      </vt:variant>
      <vt:variant>
        <vt:i4>0</vt:i4>
      </vt:variant>
      <vt:variant>
        <vt:i4>5</vt:i4>
      </vt:variant>
      <vt:variant>
        <vt:lpwstr>http://www.legislation.govt.nz/regulation/public/2020/0060/latest/LMS335308.html</vt:lpwstr>
      </vt:variant>
      <vt:variant>
        <vt:lpwstr/>
      </vt:variant>
      <vt:variant>
        <vt:i4>4784140</vt:i4>
      </vt:variant>
      <vt:variant>
        <vt:i4>6</vt:i4>
      </vt:variant>
      <vt:variant>
        <vt:i4>0</vt:i4>
      </vt:variant>
      <vt:variant>
        <vt:i4>5</vt:i4>
      </vt:variant>
      <vt:variant>
        <vt:lpwstr>http://www.legislation.govt.nz/regulation/public/2020/0052/latest/LMS328172.html</vt:lpwstr>
      </vt:variant>
      <vt:variant>
        <vt:lpwstr/>
      </vt:variant>
      <vt:variant>
        <vt:i4>3866648</vt:i4>
      </vt:variant>
      <vt:variant>
        <vt:i4>3</vt:i4>
      </vt:variant>
      <vt:variant>
        <vt:i4>0</vt:i4>
      </vt:variant>
      <vt:variant>
        <vt:i4>5</vt:i4>
      </vt:variant>
      <vt:variant>
        <vt:lpwstr>https://www.parliament.nz/resource/en-NZ/SCR_99950/b96a4c27af89de8a3e6abbfa955668439fc3da7c</vt:lpwstr>
      </vt:variant>
      <vt:variant>
        <vt:lpwstr/>
      </vt:variant>
      <vt:variant>
        <vt:i4>3997803</vt:i4>
      </vt:variant>
      <vt:variant>
        <vt:i4>0</vt:i4>
      </vt:variant>
      <vt:variant>
        <vt:i4>0</vt:i4>
      </vt:variant>
      <vt:variant>
        <vt:i4>5</vt:i4>
      </vt:variant>
      <vt:variant>
        <vt:lpwstr>https://www.parliament.nz/resource/en-NZ/51DBSCH_SCR71932_1/4c3e70120c8c2d0189705b2f2b1e0575ed1746fa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cp:lastModifiedBy>Duke Nguyen</cp:lastModifiedBy>
  <cp:revision>2</cp:revision>
  <cp:lastPrinted>2022-10-28T20:14:00Z</cp:lastPrinted>
  <dcterms:created xsi:type="dcterms:W3CDTF">2022-11-10T20:35:00Z</dcterms:created>
  <dcterms:modified xsi:type="dcterms:W3CDTF">2022-11-10T20:35:00Z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2017-12-18T00:00:00Z</vt:filetime>
  </property>
  <property fmtid="{D5CDD505-2E9C-101B-9397-08002B2CF9AE}" pid="3" name="LastSaved">
    <vt:filetime>2018-05-29T00:00:00Z</vt:filetime>
  </property>
  <property fmtid="{D5CDD505-2E9C-101B-9397-08002B2CF9AE}" pid="4" name="ContentTypeId">
    <vt:lpwstr>0x010100665E4DD8524B3D40926F812586B6E37C</vt:lpwstr>
  </property>
  <property fmtid="{D5CDD505-2E9C-101B-9397-08002B2CF9AE}" pid="5" name="_dlc_DocIdItemGuid">
    <vt:lpwstr>5752f89e-6753-4447-af8a-58c6f56b049d</vt:lpwstr>
  </property>
  <property fmtid="{D5CDD505-2E9C-101B-9397-08002B2CF9AE}" pid="6" name="_MarkAsFinal">
    <vt:bool>true</vt:bool>
  </property>
</Properties>
</file>